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宋体" w:hAnsi="宋体" w:eastAsia="宋体" w:cs="宋体"/>
          <w:color w:val="auto"/>
          <w:highlight w:val="none"/>
        </w:rPr>
      </w:pPr>
      <w:r>
        <w:rPr>
          <w:rFonts w:hint="eastAsia" w:ascii="宋体" w:hAnsi="宋体" w:eastAsia="宋体" w:cs="宋体"/>
          <w:color w:val="auto"/>
          <w:highlight w:val="none"/>
        </w:rPr>
        <w:t>采购需求</w:t>
      </w:r>
    </w:p>
    <w:p>
      <w:pPr>
        <w:pStyle w:val="4"/>
        <w:rPr>
          <w:rFonts w:hint="eastAsia" w:ascii="宋体" w:hAnsi="宋体" w:eastAsia="宋体" w:cs="宋体"/>
          <w:color w:val="auto"/>
          <w:highlight w:val="none"/>
        </w:rPr>
      </w:pPr>
      <w:bookmarkStart w:id="0" w:name="_Toc1899"/>
      <w:bookmarkStart w:id="1" w:name="_Toc26013"/>
      <w:bookmarkStart w:id="2" w:name="_Toc31327"/>
      <w:bookmarkStart w:id="3" w:name="_Toc1311"/>
      <w:r>
        <w:rPr>
          <w:rFonts w:hint="eastAsia" w:ascii="宋体" w:hAnsi="宋体" w:eastAsia="宋体" w:cs="宋体"/>
          <w:color w:val="auto"/>
          <w:highlight w:val="none"/>
        </w:rPr>
        <w:t>一、</w:t>
      </w:r>
      <w:bookmarkEnd w:id="0"/>
      <w:bookmarkEnd w:id="1"/>
      <w:bookmarkEnd w:id="2"/>
      <w:r>
        <w:rPr>
          <w:rFonts w:hint="eastAsia" w:ascii="宋体" w:hAnsi="宋体" w:eastAsia="宋体" w:cs="宋体"/>
          <w:color w:val="auto"/>
          <w:highlight w:val="none"/>
        </w:rPr>
        <w:t>技术要求</w:t>
      </w:r>
      <w:bookmarkEnd w:id="3"/>
    </w:p>
    <w:p>
      <w:pPr>
        <w:pStyle w:val="5"/>
        <w:rPr>
          <w:rFonts w:hint="eastAsia" w:ascii="宋体" w:hAnsi="宋体" w:eastAsia="宋体" w:cs="宋体"/>
          <w:color w:val="auto"/>
          <w:highlight w:val="none"/>
        </w:rPr>
      </w:pPr>
      <w:r>
        <w:rPr>
          <w:rFonts w:hint="eastAsia" w:ascii="宋体" w:hAnsi="宋体" w:eastAsia="宋体" w:cs="宋体"/>
          <w:color w:val="auto"/>
          <w:highlight w:val="none"/>
        </w:rPr>
        <w:t>（一）说明</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1.本《招标文件》所提出的货物技术标准是基本的技术标准和使用功能，并未规定所有的技术要求和适用标准，供应商应提供一套满足所列标准要求的高质量的产品及相应服务。</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3.所有货物、零部件均由具有生产制造资格的企业提供，并由中标人承担总责任。</w:t>
      </w:r>
    </w:p>
    <w:p>
      <w:pPr>
        <w:ind w:firstLine="480"/>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4.所有采购物品应包含所有安装完成需产生的一切费用，包含辅材费用等。其中毛巾架、双层转角置物架需在磁砖开孔安装的同时确保磁砖完好无损。</w:t>
      </w:r>
    </w:p>
    <w:p>
      <w:pPr>
        <w:ind w:firstLine="480"/>
        <w:rPr>
          <w:rFonts w:hint="eastAsia" w:ascii="宋体" w:hAnsi="宋体" w:eastAsia="宋体" w:cs="宋体"/>
          <w:color w:val="auto"/>
          <w:szCs w:val="32"/>
          <w:highlight w:val="none"/>
          <w:lang w:val="en-US" w:eastAsia="zh-CN"/>
        </w:rPr>
        <w:sectPr>
          <w:headerReference r:id="rId3" w:type="first"/>
          <w:footerReference r:id="rId5" w:type="first"/>
          <w:footerReference r:id="rId4" w:type="default"/>
          <w:pgSz w:w="11907" w:h="16840"/>
          <w:pgMar w:top="1440" w:right="1803" w:bottom="1440" w:left="1803" w:header="720" w:footer="720" w:gutter="0"/>
          <w:cols w:space="720" w:num="1"/>
          <w:docGrid w:linePitch="326" w:charSpace="0"/>
        </w:sectPr>
      </w:pPr>
      <w:r>
        <w:rPr>
          <w:rFonts w:hint="eastAsia" w:ascii="宋体" w:hAnsi="宋体" w:eastAsia="宋体" w:cs="宋体"/>
          <w:color w:val="auto"/>
          <w:szCs w:val="32"/>
          <w:highlight w:val="none"/>
          <w:lang w:val="en-US" w:eastAsia="zh-CN"/>
        </w:rPr>
        <w:t>5.所有材料需给学校第三方检测单位检测。</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w:t>
      </w:r>
      <w:r>
        <w:rPr>
          <w:rFonts w:hint="eastAsia" w:ascii="宋体" w:hAnsi="宋体" w:eastAsia="宋体" w:cs="宋体"/>
          <w:color w:val="auto"/>
          <w:szCs w:val="40"/>
          <w:highlight w:val="none"/>
        </w:rPr>
        <w:t>具体技术要求（详细家具图纸见附件）</w:t>
      </w:r>
    </w:p>
    <w:tbl>
      <w:tblPr>
        <w:tblStyle w:val="8"/>
        <w:tblW w:w="14054" w:type="dxa"/>
        <w:jc w:val="center"/>
        <w:tblInd w:w="0" w:type="dxa"/>
        <w:tblLayout w:type="fixed"/>
        <w:tblCellMar>
          <w:top w:w="0" w:type="dxa"/>
          <w:left w:w="0" w:type="dxa"/>
          <w:bottom w:w="0" w:type="dxa"/>
          <w:right w:w="0" w:type="dxa"/>
        </w:tblCellMar>
      </w:tblPr>
      <w:tblGrid>
        <w:gridCol w:w="841"/>
        <w:gridCol w:w="1686"/>
        <w:gridCol w:w="4869"/>
        <w:gridCol w:w="2837"/>
        <w:gridCol w:w="883"/>
        <w:gridCol w:w="2938"/>
      </w:tblGrid>
      <w:tr>
        <w:tblPrEx>
          <w:tblLayout w:type="fixed"/>
          <w:tblCellMar>
            <w:top w:w="0" w:type="dxa"/>
            <w:left w:w="0" w:type="dxa"/>
            <w:bottom w:w="0" w:type="dxa"/>
            <w:right w:w="0" w:type="dxa"/>
          </w:tblCellMar>
        </w:tblPrEx>
        <w:trPr>
          <w:trHeight w:val="1090"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kern w:val="0"/>
                <w:highlight w:val="none"/>
                <w:lang w:bidi="ar"/>
              </w:rPr>
              <w:t>设备名称</w:t>
            </w:r>
          </w:p>
        </w:tc>
        <w:tc>
          <w:tcPr>
            <w:tcW w:w="4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kern w:val="0"/>
                <w:highlight w:val="none"/>
                <w:lang w:bidi="ar"/>
              </w:rPr>
              <w:t>规格型号及材质技术性能参数</w:t>
            </w:r>
          </w:p>
        </w:tc>
        <w:tc>
          <w:tcPr>
            <w:tcW w:w="2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kern w:val="0"/>
                <w:highlight w:val="none"/>
                <w:lang w:bidi="ar"/>
              </w:rPr>
              <w:t>数量</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highlight w:val="none"/>
              </w:rPr>
            </w:pPr>
            <w:r>
              <w:rPr>
                <w:rFonts w:hint="eastAsia" w:ascii="宋体" w:hAnsi="宋体" w:eastAsia="宋体" w:cs="宋体"/>
                <w:b/>
                <w:bCs/>
                <w:color w:val="auto"/>
                <w:kern w:val="0"/>
                <w:highlight w:val="none"/>
                <w:lang w:bidi="ar"/>
              </w:rPr>
              <w:t>单位</w:t>
            </w:r>
          </w:p>
        </w:tc>
        <w:tc>
          <w:tcPr>
            <w:tcW w:w="2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参考图片</w:t>
            </w:r>
          </w:p>
        </w:tc>
      </w:tr>
      <w:tr>
        <w:tblPrEx>
          <w:tblLayout w:type="fixed"/>
          <w:tblCellMar>
            <w:top w:w="0" w:type="dxa"/>
            <w:left w:w="108" w:type="dxa"/>
            <w:bottom w:w="0" w:type="dxa"/>
            <w:right w:w="108" w:type="dxa"/>
          </w:tblCellMar>
        </w:tblPrEx>
        <w:trPr>
          <w:trHeight w:val="138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kern w:val="0"/>
                <w:highlight w:val="none"/>
                <w:lang w:bidi="ar"/>
              </w:rPr>
              <w:t>四人毛巾架</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长：</w:t>
            </w:r>
            <w:r>
              <w:rPr>
                <w:rFonts w:hint="eastAsia" w:ascii="宋体" w:hAnsi="宋体" w:eastAsia="宋体" w:cs="宋体"/>
                <w:color w:val="auto"/>
                <w:kern w:val="0"/>
                <w:highlight w:val="none"/>
                <w:lang w:bidi="ar"/>
              </w:rPr>
              <w:t>290</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eastAsia="zh-CN" w:bidi="ar"/>
              </w:rPr>
              <w:t>，宽：</w:t>
            </w:r>
            <w:r>
              <w:rPr>
                <w:rFonts w:hint="eastAsia" w:ascii="宋体" w:hAnsi="宋体" w:eastAsia="宋体" w:cs="宋体"/>
                <w:color w:val="auto"/>
                <w:kern w:val="0"/>
                <w:highlight w:val="none"/>
                <w:lang w:bidi="ar"/>
              </w:rPr>
              <w:t>30mm</w:t>
            </w:r>
          </w:p>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材质说明：采用同品质304不锈钢及以上材料制做，厚度≥1.2mm。</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挂钩规格：直径≥6mm，高≥50mm，宽≥43mm</w:t>
            </w:r>
            <w:r>
              <w:rPr>
                <w:rFonts w:hint="eastAsia" w:ascii="宋体" w:hAnsi="宋体" w:eastAsia="宋体" w:cs="宋体"/>
                <w:color w:val="auto"/>
                <w:kern w:val="0"/>
                <w:highlight w:val="none"/>
                <w:lang w:eastAsia="zh-CN" w:bidi="ar"/>
              </w:rPr>
              <w:t>，挂钩</w:t>
            </w:r>
            <w:r>
              <w:rPr>
                <w:rFonts w:hint="eastAsia" w:ascii="宋体" w:hAnsi="宋体" w:eastAsia="宋体" w:cs="宋体"/>
                <w:color w:val="auto"/>
                <w:kern w:val="0"/>
                <w:highlight w:val="none"/>
                <w:lang w:val="en-US" w:eastAsia="zh-CN" w:bidi="ar"/>
              </w:rPr>
              <w:t>4</w:t>
            </w:r>
            <w:r>
              <w:rPr>
                <w:rFonts w:hint="eastAsia" w:ascii="宋体" w:hAnsi="宋体" w:eastAsia="宋体" w:cs="宋体"/>
                <w:color w:val="auto"/>
                <w:kern w:val="0"/>
                <w:highlight w:val="none"/>
                <w:lang w:eastAsia="zh-CN" w:bidi="ar"/>
              </w:rPr>
              <w:t>个。</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1198</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个</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highlight w:val="none"/>
              </w:rPr>
              <w:drawing>
                <wp:inline distT="0" distB="0" distL="114300" distR="114300">
                  <wp:extent cx="1573530" cy="404495"/>
                  <wp:effectExtent l="0" t="0" r="7620" b="146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1573530" cy="4044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20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kern w:val="0"/>
                <w:highlight w:val="none"/>
                <w:lang w:bidi="ar"/>
              </w:rPr>
              <w:t>六人毛巾架</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长：</w:t>
            </w:r>
            <w:r>
              <w:rPr>
                <w:rFonts w:hint="eastAsia" w:ascii="宋体" w:hAnsi="宋体" w:eastAsia="宋体" w:cs="宋体"/>
                <w:color w:val="auto"/>
                <w:kern w:val="0"/>
                <w:highlight w:val="none"/>
                <w:lang w:bidi="ar"/>
              </w:rPr>
              <w:t>450</w:t>
            </w:r>
            <w:r>
              <w:rPr>
                <w:rFonts w:hint="eastAsia" w:ascii="宋体" w:hAnsi="宋体" w:eastAsia="宋体" w:cs="宋体"/>
                <w:color w:val="auto"/>
                <w:kern w:val="0"/>
                <w:highlight w:val="none"/>
                <w:lang w:val="en-US" w:eastAsia="zh-CN" w:bidi="ar"/>
              </w:rPr>
              <w:t>mm，宽：</w:t>
            </w:r>
            <w:r>
              <w:rPr>
                <w:rFonts w:hint="eastAsia" w:ascii="宋体" w:hAnsi="宋体" w:eastAsia="宋体" w:cs="宋体"/>
                <w:color w:val="auto"/>
                <w:kern w:val="0"/>
                <w:highlight w:val="none"/>
                <w:lang w:bidi="ar"/>
              </w:rPr>
              <w:t>30mm</w:t>
            </w:r>
          </w:p>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材质说明：采用同品质304不锈钢及以上材料制做，厚度≥1.2mm。</w:t>
            </w:r>
          </w:p>
          <w:p>
            <w:pPr>
              <w:widowControl/>
              <w:ind w:firstLine="0" w:firstLineChars="0"/>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kern w:val="0"/>
                <w:highlight w:val="none"/>
                <w:lang w:bidi="ar"/>
              </w:rPr>
              <w:t>挂钩规格：直径≥6mm，高≥50mm，宽≥43mm</w:t>
            </w:r>
            <w:r>
              <w:rPr>
                <w:rFonts w:hint="eastAsia" w:ascii="宋体" w:hAnsi="宋体" w:eastAsia="宋体" w:cs="宋体"/>
                <w:color w:val="auto"/>
                <w:kern w:val="0"/>
                <w:highlight w:val="none"/>
                <w:lang w:eastAsia="zh-CN" w:bidi="ar"/>
              </w:rPr>
              <w:t>，挂钩</w:t>
            </w:r>
            <w:r>
              <w:rPr>
                <w:rFonts w:hint="eastAsia" w:ascii="宋体" w:hAnsi="宋体" w:eastAsia="宋体" w:cs="宋体"/>
                <w:color w:val="auto"/>
                <w:kern w:val="0"/>
                <w:highlight w:val="none"/>
                <w:lang w:val="en-US" w:eastAsia="zh-CN" w:bidi="ar"/>
              </w:rPr>
              <w:t>6个</w:t>
            </w:r>
            <w:r>
              <w:rPr>
                <w:rFonts w:hint="eastAsia" w:ascii="宋体" w:hAnsi="宋体" w:eastAsia="宋体" w:cs="宋体"/>
                <w:color w:val="auto"/>
                <w:highlight w:val="none"/>
                <w:lang w:val="en-US" w:eastAsia="zh-CN"/>
              </w:rPr>
              <w:t>。</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437</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个</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highlight w:val="none"/>
              </w:rPr>
              <w:drawing>
                <wp:inline distT="0" distB="0" distL="114300" distR="114300">
                  <wp:extent cx="1743075" cy="387350"/>
                  <wp:effectExtent l="0" t="0" r="9525"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a:stretch>
                            <a:fillRect/>
                          </a:stretch>
                        </pic:blipFill>
                        <pic:spPr>
                          <a:xfrm>
                            <a:off x="0" y="0"/>
                            <a:ext cx="1743075" cy="387350"/>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603" w:hRule="atLeast"/>
          <w:jc w:val="center"/>
        </w:trPr>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3</w:t>
            </w:r>
          </w:p>
        </w:tc>
        <w:tc>
          <w:tcPr>
            <w:tcW w:w="1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kern w:val="0"/>
                <w:highlight w:val="none"/>
                <w:lang w:bidi="ar"/>
              </w:rPr>
              <w:t>晒衣杆</w:t>
            </w:r>
          </w:p>
        </w:tc>
        <w:tc>
          <w:tcPr>
            <w:tcW w:w="4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长</w:t>
            </w:r>
            <w:r>
              <w:rPr>
                <w:rFonts w:hint="eastAsia" w:ascii="宋体" w:hAnsi="宋体" w:eastAsia="宋体" w:cs="宋体"/>
                <w:color w:val="auto"/>
                <w:kern w:val="0"/>
                <w:highlight w:val="none"/>
                <w:lang w:val="en-US" w:eastAsia="zh-CN" w:bidi="ar"/>
              </w:rPr>
              <w:t>：</w:t>
            </w:r>
            <w:r>
              <w:rPr>
                <w:rFonts w:hint="eastAsia" w:ascii="宋体" w:hAnsi="宋体" w:eastAsia="宋体" w:cs="宋体"/>
                <w:color w:val="auto"/>
                <w:kern w:val="0"/>
                <w:highlight w:val="none"/>
                <w:lang w:bidi="ar"/>
              </w:rPr>
              <w:t>2100</w:t>
            </w:r>
            <w:r>
              <w:rPr>
                <w:rFonts w:hint="eastAsia" w:ascii="宋体" w:hAnsi="宋体" w:eastAsia="宋体" w:cs="宋体"/>
                <w:color w:val="auto"/>
                <w:kern w:val="0"/>
                <w:highlight w:val="none"/>
                <w:lang w:val="en-US" w:eastAsia="zh-CN" w:bidi="ar"/>
              </w:rPr>
              <w:t>mm,宽：</w:t>
            </w:r>
            <w:r>
              <w:rPr>
                <w:rFonts w:hint="eastAsia" w:ascii="宋体" w:hAnsi="宋体" w:eastAsia="宋体" w:cs="宋体"/>
                <w:color w:val="auto"/>
                <w:kern w:val="0"/>
                <w:highlight w:val="none"/>
                <w:lang w:bidi="ar"/>
              </w:rPr>
              <w:t>215mm</w:t>
            </w:r>
          </w:p>
          <w:p>
            <w:pPr>
              <w:widowControl/>
              <w:ind w:firstLine="0" w:firstLineChars="0"/>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highlight w:val="none"/>
                <w:lang w:bidi="ar"/>
              </w:rPr>
              <w:t>材质说明：</w:t>
            </w:r>
            <w:r>
              <w:rPr>
                <w:rFonts w:hint="eastAsia" w:ascii="宋体" w:hAnsi="宋体" w:eastAsia="宋体" w:cs="宋体"/>
                <w:color w:val="auto"/>
                <w:kern w:val="0"/>
                <w:highlight w:val="none"/>
                <w:lang w:eastAsia="zh-CN" w:bidi="ar"/>
              </w:rPr>
              <w:t>水平主管和竖向固定副管均采用直径</w:t>
            </w:r>
            <w:r>
              <w:rPr>
                <w:rFonts w:hint="eastAsia" w:ascii="宋体" w:hAnsi="宋体" w:eastAsia="宋体" w:cs="宋体"/>
                <w:color w:val="auto"/>
                <w:kern w:val="0"/>
                <w:highlight w:val="none"/>
                <w:lang w:val="en-US" w:eastAsia="zh-CN" w:bidi="ar"/>
              </w:rPr>
              <w:t>22mm，厚度1.2mm不锈钢管制作，竖向副管与墙面固定圆盘直径</w:t>
            </w:r>
            <w:r>
              <w:rPr>
                <w:rFonts w:hint="eastAsia" w:ascii="宋体" w:hAnsi="宋体" w:eastAsia="宋体" w:cs="宋体"/>
                <w:color w:val="auto"/>
                <w:kern w:val="0"/>
                <w:highlight w:val="none"/>
                <w:lang w:bidi="ar"/>
              </w:rPr>
              <w:t>≥</w:t>
            </w:r>
            <w:r>
              <w:rPr>
                <w:rFonts w:hint="eastAsia" w:ascii="宋体" w:hAnsi="宋体" w:eastAsia="宋体" w:cs="宋体"/>
                <w:color w:val="auto"/>
                <w:kern w:val="0"/>
                <w:highlight w:val="none"/>
                <w:lang w:val="en-US" w:eastAsia="zh-CN" w:bidi="ar"/>
              </w:rPr>
              <w:t>75mm，厚度</w:t>
            </w:r>
            <w:r>
              <w:rPr>
                <w:rFonts w:hint="eastAsia" w:ascii="宋体" w:hAnsi="宋体" w:eastAsia="宋体" w:cs="宋体"/>
                <w:color w:val="auto"/>
                <w:kern w:val="0"/>
                <w:highlight w:val="none"/>
                <w:lang w:bidi="ar"/>
              </w:rPr>
              <w:t>≥</w:t>
            </w:r>
            <w:r>
              <w:rPr>
                <w:rFonts w:hint="eastAsia" w:ascii="宋体" w:hAnsi="宋体" w:eastAsia="宋体" w:cs="宋体"/>
                <w:color w:val="auto"/>
                <w:kern w:val="0"/>
                <w:highlight w:val="none"/>
                <w:lang w:val="en-US" w:eastAsia="zh-CN" w:bidi="ar"/>
              </w:rPr>
              <w:t>2mm，均匀分布三孔，三个孔采用6mm不锈钢膨胀螺丝固定。主管与副管，副管与固定圆盘均采用焊接（满焊）方式连接。每套包含两根晾衣杆。</w:t>
            </w:r>
          </w:p>
        </w:tc>
        <w:tc>
          <w:tcPr>
            <w:tcW w:w="2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1475</w:t>
            </w:r>
          </w:p>
        </w:tc>
        <w:tc>
          <w:tcPr>
            <w:tcW w:w="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套</w:t>
            </w:r>
          </w:p>
        </w:tc>
        <w:tc>
          <w:tcPr>
            <w:tcW w:w="2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center"/>
              <w:textAlignment w:val="center"/>
              <w:rPr>
                <w:rFonts w:hint="eastAsia" w:ascii="宋体" w:hAnsi="宋体" w:eastAsia="宋体" w:cs="宋体"/>
                <w:color w:val="auto"/>
                <w:kern w:val="0"/>
                <w:highlight w:val="none"/>
                <w:lang w:bidi="ar"/>
              </w:rPr>
            </w:pPr>
          </w:p>
          <w:p>
            <w:pPr>
              <w:widowControl/>
              <w:ind w:firstLine="0" w:firstLineChars="0"/>
              <w:jc w:val="center"/>
              <w:textAlignment w:val="center"/>
              <w:rPr>
                <w:rFonts w:hint="eastAsia" w:ascii="宋体" w:hAnsi="宋体" w:eastAsia="宋体" w:cs="宋体"/>
                <w:color w:val="auto"/>
                <w:kern w:val="0"/>
                <w:highlight w:val="none"/>
                <w:lang w:bidi="ar"/>
              </w:rPr>
            </w:pPr>
          </w:p>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108585</wp:posOffset>
                  </wp:positionV>
                  <wp:extent cx="1488440" cy="420370"/>
                  <wp:effectExtent l="0" t="0" r="16510" b="17780"/>
                  <wp:wrapNone/>
                  <wp:docPr id="3" name="Picture_9"/>
                  <wp:cNvGraphicFramePr/>
                  <a:graphic xmlns:a="http://schemas.openxmlformats.org/drawingml/2006/main">
                    <a:graphicData uri="http://schemas.openxmlformats.org/drawingml/2006/picture">
                      <pic:pic xmlns:pic="http://schemas.openxmlformats.org/drawingml/2006/picture">
                        <pic:nvPicPr>
                          <pic:cNvPr id="3" name="Picture_9"/>
                          <pic:cNvPicPr/>
                        </pic:nvPicPr>
                        <pic:blipFill>
                          <a:blip r:embed="rId9" r:link="rId10"/>
                          <a:stretch>
                            <a:fillRect/>
                          </a:stretch>
                        </pic:blipFill>
                        <pic:spPr>
                          <a:xfrm>
                            <a:off x="0" y="0"/>
                            <a:ext cx="1488440" cy="420370"/>
                          </a:xfrm>
                          <a:prstGeom prst="rect">
                            <a:avLst/>
                          </a:prstGeom>
                          <a:noFill/>
                          <a:ln>
                            <a:noFill/>
                          </a:ln>
                        </pic:spPr>
                      </pic:pic>
                    </a:graphicData>
                  </a:graphic>
                </wp:anchor>
              </w:drawing>
            </w:r>
          </w:p>
        </w:tc>
      </w:tr>
      <w:tr>
        <w:tblPrEx>
          <w:tblLayout w:type="fixed"/>
          <w:tblCellMar>
            <w:top w:w="0" w:type="dxa"/>
            <w:left w:w="108" w:type="dxa"/>
            <w:bottom w:w="0" w:type="dxa"/>
            <w:right w:w="108" w:type="dxa"/>
          </w:tblCellMar>
        </w:tblPrEx>
        <w:trPr>
          <w:trHeight w:val="2445"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kern w:val="0"/>
                <w:highlight w:val="none"/>
                <w:lang w:bidi="ar"/>
              </w:rPr>
              <w:t>四人行李架</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长：</w:t>
            </w:r>
            <w:r>
              <w:rPr>
                <w:rFonts w:hint="eastAsia" w:ascii="宋体" w:hAnsi="宋体" w:eastAsia="宋体" w:cs="宋体"/>
                <w:color w:val="auto"/>
                <w:kern w:val="0"/>
                <w:highlight w:val="none"/>
                <w:lang w:bidi="ar"/>
              </w:rPr>
              <w:t>400</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eastAsia="zh-CN" w:bidi="ar"/>
              </w:rPr>
              <w:t>宽：</w:t>
            </w:r>
            <w:r>
              <w:rPr>
                <w:rFonts w:hint="eastAsia" w:ascii="宋体" w:hAnsi="宋体" w:eastAsia="宋体" w:cs="宋体"/>
                <w:color w:val="auto"/>
                <w:kern w:val="0"/>
                <w:highlight w:val="none"/>
                <w:lang w:bidi="ar"/>
              </w:rPr>
              <w:t>500</w:t>
            </w:r>
            <w:r>
              <w:rPr>
                <w:rFonts w:hint="eastAsia" w:ascii="宋体" w:hAnsi="宋体" w:eastAsia="宋体" w:cs="宋体"/>
                <w:color w:val="auto"/>
                <w:kern w:val="0"/>
                <w:highlight w:val="none"/>
                <w:lang w:val="en-US" w:eastAsia="zh-CN" w:bidi="ar"/>
              </w:rPr>
              <w:t>mm，高：</w:t>
            </w:r>
            <w:r>
              <w:rPr>
                <w:rFonts w:hint="eastAsia" w:ascii="宋体" w:hAnsi="宋体" w:eastAsia="宋体" w:cs="宋体"/>
                <w:color w:val="auto"/>
                <w:kern w:val="0"/>
                <w:highlight w:val="none"/>
                <w:lang w:bidi="ar"/>
              </w:rPr>
              <w:t>2200mm</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材质说明：钢架主管采用40*20*1.2</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bidi="ar"/>
              </w:rPr>
              <w:t>方管,其它采用25*25*1.2</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bidi="ar"/>
              </w:rPr>
              <w:t>方管。</w:t>
            </w:r>
            <w:r>
              <w:rPr>
                <w:rFonts w:hint="eastAsia" w:ascii="宋体" w:hAnsi="宋体" w:eastAsia="宋体" w:cs="宋体"/>
                <w:color w:val="auto"/>
                <w:kern w:val="0"/>
                <w:highlight w:val="none"/>
                <w:lang w:val="zh-CN" w:bidi="ar"/>
              </w:rPr>
              <w:t>所有焊接均采用二氧化碳气体保护焊，表面经抛丸打磨后静电喷塑。</w:t>
            </w:r>
            <w:r>
              <w:rPr>
                <w:rFonts w:hint="eastAsia" w:ascii="宋体" w:hAnsi="宋体" w:eastAsia="宋体" w:cs="宋体"/>
                <w:color w:val="auto"/>
                <w:kern w:val="0"/>
                <w:highlight w:val="none"/>
                <w:lang w:bidi="ar"/>
              </w:rPr>
              <w:t>喷塑表面光亮平整，无颗粒渣点，颜色均匀。符合国家环保要求。每层方管在6根及以上。(公寓寝室特殊房间</w:t>
            </w:r>
            <w:r>
              <w:rPr>
                <w:rFonts w:hint="eastAsia" w:ascii="宋体" w:hAnsi="宋体" w:eastAsia="宋体" w:cs="宋体"/>
                <w:color w:val="auto"/>
                <w:kern w:val="0"/>
                <w:highlight w:val="none"/>
                <w:lang w:eastAsia="zh-CN" w:bidi="ar"/>
              </w:rPr>
              <w:t>按现场尺寸定做，制作方案需学校认可。</w:t>
            </w:r>
            <w:r>
              <w:rPr>
                <w:rFonts w:hint="eastAsia" w:ascii="宋体" w:hAnsi="宋体" w:eastAsia="宋体" w:cs="宋体"/>
                <w:color w:val="auto"/>
                <w:kern w:val="0"/>
                <w:highlight w:val="none"/>
                <w:lang w:bidi="ar"/>
              </w:rPr>
              <w:t>)</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1463</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个</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41020" cy="1313180"/>
                  <wp:effectExtent l="0" t="0" r="11430" b="1270"/>
                  <wp:docPr id="2" name="图片 3" descr="C:\Users\Administrator\AppData\Roaming\Tencent\Users\391871025\QQ\WinTemp\RichOle\A0GYVP]C6NJGUFO9L{)G@{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Administrator\AppData\Roaming\Tencent\Users\391871025\QQ\WinTemp\RichOle\A0GYVP]C6NJGUFO9L{)G@{J.png"/>
                          <pic:cNvPicPr>
                            <a:picLocks noChangeAspect="1"/>
                          </pic:cNvPicPr>
                        </pic:nvPicPr>
                        <pic:blipFill>
                          <a:blip r:embed="rId11"/>
                          <a:stretch>
                            <a:fillRect/>
                          </a:stretch>
                        </pic:blipFill>
                        <pic:spPr>
                          <a:xfrm>
                            <a:off x="0" y="0"/>
                            <a:ext cx="541020" cy="1313180"/>
                          </a:xfrm>
                          <a:prstGeom prst="rect">
                            <a:avLst/>
                          </a:prstGeom>
                          <a:noFill/>
                          <a:ln>
                            <a:noFill/>
                          </a:ln>
                        </pic:spPr>
                      </pic:pic>
                    </a:graphicData>
                  </a:graphic>
                </wp:inline>
              </w:drawing>
            </w:r>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206500" cy="711835"/>
                  <wp:effectExtent l="0" t="0" r="12700" b="12065"/>
                  <wp:docPr id="6" name="图片 4" descr="C:\Users\Administrator\AppData\Roaming\Tencent\Users\391871025\QQ\WinTemp\RichOle\Y[JQP0P965AJL~_W%PX[}`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Administrator\AppData\Roaming\Tencent\Users\391871025\QQ\WinTemp\RichOle\Y[JQP0P965AJL~_W%PX[}`W.png"/>
                          <pic:cNvPicPr>
                            <a:picLocks noChangeAspect="1"/>
                          </pic:cNvPicPr>
                        </pic:nvPicPr>
                        <pic:blipFill>
                          <a:blip r:embed="rId12"/>
                          <a:stretch>
                            <a:fillRect/>
                          </a:stretch>
                        </pic:blipFill>
                        <pic:spPr>
                          <a:xfrm>
                            <a:off x="0" y="0"/>
                            <a:ext cx="1206500" cy="71183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4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kern w:val="0"/>
                <w:highlight w:val="none"/>
                <w:lang w:bidi="ar"/>
              </w:rPr>
              <w:t>两人行李架</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长：</w:t>
            </w:r>
            <w:r>
              <w:rPr>
                <w:rFonts w:hint="eastAsia" w:ascii="宋体" w:hAnsi="宋体" w:eastAsia="宋体" w:cs="宋体"/>
                <w:color w:val="auto"/>
                <w:kern w:val="0"/>
                <w:highlight w:val="none"/>
                <w:lang w:bidi="ar"/>
              </w:rPr>
              <w:t>330</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eastAsia="zh-CN" w:bidi="ar"/>
              </w:rPr>
              <w:t>宽</w:t>
            </w:r>
            <w:r>
              <w:rPr>
                <w:rFonts w:hint="eastAsia" w:ascii="宋体" w:hAnsi="宋体" w:eastAsia="宋体" w:cs="宋体"/>
                <w:color w:val="auto"/>
                <w:kern w:val="0"/>
                <w:highlight w:val="none"/>
                <w:lang w:bidi="ar"/>
              </w:rPr>
              <w:t>900</w:t>
            </w:r>
            <w:r>
              <w:rPr>
                <w:rFonts w:hint="eastAsia" w:ascii="宋体" w:hAnsi="宋体" w:eastAsia="宋体" w:cs="宋体"/>
                <w:color w:val="auto"/>
                <w:kern w:val="0"/>
                <w:highlight w:val="none"/>
                <w:lang w:val="en-US" w:eastAsia="zh-CN" w:bidi="ar"/>
              </w:rPr>
              <w:t>mm，高：</w:t>
            </w:r>
            <w:r>
              <w:rPr>
                <w:rFonts w:hint="eastAsia" w:ascii="宋体" w:hAnsi="宋体" w:eastAsia="宋体" w:cs="宋体"/>
                <w:color w:val="auto"/>
                <w:kern w:val="0"/>
                <w:highlight w:val="none"/>
                <w:lang w:bidi="ar"/>
              </w:rPr>
              <w:t>1800mm</w:t>
            </w:r>
          </w:p>
          <w:p>
            <w:pPr>
              <w:widowControl/>
              <w:ind w:firstLine="0" w:firstLineChars="0"/>
              <w:jc w:val="left"/>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材质说明：钢架主管采用40*20*1.2</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bidi="ar"/>
              </w:rPr>
              <w:t>方管,其它采用25*25*1.2</w:t>
            </w:r>
            <w:r>
              <w:rPr>
                <w:rFonts w:hint="eastAsia" w:ascii="宋体" w:hAnsi="宋体" w:eastAsia="宋体" w:cs="宋体"/>
                <w:color w:val="auto"/>
                <w:kern w:val="0"/>
                <w:highlight w:val="none"/>
                <w:lang w:val="en-US" w:eastAsia="zh-CN" w:bidi="ar"/>
              </w:rPr>
              <w:t>mm</w:t>
            </w:r>
            <w:r>
              <w:rPr>
                <w:rFonts w:hint="eastAsia" w:ascii="宋体" w:hAnsi="宋体" w:eastAsia="宋体" w:cs="宋体"/>
                <w:color w:val="auto"/>
                <w:kern w:val="0"/>
                <w:highlight w:val="none"/>
                <w:lang w:bidi="ar"/>
              </w:rPr>
              <w:t>方管。</w:t>
            </w:r>
            <w:r>
              <w:rPr>
                <w:rFonts w:hint="eastAsia" w:ascii="宋体" w:hAnsi="宋体" w:eastAsia="宋体" w:cs="宋体"/>
                <w:color w:val="auto"/>
                <w:kern w:val="0"/>
                <w:highlight w:val="none"/>
                <w:lang w:val="zh-CN" w:bidi="ar"/>
              </w:rPr>
              <w:t>所有焊接均采用二氧化碳气体保护焊，表面经抛丸打磨后静电喷塑。</w:t>
            </w:r>
            <w:r>
              <w:rPr>
                <w:rFonts w:hint="eastAsia" w:ascii="宋体" w:hAnsi="宋体" w:eastAsia="宋体" w:cs="宋体"/>
                <w:color w:val="auto"/>
                <w:kern w:val="0"/>
                <w:highlight w:val="none"/>
                <w:lang w:bidi="ar"/>
              </w:rPr>
              <w:t>喷塑表面光亮平整，无颗粒渣点，颜色均匀。符合国家环保要求。每层方管在6根及以上。(公寓寝室特殊房间</w:t>
            </w:r>
            <w:r>
              <w:rPr>
                <w:rFonts w:hint="eastAsia" w:ascii="宋体" w:hAnsi="宋体" w:eastAsia="宋体" w:cs="宋体"/>
                <w:color w:val="auto"/>
                <w:kern w:val="0"/>
                <w:highlight w:val="none"/>
                <w:lang w:eastAsia="zh-CN" w:bidi="ar"/>
              </w:rPr>
              <w:t>按现场尺寸定做，制作方案需学校认可。</w:t>
            </w:r>
            <w:r>
              <w:rPr>
                <w:rFonts w:hint="eastAsia" w:ascii="宋体" w:hAnsi="宋体" w:eastAsia="宋体" w:cs="宋体"/>
                <w:color w:val="auto"/>
                <w:kern w:val="0"/>
                <w:highlight w:val="none"/>
                <w:lang w:bidi="ar"/>
              </w:rPr>
              <w:t>)</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281</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kern w:val="0"/>
                <w:highlight w:val="none"/>
                <w:lang w:bidi="ar"/>
              </w:rPr>
              <w:t>个</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34035" cy="1455420"/>
                  <wp:effectExtent l="0" t="0" r="1841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34035" cy="1455420"/>
                          </a:xfrm>
                          <a:prstGeom prst="rect">
                            <a:avLst/>
                          </a:prstGeom>
                          <a:noFill/>
                          <a:ln>
                            <a:noFill/>
                          </a:ln>
                        </pic:spPr>
                      </pic:pic>
                    </a:graphicData>
                  </a:graphic>
                </wp:inline>
              </w:drawing>
            </w:r>
          </w:p>
          <w:p>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066800" cy="629920"/>
                  <wp:effectExtent l="0" t="0" r="0" b="1778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4"/>
                          <a:stretch>
                            <a:fillRect/>
                          </a:stretch>
                        </pic:blipFill>
                        <pic:spPr>
                          <a:xfrm>
                            <a:off x="0" y="0"/>
                            <a:ext cx="1066800" cy="62992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4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6</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双层转角</w:t>
            </w:r>
          </w:p>
          <w:p>
            <w:pPr>
              <w:widowControl/>
              <w:ind w:firstLine="0" w:firstLineChars="0"/>
              <w:jc w:val="center"/>
              <w:textAlignment w:val="bottom"/>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置物架</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规格：</w:t>
            </w:r>
            <w:r>
              <w:rPr>
                <w:rFonts w:hint="eastAsia" w:ascii="宋体" w:hAnsi="宋体" w:eastAsia="宋体" w:cs="宋体"/>
                <w:color w:val="auto"/>
                <w:kern w:val="0"/>
                <w:highlight w:val="none"/>
                <w:lang w:eastAsia="zh-CN" w:bidi="ar"/>
              </w:rPr>
              <w:t>两边各长：</w:t>
            </w:r>
            <w:r>
              <w:rPr>
                <w:rFonts w:hint="eastAsia" w:ascii="宋体" w:hAnsi="宋体" w:eastAsia="宋体" w:cs="宋体"/>
                <w:color w:val="auto"/>
                <w:kern w:val="0"/>
                <w:highlight w:val="none"/>
                <w:lang w:bidi="ar"/>
              </w:rPr>
              <w:t>200</w:t>
            </w:r>
            <w:r>
              <w:rPr>
                <w:rFonts w:hint="eastAsia" w:ascii="宋体" w:hAnsi="宋体" w:eastAsia="宋体" w:cs="宋体"/>
                <w:color w:val="auto"/>
                <w:kern w:val="0"/>
                <w:highlight w:val="none"/>
                <w:lang w:val="en-US" w:eastAsia="zh-CN" w:bidi="ar"/>
              </w:rPr>
              <w:t>cm，</w:t>
            </w:r>
            <w:r>
              <w:rPr>
                <w:rFonts w:hint="eastAsia" w:ascii="宋体" w:hAnsi="宋体" w:eastAsia="宋体" w:cs="宋体"/>
                <w:color w:val="auto"/>
                <w:kern w:val="0"/>
                <w:highlight w:val="none"/>
                <w:lang w:eastAsia="zh-CN" w:bidi="ar"/>
              </w:rPr>
              <w:t>高：</w:t>
            </w:r>
            <w:r>
              <w:rPr>
                <w:rFonts w:hint="eastAsia" w:ascii="宋体" w:hAnsi="宋体" w:eastAsia="宋体" w:cs="宋体"/>
                <w:color w:val="auto"/>
                <w:kern w:val="0"/>
                <w:highlight w:val="none"/>
                <w:lang w:bidi="ar"/>
              </w:rPr>
              <w:t>300mm</w:t>
            </w:r>
          </w:p>
          <w:p>
            <w:pPr>
              <w:widowControl/>
              <w:ind w:firstLine="0" w:firstLineChars="0"/>
              <w:jc w:val="left"/>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材质说明：采用同品质304不锈钢及以上材料制做，主框架材料厚度≥1.2mm。</w:t>
            </w:r>
            <w:r>
              <w:rPr>
                <w:rFonts w:hint="eastAsia" w:ascii="宋体" w:hAnsi="宋体" w:eastAsia="宋体" w:cs="宋体"/>
                <w:color w:val="auto"/>
                <w:kern w:val="0"/>
                <w:highlight w:val="none"/>
                <w:lang w:val="zh-CN" w:bidi="ar"/>
              </w:rPr>
              <w:t>所有焊接均采用二氧化碳气体保护焊，表面经抛丸打磨后静电喷塑。</w:t>
            </w:r>
            <w:r>
              <w:rPr>
                <w:rFonts w:hint="eastAsia" w:ascii="宋体" w:hAnsi="宋体" w:eastAsia="宋体" w:cs="宋体"/>
                <w:color w:val="auto"/>
                <w:kern w:val="0"/>
                <w:highlight w:val="none"/>
                <w:lang w:bidi="ar"/>
              </w:rPr>
              <w:t>喷塑表面光亮平整，无颗粒渣点，颜色均匀。</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1475</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个</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bdr w:val="single" w:color="000000" w:sz="4" w:space="0"/>
                <w:lang w:bidi="ar"/>
              </w:rPr>
            </w:pPr>
            <w:r>
              <w:rPr>
                <w:rFonts w:hint="eastAsia" w:ascii="宋体" w:hAnsi="宋体" w:eastAsia="宋体" w:cs="宋体"/>
                <w:color w:val="auto"/>
                <w:highlight w:val="none"/>
              </w:rPr>
              <w:drawing>
                <wp:inline distT="0" distB="0" distL="114300" distR="114300">
                  <wp:extent cx="1084580" cy="1010285"/>
                  <wp:effectExtent l="0" t="0" r="1270" b="18415"/>
                  <wp:docPr id="7" name="图片 7" descr="1231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2312412"/>
                          <pic:cNvPicPr>
                            <a:picLocks noChangeAspect="1"/>
                          </pic:cNvPicPr>
                        </pic:nvPicPr>
                        <pic:blipFill>
                          <a:blip r:embed="rId15"/>
                          <a:stretch>
                            <a:fillRect/>
                          </a:stretch>
                        </pic:blipFill>
                        <pic:spPr>
                          <a:xfrm>
                            <a:off x="0" y="0"/>
                            <a:ext cx="1084580" cy="10102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2490" w:hRule="atLeast"/>
          <w:jc w:val="center"/>
        </w:trPr>
        <w:tc>
          <w:tcPr>
            <w:tcW w:w="8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7</w:t>
            </w:r>
          </w:p>
        </w:tc>
        <w:tc>
          <w:tcPr>
            <w:tcW w:w="1686"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bottom"/>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衣叉</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hint="eastAsia" w:ascii="宋体" w:hAnsi="宋体" w:eastAsia="宋体" w:cs="宋体"/>
                <w:color w:val="auto"/>
                <w:kern w:val="0"/>
                <w:highlight w:val="none"/>
                <w:lang w:eastAsia="zh-CN" w:bidi="ar"/>
              </w:rPr>
            </w:pPr>
            <w:r>
              <w:rPr>
                <w:rFonts w:hint="eastAsia" w:ascii="宋体" w:hAnsi="宋体" w:eastAsia="宋体" w:cs="宋体"/>
                <w:color w:val="auto"/>
                <w:kern w:val="0"/>
                <w:highlight w:val="none"/>
                <w:lang w:bidi="ar"/>
              </w:rPr>
              <w:t>规格：长度158CM及以上；主材</w:t>
            </w:r>
            <w:r>
              <w:rPr>
                <w:rFonts w:hint="eastAsia" w:ascii="宋体" w:hAnsi="宋体" w:eastAsia="宋体" w:cs="宋体"/>
                <w:color w:val="auto"/>
                <w:kern w:val="0"/>
                <w:highlight w:val="none"/>
                <w:lang w:eastAsia="zh-CN" w:bidi="ar"/>
              </w:rPr>
              <w:t>、衣叉勾及辅材均采用</w:t>
            </w:r>
            <w:r>
              <w:rPr>
                <w:rFonts w:hint="eastAsia" w:ascii="宋体" w:hAnsi="宋体" w:eastAsia="宋体" w:cs="宋体"/>
                <w:color w:val="auto"/>
                <w:kern w:val="0"/>
                <w:highlight w:val="none"/>
                <w:lang w:bidi="ar"/>
              </w:rPr>
              <w:t>304不锈钢，</w:t>
            </w:r>
            <w:r>
              <w:rPr>
                <w:rFonts w:hint="eastAsia" w:ascii="宋体" w:hAnsi="宋体" w:eastAsia="宋体" w:cs="宋体"/>
                <w:color w:val="auto"/>
                <w:kern w:val="0"/>
                <w:highlight w:val="none"/>
                <w:lang w:eastAsia="zh-CN" w:bidi="ar"/>
              </w:rPr>
              <w:t>厚度</w:t>
            </w:r>
            <w:r>
              <w:rPr>
                <w:rFonts w:hint="eastAsia" w:ascii="宋体" w:hAnsi="宋体" w:eastAsia="宋体" w:cs="宋体"/>
                <w:color w:val="auto"/>
                <w:kern w:val="0"/>
                <w:highlight w:val="none"/>
                <w:lang w:bidi="ar"/>
              </w:rPr>
              <w:t>≥1.2mm材料制</w:t>
            </w:r>
            <w:r>
              <w:rPr>
                <w:rFonts w:hint="eastAsia" w:ascii="宋体" w:hAnsi="宋体" w:eastAsia="宋体" w:cs="宋体"/>
                <w:color w:val="auto"/>
                <w:kern w:val="0"/>
                <w:highlight w:val="none"/>
                <w:lang w:eastAsia="zh-CN" w:bidi="ar"/>
              </w:rPr>
              <w:t>作。</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1475</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kern w:val="0"/>
                <w:highlight w:val="none"/>
                <w:lang w:bidi="ar"/>
              </w:rPr>
            </w:pPr>
            <w:r>
              <w:rPr>
                <w:rFonts w:hint="eastAsia" w:ascii="宋体" w:hAnsi="宋体" w:eastAsia="宋体" w:cs="宋体"/>
                <w:color w:val="auto"/>
                <w:kern w:val="0"/>
                <w:highlight w:val="none"/>
                <w:lang w:bidi="ar"/>
              </w:rPr>
              <w:t>支</w:t>
            </w:r>
          </w:p>
        </w:tc>
        <w:tc>
          <w:tcPr>
            <w:tcW w:w="293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1726565" cy="1261110"/>
                  <wp:effectExtent l="0" t="0" r="6985" b="1524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6"/>
                          <a:stretch>
                            <a:fillRect/>
                          </a:stretch>
                        </pic:blipFill>
                        <pic:spPr>
                          <a:xfrm>
                            <a:off x="0" y="0"/>
                            <a:ext cx="1726565" cy="1261110"/>
                          </a:xfrm>
                          <a:prstGeom prst="rect">
                            <a:avLst/>
                          </a:prstGeom>
                          <a:noFill/>
                          <a:ln>
                            <a:noFill/>
                          </a:ln>
                        </pic:spPr>
                      </pic:pic>
                    </a:graphicData>
                  </a:graphic>
                </wp:inline>
              </w:drawing>
            </w:r>
          </w:p>
        </w:tc>
      </w:tr>
    </w:tbl>
    <w:p>
      <w:pPr>
        <w:pStyle w:val="2"/>
        <w:ind w:firstLine="240" w:firstLineChars="100"/>
        <w:rPr>
          <w:rFonts w:hint="eastAsia" w:ascii="宋体" w:hAnsi="宋体" w:eastAsia="宋体" w:cs="宋体"/>
          <w:color w:val="auto"/>
          <w:highlight w:val="none"/>
          <w:lang w:eastAsia="zh-CN"/>
        </w:rPr>
      </w:pPr>
    </w:p>
    <w:p>
      <w:pPr>
        <w:pStyle w:val="2"/>
        <w:ind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注：</w:t>
      </w:r>
      <w:r>
        <w:rPr>
          <w:rFonts w:hint="eastAsia" w:ascii="宋体" w:hAnsi="宋体" w:eastAsia="宋体" w:cs="宋体"/>
          <w:color w:val="auto"/>
          <w:highlight w:val="none"/>
          <w:lang w:val="en-US" w:eastAsia="zh-CN"/>
        </w:rPr>
        <w:t>1.所有安装都需钻孔安装、在安装过程中要做好磁砖及墙面的保护，如有损坏，由施工方全权负责修复及复原；</w:t>
      </w:r>
    </w:p>
    <w:p>
      <w:pPr>
        <w:pStyle w:val="2"/>
        <w:numPr>
          <w:ilvl w:val="0"/>
          <w:numId w:val="0"/>
        </w:numPr>
        <w:ind w:left="720"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2.施工完成后要及时做好垃圾清理的工作；</w:t>
      </w:r>
    </w:p>
    <w:p>
      <w:pPr>
        <w:pStyle w:val="2"/>
        <w:numPr>
          <w:ilvl w:val="0"/>
          <w:numId w:val="0"/>
        </w:numPr>
        <w:ind w:left="720" w:leftChar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3.上述涉及所产生的费用均包含在投标总价之内。</w:t>
      </w:r>
    </w:p>
    <w:p>
      <w:pPr>
        <w:pStyle w:val="2"/>
        <w:rPr>
          <w:rFonts w:hint="eastAsia" w:ascii="宋体" w:hAnsi="宋体" w:eastAsia="宋体" w:cs="宋体"/>
          <w:color w:val="auto"/>
          <w:highlight w:val="none"/>
          <w:lang w:val="en-US" w:eastAsia="zh-CN"/>
        </w:rPr>
        <w:sectPr>
          <w:pgSz w:w="16840" w:h="11907" w:orient="landscape"/>
          <w:pgMar w:top="1304" w:right="1247" w:bottom="1304" w:left="1021" w:header="720" w:footer="720" w:gutter="0"/>
          <w:cols w:space="720" w:num="1"/>
          <w:docGrid w:linePitch="326" w:charSpace="0"/>
        </w:sectPr>
      </w:pPr>
    </w:p>
    <w:p>
      <w:pPr>
        <w:pStyle w:val="5"/>
        <w:rPr>
          <w:rFonts w:hint="eastAsia" w:ascii="宋体" w:hAnsi="宋体" w:eastAsia="宋体" w:cs="宋体"/>
          <w:color w:val="auto"/>
          <w:highlight w:val="none"/>
        </w:rPr>
      </w:pPr>
      <w:bookmarkStart w:id="4" w:name="_Toc450840086"/>
      <w:bookmarkStart w:id="5" w:name="_Toc23621"/>
      <w:r>
        <w:rPr>
          <w:rFonts w:hint="eastAsia" w:ascii="宋体" w:hAnsi="宋体" w:eastAsia="宋体" w:cs="宋体"/>
          <w:color w:val="auto"/>
          <w:highlight w:val="none"/>
        </w:rPr>
        <w:t>（三）样品要求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1.本项目投标时要求提供以下样品，共计</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件：</w:t>
      </w:r>
    </w:p>
    <w:tbl>
      <w:tblPr>
        <w:tblStyle w:val="8"/>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33"/>
        <w:gridCol w:w="4567"/>
        <w:gridCol w:w="73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序号</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物品名称</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规格</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数量</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highlight w:val="none"/>
              </w:rPr>
            </w:pPr>
            <w:r>
              <w:rPr>
                <w:rFonts w:hint="eastAsia" w:ascii="宋体" w:hAnsi="宋体" w:cs="宋体"/>
                <w:color w:val="auto"/>
                <w:kern w:val="0"/>
                <w:highlight w:val="none"/>
                <w:lang w:bidi="ar"/>
              </w:rPr>
              <w:t>四人毛巾架</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规格：长：290mm，宽：30mm</w:t>
            </w:r>
          </w:p>
          <w:p>
            <w:pPr>
              <w:widowControl/>
              <w:ind w:firstLine="0" w:firstLineChars="0"/>
              <w:jc w:val="left"/>
              <w:textAlignment w:val="center"/>
              <w:rPr>
                <w:rFonts w:hint="eastAsia" w:ascii="宋体" w:hAnsi="宋体" w:cs="宋体"/>
                <w:b/>
                <w:color w:val="auto"/>
                <w:highlight w:val="none"/>
              </w:rPr>
            </w:pPr>
            <w:r>
              <w:rPr>
                <w:rFonts w:hint="eastAsia" w:ascii="宋体" w:hAnsi="宋体" w:cs="宋体"/>
                <w:color w:val="auto"/>
                <w:kern w:val="0"/>
                <w:highlight w:val="none"/>
                <w:lang w:bidi="ar"/>
              </w:rPr>
              <w:t>材质说明：采用同品质304不锈钢及以上材料制做，厚度≥1.2mm。挂钩规格：直径≥6mm，高≥50mm，宽≥43mm，挂钩4个。</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完整的一个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2"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2</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highlight w:val="none"/>
              </w:rPr>
            </w:pPr>
            <w:r>
              <w:rPr>
                <w:rFonts w:hint="eastAsia" w:ascii="宋体" w:hAnsi="宋体" w:cs="宋体"/>
                <w:color w:val="auto"/>
                <w:kern w:val="0"/>
                <w:highlight w:val="none"/>
                <w:lang w:bidi="ar"/>
              </w:rPr>
              <w:t>晒衣杆</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规格：长：2100mm,宽：215mm材质说明：水平主管和竖向固定副管均采用直径22mm，厚度1.2mm不锈钢管制作，竖向副管与墙面固定圆盘直径≥75mm，厚度≥2mm，均匀分布三孔，三个孔采用6mm不锈钢膨胀螺丝固定。主管与副管，副管与固定圆盘均采用焊接（满焊）方式连接。每套包含两根晾衣杆。</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完整一根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699" w:type="dxa"/>
            <w:vMerge w:val="restart"/>
            <w:tcBorders>
              <w:top w:val="single" w:color="auto" w:sz="4" w:space="0"/>
              <w:left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3</w:t>
            </w:r>
          </w:p>
        </w:tc>
        <w:tc>
          <w:tcPr>
            <w:tcW w:w="1333" w:type="dxa"/>
            <w:vMerge w:val="restart"/>
            <w:tcBorders>
              <w:top w:val="single" w:color="auto" w:sz="4" w:space="0"/>
              <w:left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highlight w:val="none"/>
              </w:rPr>
            </w:pPr>
            <w:r>
              <w:rPr>
                <w:rFonts w:hint="eastAsia" w:ascii="宋体" w:hAnsi="宋体" w:cs="宋体"/>
                <w:color w:val="auto"/>
                <w:kern w:val="0"/>
                <w:highlight w:val="none"/>
                <w:lang w:bidi="ar"/>
              </w:rPr>
              <w:t>行李架</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单根毛坯钢管（不上漆）20cm长；</w:t>
            </w:r>
          </w:p>
        </w:tc>
        <w:tc>
          <w:tcPr>
            <w:tcW w:w="733" w:type="dxa"/>
            <w:tcBorders>
              <w:top w:val="single" w:color="auto" w:sz="4" w:space="0"/>
              <w:left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183" w:type="dxa"/>
            <w:tcBorders>
              <w:top w:val="single" w:color="auto" w:sz="4" w:space="0"/>
              <w:left w:val="single" w:color="auto" w:sz="4" w:space="0"/>
              <w:right w:val="single" w:color="auto" w:sz="4" w:space="0"/>
            </w:tcBorders>
            <w:noWrap w:val="0"/>
            <w:vAlign w:val="center"/>
          </w:tcPr>
          <w:p>
            <w:pPr>
              <w:widowControl/>
              <w:spacing w:before="100" w:beforeAutospacing="1"/>
              <w:ind w:left="0" w:leftChars="0" w:right="0" w:rightChars="0" w:firstLine="0" w:firstLineChars="0"/>
              <w:jc w:val="center"/>
              <w:rPr>
                <w:rFonts w:hint="eastAsia" w:ascii="宋体" w:hAnsi="宋体" w:cs="宋体"/>
                <w:b/>
                <w:color w:val="auto"/>
                <w:highlight w:val="none"/>
              </w:rPr>
            </w:pPr>
            <w:r>
              <w:rPr>
                <w:rFonts w:hint="eastAsia" w:ascii="宋体" w:hAnsi="宋体" w:cs="宋体"/>
                <w:b/>
                <w:color w:val="auto"/>
                <w:highlight w:val="none"/>
              </w:rPr>
              <w:t>一根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699" w:type="dxa"/>
            <w:vMerge w:val="continue"/>
            <w:tcBorders>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p>
        </w:tc>
        <w:tc>
          <w:tcPr>
            <w:tcW w:w="1333" w:type="dxa"/>
            <w:vMerge w:val="continue"/>
            <w:tcBorders>
              <w:left w:val="single" w:color="auto" w:sz="4" w:space="0"/>
              <w:bottom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kern w:val="0"/>
                <w:highlight w:val="none"/>
                <w:lang w:bidi="ar"/>
              </w:rPr>
            </w:pPr>
          </w:p>
        </w:tc>
        <w:tc>
          <w:tcPr>
            <w:tcW w:w="4567" w:type="dxa"/>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宋体" w:hAnsi="宋体" w:eastAsia="宋体" w:cs="宋体"/>
                <w:color w:val="auto"/>
                <w:highlight w:val="none"/>
              </w:rPr>
            </w:pPr>
            <w:r>
              <w:rPr>
                <w:rFonts w:hint="eastAsia" w:ascii="宋体" w:hAnsi="宋体" w:eastAsia="宋体" w:cs="宋体"/>
                <w:color w:val="auto"/>
                <w:highlight w:val="none"/>
              </w:rPr>
              <w:t>四人架成品2层，净高60cm</w:t>
            </w:r>
          </w:p>
        </w:tc>
        <w:tc>
          <w:tcPr>
            <w:tcW w:w="733" w:type="dxa"/>
            <w:tcBorders>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color w:val="auto"/>
                <w:highlight w:val="none"/>
              </w:rPr>
            </w:pPr>
            <w:r>
              <w:rPr>
                <w:rFonts w:hint="eastAsia" w:ascii="宋体" w:hAnsi="宋体" w:cs="宋体"/>
                <w:color w:val="auto"/>
                <w:highlight w:val="none"/>
              </w:rPr>
              <w:t>1</w:t>
            </w:r>
          </w:p>
        </w:tc>
        <w:tc>
          <w:tcPr>
            <w:tcW w:w="2183" w:type="dxa"/>
            <w:tcBorders>
              <w:left w:val="single" w:color="auto" w:sz="4" w:space="0"/>
              <w:bottom w:val="single" w:color="auto" w:sz="4" w:space="0"/>
              <w:right w:val="single" w:color="auto" w:sz="4" w:space="0"/>
            </w:tcBorders>
            <w:noWrap w:val="0"/>
            <w:vAlign w:val="center"/>
          </w:tcPr>
          <w:p>
            <w:pPr>
              <w:widowControl/>
              <w:spacing w:before="100" w:beforeAutospacing="1"/>
              <w:ind w:left="0" w:leftChars="0" w:right="0" w:rightChars="0" w:firstLine="0" w:firstLineChars="0"/>
              <w:jc w:val="center"/>
              <w:rPr>
                <w:rFonts w:hint="eastAsia" w:ascii="宋体" w:hAnsi="宋体" w:cs="宋体"/>
                <w:b/>
                <w:color w:val="auto"/>
                <w:highlight w:val="none"/>
              </w:rPr>
            </w:pPr>
            <w:r>
              <w:rPr>
                <w:rFonts w:hint="eastAsia" w:ascii="宋体" w:hAnsi="宋体" w:cs="宋体"/>
                <w:b/>
                <w:color w:val="auto"/>
                <w:highlight w:val="none"/>
              </w:rPr>
              <w:t>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4</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kern w:val="0"/>
                <w:highlight w:val="none"/>
                <w:lang w:bidi="ar"/>
              </w:rPr>
            </w:pPr>
            <w:r>
              <w:rPr>
                <w:rFonts w:hint="eastAsia" w:ascii="宋体" w:hAnsi="宋体" w:cs="宋体"/>
                <w:color w:val="auto"/>
                <w:kern w:val="0"/>
                <w:highlight w:val="none"/>
                <w:lang w:bidi="ar"/>
              </w:rPr>
              <w:t>双层转角</w:t>
            </w:r>
          </w:p>
          <w:p>
            <w:pPr>
              <w:widowControl/>
              <w:ind w:firstLine="0" w:firstLineChars="0"/>
              <w:jc w:val="center"/>
              <w:textAlignment w:val="bottom"/>
              <w:rPr>
                <w:rFonts w:hint="eastAsia" w:ascii="宋体" w:hAnsi="宋体" w:cs="宋体"/>
                <w:color w:val="auto"/>
                <w:kern w:val="0"/>
                <w:highlight w:val="none"/>
                <w:lang w:bidi="ar"/>
              </w:rPr>
            </w:pPr>
            <w:r>
              <w:rPr>
                <w:rFonts w:hint="eastAsia" w:ascii="宋体" w:hAnsi="宋体" w:cs="宋体"/>
                <w:color w:val="auto"/>
                <w:kern w:val="0"/>
                <w:highlight w:val="none"/>
                <w:lang w:bidi="ar"/>
              </w:rPr>
              <w:t>置物架</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left"/>
              <w:textAlignment w:val="center"/>
              <w:rPr>
                <w:rFonts w:hint="eastAsia" w:ascii="宋体" w:hAnsi="宋体" w:cs="宋体"/>
                <w:color w:val="auto"/>
                <w:kern w:val="0"/>
                <w:highlight w:val="none"/>
                <w:lang w:bidi="ar"/>
              </w:rPr>
            </w:pPr>
            <w:r>
              <w:rPr>
                <w:rFonts w:hint="eastAsia" w:ascii="宋体" w:hAnsi="宋体" w:cs="宋体"/>
                <w:color w:val="auto"/>
                <w:kern w:val="0"/>
                <w:highlight w:val="none"/>
                <w:lang w:bidi="ar"/>
              </w:rPr>
              <w:t>规格：两边各长：200cm，高：300mm；</w:t>
            </w:r>
          </w:p>
          <w:p>
            <w:pPr>
              <w:widowControl/>
              <w:ind w:firstLine="0" w:firstLineChars="0"/>
              <w:jc w:val="left"/>
              <w:textAlignment w:val="center"/>
              <w:rPr>
                <w:rFonts w:hint="eastAsia" w:ascii="宋体" w:hAnsi="宋体" w:cs="宋体"/>
                <w:b/>
                <w:color w:val="auto"/>
                <w:highlight w:val="none"/>
              </w:rPr>
            </w:pPr>
            <w:r>
              <w:rPr>
                <w:rFonts w:hint="eastAsia" w:ascii="宋体" w:hAnsi="宋体" w:cs="宋体"/>
                <w:color w:val="auto"/>
                <w:kern w:val="0"/>
                <w:highlight w:val="none"/>
                <w:lang w:bidi="ar"/>
              </w:rPr>
              <w:t>材质说明：采用同品质304不锈钢及以上材料制做，主框架材料厚度≥1.2mm。</w:t>
            </w:r>
            <w:r>
              <w:rPr>
                <w:rFonts w:hint="eastAsia" w:ascii="宋体" w:hAnsi="宋体" w:cs="宋体"/>
                <w:color w:val="auto"/>
                <w:kern w:val="0"/>
                <w:highlight w:val="none"/>
                <w:lang w:val="zh-CN" w:bidi="ar"/>
              </w:rPr>
              <w:t>所有焊接均采用二氧化碳气体保护焊，表面经抛丸打磨后静电喷塑。</w:t>
            </w:r>
            <w:r>
              <w:rPr>
                <w:rFonts w:hint="eastAsia" w:ascii="宋体" w:hAnsi="宋体" w:cs="宋体"/>
                <w:color w:val="auto"/>
                <w:kern w:val="0"/>
                <w:highlight w:val="none"/>
                <w:lang w:bidi="ar"/>
              </w:rPr>
              <w:t>喷塑表面光亮平整，无颗粒渣点，颜色均匀。</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left"/>
              <w:rPr>
                <w:rFonts w:hint="eastAsia" w:ascii="宋体" w:hAnsi="宋体" w:cs="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trPr>
        <w:tc>
          <w:tcPr>
            <w:tcW w:w="699"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5</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textAlignment w:val="bottom"/>
              <w:rPr>
                <w:rFonts w:hint="eastAsia" w:ascii="宋体" w:hAnsi="宋体" w:cs="宋体"/>
                <w:color w:val="auto"/>
                <w:kern w:val="0"/>
                <w:highlight w:val="none"/>
                <w:lang w:bidi="ar"/>
              </w:rPr>
            </w:pPr>
            <w:r>
              <w:rPr>
                <w:rFonts w:hint="eastAsia" w:ascii="宋体" w:hAnsi="宋体" w:cs="宋体"/>
                <w:color w:val="auto"/>
                <w:kern w:val="0"/>
                <w:highlight w:val="none"/>
                <w:lang w:bidi="ar"/>
              </w:rPr>
              <w:t>衣叉</w:t>
            </w:r>
          </w:p>
        </w:tc>
        <w:tc>
          <w:tcPr>
            <w:tcW w:w="4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rPr>
                <w:rFonts w:hint="eastAsia" w:ascii="宋体" w:hAnsi="宋体" w:cs="宋体"/>
                <w:b/>
                <w:color w:val="auto"/>
                <w:highlight w:val="none"/>
              </w:rPr>
            </w:pPr>
            <w:r>
              <w:rPr>
                <w:rFonts w:hint="eastAsia" w:ascii="宋体" w:hAnsi="宋体" w:cs="宋体"/>
                <w:color w:val="auto"/>
                <w:kern w:val="0"/>
                <w:highlight w:val="none"/>
                <w:lang w:bidi="ar"/>
              </w:rPr>
              <w:t>长度158CM及以上；主材304不锈钢，厚度≥1.2mm材料制作。</w:t>
            </w:r>
          </w:p>
        </w:tc>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1</w:t>
            </w:r>
          </w:p>
        </w:tc>
        <w:tc>
          <w:tcPr>
            <w:tcW w:w="2183"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ind w:firstLine="0" w:firstLineChars="0"/>
              <w:jc w:val="center"/>
              <w:rPr>
                <w:rFonts w:hint="eastAsia" w:ascii="宋体" w:hAnsi="宋体" w:cs="宋体"/>
                <w:b/>
                <w:color w:val="auto"/>
                <w:highlight w:val="none"/>
              </w:rPr>
            </w:pPr>
            <w:r>
              <w:rPr>
                <w:rFonts w:hint="eastAsia" w:ascii="宋体" w:hAnsi="宋体" w:cs="宋体"/>
                <w:b/>
                <w:color w:val="auto"/>
                <w:highlight w:val="none"/>
              </w:rPr>
              <w:t>完整的一根</w:t>
            </w: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2.样品递交截止时间为2019年</w:t>
      </w:r>
      <w:r>
        <w:rPr>
          <w:rFonts w:hint="eastAsia" w:ascii="宋体" w:hAnsi="宋体" w:eastAsia="宋体" w:cs="宋体"/>
          <w:color w:val="auto"/>
          <w:highlight w:val="none"/>
          <w:lang w:eastAsia="zh-CN"/>
        </w:rPr>
        <w:t>05月22日14:00</w:t>
      </w:r>
      <w:r>
        <w:rPr>
          <w:rFonts w:hint="eastAsia" w:ascii="宋体" w:hAnsi="宋体" w:eastAsia="宋体" w:cs="宋体"/>
          <w:color w:val="auto"/>
          <w:highlight w:val="none"/>
        </w:rPr>
        <w:t>，在截止时间前样品须全部安装（如需安装）并递交完毕，逾期送达将予以拒收，地点为：杭州市和达创意设计园4号楼308室。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3.中标供应商的样品将被封存作为货物验收的实物质量验收标准。未中标供应商的样品请供应商在中标结果公示结束后7日内自行取回，逾期将由采购人自行处理。</w:t>
      </w:r>
    </w:p>
    <w:p>
      <w:pPr>
        <w:ind w:firstLine="480"/>
        <w:rPr>
          <w:rFonts w:hint="eastAsia" w:ascii="宋体" w:hAnsi="宋体" w:eastAsia="宋体" w:cs="宋体"/>
          <w:snapToGrid w:val="0"/>
          <w:color w:val="auto"/>
          <w:kern w:val="0"/>
          <w:highlight w:val="none"/>
        </w:rPr>
      </w:pPr>
      <w:r>
        <w:rPr>
          <w:rFonts w:hint="eastAsia" w:ascii="宋体" w:hAnsi="宋体" w:eastAsia="宋体" w:cs="宋体"/>
          <w:color w:val="auto"/>
          <w:highlight w:val="none"/>
        </w:rPr>
        <w:t>4.</w:t>
      </w:r>
      <w:r>
        <w:rPr>
          <w:rFonts w:hint="eastAsia" w:ascii="宋体" w:hAnsi="宋体" w:eastAsia="宋体" w:cs="宋体"/>
          <w:snapToGrid w:val="0"/>
          <w:color w:val="auto"/>
          <w:kern w:val="0"/>
          <w:highlight w:val="none"/>
        </w:rPr>
        <w:t>样品在开标时与投标文件一并递交，样品上不得出现投标单位名称及标志。</w:t>
      </w: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sectPr>
          <w:pgSz w:w="11907" w:h="16840"/>
          <w:pgMar w:top="1247" w:right="1304" w:bottom="1021" w:left="1304" w:header="720" w:footer="720" w:gutter="0"/>
          <w:cols w:space="720" w:num="1"/>
          <w:docGrid w:linePitch="326" w:charSpace="0"/>
        </w:sectPr>
      </w:pPr>
    </w:p>
    <w:p>
      <w:pPr>
        <w:pStyle w:val="4"/>
        <w:rPr>
          <w:rFonts w:hint="eastAsia" w:ascii="宋体" w:hAnsi="宋体" w:eastAsia="宋体" w:cs="宋体"/>
          <w:color w:val="auto"/>
          <w:highlight w:val="none"/>
        </w:rPr>
      </w:pPr>
      <w:bookmarkStart w:id="6" w:name="_Toc18898"/>
      <w:r>
        <w:rPr>
          <w:rFonts w:hint="eastAsia" w:ascii="宋体" w:hAnsi="宋体" w:eastAsia="宋体" w:cs="宋体"/>
          <w:color w:val="auto"/>
          <w:highlight w:val="none"/>
        </w:rPr>
        <w:t>二、商务</w:t>
      </w:r>
      <w:bookmarkEnd w:id="4"/>
      <w:r>
        <w:rPr>
          <w:rFonts w:hint="eastAsia" w:ascii="宋体" w:hAnsi="宋体" w:eastAsia="宋体" w:cs="宋体"/>
          <w:color w:val="auto"/>
          <w:highlight w:val="none"/>
        </w:rPr>
        <w:t>要求</w:t>
      </w:r>
      <w:bookmarkEnd w:id="5"/>
      <w:bookmarkEnd w:id="6"/>
    </w:p>
    <w:p>
      <w:pPr>
        <w:pStyle w:val="5"/>
        <w:rPr>
          <w:rFonts w:hint="eastAsia" w:ascii="宋体" w:hAnsi="宋体" w:eastAsia="宋体" w:cs="宋体"/>
          <w:color w:val="auto"/>
          <w:highlight w:val="none"/>
        </w:rPr>
      </w:pPr>
      <w:bookmarkStart w:id="7" w:name="_Toc501022792"/>
      <w:bookmarkStart w:id="8" w:name="_Toc3405"/>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合同签订后</w:t>
      </w:r>
      <w:r>
        <w:rPr>
          <w:rFonts w:hint="eastAsia" w:ascii="宋体" w:hAnsi="宋体" w:eastAsia="宋体" w:cs="宋体"/>
          <w:color w:val="auto"/>
          <w:highlight w:val="none"/>
          <w:lang w:val="en-US" w:eastAsia="zh-CN"/>
        </w:rPr>
        <w:t>45天</w:t>
      </w:r>
      <w:r>
        <w:rPr>
          <w:rFonts w:hint="eastAsia" w:ascii="宋体" w:hAnsi="宋体" w:eastAsia="宋体" w:cs="宋体"/>
          <w:color w:val="auto"/>
          <w:highlight w:val="none"/>
        </w:rPr>
        <w:t>内完成供货、安装。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杭州职业技术学院指定地点。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年，自验收合格之日起计算，期间免费提供维保服务。</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color w:val="auto"/>
          <w:szCs w:val="32"/>
          <w:highlight w:val="none"/>
        </w:rPr>
      </w:pPr>
      <w:r>
        <w:rPr>
          <w:rFonts w:hint="eastAsia" w:ascii="宋体" w:hAnsi="宋体" w:eastAsia="宋体" w:cs="宋体"/>
          <w:snapToGrid w:val="0"/>
          <w:color w:val="auto"/>
          <w:kern w:val="0"/>
          <w:highlight w:val="none"/>
        </w:rPr>
        <w:t>合同签订时，中标供应商按合同总价的5％（四舍五入至千元）向采购人交纳履约保证金。履约保证金在质保期满无违约，20个工作日内无息退还。</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将委托相关检测机构在家具生产中的原材料进货、生产组装及成品安装等阶段中按一定比例向生产商抽取家具的某一部位进行质量、环保检测，其中抽检部分的破坏性检测造成的损失、抽检内容缺失部分的修补、制作费均包含在合同价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将有权按一定比例抽取已安装完成成品家具的某一部位送第三方权威检测机构进行环保或材质方面的检测,检测费用为设备总价的1.5%（最少不低于二万元，不足二万元的按二万元计），由中标人承担，应包含在投标总价中。所有家具成品及部件在环保方面必须符合室内装饰装修材料中有害物质限量(GB18584-2001)的要求和环境标志产品认证技术要求(HJ\T302-303-2006)，甲醛释放量数值要求小于或等于0.5mg/L；如中标人的产品达不到上述检测标准或要求，采购人将作退货处理，因此而造成的损失由中标人负责。对中标人未能按时提供符合采购人要求的产品而给采购人造成的损失，采购人有权向中标人进行索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3.验收前，中标方方应向采购方提供此次家具所用板材、胶水、油漆和配件等用材的质检报告、合格证和厂家出货证明等相关文件。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4.在产品安装完毕后，如出现产品和标书要求不一致、或和投标样品不一致等情况，则验收不合格。</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5.验收由需方负责，验收合格，由需方签署验收合格报告。</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1.合同货物出现故障后，中标人接到采购人通知后，供应商必须2小时内做出响应，24小时内到达用户现场维修。</w:t>
      </w:r>
      <w:r>
        <w:rPr>
          <w:rFonts w:hint="eastAsia" w:ascii="宋体" w:hAnsi="宋体" w:eastAsia="宋体" w:cs="宋体"/>
          <w:bCs/>
          <w:color w:val="auto"/>
          <w:szCs w:val="21"/>
          <w:highlight w:val="none"/>
        </w:rPr>
        <w:t>质保期外响应时间同质保期内，维修配件以出厂价更换，免收人工费</w:t>
      </w:r>
      <w:r>
        <w:rPr>
          <w:rFonts w:hint="eastAsia" w:ascii="宋体" w:hAnsi="宋体" w:eastAsia="宋体" w:cs="宋体"/>
          <w:color w:val="auto"/>
          <w:highlight w:val="none"/>
        </w:rPr>
        <w:t>。</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2.质保期内因不能排除的故障而影响工作的情况每发生一次，其质保期相应延长60天，质保期内</w:t>
      </w:r>
      <w:r>
        <w:rPr>
          <w:rFonts w:hint="eastAsia" w:ascii="宋体" w:hAnsi="宋体" w:eastAsia="宋体" w:cs="宋体"/>
          <w:color w:val="auto"/>
          <w:szCs w:val="21"/>
          <w:highlight w:val="none"/>
        </w:rPr>
        <w:t>如出现非人为因素造成的质量问题</w:t>
      </w:r>
      <w:r>
        <w:rPr>
          <w:rFonts w:hint="eastAsia" w:ascii="宋体" w:hAnsi="宋体" w:eastAsia="宋体" w:cs="宋体"/>
          <w:color w:val="auto"/>
          <w:highlight w:val="none"/>
        </w:rPr>
        <w:t>应由中标人免费予以维修或更换，否则将扣除质量保证金作为对采购人的补偿。</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（七）付款方式</w:t>
      </w:r>
      <w:bookmarkEnd w:id="7"/>
      <w:bookmarkEnd w:id="8"/>
    </w:p>
    <w:p>
      <w:pPr>
        <w:ind w:firstLine="480"/>
        <w:rPr>
          <w:rFonts w:hint="eastAsia" w:ascii="宋体" w:hAnsi="宋体" w:eastAsia="宋体" w:cs="宋体"/>
          <w:color w:val="auto"/>
          <w:szCs w:val="22"/>
          <w:highlight w:val="none"/>
        </w:rPr>
      </w:pPr>
      <w:r>
        <w:rPr>
          <w:rFonts w:hint="eastAsia" w:ascii="宋体" w:hAnsi="宋体" w:eastAsia="宋体" w:cs="宋体"/>
          <w:color w:val="auto"/>
          <w:szCs w:val="22"/>
          <w:highlight w:val="none"/>
        </w:rPr>
        <w:t>货到安装验收合格后,</w:t>
      </w:r>
      <w:r>
        <w:rPr>
          <w:rFonts w:hint="eastAsia" w:ascii="宋体" w:hAnsi="宋体" w:eastAsia="宋体" w:cs="宋体"/>
          <w:bCs/>
          <w:color w:val="auto"/>
          <w:szCs w:val="21"/>
          <w:highlight w:val="none"/>
        </w:rPr>
        <w:t>凭验收报告</w:t>
      </w:r>
      <w:r>
        <w:rPr>
          <w:rFonts w:hint="eastAsia" w:ascii="宋体" w:hAnsi="宋体" w:eastAsia="宋体" w:cs="宋体"/>
          <w:color w:val="auto"/>
          <w:szCs w:val="22"/>
          <w:highlight w:val="none"/>
        </w:rPr>
        <w:t>采购人向中标人支付合同总价100%的货款。</w:t>
      </w:r>
    </w:p>
    <w:p>
      <w:pPr>
        <w:pStyle w:val="5"/>
        <w:rPr>
          <w:rFonts w:hint="eastAsia" w:ascii="宋体" w:hAnsi="宋体" w:eastAsia="宋体" w:cs="宋体"/>
          <w:color w:val="auto"/>
          <w:highlight w:val="none"/>
        </w:rPr>
      </w:pPr>
      <w:bookmarkStart w:id="9" w:name="_Toc23976"/>
      <w:r>
        <w:rPr>
          <w:rFonts w:hint="eastAsia" w:ascii="宋体" w:hAnsi="宋体" w:eastAsia="宋体" w:cs="宋体"/>
          <w:color w:val="auto"/>
          <w:highlight w:val="none"/>
        </w:rPr>
        <w:t>（八）合同履行</w:t>
      </w:r>
      <w:bookmarkEnd w:id="9"/>
    </w:p>
    <w:p>
      <w:r>
        <w:rPr>
          <w:rFonts w:hint="eastAsia" w:ascii="宋体" w:hAnsi="宋体" w:eastAsia="宋体" w:cs="宋体"/>
          <w:color w:val="auto"/>
          <w:highlight w:val="none"/>
        </w:rPr>
        <w:t>必须由投标主体履行合同。</w:t>
      </w: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0"/>
        <w:tab w:val="clear" w:pos="4153"/>
      </w:tabs>
      <w:ind w:firstLine="4200" w:firstLineChars="2000"/>
      <w:rPr>
        <w:rFonts w:hint="eastAsia"/>
      </w:rPr>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v:imagedata o:title=""/>
              <o:lock v:ext="edit" aspectratio="f"/>
              <v:textbox inset="0mm,0mm,0mm,0mm" style="mso-fit-shape-to-text:t;">
                <w:txbxContent>
                  <w:p>
                    <w:pPr>
                      <w:pStyle w:val="6"/>
                      <w:ind w:firstLine="36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1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qFormat/>
    <w:uiPriority w:val="0"/>
    <w:pPr>
      <w:keepNext/>
      <w:keepLines/>
      <w:ind w:firstLine="0" w:firstLineChars="0"/>
      <w:jc w:val="left"/>
      <w:outlineLvl w:val="1"/>
    </w:pPr>
    <w:rPr>
      <w:rFonts w:ascii="Cambria" w:hAnsi="Cambria" w:eastAsia="宋体"/>
      <w:b/>
      <w:bCs/>
      <w:sz w:val="28"/>
      <w:szCs w:val="32"/>
    </w:rPr>
  </w:style>
  <w:style w:type="paragraph" w:styleId="5">
    <w:name w:val="heading 3"/>
    <w:basedOn w:val="1"/>
    <w:next w:val="1"/>
    <w:qFormat/>
    <w:uiPriority w:val="0"/>
    <w:pPr>
      <w:keepNext/>
      <w:keepLines/>
      <w:ind w:firstLine="0" w:firstLineChars="0"/>
      <w:outlineLvl w:val="2"/>
    </w:pPr>
    <w:rPr>
      <w:b/>
      <w:bCs/>
      <w:szCs w:val="32"/>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footer"/>
    <w:basedOn w:val="1"/>
    <w:unhideWhenUsed/>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file:///C:\Users\lenovo\AppData\Local\Temp\ksohtml\clip_image1033.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2019-04-28T09:38:05Z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