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32"/>
          <w:highlight w:val="none"/>
        </w:rPr>
        <w:t>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32"/>
          <w:highlight w:val="none"/>
        </w:rPr>
        <w:t>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32"/>
          <w:highlight w:val="none"/>
        </w:rPr>
        <w:t>所有货物、零部件均由具有生产制造资格的企业提供，并由成交供应商承担总责任。</w:t>
      </w:r>
    </w:p>
    <w:p>
      <w:pPr>
        <w:ind w:firstLine="480"/>
        <w:rPr>
          <w:rFonts w:hint="eastAsia"/>
          <w:color w:val="auto"/>
          <w:szCs w:val="40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★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>1.4 投标设备型号若为再制造产品（翻新机）型号，其投标将被拒绝。</w:t>
      </w:r>
    </w:p>
    <w:p>
      <w:pPr>
        <w:pStyle w:val="5"/>
        <w:numPr>
          <w:ilvl w:val="0"/>
          <w:numId w:val="1"/>
        </w:numPr>
        <w:rPr>
          <w:rFonts w:hint="eastAsia"/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具体技术要求</w:t>
      </w: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22"/>
        <w:gridCol w:w="6714"/>
        <w:gridCol w:w="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技术参数要求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太赫兹高频段探测器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XS-Fiber</w:t>
            </w:r>
            <w:r>
              <w:rPr>
                <w:rFonts w:ascii="宋体"/>
                <w:sz w:val="24"/>
                <w:szCs w:val="24"/>
                <w:highlight w:val="none"/>
              </w:rPr>
              <w:t>TDS-360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主要技术规格：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1）可探测频率范围0.1-4.5THz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2）可探测频率分辨率≤7.5GHz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3)全频段探测速率≥1Hz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4）动态范围≥70dB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5）测量方式：支持投射式、反射式测量（角度可任意调节，角度调节后不需要重新校准光路）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6）太赫兹激励光源1560nm/30mW/100MHz/65f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  <w:highlight w:val="none"/>
              </w:rPr>
              <w:t>s/2-port/FC-APC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7)光学延时扫描范围0-533ps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8）光学延时扫描定位精度+/-0.5um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9)光学延时扫描频率≥10Hz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10）配套软件功能：支持基线滤波、自动光谱识别、介电常数测量、厚度测量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11）采样数据开放性：向用户开放原始采样数据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ECD5"/>
    <w:multiLevelType w:val="singleLevel"/>
    <w:tmpl w:val="1025EC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309C"/>
    <w:rsid w:val="2518309C"/>
    <w:rsid w:val="301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2019-11-08T02:08:00Z</dcterms:created>
  <dc:creator>dell</dc:creator>
  <cp:lastModifiedBy>dell</cp:lastModifiedBy>
  <dcterms:modified xsi:type="dcterms:W3CDTF">2019-11-08T02:09:47Z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