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1、说明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1.1、本《招标文件》所提出的货物技术标准是基本的技术标准和使用功能，并未规定所有的技术要求和适用标准，供应商应提供一套满足所列标准要求的高质量的产品及相应服务。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1.2、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1.3、所有货物、零部件均由具有生产制造资格的企业提供，并由成交供应商承担总责任。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★</w:t>
      </w:r>
      <w:r>
        <w:rPr>
          <w:rFonts w:hint="eastAsia" w:ascii="宋体" w:hAnsi="宋体" w:cs="宋体"/>
          <w:color w:val="auto"/>
          <w:szCs w:val="32"/>
          <w:highlight w:val="none"/>
        </w:rPr>
        <w:t>1.4、投标设备型号若为再制造产品（翻新机）型号，其投标将被拒绝。</w:t>
      </w:r>
    </w:p>
    <w:p>
      <w:pPr>
        <w:pStyle w:val="3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2、具体技术要求</w:t>
      </w:r>
    </w:p>
    <w:tbl>
      <w:tblPr>
        <w:tblStyle w:val="4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83"/>
        <w:gridCol w:w="612"/>
        <w:gridCol w:w="690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8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61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690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6265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具体参数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658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三重四级杆液质联用仪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（允许进口）</w:t>
            </w:r>
          </w:p>
        </w:tc>
        <w:tc>
          <w:tcPr>
            <w:tcW w:w="612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spacing w:before="120" w:beforeLines="50" w:after="120" w:afterLines="50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26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ind w:firstLine="422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工作环境条件：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1.1工作电压：220 ± 5% V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1.2操作温度：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15–30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</w:rPr>
              <w:t xml:space="preserve"> ˚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C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1.3湿度：20–85%</w:t>
            </w:r>
          </w:p>
          <w:p>
            <w:pPr>
              <w:widowControl/>
              <w:tabs>
                <w:tab w:val="left" w:pos="851"/>
              </w:tabs>
              <w:ind w:left="432"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ind w:firstLine="422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配置要求：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2.1超高压液相色谱系统：包括超高压混合二元梯度泵，温控自动进样器，智能化温控柱箱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2.2三重四极杆质谱仪：包括独立的ESI离子源，独立的APCI离子源，三重四极杆质谱质谱仪主机，质谱工作站，计算机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2.3辅助设备：氮气发生器，U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PS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2.4常用耗材：C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18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色谱柱（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2.1×150 mm,3.5 µm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根，色谱柱（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3.0x100 mm,2.7um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根，色谱柱（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3.0x150 mm,2.7 um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根色谱柱（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3.0x150 mm,1.8 um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根，手性色谱柱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(150×4.6 mm , 2.7 µm)1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根，预柱（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3.0mm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）6根，预柱（2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.1mm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）6根，大容量捕集阱1个，柱塞杆密封垫2包，玻璃滤头2个，过滤白头2包，两通1个，安全废液桶及放空阀1套，安全溶剂瓶及安全瓶盖4套，泵油2瓶，三通1个，棕色样品瓶500个，内插管200个，手紧式色谱柱接头1个，液相超净管路1套，在线过滤器1个</w:t>
            </w:r>
          </w:p>
          <w:p>
            <w:pPr>
              <w:widowControl/>
              <w:tabs>
                <w:tab w:val="left" w:pos="851"/>
              </w:tabs>
              <w:ind w:left="432" w:firstLine="422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851"/>
              </w:tabs>
              <w:ind w:firstLine="422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</w:p>
          <w:p>
            <w:pPr>
              <w:pStyle w:val="6"/>
              <w:widowControl/>
              <w:numPr>
                <w:ilvl w:val="1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超高效液相技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术</w:t>
            </w:r>
            <w:r>
              <w:rPr>
                <w:rFonts w:hint="eastAsia" w:ascii="宋体" w:hAnsi="宋体" w:cs="HGMaruGothicMPRO"/>
                <w:color w:val="auto"/>
                <w:kern w:val="0"/>
                <w:sz w:val="21"/>
                <w:szCs w:val="21"/>
                <w:highlight w:val="none"/>
              </w:rPr>
              <w:t>参数</w:t>
            </w:r>
          </w:p>
          <w:p>
            <w:pPr>
              <w:pStyle w:val="6"/>
              <w:widowControl/>
              <w:numPr>
                <w:ilvl w:val="2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高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压</w:t>
            </w:r>
            <w:r>
              <w:rPr>
                <w:rFonts w:hint="eastAsia" w:ascii="宋体" w:hAnsi="宋体" w:cs="HGMaruGothicMPRO"/>
                <w:color w:val="auto"/>
                <w:kern w:val="0"/>
                <w:sz w:val="21"/>
                <w:szCs w:val="21"/>
                <w:highlight w:val="none"/>
              </w:rPr>
              <w:t>混合二元梯度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泵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流量范</w:t>
            </w:r>
            <w:r>
              <w:rPr>
                <w:rFonts w:hint="eastAsia" w:ascii="宋体" w:hAnsi="宋体" w:cs="微软雅黑"/>
                <w:bCs/>
                <w:color w:val="auto"/>
                <w:kern w:val="0"/>
                <w:sz w:val="21"/>
                <w:szCs w:val="21"/>
                <w:highlight w:val="none"/>
              </w:rPr>
              <w:t>围</w:t>
            </w:r>
            <w:r>
              <w:rPr>
                <w:rFonts w:hint="eastAsia" w:ascii="宋体" w:hAnsi="宋体" w:cs="HGMaruGothicMPRO"/>
                <w:bCs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0.001mL/min~5.0mL/min，</w:t>
            </w:r>
            <w:r>
              <w:rPr>
                <w:rFonts w:hint="eastAsia" w:ascii="宋体" w:hAnsi="宋体" w:cs="微软雅黑"/>
                <w:bCs/>
                <w:color w:val="auto"/>
                <w:kern w:val="0"/>
                <w:sz w:val="21"/>
                <w:szCs w:val="21"/>
                <w:highlight w:val="none"/>
              </w:rPr>
              <w:t>递</w:t>
            </w:r>
            <w:r>
              <w:rPr>
                <w:rFonts w:hint="eastAsia" w:ascii="宋体" w:hAnsi="宋体" w:cs="HGMaruGothicMPRO"/>
                <w:bCs/>
                <w:color w:val="auto"/>
                <w:kern w:val="0"/>
                <w:sz w:val="21"/>
                <w:szCs w:val="21"/>
                <w:highlight w:val="none"/>
              </w:rPr>
              <w:t>增率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0.001mL/min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cs="微软雅黑"/>
                <w:bCs/>
                <w:color w:val="auto"/>
                <w:kern w:val="0"/>
                <w:sz w:val="21"/>
                <w:szCs w:val="21"/>
                <w:highlight w:val="none"/>
              </w:rPr>
              <w:t>压</w:t>
            </w:r>
            <w:r>
              <w:rPr>
                <w:rFonts w:hint="eastAsia" w:ascii="宋体" w:hAnsi="宋体" w:cs="HGMaruGothicMPRO"/>
                <w:bCs/>
                <w:color w:val="auto"/>
                <w:kern w:val="0"/>
                <w:sz w:val="21"/>
                <w:szCs w:val="21"/>
                <w:highlight w:val="none"/>
              </w:rPr>
              <w:t>力范</w:t>
            </w:r>
            <w:r>
              <w:rPr>
                <w:rFonts w:hint="eastAsia" w:ascii="宋体" w:hAnsi="宋体" w:cs="微软雅黑"/>
                <w:bCs/>
                <w:color w:val="auto"/>
                <w:kern w:val="0"/>
                <w:sz w:val="21"/>
                <w:szCs w:val="21"/>
                <w:highlight w:val="none"/>
              </w:rPr>
              <w:t>围</w:t>
            </w:r>
            <w:r>
              <w:rPr>
                <w:rFonts w:hint="eastAsia" w:ascii="宋体" w:hAnsi="宋体" w:cs="HGMaruGothicMPRO"/>
                <w:bCs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0~1300bar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流速精密度：&lt;0.07%RSD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可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压缩性补偿：根据流动相自动调节或用户选择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梯度洗脱：0~100%，最小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递增率为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0.1%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▲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延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迟体积：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≤ 10μL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梯度精度：±0.15%，不随反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压变化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梯度准确度：± 0.35%，不随反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压变化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spacing w:line="320" w:lineRule="exact"/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含真空在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线脱气装置</w:t>
            </w:r>
          </w:p>
          <w:p>
            <w:pPr>
              <w:spacing w:line="320" w:lineRule="exact"/>
              <w:ind w:firstLine="42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pStyle w:val="6"/>
              <w:widowControl/>
              <w:numPr>
                <w:ilvl w:val="2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动进样器：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▲样</w:t>
            </w:r>
            <w:r>
              <w:rPr>
                <w:rFonts w:hint="eastAsia" w:ascii="宋体" w:hAnsi="宋体" w:cs="HGMaruGothicMPRO"/>
                <w:color w:val="auto"/>
                <w:kern w:val="0"/>
                <w:sz w:val="21"/>
                <w:szCs w:val="21"/>
                <w:highlight w:val="none"/>
              </w:rPr>
              <w:t>品容量：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&gt;108位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样</w:t>
            </w:r>
            <w:r>
              <w:rPr>
                <w:rFonts w:hint="eastAsia" w:ascii="宋体" w:hAnsi="宋体" w:cs="HGMaruGothicMPRO"/>
                <w:color w:val="auto"/>
                <w:kern w:val="0"/>
                <w:sz w:val="21"/>
                <w:szCs w:val="21"/>
                <w:highlight w:val="none"/>
              </w:rPr>
              <w:t>品位。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进样范围：0.1～20ul任意体积精确进样，无需更换定量环；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温控范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围：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 xml:space="preserve">4~40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</w:rPr>
              <w:t>˚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C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进样精度：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&lt; 0.15% RSD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交叉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污染：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&lt; 0.00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%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进样器压力：</w:t>
            </w: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0~1300Bar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控制：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进样体积，自动洗针程序，柱前自动衍生程序，取样及进样速率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/>
              <w:numPr>
                <w:ilvl w:val="2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智能化温控柱箱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★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柱温范</w:t>
            </w:r>
            <w:r>
              <w:rPr>
                <w:rFonts w:hint="eastAsia" w:ascii="宋体" w:hAnsi="宋体" w:cs="微软雅黑"/>
                <w:color w:val="auto"/>
                <w:kern w:val="0"/>
                <w:sz w:val="21"/>
                <w:szCs w:val="21"/>
                <w:highlight w:val="none"/>
              </w:rPr>
              <w:t>围</w:t>
            </w:r>
            <w:r>
              <w:rPr>
                <w:rFonts w:hint="eastAsia" w:ascii="宋体" w:hAnsi="宋体" w:cs="HGMaruGothicMPRO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color w:val="auto"/>
                <w:kern w:val="0"/>
                <w:sz w:val="20"/>
                <w:szCs w:val="21"/>
                <w:highlight w:val="none"/>
              </w:rPr>
              <w:t>具有降温功能，</w:t>
            </w:r>
            <w:r>
              <w:rPr>
                <w:rFonts w:ascii="宋体" w:hAnsi="宋体"/>
                <w:bCs/>
                <w:color w:val="auto"/>
                <w:kern w:val="0"/>
                <w:sz w:val="20"/>
                <w:szCs w:val="21"/>
                <w:highlight w:val="none"/>
              </w:rPr>
              <w:t>4</w:t>
            </w:r>
            <w:r>
              <w:rPr>
                <w:rFonts w:ascii="宋体" w:hAnsi="宋体"/>
                <w:color w:val="auto"/>
                <w:kern w:val="0"/>
                <w:sz w:val="20"/>
                <w:szCs w:val="21"/>
                <w:highlight w:val="none"/>
              </w:rPr>
              <w:t>–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1"/>
                <w:highlight w:val="none"/>
              </w:rPr>
              <w:t>110</w:t>
            </w:r>
            <w:r>
              <w:rPr>
                <w:rFonts w:ascii="宋体" w:hAnsi="宋体"/>
                <w:bCs/>
                <w:color w:val="auto"/>
                <w:kern w:val="0"/>
                <w:sz w:val="20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℃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温度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稳定性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sym w:font="Symbol" w:char="F0B1"/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0.0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℃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温度准确度：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sym w:font="Symbol" w:char="F0B1"/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0.8 ℃或校正后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sym w:font="Symbol" w:char="F0B1"/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0.5 ℃</w:t>
            </w:r>
          </w:p>
          <w:p>
            <w:pPr>
              <w:pStyle w:val="6"/>
              <w:widowControl/>
              <w:numPr>
                <w:ilvl w:val="3"/>
                <w:numId w:val="2"/>
              </w:numPr>
              <w:tabs>
                <w:tab w:val="left" w:pos="851"/>
              </w:tabs>
              <w:ind w:firstLineChars="0"/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柱容量：同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时放置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30cm柱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四</w:t>
            </w:r>
            <w:r>
              <w:rPr>
                <w:rFonts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根</w:t>
            </w: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同时放置15cm柱四根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/>
              <w:numPr>
                <w:ilvl w:val="1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三重串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联四极杆质谱仪</w:t>
            </w: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检测性能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质量范围：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母离子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单电荷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m/z 5–3,000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最大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扫描速率：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17,000 amu/s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动态范围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：&gt; 6×10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  <w:vertAlign w:val="superscript"/>
              </w:rPr>
              <w:t>6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ESI+ 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IDL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：液质联用柱上进样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fg 利血平， 离子对 m/z 609&gt;195, 仪器检测下限达到4fg,需提供原始图谱报告证明。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ESI-I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DL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：液质联用柱上进样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fg 氯霉素， 离子对 m/z 321&gt;152, 仪器检测下限达到4fg,需提供原始图谱报告证明。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正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负模式切换时间：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≤25 ms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质量轴稳定性：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±0.1 amu/24 hours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质量准确度：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0.1 amu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可同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时做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450个MRM离子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对检测</w:t>
            </w:r>
            <w:bookmarkStart w:id="0" w:name="_GoBack"/>
            <w:bookmarkEnd w:id="0"/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1"/>
                <w:szCs w:val="21"/>
                <w:highlight w:val="none"/>
              </w:rPr>
              <w:t>▲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MRM最小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驻留时间：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0.5 ms</w:t>
            </w:r>
          </w:p>
          <w:p>
            <w:pPr>
              <w:widowControl/>
              <w:tabs>
                <w:tab w:val="left" w:pos="851"/>
              </w:tabs>
              <w:ind w:firstLine="422"/>
              <w:rPr>
                <w:rFonts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离子源：独立ESI源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和A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PCI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源</w:t>
            </w: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四极杆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质量过滤器：双曲面金属四极杆设计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，具有恒温功能者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优先</w:t>
            </w: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★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碰撞反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应池：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具有高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压线性加速碰撞反应池，保证无串扰</w:t>
            </w: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气体要求:采用高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纯氮气碰撞气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,无需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额外氩气</w:t>
            </w: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▲检测器系统：电子倍增器设计</w:t>
            </w: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★质谱入口的离子传输通道采用非锥孔的毛细管设计，抗污染能力强；且真空阻尼大，可有效降低分子涡轮泵负荷，提升分子涡轮泵寿命</w:t>
            </w:r>
          </w:p>
          <w:p>
            <w:pPr>
              <w:widowControl/>
              <w:tabs>
                <w:tab w:val="left" w:pos="851"/>
              </w:tabs>
              <w:ind w:left="720"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真空系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统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▲带有差动抽气真空系统，配备两个分子涡轮泵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和大抽速的前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级机械泵。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具有自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动断电保护功能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扫描方式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:全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扫描、子离子扫描、母离子扫描、中性丢失扫描、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MRM（用于定量分析）、触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发式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MRM（用于二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级离子定性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）、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选择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性离子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，手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动时间编程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动态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MRM（自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动时间编程）、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正/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负极性切换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工作站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软件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单点控制所有的液相部分和质谱部分。可以实现数据采集，数据分析，液相和质谱同步控制，在线监测，反馈显示和序列采集。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一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键触发式的全自动调谐系统，调谐液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动输送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，自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动参数优化，无需蠕动泵，无需手动步骤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▲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动方法优化软件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：采用自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动进样器流动注射功能，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动优化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每个目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标化合物的质谱参数，如最佳碰撞电压，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MS/MS的碰撞能量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；还可针对离子源参数进行自动优化。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▲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动时间编程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功能: 多化合物同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时监测时，能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根据保留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时间和峰宽自动分配每个离子驻留时间，无需手动设定时间窗口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，采用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该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方法一次可同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时监测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13,500个MRM。并且可以根据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样品运行结果，自动更新、添加保留时间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，无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须手动输入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▲同时定量和定性确认。MRM可自动触发二级离子定性检测（非耗时长的子离子扫描模式），同时MRM定量检测灵敏度不得低于单独检测灵敏度的90%，获得的二级离子谱图可以进行谱库检索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数据定量分析和定性分析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软件</w:t>
            </w:r>
          </w:p>
          <w:p>
            <w:pPr>
              <w:pStyle w:val="6"/>
              <w:widowControl/>
              <w:numPr>
                <w:ilvl w:val="3"/>
                <w:numId w:val="1"/>
              </w:numPr>
              <w:tabs>
                <w:tab w:val="left" w:pos="851"/>
                <w:tab w:val="clear" w:pos="864"/>
              </w:tabs>
              <w:ind w:firstLineChars="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液相色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谱和质谱使用同一个软件平台。</w:t>
            </w:r>
          </w:p>
          <w:p>
            <w:pPr>
              <w:widowControl/>
              <w:tabs>
                <w:tab w:val="left" w:pos="851"/>
              </w:tabs>
              <w:ind w:firstLine="420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6"/>
              <w:widowControl/>
              <w:numPr>
                <w:ilvl w:val="2"/>
                <w:numId w:val="1"/>
              </w:numPr>
              <w:tabs>
                <w:tab w:val="left" w:pos="851"/>
              </w:tabs>
              <w:ind w:firstLineChars="0"/>
              <w:rPr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工作站硬件 ：HP服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务器级工作站：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Intel 4核CPU, 8GB内存, 2×500GB硬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盘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（一个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备份）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, 独立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显卡，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DVD/CD-RW, Microsoft windows 7 操作系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统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，HP 22” 液晶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显示器</w:t>
            </w: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GMaruGothicMPRO">
    <w:altName w:val="Yu Gothic"/>
    <w:panose1 w:val="00000000000000000000"/>
    <w:charset w:val="80"/>
    <w:family w:val="swiss"/>
    <w:pitch w:val="default"/>
    <w:sig w:usb0="00000000" w:usb1="00000000" w:usb2="00000012" w:usb3="00000000" w:csb0="0002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B94"/>
    <w:multiLevelType w:val="multilevel"/>
    <w:tmpl w:val="06B56B9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color w:val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 w:val="0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color w:val="auto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01B1E19"/>
    <w:multiLevelType w:val="multilevel"/>
    <w:tmpl w:val="401B1E19"/>
    <w:lvl w:ilvl="0" w:tentative="0">
      <w:start w:val="3"/>
      <w:numFmt w:val="decimal"/>
      <w:lvlText w:val="%1"/>
      <w:lvlJc w:val="left"/>
      <w:pPr>
        <w:ind w:left="770" w:hanging="77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770" w:hanging="77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70" w:hanging="77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90833"/>
    <w:rsid w:val="496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2019-11-12T11:42:00Z</dcterms:created>
  <dc:creator>dell</dc:creator>
  <cp:lastModifiedBy>dell</cp:lastModifiedBy>
  <dcterms:modified xsi:type="dcterms:W3CDTF">2019-11-12T11:46:02Z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