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bCs/>
          <w:color w:val="auto"/>
        </w:rPr>
      </w:pPr>
      <w:bookmarkStart w:id="0" w:name="_Toc13288"/>
      <w:bookmarkStart w:id="1" w:name="_Toc528579035"/>
      <w:bookmarkStart w:id="2" w:name="_Toc6005"/>
      <w:bookmarkStart w:id="3" w:name="_Toc5867"/>
      <w:r>
        <w:rPr>
          <w:rFonts w:hint="eastAsia"/>
          <w:color w:val="auto"/>
        </w:rPr>
        <w:t xml:space="preserve">第二章  </w:t>
      </w:r>
      <w:r>
        <w:rPr>
          <w:rFonts w:hint="eastAsia"/>
          <w:bCs/>
          <w:color w:val="auto"/>
        </w:rPr>
        <w:t>采购需求</w:t>
      </w:r>
      <w:bookmarkEnd w:id="0"/>
      <w:bookmarkEnd w:id="1"/>
      <w:bookmarkEnd w:id="2"/>
      <w:bookmarkEnd w:id="3"/>
    </w:p>
    <w:p>
      <w:pPr>
        <w:pStyle w:val="5"/>
        <w:rPr>
          <w:rFonts w:hint="eastAsia"/>
          <w:color w:val="auto"/>
        </w:rPr>
      </w:pPr>
      <w:bookmarkStart w:id="4" w:name="_Toc11234"/>
      <w:r>
        <w:rPr>
          <w:rFonts w:hint="eastAsia"/>
          <w:color w:val="auto"/>
        </w:rPr>
        <w:t>一、项目概况</w:t>
      </w:r>
      <w:bookmarkEnd w:id="4"/>
    </w:p>
    <w:tbl>
      <w:tblPr>
        <w:tblStyle w:val="7"/>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2479" w:type="dxa"/>
            <w:noWrap w:val="0"/>
            <w:vAlign w:val="center"/>
          </w:tcPr>
          <w:p>
            <w:pPr>
              <w:spacing w:line="360" w:lineRule="auto"/>
              <w:jc w:val="center"/>
              <w:rPr>
                <w:rFonts w:hint="eastAsia" w:ascii="宋体" w:hAnsi="宋体"/>
                <w:b/>
                <w:szCs w:val="22"/>
              </w:rPr>
            </w:pPr>
            <w:r>
              <w:rPr>
                <w:rFonts w:hint="eastAsia" w:ascii="宋体" w:hAnsi="宋体"/>
                <w:b/>
                <w:szCs w:val="22"/>
              </w:rPr>
              <w:t>采购内容</w:t>
            </w:r>
          </w:p>
        </w:tc>
        <w:tc>
          <w:tcPr>
            <w:tcW w:w="6976" w:type="dxa"/>
            <w:noWrap w:val="0"/>
            <w:vAlign w:val="center"/>
          </w:tcPr>
          <w:p>
            <w:pPr>
              <w:spacing w:line="360" w:lineRule="auto"/>
              <w:jc w:val="center"/>
              <w:rPr>
                <w:rFonts w:hint="eastAsia" w:ascii="宋体" w:hAnsi="宋体"/>
                <w:b/>
                <w:szCs w:val="22"/>
              </w:rPr>
            </w:pPr>
            <w:r>
              <w:rPr>
                <w:rFonts w:hint="eastAsia" w:ascii="宋体" w:hAnsi="宋体"/>
                <w:b/>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479" w:type="dxa"/>
            <w:noWrap w:val="0"/>
            <w:vAlign w:val="center"/>
          </w:tcPr>
          <w:p>
            <w:pPr>
              <w:jc w:val="left"/>
              <w:rPr>
                <w:rFonts w:hint="eastAsia" w:ascii="宋体" w:hAnsi="宋体"/>
                <w:kern w:val="0"/>
              </w:rPr>
            </w:pPr>
            <w:r>
              <w:rPr>
                <w:rFonts w:hint="eastAsia" w:ascii="宋体" w:hAnsi="宋体"/>
                <w:kern w:val="0"/>
              </w:rPr>
              <w:t>品目一：“运脾祛风除湿颗粒”基础方</w:t>
            </w:r>
          </w:p>
        </w:tc>
        <w:tc>
          <w:tcPr>
            <w:tcW w:w="6976" w:type="dxa"/>
            <w:noWrap w:val="0"/>
            <w:vAlign w:val="center"/>
          </w:tcPr>
          <w:p>
            <w:pPr>
              <w:jc w:val="left"/>
              <w:rPr>
                <w:rFonts w:hint="eastAsia" w:ascii="宋体" w:hAnsi="宋体"/>
                <w:kern w:val="0"/>
              </w:rPr>
            </w:pPr>
            <w:r>
              <w:rPr>
                <w:rFonts w:hint="eastAsia" w:ascii="宋体" w:hAnsi="宋体"/>
                <w:kern w:val="0"/>
              </w:rPr>
              <w:t>71175剂（每剂分两包，共计142350包）</w:t>
            </w:r>
          </w:p>
          <w:p>
            <w:pPr>
              <w:jc w:val="left"/>
              <w:rPr>
                <w:rFonts w:hint="eastAsia" w:ascii="宋体" w:hAnsi="宋体"/>
                <w:kern w:val="0"/>
              </w:rPr>
            </w:pPr>
            <w:r>
              <w:rPr>
                <w:rFonts w:hint="eastAsia" w:ascii="宋体" w:hAnsi="宋体"/>
                <w:kern w:val="0"/>
              </w:rPr>
              <w:t>单剂组成：苍术15g、荆芥12g、防风6g、青风藤15g、金银花15g、土茯苓20g、徐长卿12g、炒薏苡仁15g、炙甘草6g、雷公藤15g、虎杖15g、菟丝子15g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479" w:type="dxa"/>
            <w:noWrap w:val="0"/>
            <w:vAlign w:val="center"/>
          </w:tcPr>
          <w:p>
            <w:pPr>
              <w:jc w:val="left"/>
              <w:rPr>
                <w:rFonts w:hint="eastAsia" w:ascii="宋体" w:hAnsi="宋体"/>
                <w:kern w:val="0"/>
              </w:rPr>
            </w:pPr>
            <w:r>
              <w:rPr>
                <w:rFonts w:hint="eastAsia" w:ascii="宋体" w:hAnsi="宋体"/>
                <w:kern w:val="0"/>
              </w:rPr>
              <w:t>品目二：“运脾祛风除湿颗粒”加方药物</w:t>
            </w:r>
          </w:p>
        </w:tc>
        <w:tc>
          <w:tcPr>
            <w:tcW w:w="6976" w:type="dxa"/>
            <w:noWrap w:val="0"/>
            <w:vAlign w:val="center"/>
          </w:tcPr>
          <w:p>
            <w:pPr>
              <w:jc w:val="left"/>
              <w:rPr>
                <w:rFonts w:hint="eastAsia" w:ascii="宋体" w:hAnsi="宋体"/>
                <w:kern w:val="0"/>
              </w:rPr>
            </w:pPr>
            <w:r>
              <w:rPr>
                <w:rFonts w:hint="eastAsia" w:ascii="宋体" w:hAnsi="宋体"/>
                <w:kern w:val="0"/>
              </w:rPr>
              <w:t>7000剂（每剂分两包，共计14000包）</w:t>
            </w:r>
          </w:p>
          <w:p>
            <w:pPr>
              <w:jc w:val="left"/>
              <w:rPr>
                <w:rFonts w:hint="eastAsia" w:ascii="宋体" w:hAnsi="宋体"/>
                <w:kern w:val="0"/>
              </w:rPr>
            </w:pPr>
            <w:r>
              <w:rPr>
                <w:rFonts w:hint="eastAsia" w:ascii="宋体" w:hAnsi="宋体"/>
                <w:kern w:val="0"/>
              </w:rPr>
              <w:t>单剂组成：杜仲12g、桂枝15g、桑枝18g、川牛膝10g、知母15g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2479" w:type="dxa"/>
            <w:noWrap w:val="0"/>
            <w:vAlign w:val="center"/>
          </w:tcPr>
          <w:p>
            <w:pPr>
              <w:jc w:val="left"/>
              <w:rPr>
                <w:rFonts w:hint="eastAsia" w:ascii="宋体" w:hAnsi="宋体"/>
                <w:kern w:val="0"/>
              </w:rPr>
            </w:pPr>
            <w:r>
              <w:rPr>
                <w:rFonts w:hint="eastAsia" w:ascii="宋体" w:hAnsi="宋体"/>
                <w:kern w:val="0"/>
              </w:rPr>
              <w:t>品目三：安慰剂</w:t>
            </w:r>
          </w:p>
        </w:tc>
        <w:tc>
          <w:tcPr>
            <w:tcW w:w="6976" w:type="dxa"/>
            <w:noWrap w:val="0"/>
            <w:vAlign w:val="center"/>
          </w:tcPr>
          <w:p>
            <w:pPr>
              <w:jc w:val="left"/>
              <w:rPr>
                <w:rFonts w:hint="eastAsia" w:ascii="宋体" w:hAnsi="宋体"/>
                <w:kern w:val="0"/>
              </w:rPr>
            </w:pPr>
            <w:r>
              <w:rPr>
                <w:rFonts w:hint="eastAsia" w:ascii="宋体" w:hAnsi="宋体"/>
                <w:kern w:val="0"/>
              </w:rPr>
              <w:t>71175剂（每剂分两包，共计142350包，每剂重量同品目一方剂组成，并保证口感相似）</w:t>
            </w:r>
          </w:p>
        </w:tc>
      </w:tr>
    </w:tbl>
    <w:p>
      <w:pPr>
        <w:pStyle w:val="2"/>
        <w:rPr>
          <w:color w:val="auto"/>
        </w:rPr>
      </w:pPr>
    </w:p>
    <w:p>
      <w:pPr>
        <w:pStyle w:val="5"/>
        <w:rPr>
          <w:color w:val="auto"/>
        </w:rPr>
      </w:pPr>
      <w:bookmarkStart w:id="5" w:name="_Toc5969"/>
      <w:r>
        <w:rPr>
          <w:rFonts w:hint="eastAsia"/>
          <w:color w:val="auto"/>
        </w:rPr>
        <w:t>二、具体要求</w:t>
      </w:r>
      <w:bookmarkEnd w:id="5"/>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1．必须保证所供应的中药配方颗粒是合法、合格药品；保证所供应的中药配方颗粒到货入库的剩余有效期不少于1.5年，并保证有效期内的中药配方颗粒的质量。</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2．医院仅负责提供相关场地及日常水电，中标人应自行准备与我院使用规模相适应的、与中药配方颗粒相配套的调剂设备（保证最新型号并承诺及时更新（附承诺书））与人员，即“智能中药房”，并负责智能中药房的装修、与配方颗粒剂相关的信息化建设，以及配备足够的具备专业资质的调剂人员。</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3．有保证智能中药房规范运行的工作流程和保证智能中药房规范运行的管理制度，并接受大学方监管。</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4．提供其经营配方颗粒基本目录，并保证此目录内的配方颗粒在采购周期内可持续供货。</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 xml:space="preserve">5．质量合格率100%；药品满足率100%；缺货率＜1%；产地(生产厂家)符合率100%；有效部位符合率100%。 </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6．投标方须承担的运输、退换（距药品有效期6个月的或破损的药品）等费用。</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7．本项目不允许转包、分包。</w:t>
      </w:r>
    </w:p>
    <w:p>
      <w:pPr>
        <w:pStyle w:val="5"/>
        <w:rPr>
          <w:rFonts w:hint="eastAsia"/>
          <w:color w:val="auto"/>
        </w:rPr>
      </w:pPr>
      <w:bookmarkStart w:id="6" w:name="_Toc31258"/>
      <w:r>
        <w:rPr>
          <w:rFonts w:hint="eastAsia"/>
          <w:color w:val="auto"/>
        </w:rPr>
        <w:t>三、其他要求</w:t>
      </w:r>
      <w:bookmarkEnd w:id="6"/>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1．供需双方在药品购销过程中严格执行《药品管理法》《医疗机构药事管理规定》和《处方管理办法》等法律法规的有关规定，诚信经营。</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2．中标企业在保证药品质量、执行国家物价的前提下按约定的药品品种、剂型、规格、数量、价格、供货方式等供货，保证临床用药不断档。</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3．中标企业必须产品齐全，不得以任何借口（如无货，采购量少等）不执行医院药品采购计划。</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4．医院将根据签约承诺内容对签约方进行考核，违约将报院纪委备案并告知供货商，两次违约将终止合同。</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5．中标企业派驻医院方的工作人员应有国家规定的上岗资质，在无国家规定时应通过相关部门的培训考核合格。</w:t>
      </w:r>
    </w:p>
    <w:p>
      <w:pPr>
        <w:pStyle w:val="9"/>
        <w:shd w:val="clear" w:color="auto" w:fill="auto"/>
        <w:spacing w:line="360" w:lineRule="auto"/>
        <w:ind w:firstLine="480" w:firstLineChars="200"/>
        <w:jc w:val="left"/>
        <w:rPr>
          <w:rFonts w:hint="eastAsia" w:ascii="宋体" w:hAnsi="宋体" w:eastAsia="宋体" w:cs="宋体"/>
          <w:bCs/>
          <w:iCs/>
          <w:color w:val="auto"/>
          <w:kern w:val="2"/>
          <w:lang w:val="en-US"/>
        </w:rPr>
      </w:pPr>
      <w:r>
        <w:rPr>
          <w:rFonts w:hint="eastAsia" w:ascii="宋体" w:hAnsi="宋体" w:eastAsia="宋体" w:cs="宋体"/>
          <w:bCs/>
          <w:iCs/>
          <w:color w:val="auto"/>
          <w:kern w:val="2"/>
          <w:lang w:val="en-US"/>
        </w:rPr>
        <w:t>6．招标方仅提供现有中药配方颗粒的配方用房。</w:t>
      </w:r>
    </w:p>
    <w:p>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C50EB"/>
    <w:rsid w:val="4A8C50EB"/>
    <w:rsid w:val="7BD9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4"/>
      <w:szCs w:val="24"/>
      <w:lang w:val="en-US" w:eastAsia="zh-CN" w:bidi="ar-SA"/>
    </w:rPr>
  </w:style>
  <w:style w:type="paragraph" w:styleId="4">
    <w:name w:val="heading 1"/>
    <w:basedOn w:val="1"/>
    <w:next w:val="1"/>
    <w:qFormat/>
    <w:uiPriority w:val="0"/>
    <w:pPr>
      <w:keepNext/>
      <w:keepLines/>
      <w:spacing w:before="100" w:after="90" w:line="480" w:lineRule="auto"/>
      <w:jc w:val="center"/>
      <w:outlineLvl w:val="0"/>
    </w:pPr>
    <w:rPr>
      <w:rFonts w:ascii="宋体" w:hAnsi="宋体" w:cs="Times New Roman"/>
      <w:b/>
      <w:color w:val="000000"/>
      <w:kern w:val="44"/>
      <w:sz w:val="32"/>
      <w:szCs w:val="32"/>
    </w:rPr>
  </w:style>
  <w:style w:type="paragraph" w:styleId="5">
    <w:name w:val="heading 2"/>
    <w:basedOn w:val="1"/>
    <w:next w:val="1"/>
    <w:qFormat/>
    <w:uiPriority w:val="0"/>
    <w:pPr>
      <w:keepNext/>
      <w:keepLines/>
      <w:spacing w:line="360" w:lineRule="auto"/>
      <w:jc w:val="left"/>
      <w:outlineLvl w:val="1"/>
    </w:pPr>
    <w:rPr>
      <w:rFonts w:cs="Times New Roman"/>
      <w:b/>
      <w:bCs/>
      <w:color w:val="000000"/>
      <w:spacing w:val="-6"/>
      <w:kern w:val="0"/>
      <w:szCs w:val="30"/>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customStyle="1" w:styleId="9">
    <w:name w:val="正文文本 (5)1"/>
    <w:basedOn w:val="1"/>
    <w:qFormat/>
    <w:uiPriority w:val="0"/>
    <w:pPr>
      <w:shd w:val="clear" w:color="auto" w:fill="FFFFFF"/>
      <w:spacing w:line="475" w:lineRule="exact"/>
      <w:jc w:val="distribute"/>
    </w:pPr>
    <w:rPr>
      <w:rFonts w:ascii="MingLiU" w:hAnsi="MingLiU" w:eastAsia="MingLiU" w:cs="MingLiU"/>
      <w:color w:val="000000"/>
      <w:kern w:val="0"/>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2019-10-21T08:57:00Z</dcterms:created>
  <dc:creator>dell</dc:creator>
  <cp:lastModifiedBy>dell</cp:lastModifiedBy>
  <dcterms:modified xsi:type="dcterms:W3CDTF">2019-10-21T08:58:07Z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