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rPr>
          <w:bCs/>
          <w:color w:val="auto"/>
        </w:rPr>
      </w:pPr>
      <w:bookmarkStart w:id="0" w:name="_Toc13288"/>
      <w:bookmarkStart w:id="1" w:name="_Toc528579035"/>
      <w:bookmarkStart w:id="2" w:name="_Toc6005"/>
      <w:bookmarkStart w:id="3" w:name="_Toc5867"/>
      <w:r>
        <w:rPr>
          <w:rFonts w:hint="eastAsia"/>
          <w:color w:val="auto"/>
        </w:rPr>
        <w:t xml:space="preserve">第二章  </w:t>
      </w:r>
      <w:r>
        <w:rPr>
          <w:rFonts w:hint="eastAsia"/>
          <w:bCs/>
          <w:color w:val="auto"/>
        </w:rPr>
        <w:t>采购需求</w:t>
      </w:r>
      <w:bookmarkEnd w:id="0"/>
      <w:bookmarkEnd w:id="1"/>
      <w:bookmarkEnd w:id="2"/>
      <w:bookmarkEnd w:id="3"/>
    </w:p>
    <w:p>
      <w:pPr>
        <w:pStyle w:val="5"/>
        <w:rPr>
          <w:rFonts w:hint="eastAsia"/>
          <w:color w:val="auto"/>
        </w:rPr>
      </w:pPr>
      <w:bookmarkStart w:id="4" w:name="_Toc11234"/>
      <w:r>
        <w:rPr>
          <w:rFonts w:hint="eastAsia"/>
          <w:color w:val="auto"/>
        </w:rPr>
        <w:t>一、项目概况</w:t>
      </w:r>
      <w:bookmarkEnd w:id="4"/>
    </w:p>
    <w:tbl>
      <w:tblPr>
        <w:tblStyle w:val="7"/>
        <w:tblW w:w="94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9"/>
        <w:gridCol w:w="6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479" w:type="dxa"/>
            <w:noWrap w:val="0"/>
            <w:vAlign w:val="center"/>
          </w:tcPr>
          <w:p>
            <w:pPr>
              <w:spacing w:line="360" w:lineRule="auto"/>
              <w:jc w:val="center"/>
              <w:rPr>
                <w:rFonts w:hint="eastAsia" w:ascii="宋体" w:hAnsi="宋体"/>
                <w:b/>
                <w:szCs w:val="22"/>
              </w:rPr>
            </w:pPr>
            <w:r>
              <w:rPr>
                <w:rFonts w:hint="eastAsia" w:ascii="宋体" w:hAnsi="宋体"/>
                <w:b/>
                <w:szCs w:val="22"/>
              </w:rPr>
              <w:t>采购内容</w:t>
            </w:r>
          </w:p>
        </w:tc>
        <w:tc>
          <w:tcPr>
            <w:tcW w:w="6976" w:type="dxa"/>
            <w:noWrap w:val="0"/>
            <w:vAlign w:val="center"/>
          </w:tcPr>
          <w:p>
            <w:pPr>
              <w:spacing w:line="360" w:lineRule="auto"/>
              <w:jc w:val="center"/>
              <w:rPr>
                <w:rFonts w:hint="eastAsia" w:ascii="宋体" w:hAnsi="宋体"/>
                <w:b/>
                <w:szCs w:val="22"/>
              </w:rPr>
            </w:pPr>
            <w:r>
              <w:rPr>
                <w:rFonts w:hint="eastAsia" w:ascii="宋体" w:hAnsi="宋体"/>
                <w:b/>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2479" w:type="dxa"/>
            <w:noWrap w:val="0"/>
            <w:vAlign w:val="center"/>
          </w:tcPr>
          <w:p>
            <w:pPr>
              <w:jc w:val="left"/>
              <w:rPr>
                <w:rFonts w:hint="eastAsia" w:ascii="宋体" w:hAnsi="宋体"/>
                <w:kern w:val="0"/>
              </w:rPr>
            </w:pPr>
            <w:r>
              <w:rPr>
                <w:rFonts w:hint="eastAsia" w:ascii="宋体" w:hAnsi="宋体"/>
                <w:kern w:val="0"/>
              </w:rPr>
              <w:t>品目一：“运脾祛风除湿颗粒”基础方</w:t>
            </w:r>
          </w:p>
        </w:tc>
        <w:tc>
          <w:tcPr>
            <w:tcW w:w="6976" w:type="dxa"/>
            <w:noWrap w:val="0"/>
            <w:vAlign w:val="center"/>
          </w:tcPr>
          <w:p>
            <w:pPr>
              <w:jc w:val="left"/>
              <w:rPr>
                <w:rFonts w:hint="eastAsia" w:ascii="宋体" w:hAnsi="宋体"/>
                <w:kern w:val="0"/>
              </w:rPr>
            </w:pPr>
            <w:r>
              <w:rPr>
                <w:rFonts w:hint="eastAsia" w:ascii="宋体" w:hAnsi="宋体"/>
                <w:kern w:val="0"/>
              </w:rPr>
              <w:t>71175剂（每剂分两包，共计142350包）</w:t>
            </w:r>
          </w:p>
          <w:p>
            <w:pPr>
              <w:jc w:val="left"/>
              <w:rPr>
                <w:rFonts w:hint="eastAsia" w:ascii="宋体" w:hAnsi="宋体"/>
                <w:kern w:val="0"/>
              </w:rPr>
            </w:pPr>
            <w:r>
              <w:rPr>
                <w:rFonts w:hint="eastAsia" w:ascii="宋体" w:hAnsi="宋体"/>
                <w:kern w:val="0"/>
              </w:rPr>
              <w:t>单剂组成：苍术15g、荆芥12g、防风6g、青风藤15g、金银花15g、土茯苓20g、徐长卿12g、炒薏苡仁15g、炙甘草6g、雷公藤15g、虎杖15g、菟丝子15g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479" w:type="dxa"/>
            <w:noWrap w:val="0"/>
            <w:vAlign w:val="center"/>
          </w:tcPr>
          <w:p>
            <w:pPr>
              <w:jc w:val="left"/>
              <w:rPr>
                <w:rFonts w:hint="eastAsia" w:ascii="宋体" w:hAnsi="宋体"/>
                <w:kern w:val="0"/>
              </w:rPr>
            </w:pPr>
            <w:r>
              <w:rPr>
                <w:rFonts w:hint="eastAsia" w:ascii="宋体" w:hAnsi="宋体"/>
                <w:kern w:val="0"/>
              </w:rPr>
              <w:t>品目二：“运脾祛风除湿颗粒”加方药物</w:t>
            </w:r>
          </w:p>
        </w:tc>
        <w:tc>
          <w:tcPr>
            <w:tcW w:w="6976" w:type="dxa"/>
            <w:noWrap w:val="0"/>
            <w:vAlign w:val="center"/>
          </w:tcPr>
          <w:p>
            <w:pPr>
              <w:jc w:val="left"/>
              <w:rPr>
                <w:rFonts w:hint="eastAsia" w:ascii="宋体" w:hAnsi="宋体"/>
                <w:kern w:val="0"/>
              </w:rPr>
            </w:pPr>
            <w:r>
              <w:rPr>
                <w:rFonts w:hint="eastAsia" w:ascii="宋体" w:hAnsi="宋体"/>
                <w:kern w:val="0"/>
              </w:rPr>
              <w:t>7000剂（每剂分两包，共计14000包）</w:t>
            </w:r>
          </w:p>
          <w:p>
            <w:pPr>
              <w:jc w:val="left"/>
              <w:rPr>
                <w:rFonts w:hint="eastAsia" w:ascii="宋体" w:hAnsi="宋体"/>
                <w:kern w:val="0"/>
              </w:rPr>
            </w:pPr>
            <w:r>
              <w:rPr>
                <w:rFonts w:hint="eastAsia" w:ascii="宋体" w:hAnsi="宋体"/>
                <w:kern w:val="0"/>
              </w:rPr>
              <w:t>单剂组成：杜仲12g、桂枝15g、桑枝18g、川牛膝10g、知母15g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2479" w:type="dxa"/>
            <w:noWrap w:val="0"/>
            <w:vAlign w:val="center"/>
          </w:tcPr>
          <w:p>
            <w:pPr>
              <w:jc w:val="left"/>
              <w:rPr>
                <w:rFonts w:hint="eastAsia" w:ascii="宋体" w:hAnsi="宋体"/>
                <w:kern w:val="0"/>
              </w:rPr>
            </w:pPr>
            <w:r>
              <w:rPr>
                <w:rFonts w:hint="eastAsia" w:ascii="宋体" w:hAnsi="宋体"/>
                <w:kern w:val="0"/>
              </w:rPr>
              <w:t>品目三：安慰剂</w:t>
            </w:r>
          </w:p>
        </w:tc>
        <w:tc>
          <w:tcPr>
            <w:tcW w:w="6976" w:type="dxa"/>
            <w:noWrap w:val="0"/>
            <w:vAlign w:val="center"/>
          </w:tcPr>
          <w:p>
            <w:pPr>
              <w:jc w:val="left"/>
              <w:rPr>
                <w:rFonts w:hint="eastAsia" w:ascii="宋体" w:hAnsi="宋体"/>
                <w:kern w:val="0"/>
              </w:rPr>
            </w:pPr>
            <w:r>
              <w:rPr>
                <w:rFonts w:hint="eastAsia" w:ascii="宋体" w:hAnsi="宋体"/>
                <w:kern w:val="0"/>
              </w:rPr>
              <w:t>71175剂（每剂分两包，共计142350包，每剂重量同品目一方剂组成，并保证口感相似）</w:t>
            </w:r>
          </w:p>
        </w:tc>
      </w:tr>
    </w:tbl>
    <w:p>
      <w:pPr>
        <w:pStyle w:val="2"/>
        <w:rPr>
          <w:color w:val="auto"/>
        </w:rPr>
      </w:pPr>
    </w:p>
    <w:p>
      <w:pPr>
        <w:pStyle w:val="5"/>
        <w:rPr>
          <w:color w:val="auto"/>
        </w:rPr>
      </w:pPr>
      <w:bookmarkStart w:id="5" w:name="_Toc5969"/>
      <w:r>
        <w:rPr>
          <w:rFonts w:hint="eastAsia"/>
          <w:color w:val="auto"/>
        </w:rPr>
        <w:t>二、具体要求</w:t>
      </w:r>
      <w:bookmarkEnd w:id="5"/>
    </w:p>
    <w:p>
      <w:pPr>
        <w:pStyle w:val="9"/>
        <w:shd w:val="clear" w:color="auto" w:fill="auto"/>
        <w:spacing w:line="360" w:lineRule="auto"/>
        <w:ind w:firstLine="480" w:firstLineChars="200"/>
        <w:jc w:val="left"/>
        <w:rPr>
          <w:rFonts w:hint="eastAsia" w:ascii="宋体" w:hAnsi="宋体" w:eastAsia="宋体" w:cs="宋体"/>
          <w:bCs/>
          <w:iCs/>
          <w:color w:val="auto"/>
          <w:kern w:val="2"/>
          <w:lang w:val="en-US"/>
        </w:rPr>
      </w:pPr>
      <w:r>
        <w:rPr>
          <w:rFonts w:hint="eastAsia" w:ascii="宋体" w:hAnsi="宋体" w:eastAsia="宋体" w:cs="宋体"/>
          <w:bCs/>
          <w:iCs/>
          <w:color w:val="auto"/>
          <w:kern w:val="2"/>
          <w:lang w:val="en-US"/>
        </w:rPr>
        <w:t>1．必须保证所供应的中药配方颗粒是合法、合格药品；保证所供应的中药配方颗粒到货入库的剩余有效期不少于1.5年，并保证有效期内的中药配方颗粒的质量。</w:t>
      </w:r>
    </w:p>
    <w:p>
      <w:pPr>
        <w:pStyle w:val="9"/>
        <w:shd w:val="clear" w:color="auto" w:fill="auto"/>
        <w:spacing w:line="360" w:lineRule="auto"/>
        <w:ind w:firstLine="480" w:firstLineChars="200"/>
        <w:jc w:val="left"/>
        <w:rPr>
          <w:rFonts w:hint="eastAsia" w:ascii="宋体" w:hAnsi="宋体" w:eastAsia="宋体" w:cs="宋体"/>
          <w:bCs/>
          <w:iCs/>
          <w:color w:val="auto"/>
          <w:kern w:val="2"/>
          <w:lang w:val="en-US"/>
        </w:rPr>
      </w:pPr>
      <w:r>
        <w:rPr>
          <w:rFonts w:hint="eastAsia" w:ascii="宋体" w:hAnsi="宋体" w:eastAsia="宋体" w:cs="宋体"/>
          <w:bCs/>
          <w:iCs/>
          <w:color w:val="auto"/>
          <w:kern w:val="2"/>
          <w:lang w:val="en-US"/>
        </w:rPr>
        <w:t>2．医院仅负责提供相关场地及日常水电，中标人应自行准备与我院使用规模相适应的、与中药配方颗粒相配套的调剂设备（保证最新型号并承诺及时更新（附承诺书））与人员，即“智能中药房”，并负责智能中药房的装修、与配方颗粒剂相关的信息化建设，以及配备足够的具备专业资质的调剂人员。</w:t>
      </w:r>
    </w:p>
    <w:p>
      <w:pPr>
        <w:pStyle w:val="9"/>
        <w:shd w:val="clear" w:color="auto" w:fill="auto"/>
        <w:spacing w:line="360" w:lineRule="auto"/>
        <w:ind w:firstLine="480" w:firstLineChars="200"/>
        <w:jc w:val="left"/>
        <w:rPr>
          <w:rFonts w:hint="eastAsia" w:ascii="宋体" w:hAnsi="宋体" w:eastAsia="宋体" w:cs="宋体"/>
          <w:bCs/>
          <w:iCs/>
          <w:color w:val="auto"/>
          <w:kern w:val="2"/>
          <w:lang w:val="en-US"/>
        </w:rPr>
      </w:pPr>
      <w:r>
        <w:rPr>
          <w:rFonts w:hint="eastAsia" w:ascii="宋体" w:hAnsi="宋体" w:eastAsia="宋体" w:cs="宋体"/>
          <w:bCs/>
          <w:iCs/>
          <w:color w:val="auto"/>
          <w:kern w:val="2"/>
          <w:lang w:val="en-US"/>
        </w:rPr>
        <w:t>3．有保证智能中药房规范运行的工作流程和保证智能中药房规范运行的管理制度，并接受大学方监管。</w:t>
      </w:r>
    </w:p>
    <w:p>
      <w:pPr>
        <w:pStyle w:val="9"/>
        <w:shd w:val="clear" w:color="auto" w:fill="auto"/>
        <w:spacing w:line="360" w:lineRule="auto"/>
        <w:ind w:firstLine="480" w:firstLineChars="200"/>
        <w:jc w:val="left"/>
        <w:rPr>
          <w:rFonts w:hint="eastAsia" w:ascii="宋体" w:hAnsi="宋体" w:eastAsia="宋体" w:cs="宋体"/>
          <w:bCs/>
          <w:iCs/>
          <w:color w:val="auto"/>
          <w:kern w:val="2"/>
          <w:lang w:val="en-US"/>
        </w:rPr>
      </w:pPr>
      <w:r>
        <w:rPr>
          <w:rFonts w:hint="eastAsia" w:ascii="宋体" w:hAnsi="宋体" w:eastAsia="宋体" w:cs="宋体"/>
          <w:bCs/>
          <w:iCs/>
          <w:color w:val="auto"/>
          <w:kern w:val="2"/>
          <w:lang w:val="en-US"/>
        </w:rPr>
        <w:t>4．提供其经营配方颗粒基本目录，并保证此目录内的配方颗粒在采购周期内可持续供货。</w:t>
      </w:r>
    </w:p>
    <w:p>
      <w:pPr>
        <w:pStyle w:val="9"/>
        <w:shd w:val="clear" w:color="auto" w:fill="auto"/>
        <w:spacing w:line="360" w:lineRule="auto"/>
        <w:ind w:firstLine="480" w:firstLineChars="200"/>
        <w:jc w:val="left"/>
        <w:rPr>
          <w:rFonts w:hint="eastAsia" w:ascii="宋体" w:hAnsi="宋体" w:eastAsia="宋体" w:cs="宋体"/>
          <w:bCs/>
          <w:iCs/>
          <w:color w:val="auto"/>
          <w:kern w:val="2"/>
          <w:lang w:val="en-US"/>
        </w:rPr>
      </w:pPr>
      <w:r>
        <w:rPr>
          <w:rFonts w:hint="eastAsia" w:ascii="宋体" w:hAnsi="宋体" w:eastAsia="宋体" w:cs="宋体"/>
          <w:bCs/>
          <w:iCs/>
          <w:color w:val="auto"/>
          <w:kern w:val="2"/>
          <w:lang w:val="en-US"/>
        </w:rPr>
        <w:t xml:space="preserve">5．质量合格率100%；药品满足率100%；缺货率＜1%；产地(生产厂家)符合率100%；有效部位符合率100%。 </w:t>
      </w:r>
    </w:p>
    <w:p>
      <w:pPr>
        <w:pStyle w:val="9"/>
        <w:shd w:val="clear" w:color="auto" w:fill="auto"/>
        <w:spacing w:line="360" w:lineRule="auto"/>
        <w:ind w:firstLine="480" w:firstLineChars="200"/>
        <w:jc w:val="left"/>
        <w:rPr>
          <w:rFonts w:hint="eastAsia" w:ascii="宋体" w:hAnsi="宋体" w:eastAsia="宋体" w:cs="宋体"/>
          <w:bCs/>
          <w:iCs/>
          <w:color w:val="auto"/>
          <w:kern w:val="2"/>
          <w:lang w:val="en-US"/>
        </w:rPr>
      </w:pPr>
      <w:r>
        <w:rPr>
          <w:rFonts w:hint="eastAsia" w:ascii="宋体" w:hAnsi="宋体" w:eastAsia="宋体" w:cs="宋体"/>
          <w:bCs/>
          <w:iCs/>
          <w:color w:val="auto"/>
          <w:kern w:val="2"/>
          <w:lang w:val="en-US"/>
        </w:rPr>
        <w:t>6．投标方须承担的运输、退换（距药品有效期6个月的或破损的药品）等费用。</w:t>
      </w:r>
    </w:p>
    <w:p>
      <w:pPr>
        <w:pStyle w:val="9"/>
        <w:shd w:val="clear" w:color="auto" w:fill="auto"/>
        <w:spacing w:line="360" w:lineRule="auto"/>
        <w:ind w:firstLine="480" w:firstLineChars="200"/>
        <w:jc w:val="left"/>
        <w:rPr>
          <w:rFonts w:hint="eastAsia" w:ascii="宋体" w:hAnsi="宋体" w:eastAsia="宋体" w:cs="宋体"/>
          <w:bCs/>
          <w:iCs/>
          <w:color w:val="auto"/>
          <w:kern w:val="2"/>
          <w:lang w:val="en-US"/>
        </w:rPr>
      </w:pPr>
      <w:r>
        <w:rPr>
          <w:rFonts w:hint="eastAsia" w:ascii="宋体" w:hAnsi="宋体" w:eastAsia="宋体" w:cs="宋体"/>
          <w:bCs/>
          <w:iCs/>
          <w:color w:val="auto"/>
          <w:kern w:val="2"/>
          <w:lang w:val="en-US"/>
        </w:rPr>
        <w:t>7．本项目不允许转包、分包。</w:t>
      </w:r>
    </w:p>
    <w:p>
      <w:pPr>
        <w:pStyle w:val="5"/>
        <w:rPr>
          <w:rFonts w:hint="eastAsia"/>
          <w:color w:val="auto"/>
        </w:rPr>
      </w:pPr>
      <w:bookmarkStart w:id="6" w:name="_Toc31258"/>
      <w:r>
        <w:rPr>
          <w:rFonts w:hint="eastAsia"/>
          <w:color w:val="auto"/>
        </w:rPr>
        <w:t>三、其他要求</w:t>
      </w:r>
      <w:bookmarkEnd w:id="6"/>
    </w:p>
    <w:p>
      <w:pPr>
        <w:pStyle w:val="9"/>
        <w:shd w:val="clear" w:color="auto" w:fill="auto"/>
        <w:spacing w:line="360" w:lineRule="auto"/>
        <w:ind w:firstLine="480" w:firstLineChars="200"/>
        <w:jc w:val="left"/>
        <w:rPr>
          <w:rFonts w:hint="eastAsia" w:ascii="宋体" w:hAnsi="宋体" w:eastAsia="宋体" w:cs="宋体"/>
          <w:bCs/>
          <w:iCs/>
          <w:color w:val="auto"/>
          <w:kern w:val="2"/>
          <w:lang w:val="en-US"/>
        </w:rPr>
      </w:pPr>
      <w:r>
        <w:rPr>
          <w:rFonts w:hint="eastAsia" w:ascii="宋体" w:hAnsi="宋体" w:eastAsia="宋体" w:cs="宋体"/>
          <w:bCs/>
          <w:iCs/>
          <w:color w:val="auto"/>
          <w:kern w:val="2"/>
          <w:lang w:val="en-US"/>
        </w:rPr>
        <w:t>1．供需双方在药品购销过程中严格执行《药品管理法》《医疗机构药事管理规定》和《处方管理办法》等法律法规的有关规定，诚信经营。</w:t>
      </w:r>
    </w:p>
    <w:p>
      <w:pPr>
        <w:pStyle w:val="9"/>
        <w:shd w:val="clear" w:color="auto" w:fill="auto"/>
        <w:spacing w:line="360" w:lineRule="auto"/>
        <w:ind w:firstLine="480" w:firstLineChars="200"/>
        <w:jc w:val="left"/>
        <w:rPr>
          <w:rFonts w:hint="eastAsia" w:ascii="宋体" w:hAnsi="宋体" w:eastAsia="宋体" w:cs="宋体"/>
          <w:bCs/>
          <w:iCs/>
          <w:color w:val="auto"/>
          <w:kern w:val="2"/>
          <w:lang w:val="en-US"/>
        </w:rPr>
      </w:pPr>
      <w:r>
        <w:rPr>
          <w:rFonts w:hint="eastAsia" w:ascii="宋体" w:hAnsi="宋体" w:eastAsia="宋体" w:cs="宋体"/>
          <w:bCs/>
          <w:iCs/>
          <w:color w:val="auto"/>
          <w:kern w:val="2"/>
          <w:lang w:val="en-US"/>
        </w:rPr>
        <w:t>2．中标企业在保证药品质量、执行国家物价的前提下按约定的药品品种、剂型、规格、数量、价格、供货方式等供货，保证临床用药不断档。</w:t>
      </w:r>
    </w:p>
    <w:p>
      <w:pPr>
        <w:pStyle w:val="9"/>
        <w:shd w:val="clear" w:color="auto" w:fill="auto"/>
        <w:spacing w:line="360" w:lineRule="auto"/>
        <w:ind w:firstLine="480" w:firstLineChars="200"/>
        <w:jc w:val="left"/>
        <w:rPr>
          <w:rFonts w:hint="eastAsia" w:ascii="宋体" w:hAnsi="宋体" w:eastAsia="宋体" w:cs="宋体"/>
          <w:bCs/>
          <w:iCs/>
          <w:color w:val="auto"/>
          <w:kern w:val="2"/>
          <w:lang w:val="en-US"/>
        </w:rPr>
      </w:pPr>
      <w:r>
        <w:rPr>
          <w:rFonts w:hint="eastAsia" w:ascii="宋体" w:hAnsi="宋体" w:eastAsia="宋体" w:cs="宋体"/>
          <w:bCs/>
          <w:iCs/>
          <w:color w:val="auto"/>
          <w:kern w:val="2"/>
          <w:lang w:val="en-US"/>
        </w:rPr>
        <w:t>3．中标企业必须产品齐全，不得以任何借口（如无货，采购量少等）不执行医院药品采购计划。</w:t>
      </w:r>
    </w:p>
    <w:p>
      <w:pPr>
        <w:pStyle w:val="9"/>
        <w:shd w:val="clear" w:color="auto" w:fill="auto"/>
        <w:spacing w:line="360" w:lineRule="auto"/>
        <w:ind w:firstLine="480" w:firstLineChars="200"/>
        <w:jc w:val="left"/>
        <w:rPr>
          <w:rFonts w:hint="eastAsia" w:ascii="宋体" w:hAnsi="宋体" w:eastAsia="宋体" w:cs="宋体"/>
          <w:bCs/>
          <w:iCs/>
          <w:color w:val="auto"/>
          <w:kern w:val="2"/>
          <w:lang w:val="en-US"/>
        </w:rPr>
      </w:pPr>
      <w:r>
        <w:rPr>
          <w:rFonts w:hint="eastAsia" w:ascii="宋体" w:hAnsi="宋体" w:eastAsia="宋体" w:cs="宋体"/>
          <w:bCs/>
          <w:iCs/>
          <w:color w:val="auto"/>
          <w:kern w:val="2"/>
          <w:lang w:val="en-US"/>
        </w:rPr>
        <w:t>4．医院将根据签约承诺内容对签约方进行考核，违约将报院纪委备案并告知供货商，两次违约将终止合同。</w:t>
      </w:r>
    </w:p>
    <w:p>
      <w:pPr>
        <w:pStyle w:val="9"/>
        <w:shd w:val="clear" w:color="auto" w:fill="auto"/>
        <w:spacing w:line="360" w:lineRule="auto"/>
        <w:ind w:firstLine="480" w:firstLineChars="200"/>
        <w:jc w:val="left"/>
        <w:rPr>
          <w:rFonts w:hint="eastAsia" w:ascii="宋体" w:hAnsi="宋体" w:eastAsia="宋体" w:cs="宋体"/>
          <w:bCs/>
          <w:iCs/>
          <w:color w:val="auto"/>
          <w:kern w:val="2"/>
          <w:lang w:val="en-US"/>
        </w:rPr>
      </w:pPr>
      <w:r>
        <w:rPr>
          <w:rFonts w:hint="eastAsia" w:ascii="宋体" w:hAnsi="宋体" w:eastAsia="宋体" w:cs="宋体"/>
          <w:bCs/>
          <w:iCs/>
          <w:color w:val="auto"/>
          <w:kern w:val="2"/>
          <w:lang w:val="en-US"/>
        </w:rPr>
        <w:t>5．中标企业派驻医院方的工作人员应有国家规定的上岗资质，在无国家规定时应通过相关部门的培训考核合格。</w:t>
      </w:r>
    </w:p>
    <w:p>
      <w:pPr>
        <w:pStyle w:val="9"/>
        <w:shd w:val="clear" w:color="auto" w:fill="auto"/>
        <w:spacing w:line="360" w:lineRule="auto"/>
        <w:ind w:firstLine="480" w:firstLineChars="200"/>
        <w:jc w:val="left"/>
        <w:rPr>
          <w:rFonts w:hint="eastAsia" w:ascii="宋体" w:hAnsi="宋体" w:eastAsia="宋体" w:cs="宋体"/>
          <w:bCs/>
          <w:iCs/>
          <w:color w:val="auto"/>
          <w:kern w:val="2"/>
          <w:lang w:val="en-US"/>
        </w:rPr>
      </w:pPr>
      <w:r>
        <w:rPr>
          <w:rFonts w:hint="eastAsia" w:ascii="宋体" w:hAnsi="宋体" w:eastAsia="宋体" w:cs="宋体"/>
          <w:bCs/>
          <w:iCs/>
          <w:color w:val="auto"/>
          <w:kern w:val="2"/>
          <w:lang w:val="en-US"/>
        </w:rPr>
        <w:t>6．招标方仅提供现有中药配方颗粒的配方用房。</w:t>
      </w:r>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8C50EB"/>
    <w:rsid w:val="4A8C50EB"/>
    <w:rsid w:val="7BD92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4"/>
      <w:szCs w:val="24"/>
      <w:lang w:val="en-US" w:eastAsia="zh-CN" w:bidi="ar-SA"/>
    </w:rPr>
  </w:style>
  <w:style w:type="paragraph" w:styleId="4">
    <w:name w:val="heading 1"/>
    <w:basedOn w:val="1"/>
    <w:next w:val="1"/>
    <w:qFormat/>
    <w:uiPriority w:val="0"/>
    <w:pPr>
      <w:keepNext/>
      <w:keepLines/>
      <w:spacing w:before="100" w:after="90" w:line="480" w:lineRule="auto"/>
      <w:jc w:val="center"/>
      <w:outlineLvl w:val="0"/>
    </w:pPr>
    <w:rPr>
      <w:rFonts w:ascii="宋体" w:hAnsi="宋体" w:cs="Times New Roman"/>
      <w:b/>
      <w:color w:val="000000"/>
      <w:kern w:val="44"/>
      <w:sz w:val="32"/>
      <w:szCs w:val="32"/>
    </w:rPr>
  </w:style>
  <w:style w:type="paragraph" w:styleId="5">
    <w:name w:val="heading 2"/>
    <w:basedOn w:val="1"/>
    <w:next w:val="1"/>
    <w:qFormat/>
    <w:uiPriority w:val="0"/>
    <w:pPr>
      <w:keepNext/>
      <w:keepLines/>
      <w:spacing w:line="360" w:lineRule="auto"/>
      <w:jc w:val="left"/>
      <w:outlineLvl w:val="1"/>
    </w:pPr>
    <w:rPr>
      <w:rFonts w:cs="Times New Roman"/>
      <w:b/>
      <w:bCs/>
      <w:color w:val="000000"/>
      <w:spacing w:val="-6"/>
      <w:kern w:val="0"/>
      <w:szCs w:val="30"/>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6">
    <w:name w:val="footer"/>
    <w:basedOn w:val="1"/>
    <w:qFormat/>
    <w:uiPriority w:val="0"/>
    <w:pPr>
      <w:tabs>
        <w:tab w:val="center" w:pos="4153"/>
        <w:tab w:val="right" w:pos="8306"/>
      </w:tabs>
      <w:snapToGrid w:val="0"/>
      <w:jc w:val="left"/>
    </w:pPr>
    <w:rPr>
      <w:sz w:val="18"/>
      <w:szCs w:val="18"/>
    </w:rPr>
  </w:style>
  <w:style w:type="paragraph" w:customStyle="1" w:styleId="9">
    <w:name w:val="正文文本 (5)1"/>
    <w:basedOn w:val="1"/>
    <w:qFormat/>
    <w:uiPriority w:val="0"/>
    <w:pPr>
      <w:shd w:val="clear" w:color="auto" w:fill="FFFFFF"/>
      <w:spacing w:line="475" w:lineRule="exact"/>
      <w:jc w:val="distribute"/>
    </w:pPr>
    <w:rPr>
      <w:rFonts w:ascii="MingLiU" w:hAnsi="MingLiU" w:eastAsia="MingLiU" w:cs="MingLiU"/>
      <w:color w:val="000000"/>
      <w:kern w:val="0"/>
      <w:sz w:val="24"/>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2019-10-21T08:57:00Z</dcterms:created>
  <dc:creator>dell</dc:creator>
  <cp:lastModifiedBy>dell</cp:lastModifiedBy>
  <dcterms:modified xsi:type="dcterms:W3CDTF">2019-10-21T08:58:07Z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