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utoSpaceDE w:val="0"/>
        <w:autoSpaceDN w:val="0"/>
        <w:adjustRightInd w:val="0"/>
        <w:spacing w:line="400" w:lineRule="exact"/>
        <w:jc w:val="center"/>
        <w:rPr>
          <w:rFonts w:hint="eastAsia" w:ascii="黑体" w:eastAsia="黑体" w:cs="黑体"/>
          <w:color w:val="auto"/>
          <w:sz w:val="32"/>
          <w:szCs w:val="32"/>
          <w:highlight w:val="none"/>
          <w:lang w:val="zh-CN"/>
        </w:rPr>
      </w:pPr>
      <w:r>
        <w:rPr>
          <w:rFonts w:hint="eastAsia" w:ascii="黑体" w:eastAsia="黑体" w:cs="黑体"/>
          <w:color w:val="auto"/>
          <w:sz w:val="32"/>
          <w:szCs w:val="32"/>
          <w:highlight w:val="none"/>
          <w:lang w:val="zh-CN"/>
        </w:rPr>
        <w:t>工程量清单编制说明</w:t>
      </w:r>
    </w:p>
    <w:p>
      <w:pPr>
        <w:tabs>
          <w:tab w:val="left" w:pos="0"/>
        </w:tabs>
        <w:autoSpaceDE w:val="0"/>
        <w:autoSpaceDN w:val="0"/>
        <w:adjustRightIn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zh-CN"/>
        </w:rPr>
        <w:t>工程名称：</w:t>
      </w:r>
      <w:r>
        <w:rPr>
          <w:rFonts w:hint="eastAsia" w:ascii="宋体" w:hAnsi="宋体" w:cs="宋体"/>
          <w:color w:val="auto"/>
          <w:szCs w:val="21"/>
          <w:highlight w:val="none"/>
          <w:lang w:val="en-US" w:eastAsia="zh-CN"/>
        </w:rPr>
        <w:t>2号楼及10号楼门厅改造工程</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8" w:hRule="atLeast"/>
        </w:trPr>
        <w:tc>
          <w:tcPr>
            <w:tcW w:w="9514" w:type="dxa"/>
            <w:vAlign w:val="top"/>
          </w:tcPr>
          <w:p>
            <w:pPr>
              <w:keepNext w:val="0"/>
              <w:keepLines w:val="0"/>
              <w:pageBreakBefore w:val="0"/>
              <w:widowControl w:val="0"/>
              <w:numPr>
                <w:ilvl w:val="0"/>
                <w:numId w:val="1"/>
              </w:numPr>
              <w:kinsoku/>
              <w:wordWrap/>
              <w:overflowPunct/>
              <w:topLinePunct w:val="0"/>
              <w:bidi w:val="0"/>
              <w:adjustRightInd w:val="0"/>
              <w:snapToGrid w:val="0"/>
              <w:spacing w:line="380" w:lineRule="exact"/>
              <w:ind w:left="0" w:leftChars="0" w:firstLine="0" w:firstLineChars="0"/>
              <w:rPr>
                <w:rFonts w:hint="eastAsia"/>
                <w:b/>
                <w:bCs/>
                <w:highlight w:val="none"/>
              </w:rPr>
            </w:pPr>
            <w:r>
              <w:rPr>
                <w:rFonts w:hint="eastAsia"/>
                <w:b/>
                <w:bCs/>
                <w:highlight w:val="none"/>
              </w:rPr>
              <w:t>工程概况：</w:t>
            </w:r>
          </w:p>
          <w:p>
            <w:pPr>
              <w:keepNext w:val="0"/>
              <w:keepLines w:val="0"/>
              <w:pageBreakBefore w:val="0"/>
              <w:widowControl w:val="0"/>
              <w:numPr>
                <w:ilvl w:val="0"/>
                <w:numId w:val="0"/>
              </w:numPr>
              <w:kinsoku/>
              <w:wordWrap/>
              <w:overflowPunct/>
              <w:topLinePunct w:val="0"/>
              <w:bidi w:val="0"/>
              <w:adjustRightInd w:val="0"/>
              <w:snapToGrid w:val="0"/>
              <w:spacing w:line="380" w:lineRule="exact"/>
              <w:ind w:leftChars="0" w:firstLine="420" w:firstLineChars="200"/>
              <w:rPr>
                <w:rFonts w:hint="eastAsia" w:eastAsia="宋体"/>
                <w:szCs w:val="22"/>
                <w:highlight w:val="none"/>
                <w:lang w:val="en-US" w:eastAsia="zh-CN"/>
              </w:rPr>
            </w:pPr>
            <w:r>
              <w:rPr>
                <w:rFonts w:hint="eastAsia"/>
                <w:szCs w:val="22"/>
                <w:highlight w:val="none"/>
                <w:lang w:val="en-US" w:eastAsia="zh-CN"/>
              </w:rPr>
              <w:t>本项目为</w:t>
            </w:r>
            <w:r>
              <w:rPr>
                <w:rFonts w:hint="eastAsia" w:ascii="宋体" w:hAnsi="宋体" w:cs="宋体"/>
                <w:color w:val="auto"/>
                <w:szCs w:val="21"/>
                <w:highlight w:val="none"/>
                <w:lang w:val="en-US" w:eastAsia="zh-CN"/>
              </w:rPr>
              <w:t>2号楼及10号楼门厅改造工程</w:t>
            </w:r>
            <w:r>
              <w:rPr>
                <w:rFonts w:hint="eastAsia"/>
                <w:szCs w:val="22"/>
                <w:highlight w:val="none"/>
                <w:lang w:val="en-US" w:eastAsia="zh-CN"/>
              </w:rPr>
              <w:t>，工程地址位于</w:t>
            </w:r>
            <w:r>
              <w:rPr>
                <w:rFonts w:hint="eastAsia" w:cs="宋体"/>
                <w:kern w:val="0"/>
                <w:sz w:val="21"/>
                <w:szCs w:val="21"/>
                <w:highlight w:val="none"/>
              </w:rPr>
              <w:t>浙江省</w:t>
            </w:r>
            <w:r>
              <w:rPr>
                <w:rFonts w:hint="eastAsia" w:cs="宋体"/>
                <w:kern w:val="0"/>
                <w:sz w:val="21"/>
                <w:szCs w:val="21"/>
                <w:highlight w:val="none"/>
                <w:lang w:val="en-US" w:eastAsia="zh-CN"/>
              </w:rPr>
              <w:t>杭州</w:t>
            </w:r>
            <w:r>
              <w:rPr>
                <w:rFonts w:hint="eastAsia" w:cs="宋体"/>
                <w:kern w:val="0"/>
                <w:sz w:val="21"/>
                <w:szCs w:val="21"/>
                <w:highlight w:val="none"/>
              </w:rPr>
              <w:t>市</w:t>
            </w:r>
            <w:r>
              <w:rPr>
                <w:rFonts w:hint="eastAsia" w:cs="宋体"/>
                <w:kern w:val="0"/>
                <w:sz w:val="21"/>
                <w:szCs w:val="21"/>
                <w:highlight w:val="none"/>
                <w:lang w:eastAsia="zh-CN"/>
              </w:rPr>
              <w:t>。</w:t>
            </w:r>
          </w:p>
          <w:p>
            <w:pPr>
              <w:keepNext w:val="0"/>
              <w:keepLines w:val="0"/>
              <w:pageBreakBefore w:val="0"/>
              <w:widowControl w:val="0"/>
              <w:numPr>
                <w:ilvl w:val="0"/>
                <w:numId w:val="1"/>
              </w:numPr>
              <w:kinsoku/>
              <w:wordWrap/>
              <w:overflowPunct/>
              <w:topLinePunct w:val="0"/>
              <w:bidi w:val="0"/>
              <w:adjustRightInd w:val="0"/>
              <w:snapToGrid w:val="0"/>
              <w:spacing w:line="380" w:lineRule="exact"/>
              <w:ind w:left="0" w:leftChars="0" w:firstLine="0" w:firstLineChars="0"/>
              <w:rPr>
                <w:rFonts w:hint="eastAsia"/>
                <w:b/>
                <w:bCs/>
                <w:szCs w:val="22"/>
                <w:highlight w:val="none"/>
              </w:rPr>
            </w:pPr>
            <w:r>
              <w:rPr>
                <w:rFonts w:hint="eastAsia"/>
                <w:b/>
                <w:bCs/>
                <w:szCs w:val="22"/>
                <w:highlight w:val="none"/>
              </w:rPr>
              <w:t>编制依据：</w:t>
            </w:r>
          </w:p>
          <w:p>
            <w:pPr>
              <w:keepNext w:val="0"/>
              <w:keepLines w:val="0"/>
              <w:pageBreakBefore w:val="0"/>
              <w:widowControl w:val="0"/>
              <w:numPr>
                <w:ilvl w:val="0"/>
                <w:numId w:val="2"/>
              </w:numPr>
              <w:kinsoku/>
              <w:wordWrap/>
              <w:overflowPunct/>
              <w:topLinePunct w:val="0"/>
              <w:bidi w:val="0"/>
              <w:adjustRightInd w:val="0"/>
              <w:snapToGrid w:val="0"/>
              <w:spacing w:line="380" w:lineRule="exact"/>
              <w:ind w:left="0" w:leftChars="0" w:firstLine="420" w:firstLineChars="200"/>
              <w:rPr>
                <w:rFonts w:hint="eastAsia"/>
                <w:szCs w:val="22"/>
                <w:highlight w:val="none"/>
                <w:lang w:val="en-US" w:eastAsia="zh-CN"/>
              </w:rPr>
            </w:pPr>
            <w:r>
              <w:rPr>
                <w:rFonts w:hint="eastAsia"/>
                <w:szCs w:val="22"/>
                <w:highlight w:val="none"/>
                <w:lang w:val="en-US" w:eastAsia="zh-CN"/>
              </w:rPr>
              <w:t>施工图。</w:t>
            </w:r>
          </w:p>
          <w:p>
            <w:pPr>
              <w:keepNext w:val="0"/>
              <w:keepLines w:val="0"/>
              <w:pageBreakBefore w:val="0"/>
              <w:widowControl w:val="0"/>
              <w:numPr>
                <w:ilvl w:val="0"/>
                <w:numId w:val="2"/>
              </w:numPr>
              <w:kinsoku/>
              <w:wordWrap/>
              <w:overflowPunct/>
              <w:topLinePunct w:val="0"/>
              <w:bidi w:val="0"/>
              <w:adjustRightInd w:val="0"/>
              <w:snapToGrid w:val="0"/>
              <w:spacing w:line="380" w:lineRule="exact"/>
              <w:ind w:left="0" w:leftChars="0" w:firstLine="420" w:firstLineChars="200"/>
              <w:rPr>
                <w:rFonts w:hint="eastAsia"/>
                <w:szCs w:val="22"/>
                <w:highlight w:val="none"/>
                <w:lang w:val="en-US" w:eastAsia="zh-CN"/>
              </w:rPr>
            </w:pPr>
            <w:r>
              <w:rPr>
                <w:rFonts w:hint="eastAsia"/>
                <w:szCs w:val="22"/>
                <w:highlight w:val="none"/>
                <w:lang w:val="en-US" w:eastAsia="zh-CN"/>
              </w:rPr>
              <w:t>《建设工程工程量清单计价规范（GB50500-2013）》、《房屋建筑与装饰工程工程量计算规范（GB50854-2013）》、《通用安装工程工程量计算规范（GB50856-2013）》、《浙江省房屋建筑与装饰工程预算定额（2018版）》、《浙江省通用安装工程预算定额（2018版）》、《浙江省建设工程计价规则（2018版）》以及相应解释和勘误等资料。</w:t>
            </w:r>
          </w:p>
          <w:p>
            <w:pPr>
              <w:keepNext w:val="0"/>
              <w:keepLines w:val="0"/>
              <w:pageBreakBefore w:val="0"/>
              <w:widowControl w:val="0"/>
              <w:numPr>
                <w:ilvl w:val="0"/>
                <w:numId w:val="2"/>
              </w:numPr>
              <w:kinsoku/>
              <w:wordWrap/>
              <w:overflowPunct/>
              <w:topLinePunct w:val="0"/>
              <w:bidi w:val="0"/>
              <w:adjustRightInd w:val="0"/>
              <w:snapToGrid w:val="0"/>
              <w:spacing w:line="380" w:lineRule="exact"/>
              <w:ind w:left="0" w:leftChars="0" w:firstLine="420" w:firstLineChars="200"/>
              <w:rPr>
                <w:rFonts w:hint="eastAsia"/>
                <w:szCs w:val="22"/>
                <w:highlight w:val="none"/>
                <w:lang w:val="en-US" w:eastAsia="zh-CN"/>
              </w:rPr>
            </w:pPr>
            <w:r>
              <w:rPr>
                <w:rFonts w:hint="eastAsia"/>
                <w:szCs w:val="22"/>
                <w:highlight w:val="none"/>
                <w:lang w:val="en-US" w:eastAsia="zh-CN"/>
              </w:rPr>
              <w:t>与本工程有关的标准（包括标准图集）、规范、技术资料解释等。</w:t>
            </w:r>
          </w:p>
          <w:p>
            <w:pPr>
              <w:keepNext w:val="0"/>
              <w:keepLines w:val="0"/>
              <w:pageBreakBefore w:val="0"/>
              <w:widowControl w:val="0"/>
              <w:numPr>
                <w:ilvl w:val="0"/>
                <w:numId w:val="2"/>
              </w:numPr>
              <w:kinsoku/>
              <w:wordWrap/>
              <w:overflowPunct/>
              <w:topLinePunct w:val="0"/>
              <w:bidi w:val="0"/>
              <w:adjustRightInd w:val="0"/>
              <w:snapToGrid w:val="0"/>
              <w:spacing w:line="380" w:lineRule="exact"/>
              <w:ind w:left="0" w:leftChars="0" w:firstLine="420" w:firstLineChars="200"/>
              <w:rPr>
                <w:rFonts w:hint="eastAsia"/>
                <w:szCs w:val="22"/>
                <w:highlight w:val="none"/>
                <w:lang w:val="en-US" w:eastAsia="zh-CN"/>
              </w:rPr>
            </w:pPr>
            <w:r>
              <w:rPr>
                <w:rFonts w:hint="eastAsia"/>
                <w:szCs w:val="22"/>
                <w:highlight w:val="none"/>
                <w:lang w:val="en-US" w:eastAsia="zh-CN"/>
              </w:rPr>
              <w:t>业主提供的相关资料、会议纪要、与业主和设计的往来函件等。</w:t>
            </w:r>
          </w:p>
          <w:p>
            <w:pPr>
              <w:keepNext w:val="0"/>
              <w:keepLines w:val="0"/>
              <w:pageBreakBefore w:val="0"/>
              <w:widowControl w:val="0"/>
              <w:numPr>
                <w:ilvl w:val="0"/>
                <w:numId w:val="1"/>
              </w:numPr>
              <w:kinsoku/>
              <w:wordWrap/>
              <w:overflowPunct/>
              <w:topLinePunct w:val="0"/>
              <w:bidi w:val="0"/>
              <w:adjustRightInd w:val="0"/>
              <w:snapToGrid w:val="0"/>
              <w:spacing w:line="380" w:lineRule="exact"/>
              <w:ind w:left="0" w:leftChars="0" w:firstLine="0" w:firstLineChars="0"/>
              <w:rPr>
                <w:rFonts w:hint="eastAsia"/>
                <w:b/>
                <w:bCs/>
                <w:szCs w:val="22"/>
                <w:highlight w:val="none"/>
              </w:rPr>
            </w:pPr>
            <w:r>
              <w:rPr>
                <w:rFonts w:hint="eastAsia"/>
                <w:b/>
                <w:bCs/>
                <w:szCs w:val="22"/>
                <w:highlight w:val="none"/>
              </w:rPr>
              <w:t>编制范围：</w:t>
            </w:r>
          </w:p>
          <w:p>
            <w:pPr>
              <w:tabs>
                <w:tab w:val="left" w:pos="0"/>
              </w:tabs>
              <w:autoSpaceDE w:val="0"/>
              <w:autoSpaceDN w:val="0"/>
              <w:adjustRightInd w:val="0"/>
              <w:spacing w:line="400" w:lineRule="exact"/>
              <w:ind w:firstLine="420" w:firstLineChars="200"/>
              <w:jc w:val="left"/>
              <w:rPr>
                <w:rFonts w:hint="eastAsia"/>
                <w:szCs w:val="22"/>
                <w:highlight w:val="none"/>
                <w:lang w:val="en-US" w:eastAsia="zh-CN"/>
              </w:rPr>
            </w:pPr>
            <w:r>
              <w:rPr>
                <w:rFonts w:hint="eastAsia"/>
                <w:szCs w:val="22"/>
                <w:highlight w:val="none"/>
                <w:lang w:val="en-US" w:eastAsia="zh-CN"/>
              </w:rPr>
              <w:t>本清单编制范围为：</w:t>
            </w:r>
            <w:r>
              <w:rPr>
                <w:rFonts w:hint="eastAsia" w:ascii="宋体" w:hAnsi="宋体" w:cs="宋体"/>
                <w:color w:val="auto"/>
                <w:szCs w:val="21"/>
                <w:highlight w:val="none"/>
                <w:lang w:val="en-US" w:eastAsia="zh-CN"/>
              </w:rPr>
              <w:t>2号楼及10号楼门厅改造内的</w:t>
            </w:r>
            <w:r>
              <w:rPr>
                <w:rFonts w:hint="eastAsia" w:cs="宋体"/>
                <w:kern w:val="0"/>
                <w:sz w:val="21"/>
                <w:szCs w:val="21"/>
                <w:highlight w:val="none"/>
                <w:lang w:val="en-US" w:eastAsia="zh-CN"/>
              </w:rPr>
              <w:t>土建工程、电气工程</w:t>
            </w:r>
            <w:r>
              <w:rPr>
                <w:rFonts w:hint="eastAsia"/>
                <w:szCs w:val="22"/>
                <w:highlight w:val="none"/>
                <w:lang w:val="en-US" w:eastAsia="zh-CN"/>
              </w:rPr>
              <w:t>等内容，</w:t>
            </w:r>
            <w:r>
              <w:rPr>
                <w:rFonts w:hint="eastAsia" w:ascii="宋体" w:hAnsi="宋体" w:eastAsia="宋体" w:cs="宋体"/>
                <w:sz w:val="21"/>
                <w:szCs w:val="21"/>
                <w:highlight w:val="none"/>
              </w:rPr>
              <w:t>具体以提供的设计施工图纸及工程量清单及其编制说明、</w:t>
            </w:r>
            <w:r>
              <w:rPr>
                <w:rFonts w:hint="eastAsia" w:ascii="宋体" w:hAnsi="宋体" w:cs="宋体"/>
                <w:sz w:val="21"/>
                <w:szCs w:val="21"/>
                <w:highlight w:val="none"/>
                <w:lang w:eastAsia="zh-CN"/>
              </w:rPr>
              <w:t>磋商文件</w:t>
            </w:r>
            <w:r>
              <w:rPr>
                <w:rFonts w:hint="eastAsia" w:ascii="宋体" w:hAnsi="宋体" w:eastAsia="宋体" w:cs="宋体"/>
                <w:sz w:val="21"/>
                <w:szCs w:val="21"/>
                <w:highlight w:val="none"/>
              </w:rPr>
              <w:t>中明确的内容为准</w:t>
            </w:r>
            <w:r>
              <w:rPr>
                <w:rFonts w:hint="eastAsia"/>
                <w:szCs w:val="22"/>
                <w:highlight w:val="none"/>
                <w:lang w:val="en-US" w:eastAsia="zh-CN"/>
              </w:rPr>
              <w:t>。</w:t>
            </w:r>
          </w:p>
          <w:p>
            <w:pPr>
              <w:keepNext w:val="0"/>
              <w:keepLines w:val="0"/>
              <w:pageBreakBefore w:val="0"/>
              <w:widowControl w:val="0"/>
              <w:numPr>
                <w:ilvl w:val="0"/>
                <w:numId w:val="1"/>
              </w:numPr>
              <w:kinsoku/>
              <w:wordWrap/>
              <w:overflowPunct/>
              <w:topLinePunct w:val="0"/>
              <w:bidi w:val="0"/>
              <w:adjustRightInd w:val="0"/>
              <w:snapToGrid w:val="0"/>
              <w:spacing w:line="380" w:lineRule="exact"/>
              <w:ind w:left="0" w:leftChars="0" w:firstLine="0" w:firstLineChars="0"/>
              <w:rPr>
                <w:rFonts w:hint="eastAsia"/>
                <w:b/>
                <w:bCs/>
                <w:szCs w:val="22"/>
                <w:highlight w:val="none"/>
              </w:rPr>
            </w:pPr>
            <w:r>
              <w:rPr>
                <w:rFonts w:hint="eastAsia"/>
                <w:b/>
                <w:bCs/>
                <w:szCs w:val="22"/>
                <w:highlight w:val="none"/>
              </w:rPr>
              <w:t>工程质量、工期、材料、施工等要求：（详见</w:t>
            </w:r>
            <w:r>
              <w:rPr>
                <w:rFonts w:hint="eastAsia"/>
                <w:b/>
                <w:bCs/>
                <w:szCs w:val="22"/>
                <w:highlight w:val="none"/>
                <w:lang w:eastAsia="zh-CN"/>
              </w:rPr>
              <w:t>磋商文件</w:t>
            </w:r>
            <w:r>
              <w:rPr>
                <w:rFonts w:hint="eastAsia"/>
                <w:b/>
                <w:bCs/>
                <w:szCs w:val="22"/>
                <w:highlight w:val="none"/>
              </w:rPr>
              <w:t>）</w:t>
            </w:r>
          </w:p>
          <w:p>
            <w:pPr>
              <w:keepNext w:val="0"/>
              <w:keepLines w:val="0"/>
              <w:pageBreakBefore w:val="0"/>
              <w:widowControl w:val="0"/>
              <w:numPr>
                <w:ilvl w:val="0"/>
                <w:numId w:val="1"/>
              </w:numPr>
              <w:kinsoku/>
              <w:wordWrap/>
              <w:overflowPunct/>
              <w:topLinePunct w:val="0"/>
              <w:bidi w:val="0"/>
              <w:adjustRightInd w:val="0"/>
              <w:snapToGrid w:val="0"/>
              <w:spacing w:line="380" w:lineRule="exact"/>
              <w:ind w:left="0" w:leftChars="0" w:firstLine="0" w:firstLineChars="0"/>
              <w:rPr>
                <w:rFonts w:hint="eastAsia"/>
                <w:b/>
                <w:bCs/>
                <w:szCs w:val="22"/>
                <w:highlight w:val="none"/>
              </w:rPr>
            </w:pPr>
            <w:r>
              <w:rPr>
                <w:rFonts w:hint="eastAsia"/>
                <w:b/>
                <w:bCs/>
                <w:szCs w:val="22"/>
                <w:highlight w:val="none"/>
              </w:rPr>
              <w:t>其他说明的事项：</w:t>
            </w:r>
          </w:p>
          <w:p>
            <w:pPr>
              <w:keepNext w:val="0"/>
              <w:keepLines w:val="0"/>
              <w:pageBreakBefore w:val="0"/>
              <w:widowControl w:val="0"/>
              <w:numPr>
                <w:ilvl w:val="0"/>
                <w:numId w:val="3"/>
              </w:numPr>
              <w:kinsoku/>
              <w:wordWrap/>
              <w:overflowPunct/>
              <w:topLinePunct w:val="0"/>
              <w:bidi w:val="0"/>
              <w:adjustRightInd w:val="0"/>
              <w:snapToGrid w:val="0"/>
              <w:spacing w:line="380" w:lineRule="exact"/>
              <w:ind w:left="0" w:leftChars="0" w:firstLine="420" w:firstLineChars="200"/>
              <w:rPr>
                <w:rFonts w:hint="default"/>
                <w:highlight w:val="none"/>
                <w:lang w:val="en-US" w:eastAsia="zh-CN"/>
              </w:rPr>
            </w:pPr>
            <w:r>
              <w:rPr>
                <w:rFonts w:hint="eastAsia"/>
                <w:highlight w:val="none"/>
              </w:rPr>
              <w:t>取费</w:t>
            </w:r>
            <w:r>
              <w:rPr>
                <w:rFonts w:hint="eastAsia"/>
                <w:highlight w:val="none"/>
                <w:lang w:val="en-US" w:eastAsia="zh-CN"/>
              </w:rPr>
              <w:t>及报价说明</w:t>
            </w:r>
          </w:p>
          <w:p>
            <w:pPr>
              <w:keepNext w:val="0"/>
              <w:keepLines w:val="0"/>
              <w:pageBreakBefore w:val="0"/>
              <w:widowControl w:val="0"/>
              <w:numPr>
                <w:ilvl w:val="0"/>
                <w:numId w:val="4"/>
              </w:numPr>
              <w:kinsoku/>
              <w:wordWrap/>
              <w:overflowPunct/>
              <w:topLinePunct w:val="0"/>
              <w:bidi w:val="0"/>
              <w:adjustRightInd w:val="0"/>
              <w:snapToGrid w:val="0"/>
              <w:spacing w:line="380" w:lineRule="exact"/>
              <w:ind w:firstLine="420" w:firstLineChars="200"/>
              <w:rPr>
                <w:rFonts w:hint="eastAsia" w:ascii="Calibri" w:hAnsi="Calibri" w:eastAsia="宋体" w:cs="Times New Roman"/>
                <w:snapToGrid w:val="0"/>
                <w:kern w:val="0"/>
                <w:sz w:val="21"/>
                <w:szCs w:val="22"/>
                <w:highlight w:val="none"/>
                <w:lang w:val="en-US" w:eastAsia="zh-CN" w:bidi="ar-SA"/>
              </w:rPr>
            </w:pPr>
            <w:r>
              <w:rPr>
                <w:rFonts w:hint="eastAsia"/>
                <w:highlight w:val="none"/>
                <w:lang w:val="en-US" w:eastAsia="zh-CN"/>
              </w:rPr>
              <w:t>安全文明施工费用必须充分保证。投标单位应根据《关于建筑业实施营改增后浙江省建设工程计价规则调整的通知》（建建发[2016]144号）、</w:t>
            </w:r>
            <w:r>
              <w:rPr>
                <w:rFonts w:hint="eastAsia"/>
                <w:szCs w:val="22"/>
                <w:highlight w:val="none"/>
                <w:lang w:val="en-US" w:eastAsia="zh-CN"/>
              </w:rPr>
              <w:t>《省建设厅关于调整建设工程安全文明施工费的通知》（浙建建发[2022]37号）、</w:t>
            </w:r>
            <w:r>
              <w:rPr>
                <w:rFonts w:hint="eastAsia"/>
                <w:highlight w:val="none"/>
                <w:lang w:val="en-US" w:eastAsia="zh-CN"/>
              </w:rPr>
              <w:t>《关于发布营改增后浙江省建设工程施工取费费率的通知》（浙建站定[2016]23号）及《浙江省建设工程计价规则》（2018版）施工取费的相关规定，投标报价不得低于相应基准费率的90%（即施工取费费率的下限）计取，具体如下：</w:t>
            </w:r>
          </w:p>
          <w:p>
            <w:pPr>
              <w:keepNext w:val="0"/>
              <w:keepLines w:val="0"/>
              <w:pageBreakBefore w:val="0"/>
              <w:widowControl w:val="0"/>
              <w:numPr>
                <w:ilvl w:val="0"/>
                <w:numId w:val="0"/>
              </w:numPr>
              <w:kinsoku/>
              <w:wordWrap/>
              <w:overflowPunct/>
              <w:topLinePunct w:val="0"/>
              <w:bidi w:val="0"/>
              <w:adjustRightInd w:val="0"/>
              <w:snapToGrid w:val="0"/>
              <w:spacing w:line="380" w:lineRule="exact"/>
              <w:ind w:firstLine="420" w:firstLineChars="200"/>
              <w:rPr>
                <w:rFonts w:hint="eastAsia" w:cs="Times New Roman"/>
                <w:snapToGrid w:val="0"/>
                <w:kern w:val="0"/>
                <w:sz w:val="21"/>
                <w:szCs w:val="22"/>
                <w:highlight w:val="none"/>
                <w:lang w:val="en-US" w:eastAsia="zh-CN" w:bidi="ar-SA"/>
              </w:rPr>
            </w:pPr>
            <w:r>
              <w:rPr>
                <w:rFonts w:hint="eastAsia"/>
                <w:highlight w:val="none"/>
                <w:lang w:val="en-US" w:eastAsia="zh-CN"/>
              </w:rPr>
              <w:t>房屋建筑及构筑物工程</w:t>
            </w:r>
            <w:r>
              <w:rPr>
                <w:rFonts w:hint="eastAsia" w:cs="Times New Roman"/>
                <w:snapToGrid w:val="0"/>
                <w:kern w:val="0"/>
                <w:sz w:val="21"/>
                <w:szCs w:val="22"/>
                <w:highlight w:val="none"/>
                <w:lang w:val="en-US" w:eastAsia="zh-CN" w:bidi="ar-SA"/>
              </w:rPr>
              <w:t>：</w:t>
            </w:r>
            <w:r>
              <w:rPr>
                <w:rFonts w:hint="eastAsia" w:ascii="Calibri" w:hAnsi="Calibri" w:eastAsia="宋体" w:cs="Times New Roman"/>
                <w:snapToGrid w:val="0"/>
                <w:kern w:val="0"/>
                <w:sz w:val="21"/>
                <w:szCs w:val="22"/>
                <w:highlight w:val="none"/>
                <w:lang w:val="en-US" w:eastAsia="zh-CN" w:bidi="ar-SA"/>
              </w:rPr>
              <w:t>取费基数为“定额人工费+定额机械费”，具体费率为</w:t>
            </w:r>
            <w:r>
              <w:rPr>
                <w:rFonts w:hint="eastAsia"/>
                <w:color w:val="auto"/>
                <w:highlight w:val="none"/>
                <w:lang w:val="en-US" w:eastAsia="zh-CN"/>
              </w:rPr>
              <w:t>9.86%</w:t>
            </w:r>
            <w:r>
              <w:rPr>
                <w:rFonts w:hint="eastAsia" w:cs="Times New Roman"/>
                <w:snapToGrid w:val="0"/>
                <w:kern w:val="0"/>
                <w:sz w:val="21"/>
                <w:szCs w:val="22"/>
                <w:highlight w:val="none"/>
                <w:lang w:val="en-US" w:eastAsia="zh-CN" w:bidi="ar-SA"/>
              </w:rPr>
              <w:t>；</w:t>
            </w:r>
          </w:p>
          <w:p>
            <w:pPr>
              <w:keepNext w:val="0"/>
              <w:keepLines w:val="0"/>
              <w:pageBreakBefore w:val="0"/>
              <w:widowControl w:val="0"/>
              <w:numPr>
                <w:ilvl w:val="0"/>
                <w:numId w:val="0"/>
              </w:numPr>
              <w:kinsoku/>
              <w:wordWrap/>
              <w:overflowPunct/>
              <w:topLinePunct w:val="0"/>
              <w:bidi w:val="0"/>
              <w:adjustRightInd w:val="0"/>
              <w:snapToGrid w:val="0"/>
              <w:spacing w:line="380" w:lineRule="exact"/>
              <w:ind w:firstLine="420" w:firstLineChars="200"/>
              <w:rPr>
                <w:rFonts w:hint="eastAsia" w:ascii="Calibri" w:hAnsi="Calibri" w:eastAsia="宋体" w:cs="Times New Roman"/>
                <w:snapToGrid w:val="0"/>
                <w:kern w:val="0"/>
                <w:sz w:val="21"/>
                <w:szCs w:val="22"/>
                <w:highlight w:val="none"/>
                <w:lang w:val="en-US" w:eastAsia="zh-CN" w:bidi="ar-SA"/>
              </w:rPr>
            </w:pPr>
            <w:r>
              <w:rPr>
                <w:rFonts w:hint="eastAsia" w:ascii="Calibri" w:hAnsi="Calibri" w:eastAsia="宋体" w:cs="Times New Roman"/>
                <w:snapToGrid w:val="0"/>
                <w:kern w:val="0"/>
                <w:sz w:val="21"/>
                <w:szCs w:val="22"/>
                <w:highlight w:val="none"/>
                <w:lang w:val="en-US" w:eastAsia="zh-CN" w:bidi="ar-SA"/>
              </w:rPr>
              <w:t>安装工程</w:t>
            </w:r>
            <w:r>
              <w:rPr>
                <w:rFonts w:hint="eastAsia" w:cs="Times New Roman"/>
                <w:snapToGrid w:val="0"/>
                <w:kern w:val="0"/>
                <w:sz w:val="21"/>
                <w:szCs w:val="22"/>
                <w:highlight w:val="none"/>
                <w:lang w:val="en-US" w:eastAsia="zh-CN" w:bidi="ar-SA"/>
              </w:rPr>
              <w:t>：</w:t>
            </w:r>
            <w:r>
              <w:rPr>
                <w:rFonts w:hint="eastAsia" w:ascii="Calibri" w:hAnsi="Calibri" w:eastAsia="宋体" w:cs="Times New Roman"/>
                <w:snapToGrid w:val="0"/>
                <w:kern w:val="0"/>
                <w:sz w:val="21"/>
                <w:szCs w:val="22"/>
                <w:highlight w:val="none"/>
                <w:lang w:val="en-US" w:eastAsia="zh-CN" w:bidi="ar-SA"/>
              </w:rPr>
              <w:t>取费基数为“定额人工费+定额机械费”，具体费率为</w:t>
            </w:r>
            <w:r>
              <w:rPr>
                <w:rFonts w:hint="eastAsia" w:cs="Times New Roman"/>
                <w:snapToGrid w:val="0"/>
                <w:kern w:val="0"/>
                <w:sz w:val="21"/>
                <w:szCs w:val="22"/>
                <w:highlight w:val="none"/>
                <w:lang w:val="en-US" w:eastAsia="zh-CN" w:bidi="ar-SA"/>
              </w:rPr>
              <w:t>7.35</w:t>
            </w:r>
            <w:r>
              <w:rPr>
                <w:rFonts w:hint="eastAsia" w:ascii="Calibri" w:hAnsi="Calibri" w:eastAsia="宋体" w:cs="Times New Roman"/>
                <w:snapToGrid w:val="0"/>
                <w:kern w:val="0"/>
                <w:sz w:val="21"/>
                <w:szCs w:val="22"/>
                <w:highlight w:val="none"/>
                <w:lang w:val="en-US" w:eastAsia="zh-CN" w:bidi="ar-SA"/>
              </w:rPr>
              <w:t>%。</w:t>
            </w:r>
          </w:p>
          <w:p>
            <w:pPr>
              <w:keepNext w:val="0"/>
              <w:keepLines w:val="0"/>
              <w:pageBreakBefore w:val="0"/>
              <w:widowControl w:val="0"/>
              <w:numPr>
                <w:ilvl w:val="0"/>
                <w:numId w:val="4"/>
              </w:numPr>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rPr>
              <w:t>企业管理费（包括施工企业现场监控以及施工企业对建筑以及材料、构件和建筑安装物进行一般鉴定、检查所发生的检验试验费等相关费用）</w:t>
            </w:r>
            <w:r>
              <w:rPr>
                <w:rFonts w:hint="eastAsia"/>
                <w:szCs w:val="22"/>
                <w:highlight w:val="none"/>
                <w:lang w:val="en-US" w:eastAsia="zh-CN"/>
              </w:rPr>
              <w:t>及</w:t>
            </w:r>
            <w:r>
              <w:rPr>
                <w:rFonts w:hint="eastAsia"/>
                <w:szCs w:val="22"/>
                <w:highlight w:val="none"/>
              </w:rPr>
              <w:t>利润的费率按照《浙江省建设工程计价规则（2018版）》规定</w:t>
            </w:r>
            <w:r>
              <w:rPr>
                <w:rFonts w:hint="eastAsia"/>
                <w:szCs w:val="22"/>
                <w:highlight w:val="none"/>
                <w:lang w:val="en-US" w:eastAsia="zh-CN"/>
              </w:rPr>
              <w:t>可参考相应施工取费费率由企业自主确定，取费基数为定额项目中的“人工费+机械费”。</w:t>
            </w:r>
            <w:r>
              <w:rPr>
                <w:rFonts w:hint="eastAsia" w:ascii="宋体" w:hAnsi="宋体" w:cs="宋体"/>
                <w:bCs/>
                <w:color w:val="auto"/>
                <w:szCs w:val="21"/>
                <w:highlight w:val="none"/>
              </w:rPr>
              <w:t>为保障工程质量和安全，企业管理费报价不得低于省建设行政主管部门颁发的施工费用定额和相关取费计价文件规定的对应专业工程企业管理费弹性费率下限乘以 20%的计算值</w:t>
            </w:r>
            <w:r>
              <w:rPr>
                <w:rFonts w:hint="eastAsia" w:ascii="宋体" w:hAnsi="宋体" w:cs="宋体"/>
                <w:bCs/>
                <w:color w:val="auto"/>
                <w:szCs w:val="21"/>
                <w:highlight w:val="none"/>
                <w:lang w:val="en-US" w:eastAsia="zh-CN"/>
              </w:rPr>
              <w:t>,具体如下：</w:t>
            </w:r>
          </w:p>
          <w:p>
            <w:pPr>
              <w:keepNext w:val="0"/>
              <w:keepLines w:val="0"/>
              <w:pageBreakBefore w:val="0"/>
              <w:widowControl w:val="0"/>
              <w:numPr>
                <w:ilvl w:val="0"/>
                <w:numId w:val="0"/>
              </w:numPr>
              <w:kinsoku/>
              <w:wordWrap/>
              <w:overflowPunct/>
              <w:topLinePunct w:val="0"/>
              <w:bidi w:val="0"/>
              <w:adjustRightInd w:val="0"/>
              <w:snapToGrid w:val="0"/>
              <w:spacing w:line="380" w:lineRule="exact"/>
              <w:ind w:firstLine="420" w:firstLineChars="200"/>
              <w:rPr>
                <w:rFonts w:hint="eastAsia" w:cs="Times New Roman"/>
                <w:snapToGrid w:val="0"/>
                <w:kern w:val="0"/>
                <w:sz w:val="21"/>
                <w:szCs w:val="22"/>
                <w:highlight w:val="none"/>
                <w:lang w:val="en-US" w:eastAsia="zh-CN" w:bidi="ar-SA"/>
              </w:rPr>
            </w:pPr>
            <w:r>
              <w:rPr>
                <w:rFonts w:hint="eastAsia"/>
                <w:highlight w:val="none"/>
                <w:lang w:val="en-US" w:eastAsia="zh-CN"/>
              </w:rPr>
              <w:t>房屋建筑及构筑物工程</w:t>
            </w:r>
            <w:r>
              <w:rPr>
                <w:rFonts w:hint="eastAsia" w:cs="Times New Roman"/>
                <w:snapToGrid w:val="0"/>
                <w:kern w:val="0"/>
                <w:sz w:val="21"/>
                <w:szCs w:val="22"/>
                <w:highlight w:val="none"/>
                <w:lang w:val="en-US" w:eastAsia="zh-CN" w:bidi="ar-SA"/>
              </w:rPr>
              <w:t>：</w:t>
            </w:r>
            <w:r>
              <w:rPr>
                <w:rFonts w:hint="eastAsia" w:ascii="Calibri" w:hAnsi="Calibri" w:eastAsia="宋体" w:cs="Times New Roman"/>
                <w:snapToGrid w:val="0"/>
                <w:kern w:val="0"/>
                <w:sz w:val="21"/>
                <w:szCs w:val="22"/>
                <w:highlight w:val="none"/>
                <w:lang w:val="en-US" w:eastAsia="zh-CN" w:bidi="ar-SA"/>
              </w:rPr>
              <w:t>取费基数为“定额人工费+定额机械费”</w:t>
            </w:r>
            <w:r>
              <w:rPr>
                <w:rFonts w:hint="eastAsia" w:cs="Times New Roman"/>
                <w:snapToGrid w:val="0"/>
                <w:kern w:val="0"/>
                <w:sz w:val="21"/>
                <w:szCs w:val="22"/>
                <w:highlight w:val="none"/>
                <w:lang w:val="en-US" w:eastAsia="zh-CN" w:bidi="ar-SA"/>
              </w:rPr>
              <w:t>，</w:t>
            </w:r>
            <w:r>
              <w:rPr>
                <w:rFonts w:hint="eastAsia" w:ascii="Calibri" w:hAnsi="Calibri" w:eastAsia="宋体" w:cs="Times New Roman"/>
                <w:snapToGrid w:val="0"/>
                <w:kern w:val="0"/>
                <w:sz w:val="21"/>
                <w:szCs w:val="22"/>
                <w:highlight w:val="none"/>
                <w:lang w:val="en-US" w:eastAsia="zh-CN" w:bidi="ar-SA"/>
              </w:rPr>
              <w:t>具体费率为</w:t>
            </w:r>
            <w:r>
              <w:rPr>
                <w:rFonts w:hint="eastAsia" w:cs="Times New Roman"/>
                <w:snapToGrid w:val="0"/>
                <w:kern w:val="0"/>
                <w:sz w:val="21"/>
                <w:szCs w:val="22"/>
                <w:highlight w:val="none"/>
                <w:lang w:val="en-US" w:eastAsia="zh-CN" w:bidi="ar-SA"/>
              </w:rPr>
              <w:t>2.49%；</w:t>
            </w:r>
          </w:p>
          <w:p>
            <w:pPr>
              <w:keepNext w:val="0"/>
              <w:keepLines w:val="0"/>
              <w:pageBreakBefore w:val="0"/>
              <w:widowControl w:val="0"/>
              <w:numPr>
                <w:ilvl w:val="0"/>
                <w:numId w:val="0"/>
              </w:numPr>
              <w:kinsoku/>
              <w:wordWrap/>
              <w:overflowPunct/>
              <w:topLinePunct w:val="0"/>
              <w:bidi w:val="0"/>
              <w:adjustRightInd w:val="0"/>
              <w:snapToGrid w:val="0"/>
              <w:spacing w:line="380" w:lineRule="exact"/>
              <w:ind w:firstLine="420" w:firstLineChars="200"/>
              <w:rPr>
                <w:rFonts w:hint="eastAsia"/>
                <w:szCs w:val="22"/>
                <w:highlight w:val="none"/>
              </w:rPr>
            </w:pPr>
            <w:r>
              <w:rPr>
                <w:rFonts w:hint="eastAsia" w:ascii="Calibri" w:hAnsi="Calibri" w:eastAsia="宋体" w:cs="Times New Roman"/>
                <w:snapToGrid w:val="0"/>
                <w:kern w:val="0"/>
                <w:sz w:val="21"/>
                <w:szCs w:val="22"/>
                <w:highlight w:val="none"/>
                <w:lang w:val="en-US" w:eastAsia="zh-CN" w:bidi="ar-SA"/>
              </w:rPr>
              <w:t>安装工程</w:t>
            </w:r>
            <w:r>
              <w:rPr>
                <w:rFonts w:hint="eastAsia" w:cs="Times New Roman"/>
                <w:snapToGrid w:val="0"/>
                <w:kern w:val="0"/>
                <w:sz w:val="21"/>
                <w:szCs w:val="22"/>
                <w:highlight w:val="none"/>
                <w:lang w:val="en-US" w:eastAsia="zh-CN" w:bidi="ar-SA"/>
              </w:rPr>
              <w:t>：</w:t>
            </w:r>
            <w:r>
              <w:rPr>
                <w:rFonts w:hint="eastAsia" w:ascii="Calibri" w:hAnsi="Calibri" w:eastAsia="宋体" w:cs="Times New Roman"/>
                <w:snapToGrid w:val="0"/>
                <w:kern w:val="0"/>
                <w:sz w:val="21"/>
                <w:szCs w:val="22"/>
                <w:highlight w:val="none"/>
                <w:lang w:val="en-US" w:eastAsia="zh-CN" w:bidi="ar-SA"/>
              </w:rPr>
              <w:t>取费基数为“定额人工费+定额机械费”，具体费率为3.26%。</w:t>
            </w:r>
          </w:p>
          <w:p>
            <w:pPr>
              <w:keepNext w:val="0"/>
              <w:keepLines w:val="0"/>
              <w:pageBreakBefore w:val="0"/>
              <w:widowControl w:val="0"/>
              <w:numPr>
                <w:ilvl w:val="0"/>
                <w:numId w:val="4"/>
              </w:numPr>
              <w:kinsoku/>
              <w:wordWrap/>
              <w:overflowPunct/>
              <w:topLinePunct w:val="0"/>
              <w:bidi w:val="0"/>
              <w:adjustRightInd w:val="0"/>
              <w:snapToGrid w:val="0"/>
              <w:spacing w:line="380" w:lineRule="exact"/>
              <w:ind w:left="0" w:leftChars="0" w:firstLine="420" w:firstLineChars="200"/>
              <w:rPr>
                <w:rFonts w:hint="eastAsia"/>
                <w:szCs w:val="22"/>
                <w:highlight w:val="none"/>
                <w:lang w:val="en-US" w:eastAsia="zh-CN"/>
              </w:rPr>
            </w:pPr>
            <w:r>
              <w:rPr>
                <w:rFonts w:hint="eastAsia"/>
                <w:szCs w:val="22"/>
                <w:highlight w:val="none"/>
              </w:rPr>
              <w:t>规费按照《浙江省建设工程计价规则（2018版）》及浙建建[2018]61号文规定</w:t>
            </w:r>
            <w:r>
              <w:rPr>
                <w:rFonts w:hint="eastAsia"/>
                <w:szCs w:val="22"/>
                <w:highlight w:val="none"/>
                <w:lang w:val="en-US" w:eastAsia="zh-CN"/>
              </w:rPr>
              <w:t>在规费政策平稳过渡期内不得低于标准费率的30%，具体如下：</w:t>
            </w:r>
          </w:p>
          <w:p>
            <w:pPr>
              <w:keepNext w:val="0"/>
              <w:keepLines w:val="0"/>
              <w:pageBreakBefore w:val="0"/>
              <w:widowControl w:val="0"/>
              <w:numPr>
                <w:ilvl w:val="0"/>
                <w:numId w:val="0"/>
              </w:numPr>
              <w:kinsoku/>
              <w:wordWrap/>
              <w:overflowPunct/>
              <w:topLinePunct w:val="0"/>
              <w:bidi w:val="0"/>
              <w:adjustRightInd w:val="0"/>
              <w:snapToGrid w:val="0"/>
              <w:spacing w:line="380" w:lineRule="exact"/>
              <w:ind w:leftChars="200"/>
              <w:rPr>
                <w:rFonts w:hint="eastAsia" w:cs="Times New Roman"/>
                <w:snapToGrid w:val="0"/>
                <w:kern w:val="0"/>
                <w:sz w:val="21"/>
                <w:szCs w:val="22"/>
                <w:highlight w:val="none"/>
                <w:lang w:val="en-US" w:eastAsia="zh-CN" w:bidi="ar-SA"/>
              </w:rPr>
            </w:pPr>
            <w:r>
              <w:rPr>
                <w:rFonts w:hint="eastAsia"/>
                <w:highlight w:val="none"/>
                <w:lang w:val="en-US" w:eastAsia="zh-CN"/>
              </w:rPr>
              <w:t>房屋建筑及构筑物工程</w:t>
            </w:r>
            <w:r>
              <w:rPr>
                <w:rFonts w:hint="eastAsia" w:cs="Times New Roman"/>
                <w:snapToGrid w:val="0"/>
                <w:kern w:val="0"/>
                <w:sz w:val="21"/>
                <w:szCs w:val="22"/>
                <w:highlight w:val="none"/>
                <w:lang w:val="en-US" w:eastAsia="zh-CN" w:bidi="ar-SA"/>
              </w:rPr>
              <w:t>：</w:t>
            </w:r>
            <w:r>
              <w:rPr>
                <w:rFonts w:hint="eastAsia"/>
                <w:szCs w:val="22"/>
                <w:highlight w:val="none"/>
                <w:lang w:val="en-US" w:eastAsia="zh-CN"/>
              </w:rPr>
              <w:t>取费基数为“人工费+机械费”，具体</w:t>
            </w:r>
            <w:r>
              <w:rPr>
                <w:rFonts w:hint="eastAsia" w:ascii="Calibri" w:hAnsi="Calibri" w:eastAsia="宋体" w:cs="Times New Roman"/>
                <w:snapToGrid w:val="0"/>
                <w:kern w:val="0"/>
                <w:sz w:val="21"/>
                <w:szCs w:val="22"/>
                <w:highlight w:val="none"/>
                <w:lang w:val="en-US" w:eastAsia="zh-CN" w:bidi="ar-SA"/>
              </w:rPr>
              <w:t>最低费率为</w:t>
            </w:r>
            <w:r>
              <w:rPr>
                <w:rFonts w:hint="eastAsia" w:cs="Times New Roman"/>
                <w:snapToGrid w:val="0"/>
                <w:kern w:val="0"/>
                <w:sz w:val="21"/>
                <w:szCs w:val="22"/>
                <w:highlight w:val="none"/>
                <w:lang w:val="en-US" w:eastAsia="zh-CN" w:bidi="ar-SA"/>
              </w:rPr>
              <w:t>7.73</w:t>
            </w:r>
            <w:r>
              <w:rPr>
                <w:rFonts w:hint="eastAsia" w:ascii="Calibri" w:hAnsi="Calibri" w:eastAsia="宋体" w:cs="Times New Roman"/>
                <w:snapToGrid w:val="0"/>
                <w:kern w:val="0"/>
                <w:sz w:val="21"/>
                <w:szCs w:val="22"/>
                <w:highlight w:val="none"/>
                <w:lang w:val="en-US" w:eastAsia="zh-CN" w:bidi="ar-SA"/>
              </w:rPr>
              <w:t>%</w:t>
            </w:r>
            <w:r>
              <w:rPr>
                <w:rFonts w:hint="eastAsia" w:cs="Times New Roman"/>
                <w:snapToGrid w:val="0"/>
                <w:kern w:val="0"/>
                <w:sz w:val="21"/>
                <w:szCs w:val="22"/>
                <w:highlight w:val="none"/>
                <w:lang w:val="en-US" w:eastAsia="zh-CN" w:bidi="ar-SA"/>
              </w:rPr>
              <w:t>；</w:t>
            </w:r>
          </w:p>
          <w:p>
            <w:pPr>
              <w:keepNext w:val="0"/>
              <w:keepLines w:val="0"/>
              <w:pageBreakBefore w:val="0"/>
              <w:widowControl w:val="0"/>
              <w:numPr>
                <w:ilvl w:val="0"/>
                <w:numId w:val="0"/>
              </w:numPr>
              <w:kinsoku/>
              <w:wordWrap/>
              <w:overflowPunct/>
              <w:topLinePunct w:val="0"/>
              <w:bidi w:val="0"/>
              <w:adjustRightInd w:val="0"/>
              <w:snapToGrid w:val="0"/>
              <w:spacing w:line="380" w:lineRule="exact"/>
              <w:ind w:leftChars="200"/>
              <w:rPr>
                <w:rFonts w:hint="eastAsia"/>
                <w:szCs w:val="22"/>
                <w:highlight w:val="none"/>
                <w:lang w:val="en-US" w:eastAsia="zh-CN"/>
              </w:rPr>
            </w:pPr>
            <w:r>
              <w:rPr>
                <w:rFonts w:hint="eastAsia" w:ascii="Calibri" w:hAnsi="Calibri" w:eastAsia="宋体" w:cs="Times New Roman"/>
                <w:snapToGrid w:val="0"/>
                <w:kern w:val="0"/>
                <w:sz w:val="21"/>
                <w:szCs w:val="22"/>
                <w:highlight w:val="none"/>
                <w:lang w:val="en-US" w:eastAsia="zh-CN" w:bidi="ar-SA"/>
              </w:rPr>
              <w:t>安装工程</w:t>
            </w:r>
            <w:r>
              <w:rPr>
                <w:rFonts w:hint="eastAsia" w:cs="Times New Roman"/>
                <w:snapToGrid w:val="0"/>
                <w:kern w:val="0"/>
                <w:sz w:val="21"/>
                <w:szCs w:val="22"/>
                <w:highlight w:val="none"/>
                <w:lang w:val="en-US" w:eastAsia="zh-CN" w:bidi="ar-SA"/>
              </w:rPr>
              <w:t>：</w:t>
            </w:r>
            <w:r>
              <w:rPr>
                <w:rFonts w:hint="eastAsia" w:ascii="Calibri" w:hAnsi="Calibri" w:eastAsia="宋体" w:cs="Times New Roman"/>
                <w:snapToGrid w:val="0"/>
                <w:kern w:val="0"/>
                <w:sz w:val="21"/>
                <w:szCs w:val="22"/>
                <w:highlight w:val="none"/>
                <w:lang w:val="en-US" w:eastAsia="zh-CN" w:bidi="ar-SA"/>
              </w:rPr>
              <w:t>取费基数为“人工费+机械费”，具体最低费率为9.19%。</w:t>
            </w:r>
          </w:p>
          <w:p>
            <w:pPr>
              <w:keepNext w:val="0"/>
              <w:keepLines w:val="0"/>
              <w:pageBreakBefore w:val="0"/>
              <w:widowControl w:val="0"/>
              <w:numPr>
                <w:ilvl w:val="0"/>
                <w:numId w:val="4"/>
              </w:numPr>
              <w:kinsoku/>
              <w:wordWrap/>
              <w:overflowPunct/>
              <w:topLinePunct w:val="0"/>
              <w:bidi w:val="0"/>
              <w:adjustRightInd w:val="0"/>
              <w:snapToGrid w:val="0"/>
              <w:spacing w:line="380" w:lineRule="exact"/>
              <w:ind w:left="0" w:leftChars="0" w:firstLine="420" w:firstLineChars="200"/>
              <w:rPr>
                <w:rFonts w:hint="default"/>
                <w:highlight w:val="none"/>
                <w:lang w:val="en-US" w:eastAsia="zh-CN"/>
              </w:rPr>
            </w:pPr>
            <w:r>
              <w:rPr>
                <w:rFonts w:hint="eastAsia"/>
                <w:szCs w:val="22"/>
                <w:highlight w:val="none"/>
              </w:rPr>
              <w:t>税金按照</w:t>
            </w:r>
            <w:r>
              <w:rPr>
                <w:rFonts w:hint="eastAsia"/>
                <w:szCs w:val="22"/>
                <w:highlight w:val="none"/>
                <w:lang w:val="en-US" w:eastAsia="zh-CN"/>
              </w:rPr>
              <w:t>浙建建发[2019]92号</w:t>
            </w:r>
            <w:r>
              <w:rPr>
                <w:rFonts w:hint="eastAsia"/>
                <w:szCs w:val="22"/>
                <w:highlight w:val="none"/>
              </w:rPr>
              <w:t>文件规定计取，费用不得竞争，具体费率为</w:t>
            </w:r>
            <w:r>
              <w:rPr>
                <w:rFonts w:hint="eastAsia"/>
                <w:szCs w:val="22"/>
                <w:highlight w:val="none"/>
                <w:lang w:val="en-US" w:eastAsia="zh-CN"/>
              </w:rPr>
              <w:t>9.00</w:t>
            </w:r>
            <w:r>
              <w:rPr>
                <w:rFonts w:hint="eastAsia"/>
                <w:szCs w:val="22"/>
                <w:highlight w:val="none"/>
              </w:rPr>
              <w:t>%。</w:t>
            </w:r>
          </w:p>
          <w:p>
            <w:pPr>
              <w:keepNext w:val="0"/>
              <w:keepLines w:val="0"/>
              <w:pageBreakBefore w:val="0"/>
              <w:widowControl w:val="0"/>
              <w:numPr>
                <w:ilvl w:val="0"/>
                <w:numId w:val="4"/>
              </w:numPr>
              <w:kinsoku/>
              <w:wordWrap/>
              <w:overflowPunct/>
              <w:topLinePunct w:val="0"/>
              <w:bidi w:val="0"/>
              <w:adjustRightInd w:val="0"/>
              <w:snapToGrid w:val="0"/>
              <w:spacing w:line="380" w:lineRule="exact"/>
              <w:ind w:left="0" w:leftChars="0" w:firstLine="420" w:firstLineChars="200"/>
              <w:rPr>
                <w:rFonts w:hint="default"/>
                <w:szCs w:val="22"/>
                <w:highlight w:val="none"/>
                <w:lang w:val="en-US" w:eastAsia="zh-CN"/>
              </w:rPr>
            </w:pPr>
            <w:r>
              <w:rPr>
                <w:rFonts w:hint="eastAsia"/>
                <w:szCs w:val="22"/>
                <w:highlight w:val="none"/>
                <w:lang w:val="en-US" w:eastAsia="zh-CN"/>
              </w:rPr>
              <w:t>安全生产责任险费用按照杭建招标造价中心[2021]84号文《关于明确杭州市建筑施工领域安全生产责任保险费用计取的通知》规定投标人在投标报价时，应该结合实际和企业信用状况将安责险列入企业管理费中进行自主报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0"/>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工程造价</w:t>
                  </w:r>
                </w:p>
              </w:tc>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安责险差额费率（%）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3亿以上</w:t>
                  </w:r>
                </w:p>
              </w:tc>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1亿~3亿（含3亿）</w:t>
                  </w:r>
                </w:p>
              </w:tc>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3000万~1亿（含1亿）</w:t>
                  </w:r>
                </w:p>
              </w:tc>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500万~3000万（含3000万）</w:t>
                  </w:r>
                </w:p>
              </w:tc>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500万以下（含500万）</w:t>
                  </w:r>
                </w:p>
              </w:tc>
              <w:tc>
                <w:tcPr>
                  <w:tcW w:w="3410" w:type="dxa"/>
                </w:tcPr>
                <w:p>
                  <w:pPr>
                    <w:pStyle w:val="3"/>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0-0.66</w:t>
                  </w:r>
                </w:p>
              </w:tc>
            </w:tr>
          </w:tbl>
          <w:p>
            <w:pPr>
              <w:keepNext w:val="0"/>
              <w:keepLines w:val="0"/>
              <w:pageBreakBefore w:val="0"/>
              <w:widowControl w:val="0"/>
              <w:numPr>
                <w:ilvl w:val="0"/>
                <w:numId w:val="0"/>
              </w:numPr>
              <w:kinsoku/>
              <w:wordWrap/>
              <w:overflowPunct/>
              <w:topLinePunct w:val="0"/>
              <w:bidi w:val="0"/>
              <w:adjustRightInd w:val="0"/>
              <w:snapToGrid w:val="0"/>
              <w:spacing w:line="380" w:lineRule="exact"/>
              <w:rPr>
                <w:rFonts w:hint="default"/>
                <w:szCs w:val="22"/>
                <w:highlight w:val="none"/>
                <w:lang w:val="en-US" w:eastAsia="zh-CN"/>
              </w:rPr>
            </w:pPr>
          </w:p>
          <w:p>
            <w:pPr>
              <w:keepNext w:val="0"/>
              <w:keepLines w:val="0"/>
              <w:pageBreakBefore w:val="0"/>
              <w:widowControl w:val="0"/>
              <w:numPr>
                <w:ilvl w:val="0"/>
                <w:numId w:val="4"/>
              </w:numPr>
              <w:kinsoku/>
              <w:wordWrap/>
              <w:overflowPunct/>
              <w:topLinePunct w:val="0"/>
              <w:bidi w:val="0"/>
              <w:adjustRightInd w:val="0"/>
              <w:snapToGrid w:val="0"/>
              <w:spacing w:line="380" w:lineRule="exact"/>
              <w:ind w:left="0" w:leftChars="0" w:firstLine="420" w:firstLineChars="200"/>
              <w:rPr>
                <w:rFonts w:hint="eastAsia"/>
                <w:szCs w:val="22"/>
                <w:highlight w:val="none"/>
                <w:lang w:val="en-US" w:eastAsia="zh-CN"/>
              </w:rPr>
            </w:pPr>
            <w:r>
              <w:rPr>
                <w:rFonts w:hint="eastAsia"/>
                <w:szCs w:val="22"/>
                <w:highlight w:val="none"/>
                <w:lang w:val="en-US" w:eastAsia="zh-CN"/>
              </w:rPr>
              <w:t>其余施工组织措施费（“标化工地增加费”除外）费率按照《浙江省建设工程计价规则（2018版）》规定可参考相应施工取费费率由投标人自主确定。</w:t>
            </w:r>
          </w:p>
          <w:p>
            <w:pPr>
              <w:keepNext w:val="0"/>
              <w:keepLines w:val="0"/>
              <w:pageBreakBefore w:val="0"/>
              <w:widowControl w:val="0"/>
              <w:numPr>
                <w:ilvl w:val="0"/>
                <w:numId w:val="4"/>
              </w:numPr>
              <w:kinsoku/>
              <w:wordWrap/>
              <w:overflowPunct/>
              <w:topLinePunct w:val="0"/>
              <w:bidi w:val="0"/>
              <w:adjustRightInd w:val="0"/>
              <w:snapToGrid w:val="0"/>
              <w:spacing w:line="380" w:lineRule="exact"/>
              <w:ind w:left="0" w:leftChars="0" w:firstLine="420" w:firstLineChars="200"/>
              <w:rPr>
                <w:rFonts w:hint="default"/>
                <w:szCs w:val="22"/>
                <w:highlight w:val="none"/>
                <w:lang w:val="en-US" w:eastAsia="zh-CN"/>
              </w:rPr>
            </w:pPr>
            <w:r>
              <w:rPr>
                <w:rFonts w:hint="eastAsia"/>
                <w:szCs w:val="22"/>
                <w:highlight w:val="none"/>
                <w:lang w:val="en-US" w:eastAsia="zh-CN"/>
              </w:rPr>
              <w:t>本次工程暂列金为35000元。</w:t>
            </w:r>
          </w:p>
          <w:p>
            <w:pPr>
              <w:keepNext w:val="0"/>
              <w:keepLines w:val="0"/>
              <w:pageBreakBefore w:val="0"/>
              <w:widowControl w:val="0"/>
              <w:numPr>
                <w:ilvl w:val="0"/>
                <w:numId w:val="3"/>
              </w:numPr>
              <w:kinsoku/>
              <w:wordWrap/>
              <w:overflowPunct/>
              <w:topLinePunct w:val="0"/>
              <w:bidi w:val="0"/>
              <w:adjustRightInd w:val="0"/>
              <w:snapToGrid w:val="0"/>
              <w:spacing w:line="380" w:lineRule="exact"/>
              <w:ind w:left="0" w:leftChars="0" w:firstLine="420" w:firstLineChars="200"/>
              <w:rPr>
                <w:rFonts w:hint="eastAsia"/>
                <w:szCs w:val="22"/>
                <w:highlight w:val="none"/>
              </w:rPr>
            </w:pPr>
            <w:r>
              <w:rPr>
                <w:rFonts w:hint="eastAsia"/>
                <w:szCs w:val="22"/>
                <w:highlight w:val="none"/>
              </w:rPr>
              <w:t>清单编制说明：</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420" w:leftChars="200"/>
              <w:jc w:val="left"/>
              <w:textAlignment w:val="baseline"/>
              <w:rPr>
                <w:rFonts w:hint="eastAsia" w:ascii="宋体" w:hAnsi="宋体" w:cs="Courier New"/>
                <w:b/>
                <w:color w:val="auto"/>
                <w:szCs w:val="21"/>
                <w:highlight w:val="none"/>
              </w:rPr>
            </w:pPr>
            <w:r>
              <w:rPr>
                <w:rFonts w:hint="eastAsia" w:ascii="宋体" w:hAnsi="宋体" w:cs="Courier New"/>
                <w:b/>
                <w:color w:val="auto"/>
                <w:szCs w:val="21"/>
                <w:highlight w:val="none"/>
              </w:rPr>
              <w:t>（一）通用部分：</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1、</w:t>
            </w:r>
            <w:r>
              <w:rPr>
                <w:rFonts w:hint="eastAsia"/>
                <w:szCs w:val="22"/>
                <w:highlight w:val="none"/>
              </w:rPr>
              <w:t>多余土方外运运距投标人自行考虑，弃土地点须按杭州市相关规定执行，中标后须办理相关手续。 本工程所需取、弃土（料）场及取、弃土（料）具体运距均由投标人自行调查，投标人报价充分考虑报价风险；</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2、</w:t>
            </w:r>
            <w:r>
              <w:rPr>
                <w:rFonts w:hint="eastAsia"/>
                <w:szCs w:val="22"/>
                <w:highlight w:val="none"/>
              </w:rPr>
              <w:t>土石方（包括淤泥、泥浆、建筑渣土、草皮、农作物、树根、杂物、生活垃圾、清表、建筑地基拆除等）外运运距投标单位自行考虑，弃土地点须按杭州市相关规定执行；</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3、</w:t>
            </w:r>
            <w:r>
              <w:rPr>
                <w:rFonts w:hint="eastAsia"/>
                <w:szCs w:val="22"/>
                <w:highlight w:val="none"/>
              </w:rPr>
              <w:t>需要进行土方外运的工程项目，中标的施工企业须在合同签订前向招标人提供渣土消纳的有效合同。符合杭州市建委《关于工程渣土处置相关事项的通知》。</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4、</w:t>
            </w:r>
            <w:r>
              <w:rPr>
                <w:rFonts w:hint="eastAsia"/>
                <w:szCs w:val="22"/>
                <w:highlight w:val="none"/>
              </w:rPr>
              <w:t>施工中沟槽开挖支护、管道基础与检查井连接、管道交叉处理、倒虹管洞口加固、排水管经过管桩处回填、排水管与现状管道及检查井接顺费用由投标单位自行考虑在报价中；</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5、</w:t>
            </w:r>
            <w:r>
              <w:rPr>
                <w:rFonts w:hint="eastAsia"/>
                <w:szCs w:val="22"/>
                <w:highlight w:val="none"/>
              </w:rPr>
              <w:t>基坑、管道施工中所需支护、围堰、以及施工排水降水等，施工单位根据现场情况及施工图纸，但必须保证施工的排水通畅，其报价自行考虑，列入措施费中，今后结算不进行调整；</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lang w:eastAsia="zh-CN"/>
              </w:rPr>
            </w:pPr>
            <w:r>
              <w:rPr>
                <w:rFonts w:hint="eastAsia"/>
                <w:szCs w:val="22"/>
                <w:highlight w:val="none"/>
                <w:lang w:val="en-US" w:eastAsia="zh-CN"/>
              </w:rPr>
              <w:t>6、</w:t>
            </w:r>
            <w:r>
              <w:rPr>
                <w:rFonts w:hint="eastAsia"/>
                <w:szCs w:val="22"/>
                <w:highlight w:val="none"/>
              </w:rPr>
              <w:t>部分项工程量清单中的工程量是按实物净量计算，一切损耗均应在投标报价的综合单价中考虑</w:t>
            </w:r>
            <w:r>
              <w:rPr>
                <w:rFonts w:hint="eastAsia"/>
                <w:szCs w:val="22"/>
                <w:highlight w:val="none"/>
                <w:lang w:eastAsia="zh-CN"/>
              </w:rPr>
              <w:t>；</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lang w:val="en-US" w:eastAsia="zh-CN"/>
              </w:rPr>
            </w:pPr>
            <w:r>
              <w:rPr>
                <w:rFonts w:hint="eastAsia"/>
                <w:szCs w:val="22"/>
                <w:highlight w:val="none"/>
                <w:lang w:val="en-US" w:eastAsia="zh-CN"/>
              </w:rPr>
              <w:t>7、本工程量清单报价均应充分考虑交叉施工的影响，并计入报价；</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lang w:val="en-US" w:eastAsia="zh-CN"/>
              </w:rPr>
            </w:pPr>
            <w:r>
              <w:rPr>
                <w:rFonts w:hint="eastAsia"/>
                <w:szCs w:val="22"/>
                <w:highlight w:val="none"/>
                <w:lang w:val="en-US" w:eastAsia="zh-CN"/>
              </w:rPr>
              <w:t>8、本工程量清单报价应包含施工用水用电的全部费用，并计入报价；</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lang w:val="en-US" w:eastAsia="zh-CN"/>
              </w:rPr>
            </w:pPr>
            <w:r>
              <w:rPr>
                <w:rFonts w:hint="eastAsia"/>
                <w:szCs w:val="22"/>
                <w:highlight w:val="none"/>
                <w:lang w:val="en-US" w:eastAsia="zh-CN"/>
              </w:rPr>
              <w:t>9、投标人在填写工程量清单的每一项综合单价和合价时均应结合磋商文件、技术规范、设计施工图纸和现场勘察情况，谨慎仔细地进行报价；</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lang w:val="en-US" w:eastAsia="zh-CN"/>
              </w:rPr>
            </w:pPr>
            <w:r>
              <w:rPr>
                <w:rFonts w:hint="eastAsia"/>
                <w:szCs w:val="22"/>
                <w:highlight w:val="none"/>
                <w:lang w:val="en-US" w:eastAsia="zh-CN"/>
              </w:rPr>
              <w:t>10、本工程中所有技术措施费和组织措施费投标单位应结合踏勘现场在投标报价时综合考虑计入报价；</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lang w:val="en-US" w:eastAsia="zh-CN"/>
              </w:rPr>
            </w:pPr>
            <w:r>
              <w:rPr>
                <w:rFonts w:hint="eastAsia"/>
                <w:szCs w:val="22"/>
                <w:highlight w:val="none"/>
                <w:lang w:val="en-US" w:eastAsia="zh-CN"/>
              </w:rPr>
              <w:t>11、清单中涉及到有关标准图集的项目，投标时综合单价应包含标准图集做法中所有工程内容；</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12、</w:t>
            </w:r>
            <w:r>
              <w:rPr>
                <w:rFonts w:hint="eastAsia"/>
                <w:szCs w:val="22"/>
                <w:highlight w:val="none"/>
              </w:rPr>
              <w:t>工程施工时，中标人对周边建筑物、城市道路、树木、构筑物、电力设施、地下管线及各类成品等自行采取保护措施，并做好安全围护措施；</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13、</w:t>
            </w:r>
            <w:r>
              <w:rPr>
                <w:rFonts w:hint="eastAsia"/>
                <w:szCs w:val="22"/>
                <w:highlight w:val="none"/>
              </w:rPr>
              <w:t>工程施工时，招标人不一定能保证24小时连续供电，由此有可能增加的有关费用（如自备发电机等），由投标人自行考虑；</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14、</w:t>
            </w:r>
            <w:r>
              <w:rPr>
                <w:rFonts w:hint="eastAsia"/>
                <w:szCs w:val="22"/>
                <w:highlight w:val="none"/>
              </w:rPr>
              <w:t>投标人应充分考虑施工过程中可能发生的水平运输、垂直运输、临时安防消防、临时设施租用、赶工措施及分项工程修改造成的小范围窝工、工程用电紧张、材料采购困难等因素，其相关费用列入措施项目费用中，招标人不另行支付；</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15、</w:t>
            </w:r>
            <w:r>
              <w:rPr>
                <w:rFonts w:hint="eastAsia"/>
                <w:szCs w:val="22"/>
                <w:highlight w:val="none"/>
              </w:rPr>
              <w:t>投标人认为如需采取加快施工进度措施的，则将加快施工进度措施费用计入措施项目费，中标后不作调整；</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16、</w:t>
            </w:r>
            <w:r>
              <w:rPr>
                <w:rFonts w:hint="eastAsia"/>
                <w:szCs w:val="22"/>
                <w:highlight w:val="none"/>
              </w:rPr>
              <w:t>承包人的施工组织设计中应充分考虑施工期间的安全问题、施工干扰问题、确定施工组织方案等，制定详细的保证措施并在施工中进行实施，由此发生的一切费用均计入投标报价中，招标人不另行支付；</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lang w:val="en-US" w:eastAsia="zh-CN"/>
              </w:rPr>
            </w:pPr>
            <w:r>
              <w:rPr>
                <w:rFonts w:hint="eastAsia"/>
                <w:szCs w:val="22"/>
                <w:highlight w:val="none"/>
                <w:lang w:val="en-US" w:eastAsia="zh-CN"/>
              </w:rPr>
              <w:t>17、投标单位在投标报价时应结合图纸综合考虑投标报价，清单项目特征未能对各节点详图进行完全性描述的必须按施工图或施工图注明图集进行报价，并在综合单价中考虑施工中的各种损耗和需要增加的工程量，否则视为已计入相应项目综合单价中，中标后将不调整综合单价；</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18、</w:t>
            </w:r>
            <w:r>
              <w:rPr>
                <w:rFonts w:hint="eastAsia"/>
                <w:szCs w:val="22"/>
                <w:highlight w:val="none"/>
              </w:rPr>
              <w:t>所有材料及设备必须符合设计及招标人要求，对有特殊要求的在报价中充分考虑；</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19、</w:t>
            </w:r>
            <w:r>
              <w:rPr>
                <w:rFonts w:hint="eastAsia"/>
                <w:szCs w:val="22"/>
                <w:highlight w:val="none"/>
              </w:rPr>
              <w:t>清单以项为单位的项目（除暂定价），均为包干价，竣工结算一律不调整；</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20、</w:t>
            </w:r>
            <w:r>
              <w:rPr>
                <w:rFonts w:hint="eastAsia"/>
                <w:szCs w:val="22"/>
                <w:highlight w:val="none"/>
              </w:rPr>
              <w:t>所有工程内容应满足设计和规范要求；</w:t>
            </w:r>
          </w:p>
          <w:p>
            <w:pPr>
              <w:keepNext w:val="0"/>
              <w:keepLines w:val="0"/>
              <w:pageBreakBefore w:val="0"/>
              <w:widowControl w:val="0"/>
              <w:kinsoku/>
              <w:wordWrap/>
              <w:overflowPunct/>
              <w:topLinePunct w:val="0"/>
              <w:bidi w:val="0"/>
              <w:adjustRightInd w:val="0"/>
              <w:snapToGrid w:val="0"/>
              <w:spacing w:line="380" w:lineRule="exact"/>
              <w:ind w:firstLine="420" w:firstLineChars="200"/>
              <w:rPr>
                <w:rFonts w:hint="eastAsia"/>
                <w:szCs w:val="22"/>
                <w:highlight w:val="none"/>
              </w:rPr>
            </w:pPr>
            <w:r>
              <w:rPr>
                <w:rFonts w:hint="eastAsia"/>
                <w:szCs w:val="22"/>
                <w:highlight w:val="none"/>
                <w:lang w:val="en-US" w:eastAsia="zh-CN"/>
              </w:rPr>
              <w:t>21、</w:t>
            </w:r>
            <w:r>
              <w:rPr>
                <w:rFonts w:hint="eastAsia"/>
                <w:szCs w:val="22"/>
                <w:highlight w:val="none"/>
              </w:rPr>
              <w:t>投标单位认为需要填报的其他技术措施施工费，投标单位可根据工程及施工组织设计情况自行补充填报相应费用，技术措施费一次性包干，竣工结算不调整。</w:t>
            </w:r>
          </w:p>
          <w:p>
            <w:pPr>
              <w:keepNext w:val="0"/>
              <w:keepLines w:val="0"/>
              <w:pageBreakBefore w:val="0"/>
              <w:widowControl w:val="0"/>
              <w:kinsoku/>
              <w:wordWrap/>
              <w:overflowPunct/>
              <w:topLinePunct w:val="0"/>
              <w:bidi w:val="0"/>
              <w:adjustRightInd w:val="0"/>
              <w:snapToGrid w:val="0"/>
              <w:spacing w:line="380" w:lineRule="exact"/>
              <w:rPr>
                <w:rFonts w:hint="eastAsia"/>
                <w:b/>
                <w:bCs/>
                <w:highlight w:val="none"/>
              </w:rPr>
            </w:pPr>
            <w:r>
              <w:rPr>
                <w:rFonts w:hint="eastAsia"/>
                <w:b/>
                <w:bCs/>
                <w:highlight w:val="none"/>
              </w:rPr>
              <w:t>（二）相关专业部分</w:t>
            </w:r>
          </w:p>
          <w:p>
            <w:pPr>
              <w:keepNext w:val="0"/>
              <w:keepLines w:val="0"/>
              <w:pageBreakBefore w:val="0"/>
              <w:widowControl w:val="0"/>
              <w:numPr>
                <w:ilvl w:val="0"/>
                <w:numId w:val="0"/>
              </w:numPr>
              <w:kinsoku/>
              <w:wordWrap/>
              <w:overflowPunct/>
              <w:topLinePunct w:val="0"/>
              <w:bidi w:val="0"/>
              <w:adjustRightInd w:val="0"/>
              <w:snapToGrid w:val="0"/>
              <w:spacing w:line="380" w:lineRule="exact"/>
              <w:ind w:firstLine="422" w:firstLineChars="200"/>
              <w:rPr>
                <w:rFonts w:hint="eastAsia"/>
                <w:b/>
                <w:bCs/>
                <w:szCs w:val="22"/>
                <w:highlight w:val="none"/>
                <w:lang w:val="en-US" w:eastAsia="zh-CN"/>
              </w:rPr>
            </w:pPr>
            <w:r>
              <w:rPr>
                <w:rFonts w:hint="eastAsia"/>
                <w:b/>
                <w:bCs/>
                <w:szCs w:val="22"/>
                <w:highlight w:val="none"/>
                <w:lang w:val="en-US" w:eastAsia="zh-CN"/>
              </w:rPr>
              <w:t>装饰部分：</w:t>
            </w:r>
          </w:p>
          <w:p>
            <w:pPr>
              <w:keepNext w:val="0"/>
              <w:keepLines w:val="0"/>
              <w:pageBreakBefore w:val="0"/>
              <w:widowControl w:val="0"/>
              <w:numPr>
                <w:ilvl w:val="0"/>
                <w:numId w:val="0"/>
              </w:numPr>
              <w:kinsoku/>
              <w:wordWrap/>
              <w:overflowPunct/>
              <w:topLinePunct w:val="0"/>
              <w:bidi w:val="0"/>
              <w:adjustRightInd w:val="0"/>
              <w:snapToGrid w:val="0"/>
              <w:spacing w:line="380" w:lineRule="exact"/>
              <w:ind w:left="420" w:leftChars="0"/>
              <w:rPr>
                <w:rFonts w:hint="eastAsia" w:cs="Times New Roman"/>
                <w:szCs w:val="22"/>
                <w:highlight w:val="none"/>
                <w:lang w:val="en-US" w:eastAsia="zh-CN"/>
              </w:rPr>
            </w:pPr>
            <w:r>
              <w:rPr>
                <w:rFonts w:hint="eastAsia" w:cs="Times New Roman"/>
                <w:szCs w:val="22"/>
                <w:highlight w:val="none"/>
                <w:lang w:val="en-US" w:eastAsia="zh-CN"/>
              </w:rPr>
              <w:t>1、2#楼图示柱子不做铝板包边。</w:t>
            </w:r>
          </w:p>
          <w:p>
            <w:pPr>
              <w:keepNext w:val="0"/>
              <w:keepLines w:val="0"/>
              <w:pageBreakBefore w:val="0"/>
              <w:widowControl w:val="0"/>
              <w:numPr>
                <w:ilvl w:val="0"/>
                <w:numId w:val="0"/>
              </w:numPr>
              <w:kinsoku/>
              <w:wordWrap/>
              <w:overflowPunct/>
              <w:topLinePunct w:val="0"/>
              <w:bidi w:val="0"/>
              <w:adjustRightInd w:val="0"/>
              <w:snapToGrid w:val="0"/>
              <w:spacing w:line="380" w:lineRule="exact"/>
              <w:ind w:left="420" w:leftChars="0"/>
              <w:rPr>
                <w:rFonts w:hint="eastAsia" w:cs="Times New Roman"/>
                <w:szCs w:val="22"/>
                <w:highlight w:val="none"/>
                <w:lang w:val="en-US" w:eastAsia="zh-CN"/>
              </w:rPr>
            </w:pPr>
            <w:r>
              <w:rPr>
                <w:rFonts w:hint="default"/>
                <w:highlight w:val="none"/>
                <w:lang w:val="en-US" w:eastAsia="zh-CN"/>
              </w:rPr>
              <w:drawing>
                <wp:anchor distT="0" distB="0" distL="114300" distR="114300" simplePos="0" relativeHeight="251658240" behindDoc="0" locked="0" layoutInCell="1" allowOverlap="1">
                  <wp:simplePos x="0" y="0"/>
                  <wp:positionH relativeFrom="column">
                    <wp:posOffset>285750</wp:posOffset>
                  </wp:positionH>
                  <wp:positionV relativeFrom="paragraph">
                    <wp:posOffset>26670</wp:posOffset>
                  </wp:positionV>
                  <wp:extent cx="2097405" cy="688340"/>
                  <wp:effectExtent l="0" t="0" r="5715" b="12700"/>
                  <wp:wrapTopAndBottom/>
                  <wp:docPr id="1" name="图片 1" descr="edecbe52a36eadd437414c4d283c0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ecbe52a36eadd437414c4d283c0ae"/>
                          <pic:cNvPicPr>
                            <a:picLocks noChangeAspect="1"/>
                          </pic:cNvPicPr>
                        </pic:nvPicPr>
                        <pic:blipFill>
                          <a:blip r:embed="rId4"/>
                          <a:stretch>
                            <a:fillRect/>
                          </a:stretch>
                        </pic:blipFill>
                        <pic:spPr>
                          <a:xfrm>
                            <a:off x="0" y="0"/>
                            <a:ext cx="2097405" cy="688340"/>
                          </a:xfrm>
                          <a:prstGeom prst="rect">
                            <a:avLst/>
                          </a:prstGeom>
                        </pic:spPr>
                      </pic:pic>
                    </a:graphicData>
                  </a:graphic>
                </wp:anchor>
              </w:drawing>
            </w:r>
            <w:r>
              <w:rPr>
                <w:rFonts w:hint="eastAsia" w:cs="Times New Roman"/>
                <w:szCs w:val="22"/>
                <w:highlight w:val="none"/>
                <w:lang w:val="en-US" w:eastAsia="zh-CN"/>
              </w:rPr>
              <w:t>2、2#楼压型钢板天沟按照2mm厚计入。</w:t>
            </w:r>
          </w:p>
          <w:p>
            <w:pPr>
              <w:keepNext w:val="0"/>
              <w:keepLines w:val="0"/>
              <w:pageBreakBefore w:val="0"/>
              <w:widowControl w:val="0"/>
              <w:numPr>
                <w:ilvl w:val="0"/>
                <w:numId w:val="0"/>
              </w:numPr>
              <w:kinsoku/>
              <w:wordWrap/>
              <w:overflowPunct/>
              <w:topLinePunct w:val="0"/>
              <w:bidi w:val="0"/>
              <w:adjustRightInd w:val="0"/>
              <w:snapToGrid w:val="0"/>
              <w:spacing w:line="380" w:lineRule="exact"/>
              <w:ind w:left="420" w:leftChars="0"/>
              <w:rPr>
                <w:rFonts w:hint="eastAsia"/>
                <w:highlight w:val="none"/>
                <w:lang w:val="en-US" w:eastAsia="zh-CN"/>
              </w:rPr>
            </w:pPr>
            <w:r>
              <w:rPr>
                <w:rFonts w:hint="eastAsia" w:cs="Times New Roman"/>
                <w:szCs w:val="22"/>
                <w:highlight w:val="none"/>
                <w:lang w:val="en-US" w:eastAsia="zh-CN"/>
              </w:rPr>
              <w:t>3、2#楼结构图中的LZ柱就是节点中镀锌方管。</w:t>
            </w:r>
          </w:p>
          <w:p>
            <w:pPr>
              <w:keepNext w:val="0"/>
              <w:keepLines w:val="0"/>
              <w:pageBreakBefore w:val="0"/>
              <w:widowControl w:val="0"/>
              <w:numPr>
                <w:ilvl w:val="0"/>
                <w:numId w:val="0"/>
              </w:numPr>
              <w:kinsoku/>
              <w:wordWrap/>
              <w:overflowPunct/>
              <w:topLinePunct w:val="0"/>
              <w:bidi w:val="0"/>
              <w:adjustRightInd w:val="0"/>
              <w:snapToGrid w:val="0"/>
              <w:spacing w:line="380" w:lineRule="exact"/>
              <w:ind w:left="420" w:leftChars="0"/>
              <w:rPr>
                <w:rFonts w:hint="eastAsia" w:cs="Times New Roman"/>
                <w:szCs w:val="22"/>
                <w:highlight w:val="none"/>
                <w:lang w:val="en-US" w:eastAsia="zh-CN"/>
              </w:rPr>
            </w:pPr>
            <w:r>
              <w:rPr>
                <w:highlight w:val="none"/>
              </w:rPr>
              <w:drawing>
                <wp:anchor distT="0" distB="0" distL="114300" distR="114300" simplePos="0" relativeHeight="251659264" behindDoc="0" locked="0" layoutInCell="1" allowOverlap="1">
                  <wp:simplePos x="0" y="0"/>
                  <wp:positionH relativeFrom="column">
                    <wp:posOffset>320040</wp:posOffset>
                  </wp:positionH>
                  <wp:positionV relativeFrom="paragraph">
                    <wp:posOffset>69215</wp:posOffset>
                  </wp:positionV>
                  <wp:extent cx="1649095" cy="876300"/>
                  <wp:effectExtent l="0" t="0" r="12065" b="762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649095" cy="876300"/>
                          </a:xfrm>
                          <a:prstGeom prst="rect">
                            <a:avLst/>
                          </a:prstGeom>
                          <a:noFill/>
                          <a:ln>
                            <a:noFill/>
                          </a:ln>
                        </pic:spPr>
                      </pic:pic>
                    </a:graphicData>
                  </a:graphic>
                </wp:anchor>
              </w:drawing>
            </w:r>
            <w:r>
              <w:rPr>
                <w:rFonts w:hint="eastAsia" w:cs="Times New Roman"/>
                <w:szCs w:val="22"/>
                <w:highlight w:val="none"/>
                <w:lang w:val="en-US" w:eastAsia="zh-CN"/>
              </w:rPr>
              <w:t>4、2#楼西侧外立面电子感应门玻璃采用12厚(Low-E超白)钢化玻璃。</w:t>
            </w:r>
          </w:p>
          <w:p>
            <w:pPr>
              <w:keepNext w:val="0"/>
              <w:keepLines w:val="0"/>
              <w:pageBreakBefore w:val="0"/>
              <w:widowControl w:val="0"/>
              <w:numPr>
                <w:ilvl w:val="0"/>
                <w:numId w:val="0"/>
              </w:numPr>
              <w:kinsoku/>
              <w:wordWrap/>
              <w:overflowPunct/>
              <w:topLinePunct w:val="0"/>
              <w:bidi w:val="0"/>
              <w:adjustRightInd w:val="0"/>
              <w:snapToGrid w:val="0"/>
              <w:spacing w:line="380" w:lineRule="exact"/>
              <w:ind w:left="420" w:leftChars="0"/>
              <w:rPr>
                <w:rFonts w:hint="eastAsia" w:cs="Times New Roman"/>
                <w:szCs w:val="22"/>
                <w:highlight w:val="none"/>
                <w:lang w:val="en-US" w:eastAsia="zh-CN"/>
              </w:rPr>
            </w:pPr>
            <w:r>
              <w:rPr>
                <w:rFonts w:hint="eastAsia" w:cs="Times New Roman"/>
                <w:szCs w:val="22"/>
                <w:highlight w:val="none"/>
                <w:lang w:val="en-US" w:eastAsia="zh-CN"/>
              </w:rPr>
              <w:t>5、10#楼图示位置玻璃幕墙采用立柱为120系列铝合金立柱，玻璃为8＋12＋8low中空钢化玻璃。</w:t>
            </w:r>
            <w:r>
              <w:rPr>
                <w:highlight w:val="none"/>
              </w:rPr>
              <w:drawing>
                <wp:anchor distT="0" distB="0" distL="114300" distR="114300" simplePos="0" relativeHeight="251662336" behindDoc="0" locked="0" layoutInCell="1" allowOverlap="1">
                  <wp:simplePos x="0" y="0"/>
                  <wp:positionH relativeFrom="column">
                    <wp:posOffset>429895</wp:posOffset>
                  </wp:positionH>
                  <wp:positionV relativeFrom="paragraph">
                    <wp:posOffset>-7720965</wp:posOffset>
                  </wp:positionV>
                  <wp:extent cx="2172335" cy="970915"/>
                  <wp:effectExtent l="0" t="0" r="6985" b="444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2172335" cy="970915"/>
                          </a:xfrm>
                          <a:prstGeom prst="rect">
                            <a:avLst/>
                          </a:prstGeom>
                          <a:noFill/>
                          <a:ln>
                            <a:noFill/>
                          </a:ln>
                        </pic:spPr>
                      </pic:pic>
                    </a:graphicData>
                  </a:graphic>
                </wp:anchor>
              </w:drawing>
            </w:r>
            <w:r>
              <w:rPr>
                <w:rFonts w:hint="eastAsia" w:cs="Times New Roman"/>
                <w:szCs w:val="22"/>
                <w:highlight w:val="none"/>
                <w:lang w:val="en-US" w:eastAsia="zh-CN"/>
              </w:rPr>
              <w:t>6、立面c定制不锈钢字体计入。</w:t>
            </w:r>
          </w:p>
          <w:p>
            <w:pPr>
              <w:keepNext w:val="0"/>
              <w:keepLines w:val="0"/>
              <w:pageBreakBefore w:val="0"/>
              <w:widowControl w:val="0"/>
              <w:numPr>
                <w:ilvl w:val="0"/>
                <w:numId w:val="0"/>
              </w:numPr>
              <w:kinsoku/>
              <w:wordWrap/>
              <w:overflowPunct/>
              <w:topLinePunct w:val="0"/>
              <w:bidi w:val="0"/>
              <w:adjustRightInd w:val="0"/>
              <w:snapToGrid w:val="0"/>
              <w:spacing w:line="380" w:lineRule="exact"/>
              <w:ind w:left="420" w:leftChars="0"/>
              <w:rPr>
                <w:rFonts w:hint="eastAsia"/>
                <w:highlight w:val="none"/>
                <w:lang w:val="en-US" w:eastAsia="zh-CN"/>
              </w:rPr>
            </w:pPr>
            <w:r>
              <w:rPr>
                <w:rFonts w:hint="eastAsia" w:cs="Times New Roman"/>
                <w:szCs w:val="22"/>
                <w:highlight w:val="none"/>
                <w:lang w:val="en-US" w:eastAsia="zh-CN"/>
              </w:rPr>
              <w:t>7、</w:t>
            </w:r>
            <w:r>
              <w:rPr>
                <w:rFonts w:hint="eastAsia"/>
                <w:highlight w:val="none"/>
                <w:lang w:val="en-US" w:eastAsia="zh-CN"/>
              </w:rPr>
              <w:t>10号楼门斗室内地面具体做法按照以下。</w:t>
            </w:r>
          </w:p>
          <w:p>
            <w:pPr>
              <w:numPr>
                <w:ilvl w:val="0"/>
                <w:numId w:val="0"/>
              </w:numPr>
              <w:ind w:leftChars="0" w:firstLine="420" w:firstLineChars="200"/>
              <w:rPr>
                <w:rFonts w:hint="eastAsia"/>
                <w:highlight w:val="none"/>
                <w:lang w:val="en-US" w:eastAsia="zh-CN"/>
              </w:rPr>
            </w:pPr>
            <w:r>
              <w:rPr>
                <w:highlight w:val="none"/>
              </w:rPr>
              <w:drawing>
                <wp:anchor distT="0" distB="0" distL="114300" distR="114300" simplePos="0" relativeHeight="251672576" behindDoc="0" locked="0" layoutInCell="1" allowOverlap="1">
                  <wp:simplePos x="0" y="0"/>
                  <wp:positionH relativeFrom="column">
                    <wp:posOffset>262890</wp:posOffset>
                  </wp:positionH>
                  <wp:positionV relativeFrom="paragraph">
                    <wp:posOffset>48260</wp:posOffset>
                  </wp:positionV>
                  <wp:extent cx="3133725" cy="862965"/>
                  <wp:effectExtent l="0" t="0" r="5715" b="571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133725" cy="862965"/>
                          </a:xfrm>
                          <a:prstGeom prst="rect">
                            <a:avLst/>
                          </a:prstGeom>
                          <a:noFill/>
                          <a:ln>
                            <a:noFill/>
                          </a:ln>
                        </pic:spPr>
                      </pic:pic>
                    </a:graphicData>
                  </a:graphic>
                </wp:anchor>
              </w:drawing>
            </w:r>
            <w:r>
              <w:rPr>
                <w:rFonts w:hint="eastAsia"/>
                <w:highlight w:val="none"/>
                <w:lang w:val="en-US" w:eastAsia="zh-CN"/>
              </w:rPr>
              <w:t>8、10号楼花岗岩坡的具体做法请明确。</w:t>
            </w:r>
          </w:p>
          <w:p>
            <w:pPr>
              <w:numPr>
                <w:ilvl w:val="0"/>
                <w:numId w:val="0"/>
              </w:numPr>
              <w:ind w:leftChars="0" w:firstLine="420" w:firstLineChars="200"/>
              <w:rPr>
                <w:rFonts w:hint="eastAsia"/>
                <w:highlight w:val="none"/>
                <w:lang w:val="en-US" w:eastAsia="zh-CN"/>
              </w:rPr>
            </w:pPr>
            <w:r>
              <w:rPr>
                <w:highlight w:val="none"/>
              </w:rPr>
              <w:drawing>
                <wp:anchor distT="0" distB="0" distL="114300" distR="114300" simplePos="0" relativeHeight="251716608" behindDoc="0" locked="0" layoutInCell="1" allowOverlap="1">
                  <wp:simplePos x="0" y="0"/>
                  <wp:positionH relativeFrom="column">
                    <wp:posOffset>266700</wp:posOffset>
                  </wp:positionH>
                  <wp:positionV relativeFrom="paragraph">
                    <wp:posOffset>0</wp:posOffset>
                  </wp:positionV>
                  <wp:extent cx="4131310" cy="786130"/>
                  <wp:effectExtent l="0" t="0" r="13970" b="6350"/>
                  <wp:wrapTopAndBottom/>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8"/>
                          <a:stretch>
                            <a:fillRect/>
                          </a:stretch>
                        </pic:blipFill>
                        <pic:spPr>
                          <a:xfrm>
                            <a:off x="0" y="0"/>
                            <a:ext cx="4131310" cy="786130"/>
                          </a:xfrm>
                          <a:prstGeom prst="rect">
                            <a:avLst/>
                          </a:prstGeom>
                          <a:noFill/>
                          <a:ln>
                            <a:noFill/>
                          </a:ln>
                        </pic:spPr>
                      </pic:pic>
                    </a:graphicData>
                  </a:graphic>
                </wp:anchor>
              </w:drawing>
            </w:r>
          </w:p>
          <w:p>
            <w:pPr>
              <w:numPr>
                <w:ilvl w:val="0"/>
                <w:numId w:val="0"/>
              </w:numPr>
              <w:ind w:leftChars="0" w:firstLine="420" w:firstLineChars="200"/>
              <w:rPr>
                <w:rFonts w:hint="eastAsia"/>
                <w:highlight w:val="none"/>
                <w:lang w:val="en-US" w:eastAsia="zh-CN"/>
              </w:rPr>
            </w:pPr>
            <w:r>
              <w:rPr>
                <w:rFonts w:hint="eastAsia"/>
                <w:highlight w:val="none"/>
                <w:lang w:val="en-US" w:eastAsia="zh-CN"/>
              </w:rPr>
              <w:t>9、10号楼铺设鹅卵石基层以及面层做法请明确。</w:t>
            </w:r>
          </w:p>
          <w:p>
            <w:pPr>
              <w:numPr>
                <w:ilvl w:val="0"/>
                <w:numId w:val="0"/>
              </w:numPr>
              <w:ind w:leftChars="0" w:firstLine="420" w:firstLineChars="200"/>
              <w:rPr>
                <w:highlight w:val="none"/>
              </w:rPr>
            </w:pPr>
            <w:r>
              <w:rPr>
                <w:highlight w:val="none"/>
              </w:rPr>
              <w:drawing>
                <wp:anchor distT="0" distB="0" distL="114300" distR="114300" simplePos="0" relativeHeight="251714560" behindDoc="0" locked="0" layoutInCell="1" allowOverlap="1">
                  <wp:simplePos x="0" y="0"/>
                  <wp:positionH relativeFrom="column">
                    <wp:posOffset>266700</wp:posOffset>
                  </wp:positionH>
                  <wp:positionV relativeFrom="paragraph">
                    <wp:posOffset>22860</wp:posOffset>
                  </wp:positionV>
                  <wp:extent cx="3872230" cy="932815"/>
                  <wp:effectExtent l="0" t="0" r="13970" b="12065"/>
                  <wp:wrapTopAndBottom/>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9"/>
                          <a:stretch>
                            <a:fillRect/>
                          </a:stretch>
                        </pic:blipFill>
                        <pic:spPr>
                          <a:xfrm>
                            <a:off x="0" y="0"/>
                            <a:ext cx="3872230" cy="932815"/>
                          </a:xfrm>
                          <a:prstGeom prst="rect">
                            <a:avLst/>
                          </a:prstGeom>
                          <a:noFill/>
                          <a:ln>
                            <a:noFill/>
                          </a:ln>
                        </pic:spPr>
                      </pic:pic>
                    </a:graphicData>
                  </a:graphic>
                </wp:anchor>
              </w:drawing>
            </w:r>
            <w:r>
              <w:rPr>
                <w:highlight w:val="none"/>
              </w:rPr>
              <w:drawing>
                <wp:anchor distT="0" distB="0" distL="114300" distR="114300" simplePos="0" relativeHeight="251711488" behindDoc="0" locked="0" layoutInCell="1" allowOverlap="1">
                  <wp:simplePos x="0" y="0"/>
                  <wp:positionH relativeFrom="column">
                    <wp:posOffset>1320800</wp:posOffset>
                  </wp:positionH>
                  <wp:positionV relativeFrom="paragraph">
                    <wp:posOffset>8420735</wp:posOffset>
                  </wp:positionV>
                  <wp:extent cx="5273675" cy="1223010"/>
                  <wp:effectExtent l="0" t="0" r="14605" b="11430"/>
                  <wp:wrapNone/>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0"/>
                          <a:stretch>
                            <a:fillRect/>
                          </a:stretch>
                        </pic:blipFill>
                        <pic:spPr>
                          <a:xfrm>
                            <a:off x="0" y="0"/>
                            <a:ext cx="5273675" cy="1223010"/>
                          </a:xfrm>
                          <a:prstGeom prst="rect">
                            <a:avLst/>
                          </a:prstGeom>
                          <a:noFill/>
                          <a:ln>
                            <a:noFill/>
                          </a:ln>
                        </pic:spPr>
                      </pic:pic>
                    </a:graphicData>
                  </a:graphic>
                </wp:anchor>
              </w:drawing>
            </w:r>
            <w:r>
              <w:rPr>
                <w:highlight w:val="none"/>
              </w:rPr>
              <w:drawing>
                <wp:anchor distT="0" distB="0" distL="114300" distR="114300" simplePos="0" relativeHeight="251707392" behindDoc="0" locked="0" layoutInCell="1" allowOverlap="1">
                  <wp:simplePos x="0" y="0"/>
                  <wp:positionH relativeFrom="column">
                    <wp:posOffset>1168400</wp:posOffset>
                  </wp:positionH>
                  <wp:positionV relativeFrom="paragraph">
                    <wp:posOffset>8268335</wp:posOffset>
                  </wp:positionV>
                  <wp:extent cx="5273675" cy="1223010"/>
                  <wp:effectExtent l="0" t="0" r="14605" b="11430"/>
                  <wp:wrapNone/>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0"/>
                          <a:stretch>
                            <a:fillRect/>
                          </a:stretch>
                        </pic:blipFill>
                        <pic:spPr>
                          <a:xfrm>
                            <a:off x="0" y="0"/>
                            <a:ext cx="5273675" cy="1223010"/>
                          </a:xfrm>
                          <a:prstGeom prst="rect">
                            <a:avLst/>
                          </a:prstGeom>
                          <a:noFill/>
                          <a:ln>
                            <a:noFill/>
                          </a:ln>
                        </pic:spPr>
                      </pic:pic>
                    </a:graphicData>
                  </a:graphic>
                </wp:anchor>
              </w:drawing>
            </w:r>
            <w:r>
              <w:rPr>
                <w:highlight w:val="none"/>
              </w:rPr>
              <w:drawing>
                <wp:anchor distT="0" distB="0" distL="114300" distR="114300" simplePos="0" relativeHeight="251703296" behindDoc="0" locked="0" layoutInCell="1" allowOverlap="1">
                  <wp:simplePos x="0" y="0"/>
                  <wp:positionH relativeFrom="column">
                    <wp:posOffset>1473200</wp:posOffset>
                  </wp:positionH>
                  <wp:positionV relativeFrom="paragraph">
                    <wp:posOffset>8573135</wp:posOffset>
                  </wp:positionV>
                  <wp:extent cx="5273675" cy="1223010"/>
                  <wp:effectExtent l="0" t="0" r="14605" b="11430"/>
                  <wp:wrapNone/>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0"/>
                          <a:stretch>
                            <a:fillRect/>
                          </a:stretch>
                        </pic:blipFill>
                        <pic:spPr>
                          <a:xfrm>
                            <a:off x="0" y="0"/>
                            <a:ext cx="5273675" cy="1223010"/>
                          </a:xfrm>
                          <a:prstGeom prst="rect">
                            <a:avLst/>
                          </a:prstGeom>
                          <a:noFill/>
                          <a:ln>
                            <a:noFill/>
                          </a:ln>
                        </pic:spPr>
                      </pic:pic>
                    </a:graphicData>
                  </a:graphic>
                </wp:anchor>
              </w:drawing>
            </w:r>
            <w:r>
              <w:rPr>
                <w:highlight w:val="none"/>
              </w:rPr>
              <w:drawing>
                <wp:anchor distT="0" distB="0" distL="114300" distR="114300" simplePos="0" relativeHeight="251699200" behindDoc="0" locked="0" layoutInCell="1" allowOverlap="1">
                  <wp:simplePos x="0" y="0"/>
                  <wp:positionH relativeFrom="column">
                    <wp:posOffset>1320800</wp:posOffset>
                  </wp:positionH>
                  <wp:positionV relativeFrom="paragraph">
                    <wp:posOffset>8420735</wp:posOffset>
                  </wp:positionV>
                  <wp:extent cx="5273675" cy="1223010"/>
                  <wp:effectExtent l="0" t="0" r="14605" b="11430"/>
                  <wp:wrapNone/>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0"/>
                          <a:stretch>
                            <a:fillRect/>
                          </a:stretch>
                        </pic:blipFill>
                        <pic:spPr>
                          <a:xfrm>
                            <a:off x="0" y="0"/>
                            <a:ext cx="5273675" cy="1223010"/>
                          </a:xfrm>
                          <a:prstGeom prst="rect">
                            <a:avLst/>
                          </a:prstGeom>
                          <a:noFill/>
                          <a:ln>
                            <a:noFill/>
                          </a:ln>
                        </pic:spPr>
                      </pic:pic>
                    </a:graphicData>
                  </a:graphic>
                </wp:anchor>
              </w:drawing>
            </w:r>
            <w:r>
              <w:rPr>
                <w:highlight w:val="none"/>
              </w:rPr>
              <w:drawing>
                <wp:anchor distT="0" distB="0" distL="114300" distR="114300" simplePos="0" relativeHeight="251695104" behindDoc="0" locked="0" layoutInCell="1" allowOverlap="1">
                  <wp:simplePos x="0" y="0"/>
                  <wp:positionH relativeFrom="column">
                    <wp:posOffset>1168400</wp:posOffset>
                  </wp:positionH>
                  <wp:positionV relativeFrom="paragraph">
                    <wp:posOffset>8268335</wp:posOffset>
                  </wp:positionV>
                  <wp:extent cx="5273675" cy="1223010"/>
                  <wp:effectExtent l="0" t="0" r="14605" b="11430"/>
                  <wp:wrapNone/>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0"/>
                          <a:stretch>
                            <a:fillRect/>
                          </a:stretch>
                        </pic:blipFill>
                        <pic:spPr>
                          <a:xfrm>
                            <a:off x="0" y="0"/>
                            <a:ext cx="5273675" cy="1223010"/>
                          </a:xfrm>
                          <a:prstGeom prst="rect">
                            <a:avLst/>
                          </a:prstGeom>
                          <a:noFill/>
                          <a:ln>
                            <a:noFill/>
                          </a:ln>
                        </pic:spPr>
                      </pic:pic>
                    </a:graphicData>
                  </a:graphic>
                </wp:anchor>
              </w:drawing>
            </w:r>
            <w:r>
              <w:rPr>
                <w:highlight w:val="none"/>
              </w:rPr>
              <w:drawing>
                <wp:anchor distT="0" distB="0" distL="114300" distR="114300" simplePos="0" relativeHeight="251691008" behindDoc="0" locked="0" layoutInCell="1" allowOverlap="1">
                  <wp:simplePos x="0" y="0"/>
                  <wp:positionH relativeFrom="column">
                    <wp:posOffset>1168400</wp:posOffset>
                  </wp:positionH>
                  <wp:positionV relativeFrom="paragraph">
                    <wp:posOffset>8268335</wp:posOffset>
                  </wp:positionV>
                  <wp:extent cx="5273675" cy="1223010"/>
                  <wp:effectExtent l="0" t="0" r="14605" b="11430"/>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0"/>
                          <a:stretch>
                            <a:fillRect/>
                          </a:stretch>
                        </pic:blipFill>
                        <pic:spPr>
                          <a:xfrm>
                            <a:off x="0" y="0"/>
                            <a:ext cx="5273675" cy="1223010"/>
                          </a:xfrm>
                          <a:prstGeom prst="rect">
                            <a:avLst/>
                          </a:prstGeom>
                          <a:noFill/>
                          <a:ln>
                            <a:noFill/>
                          </a:ln>
                        </pic:spPr>
                      </pic:pic>
                    </a:graphicData>
                  </a:graphic>
                </wp:anchor>
              </w:drawing>
            </w:r>
            <w:r>
              <w:rPr>
                <w:highlight w:val="none"/>
              </w:rPr>
              <w:drawing>
                <wp:anchor distT="0" distB="0" distL="114300" distR="114300" simplePos="0" relativeHeight="251686912" behindDoc="0" locked="0" layoutInCell="1" allowOverlap="1">
                  <wp:simplePos x="0" y="0"/>
                  <wp:positionH relativeFrom="column">
                    <wp:posOffset>1473200</wp:posOffset>
                  </wp:positionH>
                  <wp:positionV relativeFrom="paragraph">
                    <wp:posOffset>8573135</wp:posOffset>
                  </wp:positionV>
                  <wp:extent cx="5273675" cy="1223010"/>
                  <wp:effectExtent l="0" t="0" r="14605" b="1143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5273675" cy="1223010"/>
                          </a:xfrm>
                          <a:prstGeom prst="rect">
                            <a:avLst/>
                          </a:prstGeom>
                          <a:noFill/>
                          <a:ln>
                            <a:noFill/>
                          </a:ln>
                        </pic:spPr>
                      </pic:pic>
                    </a:graphicData>
                  </a:graphic>
                </wp:anchor>
              </w:drawing>
            </w:r>
            <w:r>
              <w:rPr>
                <w:highlight w:val="none"/>
              </w:rPr>
              <w:drawing>
                <wp:anchor distT="0" distB="0" distL="114300" distR="114300" simplePos="0" relativeHeight="251682816" behindDoc="0" locked="0" layoutInCell="1" allowOverlap="1">
                  <wp:simplePos x="0" y="0"/>
                  <wp:positionH relativeFrom="column">
                    <wp:posOffset>1315720</wp:posOffset>
                  </wp:positionH>
                  <wp:positionV relativeFrom="paragraph">
                    <wp:posOffset>8420735</wp:posOffset>
                  </wp:positionV>
                  <wp:extent cx="5273675" cy="1223010"/>
                  <wp:effectExtent l="0" t="0" r="14605" b="1143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5273675" cy="1223010"/>
                          </a:xfrm>
                          <a:prstGeom prst="rect">
                            <a:avLst/>
                          </a:prstGeom>
                          <a:noFill/>
                          <a:ln>
                            <a:noFill/>
                          </a:ln>
                        </pic:spPr>
                      </pic:pic>
                    </a:graphicData>
                  </a:graphic>
                </wp:anchor>
              </w:drawing>
            </w:r>
            <w:r>
              <w:rPr>
                <w:highlight w:val="none"/>
              </w:rPr>
              <w:drawing>
                <wp:anchor distT="0" distB="0" distL="114300" distR="114300" simplePos="0" relativeHeight="251678720" behindDoc="0" locked="0" layoutInCell="1" allowOverlap="1">
                  <wp:simplePos x="0" y="0"/>
                  <wp:positionH relativeFrom="column">
                    <wp:posOffset>1163320</wp:posOffset>
                  </wp:positionH>
                  <wp:positionV relativeFrom="paragraph">
                    <wp:posOffset>8268335</wp:posOffset>
                  </wp:positionV>
                  <wp:extent cx="5273675" cy="1223010"/>
                  <wp:effectExtent l="0" t="0" r="14605" b="1143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5273675" cy="1223010"/>
                          </a:xfrm>
                          <a:prstGeom prst="rect">
                            <a:avLst/>
                          </a:prstGeom>
                          <a:noFill/>
                          <a:ln>
                            <a:noFill/>
                          </a:ln>
                        </pic:spPr>
                      </pic:pic>
                    </a:graphicData>
                  </a:graphic>
                </wp:anchor>
              </w:drawing>
            </w:r>
          </w:p>
          <w:p>
            <w:pPr>
              <w:numPr>
                <w:ilvl w:val="0"/>
                <w:numId w:val="0"/>
              </w:numPr>
              <w:ind w:leftChars="0" w:firstLine="420" w:firstLineChars="200"/>
              <w:rPr>
                <w:rFonts w:hint="eastAsia"/>
                <w:highlight w:val="none"/>
                <w:lang w:val="en-US" w:eastAsia="zh-CN"/>
              </w:rPr>
            </w:pPr>
            <w:r>
              <w:rPr>
                <w:rFonts w:hint="eastAsia"/>
                <w:highlight w:val="none"/>
                <w:lang w:val="en-US" w:eastAsia="zh-CN"/>
              </w:rPr>
              <w:t>10、10号楼自动感应门玻璃品种及厚度按照12厚钢化清玻璃。</w:t>
            </w:r>
            <w:r>
              <w:rPr>
                <w:highlight w:val="none"/>
              </w:rPr>
              <w:drawing>
                <wp:anchor distT="0" distB="0" distL="114300" distR="114300" simplePos="0" relativeHeight="251772928" behindDoc="0" locked="0" layoutInCell="1" allowOverlap="1">
                  <wp:simplePos x="0" y="0"/>
                  <wp:positionH relativeFrom="page">
                    <wp:posOffset>419100</wp:posOffset>
                  </wp:positionH>
                  <wp:positionV relativeFrom="page">
                    <wp:posOffset>5304155</wp:posOffset>
                  </wp:positionV>
                  <wp:extent cx="1380490" cy="1122045"/>
                  <wp:effectExtent l="0" t="0" r="6350" b="5715"/>
                  <wp:wrapTopAndBottom/>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1"/>
                          <a:stretch>
                            <a:fillRect/>
                          </a:stretch>
                        </pic:blipFill>
                        <pic:spPr>
                          <a:xfrm>
                            <a:off x="0" y="0"/>
                            <a:ext cx="1380490" cy="112204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bidi w:val="0"/>
              <w:adjustRightInd w:val="0"/>
              <w:snapToGrid w:val="0"/>
              <w:spacing w:line="380" w:lineRule="exact"/>
              <w:ind w:firstLine="422" w:firstLineChars="200"/>
              <w:rPr>
                <w:rFonts w:hint="eastAsia"/>
                <w:b/>
                <w:bCs/>
                <w:szCs w:val="22"/>
                <w:highlight w:val="none"/>
                <w:lang w:val="en-US" w:eastAsia="zh-CN"/>
              </w:rPr>
            </w:pPr>
            <w:r>
              <w:rPr>
                <w:rFonts w:hint="eastAsia"/>
                <w:b/>
                <w:bCs/>
                <w:szCs w:val="22"/>
                <w:highlight w:val="none"/>
                <w:lang w:val="en-US" w:eastAsia="zh-CN"/>
              </w:rPr>
              <w:t>安装部分：</w:t>
            </w:r>
          </w:p>
          <w:p>
            <w:pPr>
              <w:numPr>
                <w:ilvl w:val="0"/>
                <w:numId w:val="0"/>
              </w:numPr>
              <w:ind w:leftChars="0" w:firstLine="420" w:firstLineChars="200"/>
              <w:rPr>
                <w:rFonts w:hint="eastAsia"/>
                <w:szCs w:val="22"/>
                <w:highlight w:val="none"/>
                <w:lang w:val="en-US" w:eastAsia="zh-CN"/>
              </w:rPr>
            </w:pPr>
            <w:r>
              <w:rPr>
                <w:rFonts w:hint="eastAsia"/>
                <w:szCs w:val="22"/>
                <w:highlight w:val="none"/>
                <w:lang w:val="en-US" w:eastAsia="zh-CN"/>
              </w:rPr>
              <w:t>1、2#楼原有配电箱新增空开，照明带延时开关</w:t>
            </w:r>
          </w:p>
          <w:p>
            <w:pPr>
              <w:numPr>
                <w:ilvl w:val="0"/>
                <w:numId w:val="0"/>
              </w:numPr>
              <w:ind w:leftChars="0" w:firstLine="420" w:firstLineChars="200"/>
              <w:rPr>
                <w:rFonts w:hint="eastAsia"/>
                <w:szCs w:val="22"/>
                <w:highlight w:val="none"/>
                <w:lang w:val="en-US" w:eastAsia="zh-CN"/>
              </w:rPr>
            </w:pPr>
            <w:r>
              <w:rPr>
                <w:rFonts w:hint="eastAsia"/>
                <w:szCs w:val="22"/>
                <w:highlight w:val="none"/>
                <w:lang w:val="en-US" w:eastAsia="zh-CN"/>
              </w:rPr>
              <w:t>2、2#楼不需要设置开关</w:t>
            </w:r>
          </w:p>
          <w:p>
            <w:pPr>
              <w:numPr>
                <w:ilvl w:val="0"/>
                <w:numId w:val="0"/>
              </w:numPr>
              <w:ind w:leftChars="0" w:firstLine="420" w:firstLineChars="200"/>
              <w:rPr>
                <w:rFonts w:hint="eastAsia" w:cs="Times New Roman"/>
                <w:b w:val="0"/>
                <w:snapToGrid w:val="0"/>
                <w:kern w:val="0"/>
                <w:sz w:val="21"/>
                <w:szCs w:val="22"/>
                <w:highlight w:val="none"/>
                <w:lang w:val="en-US" w:eastAsia="zh-CN" w:bidi="ar-SA"/>
              </w:rPr>
            </w:pPr>
            <w:r>
              <w:rPr>
                <w:rFonts w:hint="eastAsia" w:ascii="Calibri" w:hAnsi="Calibri" w:eastAsia="宋体" w:cs="Times New Roman"/>
                <w:b w:val="0"/>
                <w:snapToGrid w:val="0"/>
                <w:kern w:val="0"/>
                <w:sz w:val="21"/>
                <w:szCs w:val="22"/>
                <w:highlight w:val="none"/>
                <w:lang w:val="en-US" w:eastAsia="zh-CN" w:bidi="ar-SA"/>
              </w:rPr>
              <w:t>3、10#楼门厅保护开关、导线规格同层照明配电箱，</w:t>
            </w:r>
            <w:r>
              <w:rPr>
                <w:rFonts w:hint="eastAsia" w:cs="Times New Roman"/>
                <w:b w:val="0"/>
                <w:snapToGrid w:val="0"/>
                <w:kern w:val="0"/>
                <w:sz w:val="21"/>
                <w:szCs w:val="22"/>
                <w:highlight w:val="none"/>
                <w:lang w:val="en-US" w:eastAsia="zh-CN" w:bidi="ar-SA"/>
              </w:rPr>
              <w:t>按照</w:t>
            </w:r>
            <w:r>
              <w:rPr>
                <w:rFonts w:hint="eastAsia" w:ascii="Calibri" w:hAnsi="Calibri" w:eastAsia="宋体" w:cs="Times New Roman"/>
                <w:b w:val="0"/>
                <w:snapToGrid w:val="0"/>
                <w:kern w:val="0"/>
                <w:sz w:val="21"/>
                <w:szCs w:val="22"/>
                <w:highlight w:val="none"/>
                <w:lang w:val="en-US" w:eastAsia="zh-CN" w:bidi="ar-SA"/>
              </w:rPr>
              <w:t>WDZB1-BYJ-3x2.5-JDG20-CC WC</w:t>
            </w:r>
            <w:r>
              <w:rPr>
                <w:rFonts w:hint="eastAsia" w:cs="Times New Roman"/>
                <w:b w:val="0"/>
                <w:snapToGrid w:val="0"/>
                <w:kern w:val="0"/>
                <w:sz w:val="21"/>
                <w:szCs w:val="22"/>
                <w:highlight w:val="none"/>
                <w:lang w:val="en-US" w:eastAsia="zh-CN" w:bidi="ar-SA"/>
              </w:rPr>
              <w:t>。</w:t>
            </w:r>
          </w:p>
          <w:p>
            <w:pPr>
              <w:numPr>
                <w:ilvl w:val="0"/>
                <w:numId w:val="0"/>
              </w:numPr>
              <w:ind w:leftChars="0" w:firstLine="420" w:firstLineChars="200"/>
              <w:rPr>
                <w:rFonts w:hint="eastAsia"/>
                <w:szCs w:val="22"/>
                <w:highlight w:val="none"/>
                <w:lang w:val="en-US" w:eastAsia="zh-CN"/>
              </w:rPr>
            </w:pPr>
            <w:r>
              <w:rPr>
                <w:rFonts w:hint="eastAsia" w:cs="Times New Roman"/>
                <w:b w:val="0"/>
                <w:snapToGrid w:val="0"/>
                <w:kern w:val="0"/>
                <w:sz w:val="21"/>
                <w:szCs w:val="22"/>
                <w:highlight w:val="none"/>
                <w:lang w:val="en-US" w:eastAsia="zh-CN" w:bidi="ar-SA"/>
              </w:rPr>
              <w:t>4</w:t>
            </w:r>
            <w:r>
              <w:rPr>
                <w:rFonts w:hint="eastAsia" w:ascii="Calibri" w:hAnsi="Calibri" w:eastAsia="宋体" w:cs="Times New Roman"/>
                <w:b w:val="0"/>
                <w:snapToGrid w:val="0"/>
                <w:kern w:val="0"/>
                <w:sz w:val="21"/>
                <w:szCs w:val="22"/>
                <w:highlight w:val="none"/>
                <w:lang w:val="en-US" w:eastAsia="zh-CN" w:bidi="ar-SA"/>
              </w:rPr>
              <w:t>、</w:t>
            </w:r>
            <w:r>
              <w:rPr>
                <w:rFonts w:hint="eastAsia"/>
                <w:szCs w:val="22"/>
                <w:highlight w:val="none"/>
                <w:lang w:val="en-US" w:eastAsia="zh-CN"/>
              </w:rPr>
              <w:t>门斗吊顶为明装直径7W 120筒灯，地面是直径7W 120射灯。</w:t>
            </w:r>
          </w:p>
          <w:p>
            <w:pPr>
              <w:numPr>
                <w:ilvl w:val="0"/>
                <w:numId w:val="0"/>
              </w:numPr>
              <w:ind w:leftChars="0" w:firstLine="420" w:firstLineChars="200"/>
              <w:rPr>
                <w:rFonts w:hint="eastAsia"/>
                <w:szCs w:val="22"/>
                <w:highlight w:val="none"/>
                <w:lang w:val="en-US" w:eastAsia="zh-CN"/>
              </w:rPr>
            </w:pPr>
            <w:r>
              <w:rPr>
                <w:rFonts w:hint="eastAsia"/>
                <w:szCs w:val="22"/>
                <w:highlight w:val="none"/>
                <w:lang w:val="en-US" w:eastAsia="zh-CN"/>
              </w:rPr>
              <w:t>5、灯带为Led软管灯带，4W/m。</w:t>
            </w:r>
          </w:p>
          <w:p>
            <w:pPr>
              <w:numPr>
                <w:ilvl w:val="0"/>
                <w:numId w:val="0"/>
              </w:numPr>
              <w:ind w:leftChars="0" w:firstLine="420" w:firstLineChars="200"/>
              <w:rPr>
                <w:rFonts w:hint="eastAsia"/>
                <w:highlight w:val="none"/>
                <w:lang w:val="en-US" w:eastAsia="zh-CN"/>
              </w:rPr>
            </w:pPr>
            <w:r>
              <w:rPr>
                <w:rFonts w:hint="eastAsia"/>
                <w:szCs w:val="22"/>
                <w:highlight w:val="none"/>
                <w:lang w:val="en-US" w:eastAsia="zh-CN"/>
              </w:rPr>
              <w:t>6、DN100雨水管按照HDPE排水管，热熔承插连接，埋地的部分用柔性承插连接。</w:t>
            </w:r>
          </w:p>
          <w:p>
            <w:pPr>
              <w:keepNext w:val="0"/>
              <w:keepLines w:val="0"/>
              <w:pageBreakBefore w:val="0"/>
              <w:widowControl w:val="0"/>
              <w:numPr>
                <w:ilvl w:val="0"/>
                <w:numId w:val="0"/>
              </w:numPr>
              <w:kinsoku/>
              <w:wordWrap/>
              <w:overflowPunct/>
              <w:topLinePunct w:val="0"/>
              <w:bidi w:val="0"/>
              <w:adjustRightInd w:val="0"/>
              <w:snapToGrid w:val="0"/>
              <w:spacing w:line="380" w:lineRule="exact"/>
              <w:rPr>
                <w:rFonts w:hint="eastAsia"/>
                <w:b w:val="0"/>
                <w:bCs w:val="0"/>
                <w:szCs w:val="22"/>
                <w:highlight w:val="none"/>
              </w:rPr>
            </w:pPr>
          </w:p>
          <w:p>
            <w:pPr>
              <w:widowControl/>
              <w:jc w:val="left"/>
              <w:rPr>
                <w:rFonts w:hint="default" w:ascii="宋体" w:hAnsi="Calibri" w:eastAsia="宋体" w:cs="宋体"/>
                <w:color w:val="auto"/>
                <w:szCs w:val="21"/>
                <w:highlight w:val="none"/>
                <w:lang w:val="en-US" w:eastAsia="zh-CN"/>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S?o｡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5F169"/>
    <w:multiLevelType w:val="singleLevel"/>
    <w:tmpl w:val="D725F169"/>
    <w:lvl w:ilvl="0" w:tentative="0">
      <w:start w:val="1"/>
      <w:numFmt w:val="chineseCounting"/>
      <w:suff w:val="nothing"/>
      <w:lvlText w:val="%1、"/>
      <w:lvlJc w:val="left"/>
      <w:pPr>
        <w:ind w:left="0" w:firstLine="420"/>
      </w:pPr>
      <w:rPr>
        <w:rFonts w:hint="eastAsia"/>
      </w:rPr>
    </w:lvl>
  </w:abstractNum>
  <w:abstractNum w:abstractNumId="1">
    <w:nsid w:val="DB35B2D1"/>
    <w:multiLevelType w:val="singleLevel"/>
    <w:tmpl w:val="DB35B2D1"/>
    <w:lvl w:ilvl="0" w:tentative="0">
      <w:start w:val="1"/>
      <w:numFmt w:val="decimal"/>
      <w:suff w:val="nothing"/>
      <w:lvlText w:val="%1．"/>
      <w:lvlJc w:val="left"/>
      <w:pPr>
        <w:ind w:left="0" w:firstLine="400"/>
      </w:pPr>
      <w:rPr>
        <w:rFonts w:hint="default"/>
      </w:rPr>
    </w:lvl>
  </w:abstractNum>
  <w:abstractNum w:abstractNumId="2">
    <w:nsid w:val="59369486"/>
    <w:multiLevelType w:val="singleLevel"/>
    <w:tmpl w:val="59369486"/>
    <w:lvl w:ilvl="0" w:tentative="0">
      <w:start w:val="1"/>
      <w:numFmt w:val="decimal"/>
      <w:suff w:val="nothing"/>
      <w:lvlText w:val="%1．"/>
      <w:lvlJc w:val="left"/>
      <w:pPr>
        <w:ind w:left="0" w:firstLine="400"/>
      </w:pPr>
      <w:rPr>
        <w:rFonts w:hint="default"/>
      </w:rPr>
    </w:lvl>
  </w:abstractNum>
  <w:abstractNum w:abstractNumId="3">
    <w:nsid w:val="68B6A08C"/>
    <w:multiLevelType w:val="singleLevel"/>
    <w:tmpl w:val="68B6A08C"/>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A2EE3"/>
    <w:rsid w:val="01810363"/>
    <w:rsid w:val="01B57E57"/>
    <w:rsid w:val="02955E7A"/>
    <w:rsid w:val="031642C5"/>
    <w:rsid w:val="04F05FFD"/>
    <w:rsid w:val="06DA6FC1"/>
    <w:rsid w:val="0759373F"/>
    <w:rsid w:val="07644F3C"/>
    <w:rsid w:val="07FF02B9"/>
    <w:rsid w:val="0830753B"/>
    <w:rsid w:val="093913A0"/>
    <w:rsid w:val="0AAE6E86"/>
    <w:rsid w:val="0AFD29F5"/>
    <w:rsid w:val="0CE17A41"/>
    <w:rsid w:val="0D5736A1"/>
    <w:rsid w:val="0DA77092"/>
    <w:rsid w:val="0E905BCB"/>
    <w:rsid w:val="0EB249B8"/>
    <w:rsid w:val="0FD10363"/>
    <w:rsid w:val="1213352F"/>
    <w:rsid w:val="12603A56"/>
    <w:rsid w:val="126E62FF"/>
    <w:rsid w:val="12797599"/>
    <w:rsid w:val="12A95654"/>
    <w:rsid w:val="12F32C12"/>
    <w:rsid w:val="13264706"/>
    <w:rsid w:val="132F3F72"/>
    <w:rsid w:val="15972072"/>
    <w:rsid w:val="166B24EE"/>
    <w:rsid w:val="18E90EA3"/>
    <w:rsid w:val="1C5030B9"/>
    <w:rsid w:val="1D0B3A3A"/>
    <w:rsid w:val="1EB56737"/>
    <w:rsid w:val="1EE376EF"/>
    <w:rsid w:val="20444C93"/>
    <w:rsid w:val="20DF3086"/>
    <w:rsid w:val="20F156C0"/>
    <w:rsid w:val="219A3192"/>
    <w:rsid w:val="22A479D8"/>
    <w:rsid w:val="25C81D4C"/>
    <w:rsid w:val="268F44BF"/>
    <w:rsid w:val="26A467AA"/>
    <w:rsid w:val="272B43EB"/>
    <w:rsid w:val="274F2A9B"/>
    <w:rsid w:val="28254B11"/>
    <w:rsid w:val="2A8514D2"/>
    <w:rsid w:val="2B820347"/>
    <w:rsid w:val="2CB723F5"/>
    <w:rsid w:val="2DF30896"/>
    <w:rsid w:val="2F7D715C"/>
    <w:rsid w:val="2FBA267D"/>
    <w:rsid w:val="308B0A1D"/>
    <w:rsid w:val="31336F5D"/>
    <w:rsid w:val="313E365B"/>
    <w:rsid w:val="329506CF"/>
    <w:rsid w:val="336F345F"/>
    <w:rsid w:val="33F21003"/>
    <w:rsid w:val="343E1E8D"/>
    <w:rsid w:val="385B29A2"/>
    <w:rsid w:val="388D717C"/>
    <w:rsid w:val="3A2A648F"/>
    <w:rsid w:val="3B1823BB"/>
    <w:rsid w:val="3BC61644"/>
    <w:rsid w:val="3BF5749A"/>
    <w:rsid w:val="3C063BCE"/>
    <w:rsid w:val="3DAD1384"/>
    <w:rsid w:val="3EBE6DBA"/>
    <w:rsid w:val="41626377"/>
    <w:rsid w:val="41CA0F50"/>
    <w:rsid w:val="421254FD"/>
    <w:rsid w:val="431A46EB"/>
    <w:rsid w:val="43262AF2"/>
    <w:rsid w:val="43EA29F0"/>
    <w:rsid w:val="43F614A6"/>
    <w:rsid w:val="453646D2"/>
    <w:rsid w:val="45450464"/>
    <w:rsid w:val="45E137CE"/>
    <w:rsid w:val="45EF7E60"/>
    <w:rsid w:val="460263B8"/>
    <w:rsid w:val="47860ADE"/>
    <w:rsid w:val="484238B5"/>
    <w:rsid w:val="4A1477BE"/>
    <w:rsid w:val="4A834336"/>
    <w:rsid w:val="4A9E0D57"/>
    <w:rsid w:val="4ACF3213"/>
    <w:rsid w:val="4C4E4D40"/>
    <w:rsid w:val="4C56319A"/>
    <w:rsid w:val="4CB83418"/>
    <w:rsid w:val="4D397FB7"/>
    <w:rsid w:val="4DA957DB"/>
    <w:rsid w:val="4E676ACC"/>
    <w:rsid w:val="518D0239"/>
    <w:rsid w:val="52656CAA"/>
    <w:rsid w:val="526E44CC"/>
    <w:rsid w:val="5307727C"/>
    <w:rsid w:val="531C2106"/>
    <w:rsid w:val="534610AD"/>
    <w:rsid w:val="53B67B7C"/>
    <w:rsid w:val="53DC1CEC"/>
    <w:rsid w:val="54F1628F"/>
    <w:rsid w:val="557D5D37"/>
    <w:rsid w:val="567C3220"/>
    <w:rsid w:val="580A274E"/>
    <w:rsid w:val="58AE5D46"/>
    <w:rsid w:val="58ED5696"/>
    <w:rsid w:val="5A810EDA"/>
    <w:rsid w:val="5AB3152E"/>
    <w:rsid w:val="5AF30A1D"/>
    <w:rsid w:val="5B342429"/>
    <w:rsid w:val="5C5D0C4B"/>
    <w:rsid w:val="5CAC5D0F"/>
    <w:rsid w:val="5CD91959"/>
    <w:rsid w:val="5D0F1CDD"/>
    <w:rsid w:val="5D7822DC"/>
    <w:rsid w:val="5D921965"/>
    <w:rsid w:val="5EB97B17"/>
    <w:rsid w:val="5F750A04"/>
    <w:rsid w:val="5FC114D9"/>
    <w:rsid w:val="5FF74B11"/>
    <w:rsid w:val="61060383"/>
    <w:rsid w:val="62191737"/>
    <w:rsid w:val="621B14AB"/>
    <w:rsid w:val="64060A28"/>
    <w:rsid w:val="656452AC"/>
    <w:rsid w:val="662D03D5"/>
    <w:rsid w:val="67391D10"/>
    <w:rsid w:val="69D476AC"/>
    <w:rsid w:val="6A197561"/>
    <w:rsid w:val="6A6008B3"/>
    <w:rsid w:val="6CD71CD6"/>
    <w:rsid w:val="6D0B27B0"/>
    <w:rsid w:val="6E27742E"/>
    <w:rsid w:val="6E394DFF"/>
    <w:rsid w:val="6F6106EF"/>
    <w:rsid w:val="6F7524C5"/>
    <w:rsid w:val="6FAA480D"/>
    <w:rsid w:val="706E3357"/>
    <w:rsid w:val="71611474"/>
    <w:rsid w:val="745327E1"/>
    <w:rsid w:val="75FD46C6"/>
    <w:rsid w:val="766D3498"/>
    <w:rsid w:val="76CC569C"/>
    <w:rsid w:val="77133D3B"/>
    <w:rsid w:val="77743FCA"/>
    <w:rsid w:val="790113DB"/>
    <w:rsid w:val="79947FD6"/>
    <w:rsid w:val="79B51612"/>
    <w:rsid w:val="79D91539"/>
    <w:rsid w:val="79ED63CE"/>
    <w:rsid w:val="7BEA1679"/>
    <w:rsid w:val="7D4D015E"/>
    <w:rsid w:val="7DA82161"/>
    <w:rsid w:val="7E133D25"/>
    <w:rsid w:val="7E78717A"/>
    <w:rsid w:val="7EC01BA3"/>
    <w:rsid w:val="7F4E4C54"/>
    <w:rsid w:val="7F6F6B9B"/>
    <w:rsid w:val="7F8F1222"/>
    <w:rsid w:val="7FDD5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napToGrid w:val="0"/>
      <w:sz w:val="21"/>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2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1"/>
    <w:next w:val="1"/>
    <w:qFormat/>
    <w:uiPriority w:val="0"/>
    <w:pPr>
      <w:ind w:firstLine="4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内文正文"/>
    <w:basedOn w:val="1"/>
    <w:qFormat/>
    <w:uiPriority w:val="0"/>
    <w:pPr>
      <w:widowControl/>
      <w:autoSpaceDE w:val="0"/>
      <w:autoSpaceDN w:val="0"/>
      <w:spacing w:line="400" w:lineRule="exact"/>
      <w:ind w:firstLine="200" w:firstLineChars="200"/>
      <w:textAlignment w:val="bottom"/>
    </w:pPr>
    <w:rPr>
      <w:rFonts w:ascii="宋体" w:hAnsi="???|CS?o｡ﾀ?" w:cs="宋体"/>
      <w:kern w:val="0"/>
      <w:szCs w:val="21"/>
    </w:rPr>
  </w:style>
  <w:style w:type="character" w:customStyle="1" w:styleId="13">
    <w:name w:val="font01"/>
    <w:basedOn w:val="8"/>
    <w:qFormat/>
    <w:uiPriority w:val="0"/>
    <w:rPr>
      <w:rFonts w:hint="eastAsia" w:ascii="宋体" w:hAnsi="宋体" w:eastAsia="宋体" w:cs="宋体"/>
      <w:color w:val="000000"/>
      <w:sz w:val="18"/>
      <w:szCs w:val="18"/>
      <w:u w:val="none"/>
    </w:rPr>
  </w:style>
  <w:style w:type="character" w:customStyle="1" w:styleId="14">
    <w:name w:val="font11"/>
    <w:basedOn w:val="8"/>
    <w:qFormat/>
    <w:uiPriority w:val="0"/>
    <w:rPr>
      <w:rFonts w:hint="eastAsia" w:ascii="宋体" w:hAnsi="宋体" w:eastAsia="宋体" w:cs="宋体"/>
      <w:color w:val="000000"/>
      <w:sz w:val="18"/>
      <w:szCs w:val="18"/>
      <w:u w:val="none"/>
    </w:rPr>
  </w:style>
  <w:style w:type="character" w:customStyle="1" w:styleId="15">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2019-10-12T07:53:00Z</dcterms:created>
  <dc:creator>张彦波</dc:creator>
  <cp:lastModifiedBy>可可布朗尼Ӧ</cp:lastModifiedBy>
  <dcterms:modified xsi:type="dcterms:W3CDTF">2022-05-28T15:02:03Z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