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QTCG-CS-2023-093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</w:t>
      </w:r>
      <w:r>
        <w:rPr>
          <w:rFonts w:hint="eastAsia"/>
          <w:b/>
          <w:lang w:eastAsia="zh-CN"/>
        </w:rPr>
        <w:t>杭州市钱塘区人民政府复议应诉法律服务项目</w:t>
      </w:r>
    </w:p>
    <w:p/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标项1，</w:t>
      </w:r>
      <w:r>
        <w:rPr>
          <w:rFonts w:hint="eastAsia"/>
          <w:b/>
          <w:lang w:eastAsia="zh-CN"/>
        </w:rPr>
        <w:t>杭州市钱塘区人民政府复议应诉法律服务项目</w:t>
      </w:r>
      <w:r>
        <w:rPr>
          <w:rFonts w:hint="eastAsia"/>
          <w:b/>
        </w:rPr>
        <w:t>标项</w:t>
      </w:r>
      <w:r>
        <w:rPr>
          <w:rFonts w:hint="eastAsia"/>
          <w:b/>
          <w:lang w:val="en-US" w:eastAsia="zh-CN"/>
        </w:rPr>
        <w:t>一</w:t>
      </w: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浙江君安世纪律师事务所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该单位综合得分85.54，排序第2。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北京天达共和（杭州）律师事务所、北京天达共和（上海）律师事务所（联合体）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该单位综合得分81.58，排序第3。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浙江法君律师事务所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该单位综合得分81.51，排序第4。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浙江泽大律师事务所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该单位综合得分75.82，排序第5。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浙江律匠律师事务所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该单位综合得分74.94，排序第6。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浙江百元律师事务所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该单位综合得分68.83，排序第7。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上海邦信阳（杭州）律师事务所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该单位综合得分68.07，排序第8。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北京中伦文德（杭州）律师事务所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该单位综合得分63.06，排序第9。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北京通商（杭州）律师事务所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该单位综合得分56.84，排序第10。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81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浙江润杭律师事务所</w:t>
            </w:r>
          </w:p>
        </w:tc>
        <w:tc>
          <w:tcPr>
            <w:tcW w:w="4893" w:type="dxa"/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该单位综合得分38.77，排序第11。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标项2，杭州市钱塘区人民政府复议应诉法律服务项目标项二</w:t>
      </w:r>
    </w:p>
    <w:tbl>
      <w:tblPr>
        <w:tblStyle w:val="4"/>
        <w:tblW w:w="829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单位名称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未中标理由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浙江法君律师事务所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该单位综合得分82.83，排序第2。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北京天达共和（杭州）律师事务所、北京天达共和（上海）律师事务所（联合体）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该单位综合得分81.5，排序第3。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浙江律匠律师事务所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该单位综合得分75.17，排序第4。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浙江百元律师事务所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该单位综合得分69.75，排序第5。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北京中伦文德（杭州）律师事务所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该单位综合得分63.59，排序第6。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北京通商（杭州）律师事务所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该单位综合得分57.49，排序第7。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浙江润杭律师事务所</w:t>
            </w:r>
            <w:bookmarkStart w:id="0" w:name="_GoBack"/>
            <w:bookmarkEnd w:id="0"/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该单位综合得分40.4，排序第8。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浙江金道（钱塘区）律师事务所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为标项1第一成交候选供应商。根据“评审办法及评审标准”部分，“响应无效”情形的3.21项，“在前面的标项已被推荐为第一成交候选人的”响应无效</w:t>
            </w: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标项3，杭州市钱塘区人民政府复议应诉法律服务项目标项三</w:t>
      </w:r>
    </w:p>
    <w:tbl>
      <w:tblPr>
        <w:tblStyle w:val="4"/>
        <w:tblW w:w="829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单位名称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未中标理由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北京天达共和（杭州）律师事务所、北京天达共和（上海）律师事务所（联合体）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该单位综合得分81.38，排序第2。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浙江律匠律师事务所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该单位综合得分74.45，排序第3。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浙江百元律师事务所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该单位综合得分67.39，排序第4。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北京中伦文德（杭州）律师事务所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该单位综合得分62.49，排序第5。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北京通商（杭州）律师事务所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该单位综合得分56.41，排序第6。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浙江润杭律师事务所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磋商小组按照评审得分由高到低顺序推荐前3名为成交候选供应商。该项目确定评审报告提出的排序第一的供应商为成交供应商。</w:t>
            </w:r>
          </w:p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该单位综合得分37.98，排序第7。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浙江君安世纪律师事务所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为标项2第一成交候选供应商。根据“评审办法及评审标准”部分，“响应无效”情形的3.21项，“在前面的标项已被推荐为第一成交候选人的”响应无效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894" w:hRule="atLeast"/>
        </w:trPr>
        <w:tc>
          <w:tcPr>
            <w:tcW w:w="1016" w:type="dxa"/>
            <w:tcBorders>
              <w:tl2br w:val="nil"/>
              <w:tr2bl w:val="nil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2381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浙江金道（钱塘区）律师事务所</w:t>
            </w:r>
          </w:p>
        </w:tc>
        <w:tc>
          <w:tcPr>
            <w:tcW w:w="4893" w:type="dxa"/>
            <w:tcBorders>
              <w:tl2br w:val="nil"/>
              <w:tr2bl w:val="nil"/>
            </w:tcBorders>
            <w:shd w:val="clear" w:color="auto" w:fill="FEFEFE"/>
            <w:vAlign w:val="top"/>
          </w:tcPr>
          <w:p>
            <w:pPr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lang w:val="en-US" w:eastAsia="zh-CN"/>
              </w:rPr>
              <w:t>为标项1第一成交候选供应商。根据“评审办法及评审标准”部分，“响应无效”情形的3.21项，“在前面的标项已被推荐为第一成交候选人的”响应无效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OTVmOWU4OWIyZTdjODkxMDllZGM0MDFlZDQzMDUifQ==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A6039B"/>
    <w:rsid w:val="0C7A062D"/>
    <w:rsid w:val="0C9539BA"/>
    <w:rsid w:val="0F2B249C"/>
    <w:rsid w:val="146931F3"/>
    <w:rsid w:val="16976417"/>
    <w:rsid w:val="1A4C5A64"/>
    <w:rsid w:val="1C44545C"/>
    <w:rsid w:val="1D0B55FC"/>
    <w:rsid w:val="21F82E19"/>
    <w:rsid w:val="3588278C"/>
    <w:rsid w:val="383F040A"/>
    <w:rsid w:val="39B031B5"/>
    <w:rsid w:val="3BDD152B"/>
    <w:rsid w:val="3C0E2DED"/>
    <w:rsid w:val="40165C03"/>
    <w:rsid w:val="42E148B1"/>
    <w:rsid w:val="43DA0D89"/>
    <w:rsid w:val="4F0B3D51"/>
    <w:rsid w:val="51E12C44"/>
    <w:rsid w:val="57FD3CB6"/>
    <w:rsid w:val="5E2D1D92"/>
    <w:rsid w:val="605F79E5"/>
    <w:rsid w:val="6073206C"/>
    <w:rsid w:val="66B74C8C"/>
    <w:rsid w:val="682B364D"/>
    <w:rsid w:val="68BF32B1"/>
    <w:rsid w:val="6BFE541B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2379</Words>
  <Characters>2496</Characters>
  <Lines>1</Lines>
  <Paragraphs>1</Paragraphs>
  <TotalTime>0</TotalTime>
  <ScaleCrop>false</ScaleCrop>
  <LinksUpToDate>false</LinksUpToDate>
  <CharactersWithSpaces>2496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2023-10-09T09:21:03Z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74191D4C3221495C94D64077C2EF73F3</vt:lpwstr>
  </property>
</Properties>
</file>