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一、项目需求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（一）采购范围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zh-CN"/>
        </w:rPr>
        <w:t>优质肉牛冻精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必须来源于特级种公牛，价格标准为每剂不低于20元、不超过50元。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（二）服务范围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入选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单位负责免费配送肉牛冷冻精液，免费供应液氮。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二、技术参数</w:t>
      </w:r>
    </w:p>
    <w:tbl>
      <w:tblPr>
        <w:tblStyle w:val="5"/>
        <w:tblpPr w:leftFromText="180" w:rightFromText="180" w:vertAnchor="text" w:horzAnchor="page" w:tblpX="1549" w:tblpY="81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87"/>
        <w:gridCol w:w="5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剂量</w:t>
            </w:r>
          </w:p>
        </w:tc>
        <w:tc>
          <w:tcPr>
            <w:tcW w:w="10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微型≥0.19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中型≥0.42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精子数</w:t>
            </w:r>
          </w:p>
        </w:tc>
        <w:tc>
          <w:tcPr>
            <w:tcW w:w="10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普通牛、瘤牛≥40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水牛、牦牛及大额牛≥35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前进运动精子数</w:t>
            </w:r>
          </w:p>
        </w:tc>
        <w:tc>
          <w:tcPr>
            <w:tcW w:w="10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个/剂</w:t>
            </w: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普通牛、瘤牛≥600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牦牛≥800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水牛及大额牛≥1000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精子畸形数</w:t>
            </w:r>
          </w:p>
        </w:tc>
        <w:tc>
          <w:tcPr>
            <w:tcW w:w="10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普通牛、瘤牛≤20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水牛、牦牛及大额牛≤22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菌落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总数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CFU/剂</w:t>
            </w:r>
          </w:p>
        </w:tc>
        <w:tc>
          <w:tcPr>
            <w:tcW w:w="32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≤500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zgxM2UwOGFjYWZkZTQ0MjhlYTQ2OGIwYmEzMWUifQ=="/>
  </w:docVars>
  <w:rsids>
    <w:rsidRoot w:val="22A2180F"/>
    <w:rsid w:val="22A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Ansi="Calibri"/>
      <w:sz w:val="34"/>
      <w:szCs w:val="22"/>
    </w:rPr>
  </w:style>
  <w:style w:type="paragraph" w:styleId="3">
    <w:name w:val="Body Text Indent"/>
    <w:basedOn w:val="1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rFonts w:ascii="宋体" w:hAnsi="MS Sans Serif"/>
      <w:spacing w:val="12"/>
      <w:sz w:val="24"/>
      <w:lang w:eastAsia="zh-CN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2024-05-16T03:17:00Z</dcterms:created>
  <dc:creator>Administrator</dc:creator>
  <cp:lastModifiedBy>Administrator</cp:lastModifiedBy>
  <dcterms:modified xsi:type="dcterms:W3CDTF">2024-05-16T03:18:54Z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9CBEC78699B24255938B182E91586609_11</vt:lpwstr>
  </property>
</Properties>
</file>