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EAD1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主要建设内容</w:t>
      </w:r>
    </w:p>
    <w:p w14:paraId="076C500D">
      <w:pPr>
        <w:ind w:firstLine="640" w:firstLineChars="200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本项目为丽阳校区新建笼式足球场及周边场地修建，包括：</w:t>
      </w:r>
      <w:r>
        <w:rPr>
          <w:rFonts w:hint="eastAsia"/>
          <w:sz w:val="32"/>
          <w:szCs w:val="32"/>
          <w:lang w:val="en-US" w:eastAsia="zh-CN"/>
        </w:rPr>
        <w:t>田径场东北侧设置笼式足球场（5人制足球场），包含一个全场和一个半场，其现有的天然草坪改为人工草坪，面积约为1330平方米，并设置围网、排水沟、室外照明等；田径场跑道内侧的天然草坪改为人工草坪，其面积约为1200平方米；运动场区域塑胶面层零星修缮约750平方米；现有围网利旧安装与北侧活动场地约120米；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小学部10#、11#楼的架空层部分露土地面修缮，即加铺花岗岩地面及花池（坛）等，涉及面积约350平方米。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62C32"/>
    <w:rsid w:val="27D6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2025-06-09T02:22:00Z</dcterms:created>
  <dc:creator>梦难留</dc:creator>
  <cp:lastModifiedBy>梦难留</cp:lastModifiedBy>
  <dcterms:modified xsi:type="dcterms:W3CDTF">2025-06-09T02:29:11Z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7AE63C7717A94F2CAAD711173707DEB9_11</vt:lpwstr>
  </property>
  <property fmtid="{D5CDD505-2E9C-101B-9397-08002B2CF9AE}" pid="4" name="KSOTemplateDocerSaveRecord">
    <vt:lpwstr>eyJoZGlkIjoiYzc4NGFkNmVlYWMxMGFkY2UzNTg4Mjk0MmM2NDhjNjQiLCJ1c2VySWQiOiI5NzkxNDk1NjAifQ==</vt:lpwstr>
  </property>
</Properties>
</file>