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C7853A0D">
      <w:pPr>
        <w:pStyle w:val="style0"/>
        <w:jc w:val="center"/>
        <w:rPr>
          <w:rFonts w:ascii="宋体" w:hAnsi="宋体"/>
          <w:color w:val="auto"/>
          <w:sz w:val="30"/>
        </w:rPr>
      </w:pPr>
      <w:bookmarkStart w:id="0" w:name="_GoBack"/>
      <w:r>
        <w:rPr>
          <w:rFonts w:ascii="宋体" w:hAnsi="宋体" w:hint="eastAsia"/>
          <w:color w:val="auto"/>
          <w:sz w:val="30"/>
        </w:rPr>
        <w:t>成交公告内容</w:t>
      </w:r>
      <w:bookmarkEnd w:id="0"/>
    </w:p>
    <w:p w14:paraId="2290F629">
      <w:pPr>
        <w:pStyle w:val="style0"/>
        <w:spacing w:lineRule="auto" w:line="360"/>
        <w:rPr>
          <w:rFonts w:ascii="宋体" w:hAnsi="宋体" w:hint="eastAsia"/>
          <w:color w:val="auto"/>
          <w:spacing w:val="20"/>
          <w:sz w:val="24"/>
        </w:rPr>
      </w:pPr>
      <w:r>
        <w:rPr>
          <w:rFonts w:ascii="宋体" w:hAnsi="宋体" w:hint="eastAsia"/>
          <w:color w:val="auto"/>
          <w:spacing w:val="20"/>
          <w:sz w:val="24"/>
        </w:rPr>
        <w:t>采购项目：</w:t>
      </w:r>
      <w:r>
        <w:rPr>
          <w:rFonts w:ascii="宋体" w:hAnsi="宋体" w:hint="eastAsia"/>
          <w:color w:val="auto"/>
          <w:spacing w:val="20"/>
          <w:sz w:val="24"/>
          <w:lang w:eastAsia="zh-CN"/>
        </w:rPr>
        <w:t>丽水南城实验幼儿园碧桂苑园区校舍租赁采购项目</w:t>
      </w:r>
    </w:p>
    <w:p w14:paraId="13A5EE43">
      <w:pPr>
        <w:pStyle w:val="style0"/>
        <w:spacing w:lineRule="auto" w:line="360"/>
        <w:rPr>
          <w:rFonts w:ascii="宋体" w:hAnsi="宋体" w:hint="eastAsia"/>
          <w:color w:val="auto"/>
          <w:spacing w:val="20"/>
          <w:sz w:val="24"/>
        </w:rPr>
      </w:pPr>
      <w:r>
        <w:rPr>
          <w:rFonts w:ascii="宋体" w:hAnsi="宋体" w:hint="eastAsia"/>
          <w:color w:val="auto"/>
          <w:spacing w:val="20"/>
          <w:sz w:val="24"/>
        </w:rPr>
        <w:t>采购编号：</w:t>
      </w:r>
      <w:r>
        <w:rPr>
          <w:rFonts w:ascii="宋体" w:hAnsi="宋体" w:hint="eastAsia"/>
          <w:color w:val="auto"/>
          <w:spacing w:val="20"/>
          <w:sz w:val="24"/>
          <w:lang w:eastAsia="zh-CN"/>
        </w:rPr>
        <w:t>浙建航单</w:t>
      </w:r>
      <w:r>
        <w:rPr>
          <w:rFonts w:ascii="宋体" w:hAnsi="宋体" w:hint="default"/>
          <w:color w:val="auto"/>
          <w:spacing w:val="20"/>
          <w:sz w:val="24"/>
          <w:lang w:val="en-US" w:eastAsia="zh-CN"/>
        </w:rPr>
        <w:t>2025198</w:t>
      </w:r>
      <w:r>
        <w:rPr>
          <w:rFonts w:ascii="宋体" w:hAnsi="宋体" w:hint="eastAsia"/>
          <w:color w:val="auto"/>
          <w:spacing w:val="20"/>
          <w:sz w:val="24"/>
          <w:lang w:eastAsia="zh-CN"/>
        </w:rPr>
        <w:t>号</w:t>
      </w:r>
    </w:p>
    <w:tbl>
      <w:tblPr>
        <w:tblStyle w:val="style105"/>
        <w:tblW w:w="92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35"/>
        <w:gridCol w:w="2268"/>
        <w:gridCol w:w="992"/>
        <w:gridCol w:w="992"/>
        <w:gridCol w:w="2755"/>
      </w:tblGrid>
      <w:tr w14:paraId="FBBD7D76">
        <w:trPr/>
        <w:tc>
          <w:tcPr>
            <w:tcW w:w="2235" w:type="dxa"/>
            <w:tcBorders>
              <w:top w:val="single" w:sz="4" w:space="0" w:color="auto"/>
              <w:left w:val="single" w:sz="4" w:space="0" w:color="auto"/>
              <w:bottom w:val="single" w:sz="4" w:space="0" w:color="auto"/>
              <w:right w:val="single" w:sz="4" w:space="0" w:color="auto"/>
            </w:tcBorders>
            <w:vAlign w:val="center"/>
          </w:tcPr>
          <w:p w14:paraId="C5AFBA7B">
            <w:pPr>
              <w:pStyle w:val="style0"/>
              <w:jc w:val="center"/>
              <w:rPr>
                <w:rFonts w:ascii="宋体" w:hAnsi="宋体" w:hint="eastAsia"/>
                <w:color w:val="auto"/>
                <w:spacing w:val="20"/>
                <w:sz w:val="24"/>
              </w:rPr>
            </w:pPr>
            <w:r>
              <w:rPr>
                <w:rFonts w:ascii="宋体" w:hAnsi="宋体" w:hint="eastAsia"/>
                <w:color w:val="auto"/>
                <w:spacing w:val="20"/>
                <w:sz w:val="24"/>
              </w:rPr>
              <w:t>成交供应商名称</w:t>
            </w:r>
          </w:p>
        </w:tc>
        <w:tc>
          <w:tcPr>
            <w:tcW w:w="2268" w:type="dxa"/>
            <w:tcBorders>
              <w:top w:val="single" w:sz="4" w:space="0" w:color="auto"/>
              <w:left w:val="single" w:sz="4" w:space="0" w:color="auto"/>
              <w:bottom w:val="single" w:sz="4" w:space="0" w:color="auto"/>
              <w:right w:val="single" w:sz="4" w:space="0" w:color="auto"/>
            </w:tcBorders>
            <w:vAlign w:val="center"/>
          </w:tcPr>
          <w:p w14:paraId="C826A209">
            <w:pPr>
              <w:pStyle w:val="style0"/>
              <w:jc w:val="center"/>
              <w:rPr>
                <w:rFonts w:ascii="宋体" w:hAnsi="宋体" w:hint="eastAsia"/>
                <w:color w:val="auto"/>
                <w:spacing w:val="20"/>
                <w:sz w:val="24"/>
              </w:rPr>
            </w:pPr>
            <w:r>
              <w:rPr>
                <w:rFonts w:ascii="宋体" w:hAnsi="宋体" w:hint="eastAsia"/>
                <w:color w:val="auto"/>
                <w:spacing w:val="20"/>
                <w:sz w:val="24"/>
              </w:rPr>
              <w:t>丽水市明兴集体经济发展有限公司</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0DA5430">
            <w:pPr>
              <w:pStyle w:val="style0"/>
              <w:jc w:val="center"/>
              <w:rPr>
                <w:rFonts w:ascii="宋体" w:hAnsi="宋体" w:hint="eastAsia"/>
                <w:color w:val="auto"/>
                <w:spacing w:val="20"/>
                <w:sz w:val="24"/>
              </w:rPr>
            </w:pPr>
            <w:r>
              <w:rPr>
                <w:rFonts w:ascii="宋体" w:hAnsi="宋体" w:hint="eastAsia"/>
                <w:color w:val="auto"/>
                <w:spacing w:val="20"/>
                <w:sz w:val="24"/>
              </w:rPr>
              <w:t>供应商负责人</w:t>
            </w:r>
          </w:p>
        </w:tc>
        <w:tc>
          <w:tcPr>
            <w:tcW w:w="2755" w:type="dxa"/>
            <w:tcBorders>
              <w:top w:val="single" w:sz="4" w:space="0" w:color="auto"/>
              <w:left w:val="single" w:sz="4" w:space="0" w:color="auto"/>
              <w:bottom w:val="single" w:sz="4" w:space="0" w:color="auto"/>
              <w:right w:val="single" w:sz="4" w:space="0" w:color="auto"/>
            </w:tcBorders>
            <w:vAlign w:val="center"/>
          </w:tcPr>
          <w:p w14:paraId="E89DDD0E">
            <w:pPr>
              <w:pStyle w:val="style0"/>
              <w:jc w:val="center"/>
              <w:rPr>
                <w:rFonts w:ascii="宋体" w:hAnsi="宋体" w:hint="eastAsia"/>
                <w:color w:val="auto"/>
                <w:spacing w:val="20"/>
                <w:sz w:val="24"/>
              </w:rPr>
            </w:pPr>
            <w:r>
              <w:rPr>
                <w:rFonts w:ascii="宋体" w:hAnsi="宋体" w:hint="eastAsia"/>
                <w:color w:val="auto"/>
                <w:spacing w:val="20"/>
                <w:sz w:val="24"/>
                <w:lang w:val="en-US" w:eastAsia="zh-CN"/>
              </w:rPr>
              <w:t>谢文华</w:t>
            </w:r>
          </w:p>
        </w:tc>
      </w:tr>
      <w:tr w14:paraId="5D57BAEB">
        <w:tblPrEx/>
        <w:trPr/>
        <w:tc>
          <w:tcPr>
            <w:tcW w:w="2235" w:type="dxa"/>
            <w:tcBorders>
              <w:top w:val="single" w:sz="4" w:space="0" w:color="auto"/>
              <w:left w:val="single" w:sz="4" w:space="0" w:color="auto"/>
              <w:bottom w:val="single" w:sz="4" w:space="0" w:color="auto"/>
              <w:right w:val="single" w:sz="4" w:space="0" w:color="auto"/>
            </w:tcBorders>
            <w:vAlign w:val="center"/>
          </w:tcPr>
          <w:p w14:paraId="8C557C03">
            <w:pPr>
              <w:pStyle w:val="style0"/>
              <w:jc w:val="center"/>
              <w:rPr>
                <w:rFonts w:ascii="宋体" w:hAnsi="宋体" w:hint="eastAsia"/>
                <w:color w:val="auto"/>
                <w:spacing w:val="20"/>
                <w:sz w:val="24"/>
              </w:rPr>
            </w:pPr>
            <w:r>
              <w:rPr>
                <w:rFonts w:ascii="宋体" w:hAnsi="宋体" w:hint="eastAsia"/>
                <w:color w:val="auto"/>
                <w:spacing w:val="20"/>
                <w:sz w:val="24"/>
              </w:rPr>
              <w:t>供应商地址</w:t>
            </w:r>
          </w:p>
        </w:tc>
        <w:tc>
          <w:tcPr>
            <w:tcW w:w="7007" w:type="dxa"/>
            <w:gridSpan w:val="4"/>
            <w:tcBorders>
              <w:top w:val="single" w:sz="4" w:space="0" w:color="auto"/>
              <w:left w:val="single" w:sz="4" w:space="0" w:color="auto"/>
              <w:bottom w:val="single" w:sz="4" w:space="0" w:color="auto"/>
              <w:right w:val="single" w:sz="4" w:space="0" w:color="auto"/>
            </w:tcBorders>
            <w:vAlign w:val="center"/>
          </w:tcPr>
          <w:p w14:paraId="352D8299">
            <w:pPr>
              <w:pStyle w:val="style0"/>
              <w:jc w:val="center"/>
              <w:rPr>
                <w:rFonts w:ascii="宋体" w:hAnsi="宋体" w:hint="eastAsia"/>
                <w:color w:val="auto"/>
                <w:spacing w:val="20"/>
                <w:sz w:val="24"/>
              </w:rPr>
            </w:pPr>
            <w:r>
              <w:rPr>
                <w:rFonts w:ascii="宋体" w:hAnsi="宋体" w:hint="eastAsia"/>
                <w:color w:val="auto"/>
                <w:spacing w:val="20"/>
                <w:sz w:val="24"/>
              </w:rPr>
              <w:t>浙江省丽水市莲都区绿谷大道 50 号</w:t>
            </w:r>
          </w:p>
        </w:tc>
      </w:tr>
      <w:tr w14:paraId="3CB1E3DD">
        <w:tblPrEx/>
        <w:trPr/>
        <w:tc>
          <w:tcPr>
            <w:tcW w:w="9242" w:type="dxa"/>
            <w:gridSpan w:val="5"/>
            <w:tcBorders>
              <w:top w:val="single" w:sz="4" w:space="0" w:color="auto"/>
              <w:left w:val="single" w:sz="4" w:space="0" w:color="auto"/>
              <w:bottom w:val="single" w:sz="4" w:space="0" w:color="auto"/>
              <w:right w:val="single" w:sz="4" w:space="0" w:color="auto"/>
            </w:tcBorders>
            <w:vAlign w:val="center"/>
          </w:tcPr>
          <w:p w14:paraId="B7D9637B">
            <w:pPr>
              <w:pStyle w:val="style0"/>
              <w:jc w:val="center"/>
              <w:rPr>
                <w:rFonts w:ascii="宋体" w:hAnsi="宋体" w:hint="eastAsia"/>
                <w:color w:val="auto"/>
                <w:spacing w:val="20"/>
                <w:sz w:val="24"/>
              </w:rPr>
            </w:pPr>
            <w:r>
              <w:rPr>
                <w:rFonts w:ascii="宋体" w:hAnsi="宋体" w:hint="eastAsia"/>
                <w:color w:val="auto"/>
                <w:spacing w:val="20"/>
                <w:sz w:val="24"/>
              </w:rPr>
              <w:t xml:space="preserve"> 成交标的</w:t>
            </w:r>
          </w:p>
        </w:tc>
      </w:tr>
      <w:tr w14:paraId="CD4947A7">
        <w:tblPrEx/>
        <w:trPr>
          <w:trHeight w:val="514" w:hRule="atLeast"/>
        </w:trPr>
        <w:tc>
          <w:tcPr>
            <w:tcW w:w="2235" w:type="dxa"/>
            <w:tcBorders>
              <w:top w:val="single" w:sz="4" w:space="0" w:color="auto"/>
              <w:left w:val="single" w:sz="4" w:space="0" w:color="auto"/>
              <w:bottom w:val="single" w:sz="4" w:space="0" w:color="auto"/>
              <w:right w:val="single" w:sz="4" w:space="0" w:color="auto"/>
            </w:tcBorders>
            <w:vAlign w:val="center"/>
          </w:tcPr>
          <w:p w14:paraId="501228CE">
            <w:pPr>
              <w:pStyle w:val="style0"/>
              <w:jc w:val="center"/>
              <w:rPr>
                <w:rFonts w:ascii="宋体" w:hAnsi="宋体" w:hint="eastAsia"/>
                <w:color w:val="auto"/>
                <w:spacing w:val="20"/>
                <w:sz w:val="24"/>
              </w:rPr>
            </w:pPr>
            <w:r>
              <w:rPr>
                <w:rFonts w:ascii="宋体" w:hAnsi="宋体" w:hint="eastAsia"/>
                <w:color w:val="auto"/>
                <w:spacing w:val="20"/>
                <w:sz w:val="24"/>
              </w:rPr>
              <w:t>货物名称</w:t>
            </w:r>
          </w:p>
        </w:tc>
        <w:tc>
          <w:tcPr>
            <w:tcW w:w="2268" w:type="dxa"/>
            <w:tcBorders>
              <w:top w:val="single" w:sz="4" w:space="0" w:color="auto"/>
              <w:left w:val="single" w:sz="4" w:space="0" w:color="auto"/>
              <w:bottom w:val="single" w:sz="4" w:space="0" w:color="auto"/>
              <w:right w:val="single" w:sz="4" w:space="0" w:color="auto"/>
            </w:tcBorders>
            <w:vAlign w:val="center"/>
          </w:tcPr>
          <w:p w14:paraId="98E5EC4A">
            <w:pPr>
              <w:pStyle w:val="style0"/>
              <w:jc w:val="center"/>
              <w:rPr>
                <w:rFonts w:ascii="宋体" w:hAnsi="宋体" w:hint="eastAsia"/>
                <w:color w:val="auto"/>
                <w:spacing w:val="20"/>
                <w:sz w:val="24"/>
              </w:rPr>
            </w:pPr>
            <w:r>
              <w:rPr>
                <w:rFonts w:ascii="宋体" w:hAnsi="宋体" w:hint="eastAsia"/>
                <w:color w:val="auto"/>
                <w:spacing w:val="20"/>
                <w:sz w:val="24"/>
              </w:rPr>
              <w:t>数量（预估量）</w:t>
            </w:r>
          </w:p>
        </w:tc>
        <w:tc>
          <w:tcPr>
            <w:tcW w:w="992" w:type="dxa"/>
            <w:tcBorders>
              <w:top w:val="single" w:sz="4" w:space="0" w:color="auto"/>
              <w:left w:val="single" w:sz="4" w:space="0" w:color="auto"/>
              <w:bottom w:val="single" w:sz="4" w:space="0" w:color="auto"/>
              <w:right w:val="single" w:sz="4" w:space="0" w:color="auto"/>
            </w:tcBorders>
            <w:vAlign w:val="center"/>
          </w:tcPr>
          <w:p w14:paraId="3A20D7C9">
            <w:pPr>
              <w:pStyle w:val="style0"/>
              <w:jc w:val="center"/>
              <w:rPr>
                <w:rFonts w:ascii="宋体" w:hAnsi="宋体" w:hint="eastAsia"/>
                <w:color w:val="auto"/>
                <w:spacing w:val="20"/>
                <w:sz w:val="24"/>
              </w:rPr>
            </w:pPr>
            <w:r>
              <w:rPr>
                <w:rFonts w:ascii="宋体" w:hAnsi="宋体" w:hint="eastAsia"/>
                <w:color w:val="auto"/>
                <w:spacing w:val="20"/>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9D0CCB5A">
            <w:pPr>
              <w:pStyle w:val="style0"/>
              <w:jc w:val="center"/>
              <w:rPr>
                <w:rFonts w:ascii="宋体" w:hAnsi="宋体" w:hint="eastAsia"/>
                <w:color w:val="auto"/>
                <w:spacing w:val="20"/>
                <w:sz w:val="24"/>
              </w:rPr>
            </w:pPr>
            <w:r>
              <w:rPr>
                <w:rFonts w:ascii="宋体" w:hAnsi="宋体" w:hint="eastAsia"/>
                <w:color w:val="auto"/>
                <w:spacing w:val="20"/>
                <w:sz w:val="24"/>
              </w:rPr>
              <w:t>单价</w:t>
            </w:r>
          </w:p>
        </w:tc>
        <w:tc>
          <w:tcPr>
            <w:tcW w:w="2755" w:type="dxa"/>
            <w:tcBorders>
              <w:top w:val="single" w:sz="4" w:space="0" w:color="auto"/>
              <w:left w:val="single" w:sz="4" w:space="0" w:color="auto"/>
              <w:bottom w:val="single" w:sz="4" w:space="0" w:color="auto"/>
              <w:right w:val="single" w:sz="4" w:space="0" w:color="auto"/>
            </w:tcBorders>
            <w:vAlign w:val="center"/>
          </w:tcPr>
          <w:p w14:paraId="FCC1BE44">
            <w:pPr>
              <w:pStyle w:val="style0"/>
              <w:jc w:val="center"/>
              <w:rPr>
                <w:rFonts w:ascii="宋体" w:hAnsi="宋体" w:hint="eastAsia"/>
                <w:color w:val="auto"/>
                <w:spacing w:val="20"/>
                <w:sz w:val="24"/>
              </w:rPr>
            </w:pPr>
            <w:r>
              <w:rPr>
                <w:rFonts w:ascii="宋体" w:hAnsi="宋体" w:hint="eastAsia"/>
                <w:color w:val="auto"/>
                <w:spacing w:val="20"/>
                <w:sz w:val="24"/>
              </w:rPr>
              <w:t>合计</w:t>
            </w:r>
          </w:p>
        </w:tc>
      </w:tr>
      <w:tr w14:paraId="C4FE6229">
        <w:tblPrEx/>
        <w:trPr/>
        <w:tc>
          <w:tcPr>
            <w:tcW w:w="2235" w:type="dxa"/>
            <w:tcBorders>
              <w:top w:val="single" w:sz="4" w:space="0" w:color="auto"/>
              <w:left w:val="single" w:sz="4" w:space="0" w:color="auto"/>
              <w:bottom w:val="single" w:sz="4" w:space="0" w:color="auto"/>
              <w:right w:val="single" w:sz="4" w:space="0" w:color="auto"/>
            </w:tcBorders>
            <w:vAlign w:val="center"/>
          </w:tcPr>
          <w:p w14:paraId="E0709069">
            <w:pPr>
              <w:pStyle w:val="style0"/>
              <w:jc w:val="center"/>
              <w:rPr>
                <w:rFonts w:ascii="宋体" w:hAnsi="宋体" w:hint="eastAsia"/>
                <w:color w:val="auto"/>
                <w:spacing w:val="20"/>
                <w:sz w:val="24"/>
              </w:rPr>
            </w:pPr>
            <w:r>
              <w:rPr>
                <w:rFonts w:ascii="宋体" w:hAnsi="宋体" w:hint="eastAsia"/>
                <w:color w:val="auto"/>
                <w:spacing w:val="20"/>
                <w:sz w:val="24"/>
              </w:rPr>
              <w:t>丽水南城实验幼儿园碧桂苑园区校舍租赁采购</w:t>
            </w:r>
          </w:p>
        </w:tc>
        <w:tc>
          <w:tcPr>
            <w:tcW w:w="2268" w:type="dxa"/>
            <w:tcBorders>
              <w:top w:val="single" w:sz="4" w:space="0" w:color="auto"/>
              <w:left w:val="single" w:sz="4" w:space="0" w:color="auto"/>
              <w:bottom w:val="single" w:sz="4" w:space="0" w:color="auto"/>
              <w:right w:val="single" w:sz="4" w:space="0" w:color="auto"/>
            </w:tcBorders>
            <w:vAlign w:val="center"/>
          </w:tcPr>
          <w:p w14:paraId="A90EFD97">
            <w:pPr>
              <w:pStyle w:val="style0"/>
              <w:jc w:val="center"/>
              <w:rPr>
                <w:rFonts w:ascii="宋体" w:hAnsi="宋体" w:hint="eastAsia"/>
                <w:color w:val="auto"/>
                <w:spacing w:val="20"/>
                <w:sz w:val="24"/>
                <w:lang w:val="en-US" w:eastAsia="zh-CN"/>
              </w:rPr>
            </w:pPr>
            <w:r>
              <w:rPr>
                <w:rFonts w:ascii="宋体" w:hAnsi="宋体" w:hint="eastAsia"/>
                <w:color w:val="auto"/>
                <w:spacing w:val="20"/>
                <w:sz w:val="24"/>
                <w:lang w:val="en-US"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84E92593">
            <w:pPr>
              <w:pStyle w:val="style0"/>
              <w:jc w:val="center"/>
              <w:rPr>
                <w:rFonts w:ascii="宋体" w:hAnsi="宋体" w:hint="eastAsia"/>
                <w:color w:val="auto"/>
                <w:spacing w:val="20"/>
                <w:sz w:val="24"/>
                <w:lang w:val="en-US" w:eastAsia="zh-CN"/>
              </w:rPr>
            </w:pPr>
            <w:r>
              <w:rPr>
                <w:rFonts w:ascii="宋体" w:hAnsi="宋体" w:hint="eastAsia"/>
                <w:color w:val="auto"/>
                <w:spacing w:val="20"/>
                <w:sz w:val="24"/>
                <w:lang w:val="en-US" w:eastAsia="zh-CN"/>
              </w:rPr>
              <w:t>项</w:t>
            </w:r>
          </w:p>
        </w:tc>
        <w:tc>
          <w:tcPr>
            <w:tcW w:w="992" w:type="dxa"/>
            <w:tcBorders>
              <w:top w:val="single" w:sz="4" w:space="0" w:color="auto"/>
              <w:left w:val="single" w:sz="4" w:space="0" w:color="auto"/>
              <w:bottom w:val="single" w:sz="4" w:space="0" w:color="auto"/>
              <w:right w:val="single" w:sz="4" w:space="0" w:color="auto"/>
            </w:tcBorders>
            <w:vAlign w:val="center"/>
          </w:tcPr>
          <w:p w14:paraId="9C44B301">
            <w:pPr>
              <w:pStyle w:val="style0"/>
              <w:jc w:val="center"/>
              <w:rPr>
                <w:rFonts w:ascii="宋体" w:hAnsi="宋体" w:hint="eastAsia"/>
                <w:color w:val="auto"/>
                <w:spacing w:val="20"/>
                <w:sz w:val="24"/>
              </w:rPr>
            </w:pPr>
            <w:r>
              <w:rPr>
                <w:rFonts w:ascii="宋体" w:hAnsi="宋体" w:hint="default"/>
                <w:color w:val="auto"/>
                <w:spacing w:val="20"/>
                <w:sz w:val="24"/>
                <w:lang w:val="en-US" w:eastAsia="zh-CN"/>
              </w:rPr>
              <w:t>3081000</w:t>
            </w:r>
            <w:r>
              <w:rPr>
                <w:rFonts w:ascii="宋体" w:hAnsi="宋体" w:hint="eastAsia"/>
                <w:color w:val="auto"/>
                <w:spacing w:val="20"/>
                <w:sz w:val="24"/>
                <w:lang w:val="en-US" w:eastAsia="zh-CN"/>
              </w:rPr>
              <w:t>元</w:t>
            </w:r>
          </w:p>
        </w:tc>
        <w:tc>
          <w:tcPr>
            <w:tcW w:w="2755" w:type="dxa"/>
            <w:tcBorders>
              <w:top w:val="single" w:sz="4" w:space="0" w:color="auto"/>
              <w:left w:val="single" w:sz="4" w:space="0" w:color="auto"/>
              <w:bottom w:val="single" w:sz="4" w:space="0" w:color="auto"/>
              <w:right w:val="single" w:sz="4" w:space="0" w:color="auto"/>
            </w:tcBorders>
            <w:vAlign w:val="center"/>
          </w:tcPr>
          <w:p w14:paraId="EA790759">
            <w:pPr>
              <w:pStyle w:val="style0"/>
              <w:jc w:val="center"/>
              <w:rPr>
                <w:rFonts w:ascii="宋体" w:hAnsi="宋体" w:hint="eastAsia"/>
                <w:color w:val="auto"/>
                <w:spacing w:val="20"/>
                <w:sz w:val="24"/>
              </w:rPr>
            </w:pPr>
            <w:r>
              <w:rPr>
                <w:rFonts w:ascii="宋体" w:hAnsi="宋体" w:hint="default"/>
                <w:color w:val="auto"/>
                <w:spacing w:val="20"/>
                <w:sz w:val="24"/>
                <w:lang w:val="en-US" w:eastAsia="zh-CN"/>
              </w:rPr>
              <w:t>3081000</w:t>
            </w:r>
            <w:r>
              <w:rPr>
                <w:rFonts w:ascii="宋体" w:hAnsi="宋体" w:hint="eastAsia"/>
                <w:color w:val="auto"/>
                <w:spacing w:val="20"/>
                <w:sz w:val="24"/>
                <w:lang w:val="en-US" w:eastAsia="zh-CN"/>
              </w:rPr>
              <w:t>元</w:t>
            </w:r>
          </w:p>
        </w:tc>
      </w:tr>
      <w:tr w14:paraId="DFACD700">
        <w:tblPrEx/>
        <w:trPr/>
        <w:tc>
          <w:tcPr>
            <w:tcW w:w="2235" w:type="dxa"/>
            <w:tcBorders>
              <w:top w:val="single" w:sz="4" w:space="0" w:color="auto"/>
              <w:left w:val="single" w:sz="4" w:space="0" w:color="auto"/>
              <w:bottom w:val="single" w:sz="4" w:space="0" w:color="auto"/>
              <w:right w:val="single" w:sz="4" w:space="0" w:color="auto"/>
            </w:tcBorders>
          </w:tcPr>
          <w:p w14:paraId="C38AFE2C">
            <w:pPr>
              <w:pStyle w:val="style0"/>
              <w:spacing w:lineRule="auto" w:line="360"/>
              <w:rPr>
                <w:rFonts w:ascii="宋体" w:hAnsi="宋体"/>
                <w:color w:val="auto"/>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5A1DC9B4">
            <w:pPr>
              <w:pStyle w:val="style0"/>
              <w:spacing w:lineRule="auto" w:line="360"/>
              <w:rPr>
                <w:rFonts w:ascii="宋体" w:hAnsi="宋体"/>
                <w:color w:val="auto"/>
                <w:spacing w:val="20"/>
                <w:sz w:val="24"/>
              </w:rPr>
            </w:pPr>
          </w:p>
        </w:tc>
        <w:tc>
          <w:tcPr>
            <w:tcW w:w="992" w:type="dxa"/>
            <w:tcBorders>
              <w:top w:val="single" w:sz="4" w:space="0" w:color="auto"/>
              <w:left w:val="single" w:sz="4" w:space="0" w:color="auto"/>
              <w:bottom w:val="single" w:sz="4" w:space="0" w:color="auto"/>
              <w:right w:val="single" w:sz="4" w:space="0" w:color="auto"/>
            </w:tcBorders>
          </w:tcPr>
          <w:p w14:paraId="E89551D6">
            <w:pPr>
              <w:pStyle w:val="style0"/>
              <w:spacing w:lineRule="auto" w:line="360"/>
              <w:rPr>
                <w:rFonts w:ascii="宋体" w:hAnsi="宋体"/>
                <w:color w:val="auto"/>
                <w:spacing w:val="20"/>
                <w:sz w:val="24"/>
              </w:rPr>
            </w:pPr>
          </w:p>
        </w:tc>
        <w:tc>
          <w:tcPr>
            <w:tcW w:w="992" w:type="dxa"/>
            <w:tcBorders>
              <w:top w:val="single" w:sz="4" w:space="0" w:color="auto"/>
              <w:left w:val="single" w:sz="4" w:space="0" w:color="auto"/>
              <w:bottom w:val="single" w:sz="4" w:space="0" w:color="auto"/>
              <w:right w:val="single" w:sz="4" w:space="0" w:color="auto"/>
            </w:tcBorders>
          </w:tcPr>
          <w:p w14:paraId="2ACD830B">
            <w:pPr>
              <w:pStyle w:val="style0"/>
              <w:spacing w:lineRule="auto" w:line="360"/>
              <w:rPr>
                <w:rFonts w:ascii="宋体" w:hAnsi="宋体"/>
                <w:color w:val="auto"/>
                <w:spacing w:val="20"/>
                <w:sz w:val="24"/>
              </w:rPr>
            </w:pPr>
          </w:p>
        </w:tc>
        <w:tc>
          <w:tcPr>
            <w:tcW w:w="2755" w:type="dxa"/>
            <w:tcBorders>
              <w:top w:val="single" w:sz="4" w:space="0" w:color="auto"/>
              <w:left w:val="single" w:sz="4" w:space="0" w:color="auto"/>
              <w:bottom w:val="single" w:sz="4" w:space="0" w:color="auto"/>
              <w:right w:val="single" w:sz="4" w:space="0" w:color="auto"/>
            </w:tcBorders>
          </w:tcPr>
          <w:p w14:paraId="93A3BACE">
            <w:pPr>
              <w:pStyle w:val="style0"/>
              <w:spacing w:lineRule="auto" w:line="360"/>
              <w:rPr>
                <w:rFonts w:ascii="宋体" w:hAnsi="宋体"/>
                <w:color w:val="auto"/>
                <w:spacing w:val="20"/>
                <w:sz w:val="24"/>
              </w:rPr>
            </w:pPr>
          </w:p>
        </w:tc>
      </w:tr>
      <w:tr w14:paraId="F0687796">
        <w:tblPrEx/>
        <w:trPr/>
        <w:tc>
          <w:tcPr>
            <w:tcW w:w="2235" w:type="dxa"/>
            <w:tcBorders>
              <w:top w:val="single" w:sz="4" w:space="0" w:color="auto"/>
              <w:left w:val="single" w:sz="4" w:space="0" w:color="auto"/>
              <w:bottom w:val="single" w:sz="4" w:space="0" w:color="auto"/>
              <w:right w:val="single" w:sz="4" w:space="0" w:color="auto"/>
            </w:tcBorders>
          </w:tcPr>
          <w:p w14:paraId="FD87F68E">
            <w:pPr>
              <w:pStyle w:val="style0"/>
              <w:spacing w:lineRule="auto" w:line="360"/>
              <w:rPr>
                <w:rFonts w:ascii="宋体" w:hAnsi="宋体"/>
                <w:color w:val="auto"/>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A39CBA71">
            <w:pPr>
              <w:pStyle w:val="style0"/>
              <w:spacing w:lineRule="auto" w:line="360"/>
              <w:rPr>
                <w:rFonts w:ascii="宋体" w:hAnsi="宋体"/>
                <w:color w:val="auto"/>
                <w:spacing w:val="20"/>
                <w:sz w:val="24"/>
              </w:rPr>
            </w:pPr>
          </w:p>
        </w:tc>
        <w:tc>
          <w:tcPr>
            <w:tcW w:w="992" w:type="dxa"/>
            <w:tcBorders>
              <w:top w:val="single" w:sz="4" w:space="0" w:color="auto"/>
              <w:left w:val="single" w:sz="4" w:space="0" w:color="auto"/>
              <w:bottom w:val="single" w:sz="4" w:space="0" w:color="auto"/>
              <w:right w:val="single" w:sz="4" w:space="0" w:color="auto"/>
            </w:tcBorders>
          </w:tcPr>
          <w:p w14:paraId="79D4DA8D">
            <w:pPr>
              <w:pStyle w:val="style0"/>
              <w:spacing w:lineRule="auto" w:line="360"/>
              <w:rPr>
                <w:rFonts w:ascii="宋体" w:hAnsi="宋体"/>
                <w:color w:val="auto"/>
                <w:spacing w:val="20"/>
                <w:sz w:val="24"/>
              </w:rPr>
            </w:pPr>
          </w:p>
        </w:tc>
        <w:tc>
          <w:tcPr>
            <w:tcW w:w="992" w:type="dxa"/>
            <w:tcBorders>
              <w:top w:val="single" w:sz="4" w:space="0" w:color="auto"/>
              <w:left w:val="single" w:sz="4" w:space="0" w:color="auto"/>
              <w:bottom w:val="single" w:sz="4" w:space="0" w:color="auto"/>
              <w:right w:val="single" w:sz="4" w:space="0" w:color="auto"/>
            </w:tcBorders>
          </w:tcPr>
          <w:p w14:paraId="38E172CE">
            <w:pPr>
              <w:pStyle w:val="style0"/>
              <w:spacing w:lineRule="auto" w:line="360"/>
              <w:rPr>
                <w:rFonts w:ascii="宋体" w:hAnsi="宋体"/>
                <w:color w:val="auto"/>
                <w:spacing w:val="20"/>
                <w:sz w:val="24"/>
              </w:rPr>
            </w:pPr>
          </w:p>
        </w:tc>
        <w:tc>
          <w:tcPr>
            <w:tcW w:w="2755" w:type="dxa"/>
            <w:tcBorders>
              <w:top w:val="single" w:sz="4" w:space="0" w:color="auto"/>
              <w:left w:val="single" w:sz="4" w:space="0" w:color="auto"/>
              <w:bottom w:val="single" w:sz="4" w:space="0" w:color="auto"/>
              <w:right w:val="single" w:sz="4" w:space="0" w:color="auto"/>
            </w:tcBorders>
          </w:tcPr>
          <w:p w14:paraId="BB4ECE04">
            <w:pPr>
              <w:pStyle w:val="style0"/>
              <w:spacing w:lineRule="auto" w:line="360"/>
              <w:rPr>
                <w:rFonts w:ascii="宋体" w:hAnsi="宋体"/>
                <w:color w:val="auto"/>
                <w:spacing w:val="20"/>
                <w:sz w:val="24"/>
              </w:rPr>
            </w:pPr>
          </w:p>
        </w:tc>
      </w:tr>
      <w:tr w14:paraId="D47B4D97">
        <w:tblPrEx/>
        <w:trPr/>
        <w:tc>
          <w:tcPr>
            <w:tcW w:w="2235" w:type="dxa"/>
            <w:tcBorders>
              <w:top w:val="single" w:sz="4" w:space="0" w:color="auto"/>
              <w:left w:val="single" w:sz="4" w:space="0" w:color="auto"/>
              <w:bottom w:val="single" w:sz="4" w:space="0" w:color="auto"/>
              <w:right w:val="single" w:sz="4" w:space="0" w:color="auto"/>
            </w:tcBorders>
          </w:tcPr>
          <w:p w14:paraId="B5A57CAD">
            <w:pPr>
              <w:pStyle w:val="style0"/>
              <w:spacing w:lineRule="auto" w:line="360"/>
              <w:rPr>
                <w:rFonts w:ascii="宋体" w:hAnsi="宋体"/>
                <w:color w:val="auto"/>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1AED6B2C">
            <w:pPr>
              <w:pStyle w:val="style0"/>
              <w:spacing w:lineRule="auto" w:line="360"/>
              <w:rPr>
                <w:rFonts w:ascii="宋体" w:hAnsi="宋体"/>
                <w:color w:val="auto"/>
                <w:spacing w:val="20"/>
                <w:sz w:val="24"/>
              </w:rPr>
            </w:pPr>
          </w:p>
        </w:tc>
        <w:tc>
          <w:tcPr>
            <w:tcW w:w="992" w:type="dxa"/>
            <w:tcBorders>
              <w:top w:val="single" w:sz="4" w:space="0" w:color="auto"/>
              <w:left w:val="single" w:sz="4" w:space="0" w:color="auto"/>
              <w:bottom w:val="single" w:sz="4" w:space="0" w:color="auto"/>
              <w:right w:val="single" w:sz="4" w:space="0" w:color="auto"/>
            </w:tcBorders>
          </w:tcPr>
          <w:p w14:paraId="0C55B808">
            <w:pPr>
              <w:pStyle w:val="style0"/>
              <w:spacing w:lineRule="auto" w:line="360"/>
              <w:rPr>
                <w:rFonts w:ascii="宋体" w:hAnsi="宋体"/>
                <w:color w:val="auto"/>
                <w:spacing w:val="20"/>
                <w:sz w:val="24"/>
              </w:rPr>
            </w:pPr>
          </w:p>
        </w:tc>
        <w:tc>
          <w:tcPr>
            <w:tcW w:w="992" w:type="dxa"/>
            <w:tcBorders>
              <w:top w:val="single" w:sz="4" w:space="0" w:color="auto"/>
              <w:left w:val="single" w:sz="4" w:space="0" w:color="auto"/>
              <w:bottom w:val="single" w:sz="4" w:space="0" w:color="auto"/>
              <w:right w:val="single" w:sz="4" w:space="0" w:color="auto"/>
            </w:tcBorders>
          </w:tcPr>
          <w:p w14:paraId="CAEB2F55">
            <w:pPr>
              <w:pStyle w:val="style0"/>
              <w:spacing w:lineRule="auto" w:line="360"/>
              <w:rPr>
                <w:rFonts w:ascii="宋体" w:hAnsi="宋体"/>
                <w:color w:val="auto"/>
                <w:spacing w:val="20"/>
                <w:sz w:val="24"/>
              </w:rPr>
            </w:pPr>
          </w:p>
        </w:tc>
        <w:tc>
          <w:tcPr>
            <w:tcW w:w="2755" w:type="dxa"/>
            <w:tcBorders>
              <w:top w:val="single" w:sz="4" w:space="0" w:color="auto"/>
              <w:left w:val="single" w:sz="4" w:space="0" w:color="auto"/>
              <w:bottom w:val="single" w:sz="4" w:space="0" w:color="auto"/>
              <w:right w:val="single" w:sz="4" w:space="0" w:color="auto"/>
            </w:tcBorders>
          </w:tcPr>
          <w:p w14:paraId="DDF85A8C">
            <w:pPr>
              <w:pStyle w:val="style0"/>
              <w:spacing w:lineRule="auto" w:line="360"/>
              <w:rPr>
                <w:rFonts w:ascii="宋体" w:hAnsi="宋体"/>
                <w:color w:val="auto"/>
                <w:spacing w:val="20"/>
                <w:sz w:val="24"/>
              </w:rPr>
            </w:pPr>
          </w:p>
        </w:tc>
      </w:tr>
      <w:tr w14:paraId="5F5093CE">
        <w:tblPrEx/>
        <w:trPr/>
        <w:tc>
          <w:tcPr>
            <w:tcW w:w="6487" w:type="dxa"/>
            <w:gridSpan w:val="4"/>
            <w:tcBorders>
              <w:top w:val="single" w:sz="4" w:space="0" w:color="auto"/>
              <w:left w:val="single" w:sz="4" w:space="0" w:color="auto"/>
              <w:bottom w:val="single" w:sz="4" w:space="0" w:color="auto"/>
              <w:right w:val="single" w:sz="4" w:space="0" w:color="auto"/>
            </w:tcBorders>
            <w:vAlign w:val="center"/>
          </w:tcPr>
          <w:p w14:paraId="84C2780E">
            <w:pPr>
              <w:pStyle w:val="style0"/>
              <w:jc w:val="center"/>
              <w:rPr>
                <w:rFonts w:ascii="宋体" w:hAnsi="宋体" w:hint="eastAsia"/>
                <w:color w:val="auto"/>
                <w:spacing w:val="20"/>
                <w:sz w:val="24"/>
              </w:rPr>
            </w:pPr>
            <w:r>
              <w:rPr>
                <w:rFonts w:ascii="宋体" w:hAnsi="宋体" w:hint="eastAsia"/>
                <w:color w:val="auto"/>
                <w:spacing w:val="20"/>
                <w:sz w:val="24"/>
              </w:rPr>
              <w:t>成交金额合计：</w:t>
            </w:r>
          </w:p>
        </w:tc>
        <w:tc>
          <w:tcPr>
            <w:tcW w:w="2755" w:type="dxa"/>
            <w:tcBorders>
              <w:top w:val="single" w:sz="4" w:space="0" w:color="auto"/>
              <w:left w:val="single" w:sz="4" w:space="0" w:color="auto"/>
              <w:bottom w:val="single" w:sz="4" w:space="0" w:color="auto"/>
              <w:right w:val="single" w:sz="4" w:space="0" w:color="auto"/>
            </w:tcBorders>
          </w:tcPr>
          <w:p w14:paraId="46697F51">
            <w:pPr>
              <w:pStyle w:val="style0"/>
              <w:jc w:val="center"/>
              <w:rPr>
                <w:rFonts w:ascii="宋体" w:eastAsia="宋体" w:hAnsi="宋体" w:hint="eastAsia"/>
                <w:color w:val="auto"/>
                <w:spacing w:val="20"/>
                <w:sz w:val="24"/>
                <w:lang w:val="en-US" w:eastAsia="zh-CN"/>
              </w:rPr>
            </w:pPr>
            <w:r>
              <w:rPr>
                <w:rFonts w:ascii="宋体" w:hAnsi="宋体" w:hint="default"/>
                <w:color w:val="auto"/>
                <w:spacing w:val="20"/>
                <w:sz w:val="24"/>
                <w:lang w:val="en-US" w:eastAsia="zh-CN"/>
              </w:rPr>
              <w:t>3081000</w:t>
            </w:r>
            <w:r>
              <w:rPr>
                <w:rFonts w:ascii="宋体" w:hAnsi="宋体" w:hint="eastAsia"/>
                <w:color w:val="auto"/>
                <w:spacing w:val="20"/>
                <w:sz w:val="24"/>
                <w:lang w:val="en-US" w:eastAsia="zh-CN"/>
              </w:rPr>
              <w:t>元</w:t>
            </w:r>
          </w:p>
        </w:tc>
      </w:tr>
      <w:tr w14:paraId="9C4F6C84">
        <w:tblPrEx/>
        <w:trPr>
          <w:trHeight w:val="1447" w:hRule="atLeast"/>
        </w:trPr>
        <w:tc>
          <w:tcPr>
            <w:tcW w:w="9242" w:type="dxa"/>
            <w:gridSpan w:val="5"/>
            <w:tcBorders>
              <w:top w:val="single" w:sz="4" w:space="0" w:color="auto"/>
              <w:left w:val="single" w:sz="4" w:space="0" w:color="auto"/>
              <w:bottom w:val="single" w:sz="4" w:space="0" w:color="auto"/>
              <w:right w:val="single" w:sz="4" w:space="0" w:color="auto"/>
            </w:tcBorders>
          </w:tcPr>
          <w:p w14:paraId="BDDFBB9B">
            <w:pPr>
              <w:pStyle w:val="style0"/>
              <w:numPr>
                <w:ilvl w:val="0"/>
                <w:numId w:val="0"/>
              </w:numPr>
              <w:bidi w:val="false"/>
              <w:rPr/>
            </w:pPr>
            <w:r>
              <w:rPr>
                <w:rFonts w:ascii="宋体" w:hAnsi="宋体" w:hint="eastAsia"/>
                <w:color w:val="auto"/>
                <w:spacing w:val="20"/>
                <w:sz w:val="24"/>
              </w:rPr>
              <w:t>服务承诺：</w:t>
            </w:r>
          </w:p>
          <w:p w14:paraId="2D5B5113">
            <w:pPr>
              <w:pStyle w:val="style0"/>
              <w:numPr>
                <w:ilvl w:val="0"/>
                <w:numId w:val="2"/>
              </w:numPr>
              <w:bidi w:val="false"/>
              <w:rPr/>
            </w:pPr>
            <w:r>
              <w:t>我们承诺场所内部装修状况良好，厨房设施设备采购均齐全，地面上有围墙、操场（塑胶跑道）、绿化设施等均满足作为幼儿园开办的场地的所有条件。</w:t>
            </w:r>
          </w:p>
          <w:p w14:paraId="9A8E8BB9">
            <w:pPr>
              <w:pStyle w:val="style0"/>
              <w:numPr>
                <w:ilvl w:val="0"/>
                <w:numId w:val="2"/>
              </w:numPr>
              <w:bidi w:val="false"/>
              <w:rPr/>
            </w:pPr>
            <w:r>
              <w:t>承诺我们的室内采用区域照明且目的物照明度都良好。室内面积宽敞明亮。</w:t>
            </w:r>
          </w:p>
          <w:p w14:paraId="BA968DAE">
            <w:pPr>
              <w:pStyle w:val="style0"/>
              <w:numPr>
                <w:ilvl w:val="0"/>
                <w:numId w:val="2"/>
              </w:numPr>
              <w:bidi w:val="false"/>
              <w:rPr/>
            </w:pPr>
            <w:r>
              <w:t>承诺我们的场地内部均设置有应急出口和逃生通道。</w:t>
            </w:r>
          </w:p>
          <w:p w14:paraId="E7C6B224">
            <w:pPr>
              <w:pStyle w:val="style0"/>
              <w:numPr>
                <w:ilvl w:val="0"/>
                <w:numId w:val="2"/>
              </w:numPr>
              <w:bidi w:val="false"/>
              <w:rPr/>
            </w:pPr>
            <w:r>
              <w:t>承诺租赁期间，用途为教育用房，不得私自用于其他用途，否则视为违约。</w:t>
            </w:r>
          </w:p>
          <w:p w14:paraId="76CC5D86">
            <w:pPr>
              <w:pStyle w:val="style0"/>
              <w:numPr>
                <w:ilvl w:val="0"/>
                <w:numId w:val="2"/>
              </w:numPr>
              <w:bidi w:val="false"/>
              <w:rPr/>
            </w:pPr>
            <w:r>
              <w:t>承诺我们的场所均配备相应消防设备设施。</w:t>
            </w:r>
          </w:p>
          <w:p w14:paraId="6B132681">
            <w:pPr>
              <w:pStyle w:val="style0"/>
              <w:numPr>
                <w:ilvl w:val="0"/>
                <w:numId w:val="2"/>
              </w:numPr>
              <w:bidi w:val="false"/>
              <w:rPr/>
            </w:pPr>
            <w:r>
              <w:t>承诺我们的场所已经配备完好的水电，且能正常使用。</w:t>
            </w:r>
          </w:p>
          <w:p w14:paraId="1CCDE09D">
            <w:pPr>
              <w:pStyle w:val="style0"/>
              <w:numPr>
                <w:ilvl w:val="0"/>
                <w:numId w:val="2"/>
              </w:numPr>
              <w:bidi w:val="false"/>
              <w:rPr/>
            </w:pPr>
            <w:r>
              <w:t>我公司承诺提供相应的设备维修人员，如水电工。</w:t>
            </w:r>
          </w:p>
          <w:p w14:paraId="B7B11D12">
            <w:pPr>
              <w:pStyle w:val="style0"/>
              <w:numPr>
                <w:ilvl w:val="0"/>
                <w:numId w:val="2"/>
              </w:numPr>
              <w:bidi w:val="false"/>
              <w:rPr/>
            </w:pPr>
            <w:r>
              <w:rPr>
                <w:rFonts w:hint="eastAsia"/>
                <w:lang w:val="en-US" w:eastAsia="zh-CN"/>
              </w:rPr>
              <w:t>我公司响应采购人的</w:t>
            </w:r>
            <w:r>
              <w:t>服务期限</w:t>
            </w:r>
            <w:r>
              <w:rPr>
                <w:rFonts w:hint="eastAsia"/>
                <w:lang w:eastAsia="zh-CN"/>
              </w:rPr>
              <w:t>。</w:t>
            </w:r>
          </w:p>
          <w:p w14:paraId="029089B7">
            <w:pPr>
              <w:pStyle w:val="style0"/>
              <w:numPr>
                <w:ilvl w:val="0"/>
                <w:numId w:val="2"/>
              </w:numPr>
              <w:bidi w:val="false"/>
              <w:rPr>
                <w:rFonts w:ascii="宋体" w:hAnsi="宋体"/>
                <w:color w:val="auto"/>
                <w:spacing w:val="20"/>
                <w:sz w:val="24"/>
              </w:rPr>
            </w:pPr>
            <w:r>
              <w:rPr>
                <w:rFonts w:hint="eastAsia"/>
                <w:lang w:val="en-US" w:eastAsia="zh-CN"/>
              </w:rPr>
              <w:t>我公司响应采购人的</w:t>
            </w:r>
            <w:r>
              <w:t>付款方式。</w:t>
            </w:r>
          </w:p>
        </w:tc>
      </w:tr>
    </w:tbl>
    <w:p w14:paraId="1E18113A">
      <w:pPr>
        <w:pStyle w:val="style0"/>
        <w:rPr>
          <w:rFonts w:ascii="宋体" w:hAnsi="宋体"/>
          <w:color w:val="auto"/>
          <w:spacing w:val="20"/>
          <w:szCs w:val="21"/>
        </w:rPr>
      </w:pPr>
      <w:r>
        <w:rPr>
          <w:rFonts w:ascii="宋体" w:hAnsi="宋体" w:hint="eastAsia"/>
          <w:color w:val="auto"/>
          <w:spacing w:val="20"/>
          <w:szCs w:val="21"/>
        </w:rPr>
        <w:t>注：1、供应商应根据其协商情况填写该表，并保证其与响应文件内容的一致性、正确性和真实性</w:t>
      </w:r>
    </w:p>
    <w:p w14:paraId="5EBDD125">
      <w:pPr>
        <w:pStyle w:val="style0"/>
        <w:ind w:firstLine="490" w:firstLineChars="196"/>
        <w:rPr>
          <w:rFonts w:ascii="宋体" w:hAnsi="宋体"/>
          <w:color w:val="auto"/>
          <w:spacing w:val="20"/>
          <w:szCs w:val="21"/>
        </w:rPr>
      </w:pPr>
      <w:r>
        <w:rPr>
          <w:rFonts w:ascii="宋体" w:hAnsi="宋体" w:hint="eastAsia"/>
          <w:color w:val="auto"/>
          <w:spacing w:val="20"/>
          <w:szCs w:val="21"/>
        </w:rPr>
        <w:t>2、填写该表不代表供应商已具有成交人资格。本表只作为成交结果公告内容的一部分，进行公告使用</w:t>
      </w:r>
    </w:p>
    <w:p w14:paraId="13851386">
      <w:pPr>
        <w:pStyle w:val="style0"/>
        <w:ind w:firstLine="490" w:firstLineChars="196"/>
        <w:rPr>
          <w:rFonts w:ascii="宋体" w:hAnsi="宋体"/>
          <w:color w:val="auto"/>
          <w:spacing w:val="20"/>
          <w:szCs w:val="21"/>
        </w:rPr>
      </w:pPr>
      <w:r>
        <w:rPr>
          <w:rFonts w:ascii="宋体" w:hAnsi="宋体" w:hint="eastAsia"/>
          <w:color w:val="auto"/>
          <w:spacing w:val="20"/>
          <w:szCs w:val="21"/>
        </w:rPr>
        <w:t>3、本表内容涉及较多，供应商可以适当增减表格行数，以保证表格内容的完整</w:t>
      </w:r>
    </w:p>
    <w:p w14:paraId="7989F9C8">
      <w:pPr>
        <w:pStyle w:val="style0"/>
        <w:ind w:firstLine="490" w:firstLineChars="196"/>
        <w:rPr>
          <w:rFonts w:ascii="宋体" w:hAnsi="宋体"/>
          <w:color w:val="auto"/>
          <w:spacing w:val="20"/>
          <w:szCs w:val="21"/>
        </w:rPr>
      </w:pPr>
      <w:r>
        <w:rPr>
          <w:rFonts w:ascii="宋体" w:hAnsi="宋体" w:hint="eastAsia"/>
          <w:color w:val="auto"/>
          <w:spacing w:val="20"/>
          <w:szCs w:val="21"/>
        </w:rPr>
        <w:t>4、成交结果公告内容如涉及供应商的商业秘密等法律法规规定可以不予公告的情形，供应商应另附书面说明，如未事前书面说明造成的后果由供应商自行承担。</w:t>
      </w:r>
    </w:p>
    <w:p w14:paraId="A3C4E64D">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EFF" w:usb1="C000785B" w:usb2="00000009" w:usb3="00000000" w:csb0="400001FF" w:csb1="FFFF0000"/>
  </w:font>
  <w:font w:name="宋体">
    <w:altName w:val="宋体"/>
    <w:panose1 w:val="02010600030001010101"/>
    <w:charset w:val="8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B18B2C4"/>
    <w:lvl w:ilvl="0">
      <w:start w:val="1"/>
      <w:numFmt w:val="decimal"/>
      <w:suff w:val="nothing"/>
      <w:lvlText w:val="%1、"/>
      <w:lvlJc w:val="left"/>
      <w:pPr/>
    </w:lvl>
  </w:abstractNum>
  <w:abstractNum w:abstractNumId="1">
    <w:nsid w:val="00000001"/>
    <w:multiLevelType w:val="multilevel"/>
    <w:tmpl w:val="6E9A4A37"/>
    <w:lvl w:ilvl="0">
      <w:start w:val="1"/>
      <w:numFmt w:val="decimal"/>
      <w:pStyle w:val="style1"/>
      <w:lvlText w:val="%1."/>
      <w:lvlJc w:val="left"/>
      <w:pPr>
        <w:ind w:left="432" w:hanging="432"/>
      </w:pPr>
      <w:rPr>
        <w:rFonts w:hint="default"/>
      </w:rPr>
    </w:lvl>
    <w:lvl w:ilvl="1">
      <w:start w:val="1"/>
      <w:numFmt w:val="decimal"/>
      <w:pStyle w:val="style2"/>
      <w:lvlText w:val="%1.%2."/>
      <w:lvlJc w:val="left"/>
      <w:pPr>
        <w:ind w:left="575" w:hanging="575"/>
      </w:pPr>
      <w:rPr>
        <w:rFonts w:hint="default"/>
      </w:rPr>
    </w:lvl>
    <w:lvl w:ilvl="2">
      <w:start w:val="1"/>
      <w:numFmt w:val="decimal"/>
      <w:pStyle w:val="style3"/>
      <w:lvlText w:val="%1.%2.%3."/>
      <w:lvlJc w:val="left"/>
      <w:pPr>
        <w:ind w:left="720" w:hanging="720"/>
      </w:pPr>
      <w:rPr>
        <w:rFonts w:hint="default"/>
      </w:rPr>
    </w:lvl>
    <w:lvl w:ilvl="3">
      <w:start w:val="1"/>
      <w:numFmt w:val="decimal"/>
      <w:pStyle w:val="style4"/>
      <w:lvlText w:val="%1.%2.%3.%4."/>
      <w:lvlJc w:val="left"/>
      <w:pPr>
        <w:ind w:left="1824" w:hanging="864"/>
      </w:pPr>
      <w:rPr>
        <w:rFonts w:hint="default"/>
      </w:rPr>
    </w:lvl>
    <w:lvl w:ilvl="4">
      <w:start w:val="1"/>
      <w:numFmt w:val="decimal"/>
      <w:pStyle w:val="style5"/>
      <w:lvlText w:val="%1.%2.%3.%4.%5."/>
      <w:lvlJc w:val="left"/>
      <w:pPr>
        <w:ind w:left="1008" w:hanging="1008"/>
      </w:pPr>
      <w:rPr>
        <w:rFonts w:hint="default"/>
      </w:rPr>
    </w:lvl>
    <w:lvl w:ilvl="5">
      <w:start w:val="1"/>
      <w:numFmt w:val="decimal"/>
      <w:pStyle w:val="style6"/>
      <w:lvlText w:val="%1.%2.%3.%4.%5.%6."/>
      <w:lvlJc w:val="left"/>
      <w:pPr>
        <w:ind w:left="1151" w:hanging="1151"/>
      </w:pPr>
      <w:rPr>
        <w:rFonts w:hint="default"/>
      </w:rPr>
    </w:lvl>
    <w:lvl w:ilvl="6">
      <w:start w:val="1"/>
      <w:numFmt w:val="decimal"/>
      <w:pStyle w:val="style7"/>
      <w:lvlText w:val="%1.%2.%3.%4.%5.%6.%7."/>
      <w:lvlJc w:val="left"/>
      <w:pPr>
        <w:ind w:left="1296" w:hanging="1296"/>
      </w:pPr>
      <w:rPr>
        <w:rFonts w:hint="default"/>
      </w:rPr>
    </w:lvl>
    <w:lvl w:ilvl="7">
      <w:start w:val="1"/>
      <w:numFmt w:val="decimal"/>
      <w:pStyle w:val="style8"/>
      <w:lvlText w:val="%1.%2.%3.%4.%5.%6.%7.%8."/>
      <w:lvlJc w:val="left"/>
      <w:pPr>
        <w:ind w:left="1440" w:hanging="1440"/>
      </w:pPr>
      <w:rPr>
        <w:rFonts w:hint="default"/>
      </w:rPr>
    </w:lvl>
    <w:lvl w:ilvl="8">
      <w:start w:val="1"/>
      <w:numFmt w:val="decimal"/>
      <w:pStyle w:val="style9"/>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jc w:val="both"/>
    </w:pPr>
    <w:rPr>
      <w:rFonts w:ascii="Times New Roman" w:cs="Times New Roman" w:eastAsia="宋体" w:hAnsi="Times New Roman"/>
      <w:color w:val="000000"/>
      <w:kern w:val="2"/>
      <w:sz w:val="21"/>
      <w:lang w:val="en-US" w:bidi="ar-SA" w:eastAsia="zh-CN"/>
    </w:rPr>
  </w:style>
  <w:style w:type="paragraph" w:styleId="style1">
    <w:name w:val="heading 1"/>
    <w:basedOn w:val="style0"/>
    <w:next w:val="style0"/>
    <w:qFormat/>
    <w:uiPriority w:val="0"/>
    <w:pPr>
      <w:keepNext/>
      <w:keepLines/>
      <w:numPr>
        <w:ilvl w:val="0"/>
        <w:numId w:val="1"/>
      </w:numPr>
      <w:spacing w:before="340" w:beforeAutospacing="false" w:after="330" w:afterAutospacing="false" w:lineRule="auto" w:line="240"/>
      <w:ind w:left="432" w:hanging="432" w:firstLineChars="0"/>
      <w:outlineLvl w:val="0"/>
    </w:pPr>
    <w:rPr>
      <w:rFonts w:ascii="Calibri" w:cs="Times New Roman" w:eastAsia="宋体" w:hAnsi="Calibri"/>
      <w:b/>
      <w:kern w:val="44"/>
      <w:sz w:val="36"/>
      <w:szCs w:val="22"/>
    </w:rPr>
  </w:style>
  <w:style w:type="paragraph" w:styleId="style2">
    <w:name w:val="heading 2"/>
    <w:basedOn w:val="style0"/>
    <w:next w:val="style0"/>
    <w:qFormat/>
    <w:uiPriority w:val="0"/>
    <w:pPr>
      <w:keepNext/>
      <w:keepLines/>
      <w:numPr>
        <w:ilvl w:val="1"/>
        <w:numId w:val="1"/>
      </w:numPr>
      <w:spacing w:before="240" w:beforeAutospacing="false" w:after="240" w:afterAutospacing="false" w:lineRule="auto" w:line="240"/>
      <w:ind w:firstLineChars="0"/>
      <w:outlineLvl w:val="1"/>
    </w:pPr>
    <w:rPr>
      <w:rFonts w:ascii="Arial" w:cs="Times New Roman" w:eastAsia="宋体" w:hAnsi="Arial"/>
      <w:b/>
      <w:sz w:val="32"/>
    </w:rPr>
  </w:style>
  <w:style w:type="paragraph" w:styleId="style3">
    <w:name w:val="heading 3"/>
    <w:basedOn w:val="style0"/>
    <w:next w:val="style0"/>
    <w:qFormat/>
    <w:uiPriority w:val="0"/>
    <w:pPr>
      <w:keepNext/>
      <w:keepLines/>
      <w:numPr>
        <w:ilvl w:val="2"/>
        <w:numId w:val="1"/>
      </w:numPr>
      <w:spacing w:before="160" w:beforeAutospacing="false" w:after="160" w:afterAutospacing="false" w:lineRule="auto" w:line="240"/>
      <w:ind w:left="720" w:hanging="720" w:firstLineChars="0"/>
      <w:outlineLvl w:val="2"/>
    </w:pPr>
    <w:rPr>
      <w:rFonts w:ascii="Times New Roman" w:cs="Times New Roman" w:eastAsia="宋体" w:hAnsi="Times New Roman"/>
      <w:b/>
      <w:sz w:val="30"/>
    </w:rPr>
  </w:style>
  <w:style w:type="paragraph" w:styleId="style4">
    <w:name w:val="heading 4"/>
    <w:basedOn w:val="style0"/>
    <w:next w:val="style0"/>
    <w:qFormat/>
    <w:uiPriority w:val="0"/>
    <w:pPr>
      <w:keepNext/>
      <w:keepLines/>
      <w:numPr>
        <w:ilvl w:val="3"/>
        <w:numId w:val="1"/>
      </w:numPr>
      <w:spacing w:before="80" w:beforeAutospacing="false" w:after="80" w:afterAutospacing="false" w:lineRule="auto" w:line="240"/>
      <w:ind w:left="0" w:firstLine="0" w:firstLineChars="0"/>
      <w:outlineLvl w:val="3"/>
    </w:pPr>
    <w:rPr>
      <w:rFonts w:ascii="Arial" w:cs="Times New Roman" w:eastAsia="宋体" w:hAnsi="Arial"/>
      <w:b/>
      <w:sz w:val="28"/>
    </w:rPr>
  </w:style>
  <w:style w:type="paragraph" w:styleId="style5">
    <w:name w:val="heading 5"/>
    <w:basedOn w:val="style0"/>
    <w:next w:val="style0"/>
    <w:qFormat/>
    <w:uiPriority w:val="0"/>
    <w:pPr>
      <w:keepNext/>
      <w:keepLines/>
      <w:numPr>
        <w:ilvl w:val="4"/>
        <w:numId w:val="1"/>
      </w:numPr>
      <w:spacing w:before="280" w:beforeAutospacing="false" w:after="290" w:afterAutospacing="false" w:lineRule="auto" w:line="372"/>
      <w:ind w:left="1008" w:hanging="1008" w:firstLineChars="0"/>
      <w:outlineLvl w:val="4"/>
    </w:pPr>
    <w:rPr>
      <w:b/>
      <w:sz w:val="28"/>
    </w:rPr>
  </w:style>
  <w:style w:type="paragraph" w:styleId="style6">
    <w:name w:val="heading 6"/>
    <w:basedOn w:val="style0"/>
    <w:next w:val="style0"/>
    <w:qFormat/>
    <w:uiPriority w:val="0"/>
    <w:pPr>
      <w:keepNext/>
      <w:keepLines/>
      <w:numPr>
        <w:ilvl w:val="5"/>
        <w:numId w:val="1"/>
      </w:numPr>
      <w:spacing w:before="240" w:beforeAutospacing="false" w:after="64" w:afterAutospacing="false" w:lineRule="auto" w:line="317"/>
      <w:ind w:left="1151" w:hanging="1151" w:firstLineChars="0"/>
      <w:outlineLvl w:val="5"/>
    </w:pPr>
    <w:rPr>
      <w:rFonts w:ascii="Arial" w:eastAsia="黑体" w:hAnsi="Arial"/>
      <w:b/>
      <w:sz w:val="24"/>
    </w:rPr>
  </w:style>
  <w:style w:type="paragraph" w:styleId="style7">
    <w:name w:val="heading 7"/>
    <w:basedOn w:val="style0"/>
    <w:next w:val="style0"/>
    <w:qFormat/>
    <w:uiPriority w:val="0"/>
    <w:pPr>
      <w:keepNext/>
      <w:keepLines/>
      <w:numPr>
        <w:ilvl w:val="6"/>
        <w:numId w:val="1"/>
      </w:numPr>
      <w:spacing w:before="240" w:beforeAutospacing="false" w:after="64" w:afterAutospacing="false" w:lineRule="auto" w:line="317"/>
      <w:ind w:left="1296" w:hanging="1296" w:firstLineChars="0"/>
      <w:outlineLvl w:val="6"/>
    </w:pPr>
    <w:rPr>
      <w:b/>
      <w:sz w:val="24"/>
    </w:rPr>
  </w:style>
  <w:style w:type="paragraph" w:styleId="style8">
    <w:name w:val="heading 8"/>
    <w:basedOn w:val="style0"/>
    <w:next w:val="style0"/>
    <w:qFormat/>
    <w:uiPriority w:val="0"/>
    <w:pPr>
      <w:keepNext/>
      <w:keepLines/>
      <w:numPr>
        <w:ilvl w:val="7"/>
        <w:numId w:val="1"/>
      </w:numPr>
      <w:spacing w:before="240" w:beforeAutospacing="false" w:after="64" w:afterAutospacing="false" w:lineRule="auto" w:line="317"/>
      <w:ind w:left="1440" w:hanging="1440" w:firstLineChars="0"/>
      <w:outlineLvl w:val="7"/>
    </w:pPr>
    <w:rPr>
      <w:rFonts w:ascii="Arial" w:eastAsia="黑体" w:hAnsi="Arial"/>
      <w:sz w:val="24"/>
    </w:rPr>
  </w:style>
  <w:style w:type="paragraph" w:styleId="style9">
    <w:name w:val="heading 9"/>
    <w:basedOn w:val="style0"/>
    <w:next w:val="style0"/>
    <w:qFormat/>
    <w:uiPriority w:val="0"/>
    <w:pPr>
      <w:keepNext/>
      <w:keepLines/>
      <w:numPr>
        <w:ilvl w:val="8"/>
        <w:numId w:val="1"/>
      </w:numPr>
      <w:spacing w:before="240" w:beforeAutospacing="false" w:after="64" w:afterAutospacing="false" w:lineRule="auto" w:line="317"/>
      <w:ind w:left="1583" w:hanging="1583" w:firstLineChars="0"/>
      <w:outlineLvl w:val="8"/>
    </w:pPr>
    <w:rPr>
      <w:rFonts w:ascii="Arial" w:eastAsia="黑体" w:hAnsi="Arial"/>
      <w:sz w:val="21"/>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82">
    <w:name w:val="Body Text Indent 2"/>
    <w:basedOn w:val="style0"/>
    <w:next w:val="style82"/>
    <w:qFormat/>
    <w:uiPriority w:val="0"/>
    <w:pPr>
      <w:spacing w:after="120" w:afterAutospacing="false" w:lineRule="auto" w:line="480"/>
      <w:ind w:left="420" w:left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599</Words>
  <Pages>1</Pages>
  <Characters>624</Characters>
  <Application>WPS Office</Application>
  <DocSecurity>0</DocSecurity>
  <Paragraphs>62</Paragraphs>
  <ScaleCrop>false</ScaleCrop>
  <LinksUpToDate>false</LinksUpToDate>
  <CharactersWithSpaces>627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2024-07-03T07:34:00Z</dcterms:created>
  <dc:creator>面朝阳光</dc:creator>
  <lastModifiedBy>MEIZU 20 Pro</lastModifiedBy>
  <dcterms:modified xsi:type="dcterms:W3CDTF">2025-06-30T05:20:02Z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71176100E3764C72A44B457E8CEB89CE_11</vt:lpwstr>
  </property>
</Properties>
</file>