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00"/>
        <w:jc w:val="center"/>
        <w:rPr>
          <w:rFonts w:hint="eastAsia" w:ascii="宋体" w:hAnsi="宋体" w:eastAsia="宋体" w:cs="宋体"/>
          <w:b w:val="0"/>
          <w:bCs w:val="0"/>
          <w:highlight w:val="none"/>
        </w:rPr>
      </w:pPr>
      <w:r>
        <w:rPr>
          <w:rFonts w:hint="eastAsia" w:ascii="宋体" w:hAnsi="宋体" w:eastAsia="宋体" w:cs="宋体"/>
          <w:b w:val="0"/>
          <w:bCs w:val="0"/>
          <w:highlight w:val="none"/>
        </w:rPr>
        <w:t>成交人公告内容</w:t>
      </w:r>
    </w:p>
    <w:p>
      <w:pPr>
        <w:spacing w:line="360" w:lineRule="auto"/>
        <w:jc w:val="both"/>
        <w:rPr>
          <w:rFonts w:hint="eastAsia" w:ascii="宋体" w:hAnsi="宋体" w:cs="宋体"/>
          <w:spacing w:val="20"/>
          <w:sz w:val="24"/>
          <w:highlight w:val="none"/>
        </w:rPr>
      </w:pPr>
      <w:r>
        <w:rPr>
          <w:rFonts w:hint="eastAsia" w:ascii="宋体" w:hAnsi="宋体" w:cs="宋体"/>
          <w:spacing w:val="20"/>
          <w:sz w:val="24"/>
          <w:highlight w:val="none"/>
        </w:rPr>
        <w:t>采购项目：</w:t>
      </w:r>
      <w:r>
        <w:rPr>
          <w:rFonts w:hint="eastAsia" w:ascii="宋体" w:hAnsi="宋体" w:cs="宋体"/>
          <w:spacing w:val="20"/>
          <w:sz w:val="24"/>
          <w:highlight w:val="none"/>
          <w:lang w:eastAsia="zh-CN"/>
        </w:rPr>
        <w:t>丽水市行政服务中心保安服务项目</w:t>
      </w:r>
    </w:p>
    <w:p>
      <w:pPr>
        <w:spacing w:line="360" w:lineRule="auto"/>
        <w:jc w:val="both"/>
        <w:rPr>
          <w:rFonts w:hint="eastAsia" w:ascii="宋体" w:hAnsi="宋体" w:cs="宋体"/>
          <w:spacing w:val="20"/>
          <w:sz w:val="24"/>
          <w:highlight w:val="none"/>
        </w:rPr>
      </w:pPr>
      <w:r>
        <w:rPr>
          <w:rFonts w:hint="eastAsia" w:ascii="宋体" w:hAnsi="宋体" w:cs="宋体"/>
          <w:spacing w:val="20"/>
          <w:sz w:val="24"/>
          <w:highlight w:val="none"/>
        </w:rPr>
        <w:t>采购编号：</w:t>
      </w:r>
      <w:r>
        <w:rPr>
          <w:rFonts w:hint="eastAsia" w:ascii="宋体" w:hAnsi="宋体" w:cs="宋体"/>
          <w:spacing w:val="20"/>
          <w:sz w:val="24"/>
          <w:highlight w:val="none"/>
          <w:lang w:eastAsia="zh-CN"/>
        </w:rPr>
        <w:t>浙</w:t>
      </w:r>
      <w:r>
        <w:rPr>
          <w:rFonts w:hint="eastAsia" w:ascii="宋体" w:hAnsi="宋体" w:cs="宋体"/>
          <w:spacing w:val="20"/>
          <w:sz w:val="24"/>
          <w:highlight w:val="none"/>
          <w:lang w:eastAsia="zh-CN"/>
        </w:rPr>
        <w:t>鼎峰磋商【2020】143号</w:t>
      </w:r>
      <w:r>
        <w:rPr>
          <w:rFonts w:hint="eastAsia" w:ascii="宋体" w:hAnsi="宋体" w:cs="宋体"/>
          <w:spacing w:val="20"/>
          <w:sz w:val="24"/>
          <w:highlight w:val="none"/>
          <w:lang w:val="en-GB" w:eastAsia="zh-CN"/>
        </w:rPr>
        <w:tab/>
      </w:r>
      <w:r>
        <w:rPr>
          <w:rFonts w:hint="eastAsia" w:ascii="宋体" w:hAnsi="宋体" w:cs="宋体"/>
          <w:spacing w:val="20"/>
          <w:sz w:val="24"/>
          <w:highlight w:val="none"/>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157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成交人名称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丽水众信保安服务有限公司</w:t>
            </w:r>
          </w:p>
        </w:tc>
        <w:tc>
          <w:tcPr>
            <w:tcW w:w="231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成交人负责人</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成交人地址</w:t>
            </w:r>
          </w:p>
        </w:tc>
        <w:tc>
          <w:tcPr>
            <w:tcW w:w="693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丽水市莲都区中山街439号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 xml:space="preserve"> 成交标的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内容</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单位</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数量</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20"/>
                <w:sz w:val="24"/>
                <w:highlight w:val="none"/>
                <w:lang w:eastAsia="zh-CN"/>
              </w:rPr>
            </w:pPr>
            <w:r>
              <w:rPr>
                <w:rFonts w:hint="eastAsia" w:ascii="宋体" w:hAnsi="宋体" w:cs="宋体"/>
                <w:spacing w:val="20"/>
                <w:sz w:val="24"/>
                <w:highlight w:val="none"/>
                <w:lang w:eastAsia="zh-CN"/>
              </w:rPr>
              <w:t>丽水市行政服务中心保安服务项目</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20"/>
                <w:sz w:val="24"/>
                <w:highlight w:val="none"/>
                <w:lang w:val="en-US" w:eastAsia="zh-CN"/>
              </w:rPr>
            </w:pPr>
            <w:r>
              <w:rPr>
                <w:rFonts w:hint="eastAsia" w:ascii="宋体" w:hAnsi="宋体" w:cs="宋体"/>
                <w:spacing w:val="20"/>
                <w:sz w:val="24"/>
                <w:highlight w:val="none"/>
                <w:lang w:val="en-US" w:eastAsia="zh-CN"/>
              </w:rPr>
              <w:t>项</w:t>
            </w:r>
          </w:p>
        </w:tc>
        <w:tc>
          <w:tcPr>
            <w:tcW w:w="15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20"/>
                <w:sz w:val="24"/>
                <w:highlight w:val="none"/>
                <w:lang w:val="en-US" w:eastAsia="zh-CN"/>
              </w:rPr>
            </w:pPr>
            <w:r>
              <w:rPr>
                <w:rFonts w:hint="eastAsia" w:ascii="宋体" w:hAnsi="宋体" w:cs="宋体"/>
                <w:spacing w:val="20"/>
                <w:sz w:val="24"/>
                <w:highlight w:val="none"/>
                <w:lang w:val="en-US" w:eastAsia="zh-CN"/>
              </w:rPr>
              <w:t>1</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pacing w:val="20"/>
                <w:sz w:val="24"/>
                <w:highlight w:val="none"/>
                <w:lang w:val="en-US" w:eastAsia="zh-CN"/>
              </w:rPr>
            </w:pPr>
            <w:r>
              <w:rPr>
                <w:rFonts w:hint="eastAsia" w:ascii="宋体" w:hAnsi="宋体" w:cs="宋体"/>
                <w:spacing w:val="20"/>
                <w:sz w:val="24"/>
                <w:highlight w:val="none"/>
              </w:rPr>
              <w:t>547800</w:t>
            </w:r>
            <w:r>
              <w:rPr>
                <w:rFonts w:hint="eastAsia" w:ascii="宋体" w:hAnsi="宋体" w:cs="宋体"/>
                <w:spacing w:val="20"/>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pacing w:val="20"/>
                <w:sz w:val="24"/>
                <w:highlight w:val="none"/>
              </w:rPr>
            </w:pPr>
            <w:r>
              <w:rPr>
                <w:rFonts w:hint="eastAsia" w:ascii="宋体" w:hAnsi="宋体" w:cs="宋体"/>
                <w:spacing w:val="20"/>
                <w:sz w:val="24"/>
                <w:highlight w:val="none"/>
              </w:rPr>
              <w:t>成交金额合计</w:t>
            </w:r>
          </w:p>
        </w:tc>
        <w:tc>
          <w:tcPr>
            <w:tcW w:w="231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r>
              <w:rPr>
                <w:rFonts w:hint="eastAsia" w:ascii="宋体" w:hAnsi="宋体" w:cs="宋体"/>
                <w:spacing w:val="20"/>
                <w:sz w:val="24"/>
                <w:highlight w:val="none"/>
              </w:rPr>
              <w:t>547800</w:t>
            </w:r>
            <w:r>
              <w:rPr>
                <w:rFonts w:hint="eastAsia" w:ascii="宋体" w:hAnsi="宋体" w:cs="宋体"/>
                <w:spacing w:val="20"/>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pacing w:val="20"/>
                <w:sz w:val="24"/>
                <w:highlight w:val="none"/>
              </w:rPr>
            </w:pPr>
          </w:p>
          <w:p>
            <w:pPr>
              <w:spacing w:line="360" w:lineRule="auto"/>
              <w:ind w:firstLine="555"/>
              <w:rPr>
                <w:rFonts w:hint="eastAsia" w:ascii="宋体" w:hAnsi="宋体"/>
                <w:sz w:val="24"/>
              </w:rPr>
            </w:pPr>
            <w:r>
              <w:rPr>
                <w:rFonts w:hint="eastAsia" w:ascii="宋体" w:hAnsi="宋体" w:cs="宋体"/>
                <w:spacing w:val="20"/>
                <w:sz w:val="24"/>
                <w:highlight w:val="none"/>
                <w:lang w:val="en-US" w:eastAsia="zh-CN"/>
              </w:rPr>
              <w:t>服务内容：</w:t>
            </w:r>
            <w:r>
              <w:rPr>
                <w:rFonts w:hint="eastAsia" w:ascii="宋体" w:hAnsi="宋体" w:cs="宋体"/>
                <w:sz w:val="24"/>
              </w:rPr>
              <w:t>丽水市行政服务中心位于丽水市人民街商会大厦1-6层，总面积1.66万</w:t>
            </w:r>
            <w:r>
              <w:rPr>
                <w:rFonts w:hint="eastAsia" w:ascii="宋体" w:hAnsi="宋体" w:cs="Malgun Gothic"/>
                <w:sz w:val="24"/>
              </w:rPr>
              <w:t>㎡</w:t>
            </w:r>
            <w:r>
              <w:rPr>
                <w:rFonts w:hint="eastAsia" w:ascii="宋体" w:hAnsi="宋体" w:cs="宋体"/>
                <w:sz w:val="24"/>
              </w:rPr>
              <w:t>，其中包括行政服务大厅、办公室等。</w:t>
            </w:r>
            <w:r>
              <w:rPr>
                <w:rFonts w:hint="eastAsia" w:ascii="宋体" w:hAnsi="宋体"/>
                <w:sz w:val="24"/>
              </w:rPr>
              <w:t>供应商要积极主动完成中心的治安管理、治安防范，确保治安有序、安全；做好消防管理、火灾预防、初起火灾扑救、维护消防器材、系统正常运行，确保消防安全；完成应急救援处置、维护秩序等治安综合治理等相关任务；供应商要完成相关治安、**怖防范、消防等任务，并与中心签订相关责任书。</w:t>
            </w:r>
          </w:p>
          <w:p>
            <w:pPr>
              <w:spacing w:line="360" w:lineRule="auto"/>
              <w:rPr>
                <w:rFonts w:hint="eastAsia" w:ascii="宋体" w:hAnsi="宋体" w:eastAsia="宋体" w:cs="宋体"/>
                <w:spacing w:val="20"/>
                <w:sz w:val="24"/>
                <w:highlight w:val="none"/>
                <w:lang w:val="en-US" w:eastAsia="zh-CN"/>
              </w:rPr>
            </w:pPr>
          </w:p>
        </w:tc>
      </w:tr>
    </w:tbl>
    <w:p>
      <w:pPr>
        <w:rPr>
          <w:rFonts w:hint="eastAsia" w:ascii="宋体" w:hAnsi="宋体" w:cs="宋体"/>
          <w:spacing w:val="20"/>
          <w:szCs w:val="21"/>
          <w:highlight w:val="none"/>
        </w:rPr>
      </w:pPr>
      <w:r>
        <w:rPr>
          <w:rFonts w:hint="eastAsia" w:ascii="宋体" w:hAnsi="宋体" w:cs="宋体"/>
          <w:spacing w:val="20"/>
          <w:szCs w:val="21"/>
          <w:highlight w:val="none"/>
        </w:rPr>
        <w:t>注：1、供应商应根据其响应情况填写该表，并保证其与响应文件内容的一致性、正确性和真实性；</w:t>
      </w:r>
    </w:p>
    <w:p>
      <w:pPr>
        <w:ind w:firstLine="490" w:firstLineChars="196"/>
        <w:rPr>
          <w:rFonts w:hint="eastAsia" w:ascii="宋体" w:hAnsi="宋体" w:cs="宋体"/>
          <w:spacing w:val="20"/>
          <w:szCs w:val="21"/>
          <w:highlight w:val="none"/>
        </w:rPr>
      </w:pPr>
      <w:r>
        <w:rPr>
          <w:rFonts w:hint="eastAsia" w:ascii="宋体" w:hAnsi="宋体" w:cs="宋体"/>
          <w:spacing w:val="20"/>
          <w:szCs w:val="21"/>
          <w:highlight w:val="none"/>
        </w:rPr>
        <w:t>2、填写该表不代表供应商已具有成交人资格。本表只作为成交结果公告内容的一部分，进行公告使用；</w:t>
      </w:r>
    </w:p>
    <w:p>
      <w:pPr>
        <w:ind w:firstLine="490" w:firstLineChars="196"/>
        <w:rPr>
          <w:rFonts w:hint="eastAsia" w:ascii="宋体" w:hAnsi="宋体" w:cs="宋体"/>
          <w:spacing w:val="20"/>
          <w:szCs w:val="21"/>
          <w:highlight w:val="none"/>
        </w:rPr>
      </w:pPr>
      <w:r>
        <w:rPr>
          <w:rFonts w:hint="eastAsia" w:ascii="宋体" w:hAnsi="宋体" w:cs="宋体"/>
          <w:spacing w:val="20"/>
          <w:szCs w:val="21"/>
          <w:highlight w:val="none"/>
        </w:rPr>
        <w:t>3、本表内容涉及较多，供应商可以适当增减表格行数，以保证表格内容的完整；</w:t>
      </w:r>
    </w:p>
    <w:p>
      <w:pPr>
        <w:ind w:firstLine="490" w:firstLineChars="196"/>
        <w:rPr>
          <w:rFonts w:hint="eastAsia" w:ascii="宋体" w:hAnsi="宋体" w:cs="宋体"/>
          <w:spacing w:val="20"/>
          <w:szCs w:val="21"/>
          <w:highlight w:val="none"/>
        </w:rPr>
      </w:pPr>
      <w:r>
        <w:rPr>
          <w:rFonts w:hint="eastAsia" w:ascii="宋体" w:hAnsi="宋体" w:cs="宋体"/>
          <w:spacing w:val="20"/>
          <w:szCs w:val="21"/>
          <w:highlight w:val="none"/>
        </w:rPr>
        <w:t>4、评审结果排名第一的供应商在评审结束后</w:t>
      </w:r>
      <w:r>
        <w:rPr>
          <w:rFonts w:hint="eastAsia" w:ascii="宋体" w:hAnsi="宋体" w:cs="宋体"/>
          <w:b/>
          <w:spacing w:val="20"/>
          <w:szCs w:val="21"/>
          <w:highlight w:val="none"/>
        </w:rPr>
        <w:t>2个工作日内</w:t>
      </w:r>
      <w:r>
        <w:rPr>
          <w:rFonts w:hint="eastAsia" w:ascii="宋体" w:hAnsi="宋体" w:cs="宋体"/>
          <w:spacing w:val="20"/>
          <w:szCs w:val="21"/>
          <w:highlight w:val="none"/>
        </w:rPr>
        <w:t>将该表格或将电子文档提交给代理机构的项目负责人。未按时提交规定内容造成后果由供应商自行承担。</w:t>
      </w:r>
    </w:p>
    <w:p>
      <w:pPr>
        <w:ind w:firstLine="490" w:firstLineChars="196"/>
        <w:rPr>
          <w:rFonts w:hint="eastAsia" w:ascii="宋体" w:hAnsi="宋体" w:cs="宋体"/>
          <w:spacing w:val="20"/>
          <w:szCs w:val="21"/>
          <w:highlight w:val="none"/>
        </w:rPr>
      </w:pPr>
      <w:r>
        <w:rPr>
          <w:rFonts w:hint="eastAsia" w:ascii="宋体" w:hAnsi="宋体" w:cs="宋体"/>
          <w:spacing w:val="20"/>
          <w:szCs w:val="21"/>
          <w:highlight w:val="none"/>
        </w:rPr>
        <w:t>5、成交结果公告内容如涉及供应商的商业秘密等法律法规规定可以不予公告的情形，供应商应另附书面说明，如未事前书面说明造成的后果由供应商自行承担。</w:t>
      </w: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8312F"/>
    <w:rsid w:val="0178312F"/>
    <w:rsid w:val="20332457"/>
    <w:rsid w:val="243A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4"/>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1"/>
    <w:rPr>
      <w:rFonts w:ascii="微软雅黑" w:hAnsi="微软雅黑" w:eastAsia="微软雅黑" w:cs="微软雅黑"/>
      <w:sz w:val="36"/>
      <w:szCs w:val="36"/>
      <w:lang w:val="zh-CN" w:eastAsia="zh-CN" w:bidi="zh-CN"/>
    </w:rPr>
  </w:style>
  <w:style w:type="paragraph" w:customStyle="1" w:styleId="6">
    <w:name w:val="自动更正"/>
    <w:qFormat/>
    <w:uiPriority w:val="99"/>
    <w:pPr>
      <w:widowControl w:val="0"/>
    </w:pPr>
    <w:rPr>
      <w:rFonts w:ascii="宋体" w:hAnsi="宋体" w:eastAsia="宋体" w:cs="Times New Roman"/>
      <w:kern w:val="2"/>
      <w:sz w:val="24"/>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2020-10-17T06:58:00Z</dcterms:created>
  <dc:creator>放肆的自由</dc:creator>
  <cp:lastModifiedBy>放肆的自由</cp:lastModifiedBy>
  <dcterms:modified xsi:type="dcterms:W3CDTF">2020-10-17T08:17:18Z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