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551A" w14:textId="77777777" w:rsidR="009021D0" w:rsidRPr="009021D0" w:rsidRDefault="009021D0" w:rsidP="009021D0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021D0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04DE97BF" w14:textId="7C379F66" w:rsidR="009021D0" w:rsidRPr="001F20E5" w:rsidRDefault="009021D0" w:rsidP="009021D0">
      <w:pPr>
        <w:spacing w:line="360" w:lineRule="auto"/>
        <w:rPr>
          <w:rFonts w:ascii="宋体" w:eastAsia="宋体" w:hAnsi="宋体"/>
          <w:sz w:val="24"/>
        </w:rPr>
      </w:pPr>
      <w:r w:rsidRPr="009021D0">
        <w:rPr>
          <w:rFonts w:ascii="宋体" w:eastAsia="宋体" w:hAnsi="宋体" w:hint="eastAsia"/>
          <w:sz w:val="24"/>
        </w:rPr>
        <w:t>标段编号：</w:t>
      </w:r>
      <w:r w:rsidR="00732E67" w:rsidRPr="00732E67">
        <w:rPr>
          <w:rFonts w:ascii="宋体" w:eastAsia="宋体" w:hAnsi="宋体"/>
          <w:sz w:val="24"/>
        </w:rPr>
        <w:t>FY002-</w:t>
      </w:r>
      <w:proofErr w:type="gramStart"/>
      <w:r w:rsidR="00732E67" w:rsidRPr="00732E67">
        <w:rPr>
          <w:rFonts w:ascii="宋体" w:eastAsia="宋体" w:hAnsi="宋体"/>
          <w:sz w:val="24"/>
        </w:rPr>
        <w:t>SCZJ[</w:t>
      </w:r>
      <w:proofErr w:type="gramEnd"/>
      <w:r w:rsidR="00732E67" w:rsidRPr="00732E67">
        <w:rPr>
          <w:rFonts w:ascii="宋体" w:eastAsia="宋体" w:hAnsi="宋体"/>
          <w:sz w:val="24"/>
        </w:rPr>
        <w:t>2022]-001</w:t>
      </w:r>
    </w:p>
    <w:p w14:paraId="6A7030EF" w14:textId="3A2A964B" w:rsidR="009021D0" w:rsidRPr="009021D0" w:rsidRDefault="009021D0" w:rsidP="009021D0">
      <w:pPr>
        <w:spacing w:afterLines="100" w:after="312" w:line="360" w:lineRule="auto"/>
        <w:rPr>
          <w:rFonts w:ascii="宋体" w:eastAsia="宋体" w:hAnsi="宋体"/>
          <w:b/>
          <w:sz w:val="24"/>
        </w:rPr>
      </w:pPr>
      <w:r w:rsidRPr="009021D0">
        <w:rPr>
          <w:rFonts w:ascii="宋体" w:eastAsia="宋体" w:hAnsi="宋体" w:hint="eastAsia"/>
          <w:sz w:val="24"/>
        </w:rPr>
        <w:t>标段名称：</w:t>
      </w:r>
      <w:r w:rsidR="00732E67" w:rsidRPr="00732E67">
        <w:rPr>
          <w:rFonts w:ascii="宋体" w:eastAsia="宋体" w:hAnsi="宋体" w:hint="eastAsia"/>
          <w:sz w:val="24"/>
        </w:rPr>
        <w:t>杭州市上</w:t>
      </w:r>
      <w:proofErr w:type="gramStart"/>
      <w:r w:rsidR="00732E67" w:rsidRPr="00732E67">
        <w:rPr>
          <w:rFonts w:ascii="宋体" w:eastAsia="宋体" w:hAnsi="宋体" w:hint="eastAsia"/>
          <w:sz w:val="24"/>
        </w:rPr>
        <w:t>城区住</w:t>
      </w:r>
      <w:proofErr w:type="gramEnd"/>
      <w:r w:rsidR="00732E67" w:rsidRPr="00732E67">
        <w:rPr>
          <w:rFonts w:ascii="宋体" w:eastAsia="宋体" w:hAnsi="宋体" w:hint="eastAsia"/>
          <w:sz w:val="24"/>
        </w:rPr>
        <w:t>建局建设工程设计</w:t>
      </w:r>
      <w:proofErr w:type="gramStart"/>
      <w:r w:rsidR="00732E67" w:rsidRPr="00732E67">
        <w:rPr>
          <w:rFonts w:ascii="宋体" w:eastAsia="宋体" w:hAnsi="宋体" w:hint="eastAsia"/>
          <w:sz w:val="24"/>
        </w:rPr>
        <w:t>审查协审及</w:t>
      </w:r>
      <w:proofErr w:type="gramEnd"/>
      <w:r w:rsidR="00732E67" w:rsidRPr="00732E67">
        <w:rPr>
          <w:rFonts w:ascii="宋体" w:eastAsia="宋体" w:hAnsi="宋体" w:hint="eastAsia"/>
          <w:sz w:val="24"/>
        </w:rPr>
        <w:t>技术咨询服务采购项目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01"/>
      </w:tblGrid>
      <w:tr w:rsidR="009021D0" w:rsidRPr="009021D0" w14:paraId="1A45E912" w14:textId="77777777" w:rsidTr="009021D0">
        <w:trPr>
          <w:trHeight w:val="503"/>
        </w:trPr>
        <w:tc>
          <w:tcPr>
            <w:tcW w:w="817" w:type="dxa"/>
            <w:vMerge w:val="restart"/>
            <w:vAlign w:val="center"/>
          </w:tcPr>
          <w:p w14:paraId="6D1223A7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序号</w:t>
            </w:r>
          </w:p>
        </w:tc>
        <w:tc>
          <w:tcPr>
            <w:tcW w:w="5954" w:type="dxa"/>
            <w:vMerge w:val="restart"/>
            <w:vAlign w:val="center"/>
          </w:tcPr>
          <w:p w14:paraId="6BEEADE9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单位名称</w:t>
            </w:r>
          </w:p>
        </w:tc>
        <w:tc>
          <w:tcPr>
            <w:tcW w:w="1751" w:type="dxa"/>
            <w:gridSpan w:val="2"/>
            <w:vAlign w:val="center"/>
          </w:tcPr>
          <w:p w14:paraId="3E92A161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未中标理由</w:t>
            </w:r>
          </w:p>
        </w:tc>
      </w:tr>
      <w:tr w:rsidR="009021D0" w:rsidRPr="009021D0" w14:paraId="5222744B" w14:textId="77777777" w:rsidTr="009021D0">
        <w:trPr>
          <w:trHeight w:val="553"/>
        </w:trPr>
        <w:tc>
          <w:tcPr>
            <w:tcW w:w="817" w:type="dxa"/>
            <w:vMerge/>
            <w:vAlign w:val="center"/>
          </w:tcPr>
          <w:p w14:paraId="070B216C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54" w:type="dxa"/>
            <w:vMerge/>
            <w:vAlign w:val="center"/>
          </w:tcPr>
          <w:p w14:paraId="510DE375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CDBD453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总得分</w:t>
            </w:r>
          </w:p>
        </w:tc>
        <w:tc>
          <w:tcPr>
            <w:tcW w:w="901" w:type="dxa"/>
            <w:vAlign w:val="center"/>
          </w:tcPr>
          <w:p w14:paraId="386D3F4E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排名</w:t>
            </w:r>
          </w:p>
        </w:tc>
      </w:tr>
      <w:tr w:rsidR="009021D0" w:rsidRPr="009021D0" w14:paraId="4C803FC5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593EFA5A" w14:textId="463A5BFD" w:rsidR="009021D0" w:rsidRPr="009021D0" w:rsidRDefault="001F20E5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5954" w:type="dxa"/>
            <w:vAlign w:val="center"/>
          </w:tcPr>
          <w:p w14:paraId="601740BC" w14:textId="1ECB903F" w:rsidR="009021D0" w:rsidRPr="00D10247" w:rsidRDefault="00732E67" w:rsidP="00C977A8">
            <w:pPr>
              <w:jc w:val="center"/>
              <w:rPr>
                <w:rFonts w:ascii="宋体" w:eastAsia="宋体" w:hAnsi="宋体"/>
              </w:rPr>
            </w:pPr>
            <w:r w:rsidRPr="00732E67">
              <w:rPr>
                <w:rFonts w:ascii="宋体" w:eastAsia="宋体" w:hAnsi="宋体" w:hint="eastAsia"/>
              </w:rPr>
              <w:t>杭州市城乡建设设计院股份有限公司</w:t>
            </w:r>
          </w:p>
        </w:tc>
        <w:tc>
          <w:tcPr>
            <w:tcW w:w="850" w:type="dxa"/>
            <w:vAlign w:val="center"/>
          </w:tcPr>
          <w:p w14:paraId="771B57AB" w14:textId="265E8B51" w:rsidR="009021D0" w:rsidRPr="009021D0" w:rsidRDefault="00732E67" w:rsidP="00714AAF">
            <w:pPr>
              <w:jc w:val="center"/>
              <w:rPr>
                <w:rFonts w:ascii="宋体" w:eastAsia="宋体" w:hAnsi="宋体"/>
              </w:rPr>
            </w:pPr>
            <w:r w:rsidRPr="00732E67">
              <w:rPr>
                <w:rFonts w:ascii="宋体" w:eastAsia="宋体" w:hAnsi="宋体" w:hint="eastAsia"/>
              </w:rPr>
              <w:t>87.1</w:t>
            </w:r>
          </w:p>
        </w:tc>
        <w:tc>
          <w:tcPr>
            <w:tcW w:w="901" w:type="dxa"/>
            <w:vAlign w:val="center"/>
          </w:tcPr>
          <w:p w14:paraId="6EFF201F" w14:textId="42D4944F" w:rsidR="009021D0" w:rsidRPr="009021D0" w:rsidRDefault="00A30762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5B7459" w:rsidRPr="009021D0" w14:paraId="35D3766F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6F1B41CE" w14:textId="221A121B" w:rsidR="005B7459" w:rsidRDefault="001F20E5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5954" w:type="dxa"/>
            <w:vAlign w:val="center"/>
          </w:tcPr>
          <w:p w14:paraId="03B8627E" w14:textId="4A5A8DBA" w:rsidR="005B7459" w:rsidRPr="00C379A4" w:rsidRDefault="00732E67" w:rsidP="00C977A8">
            <w:pPr>
              <w:jc w:val="center"/>
              <w:rPr>
                <w:rFonts w:ascii="宋体" w:eastAsia="宋体" w:hAnsi="宋体"/>
              </w:rPr>
            </w:pPr>
            <w:r w:rsidRPr="00732E67">
              <w:rPr>
                <w:rFonts w:ascii="宋体" w:eastAsia="宋体" w:hAnsi="宋体" w:hint="eastAsia"/>
              </w:rPr>
              <w:t>浙江联建工程设计有限公司</w:t>
            </w:r>
          </w:p>
        </w:tc>
        <w:tc>
          <w:tcPr>
            <w:tcW w:w="850" w:type="dxa"/>
            <w:vAlign w:val="center"/>
          </w:tcPr>
          <w:p w14:paraId="53A7298E" w14:textId="002AAD46" w:rsidR="005B7459" w:rsidRPr="00C379A4" w:rsidRDefault="00732E67" w:rsidP="00A30762">
            <w:pPr>
              <w:widowControl/>
              <w:spacing w:line="270" w:lineRule="atLeast"/>
              <w:jc w:val="center"/>
              <w:rPr>
                <w:rFonts w:ascii="宋体" w:eastAsia="宋体" w:hAnsi="宋体"/>
              </w:rPr>
            </w:pPr>
            <w:r w:rsidRPr="00732E67">
              <w:rPr>
                <w:rFonts w:ascii="宋体" w:eastAsia="宋体" w:hAnsi="宋体" w:hint="eastAsia"/>
              </w:rPr>
              <w:t>76.04</w:t>
            </w:r>
          </w:p>
        </w:tc>
        <w:tc>
          <w:tcPr>
            <w:tcW w:w="901" w:type="dxa"/>
            <w:vAlign w:val="center"/>
          </w:tcPr>
          <w:p w14:paraId="4EF205C0" w14:textId="704A7523" w:rsidR="005B7459" w:rsidRPr="009021D0" w:rsidRDefault="00A30762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32E67" w:rsidRPr="009021D0" w14:paraId="5DD90458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6A595407" w14:textId="6FEF70CA" w:rsidR="00732E67" w:rsidRDefault="00732E67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954" w:type="dxa"/>
            <w:vAlign w:val="center"/>
          </w:tcPr>
          <w:p w14:paraId="7FF989C6" w14:textId="57C43FF5" w:rsidR="00732E67" w:rsidRPr="00714AAF" w:rsidRDefault="00732E67" w:rsidP="00C977A8">
            <w:pPr>
              <w:jc w:val="center"/>
              <w:rPr>
                <w:rFonts w:ascii="宋体" w:eastAsia="宋体" w:hAnsi="宋体" w:hint="eastAsia"/>
              </w:rPr>
            </w:pPr>
            <w:r w:rsidRPr="00732E67">
              <w:rPr>
                <w:rFonts w:ascii="宋体" w:eastAsia="宋体" w:hAnsi="宋体" w:hint="eastAsia"/>
              </w:rPr>
              <w:t>上</w:t>
            </w:r>
            <w:proofErr w:type="gramStart"/>
            <w:r w:rsidRPr="00732E67">
              <w:rPr>
                <w:rFonts w:ascii="宋体" w:eastAsia="宋体" w:hAnsi="宋体" w:hint="eastAsia"/>
              </w:rPr>
              <w:t>宸</w:t>
            </w:r>
            <w:proofErr w:type="gramEnd"/>
            <w:r w:rsidRPr="00732E67">
              <w:rPr>
                <w:rFonts w:ascii="宋体" w:eastAsia="宋体" w:hAnsi="宋体" w:hint="eastAsia"/>
              </w:rPr>
              <w:t>工程设计集团有限公司</w:t>
            </w:r>
          </w:p>
        </w:tc>
        <w:tc>
          <w:tcPr>
            <w:tcW w:w="850" w:type="dxa"/>
            <w:vAlign w:val="center"/>
          </w:tcPr>
          <w:p w14:paraId="23276D17" w14:textId="6608E779" w:rsidR="00732E67" w:rsidRPr="00714AAF" w:rsidRDefault="00732E67" w:rsidP="00A30762">
            <w:pPr>
              <w:widowControl/>
              <w:spacing w:line="270" w:lineRule="atLeast"/>
              <w:jc w:val="center"/>
              <w:rPr>
                <w:rFonts w:ascii="宋体" w:eastAsia="宋体" w:hAnsi="宋体"/>
              </w:rPr>
            </w:pPr>
            <w:r w:rsidRPr="00732E67">
              <w:rPr>
                <w:rFonts w:ascii="宋体" w:eastAsia="宋体" w:hAnsi="宋体" w:hint="eastAsia"/>
              </w:rPr>
              <w:t>57.75</w:t>
            </w:r>
          </w:p>
        </w:tc>
        <w:tc>
          <w:tcPr>
            <w:tcW w:w="901" w:type="dxa"/>
            <w:vAlign w:val="center"/>
          </w:tcPr>
          <w:p w14:paraId="3A90BE15" w14:textId="045BA3DC" w:rsidR="00732E67" w:rsidRDefault="00732E67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32E67" w:rsidRPr="009021D0" w14:paraId="509F2502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10DC3981" w14:textId="4FC6DAAF" w:rsidR="00732E67" w:rsidRDefault="00732E67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5954" w:type="dxa"/>
            <w:vAlign w:val="center"/>
          </w:tcPr>
          <w:p w14:paraId="6B96CEA5" w14:textId="259E8CC2" w:rsidR="00732E67" w:rsidRPr="00714AAF" w:rsidRDefault="00732E67" w:rsidP="00C977A8">
            <w:pPr>
              <w:jc w:val="center"/>
              <w:rPr>
                <w:rFonts w:ascii="宋体" w:eastAsia="宋体" w:hAnsi="宋体" w:hint="eastAsia"/>
              </w:rPr>
            </w:pPr>
            <w:r w:rsidRPr="00732E67">
              <w:rPr>
                <w:rFonts w:ascii="宋体" w:eastAsia="宋体" w:hAnsi="宋体" w:hint="eastAsia"/>
              </w:rPr>
              <w:t>杭州园林设计院股份有限公司</w:t>
            </w:r>
          </w:p>
        </w:tc>
        <w:tc>
          <w:tcPr>
            <w:tcW w:w="850" w:type="dxa"/>
            <w:vAlign w:val="center"/>
          </w:tcPr>
          <w:p w14:paraId="13828668" w14:textId="49FDE17F" w:rsidR="00732E67" w:rsidRPr="00714AAF" w:rsidRDefault="00732E67" w:rsidP="00A30762">
            <w:pPr>
              <w:widowControl/>
              <w:spacing w:line="270" w:lineRule="atLeast"/>
              <w:jc w:val="center"/>
              <w:rPr>
                <w:rFonts w:ascii="宋体" w:eastAsia="宋体" w:hAnsi="宋体"/>
              </w:rPr>
            </w:pPr>
            <w:r w:rsidRPr="00732E67">
              <w:rPr>
                <w:rFonts w:ascii="宋体" w:eastAsia="宋体" w:hAnsi="宋体" w:hint="eastAsia"/>
              </w:rPr>
              <w:t>57.07</w:t>
            </w:r>
          </w:p>
        </w:tc>
        <w:tc>
          <w:tcPr>
            <w:tcW w:w="901" w:type="dxa"/>
            <w:vAlign w:val="center"/>
          </w:tcPr>
          <w:p w14:paraId="116AFE01" w14:textId="4AA9D223" w:rsidR="00732E67" w:rsidRDefault="00732E67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</w:tr>
    </w:tbl>
    <w:p w14:paraId="0C735872" w14:textId="77777777" w:rsidR="00017C53" w:rsidRPr="009021D0" w:rsidRDefault="00017C53"/>
    <w:sectPr w:rsidR="00017C53" w:rsidRPr="009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4E77" w14:textId="77777777" w:rsidR="002C328A" w:rsidRDefault="002C328A" w:rsidP="009021D0">
      <w:r>
        <w:separator/>
      </w:r>
    </w:p>
  </w:endnote>
  <w:endnote w:type="continuationSeparator" w:id="0">
    <w:p w14:paraId="231D500A" w14:textId="77777777" w:rsidR="002C328A" w:rsidRDefault="002C328A" w:rsidP="009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6C0A" w14:textId="77777777" w:rsidR="002C328A" w:rsidRDefault="002C328A" w:rsidP="009021D0">
      <w:r>
        <w:separator/>
      </w:r>
    </w:p>
  </w:footnote>
  <w:footnote w:type="continuationSeparator" w:id="0">
    <w:p w14:paraId="5614E7F8" w14:textId="77777777" w:rsidR="002C328A" w:rsidRDefault="002C328A" w:rsidP="0090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CD"/>
    <w:rsid w:val="00017C53"/>
    <w:rsid w:val="00025311"/>
    <w:rsid w:val="00054C44"/>
    <w:rsid w:val="001F20E5"/>
    <w:rsid w:val="002229EB"/>
    <w:rsid w:val="002C328A"/>
    <w:rsid w:val="003560CD"/>
    <w:rsid w:val="005A7E76"/>
    <w:rsid w:val="005B7459"/>
    <w:rsid w:val="00621B77"/>
    <w:rsid w:val="00714AAF"/>
    <w:rsid w:val="00732E67"/>
    <w:rsid w:val="00743B83"/>
    <w:rsid w:val="00883E22"/>
    <w:rsid w:val="009021D0"/>
    <w:rsid w:val="00985D98"/>
    <w:rsid w:val="00A30762"/>
    <w:rsid w:val="00C379A4"/>
    <w:rsid w:val="00C977A8"/>
    <w:rsid w:val="00D10247"/>
    <w:rsid w:val="00E82687"/>
    <w:rsid w:val="00ED3AC8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F80D"/>
  <w15:docId w15:val="{F29E8BD5-C66A-4828-A77A-286036C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1D0"/>
    <w:rPr>
      <w:sz w:val="18"/>
      <w:szCs w:val="18"/>
    </w:rPr>
  </w:style>
  <w:style w:type="table" w:styleId="a7">
    <w:name w:val="Table Grid"/>
    <w:basedOn w:val="a1"/>
    <w:uiPriority w:val="59"/>
    <w:rsid w:val="0090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秋秋</dc:creator>
  <cp:keywords/>
  <dc:description/>
  <cp:lastModifiedBy>Xu Runbo</cp:lastModifiedBy>
  <cp:revision>20</cp:revision>
  <dcterms:created xsi:type="dcterms:W3CDTF">2022-05-26T14:59:00Z</dcterms:created>
  <dcterms:modified xsi:type="dcterms:W3CDTF">2022-12-09T10:37:00Z</dcterms:modified>
</cp:coreProperties>
</file>