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firstLine="600"/>
        <w:jc w:val="center"/>
        <w:rPr>
          <w:rFonts w:hint="eastAsia" w:ascii="宋体" w:hAnsi="宋体" w:eastAsia="宋体"/>
          <w:b w:val="0"/>
          <w:bCs w:val="0"/>
        </w:rPr>
      </w:pPr>
      <w:bookmarkStart w:id="0" w:name="_Toc48220761"/>
      <w:r>
        <w:rPr>
          <w:rFonts w:hint="eastAsia" w:ascii="宋体" w:hAnsi="宋体" w:eastAsia="宋体"/>
          <w:b w:val="0"/>
          <w:bCs w:val="0"/>
        </w:rPr>
        <w:t>中标人公告内容</w:t>
      </w:r>
      <w:bookmarkEnd w:id="0"/>
    </w:p>
    <w:p>
      <w:pPr>
        <w:spacing w:line="360" w:lineRule="auto"/>
        <w:rPr>
          <w:rFonts w:hint="eastAsia" w:ascii="宋体" w:hAnsi="宋体"/>
          <w:spacing w:val="20"/>
          <w:sz w:val="24"/>
        </w:rPr>
      </w:pPr>
      <w:r>
        <w:rPr>
          <w:rFonts w:hint="eastAsia" w:ascii="宋体" w:hAnsi="宋体"/>
          <w:spacing w:val="20"/>
          <w:sz w:val="24"/>
        </w:rPr>
        <w:t>采购项目：莲都区防汛防台应急发电机、抽水泵采购项目（第二批）</w:t>
      </w:r>
    </w:p>
    <w:p>
      <w:pPr>
        <w:spacing w:line="360" w:lineRule="auto"/>
        <w:rPr>
          <w:rFonts w:hint="eastAsia" w:ascii="宋体" w:hAnsi="宋体"/>
          <w:spacing w:val="20"/>
          <w:sz w:val="24"/>
        </w:rPr>
      </w:pPr>
      <w:r>
        <w:rPr>
          <w:rFonts w:hint="eastAsia" w:ascii="宋体" w:hAnsi="宋体"/>
          <w:spacing w:val="20"/>
          <w:sz w:val="24"/>
        </w:rPr>
        <w:t>采购编号</w:t>
      </w:r>
      <w:r>
        <w:rPr>
          <w:rFonts w:hint="eastAsia" w:ascii="宋体" w:hAnsi="宋体"/>
          <w:sz w:val="24"/>
          <w:szCs w:val="28"/>
        </w:rPr>
        <w:t>：浙建航招2021049号</w:t>
      </w:r>
      <w:r>
        <w:rPr>
          <w:rFonts w:hint="eastAsia" w:ascii="宋体" w:hAnsi="宋体"/>
          <w:sz w:val="24"/>
          <w:lang w:val="en-GB"/>
        </w:rPr>
        <w:tab/>
      </w:r>
      <w:r>
        <w:rPr>
          <w:rFonts w:hint="eastAsia" w:ascii="宋体" w:hAnsi="宋体"/>
          <w:spacing w:val="20"/>
          <w:sz w:val="24"/>
        </w:rPr>
        <w:t xml:space="preserve">                             </w:t>
      </w:r>
    </w:p>
    <w:tbl>
      <w:tblPr>
        <w:tblStyle w:val="9"/>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6"/>
        <w:gridCol w:w="1583"/>
        <w:gridCol w:w="551"/>
        <w:gridCol w:w="733"/>
        <w:gridCol w:w="1559"/>
        <w:gridCol w:w="135"/>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pacing w:val="20"/>
                <w:sz w:val="24"/>
              </w:rPr>
            </w:pPr>
            <w:r>
              <w:rPr>
                <w:rFonts w:hint="eastAsia" w:ascii="宋体" w:hAnsi="宋体"/>
                <w:spacing w:val="20"/>
                <w:sz w:val="24"/>
              </w:rPr>
              <w:t>中标人名称</w:t>
            </w:r>
          </w:p>
        </w:tc>
        <w:tc>
          <w:tcPr>
            <w:tcW w:w="213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pacing w:val="20"/>
                <w:sz w:val="24"/>
              </w:rPr>
            </w:pPr>
            <w:r>
              <w:rPr>
                <w:rFonts w:hint="eastAsia" w:ascii="宋体" w:hAnsi="宋体"/>
                <w:spacing w:val="20"/>
                <w:sz w:val="24"/>
                <w:lang w:val="en-US" w:eastAsia="zh-CN"/>
              </w:rPr>
              <w:t>杭州路恒机械设备有限公司</w:t>
            </w:r>
          </w:p>
        </w:tc>
        <w:tc>
          <w:tcPr>
            <w:tcW w:w="229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pacing w:val="20"/>
                <w:sz w:val="24"/>
              </w:rPr>
            </w:pPr>
            <w:r>
              <w:rPr>
                <w:rFonts w:hint="eastAsia" w:ascii="宋体" w:hAnsi="宋体"/>
                <w:spacing w:val="20"/>
                <w:sz w:val="24"/>
              </w:rPr>
              <w:t>中标人负责人</w:t>
            </w: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pacing w:val="20"/>
                <w:sz w:val="24"/>
              </w:rPr>
            </w:pPr>
            <w:r>
              <w:rPr>
                <w:rFonts w:hint="eastAsia" w:ascii="宋体" w:hAnsi="宋体"/>
                <w:spacing w:val="20"/>
                <w:sz w:val="24"/>
                <w:lang w:val="en-US" w:eastAsia="zh-CN"/>
              </w:rPr>
              <w:t>蒋松波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pacing w:val="20"/>
                <w:sz w:val="24"/>
              </w:rPr>
            </w:pPr>
            <w:r>
              <w:rPr>
                <w:rFonts w:hint="eastAsia" w:ascii="宋体" w:hAnsi="宋体"/>
                <w:spacing w:val="20"/>
                <w:sz w:val="24"/>
              </w:rPr>
              <w:t>中标人地址</w:t>
            </w:r>
          </w:p>
        </w:tc>
        <w:tc>
          <w:tcPr>
            <w:tcW w:w="6127"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pacing w:val="20"/>
                <w:sz w:val="24"/>
              </w:rPr>
            </w:pPr>
            <w:r>
              <w:rPr>
                <w:rFonts w:hint="eastAsia" w:ascii="宋体" w:hAnsi="宋体"/>
                <w:spacing w:val="20"/>
                <w:sz w:val="24"/>
              </w:rPr>
              <w:t>杭州市萧山经济技术开发区红垦农场红泰六路489号2幢3单元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3"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pacing w:val="20"/>
                <w:sz w:val="24"/>
              </w:rPr>
            </w:pPr>
            <w:r>
              <w:rPr>
                <w:rFonts w:hint="eastAsia" w:ascii="宋体" w:hAnsi="宋体"/>
                <w:spacing w:val="20"/>
                <w:sz w:val="24"/>
              </w:rPr>
              <w:t xml:space="preserve">  中标标的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pacing w:val="20"/>
                <w:sz w:val="24"/>
              </w:rPr>
            </w:pPr>
            <w:r>
              <w:rPr>
                <w:rFonts w:ascii="宋体" w:hAnsi="宋体"/>
                <w:spacing w:val="20"/>
                <w:sz w:val="24"/>
              </w:rPr>
              <w:t>采购内容</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spacing w:val="20"/>
                <w:sz w:val="24"/>
                <w:lang w:val="en-US" w:eastAsia="zh-CN"/>
              </w:rPr>
            </w:pPr>
            <w:r>
              <w:rPr>
                <w:rFonts w:hint="eastAsia" w:ascii="宋体" w:hAnsi="宋体"/>
                <w:spacing w:val="20"/>
                <w:sz w:val="24"/>
                <w:lang w:val="en-US" w:eastAsia="zh-CN"/>
              </w:rPr>
              <w:t>品牌型号</w:t>
            </w:r>
          </w:p>
        </w:tc>
        <w:tc>
          <w:tcPr>
            <w:tcW w:w="128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pacing w:val="20"/>
                <w:sz w:val="24"/>
              </w:rPr>
            </w:pPr>
            <w:r>
              <w:rPr>
                <w:rFonts w:hint="eastAsia" w:ascii="宋体" w:hAnsi="宋体"/>
                <w:spacing w:val="20"/>
                <w:sz w:val="24"/>
              </w:rPr>
              <w:t>数量</w:t>
            </w:r>
          </w:p>
        </w:tc>
        <w:tc>
          <w:tcPr>
            <w:tcW w:w="169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pacing w:val="20"/>
                <w:sz w:val="24"/>
              </w:rPr>
            </w:pPr>
            <w:r>
              <w:rPr>
                <w:rFonts w:ascii="宋体" w:hAnsi="宋体"/>
                <w:spacing w:val="20"/>
                <w:sz w:val="24"/>
              </w:rPr>
              <w:t>单价（元）</w:t>
            </w:r>
          </w:p>
        </w:tc>
        <w:tc>
          <w:tcPr>
            <w:tcW w:w="156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pacing w:val="20"/>
                <w:sz w:val="24"/>
              </w:rPr>
            </w:pPr>
            <w:r>
              <w:rPr>
                <w:rFonts w:ascii="宋体" w:hAnsi="宋体"/>
                <w:spacing w:val="20"/>
                <w:sz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spacing w:val="20"/>
                <w:sz w:val="24"/>
                <w:lang w:val="en-US" w:eastAsia="zh-CN"/>
              </w:rPr>
            </w:pPr>
            <w:r>
              <w:rPr>
                <w:rFonts w:hint="eastAsia" w:ascii="宋体" w:hAnsi="宋体"/>
                <w:spacing w:val="20"/>
                <w:sz w:val="24"/>
                <w:lang w:val="en-US" w:eastAsia="zh-CN"/>
              </w:rPr>
              <w:t>8KW汽油发电机组</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eastAsia="宋体" w:cs="宋体"/>
                <w:spacing w:val="20"/>
                <w:sz w:val="21"/>
                <w:szCs w:val="21"/>
              </w:rPr>
            </w:pPr>
            <w:r>
              <w:rPr>
                <w:rFonts w:hint="eastAsia" w:ascii="宋体" w:hAnsi="宋体" w:eastAsia="宋体" w:cs="宋体"/>
                <w:b w:val="0"/>
                <w:bCs/>
                <w:sz w:val="21"/>
                <w:szCs w:val="21"/>
                <w:lang w:val="en-US" w:eastAsia="zh-CN"/>
              </w:rPr>
              <w:t>上海东明</w:t>
            </w:r>
            <w:r>
              <w:rPr>
                <w:rFonts w:hint="eastAsia" w:ascii="宋体" w:hAnsi="宋体" w:eastAsia="宋体" w:cs="宋体"/>
                <w:b w:val="0"/>
                <w:bCs/>
                <w:sz w:val="21"/>
                <w:szCs w:val="21"/>
              </w:rPr>
              <w:t>DMDS9000CXD</w:t>
            </w:r>
          </w:p>
        </w:tc>
        <w:tc>
          <w:tcPr>
            <w:tcW w:w="1284" w:type="dxa"/>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default"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177台</w:t>
            </w:r>
          </w:p>
        </w:tc>
        <w:tc>
          <w:tcPr>
            <w:tcW w:w="169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Times New Roman"/>
                <w:color w:val="auto"/>
                <w:kern w:val="2"/>
                <w:sz w:val="24"/>
                <w:szCs w:val="24"/>
                <w:lang w:val="en-US" w:eastAsia="zh-CN" w:bidi="ar-SA"/>
              </w:rPr>
            </w:pPr>
            <w:r>
              <w:rPr>
                <w:rFonts w:hint="eastAsia" w:ascii="宋体" w:hAnsi="宋体"/>
                <w:color w:val="auto"/>
                <w:sz w:val="24"/>
                <w:lang w:val="en-US" w:eastAsia="zh-CN"/>
              </w:rPr>
              <w:t>4500</w:t>
            </w:r>
          </w:p>
        </w:tc>
        <w:tc>
          <w:tcPr>
            <w:tcW w:w="15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Times New Roman"/>
                <w:color w:val="auto"/>
                <w:kern w:val="2"/>
                <w:sz w:val="24"/>
                <w:szCs w:val="24"/>
                <w:lang w:val="en-US" w:eastAsia="zh-CN" w:bidi="ar-SA"/>
              </w:rPr>
            </w:pPr>
            <w:r>
              <w:rPr>
                <w:rFonts w:hint="eastAsia" w:ascii="宋体" w:hAnsi="宋体"/>
                <w:color w:val="auto"/>
                <w:sz w:val="24"/>
                <w:lang w:val="en-US" w:eastAsia="zh-CN"/>
              </w:rPr>
              <w:t>796500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spacing w:val="20"/>
                <w:sz w:val="24"/>
                <w:lang w:val="en-US" w:eastAsia="zh-CN"/>
              </w:rPr>
            </w:pPr>
            <w:r>
              <w:rPr>
                <w:rFonts w:hint="eastAsia" w:ascii="宋体" w:hAnsi="宋体"/>
                <w:spacing w:val="20"/>
                <w:sz w:val="24"/>
                <w:lang w:val="en-US" w:eastAsia="zh-CN"/>
              </w:rPr>
              <w:t>2寸汽油排水泵</w:t>
            </w:r>
          </w:p>
        </w:tc>
        <w:tc>
          <w:tcPr>
            <w:tcW w:w="158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宋体" w:hAnsi="宋体" w:eastAsia="宋体" w:cs="宋体"/>
                <w:spacing w:val="20"/>
                <w:sz w:val="21"/>
                <w:szCs w:val="21"/>
              </w:rPr>
            </w:pPr>
            <w:r>
              <w:rPr>
                <w:rFonts w:hint="eastAsia" w:ascii="宋体" w:hAnsi="宋体" w:eastAsia="宋体" w:cs="宋体"/>
                <w:sz w:val="21"/>
                <w:szCs w:val="21"/>
                <w:vertAlign w:val="baseline"/>
                <w:lang w:val="en-US" w:eastAsia="zh-CN"/>
              </w:rPr>
              <w:t>华盛泰山50ZB65-3.5Q</w:t>
            </w:r>
          </w:p>
        </w:tc>
        <w:tc>
          <w:tcPr>
            <w:tcW w:w="1284" w:type="dxa"/>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default"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245台</w:t>
            </w:r>
          </w:p>
        </w:tc>
        <w:tc>
          <w:tcPr>
            <w:tcW w:w="169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Times New Roman"/>
                <w:color w:val="auto"/>
                <w:kern w:val="2"/>
                <w:sz w:val="24"/>
                <w:szCs w:val="24"/>
                <w:lang w:val="en-US" w:eastAsia="zh-CN" w:bidi="ar-SA"/>
              </w:rPr>
            </w:pPr>
            <w:r>
              <w:rPr>
                <w:rFonts w:hint="eastAsia" w:ascii="宋体" w:hAnsi="宋体"/>
                <w:color w:val="auto"/>
                <w:sz w:val="24"/>
                <w:lang w:val="en-US" w:eastAsia="zh-CN"/>
              </w:rPr>
              <w:t>1000</w:t>
            </w:r>
          </w:p>
        </w:tc>
        <w:tc>
          <w:tcPr>
            <w:tcW w:w="15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Times New Roman"/>
                <w:color w:val="auto"/>
                <w:kern w:val="2"/>
                <w:sz w:val="24"/>
                <w:szCs w:val="24"/>
                <w:lang w:val="en-US" w:eastAsia="zh-CN" w:bidi="ar-SA"/>
              </w:rPr>
            </w:pPr>
            <w:r>
              <w:rPr>
                <w:rFonts w:hint="eastAsia" w:ascii="宋体" w:hAnsi="宋体"/>
                <w:color w:val="auto"/>
                <w:sz w:val="24"/>
                <w:lang w:val="en-US" w:eastAsia="zh-CN"/>
              </w:rPr>
              <w:t>245000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spacing w:val="20"/>
                <w:sz w:val="24"/>
                <w:lang w:val="en-US" w:eastAsia="zh-CN"/>
              </w:rPr>
            </w:pPr>
            <w:r>
              <w:rPr>
                <w:rFonts w:hint="eastAsia" w:ascii="宋体" w:hAnsi="宋体"/>
                <w:spacing w:val="20"/>
                <w:sz w:val="24"/>
                <w:lang w:val="en-US" w:eastAsia="zh-CN"/>
              </w:rPr>
              <w:t>发电机附件</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default"/>
                <w:lang w:val="en-US" w:eastAsia="zh-CN"/>
              </w:rPr>
            </w:pPr>
            <w:r>
              <w:rPr>
                <w:rFonts w:hint="eastAsia"/>
                <w:lang w:val="en-US" w:eastAsia="zh-CN"/>
              </w:rPr>
              <w:t>/</w:t>
            </w:r>
          </w:p>
        </w:tc>
        <w:tc>
          <w:tcPr>
            <w:tcW w:w="128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Times New Roman"/>
                <w:color w:val="auto"/>
                <w:kern w:val="2"/>
                <w:sz w:val="24"/>
                <w:szCs w:val="24"/>
                <w:lang w:val="en-US" w:eastAsia="zh-CN" w:bidi="ar-SA"/>
              </w:rPr>
            </w:pPr>
            <w:r>
              <w:rPr>
                <w:rFonts w:hint="eastAsia" w:ascii="宋体" w:hAnsi="宋体"/>
                <w:color w:val="auto"/>
                <w:sz w:val="24"/>
                <w:lang w:val="en-US" w:eastAsia="zh-CN"/>
              </w:rPr>
              <w:t>250套</w:t>
            </w:r>
          </w:p>
        </w:tc>
        <w:tc>
          <w:tcPr>
            <w:tcW w:w="169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Times New Roman"/>
                <w:color w:val="auto"/>
                <w:kern w:val="2"/>
                <w:sz w:val="24"/>
                <w:szCs w:val="24"/>
                <w:lang w:val="en-US" w:eastAsia="zh-CN" w:bidi="ar-SA"/>
              </w:rPr>
            </w:pPr>
            <w:r>
              <w:rPr>
                <w:rFonts w:hint="eastAsia" w:ascii="宋体" w:hAnsi="宋体"/>
                <w:color w:val="auto"/>
                <w:sz w:val="24"/>
                <w:lang w:val="en-US" w:eastAsia="zh-CN"/>
              </w:rPr>
              <w:t>300</w:t>
            </w:r>
          </w:p>
        </w:tc>
        <w:tc>
          <w:tcPr>
            <w:tcW w:w="15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Times New Roman"/>
                <w:color w:val="auto"/>
                <w:kern w:val="2"/>
                <w:sz w:val="24"/>
                <w:szCs w:val="24"/>
                <w:lang w:val="en-US" w:eastAsia="zh-CN" w:bidi="ar-SA"/>
              </w:rPr>
            </w:pPr>
            <w:r>
              <w:rPr>
                <w:rFonts w:hint="eastAsia" w:ascii="宋体" w:hAnsi="宋体"/>
                <w:color w:val="auto"/>
                <w:sz w:val="24"/>
                <w:lang w:val="en-US" w:eastAsia="zh-CN"/>
              </w:rPr>
              <w:t>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trPr>
        <w:tc>
          <w:tcPr>
            <w:tcW w:w="8613" w:type="dxa"/>
            <w:gridSpan w:val="7"/>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pacing w:val="20"/>
                <w:sz w:val="24"/>
              </w:rPr>
            </w:pPr>
            <w:r>
              <w:rPr>
                <w:rFonts w:hint="eastAsia" w:ascii="宋体" w:hAnsi="宋体"/>
                <w:spacing w:val="20"/>
                <w:sz w:val="24"/>
              </w:rPr>
              <w:t>服务要求：</w:t>
            </w:r>
            <w:r>
              <w:rPr>
                <w:rFonts w:hint="eastAsia" w:ascii="宋体" w:hAnsi="宋体"/>
                <w:spacing w:val="20"/>
                <w:sz w:val="24"/>
                <w:lang w:val="en-US" w:eastAsia="zh-CN"/>
              </w:rPr>
              <w:t>1、</w:t>
            </w:r>
            <w:r>
              <w:rPr>
                <w:rFonts w:hint="eastAsia" w:ascii="宋体" w:hAnsi="宋体"/>
                <w:spacing w:val="20"/>
                <w:sz w:val="24"/>
              </w:rPr>
              <w:t>投标人承诺在合同签订后20日历天内完成产品供货、安装、调试及验收并交付采购人使用</w:t>
            </w:r>
            <w:r>
              <w:rPr>
                <w:rFonts w:hint="eastAsia" w:ascii="宋体" w:hAnsi="宋体"/>
                <w:spacing w:val="20"/>
                <w:sz w:val="24"/>
                <w:lang w:eastAsia="zh-CN"/>
              </w:rPr>
              <w:t>；</w:t>
            </w:r>
            <w:r>
              <w:rPr>
                <w:rFonts w:hint="eastAsia" w:ascii="宋体" w:hAnsi="宋体"/>
                <w:spacing w:val="20"/>
                <w:sz w:val="24"/>
                <w:lang w:val="en-US" w:eastAsia="zh-CN"/>
              </w:rPr>
              <w:t>2、货物运送至丽水市莲都区应急管理局指定的乡镇（街道）和行政村。</w:t>
            </w:r>
          </w:p>
        </w:tc>
      </w:tr>
    </w:tbl>
    <w:p>
      <w:pPr>
        <w:rPr>
          <w:rFonts w:hint="eastAsia" w:ascii="宋体" w:hAnsi="宋体"/>
          <w:spacing w:val="20"/>
          <w:szCs w:val="21"/>
        </w:rPr>
      </w:pPr>
      <w:r>
        <w:rPr>
          <w:rFonts w:hint="eastAsia" w:ascii="宋体" w:hAnsi="宋体"/>
          <w:spacing w:val="20"/>
          <w:szCs w:val="21"/>
        </w:rPr>
        <w:t>注：1、中标人应根据其投标情况填写该表，并保证其与投标文件内容的一致性、正确性和真实性；</w:t>
      </w:r>
    </w:p>
    <w:p>
      <w:pPr>
        <w:ind w:firstLine="490" w:firstLineChars="196"/>
        <w:rPr>
          <w:rFonts w:hint="eastAsia" w:ascii="宋体" w:hAnsi="宋体"/>
          <w:spacing w:val="20"/>
          <w:szCs w:val="21"/>
        </w:rPr>
      </w:pPr>
      <w:r>
        <w:rPr>
          <w:rFonts w:hint="eastAsia" w:ascii="宋体" w:hAnsi="宋体"/>
          <w:spacing w:val="20"/>
          <w:szCs w:val="21"/>
        </w:rPr>
        <w:t>2、填写该表不代表中标人已具有中标人资格。本表只作为中标结果公告内容的一部分，进行公告使用；</w:t>
      </w:r>
    </w:p>
    <w:p>
      <w:pPr>
        <w:ind w:firstLine="490" w:firstLineChars="196"/>
        <w:rPr>
          <w:rFonts w:hint="eastAsia" w:ascii="宋体" w:hAnsi="宋体"/>
          <w:spacing w:val="20"/>
          <w:szCs w:val="21"/>
        </w:rPr>
      </w:pPr>
      <w:r>
        <w:rPr>
          <w:rFonts w:hint="eastAsia" w:ascii="宋体" w:hAnsi="宋体"/>
          <w:spacing w:val="20"/>
          <w:szCs w:val="21"/>
        </w:rPr>
        <w:t>3、本表内容涉及较多，中标人可以适当增减表格行数，以保证表格内容的完整；</w:t>
      </w:r>
      <w:bookmarkStart w:id="1" w:name="_GoBack"/>
      <w:bookmarkEnd w:id="1"/>
    </w:p>
    <w:p>
      <w:pPr>
        <w:ind w:firstLine="490" w:firstLineChars="196"/>
        <w:rPr>
          <w:rFonts w:hint="eastAsia" w:ascii="宋体" w:hAnsi="宋体"/>
          <w:spacing w:val="20"/>
          <w:szCs w:val="21"/>
        </w:rPr>
      </w:pPr>
      <w:r>
        <w:rPr>
          <w:rFonts w:hint="eastAsia" w:ascii="宋体" w:hAnsi="宋体"/>
          <w:spacing w:val="20"/>
          <w:szCs w:val="21"/>
        </w:rPr>
        <w:t>4、评审结果排名第一的中标人在评审结束后</w:t>
      </w:r>
      <w:r>
        <w:rPr>
          <w:rFonts w:hint="eastAsia" w:ascii="宋体" w:hAnsi="宋体"/>
          <w:b/>
          <w:spacing w:val="20"/>
          <w:szCs w:val="21"/>
        </w:rPr>
        <w:t>2个工作日内</w:t>
      </w:r>
      <w:r>
        <w:rPr>
          <w:rFonts w:hint="eastAsia" w:ascii="宋体" w:hAnsi="宋体"/>
          <w:spacing w:val="20"/>
          <w:szCs w:val="21"/>
        </w:rPr>
        <w:t>将该表格及项目投标文件电子文档刻录成光盘或将电子文档提交给代理机构的项目负责人。未按时提交规定内容造成后果由中标人自行承担。</w:t>
      </w:r>
    </w:p>
    <w:p>
      <w:pPr>
        <w:ind w:firstLine="490" w:firstLineChars="196"/>
        <w:rPr>
          <w:rFonts w:hint="eastAsia" w:ascii="宋体" w:hAnsi="宋体"/>
          <w:spacing w:val="20"/>
          <w:szCs w:val="21"/>
        </w:rPr>
      </w:pPr>
      <w:r>
        <w:rPr>
          <w:rFonts w:hint="eastAsia" w:ascii="宋体" w:hAnsi="宋体"/>
          <w:spacing w:val="20"/>
          <w:szCs w:val="21"/>
        </w:rPr>
        <w:t>5、中标结果公告内容如涉及中标人的商业秘密等法律法规规定可以不予公告的情形，中标人应另附书面说明，如未事前书面说明造成的后果由中标人自行承担。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B7301C"/>
    <w:rsid w:val="044C7F67"/>
    <w:rsid w:val="10F47636"/>
    <w:rsid w:val="1B0C4777"/>
    <w:rsid w:val="2CB7301C"/>
    <w:rsid w:val="3C1D78F0"/>
    <w:rsid w:val="3E0314AD"/>
    <w:rsid w:val="46FD07F6"/>
    <w:rsid w:val="4E4E5284"/>
    <w:rsid w:val="52B93E72"/>
    <w:rsid w:val="631C61A6"/>
    <w:rsid w:val="77726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jc w:val="center"/>
      <w:outlineLvl w:val="0"/>
    </w:pPr>
    <w:rPr>
      <w:rFonts w:ascii="Calibri" w:hAnsi="Calibri" w:eastAsia="宋体" w:cs="Times New Roman"/>
      <w:b/>
      <w:kern w:val="44"/>
      <w:sz w:val="32"/>
    </w:rPr>
  </w:style>
  <w:style w:type="paragraph" w:styleId="4">
    <w:name w:val="heading 2"/>
    <w:basedOn w:val="1"/>
    <w:next w:val="1"/>
    <w:link w:val="12"/>
    <w:semiHidden/>
    <w:unhideWhenUsed/>
    <w:qFormat/>
    <w:uiPriority w:val="0"/>
    <w:pPr>
      <w:keepNext/>
      <w:keepLines/>
      <w:spacing w:before="260" w:beforeLines="0" w:beforeAutospacing="0" w:after="260" w:afterLines="0" w:afterAutospacing="0" w:line="413" w:lineRule="auto"/>
      <w:jc w:val="center"/>
      <w:outlineLvl w:val="1"/>
    </w:pPr>
    <w:rPr>
      <w:rFonts w:ascii="宋体" w:hAnsi="宋体" w:eastAsia="宋体" w:cs="宋体"/>
      <w:b/>
      <w:sz w:val="32"/>
    </w:rPr>
  </w:style>
  <w:style w:type="paragraph" w:styleId="5">
    <w:name w:val="heading 3"/>
    <w:basedOn w:val="1"/>
    <w:next w:val="6"/>
    <w:semiHidden/>
    <w:unhideWhenUsed/>
    <w:qFormat/>
    <w:uiPriority w:val="0"/>
    <w:pPr>
      <w:keepNext/>
      <w:keepLines/>
      <w:spacing w:before="260" w:beforeLines="0" w:beforeAutospacing="0" w:after="260" w:afterLines="0" w:afterAutospacing="0" w:line="413" w:lineRule="auto"/>
      <w:jc w:val="center"/>
      <w:outlineLvl w:val="2"/>
    </w:pPr>
    <w:rPr>
      <w:rFonts w:ascii="Calibri" w:hAnsi="Calibri" w:eastAsia="宋体" w:cs="Times New Roman"/>
      <w:b/>
      <w:sz w:val="30"/>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keepNext w:val="0"/>
      <w:keepLines w:val="0"/>
      <w:widowControl w:val="0"/>
      <w:suppressLineNumbers w:val="0"/>
      <w:autoSpaceDE w:val="0"/>
      <w:autoSpaceDN w:val="0"/>
      <w:adjustRightInd w:val="0"/>
      <w:spacing w:before="240" w:beforeAutospacing="0" w:after="60" w:afterAutospacing="0"/>
      <w:ind w:left="0" w:right="0"/>
      <w:jc w:val="center"/>
      <w:outlineLvl w:val="0"/>
    </w:pPr>
    <w:rPr>
      <w:rFonts w:ascii="Cambria" w:hAnsi="Cambria"/>
      <w:b/>
      <w:color w:val="000000"/>
      <w:kern w:val="0"/>
      <w:sz w:val="32"/>
      <w:szCs w:val="32"/>
    </w:rPr>
  </w:style>
  <w:style w:type="paragraph" w:styleId="6">
    <w:name w:val="Normal Indent"/>
    <w:basedOn w:val="1"/>
    <w:qFormat/>
    <w:uiPriority w:val="0"/>
    <w:pPr>
      <w:ind w:firstLine="420"/>
    </w:pPr>
    <w:rPr>
      <w:szCs w:val="20"/>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toc 1"/>
    <w:basedOn w:val="1"/>
    <w:next w:val="1"/>
    <w:qFormat/>
    <w:uiPriority w:val="0"/>
    <w:pPr>
      <w:spacing w:line="360" w:lineRule="auto"/>
    </w:pPr>
    <w:rPr>
      <w:rFonts w:ascii="Times New Roman" w:hAnsi="Times New Roman" w:eastAsia="宋体" w:cs="Times New Roman"/>
      <w:b/>
      <w:sz w:val="28"/>
    </w:rPr>
  </w:style>
  <w:style w:type="paragraph" w:customStyle="1" w:styleId="11">
    <w:name w:val="TOC Heading"/>
    <w:basedOn w:val="3"/>
    <w:next w:val="1"/>
    <w:unhideWhenUsed/>
    <w:qFormat/>
    <w:uiPriority w:val="39"/>
    <w:pPr>
      <w:widowControl/>
      <w:spacing w:after="0" w:afterLines="0" w:line="500" w:lineRule="exact"/>
      <w:jc w:val="left"/>
      <w:outlineLvl w:val="9"/>
    </w:pPr>
    <w:rPr>
      <w:rFonts w:asciiTheme="majorAscii" w:hAnsiTheme="majorAscii" w:eastAsiaTheme="majorEastAsia" w:cstheme="majorBidi"/>
      <w:b w:val="0"/>
      <w:color w:val="2E75B6" w:themeColor="accent1" w:themeShade="BF"/>
      <w:kern w:val="0"/>
      <w:sz w:val="32"/>
      <w:szCs w:val="32"/>
    </w:rPr>
  </w:style>
  <w:style w:type="character" w:customStyle="1" w:styleId="12">
    <w:name w:val="标题 2 Char"/>
    <w:link w:val="4"/>
    <w:uiPriority w:val="0"/>
    <w:rPr>
      <w:rFonts w:ascii="宋体" w:hAnsi="宋体" w:eastAsia="宋体" w:cs="宋体"/>
      <w:b/>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2021-05-15T03:16:00Z</dcterms:created>
  <dc:creator>user</dc:creator>
  <cp:lastModifiedBy>user</cp:lastModifiedBy>
  <dcterms:modified xsi:type="dcterms:W3CDTF">2021-05-17T01:34:28Z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583C7E993B5F42FC92B475BCED34AD39</vt:lpwstr>
  </property>
</Properties>
</file>