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7E" w:rsidRDefault="006C1A7E" w:rsidP="006C1A7E">
      <w:pPr>
        <w:pStyle w:val="3"/>
        <w:jc w:val="center"/>
        <w:rPr>
          <w:rFonts w:ascii="宋体" w:eastAsia="宋体" w:hAnsi="宋体" w:cs="宋体"/>
          <w:bCs w:val="0"/>
        </w:rPr>
      </w:pPr>
      <w:bookmarkStart w:id="0" w:name="_Toc432670427"/>
      <w:bookmarkStart w:id="1" w:name="_Toc441763635"/>
      <w:bookmarkStart w:id="2" w:name="_Toc40169253"/>
      <w:bookmarkStart w:id="3" w:name="_Toc40942870"/>
      <w:r>
        <w:rPr>
          <w:rFonts w:ascii="宋体" w:eastAsia="宋体" w:hAnsi="宋体" w:cs="宋体" w:hint="eastAsia"/>
          <w:bCs w:val="0"/>
        </w:rPr>
        <w:t xml:space="preserve">  </w:t>
      </w:r>
      <w:bookmarkEnd w:id="0"/>
      <w:r>
        <w:rPr>
          <w:rFonts w:ascii="宋体" w:eastAsia="宋体" w:hAnsi="宋体" w:cs="宋体" w:hint="eastAsia"/>
          <w:bCs w:val="0"/>
        </w:rPr>
        <w:t>成交人公告内容</w:t>
      </w:r>
      <w:bookmarkEnd w:id="1"/>
      <w:bookmarkEnd w:id="2"/>
      <w:bookmarkEnd w:id="3"/>
    </w:p>
    <w:p w:rsidR="006C1A7E" w:rsidRPr="00254ECB" w:rsidRDefault="006C1A7E" w:rsidP="00B26BB9">
      <w:pPr>
        <w:spacing w:line="360" w:lineRule="auto"/>
        <w:ind w:rightChars="-94" w:right="-19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pacing w:val="20"/>
          <w:sz w:val="24"/>
        </w:rPr>
        <w:t>采购项目：</w:t>
      </w:r>
      <w:r w:rsidR="00A1527C">
        <w:rPr>
          <w:rFonts w:ascii="宋体" w:eastAsia="宋体" w:hAnsi="宋体" w:cs="宋体" w:hint="eastAsia"/>
          <w:sz w:val="24"/>
        </w:rPr>
        <w:t>泵站闸室运行管理项目</w:t>
      </w:r>
    </w:p>
    <w:p w:rsidR="006C1A7E" w:rsidRDefault="006C1A7E" w:rsidP="006C1A7E">
      <w:pPr>
        <w:spacing w:line="360" w:lineRule="auto"/>
        <w:rPr>
          <w:rFonts w:ascii="宋体" w:eastAsia="宋体" w:hAnsi="宋体" w:cs="宋体"/>
          <w:spacing w:val="20"/>
          <w:sz w:val="24"/>
        </w:rPr>
      </w:pPr>
      <w:r>
        <w:rPr>
          <w:rFonts w:ascii="宋体" w:eastAsia="宋体" w:hAnsi="宋体" w:cs="宋体" w:hint="eastAsia"/>
          <w:spacing w:val="20"/>
          <w:sz w:val="24"/>
        </w:rPr>
        <w:t>采购编号</w:t>
      </w:r>
      <w:r>
        <w:rPr>
          <w:rFonts w:ascii="宋体" w:eastAsia="宋体" w:hAnsi="宋体" w:cs="宋体" w:hint="eastAsia"/>
          <w:sz w:val="24"/>
          <w:szCs w:val="28"/>
        </w:rPr>
        <w:t>：</w:t>
      </w:r>
      <w:r w:rsidR="00A1527C">
        <w:rPr>
          <w:rFonts w:ascii="宋体" w:eastAsia="宋体" w:hAnsi="宋体" w:cs="宋体" w:hint="eastAsia"/>
          <w:sz w:val="24"/>
          <w:szCs w:val="28"/>
        </w:rPr>
        <w:t>浙方</w:t>
      </w:r>
      <w:proofErr w:type="gramStart"/>
      <w:r w:rsidR="00A1527C">
        <w:rPr>
          <w:rFonts w:ascii="宋体" w:eastAsia="宋体" w:hAnsi="宋体" w:cs="宋体" w:hint="eastAsia"/>
          <w:sz w:val="24"/>
          <w:szCs w:val="28"/>
        </w:rPr>
        <w:t>咨</w:t>
      </w:r>
      <w:proofErr w:type="gramEnd"/>
      <w:r w:rsidR="00A1527C">
        <w:rPr>
          <w:rFonts w:ascii="宋体" w:eastAsia="宋体" w:hAnsi="宋体" w:cs="宋体" w:hint="eastAsia"/>
          <w:sz w:val="24"/>
          <w:szCs w:val="28"/>
        </w:rPr>
        <w:t>招[2022]046号</w:t>
      </w:r>
      <w:r>
        <w:rPr>
          <w:rFonts w:ascii="宋体" w:eastAsia="宋体" w:hAnsi="宋体" w:cs="宋体" w:hint="eastAsia"/>
          <w:sz w:val="24"/>
          <w:lang w:val="en-GB"/>
        </w:rPr>
        <w:tab/>
      </w:r>
      <w:r>
        <w:rPr>
          <w:rFonts w:ascii="宋体" w:eastAsia="宋体" w:hAnsi="宋体" w:cs="宋体" w:hint="eastAsia"/>
          <w:spacing w:val="20"/>
          <w:sz w:val="24"/>
        </w:rPr>
        <w:t xml:space="preserve">                         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166"/>
        <w:gridCol w:w="2145"/>
        <w:gridCol w:w="2311"/>
      </w:tblGrid>
      <w:tr w:rsidR="006C1A7E" w:rsidTr="00DF6B45">
        <w:trPr>
          <w:trHeight w:val="7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DF6B45" w:rsidRDefault="004F7F6E" w:rsidP="00DF6B45">
            <w:pPr>
              <w:rPr>
                <w:rFonts w:asciiTheme="minorEastAsia" w:eastAsiaTheme="minorEastAsia" w:hAnsiTheme="minorEastAsia"/>
                <w:sz w:val="24"/>
              </w:rPr>
            </w:pPr>
            <w:r w:rsidRPr="004F7F6E">
              <w:rPr>
                <w:rFonts w:asciiTheme="minorEastAsia" w:eastAsiaTheme="minorEastAsia" w:hAnsiTheme="minorEastAsia" w:hint="eastAsia"/>
                <w:sz w:val="24"/>
              </w:rPr>
              <w:t>浙江江能建设有限公司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4F7F6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黄文杰</w:t>
            </w:r>
          </w:p>
        </w:tc>
      </w:tr>
      <w:tr w:rsidR="006C1A7E" w:rsidTr="00254ECB">
        <w:trPr>
          <w:trHeight w:val="66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4F7F6E" w:rsidP="007705C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4F7F6E">
              <w:rPr>
                <w:rFonts w:ascii="宋体" w:eastAsia="宋体" w:hAnsi="宋体" w:cs="宋体" w:hint="eastAsia"/>
                <w:spacing w:val="20"/>
                <w:sz w:val="24"/>
              </w:rPr>
              <w:t>浙江省杭州市</w:t>
            </w:r>
            <w:proofErr w:type="gramStart"/>
            <w:r w:rsidRPr="004F7F6E">
              <w:rPr>
                <w:rFonts w:ascii="宋体" w:eastAsia="宋体" w:hAnsi="宋体" w:cs="宋体" w:hint="eastAsia"/>
                <w:spacing w:val="20"/>
                <w:sz w:val="24"/>
              </w:rPr>
              <w:t>南肖埠北</w:t>
            </w:r>
            <w:proofErr w:type="gramEnd"/>
            <w:r w:rsidRPr="004F7F6E">
              <w:rPr>
                <w:rFonts w:ascii="宋体" w:eastAsia="宋体" w:hAnsi="宋体" w:cs="宋体" w:hint="eastAsia"/>
                <w:spacing w:val="20"/>
                <w:sz w:val="24"/>
              </w:rPr>
              <w:t>景西苑</w:t>
            </w:r>
            <w:r w:rsidRPr="004F7F6E">
              <w:rPr>
                <w:rFonts w:ascii="宋体" w:eastAsia="宋体" w:hAnsi="宋体" w:cs="宋体"/>
                <w:spacing w:val="20"/>
                <w:sz w:val="24"/>
              </w:rPr>
              <w:t>30幢</w:t>
            </w:r>
          </w:p>
        </w:tc>
      </w:tr>
      <w:tr w:rsidR="006C1A7E" w:rsidTr="00DF6B45">
        <w:trPr>
          <w:trHeight w:val="538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 xml:space="preserve"> 成交标的</w:t>
            </w:r>
          </w:p>
        </w:tc>
      </w:tr>
      <w:tr w:rsidR="006C1A7E" w:rsidTr="00DF6B45">
        <w:trPr>
          <w:trHeight w:val="432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服务内容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单价</w:t>
            </w:r>
          </w:p>
        </w:tc>
      </w:tr>
      <w:tr w:rsidR="006C1A7E" w:rsidTr="00254ECB">
        <w:trPr>
          <w:trHeight w:val="64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A1527C" w:rsidP="00262D0D">
            <w:pPr>
              <w:spacing w:line="360" w:lineRule="auto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泵站闸室运行管理项目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4F7F6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4F7F6E" w:rsidP="006C1A7E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bookmarkStart w:id="4" w:name="_GoBack"/>
            <w:r>
              <w:rPr>
                <w:rFonts w:ascii="宋体" w:eastAsia="宋体" w:hAnsi="宋体" w:cs="宋体" w:hint="eastAsia"/>
                <w:spacing w:val="20"/>
                <w:sz w:val="24"/>
              </w:rPr>
              <w:t>2896610</w:t>
            </w:r>
            <w:bookmarkEnd w:id="4"/>
            <w:r w:rsidR="006C1A7E" w:rsidRPr="00C7010A">
              <w:rPr>
                <w:rFonts w:ascii="宋体" w:eastAsia="宋体" w:hAnsi="宋体" w:cs="宋体" w:hint="eastAsia"/>
                <w:spacing w:val="20"/>
                <w:sz w:val="24"/>
              </w:rPr>
              <w:t>元</w:t>
            </w:r>
          </w:p>
        </w:tc>
      </w:tr>
      <w:tr w:rsidR="006C1A7E" w:rsidTr="00DF6B45">
        <w:trPr>
          <w:trHeight w:val="27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C7010A" w:rsidRDefault="006C1A7E" w:rsidP="00D85C43">
            <w:pPr>
              <w:spacing w:line="360" w:lineRule="auto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C7010A" w:rsidRDefault="006C1A7E" w:rsidP="00D85C43">
            <w:pPr>
              <w:spacing w:line="360" w:lineRule="auto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C7010A" w:rsidRDefault="006C1A7E" w:rsidP="00D85C43">
            <w:pPr>
              <w:spacing w:line="360" w:lineRule="auto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6C1A7E" w:rsidTr="00254ECB">
        <w:trPr>
          <w:trHeight w:val="662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7E" w:rsidRPr="00C7010A" w:rsidRDefault="006C1A7E" w:rsidP="00D85C43">
            <w:pPr>
              <w:spacing w:line="360" w:lineRule="auto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 w:rsidRPr="00C7010A">
              <w:rPr>
                <w:rFonts w:ascii="宋体" w:eastAsia="宋体" w:hAnsi="宋体" w:cs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C7010A" w:rsidRDefault="004F7F6E" w:rsidP="004F7F6E">
            <w:pPr>
              <w:spacing w:line="360" w:lineRule="auto"/>
              <w:ind w:firstLineChars="150" w:firstLine="420"/>
              <w:rPr>
                <w:rFonts w:ascii="宋体" w:eastAsia="宋体" w:hAnsi="宋体" w:cs="宋体"/>
                <w:spacing w:val="20"/>
                <w:sz w:val="24"/>
              </w:rPr>
            </w:pPr>
            <w:r w:rsidRPr="004F7F6E">
              <w:rPr>
                <w:rFonts w:ascii="宋体" w:eastAsia="宋体" w:hAnsi="宋体" w:cs="宋体"/>
                <w:spacing w:val="20"/>
                <w:sz w:val="24"/>
              </w:rPr>
              <w:t>5793220</w:t>
            </w:r>
            <w:r w:rsidR="006C1A7E" w:rsidRPr="00C7010A">
              <w:rPr>
                <w:rFonts w:ascii="宋体" w:eastAsia="宋体" w:hAnsi="宋体" w:cs="宋体" w:hint="eastAsia"/>
                <w:spacing w:val="20"/>
                <w:sz w:val="24"/>
              </w:rPr>
              <w:t>元</w:t>
            </w:r>
          </w:p>
        </w:tc>
      </w:tr>
      <w:tr w:rsidR="006C1A7E" w:rsidTr="00254ECB">
        <w:trPr>
          <w:trHeight w:val="2031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CB" w:rsidRPr="00DF6B45" w:rsidRDefault="006C1A7E" w:rsidP="00DF6B45">
            <w:pPr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服务要求：</w:t>
            </w:r>
          </w:p>
          <w:p w:rsidR="00A1527C" w:rsidRPr="00DF6B45" w:rsidRDefault="00DF6B45" w:rsidP="00DF6B45">
            <w:pPr>
              <w:rPr>
                <w:rFonts w:asciiTheme="minorEastAsia" w:eastAsiaTheme="minorEastAsia" w:hAnsiTheme="minorEastAsia"/>
                <w:b/>
              </w:rPr>
            </w:pPr>
            <w:r w:rsidRPr="00DF6B45">
              <w:rPr>
                <w:rFonts w:asciiTheme="minorEastAsia" w:eastAsiaTheme="minorEastAsia" w:hAnsiTheme="minorEastAsia" w:hint="eastAsia"/>
                <w:b/>
              </w:rPr>
              <w:t>一</w:t>
            </w:r>
            <w:r w:rsidR="00A1527C" w:rsidRPr="00DF6B45">
              <w:rPr>
                <w:rFonts w:asciiTheme="minorEastAsia" w:eastAsiaTheme="minorEastAsia" w:hAnsiTheme="minorEastAsia" w:hint="eastAsia"/>
                <w:b/>
              </w:rPr>
              <w:t>、设备工具、人员投入</w:t>
            </w:r>
          </w:p>
          <w:p w:rsidR="00A1527C" w:rsidRPr="00DF6B45" w:rsidRDefault="00A1527C" w:rsidP="00DF6B45">
            <w:pPr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F6B45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DF6B45">
              <w:rPr>
                <w:rFonts w:asciiTheme="minorEastAsia" w:eastAsiaTheme="minorEastAsia" w:hAnsiTheme="minorEastAsia" w:hint="eastAsia"/>
              </w:rPr>
              <w:t>由于本项目各闸站涉及范围较广，需配备中标单位自行配备交通工具，以方便项目管理组日常巡视；流动运行班每日巡查及日常运行；维修养护班对设备的定期维护，缺陷设备维修等。中标单位自行配备常用维修工具：电焊机、万用表、各规格扳手、螺丝刀、小型汽油发电机、临时配电箱及临时电缆、防雨布、绝缘靴、绝缘手套、验电器等各类工具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日常设备维修养护包含该维修养护人工成本、维修养护所需材料费（单件费用在1500元以内）、设备小修等投入，以及维修养护人员的各种费用、必要的保险费用、各项税金等所有费用。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需成立项目部，由项目管理组组织安排各个泵闸站常驻运行班、流动运行班、维修养护班。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常驻运行班负责所驻泵闸站24小时不间断值班，每日对设备进行巡查，通过“看”、“听”、“闻”以达到及时发现问题、及时汇报、及时处理并形成纸质台账入档。</w:t>
            </w:r>
          </w:p>
          <w:p w:rsidR="00A1527C" w:rsidRPr="00DF6B45" w:rsidRDefault="00A1527C" w:rsidP="00DF6B45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流动运行班负责无人值守水闸每日设巡查及日常运行并建立</w:t>
            </w:r>
            <w:proofErr w:type="gramStart"/>
            <w:r w:rsidRPr="00DF6B45">
              <w:rPr>
                <w:rFonts w:asciiTheme="minorEastAsia" w:eastAsiaTheme="minorEastAsia" w:hAnsiTheme="minorEastAsia" w:hint="eastAsia"/>
              </w:rPr>
              <w:t>巡查台</w:t>
            </w:r>
            <w:proofErr w:type="gramEnd"/>
            <w:r w:rsidRPr="00DF6B45">
              <w:rPr>
                <w:rFonts w:asciiTheme="minorEastAsia" w:eastAsiaTheme="minorEastAsia" w:hAnsiTheme="minorEastAsia" w:hint="eastAsia"/>
              </w:rPr>
              <w:t>账。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维修养护班成立后马上对所有泵闸站全部设备进行一次全面检查，对于存在缺陷或需要保养的设备进行及时</w:t>
            </w:r>
            <w:proofErr w:type="gramStart"/>
            <w:r w:rsidRPr="00DF6B45">
              <w:rPr>
                <w:rFonts w:asciiTheme="minorEastAsia" w:eastAsiaTheme="minorEastAsia" w:hAnsiTheme="minorEastAsia" w:hint="eastAsia"/>
              </w:rPr>
              <w:t>消缺及保养</w:t>
            </w:r>
            <w:proofErr w:type="gramEnd"/>
            <w:r w:rsidRPr="00DF6B45">
              <w:rPr>
                <w:rFonts w:asciiTheme="minorEastAsia" w:eastAsiaTheme="minorEastAsia" w:hAnsiTheme="minorEastAsia" w:hint="eastAsia"/>
              </w:rPr>
              <w:t>，对其中存在重大问题、隐患需大修或者需要预防性试验的设备，及时汇报采购人处理。</w:t>
            </w:r>
          </w:p>
          <w:p w:rsidR="00A1527C" w:rsidRPr="00DF6B45" w:rsidRDefault="00DF6B45" w:rsidP="00DF6B45">
            <w:pPr>
              <w:rPr>
                <w:rFonts w:asciiTheme="minorEastAsia" w:eastAsiaTheme="minorEastAsia" w:hAnsiTheme="minorEastAsia"/>
                <w:b/>
              </w:rPr>
            </w:pPr>
            <w:r w:rsidRPr="00DF6B45">
              <w:rPr>
                <w:rFonts w:asciiTheme="minorEastAsia" w:eastAsiaTheme="minorEastAsia" w:hAnsiTheme="minorEastAsia" w:hint="eastAsia"/>
                <w:b/>
              </w:rPr>
              <w:t>二</w:t>
            </w:r>
            <w:r w:rsidR="00A1527C" w:rsidRPr="00DF6B45">
              <w:rPr>
                <w:rFonts w:asciiTheme="minorEastAsia" w:eastAsiaTheme="minorEastAsia" w:hAnsiTheme="minorEastAsia" w:hint="eastAsia"/>
                <w:b/>
              </w:rPr>
              <w:t>、质量与验收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1、养护工作实施不定期抽查和每月定期考核相结合的检查制度。不定期抽查由采购人择时进行，一般每周一次，检查发现的问题，作为每月考核该</w:t>
            </w:r>
            <w:proofErr w:type="gramStart"/>
            <w:r w:rsidRPr="00DF6B45">
              <w:rPr>
                <w:rFonts w:asciiTheme="minorEastAsia" w:eastAsiaTheme="minorEastAsia" w:hAnsiTheme="minorEastAsia" w:hint="eastAsia"/>
              </w:rPr>
              <w:t>项目赋分的</w:t>
            </w:r>
            <w:proofErr w:type="gramEnd"/>
            <w:r w:rsidRPr="00DF6B45">
              <w:rPr>
                <w:rFonts w:asciiTheme="minorEastAsia" w:eastAsiaTheme="minorEastAsia" w:hAnsiTheme="minorEastAsia" w:hint="eastAsia"/>
              </w:rPr>
              <w:t>重要依据；每月定期考核由采购人自行随机确定，打分作为月考核得分。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2、养护质量考核情况作为养护项目费用支付的依据。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3、项目维修质量应符合SL223—2008《水利水电建设工程验收规程》、SL176-2007《水利水电工程施工质量检验与评定规程》、 GB50221-95《钢结构工程质量检验评定标准》等相应规程或标准。期间所发生的一切费用由中标人自行承担。</w:t>
            </w:r>
          </w:p>
          <w:p w:rsidR="00A1527C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4、维修项目养护验收必须提交质量评定资料、养护总结、养护日记、养护大事记等验收工作必须具备的一切资料。</w:t>
            </w:r>
          </w:p>
          <w:p w:rsidR="00262D0D" w:rsidRPr="00DF6B45" w:rsidRDefault="00A1527C" w:rsidP="00DF6B45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DF6B45">
              <w:rPr>
                <w:rFonts w:asciiTheme="minorEastAsia" w:eastAsiaTheme="minorEastAsia" w:hAnsiTheme="minorEastAsia" w:hint="eastAsia"/>
              </w:rPr>
              <w:t>5、维修项目由采购人组织验收小组在该项目完工后单独进行验收评定。</w:t>
            </w:r>
          </w:p>
        </w:tc>
      </w:tr>
    </w:tbl>
    <w:p w:rsidR="00C30999" w:rsidRPr="000A0216" w:rsidRDefault="00C30999" w:rsidP="000A0216">
      <w:pPr>
        <w:ind w:firstLineChars="196" w:firstLine="490"/>
        <w:rPr>
          <w:rFonts w:ascii="宋体" w:eastAsia="宋体" w:hAnsi="宋体" w:cs="宋体"/>
          <w:spacing w:val="20"/>
          <w:szCs w:val="21"/>
        </w:rPr>
      </w:pPr>
    </w:p>
    <w:sectPr w:rsidR="00C30999" w:rsidRPr="000A0216" w:rsidSect="00DF6B45">
      <w:pgSz w:w="11906" w:h="16838"/>
      <w:pgMar w:top="5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F4" w:rsidRDefault="006453F4" w:rsidP="006C1A7E">
      <w:r>
        <w:separator/>
      </w:r>
    </w:p>
  </w:endnote>
  <w:endnote w:type="continuationSeparator" w:id="0">
    <w:p w:rsidR="006453F4" w:rsidRDefault="006453F4" w:rsidP="006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F4" w:rsidRDefault="006453F4" w:rsidP="006C1A7E">
      <w:r>
        <w:separator/>
      </w:r>
    </w:p>
  </w:footnote>
  <w:footnote w:type="continuationSeparator" w:id="0">
    <w:p w:rsidR="006453F4" w:rsidRDefault="006453F4" w:rsidP="006C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D3"/>
    <w:rsid w:val="000371A8"/>
    <w:rsid w:val="00042171"/>
    <w:rsid w:val="000A0216"/>
    <w:rsid w:val="000E484B"/>
    <w:rsid w:val="001A6FEF"/>
    <w:rsid w:val="0022398C"/>
    <w:rsid w:val="00254ECB"/>
    <w:rsid w:val="00262D0D"/>
    <w:rsid w:val="003B7473"/>
    <w:rsid w:val="00481D70"/>
    <w:rsid w:val="004A1937"/>
    <w:rsid w:val="004B3EBD"/>
    <w:rsid w:val="004F7F6E"/>
    <w:rsid w:val="006453F4"/>
    <w:rsid w:val="00690A6C"/>
    <w:rsid w:val="006C1A7E"/>
    <w:rsid w:val="006C4BA3"/>
    <w:rsid w:val="006D5088"/>
    <w:rsid w:val="007219A4"/>
    <w:rsid w:val="007705C3"/>
    <w:rsid w:val="008144C9"/>
    <w:rsid w:val="008858B4"/>
    <w:rsid w:val="0094476E"/>
    <w:rsid w:val="009903F7"/>
    <w:rsid w:val="00A002A0"/>
    <w:rsid w:val="00A1527C"/>
    <w:rsid w:val="00AF7538"/>
    <w:rsid w:val="00B26BB9"/>
    <w:rsid w:val="00B27B11"/>
    <w:rsid w:val="00BB270C"/>
    <w:rsid w:val="00C23C6F"/>
    <w:rsid w:val="00C30999"/>
    <w:rsid w:val="00C556AB"/>
    <w:rsid w:val="00C66BF1"/>
    <w:rsid w:val="00C7010A"/>
    <w:rsid w:val="00C75728"/>
    <w:rsid w:val="00CF288B"/>
    <w:rsid w:val="00D27719"/>
    <w:rsid w:val="00DC32FC"/>
    <w:rsid w:val="00DF6B45"/>
    <w:rsid w:val="00E034D3"/>
    <w:rsid w:val="00E10867"/>
    <w:rsid w:val="00F60F00"/>
    <w:rsid w:val="00F92B31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C1A7E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7219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Char"/>
    <w:qFormat/>
    <w:rsid w:val="006C1A7E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C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1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1A7E"/>
    <w:rPr>
      <w:sz w:val="18"/>
      <w:szCs w:val="18"/>
    </w:rPr>
  </w:style>
  <w:style w:type="character" w:customStyle="1" w:styleId="3Char">
    <w:name w:val="标题 3 Char"/>
    <w:basedOn w:val="a1"/>
    <w:link w:val="3"/>
    <w:rsid w:val="006C1A7E"/>
    <w:rPr>
      <w:rFonts w:ascii="仿宋_GB2312" w:eastAsia="仿宋_GB2312" w:hAnsi="等线" w:cs="Times New Roman"/>
      <w:b/>
      <w:bCs/>
      <w:sz w:val="30"/>
      <w:szCs w:val="20"/>
    </w:rPr>
  </w:style>
  <w:style w:type="paragraph" w:styleId="1">
    <w:name w:val="toc 1"/>
    <w:basedOn w:val="a"/>
    <w:next w:val="a"/>
    <w:autoRedefine/>
    <w:uiPriority w:val="39"/>
    <w:semiHidden/>
    <w:unhideWhenUsed/>
    <w:rsid w:val="006C1A7E"/>
  </w:style>
  <w:style w:type="paragraph" w:styleId="a0">
    <w:name w:val="Normal Indent"/>
    <w:basedOn w:val="a"/>
    <w:uiPriority w:val="99"/>
    <w:semiHidden/>
    <w:unhideWhenUsed/>
    <w:rsid w:val="006C1A7E"/>
    <w:pPr>
      <w:ind w:firstLineChars="200" w:firstLine="420"/>
    </w:pPr>
  </w:style>
  <w:style w:type="character" w:customStyle="1" w:styleId="money">
    <w:name w:val="money"/>
    <w:basedOn w:val="a1"/>
    <w:rsid w:val="006C1A7E"/>
  </w:style>
  <w:style w:type="character" w:customStyle="1" w:styleId="1Char">
    <w:name w:val="标题 1 Char"/>
    <w:basedOn w:val="a1"/>
    <w:link w:val="10"/>
    <w:uiPriority w:val="9"/>
    <w:rsid w:val="007219A4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C1A7E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7219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link w:val="3Char"/>
    <w:qFormat/>
    <w:rsid w:val="006C1A7E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C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1A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1A7E"/>
    <w:rPr>
      <w:sz w:val="18"/>
      <w:szCs w:val="18"/>
    </w:rPr>
  </w:style>
  <w:style w:type="character" w:customStyle="1" w:styleId="3Char">
    <w:name w:val="标题 3 Char"/>
    <w:basedOn w:val="a1"/>
    <w:link w:val="3"/>
    <w:rsid w:val="006C1A7E"/>
    <w:rPr>
      <w:rFonts w:ascii="仿宋_GB2312" w:eastAsia="仿宋_GB2312" w:hAnsi="等线" w:cs="Times New Roman"/>
      <w:b/>
      <w:bCs/>
      <w:sz w:val="30"/>
      <w:szCs w:val="20"/>
    </w:rPr>
  </w:style>
  <w:style w:type="paragraph" w:styleId="1">
    <w:name w:val="toc 1"/>
    <w:basedOn w:val="a"/>
    <w:next w:val="a"/>
    <w:autoRedefine/>
    <w:uiPriority w:val="39"/>
    <w:semiHidden/>
    <w:unhideWhenUsed/>
    <w:rsid w:val="006C1A7E"/>
  </w:style>
  <w:style w:type="paragraph" w:styleId="a0">
    <w:name w:val="Normal Indent"/>
    <w:basedOn w:val="a"/>
    <w:uiPriority w:val="99"/>
    <w:semiHidden/>
    <w:unhideWhenUsed/>
    <w:rsid w:val="006C1A7E"/>
    <w:pPr>
      <w:ind w:firstLineChars="200" w:firstLine="420"/>
    </w:pPr>
  </w:style>
  <w:style w:type="character" w:customStyle="1" w:styleId="money">
    <w:name w:val="money"/>
    <w:basedOn w:val="a1"/>
    <w:rsid w:val="006C1A7E"/>
  </w:style>
  <w:style w:type="character" w:customStyle="1" w:styleId="1Char">
    <w:name w:val="标题 1 Char"/>
    <w:basedOn w:val="a1"/>
    <w:link w:val="10"/>
    <w:uiPriority w:val="9"/>
    <w:rsid w:val="007219A4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885</Characters>
  <Application>Microsoft Office Word</Application>
  <DocSecurity>0</DocSecurity>
  <Lines>7</Lines>
  <Paragraphs>2</Paragraphs>
  <ScaleCrop>false</ScaleCrop>
  <Company>Micorosoft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27</cp:revision>
  <dcterms:created xsi:type="dcterms:W3CDTF">2020-10-12T07:34:00Z</dcterms:created>
  <dcterms:modified xsi:type="dcterms:W3CDTF">2022-06-22T03:56:00Z</dcterms:modified>
</cp:coreProperties>
</file>