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hint="eastAsia" w:ascii="仿宋_GB2312" w:hAnsi="仿宋_GB2312" w:eastAsia="仿宋_GB2312" w:cs="仿宋_GB2312"/>
          <w:highlight w:val="none"/>
        </w:rPr>
      </w:pPr>
    </w:p>
    <w:p>
      <w:pPr>
        <w:wordWrap w:val="0"/>
        <w:jc w:val="center"/>
        <w:rPr>
          <w:rFonts w:hint="eastAsia" w:ascii="仿宋_GB2312" w:hAnsi="仿宋_GB2312" w:eastAsia="仿宋_GB2312" w:cs="仿宋_GB2312"/>
          <w:b/>
          <w:bCs/>
          <w:sz w:val="30"/>
          <w:szCs w:val="30"/>
          <w:highlight w:val="none"/>
        </w:rPr>
      </w:pPr>
      <w:bookmarkStart w:id="0" w:name="_Toc523398546"/>
      <w:r>
        <w:rPr>
          <w:rFonts w:hint="eastAsia" w:ascii="仿宋_GB2312" w:hAnsi="仿宋_GB2312" w:eastAsia="仿宋_GB2312" w:cs="仿宋_GB2312"/>
          <w:b/>
          <w:bCs/>
          <w:sz w:val="30"/>
          <w:szCs w:val="30"/>
          <w:highlight w:val="none"/>
        </w:rPr>
        <w:t>中标（成交）供应商公告内容</w:t>
      </w:r>
      <w:bookmarkEnd w:id="0"/>
    </w:p>
    <w:p>
      <w:pPr>
        <w:wordWrap w:val="0"/>
        <w:rPr>
          <w:rFonts w:hint="eastAsia" w:ascii="仿宋_GB2312" w:hAnsi="仿宋_GB2312" w:eastAsia="仿宋_GB2312" w:cs="仿宋_GB2312"/>
          <w:highlight w:val="none"/>
        </w:rPr>
      </w:pPr>
    </w:p>
    <w:p>
      <w:pPr>
        <w:wordWrap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项目编号：SYZCGZ2025-009    </w:t>
      </w:r>
    </w:p>
    <w:p>
      <w:pPr>
        <w:wordWrap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项目名称： 松阳县人民法院大东坝法庭设备采购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3"/>
        <w:gridCol w:w="714"/>
        <w:gridCol w:w="1270"/>
        <w:gridCol w:w="281"/>
        <w:gridCol w:w="1004"/>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供应商名称</w:t>
            </w:r>
          </w:p>
        </w:tc>
        <w:tc>
          <w:tcPr>
            <w:tcW w:w="2253" w:type="dxa"/>
            <w:noWrap w:val="0"/>
            <w:vAlign w:val="center"/>
          </w:tcPr>
          <w:p>
            <w:pPr>
              <w:wordWrap w:val="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中国电信股份有限公司丽水分公司</w:t>
            </w:r>
          </w:p>
        </w:tc>
        <w:tc>
          <w:tcPr>
            <w:tcW w:w="2265" w:type="dxa"/>
            <w:gridSpan w:val="3"/>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供应商负责人</w:t>
            </w:r>
          </w:p>
        </w:tc>
        <w:tc>
          <w:tcPr>
            <w:tcW w:w="2289" w:type="dxa"/>
            <w:gridSpan w:val="2"/>
            <w:noWrap w:val="0"/>
            <w:vAlign w:val="center"/>
          </w:tcPr>
          <w:p>
            <w:pPr>
              <w:wordWrap w:val="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陈俊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供应商地址</w:t>
            </w:r>
          </w:p>
        </w:tc>
        <w:tc>
          <w:tcPr>
            <w:tcW w:w="6807" w:type="dxa"/>
            <w:gridSpan w:val="6"/>
            <w:noWrap w:val="0"/>
            <w:vAlign w:val="center"/>
          </w:tcPr>
          <w:p>
            <w:pPr>
              <w:wordWrap w:val="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丽水市丽青路466号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7"/>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中标（成交）标的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产品名称（或服务名称）</w:t>
            </w:r>
          </w:p>
        </w:tc>
        <w:tc>
          <w:tcPr>
            <w:tcW w:w="2967" w:type="dxa"/>
            <w:gridSpan w:val="2"/>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规格型号（或服务标准）</w:t>
            </w:r>
          </w:p>
        </w:tc>
        <w:tc>
          <w:tcPr>
            <w:tcW w:w="1270" w:type="dxa"/>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数量</w:t>
            </w:r>
          </w:p>
        </w:tc>
        <w:tc>
          <w:tcPr>
            <w:tcW w:w="1285" w:type="dxa"/>
            <w:gridSpan w:val="2"/>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单价</w:t>
            </w:r>
          </w:p>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（元）</w:t>
            </w:r>
          </w:p>
        </w:tc>
        <w:tc>
          <w:tcPr>
            <w:tcW w:w="1285" w:type="dxa"/>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合价</w:t>
            </w:r>
          </w:p>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机房-网络机柜</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K36642</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2200.00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机房-PDU</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优质</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450.00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信息发布终端</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SJ-G500A</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3</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6300.00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18900.00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值班室-网络机柜</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K36642</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2200.00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值班室-PDU</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优质</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450.00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450.00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解码显示器</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JW-VS3055ABC-XYZ/UVW</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9500.00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9500.00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20k主机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TT020LR</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12500.00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蓄电池</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6-GFM-100</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40</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750.00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电池柜</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A40</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2000.00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吸顶AP</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SC-AP33880</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12</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1350.00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16200.00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24口POE交换机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SC-532400T4M      </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3</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1120.00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24口交换机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SC-512404M</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2630.00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10520.00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48口交换机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SC-534800T6M</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5000.00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网络摄像机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JW-CN7241C-H53</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15</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590.00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8850.00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网络摄像机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JW-CN7441EWD-H53</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6</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600.00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拾音器</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 JW-P2206F</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8</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150.00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人脸抓拍</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JW-CN7443EWD-HA7</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1500.00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警戒相机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JW-CN7441EWD-H53</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7</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600.00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网络硬盘录像机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JW-N86H-64I16</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31200.00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人脸门禁一体机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JW-K1670MK</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6</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2000.00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磁力锁</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JW-K4250B</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250.00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单色LED显示屏</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P4</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2.6</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2500.00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6500.00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解码显示器</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JW-VS3055ABC-XYZ/UVW</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9500.00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9500.00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★简易庭审主机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QGTS-9000UHD01</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15000.00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庭审摄像机</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QGHD-1080P</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5500.00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5500.00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显示器</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JW-VS30ABCD</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900.00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话筒</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QGMC-1100</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5</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1500.00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7500.00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网控时序器</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FZCS-PW8-N</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3600.00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控制面板</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FZCS-DC8480</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900.00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语音识别声卡（8路）</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TX-108D</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21520.00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21520.00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辅材与配件</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定制</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15000.00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集成安装调试</w:t>
            </w:r>
          </w:p>
        </w:tc>
        <w:tc>
          <w:tcPr>
            <w:tcW w:w="2967"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定制</w:t>
            </w:r>
          </w:p>
        </w:tc>
        <w:tc>
          <w:tcPr>
            <w:tcW w:w="1270"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1285" w:type="dxa"/>
            <w:gridSpan w:val="2"/>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30000.00 </w:t>
            </w:r>
          </w:p>
        </w:tc>
        <w:tc>
          <w:tcPr>
            <w:tcW w:w="1285"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pPr>
              <w:wordWrap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总报价</w:t>
            </w:r>
          </w:p>
        </w:tc>
        <w:tc>
          <w:tcPr>
            <w:tcW w:w="6807" w:type="dxa"/>
            <w:gridSpan w:val="6"/>
            <w:noWrap w:val="0"/>
            <w:vAlign w:val="center"/>
          </w:tcPr>
          <w:p>
            <w:pPr>
              <w:wordWrap w:val="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大写</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i w:val="0"/>
                <w:iCs w:val="0"/>
                <w:color w:val="000000"/>
                <w:kern w:val="0"/>
                <w:sz w:val="24"/>
                <w:szCs w:val="24"/>
                <w:u w:val="none"/>
                <w:lang w:val="en-US" w:eastAsia="zh-CN" w:bidi="ar"/>
              </w:rPr>
              <w:t xml:space="preserve">贰拾玖万玖仟元整 </w:t>
            </w:r>
            <w:r>
              <w:rPr>
                <w:rFonts w:hint="eastAsia" w:ascii="仿宋" w:hAnsi="仿宋" w:eastAsia="仿宋" w:cs="仿宋"/>
                <w:b w:val="0"/>
                <w:bCs w:val="0"/>
                <w:sz w:val="24"/>
                <w:szCs w:val="24"/>
                <w:highlight w:val="none"/>
              </w:rPr>
              <w:t xml:space="preserve"> （￥299000.00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060" w:type="dxa"/>
            <w:gridSpan w:val="7"/>
            <w:noWrap w:val="0"/>
            <w:vAlign w:val="top"/>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服务要求：</w:t>
            </w:r>
          </w:p>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1、质保期：提供货物三年的免费质量保证期。质保期从安装调试完毕，最终验收合格之日开始计算。除非采购人另有要求，质保期内的服务均为</w:t>
            </w:r>
            <w:bookmarkStart w:id="1" w:name="_GoBack"/>
            <w:bookmarkEnd w:id="1"/>
            <w:r>
              <w:rPr>
                <w:rFonts w:hint="eastAsia" w:ascii="仿宋" w:hAnsi="仿宋" w:eastAsia="仿宋" w:cs="仿宋"/>
                <w:b w:val="0"/>
                <w:bCs w:val="0"/>
                <w:i w:val="0"/>
                <w:iCs w:val="0"/>
                <w:color w:val="000000"/>
                <w:kern w:val="0"/>
                <w:sz w:val="24"/>
                <w:szCs w:val="24"/>
                <w:u w:val="none"/>
                <w:lang w:val="en-US" w:eastAsia="zh-CN" w:bidi="ar"/>
              </w:rPr>
              <w:t>免费上门服务。</w:t>
            </w:r>
          </w:p>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2、工期：合同签订后120天内完成供货、安装、调试完成</w:t>
            </w:r>
          </w:p>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3、售后技术服务：（1）提供货物三年的免费质量保证期。质保期从安装调试完毕，最终验收合格之日开始计算。除非采购人另有要求，质保期内的服务均为免费上门服务。</w:t>
            </w:r>
          </w:p>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（2）提供货物使用、保养的培训（投标文件中需提供具体培训方案）。</w:t>
            </w:r>
          </w:p>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质量保证：质量保证期内提供免费上门维护、升级服务，如设备出现故障，中标人在接到电话后，12小时以内响应,24小时以内到现场处理，48小时内修复，现场不能修复的，必须采取无偿提供采购物品的备用件或整机等措施，保证采购人的正常使用。质量保证期内，若采购人认为货物存在缺陷，包括潜在的缺陷或使用不符合要求的材料等，中标人应提供相应检测结果证明该货物无缺陷，否则仍视为存在缺陷，中标人应在收到通知后5天内维修或更换有缺陷的货物或部件，直至满足采购人要求。</w:t>
            </w:r>
          </w:p>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（4）出现故障后，中标人如未按上述要求进行响应，采购人可以采取必要的补救措施，由此产生的风险和费用全部由中标人承担。</w:t>
            </w:r>
          </w:p>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（5）质保期内，除人为损坏和不可抗力外，期间所产生的任何维护或维修及更换配件的费用均由中标人承担。</w:t>
            </w:r>
          </w:p>
          <w:p>
            <w:pPr>
              <w:keepNext w:val="0"/>
              <w:keepLines w:val="0"/>
              <w:widowControl/>
              <w:suppressLineNumbers w:val="0"/>
              <w:jc w:val="left"/>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u w:val="none"/>
                <w:lang w:val="en-US" w:eastAsia="zh-CN" w:bidi="ar"/>
              </w:rPr>
              <w:t>（6）提供24小时售后免费现场技术支持服务，包括但不限于故障排除、性能调优、技术咨询等。</w:t>
            </w:r>
          </w:p>
        </w:tc>
      </w:tr>
    </w:tbl>
    <w:p>
      <w:pPr>
        <w:wordWrap w:val="0"/>
        <w:rPr>
          <w:rFonts w:hint="eastAsia" w:ascii="仿宋_GB2312" w:hAnsi="仿宋_GB2312" w:eastAsia="仿宋_GB2312" w:cs="仿宋_GB2312"/>
          <w:spacing w:val="20"/>
          <w:sz w:val="24"/>
          <w:szCs w:val="24"/>
          <w:highlight w:val="none"/>
        </w:rPr>
      </w:pPr>
      <w:r>
        <w:rPr>
          <w:rFonts w:hint="eastAsia" w:ascii="仿宋_GB2312" w:hAnsi="仿宋_GB2312" w:eastAsia="仿宋_GB2312" w:cs="仿宋_GB2312"/>
          <w:spacing w:val="20"/>
          <w:sz w:val="24"/>
          <w:szCs w:val="24"/>
          <w:highlight w:val="none"/>
        </w:rPr>
        <w:t>注：1、供应商应根据其响应情况填写该表，并保证其与响应文件内容的一致性、正确性和真实性；</w:t>
      </w:r>
    </w:p>
    <w:p>
      <w:pPr>
        <w:wordWrap w:val="0"/>
        <w:ind w:firstLine="548" w:firstLineChars="196"/>
        <w:rPr>
          <w:rFonts w:hint="eastAsia" w:ascii="仿宋_GB2312" w:hAnsi="仿宋_GB2312" w:eastAsia="仿宋_GB2312" w:cs="仿宋_GB2312"/>
          <w:spacing w:val="20"/>
          <w:sz w:val="24"/>
          <w:szCs w:val="24"/>
          <w:highlight w:val="none"/>
        </w:rPr>
      </w:pPr>
      <w:r>
        <w:rPr>
          <w:rFonts w:hint="eastAsia" w:ascii="仿宋_GB2312" w:hAnsi="仿宋_GB2312" w:eastAsia="仿宋_GB2312" w:cs="仿宋_GB2312"/>
          <w:spacing w:val="20"/>
          <w:sz w:val="24"/>
          <w:szCs w:val="24"/>
          <w:highlight w:val="none"/>
        </w:rPr>
        <w:t>2、填写该表不代表供应商已具有中标人（成交人）资格。本表只作为中标（成交）结果公告内容的一部分，进行公告使用；</w:t>
      </w:r>
    </w:p>
    <w:p>
      <w:pPr>
        <w:wordWrap w:val="0"/>
        <w:ind w:firstLine="548" w:firstLineChars="196"/>
        <w:rPr>
          <w:rFonts w:hint="eastAsia" w:ascii="仿宋_GB2312" w:hAnsi="仿宋_GB2312" w:eastAsia="仿宋_GB2312" w:cs="仿宋_GB2312"/>
          <w:spacing w:val="20"/>
          <w:sz w:val="24"/>
          <w:szCs w:val="24"/>
          <w:highlight w:val="none"/>
        </w:rPr>
      </w:pPr>
      <w:r>
        <w:rPr>
          <w:rFonts w:hint="eastAsia" w:ascii="仿宋_GB2312" w:hAnsi="仿宋_GB2312" w:eastAsia="仿宋_GB2312" w:cs="仿宋_GB2312"/>
          <w:spacing w:val="20"/>
          <w:sz w:val="24"/>
          <w:szCs w:val="24"/>
          <w:highlight w:val="none"/>
        </w:rPr>
        <w:t>3、本表内容涉及较多，供应商可以适当增减表格行数，以保证表格内容的完整；</w:t>
      </w:r>
    </w:p>
    <w:p>
      <w:pPr>
        <w:wordWrap w:val="0"/>
        <w:ind w:firstLine="548" w:firstLineChars="196"/>
        <w:rPr>
          <w:rFonts w:hint="eastAsia" w:ascii="仿宋_GB2312" w:hAnsi="仿宋_GB2312" w:eastAsia="仿宋_GB2312" w:cs="仿宋_GB2312"/>
          <w:spacing w:val="20"/>
          <w:sz w:val="24"/>
          <w:szCs w:val="24"/>
          <w:highlight w:val="none"/>
        </w:rPr>
      </w:pPr>
      <w:r>
        <w:rPr>
          <w:rFonts w:hint="eastAsia" w:ascii="仿宋_GB2312" w:hAnsi="仿宋_GB2312" w:eastAsia="仿宋_GB2312" w:cs="仿宋_GB2312"/>
          <w:spacing w:val="20"/>
          <w:sz w:val="24"/>
          <w:szCs w:val="24"/>
          <w:highlight w:val="none"/>
        </w:rPr>
        <w:fldChar w:fldCharType="begin"/>
      </w:r>
      <w:r>
        <w:rPr>
          <w:rFonts w:hint="eastAsia" w:ascii="仿宋_GB2312" w:hAnsi="仿宋_GB2312" w:eastAsia="仿宋_GB2312" w:cs="仿宋_GB2312"/>
          <w:spacing w:val="20"/>
          <w:sz w:val="24"/>
          <w:szCs w:val="24"/>
          <w:highlight w:val="none"/>
        </w:rPr>
        <w:instrText xml:space="preserve"> HYPERLINK "mailto:4、评审结果排名第一的供应商在评审结束后2个工作日内将该表格提交发送至邮箱\“lssggzyjyzx@163.com\”。" </w:instrText>
      </w:r>
      <w:r>
        <w:rPr>
          <w:rFonts w:hint="eastAsia" w:ascii="仿宋_GB2312" w:hAnsi="仿宋_GB2312" w:eastAsia="仿宋_GB2312" w:cs="仿宋_GB2312"/>
          <w:spacing w:val="20"/>
          <w:sz w:val="24"/>
          <w:szCs w:val="24"/>
          <w:highlight w:val="none"/>
        </w:rPr>
        <w:fldChar w:fldCharType="separate"/>
      </w:r>
      <w:r>
        <w:rPr>
          <w:rFonts w:hint="eastAsia" w:ascii="仿宋_GB2312" w:hAnsi="仿宋_GB2312" w:eastAsia="仿宋_GB2312" w:cs="仿宋_GB2312"/>
          <w:spacing w:val="20"/>
          <w:sz w:val="24"/>
          <w:szCs w:val="24"/>
          <w:highlight w:val="none"/>
        </w:rPr>
        <w:t>4、评审结果排名第一的供应商在评审结束后1个工作日内将该表格提交发送至邮箱“</w:t>
      </w:r>
      <w:r>
        <w:rPr>
          <w:rFonts w:hint="eastAsia" w:ascii="仿宋_GB2312" w:hAnsi="仿宋_GB2312" w:eastAsia="仿宋_GB2312" w:cs="仿宋_GB2312"/>
          <w:spacing w:val="20"/>
          <w:sz w:val="24"/>
          <w:szCs w:val="24"/>
          <w:highlight w:val="none"/>
          <w:lang w:val="en-US" w:eastAsia="zh-CN"/>
        </w:rPr>
        <w:t>745415715@qq</w:t>
      </w:r>
      <w:r>
        <w:rPr>
          <w:rFonts w:hint="eastAsia" w:ascii="仿宋_GB2312" w:hAnsi="仿宋_GB2312" w:eastAsia="仿宋_GB2312" w:cs="仿宋_GB2312"/>
          <w:spacing w:val="20"/>
          <w:sz w:val="24"/>
          <w:szCs w:val="24"/>
          <w:highlight w:val="none"/>
        </w:rPr>
        <w:t>.com”。</w:t>
      </w:r>
      <w:r>
        <w:rPr>
          <w:rFonts w:hint="eastAsia" w:ascii="仿宋_GB2312" w:hAnsi="仿宋_GB2312" w:eastAsia="仿宋_GB2312" w:cs="仿宋_GB2312"/>
          <w:spacing w:val="20"/>
          <w:sz w:val="24"/>
          <w:szCs w:val="24"/>
          <w:highlight w:val="none"/>
        </w:rPr>
        <w:fldChar w:fldCharType="end"/>
      </w:r>
    </w:p>
    <w:p>
      <w:pPr>
        <w:wordWrap w:val="0"/>
        <w:ind w:firstLine="548" w:firstLineChars="196"/>
        <w:rPr>
          <w:rFonts w:hint="eastAsia" w:ascii="仿宋_GB2312" w:hAnsi="仿宋_GB2312" w:eastAsia="仿宋_GB2312" w:cs="仿宋_GB2312"/>
          <w:b/>
          <w:strike/>
        </w:rPr>
      </w:pPr>
      <w:r>
        <w:rPr>
          <w:rFonts w:hint="eastAsia" w:ascii="仿宋_GB2312" w:hAnsi="仿宋_GB2312" w:eastAsia="仿宋_GB2312" w:cs="仿宋_GB2312"/>
          <w:spacing w:val="20"/>
          <w:sz w:val="24"/>
          <w:szCs w:val="24"/>
          <w:highlight w:val="none"/>
        </w:rPr>
        <w:t>5、中标结果公告内容如涉及供应商的商业秘密等法律法规规定可以不予公告的情形，供应商应另附书面说明，如未事前书面说明造成的后果由供应商自行承担。</w:t>
      </w:r>
    </w:p>
    <w:p/>
    <w:sectPr>
      <w:footerReference r:id="rId3" w:type="default"/>
      <w:pgSz w:w="11906" w:h="16838"/>
      <w:pgMar w:top="1440" w:right="1440" w:bottom="1440" w:left="1440"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p>
    <w:pPr>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FE4E5"/>
    <w:multiLevelType w:val="multilevel"/>
    <w:tmpl w:val="6C9FE4E5"/>
    <w:lvl w:ilvl="0" w:tentative="0">
      <w:start w:val="1"/>
      <w:numFmt w:val="decimal"/>
      <w:pStyle w:val="5"/>
      <w:lvlText w:val="%1"/>
      <w:lvlJc w:val="left"/>
      <w:pPr>
        <w:ind w:left="0" w:firstLine="0"/>
      </w:pPr>
      <w:rPr>
        <w:rFonts w:hint="eastAsia"/>
        <w:sz w:val="44"/>
        <w:szCs w:val="44"/>
      </w:rPr>
    </w:lvl>
    <w:lvl w:ilvl="1" w:tentative="0">
      <w:start w:val="1"/>
      <w:numFmt w:val="decimal"/>
      <w:pStyle w:val="6"/>
      <w:lvlText w:val="%1.%2"/>
      <w:lvlJc w:val="left"/>
      <w:pPr>
        <w:ind w:left="0" w:firstLine="0"/>
      </w:pPr>
      <w:rPr>
        <w:rFonts w:hint="eastAsia"/>
        <w:sz w:val="32"/>
      </w:rPr>
    </w:lvl>
    <w:lvl w:ilvl="2" w:tentative="0">
      <w:start w:val="1"/>
      <w:numFmt w:val="decimal"/>
      <w:pStyle w:val="7"/>
      <w:lvlText w:val="%1.%2.%3"/>
      <w:lvlJc w:val="left"/>
      <w:pPr>
        <w:ind w:left="0" w:firstLine="0"/>
      </w:pPr>
      <w:rPr>
        <w:rFonts w:hint="eastAsia"/>
      </w:rPr>
    </w:lvl>
    <w:lvl w:ilvl="3" w:tentative="0">
      <w:start w:val="1"/>
      <w:numFmt w:val="decimal"/>
      <w:pStyle w:val="9"/>
      <w:lvlText w:val="%1.%2.%3.%4"/>
      <w:lvlJc w:val="left"/>
      <w:pPr>
        <w:ind w:left="0" w:firstLine="0"/>
      </w:pPr>
      <w:rPr>
        <w:rFonts w:hint="eastAsia"/>
      </w:rPr>
    </w:lvl>
    <w:lvl w:ilvl="4" w:tentative="0">
      <w:start w:val="1"/>
      <w:numFmt w:val="decimal"/>
      <w:pStyle w:val="10"/>
      <w:lvlText w:val="%1.%2.%3.%4.%5"/>
      <w:lvlJc w:val="left"/>
      <w:pPr>
        <w:ind w:left="0" w:firstLine="0"/>
      </w:pPr>
      <w:rPr>
        <w:rFonts w:hint="eastAsia"/>
      </w:rPr>
    </w:lvl>
    <w:lvl w:ilvl="5" w:tentative="0">
      <w:start w:val="1"/>
      <w:numFmt w:val="decimal"/>
      <w:pStyle w:val="11"/>
      <w:lvlText w:val="%1.%2.%3.%4.%5.%6"/>
      <w:lvlJc w:val="left"/>
      <w:pPr>
        <w:ind w:left="0" w:firstLine="0"/>
      </w:pPr>
      <w:rPr>
        <w:rFonts w:hint="eastAsia"/>
      </w:rPr>
    </w:lvl>
    <w:lvl w:ilvl="6" w:tentative="0">
      <w:start w:val="1"/>
      <w:numFmt w:val="decimal"/>
      <w:pStyle w:val="12"/>
      <w:lvlText w:val="%1.%2.%3.%4.%5.%6.%7"/>
      <w:lvlJc w:val="left"/>
      <w:pPr>
        <w:ind w:left="0" w:firstLine="0"/>
      </w:pPr>
      <w:rPr>
        <w:rFonts w:hint="eastAsia"/>
      </w:rPr>
    </w:lvl>
    <w:lvl w:ilvl="7" w:tentative="0">
      <w:start w:val="1"/>
      <w:numFmt w:val="decimal"/>
      <w:pStyle w:val="13"/>
      <w:lvlText w:val="%1.%2.%3.%4.%5.%6.%7.%8"/>
      <w:lvlJc w:val="left"/>
      <w:pPr>
        <w:ind w:left="0" w:firstLine="0"/>
      </w:pPr>
      <w:rPr>
        <w:rFonts w:hint="eastAsia"/>
      </w:rPr>
    </w:lvl>
    <w:lvl w:ilvl="8" w:tentative="0">
      <w:start w:val="1"/>
      <w:numFmt w:val="decimal"/>
      <w:pStyle w:val="14"/>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C393F"/>
    <w:rsid w:val="0F512716"/>
    <w:rsid w:val="11543386"/>
    <w:rsid w:val="22867B7F"/>
    <w:rsid w:val="29101AF5"/>
    <w:rsid w:val="72B7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numPr>
        <w:ilvl w:val="0"/>
        <w:numId w:val="1"/>
      </w:numPr>
      <w:spacing w:before="340" w:beforeLines="0" w:beforeAutospacing="0" w:after="330" w:afterLines="0" w:afterAutospacing="0" w:line="576" w:lineRule="auto"/>
      <w:ind w:firstLine="0" w:firstLineChars="0"/>
      <w:outlineLvl w:val="0"/>
    </w:pPr>
    <w:rPr>
      <w:b/>
      <w:kern w:val="44"/>
      <w:sz w:val="44"/>
    </w:rPr>
  </w:style>
  <w:style w:type="paragraph" w:styleId="6">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firstLine="0" w:firstLineChars="0"/>
      <w:outlineLvl w:val="1"/>
    </w:pPr>
    <w:rPr>
      <w:rFonts w:ascii="Arial" w:hAnsi="Arial" w:eastAsia="黑体"/>
      <w:b/>
      <w:sz w:val="32"/>
    </w:rPr>
  </w:style>
  <w:style w:type="paragraph" w:styleId="7">
    <w:name w:val="heading 3"/>
    <w:basedOn w:val="1"/>
    <w:next w:val="8"/>
    <w:link w:val="19"/>
    <w:semiHidden/>
    <w:unhideWhenUsed/>
    <w:qFormat/>
    <w:uiPriority w:val="0"/>
    <w:pPr>
      <w:keepNext/>
      <w:keepLines/>
      <w:widowControl/>
      <w:numPr>
        <w:ilvl w:val="2"/>
        <w:numId w:val="1"/>
      </w:numPr>
      <w:ind w:firstLine="0" w:firstLineChars="0"/>
      <w:outlineLvl w:val="2"/>
    </w:pPr>
    <w:rPr>
      <w:rFonts w:ascii="宋体" w:hAnsi="宋体" w:eastAsia="宋体" w:cs="宋体"/>
      <w:b/>
      <w:bCs/>
      <w:sz w:val="30"/>
      <w:szCs w:val="32"/>
    </w:rPr>
  </w:style>
  <w:style w:type="paragraph" w:styleId="9">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0" w:firstLineChars="0"/>
      <w:outlineLvl w:val="3"/>
    </w:pPr>
    <w:rPr>
      <w:rFonts w:ascii="Arial" w:hAnsi="Arial" w:eastAsia="黑体"/>
      <w:b/>
      <w:sz w:val="28"/>
    </w:rPr>
  </w:style>
  <w:style w:type="paragraph" w:styleId="10">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0" w:firstLineChars="0"/>
      <w:outlineLvl w:val="4"/>
    </w:pPr>
    <w:rPr>
      <w:b/>
      <w:sz w:val="28"/>
    </w:rPr>
  </w:style>
  <w:style w:type="paragraph" w:styleId="11">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paragraph" w:styleId="12">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0" w:firstLineChars="0"/>
      <w:outlineLvl w:val="6"/>
    </w:pPr>
    <w:rPr>
      <w:b/>
      <w:sz w:val="24"/>
    </w:rPr>
  </w:style>
  <w:style w:type="paragraph" w:styleId="13">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0" w:firstLineChars="0"/>
      <w:outlineLvl w:val="7"/>
    </w:pPr>
    <w:rPr>
      <w:rFonts w:ascii="Arial" w:hAnsi="Arial" w:eastAsia="黑体"/>
      <w:sz w:val="24"/>
    </w:rPr>
  </w:style>
  <w:style w:type="paragraph" w:styleId="14">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0" w:firstLineChars="0"/>
      <w:outlineLvl w:val="8"/>
    </w:pPr>
    <w:rPr>
      <w:rFonts w:ascii="Arial" w:hAnsi="Arial" w:eastAsia="黑体"/>
      <w:sz w:val="21"/>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0"/>
    <w:pPr>
      <w:spacing w:line="240" w:lineRule="auto"/>
      <w:ind w:left="2100" w:leftChars="1000"/>
    </w:pPr>
    <w:rPr>
      <w:rFonts w:ascii="Calibri" w:hAnsi="Calibri" w:cs="Times New Roman"/>
    </w:rPr>
  </w:style>
  <w:style w:type="paragraph" w:styleId="8">
    <w:name w:val="Normal Indent"/>
    <w:basedOn w:val="1"/>
    <w:qFormat/>
    <w:uiPriority w:val="0"/>
    <w:pPr>
      <w:ind w:firstLine="420" w:firstLineChars="200"/>
    </w:pPr>
  </w:style>
  <w:style w:type="paragraph" w:styleId="15">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6">
    <w:name w:val="Title"/>
    <w:basedOn w:val="1"/>
    <w:qFormat/>
    <w:uiPriority w:val="0"/>
    <w:pPr>
      <w:spacing w:before="240" w:after="60"/>
      <w:jc w:val="center"/>
      <w:outlineLvl w:val="0"/>
    </w:pPr>
    <w:rPr>
      <w:rFonts w:ascii="Arial" w:hAnsi="Arial" w:cs="Arial"/>
      <w:b/>
      <w:bCs/>
      <w:sz w:val="32"/>
      <w:szCs w:val="32"/>
    </w:rPr>
  </w:style>
  <w:style w:type="character" w:customStyle="1" w:styleId="19">
    <w:name w:val="标题 3 字符"/>
    <w:link w:val="7"/>
    <w:qFormat/>
    <w:uiPriority w:val="0"/>
    <w:rPr>
      <w:rFonts w:ascii="宋体" w:hAnsi="宋体" w:eastAsia="宋体" w:cs="宋体"/>
      <w:b/>
      <w:bCs/>
      <w:kern w:val="2"/>
      <w:sz w:val="30"/>
      <w:szCs w:val="32"/>
      <w:lang w:val="en-US" w:eastAsia="zh-CN" w:bidi="ar-SA"/>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383</Words>
  <Characters>413</Characters>
  <Lines>0</Lines>
  <Paragraphs>0</Paragraphs>
  <TotalTime>8</TotalTime>
  <ScaleCrop>false</ScaleCrop>
  <LinksUpToDate>false</LinksUpToDate>
  <CharactersWithSpaces>469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2024-08-28T06:04:00Z</dcterms:created>
  <dc:creator>MSI-NB</dc:creator>
  <cp:lastModifiedBy>冰可乐解渴</cp:lastModifiedBy>
  <dcterms:modified xsi:type="dcterms:W3CDTF">2025-06-23T09:33:21Z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0F8888F32F8247F5AFB1A97CCF20E76E</vt:lpwstr>
  </property>
  <property fmtid="{D5CDD505-2E9C-101B-9397-08002B2CF9AE}" pid="4" name="KSOTemplateDocerSaveRecord">
    <vt:lpwstr>eyJoZGlkIjoiYTJkNjRmNTZmYWMyYTMzNWMxNTMwMzgzNzlmNDVjYjQiLCJ1c2VySWQiOiI2ODU0OTcxMTEifQ==</vt:lpwstr>
  </property>
</Properties>
</file>