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A24BA">
      <w:pPr>
        <w:wordWrap w:val="0"/>
        <w:jc w:val="center"/>
        <w:rPr>
          <w:rFonts w:hint="eastAsia" w:ascii="仿宋_GB2312" w:hAnsi="仿宋_GB2312" w:eastAsia="仿宋_GB2312" w:cs="仿宋_GB2312"/>
          <w:b/>
          <w:bCs/>
          <w:sz w:val="30"/>
          <w:szCs w:val="30"/>
          <w:highlight w:val="none"/>
        </w:rPr>
      </w:pPr>
      <w:bookmarkStart w:id="0" w:name="_Toc523398546"/>
      <w:r>
        <w:rPr>
          <w:rFonts w:hint="eastAsia" w:ascii="仿宋_GB2312" w:hAnsi="仿宋_GB2312" w:eastAsia="仿宋_GB2312" w:cs="仿宋_GB2312"/>
          <w:b/>
          <w:bCs/>
          <w:sz w:val="30"/>
          <w:szCs w:val="30"/>
          <w:highlight w:val="none"/>
        </w:rPr>
        <w:t>中标（成交）供应商公告内容</w:t>
      </w:r>
      <w:bookmarkEnd w:id="0"/>
    </w:p>
    <w:p w14:paraId="6E9B9EC3">
      <w:pPr>
        <w:wordWrap w:val="0"/>
        <w:rPr>
          <w:rFonts w:hint="eastAsia"/>
          <w:highlight w:val="none"/>
        </w:rPr>
      </w:pPr>
    </w:p>
    <w:p w14:paraId="19E7A098">
      <w:pPr>
        <w:wordWrap w:val="0"/>
        <w:spacing w:line="360" w:lineRule="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sz w:val="24"/>
          <w:highlight w:val="none"/>
        </w:rPr>
        <w:t>项目编号：</w:t>
      </w:r>
      <w:r>
        <w:rPr>
          <w:rFonts w:hint="eastAsia" w:ascii="仿宋_GB2312" w:hAnsi="宋体" w:eastAsia="仿宋_GB2312"/>
          <w:bCs/>
          <w:snapToGrid w:val="0"/>
          <w:color w:val="000000" w:themeColor="text1"/>
          <w:sz w:val="24"/>
          <w:szCs w:val="24"/>
          <w:highlight w:val="none"/>
          <w14:textFill>
            <w14:solidFill>
              <w14:schemeClr w14:val="tx1"/>
            </w14:solidFill>
          </w14:textFill>
        </w:rPr>
        <w:t>JYZFCG磋商2025-01</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0876A348">
      <w:pPr>
        <w:wordWrap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r>
        <w:rPr>
          <w:rFonts w:hint="eastAsia" w:ascii="仿宋_GB2312" w:hAnsi="仿宋_GB2312" w:eastAsia="仿宋_GB2312" w:cs="仿宋_GB2312"/>
          <w:color w:val="000000" w:themeColor="text1"/>
          <w:sz w:val="24"/>
          <w:szCs w:val="24"/>
          <w:highlight w:val="none"/>
          <w14:textFill>
            <w14:solidFill>
              <w14:schemeClr w14:val="tx1"/>
            </w14:solidFill>
          </w14:textFill>
        </w:rPr>
        <w:t>缙云县实验中学2025.10-2028.09校园保洁服务、寝室管理等服务政府采购项目</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sz w:val="24"/>
          <w:highlight w:val="non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3"/>
        <w:gridCol w:w="714"/>
        <w:gridCol w:w="1155"/>
        <w:gridCol w:w="396"/>
        <w:gridCol w:w="1004"/>
        <w:gridCol w:w="1285"/>
      </w:tblGrid>
      <w:tr w14:paraId="585D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5990B373">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供应商名称</w:t>
            </w:r>
          </w:p>
        </w:tc>
        <w:tc>
          <w:tcPr>
            <w:tcW w:w="2253" w:type="dxa"/>
            <w:noWrap w:val="0"/>
            <w:vAlign w:val="center"/>
          </w:tcPr>
          <w:p w14:paraId="27D0B235">
            <w:pPr>
              <w:wordWrap w:val="0"/>
              <w:jc w:val="center"/>
              <w:rPr>
                <w:rFonts w:hint="eastAsia" w:ascii="仿宋" w:hAnsi="仿宋" w:eastAsia="仿宋" w:cs="仿宋"/>
                <w:b w:val="0"/>
                <w:bCs w:val="0"/>
                <w:sz w:val="24"/>
                <w:highlight w:val="none"/>
                <w:u w:val="none"/>
              </w:rPr>
            </w:pPr>
            <w:r>
              <w:rPr>
                <w:rFonts w:hint="eastAsia" w:ascii="仿宋" w:hAnsi="仿宋" w:eastAsia="仿宋" w:cs="仿宋"/>
                <w:b w:val="0"/>
                <w:bCs w:val="0"/>
                <w:color w:val="000000"/>
                <w:sz w:val="24"/>
                <w:szCs w:val="24"/>
                <w:u w:val="none"/>
                <w:lang w:eastAsia="zh-CN"/>
              </w:rPr>
              <w:t>金服物业服务集团有限公司</w:t>
            </w:r>
          </w:p>
        </w:tc>
        <w:tc>
          <w:tcPr>
            <w:tcW w:w="2265" w:type="dxa"/>
            <w:gridSpan w:val="3"/>
            <w:noWrap w:val="0"/>
            <w:vAlign w:val="center"/>
          </w:tcPr>
          <w:p w14:paraId="2875E2BF">
            <w:pPr>
              <w:wordWrap w:val="0"/>
              <w:jc w:val="center"/>
              <w:rPr>
                <w:rFonts w:hint="eastAsia" w:ascii="仿宋" w:hAnsi="仿宋" w:eastAsia="仿宋" w:cs="仿宋"/>
                <w:b w:val="0"/>
                <w:bCs w:val="0"/>
                <w:sz w:val="24"/>
                <w:highlight w:val="none"/>
                <w:u w:val="none"/>
              </w:rPr>
            </w:pPr>
            <w:r>
              <w:rPr>
                <w:rFonts w:hint="eastAsia" w:ascii="仿宋" w:hAnsi="仿宋" w:eastAsia="仿宋" w:cs="仿宋"/>
                <w:b w:val="0"/>
                <w:bCs w:val="0"/>
                <w:sz w:val="24"/>
                <w:highlight w:val="none"/>
                <w:u w:val="none"/>
              </w:rPr>
              <w:t>供应商负责人</w:t>
            </w:r>
          </w:p>
        </w:tc>
        <w:tc>
          <w:tcPr>
            <w:tcW w:w="2289" w:type="dxa"/>
            <w:gridSpan w:val="2"/>
            <w:noWrap w:val="0"/>
            <w:vAlign w:val="center"/>
          </w:tcPr>
          <w:p w14:paraId="226E06EE">
            <w:pPr>
              <w:wordWrap w:val="0"/>
              <w:jc w:val="center"/>
              <w:rPr>
                <w:rFonts w:hint="eastAsia" w:ascii="仿宋" w:hAnsi="仿宋" w:eastAsia="仿宋" w:cs="仿宋"/>
                <w:b w:val="0"/>
                <w:bCs w:val="0"/>
                <w:sz w:val="24"/>
                <w:highlight w:val="none"/>
                <w:u w:val="none"/>
              </w:rPr>
            </w:pPr>
            <w:r>
              <w:rPr>
                <w:rFonts w:hint="eastAsia" w:ascii="仿宋" w:hAnsi="仿宋" w:eastAsia="仿宋" w:cs="仿宋"/>
                <w:b w:val="0"/>
                <w:bCs w:val="0"/>
                <w:sz w:val="24"/>
                <w:szCs w:val="24"/>
                <w:u w:val="none"/>
                <w:lang w:eastAsia="zh-CN"/>
              </w:rPr>
              <w:t>傅石林</w:t>
            </w:r>
          </w:p>
        </w:tc>
      </w:tr>
      <w:tr w14:paraId="37D0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65783A60">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供应商地址</w:t>
            </w:r>
          </w:p>
        </w:tc>
        <w:tc>
          <w:tcPr>
            <w:tcW w:w="6807" w:type="dxa"/>
            <w:gridSpan w:val="6"/>
            <w:noWrap w:val="0"/>
            <w:vAlign w:val="center"/>
          </w:tcPr>
          <w:p w14:paraId="43956AC7">
            <w:pPr>
              <w:wordWrap w:val="0"/>
              <w:jc w:val="center"/>
              <w:rPr>
                <w:rFonts w:hint="eastAsia" w:ascii="仿宋" w:hAnsi="仿宋" w:eastAsia="仿宋" w:cs="仿宋"/>
                <w:b w:val="0"/>
                <w:bCs w:val="0"/>
                <w:sz w:val="24"/>
                <w:highlight w:val="none"/>
                <w:u w:val="none"/>
              </w:rPr>
            </w:pPr>
            <w:r>
              <w:rPr>
                <w:rFonts w:hint="eastAsia" w:ascii="仿宋" w:hAnsi="仿宋" w:eastAsia="仿宋" w:cs="仿宋"/>
                <w:b w:val="0"/>
                <w:bCs w:val="0"/>
                <w:color w:val="auto"/>
                <w:sz w:val="24"/>
                <w:szCs w:val="24"/>
                <w:highlight w:val="none"/>
                <w:u w:val="none"/>
                <w:lang w:val="en-US" w:eastAsia="zh-CN"/>
              </w:rPr>
              <w:t>丽水市莲都区古城路151号二楼</w:t>
            </w:r>
          </w:p>
        </w:tc>
      </w:tr>
      <w:tr w14:paraId="7121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7"/>
            <w:noWrap w:val="0"/>
            <w:vAlign w:val="center"/>
          </w:tcPr>
          <w:p w14:paraId="0671F8AF">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中标（成交）标的</w:t>
            </w:r>
          </w:p>
        </w:tc>
      </w:tr>
      <w:tr w14:paraId="1243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19FB0B9C">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产品名称（或服务名称）</w:t>
            </w:r>
          </w:p>
        </w:tc>
        <w:tc>
          <w:tcPr>
            <w:tcW w:w="2967" w:type="dxa"/>
            <w:gridSpan w:val="2"/>
            <w:noWrap w:val="0"/>
            <w:vAlign w:val="center"/>
          </w:tcPr>
          <w:p w14:paraId="5846F8AF">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规格型号（或服务标准）</w:t>
            </w:r>
          </w:p>
        </w:tc>
        <w:tc>
          <w:tcPr>
            <w:tcW w:w="1155" w:type="dxa"/>
            <w:noWrap w:val="0"/>
            <w:vAlign w:val="center"/>
          </w:tcPr>
          <w:p w14:paraId="44A310D8">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数量</w:t>
            </w:r>
          </w:p>
        </w:tc>
        <w:tc>
          <w:tcPr>
            <w:tcW w:w="1400" w:type="dxa"/>
            <w:gridSpan w:val="2"/>
            <w:noWrap w:val="0"/>
            <w:vAlign w:val="center"/>
          </w:tcPr>
          <w:p w14:paraId="6EE044F6">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单价</w:t>
            </w:r>
          </w:p>
          <w:p w14:paraId="75C537B1">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（元）</w:t>
            </w:r>
          </w:p>
        </w:tc>
        <w:tc>
          <w:tcPr>
            <w:tcW w:w="1285" w:type="dxa"/>
            <w:noWrap w:val="0"/>
            <w:vAlign w:val="center"/>
          </w:tcPr>
          <w:p w14:paraId="5D3D2D2B">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合价</w:t>
            </w:r>
          </w:p>
          <w:p w14:paraId="72E37466">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（元）</w:t>
            </w:r>
          </w:p>
        </w:tc>
      </w:tr>
      <w:tr w14:paraId="0C74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253" w:type="dxa"/>
            <w:noWrap w:val="0"/>
            <w:vAlign w:val="center"/>
          </w:tcPr>
          <w:p w14:paraId="6CA966E6">
            <w:pPr>
              <w:wordWrap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缙云县实验中学</w:t>
            </w:r>
          </w:p>
          <w:p w14:paraId="73A8FCF9">
            <w:pPr>
              <w:wordWrap w:val="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2025.10-2028.09校园保洁服务、</w:t>
            </w:r>
          </w:p>
          <w:p w14:paraId="180FF517">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寝室管理</w:t>
            </w:r>
          </w:p>
        </w:tc>
        <w:tc>
          <w:tcPr>
            <w:tcW w:w="2967" w:type="dxa"/>
            <w:gridSpan w:val="2"/>
            <w:noWrap w:val="0"/>
            <w:vAlign w:val="center"/>
          </w:tcPr>
          <w:p w14:paraId="74820628">
            <w:pPr>
              <w:wordWrap w:val="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按竞争性磋商文件要求</w:t>
            </w:r>
          </w:p>
        </w:tc>
        <w:tc>
          <w:tcPr>
            <w:tcW w:w="1155" w:type="dxa"/>
            <w:noWrap w:val="0"/>
            <w:vAlign w:val="center"/>
          </w:tcPr>
          <w:p w14:paraId="3378CFFA">
            <w:pPr>
              <w:wordWrap w:val="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3年</w:t>
            </w:r>
          </w:p>
        </w:tc>
        <w:tc>
          <w:tcPr>
            <w:tcW w:w="1400" w:type="dxa"/>
            <w:gridSpan w:val="2"/>
            <w:noWrap w:val="0"/>
            <w:vAlign w:val="center"/>
          </w:tcPr>
          <w:p w14:paraId="737E5691">
            <w:pPr>
              <w:wordWrap w:val="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516666.66</w:t>
            </w:r>
          </w:p>
        </w:tc>
        <w:tc>
          <w:tcPr>
            <w:tcW w:w="1285" w:type="dxa"/>
            <w:noWrap w:val="0"/>
            <w:vAlign w:val="center"/>
          </w:tcPr>
          <w:p w14:paraId="0A21C671">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1550000</w:t>
            </w:r>
          </w:p>
        </w:tc>
      </w:tr>
      <w:tr w14:paraId="5C47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6085399B">
            <w:pPr>
              <w:wordWrap w:val="0"/>
              <w:jc w:val="center"/>
              <w:rPr>
                <w:rFonts w:hint="eastAsia" w:ascii="仿宋_GB2312" w:hAnsi="仿宋_GB2312" w:eastAsia="仿宋_GB2312" w:cs="仿宋_GB2312"/>
                <w:sz w:val="24"/>
                <w:highlight w:val="none"/>
              </w:rPr>
            </w:pPr>
          </w:p>
        </w:tc>
        <w:tc>
          <w:tcPr>
            <w:tcW w:w="2967" w:type="dxa"/>
            <w:gridSpan w:val="2"/>
            <w:noWrap w:val="0"/>
            <w:vAlign w:val="center"/>
          </w:tcPr>
          <w:p w14:paraId="36FD3FF6">
            <w:pPr>
              <w:wordWrap w:val="0"/>
              <w:jc w:val="center"/>
              <w:rPr>
                <w:rFonts w:hint="eastAsia" w:ascii="仿宋_GB2312" w:hAnsi="仿宋_GB2312" w:eastAsia="仿宋_GB2312" w:cs="仿宋_GB2312"/>
                <w:sz w:val="24"/>
                <w:highlight w:val="none"/>
              </w:rPr>
            </w:pPr>
          </w:p>
        </w:tc>
        <w:tc>
          <w:tcPr>
            <w:tcW w:w="1155" w:type="dxa"/>
            <w:noWrap w:val="0"/>
            <w:vAlign w:val="center"/>
          </w:tcPr>
          <w:p w14:paraId="76AC8068">
            <w:pPr>
              <w:wordWrap w:val="0"/>
              <w:jc w:val="center"/>
              <w:rPr>
                <w:rFonts w:hint="eastAsia" w:ascii="仿宋_GB2312" w:hAnsi="仿宋_GB2312" w:eastAsia="仿宋_GB2312" w:cs="仿宋_GB2312"/>
                <w:sz w:val="24"/>
                <w:highlight w:val="none"/>
              </w:rPr>
            </w:pPr>
          </w:p>
        </w:tc>
        <w:tc>
          <w:tcPr>
            <w:tcW w:w="1400" w:type="dxa"/>
            <w:gridSpan w:val="2"/>
            <w:noWrap w:val="0"/>
            <w:vAlign w:val="center"/>
          </w:tcPr>
          <w:p w14:paraId="506AC4B5">
            <w:pPr>
              <w:wordWrap w:val="0"/>
              <w:jc w:val="center"/>
              <w:rPr>
                <w:rFonts w:hint="eastAsia" w:ascii="仿宋_GB2312" w:hAnsi="仿宋_GB2312" w:eastAsia="仿宋_GB2312" w:cs="仿宋_GB2312"/>
                <w:sz w:val="24"/>
                <w:highlight w:val="none"/>
              </w:rPr>
            </w:pPr>
          </w:p>
        </w:tc>
        <w:tc>
          <w:tcPr>
            <w:tcW w:w="1285" w:type="dxa"/>
            <w:noWrap w:val="0"/>
            <w:vAlign w:val="center"/>
          </w:tcPr>
          <w:p w14:paraId="0BA28DB8">
            <w:pPr>
              <w:wordWrap w:val="0"/>
              <w:jc w:val="center"/>
              <w:rPr>
                <w:rFonts w:hint="eastAsia" w:ascii="仿宋_GB2312" w:hAnsi="仿宋_GB2312" w:eastAsia="仿宋_GB2312" w:cs="仿宋_GB2312"/>
                <w:sz w:val="24"/>
                <w:highlight w:val="none"/>
              </w:rPr>
            </w:pPr>
          </w:p>
        </w:tc>
      </w:tr>
      <w:tr w14:paraId="05F8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0D86CD7B">
            <w:pPr>
              <w:wordWrap w:val="0"/>
              <w:jc w:val="center"/>
              <w:rPr>
                <w:rFonts w:hint="eastAsia" w:ascii="仿宋_GB2312" w:hAnsi="仿宋_GB2312" w:eastAsia="仿宋_GB2312" w:cs="仿宋_GB2312"/>
                <w:sz w:val="24"/>
                <w:highlight w:val="none"/>
              </w:rPr>
            </w:pPr>
          </w:p>
        </w:tc>
        <w:tc>
          <w:tcPr>
            <w:tcW w:w="2967" w:type="dxa"/>
            <w:gridSpan w:val="2"/>
            <w:noWrap w:val="0"/>
            <w:vAlign w:val="center"/>
          </w:tcPr>
          <w:p w14:paraId="54366117">
            <w:pPr>
              <w:wordWrap w:val="0"/>
              <w:jc w:val="center"/>
              <w:rPr>
                <w:rFonts w:hint="eastAsia" w:ascii="仿宋_GB2312" w:hAnsi="仿宋_GB2312" w:eastAsia="仿宋_GB2312" w:cs="仿宋_GB2312"/>
                <w:sz w:val="24"/>
                <w:highlight w:val="none"/>
              </w:rPr>
            </w:pPr>
          </w:p>
        </w:tc>
        <w:tc>
          <w:tcPr>
            <w:tcW w:w="1155" w:type="dxa"/>
            <w:noWrap w:val="0"/>
            <w:vAlign w:val="center"/>
          </w:tcPr>
          <w:p w14:paraId="737D479B">
            <w:pPr>
              <w:wordWrap w:val="0"/>
              <w:jc w:val="center"/>
              <w:rPr>
                <w:rFonts w:hint="eastAsia" w:ascii="仿宋_GB2312" w:hAnsi="仿宋_GB2312" w:eastAsia="仿宋_GB2312" w:cs="仿宋_GB2312"/>
                <w:sz w:val="24"/>
                <w:highlight w:val="none"/>
              </w:rPr>
            </w:pPr>
          </w:p>
        </w:tc>
        <w:tc>
          <w:tcPr>
            <w:tcW w:w="1400" w:type="dxa"/>
            <w:gridSpan w:val="2"/>
            <w:noWrap w:val="0"/>
            <w:vAlign w:val="center"/>
          </w:tcPr>
          <w:p w14:paraId="7DF2BB77">
            <w:pPr>
              <w:wordWrap w:val="0"/>
              <w:jc w:val="center"/>
              <w:rPr>
                <w:rFonts w:hint="eastAsia" w:ascii="仿宋_GB2312" w:hAnsi="仿宋_GB2312" w:eastAsia="仿宋_GB2312" w:cs="仿宋_GB2312"/>
                <w:sz w:val="24"/>
                <w:highlight w:val="none"/>
              </w:rPr>
            </w:pPr>
          </w:p>
        </w:tc>
        <w:tc>
          <w:tcPr>
            <w:tcW w:w="1285" w:type="dxa"/>
            <w:noWrap w:val="0"/>
            <w:vAlign w:val="center"/>
          </w:tcPr>
          <w:p w14:paraId="69459588">
            <w:pPr>
              <w:wordWrap w:val="0"/>
              <w:jc w:val="center"/>
              <w:rPr>
                <w:rFonts w:hint="eastAsia" w:ascii="仿宋_GB2312" w:hAnsi="仿宋_GB2312" w:eastAsia="仿宋_GB2312" w:cs="仿宋_GB2312"/>
                <w:sz w:val="24"/>
                <w:highlight w:val="none"/>
              </w:rPr>
            </w:pPr>
          </w:p>
        </w:tc>
      </w:tr>
      <w:tr w14:paraId="21EC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3" w:type="dxa"/>
            <w:noWrap w:val="0"/>
            <w:vAlign w:val="center"/>
          </w:tcPr>
          <w:p w14:paraId="0A15C608">
            <w:pPr>
              <w:wordWrap w:val="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总报价</w:t>
            </w:r>
          </w:p>
        </w:tc>
        <w:tc>
          <w:tcPr>
            <w:tcW w:w="6807" w:type="dxa"/>
            <w:gridSpan w:val="6"/>
            <w:noWrap w:val="0"/>
            <w:vAlign w:val="center"/>
          </w:tcPr>
          <w:p w14:paraId="13470594">
            <w:pPr>
              <w:wordWrap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大写</w:t>
            </w:r>
            <w:r>
              <w:rPr>
                <w:rFonts w:hint="eastAsia" w:ascii="仿宋_GB2312" w:hAnsi="仿宋_GB2312" w:eastAsia="仿宋_GB2312" w:cs="仿宋_GB2312"/>
                <w:sz w:val="24"/>
                <w:highlight w:val="none"/>
                <w:lang w:val="en-US" w:eastAsia="zh-CN"/>
              </w:rPr>
              <w:t xml:space="preserve"> 壹佰伍拾伍万元整</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val="en-US" w:eastAsia="zh-CN"/>
              </w:rPr>
              <w:t>1550000</w:t>
            </w:r>
            <w:r>
              <w:rPr>
                <w:rFonts w:hint="eastAsia" w:ascii="仿宋_GB2312" w:hAnsi="仿宋_GB2312" w:eastAsia="仿宋_GB2312" w:cs="仿宋_GB2312"/>
                <w:sz w:val="24"/>
                <w:highlight w:val="none"/>
              </w:rPr>
              <w:t>）</w:t>
            </w:r>
          </w:p>
        </w:tc>
      </w:tr>
      <w:tr w14:paraId="309E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060" w:type="dxa"/>
            <w:gridSpan w:val="7"/>
            <w:noWrap w:val="0"/>
            <w:vAlign w:val="top"/>
          </w:tcPr>
          <w:p w14:paraId="2ABC2EBC">
            <w:pPr>
              <w:wordWrap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服务要求：</w:t>
            </w:r>
          </w:p>
          <w:p w14:paraId="7CED9C31">
            <w:pPr>
              <w:wordWrap w:val="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校园保洁服务</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负责校园内运动场、篮球场、体艺馆、行政楼、科技楼、教学楼等场馆内及四周的卫生保洁，包括过道、楼梯及扶手、楼道内门窗、玻璃及设施、卫生间内所有设施等的清洁打扫工作，室外所有垃圾桶日常清理及保洁。</w:t>
            </w:r>
          </w:p>
          <w:p w14:paraId="053443D5">
            <w:pPr>
              <w:bidi w:val="0"/>
              <w:rPr>
                <w:rFonts w:hint="eastAsia" w:eastAsia="仿宋_GB2312"/>
                <w:lang w:eastAsia="zh-CN"/>
              </w:rPr>
            </w:pPr>
            <w:r>
              <w:rPr>
                <w:rFonts w:hint="eastAsia" w:ascii="仿宋_GB2312" w:hAnsi="仿宋_GB2312" w:eastAsia="仿宋_GB2312" w:cs="仿宋_GB2312"/>
                <w:color w:val="auto"/>
                <w:kern w:val="0"/>
                <w:sz w:val="24"/>
                <w:highlight w:val="none"/>
              </w:rPr>
              <w:t>宿舍管理服务</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负责学生寝室的安全工作、卫生工作、公共财物管理、日常维修及报修程序、纪律管理等。</w:t>
            </w:r>
          </w:p>
          <w:p w14:paraId="548159D3">
            <w:pPr>
              <w:wordWrap w:val="0"/>
              <w:rPr>
                <w:rFonts w:hint="eastAsia" w:ascii="仿宋_GB2312" w:hAnsi="仿宋_GB2312" w:eastAsia="仿宋_GB2312" w:cs="仿宋_GB2312"/>
                <w:sz w:val="24"/>
                <w:highlight w:val="none"/>
              </w:rPr>
            </w:pPr>
            <w:r>
              <w:rPr>
                <w:rFonts w:hint="eastAsia" w:ascii="仿宋_GB2312" w:hAnsi="仿宋_GB2312" w:eastAsia="仿宋_GB2312" w:cs="仿宋_GB2312"/>
                <w:color w:val="auto"/>
                <w:kern w:val="0"/>
                <w:sz w:val="24"/>
                <w:highlight w:val="none"/>
              </w:rPr>
              <w:t>后勤服务</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修理学校课桌椅、门窗等，修剪校园绿化植物，分发教师学生教材，完成学校交给的其他工作；学校各区域的管道修理、疏通，电器电路等维修，完成学校交给的其他工作。</w:t>
            </w:r>
          </w:p>
        </w:tc>
      </w:tr>
    </w:tbl>
    <w:p w14:paraId="1A812A85">
      <w:pPr>
        <w:wordWrap w:val="0"/>
        <w:rPr>
          <w:rFonts w:hint="eastAsia" w:ascii="宋体" w:hAnsi="宋体" w:cs="宋体"/>
          <w:spacing w:val="20"/>
          <w:sz w:val="24"/>
          <w:szCs w:val="24"/>
          <w:highlight w:val="none"/>
        </w:rPr>
      </w:pPr>
      <w:r>
        <w:rPr>
          <w:rFonts w:hint="eastAsia" w:ascii="宋体" w:hAnsi="宋体" w:cs="宋体"/>
          <w:spacing w:val="20"/>
          <w:sz w:val="24"/>
          <w:szCs w:val="24"/>
          <w:highlight w:val="none"/>
        </w:rPr>
        <w:t>注：1、供应商应根据其响应情况填写该表，并保证其与响应文件内容的一致性、正确性和真实性；</w:t>
      </w:r>
    </w:p>
    <w:p w14:paraId="6A108E12">
      <w:pPr>
        <w:wordWrap w:val="0"/>
        <w:ind w:firstLine="548" w:firstLineChars="196"/>
        <w:rPr>
          <w:rFonts w:hint="eastAsia" w:ascii="宋体" w:hAnsi="宋体" w:cs="宋体"/>
          <w:spacing w:val="20"/>
          <w:sz w:val="24"/>
          <w:szCs w:val="24"/>
          <w:highlight w:val="none"/>
        </w:rPr>
      </w:pPr>
      <w:r>
        <w:rPr>
          <w:rFonts w:hint="eastAsia" w:ascii="宋体" w:hAnsi="宋体" w:cs="宋体"/>
          <w:spacing w:val="20"/>
          <w:sz w:val="24"/>
          <w:szCs w:val="24"/>
          <w:highlight w:val="none"/>
        </w:rPr>
        <w:t>2、填写该表不代表供应商已具有中标人（成交人）资格。本表只作为中标（成交）结果公告内容的一部分，进行公告使用；</w:t>
      </w:r>
    </w:p>
    <w:p w14:paraId="442B1270">
      <w:pPr>
        <w:wordWrap w:val="0"/>
        <w:ind w:firstLine="548" w:firstLineChars="196"/>
        <w:rPr>
          <w:rFonts w:hint="eastAsia" w:ascii="宋体" w:hAnsi="宋体" w:cs="宋体"/>
          <w:spacing w:val="20"/>
          <w:sz w:val="24"/>
          <w:szCs w:val="24"/>
          <w:highlight w:val="none"/>
        </w:rPr>
      </w:pPr>
      <w:r>
        <w:rPr>
          <w:rFonts w:hint="eastAsia" w:ascii="宋体" w:hAnsi="宋体" w:cs="宋体"/>
          <w:spacing w:val="20"/>
          <w:sz w:val="24"/>
          <w:szCs w:val="24"/>
          <w:highlight w:val="none"/>
        </w:rPr>
        <w:t>3、本表内容涉及较多，供应商可以适当增减表格行数，以保证表格内容的完整；</w:t>
      </w:r>
    </w:p>
    <w:p w14:paraId="73BE7CAF">
      <w:pPr>
        <w:wordWrap w:val="0"/>
        <w:ind w:firstLine="548" w:firstLineChars="196"/>
        <w:rPr>
          <w:rFonts w:hint="eastAsia" w:ascii="宋体" w:hAnsi="宋体" w:cs="宋体"/>
          <w:spacing w:val="20"/>
          <w:sz w:val="24"/>
          <w:szCs w:val="24"/>
          <w:highlight w:val="none"/>
        </w:rPr>
      </w:pPr>
      <w:r>
        <w:rPr>
          <w:rFonts w:hint="eastAsia" w:ascii="宋体" w:hAnsi="宋体" w:cs="宋体"/>
          <w:spacing w:val="20"/>
          <w:sz w:val="24"/>
          <w:szCs w:val="24"/>
          <w:highlight w:val="none"/>
        </w:rPr>
        <w:fldChar w:fldCharType="begin"/>
      </w:r>
      <w:r>
        <w:rPr>
          <w:rFonts w:hint="eastAsia" w:ascii="宋体" w:hAnsi="宋体" w:cs="宋体"/>
          <w:spacing w:val="20"/>
          <w:sz w:val="24"/>
          <w:szCs w:val="24"/>
          <w:highlight w:val="none"/>
        </w:rPr>
        <w:instrText xml:space="preserve"> HYPERLINK "mailto:4、评审结果排名第一的供应商在评审结束后2个工作日内将该表格提交发送至邮箱\“lssggzyjyzx@163.com\”。" </w:instrText>
      </w:r>
      <w:r>
        <w:rPr>
          <w:rFonts w:hint="eastAsia" w:ascii="宋体" w:hAnsi="宋体" w:cs="宋体"/>
          <w:spacing w:val="20"/>
          <w:sz w:val="24"/>
          <w:szCs w:val="24"/>
          <w:highlight w:val="none"/>
        </w:rPr>
        <w:fldChar w:fldCharType="separate"/>
      </w:r>
      <w:r>
        <w:rPr>
          <w:rFonts w:hint="eastAsia" w:ascii="宋体" w:hAnsi="宋体" w:cs="宋体"/>
          <w:spacing w:val="20"/>
          <w:sz w:val="24"/>
          <w:szCs w:val="24"/>
          <w:highlight w:val="none"/>
        </w:rPr>
        <w:t>4、评审结果排名第一的供应商在评审结束后1个工作日内将该表格提交发送至邮箱“lsjyxggzyjyzx@163.com”。</w:t>
      </w:r>
      <w:r>
        <w:rPr>
          <w:rFonts w:hint="eastAsia" w:ascii="宋体" w:hAnsi="宋体" w:cs="宋体"/>
          <w:spacing w:val="20"/>
          <w:sz w:val="24"/>
          <w:szCs w:val="24"/>
          <w:highlight w:val="none"/>
        </w:rPr>
        <w:fldChar w:fldCharType="end"/>
      </w:r>
    </w:p>
    <w:p w14:paraId="3564B40A">
      <w:pPr>
        <w:wordWrap w:val="0"/>
        <w:ind w:firstLine="548" w:firstLineChars="196"/>
        <w:rPr>
          <w:rFonts w:hint="eastAsia" w:ascii="宋体" w:hAnsi="宋体" w:cs="宋体"/>
          <w:szCs w:val="21"/>
          <w:highlight w:val="none"/>
        </w:rPr>
      </w:pPr>
      <w:r>
        <w:rPr>
          <w:rFonts w:hint="eastAsia" w:ascii="宋体" w:hAnsi="宋体" w:cs="宋体"/>
          <w:spacing w:val="20"/>
          <w:sz w:val="24"/>
          <w:szCs w:val="24"/>
          <w:highlight w:val="none"/>
        </w:rPr>
        <w:t>5、中标结果公告内容如涉及供应商的商业秘密等法律法规规定可以不予公告的情形，供应商应另附书面说明，如未事前书面说明造成的后果由供应商自行承担。</w:t>
      </w:r>
    </w:p>
    <w:p w14:paraId="2EB048AE"/>
    <w:sectPr>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B09D6"/>
    <w:rsid w:val="4DC13B02"/>
    <w:rsid w:val="5A9B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napToGrid w:val="0"/>
      <w:spacing w:line="400" w:lineRule="exact"/>
      <w:ind w:firstLine="480"/>
    </w:pPr>
    <w:rPr>
      <w:rFonts w:eastAsia="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674</Words>
  <Characters>747</Characters>
  <Lines>0</Lines>
  <Paragraphs>0</Paragraphs>
  <TotalTime>10</TotalTime>
  <ScaleCrop>false</ScaleCrop>
  <LinksUpToDate>false</LinksUpToDate>
  <CharactersWithSpaces>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2025-07-11T09:28:00Z</dcterms:created>
  <dc:creator>——、H、、</dc:creator>
  <cp:lastModifiedBy>——、H、、</cp:lastModifiedBy>
  <dcterms:modified xsi:type="dcterms:W3CDTF">2025-07-11T11:12:51Z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BD4660D674C54481B09F38DE385996FC_11</vt:lpwstr>
  </property>
  <property fmtid="{D5CDD505-2E9C-101B-9397-08002B2CF9AE}" pid="4" name="KSOTemplateDocerSaveRecord">
    <vt:lpwstr>eyJoZGlkIjoiMGRjN2Y5YzUwNjU4MmM4MjFlYjI5MWVmNWVjMDA3MjciLCJ1c2VySWQiOiIzMTU4Mjg0MCJ9</vt:lpwstr>
  </property>
</Properties>
</file>