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9"/>
        <w:jc w:val="cente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Theme="majorEastAsia" w:hAnsiTheme="majorEastAsia" w:eastAsiaTheme="majorEastAsia"/>
          <w:b/>
          <w:kern w:val="0"/>
          <w:sz w:val="84"/>
          <w:szCs w:val="84"/>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eastAsia="宋体" w:asciiTheme="majorEastAsia" w:hAnsiTheme="majorEastAsia"/>
          <w:b/>
          <w:kern w:val="0"/>
          <w:sz w:val="72"/>
          <w:szCs w:val="72"/>
          <w:lang w:val="en-US" w:eastAsia="zh-CN"/>
        </w:rPr>
      </w:pPr>
      <w:r>
        <w:rPr>
          <w:rFonts w:hint="eastAsia" w:hAnsi="宋体"/>
          <w:b/>
          <w:sz w:val="30"/>
          <w:szCs w:val="30"/>
        </w:rPr>
        <w:t xml:space="preserve">       </w:t>
      </w:r>
      <w:r>
        <w:rPr>
          <w:rFonts w:hAnsi="宋体"/>
          <w:b/>
          <w:sz w:val="30"/>
          <w:szCs w:val="30"/>
        </w:rPr>
        <w:drawing>
          <wp:inline distT="0" distB="0" distL="114300" distR="114300">
            <wp:extent cx="1847850" cy="1609725"/>
            <wp:effectExtent l="0" t="0" r="0" b="9525"/>
            <wp:docPr id="1" name="图片 1" descr="1cdcd67e03bef28ab26cd632cd46d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cdcd67e03bef28ab26cd632cd46d74"/>
                    <pic:cNvPicPr>
                      <a:picLocks noChangeAspect="1"/>
                    </pic:cNvPicPr>
                  </pic:nvPicPr>
                  <pic:blipFill>
                    <a:blip r:embed="rId8"/>
                    <a:stretch>
                      <a:fillRect/>
                    </a:stretch>
                  </pic:blipFill>
                  <pic:spPr>
                    <a:xfrm>
                      <a:off x="0" y="0"/>
                      <a:ext cx="1847850" cy="1609725"/>
                    </a:xfrm>
                    <a:prstGeom prst="rect">
                      <a:avLst/>
                    </a:prstGeom>
                    <a:noFill/>
                    <a:ln>
                      <a:noFill/>
                    </a:ln>
                  </pic:spPr>
                </pic:pic>
              </a:graphicData>
            </a:graphic>
          </wp:inline>
        </w:drawing>
      </w:r>
      <w:r>
        <w:rPr>
          <w:rFonts w:hint="eastAsia" w:hAnsi="宋体"/>
          <w:b/>
          <w:sz w:val="30"/>
          <w:szCs w:val="30"/>
          <w:lang w:val="en-US" w:eastAsia="zh-CN"/>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Theme="majorEastAsia" w:hAnsiTheme="majorEastAsia" w:eastAsiaTheme="majorEastAsia"/>
          <w:b/>
          <w:kern w:val="0"/>
          <w:sz w:val="72"/>
          <w:szCs w:val="72"/>
        </w:rPr>
      </w:pPr>
      <w:r>
        <w:rPr>
          <w:rFonts w:hint="eastAsia" w:asciiTheme="majorEastAsia" w:hAnsiTheme="majorEastAsia" w:eastAsiaTheme="majorEastAsia"/>
          <w:b/>
          <w:kern w:val="0"/>
          <w:sz w:val="72"/>
          <w:szCs w:val="72"/>
        </w:rPr>
        <w:t xml:space="preserve">   政府采购招标文件</w:t>
      </w:r>
    </w:p>
    <w:p>
      <w:pPr>
        <w:spacing w:line="360" w:lineRule="auto"/>
        <w:jc w:val="center"/>
        <w:rPr>
          <w:rFonts w:ascii="宋体"/>
          <w:kern w:val="0"/>
          <w:sz w:val="28"/>
          <w:szCs w:val="28"/>
        </w:rPr>
      </w:pPr>
      <w:r>
        <w:rPr>
          <w:rFonts w:hint="eastAsia" w:ascii="宋体"/>
          <w:b/>
          <w:bCs/>
          <w:kern w:val="0"/>
          <w:sz w:val="32"/>
          <w:szCs w:val="32"/>
        </w:rPr>
        <w:t>（电子招投标方式）</w:t>
      </w:r>
    </w:p>
    <w:p>
      <w:pPr>
        <w:pStyle w:val="9"/>
        <w:ind w:firstLine="2520" w:firstLineChars="900"/>
      </w:pPr>
      <w:r>
        <w:rPr>
          <w:rFonts w:hint="eastAsia" w:ascii="宋体"/>
          <w:kern w:val="0"/>
          <w:sz w:val="28"/>
          <w:szCs w:val="28"/>
        </w:rPr>
        <w:t>项目编号：</w:t>
      </w:r>
      <w:r>
        <w:rPr>
          <w:rFonts w:hint="eastAsia" w:ascii="宋体"/>
          <w:kern w:val="0"/>
          <w:sz w:val="28"/>
          <w:szCs w:val="28"/>
          <w:u w:val="single"/>
        </w:rPr>
        <w:t>ZJZJ-2023-031(1)</w:t>
      </w:r>
    </w:p>
    <w:p>
      <w:pPr>
        <w:spacing w:line="360" w:lineRule="auto"/>
        <w:ind w:left="1405" w:hanging="1405" w:hangingChars="500"/>
        <w:jc w:val="center"/>
        <w:rPr>
          <w:rFonts w:ascii="宋体"/>
          <w:b/>
          <w:bCs/>
          <w:kern w:val="0"/>
          <w:sz w:val="28"/>
          <w:szCs w:val="28"/>
        </w:rPr>
      </w:pPr>
      <w:r>
        <w:rPr>
          <w:rFonts w:hint="eastAsia" w:ascii="宋体"/>
          <w:b/>
          <w:bCs/>
          <w:kern w:val="0"/>
          <w:sz w:val="28"/>
          <w:szCs w:val="28"/>
        </w:rPr>
        <w:t xml:space="preserve"> </w:t>
      </w:r>
    </w:p>
    <w:p>
      <w:pPr>
        <w:spacing w:line="360" w:lineRule="auto"/>
        <w:ind w:left="1405" w:hanging="1405" w:hangingChars="500"/>
        <w:jc w:val="center"/>
        <w:rPr>
          <w:rFonts w:ascii="宋体"/>
          <w:b/>
          <w:bCs/>
          <w:kern w:val="0"/>
          <w:sz w:val="28"/>
          <w:szCs w:val="28"/>
        </w:rPr>
      </w:pPr>
    </w:p>
    <w:p>
      <w:pPr>
        <w:spacing w:line="360" w:lineRule="auto"/>
        <w:ind w:left="647" w:hanging="647" w:hangingChars="230"/>
        <w:jc w:val="center"/>
        <w:rPr>
          <w:rFonts w:ascii="宋体"/>
          <w:kern w:val="0"/>
          <w:sz w:val="28"/>
          <w:szCs w:val="28"/>
          <w:u w:val="single"/>
        </w:rPr>
      </w:pPr>
      <w:r>
        <w:rPr>
          <w:rFonts w:hint="eastAsia" w:ascii="宋体"/>
          <w:b/>
          <w:bCs/>
          <w:kern w:val="0"/>
          <w:sz w:val="28"/>
          <w:szCs w:val="28"/>
        </w:rPr>
        <w:t>采购项目：</w:t>
      </w:r>
      <w:r>
        <w:rPr>
          <w:rFonts w:hint="eastAsia" w:ascii="宋体"/>
          <w:kern w:val="0"/>
          <w:sz w:val="28"/>
          <w:szCs w:val="28"/>
          <w:u w:val="single"/>
        </w:rPr>
        <w:t xml:space="preserve"> 洪家街道民生工程应急防汛设备采购项目(重新招标)</w:t>
      </w:r>
    </w:p>
    <w:p>
      <w:pPr>
        <w:spacing w:line="360" w:lineRule="auto"/>
        <w:ind w:firstLine="281" w:firstLineChars="100"/>
        <w:rPr>
          <w:rFonts w:ascii="宋体"/>
          <w:kern w:val="0"/>
          <w:sz w:val="28"/>
          <w:szCs w:val="28"/>
          <w:u w:val="single"/>
        </w:rPr>
      </w:pPr>
      <w:r>
        <w:rPr>
          <w:rFonts w:hint="eastAsia" w:ascii="宋体"/>
          <w:b/>
          <w:bCs/>
          <w:kern w:val="0"/>
          <w:sz w:val="28"/>
          <w:szCs w:val="28"/>
        </w:rPr>
        <w:t>采 购 人：</w:t>
      </w:r>
      <w:r>
        <w:rPr>
          <w:rFonts w:hint="eastAsia" w:ascii="宋体"/>
          <w:kern w:val="0"/>
          <w:sz w:val="28"/>
          <w:szCs w:val="28"/>
          <w:u w:val="single"/>
        </w:rPr>
        <w:t xml:space="preserve"> 台州市椒江区人民政府洪家街道办事处</w:t>
      </w:r>
    </w:p>
    <w:p>
      <w:pPr>
        <w:spacing w:line="360" w:lineRule="auto"/>
        <w:ind w:firstLine="281" w:firstLineChars="100"/>
        <w:rPr>
          <w:rFonts w:ascii="宋体"/>
          <w:kern w:val="0"/>
          <w:sz w:val="28"/>
          <w:szCs w:val="28"/>
        </w:rPr>
      </w:pPr>
      <w:r>
        <w:rPr>
          <w:rFonts w:hint="eastAsia" w:ascii="宋体"/>
          <w:b/>
          <w:bCs/>
          <w:kern w:val="0"/>
          <w:sz w:val="28"/>
          <w:szCs w:val="28"/>
        </w:rPr>
        <w:t>采购代理机构：</w:t>
      </w:r>
      <w:r>
        <w:rPr>
          <w:rFonts w:hint="eastAsia" w:ascii="宋体"/>
          <w:kern w:val="0"/>
          <w:sz w:val="28"/>
          <w:szCs w:val="28"/>
          <w:u w:val="single"/>
        </w:rPr>
        <w:t>浙江中竞管理服务有限公司</w:t>
      </w:r>
    </w:p>
    <w:p>
      <w:pPr>
        <w:pStyle w:val="9"/>
        <w:jc w:val="center"/>
      </w:pPr>
    </w:p>
    <w:p>
      <w:pPr>
        <w:pStyle w:val="10"/>
        <w:ind w:firstLine="210"/>
        <w:jc w:val="center"/>
      </w:pPr>
    </w:p>
    <w:p>
      <w:pPr>
        <w:jc w:val="center"/>
      </w:pPr>
    </w:p>
    <w:p>
      <w:pPr>
        <w:pStyle w:val="9"/>
        <w:jc w:val="center"/>
        <w:rPr>
          <w:rFonts w:ascii="宋体"/>
          <w:kern w:val="0"/>
          <w:sz w:val="28"/>
          <w:szCs w:val="28"/>
        </w:rPr>
      </w:pPr>
    </w:p>
    <w:p>
      <w:pPr>
        <w:pStyle w:val="9"/>
        <w:jc w:val="center"/>
        <w:rPr>
          <w:rFonts w:ascii="宋体"/>
          <w:kern w:val="0"/>
          <w:szCs w:val="21"/>
        </w:rPr>
      </w:pPr>
      <w:r>
        <w:rPr>
          <w:rFonts w:hint="eastAsia" w:ascii="宋体"/>
          <w:kern w:val="0"/>
          <w:sz w:val="28"/>
          <w:szCs w:val="28"/>
        </w:rPr>
        <w:t>二○二</w:t>
      </w:r>
      <w:r>
        <w:rPr>
          <w:rFonts w:hint="eastAsia" w:ascii="宋体"/>
          <w:kern w:val="0"/>
          <w:sz w:val="28"/>
          <w:szCs w:val="28"/>
          <w:lang w:val="en-US" w:eastAsia="zh-CN"/>
        </w:rPr>
        <w:t>四</w:t>
      </w:r>
      <w:r>
        <w:rPr>
          <w:rFonts w:hint="eastAsia" w:ascii="宋体"/>
          <w:kern w:val="0"/>
          <w:sz w:val="28"/>
          <w:szCs w:val="28"/>
        </w:rPr>
        <w:t>年</w:t>
      </w:r>
      <w:r>
        <w:rPr>
          <w:rFonts w:hint="eastAsia" w:ascii="宋体"/>
          <w:kern w:val="0"/>
          <w:sz w:val="28"/>
          <w:szCs w:val="28"/>
          <w:lang w:val="en-US" w:eastAsia="zh-CN"/>
        </w:rPr>
        <w:t>一</w:t>
      </w:r>
      <w:r>
        <w:rPr>
          <w:rFonts w:hint="eastAsia" w:ascii="宋体"/>
          <w:kern w:val="0"/>
          <w:sz w:val="28"/>
          <w:szCs w:val="28"/>
        </w:rPr>
        <w:t>月</w:t>
      </w:r>
    </w:p>
    <w:p>
      <w:pPr>
        <w:pStyle w:val="9"/>
        <w:jc w:val="center"/>
        <w:rPr>
          <w:rFonts w:ascii="宋体"/>
          <w:kern w:val="0"/>
          <w:szCs w:val="21"/>
        </w:rPr>
      </w:pPr>
    </w:p>
    <w:p>
      <w:pPr>
        <w:pStyle w:val="9"/>
      </w:pPr>
      <w:bookmarkStart w:id="20" w:name="_GoBack"/>
      <w:bookmarkEnd w:id="20"/>
    </w:p>
    <w:p>
      <w:pPr>
        <w:spacing w:line="360" w:lineRule="auto"/>
        <w:jc w:val="center"/>
        <w:rPr>
          <w:rFonts w:ascii="宋体" w:hAnsi="宋体" w:cs="Arial"/>
          <w:b/>
          <w:bCs/>
          <w:sz w:val="36"/>
          <w:szCs w:val="36"/>
        </w:rPr>
      </w:pPr>
    </w:p>
    <w:p>
      <w:pPr>
        <w:spacing w:line="360" w:lineRule="auto"/>
        <w:jc w:val="center"/>
        <w:rPr>
          <w:rFonts w:ascii="宋体" w:cs="Arial"/>
          <w:b/>
          <w:bCs/>
          <w:sz w:val="36"/>
          <w:szCs w:val="36"/>
        </w:rPr>
      </w:pPr>
      <w:r>
        <w:rPr>
          <w:rFonts w:hint="eastAsia" w:ascii="宋体" w:hAnsi="宋体" w:cs="Arial"/>
          <w:b/>
          <w:bCs/>
          <w:sz w:val="36"/>
          <w:szCs w:val="36"/>
        </w:rPr>
        <w:t>目  录</w:t>
      </w:r>
    </w:p>
    <w:p>
      <w:pPr>
        <w:spacing w:line="360" w:lineRule="auto"/>
        <w:rPr>
          <w:rFonts w:ascii="新宋体" w:hAnsi="新宋体" w:eastAsia="新宋体"/>
          <w:sz w:val="28"/>
          <w:szCs w:val="28"/>
        </w:rPr>
      </w:pPr>
    </w:p>
    <w:p>
      <w:pPr>
        <w:numPr>
          <w:ilvl w:val="0"/>
          <w:numId w:val="2"/>
        </w:numPr>
        <w:spacing w:line="360" w:lineRule="auto"/>
        <w:rPr>
          <w:rFonts w:ascii="宋体"/>
          <w:b/>
          <w:sz w:val="28"/>
          <w:szCs w:val="28"/>
        </w:rPr>
      </w:pPr>
      <w:r>
        <w:rPr>
          <w:rFonts w:hint="eastAsia" w:ascii="宋体" w:hAnsi="宋体"/>
          <w:b/>
          <w:sz w:val="28"/>
          <w:szCs w:val="28"/>
        </w:rPr>
        <w:t>公开招标采购公告</w:t>
      </w:r>
    </w:p>
    <w:p>
      <w:pPr>
        <w:numPr>
          <w:ilvl w:val="0"/>
          <w:numId w:val="2"/>
        </w:numPr>
        <w:spacing w:line="360" w:lineRule="auto"/>
        <w:rPr>
          <w:rFonts w:ascii="宋体"/>
          <w:b/>
          <w:sz w:val="28"/>
          <w:szCs w:val="28"/>
        </w:rPr>
      </w:pPr>
      <w:r>
        <w:rPr>
          <w:rFonts w:hint="eastAsia" w:ascii="宋体" w:hAnsi="宋体"/>
          <w:b/>
          <w:sz w:val="28"/>
          <w:szCs w:val="28"/>
        </w:rPr>
        <w:t>投标人须知</w:t>
      </w:r>
    </w:p>
    <w:p>
      <w:pPr>
        <w:numPr>
          <w:ilvl w:val="0"/>
          <w:numId w:val="2"/>
        </w:numPr>
        <w:spacing w:line="360" w:lineRule="auto"/>
        <w:rPr>
          <w:rFonts w:ascii="宋体"/>
          <w:b/>
          <w:sz w:val="28"/>
          <w:szCs w:val="28"/>
        </w:rPr>
      </w:pPr>
      <w:r>
        <w:rPr>
          <w:rFonts w:hint="eastAsia" w:ascii="宋体" w:hAnsi="宋体"/>
          <w:b/>
          <w:sz w:val="28"/>
          <w:szCs w:val="28"/>
        </w:rPr>
        <w:t>评标办法及评分标准</w:t>
      </w:r>
    </w:p>
    <w:p>
      <w:pPr>
        <w:numPr>
          <w:ilvl w:val="0"/>
          <w:numId w:val="2"/>
        </w:numPr>
        <w:spacing w:line="360" w:lineRule="auto"/>
        <w:rPr>
          <w:rFonts w:ascii="宋体"/>
          <w:b/>
          <w:sz w:val="28"/>
          <w:szCs w:val="28"/>
        </w:rPr>
      </w:pPr>
      <w:r>
        <w:rPr>
          <w:rFonts w:hint="eastAsia" w:ascii="宋体" w:hAnsi="宋体"/>
          <w:b/>
          <w:sz w:val="28"/>
          <w:szCs w:val="28"/>
        </w:rPr>
        <w:t>公开招标需求</w:t>
      </w:r>
    </w:p>
    <w:p>
      <w:pPr>
        <w:numPr>
          <w:ilvl w:val="0"/>
          <w:numId w:val="2"/>
        </w:numPr>
        <w:spacing w:line="360" w:lineRule="auto"/>
        <w:rPr>
          <w:rFonts w:ascii="宋体"/>
          <w:b/>
          <w:sz w:val="28"/>
          <w:szCs w:val="28"/>
        </w:rPr>
      </w:pPr>
      <w:r>
        <w:rPr>
          <w:rFonts w:hint="eastAsia" w:ascii="宋体" w:hAnsi="宋体"/>
          <w:b/>
          <w:sz w:val="28"/>
          <w:szCs w:val="28"/>
        </w:rPr>
        <w:t>政府采购合同主要条款</w:t>
      </w:r>
    </w:p>
    <w:p>
      <w:pPr>
        <w:numPr>
          <w:ilvl w:val="0"/>
          <w:numId w:val="2"/>
        </w:numPr>
        <w:spacing w:line="360" w:lineRule="auto"/>
        <w:rPr>
          <w:rFonts w:ascii="宋体"/>
          <w:b/>
          <w:sz w:val="28"/>
          <w:szCs w:val="28"/>
        </w:rPr>
      </w:pPr>
      <w:r>
        <w:rPr>
          <w:rFonts w:hint="eastAsia" w:ascii="宋体" w:hAnsi="宋体"/>
          <w:b/>
          <w:sz w:val="28"/>
          <w:szCs w:val="28"/>
        </w:rPr>
        <w:t>投标文件格式附件</w:t>
      </w: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tabs>
          <w:tab w:val="left" w:pos="180"/>
          <w:tab w:val="left" w:pos="360"/>
          <w:tab w:val="left" w:pos="540"/>
          <w:tab w:val="left" w:pos="8280"/>
        </w:tabs>
        <w:autoSpaceDE w:val="0"/>
        <w:autoSpaceDN w:val="0"/>
        <w:adjustRightInd w:val="0"/>
        <w:spacing w:line="360" w:lineRule="auto"/>
        <w:ind w:right="23"/>
        <w:outlineLvl w:val="0"/>
        <w:rPr>
          <w:rFonts w:ascii="宋体" w:hAnsi="宋体"/>
          <w:b/>
          <w:kern w:val="0"/>
          <w:sz w:val="36"/>
          <w:szCs w:val="36"/>
        </w:rPr>
      </w:pPr>
    </w:p>
    <w:p>
      <w:pPr>
        <w:tabs>
          <w:tab w:val="left" w:pos="180"/>
          <w:tab w:val="left" w:pos="360"/>
          <w:tab w:val="left" w:pos="540"/>
          <w:tab w:val="left" w:pos="8280"/>
        </w:tabs>
        <w:autoSpaceDE w:val="0"/>
        <w:autoSpaceDN w:val="0"/>
        <w:adjustRightInd w:val="0"/>
        <w:spacing w:line="360" w:lineRule="auto"/>
        <w:ind w:right="23"/>
        <w:jc w:val="center"/>
        <w:outlineLvl w:val="0"/>
      </w:pPr>
      <w:r>
        <w:rPr>
          <w:rFonts w:hint="eastAsia" w:ascii="宋体" w:hAnsi="宋体"/>
          <w:b/>
          <w:kern w:val="0"/>
          <w:sz w:val="36"/>
          <w:szCs w:val="36"/>
        </w:rPr>
        <w:t>第一章公开</w:t>
      </w:r>
      <w:r>
        <w:rPr>
          <w:rFonts w:hint="eastAsia" w:ascii="宋体" w:hAnsi="宋体"/>
          <w:b/>
          <w:sz w:val="36"/>
          <w:szCs w:val="36"/>
        </w:rPr>
        <w:t>招标采购公告</w:t>
      </w:r>
    </w:p>
    <w:p>
      <w:pPr>
        <w:spacing w:line="360" w:lineRule="auto"/>
        <w:ind w:firstLine="420" w:firstLineChars="200"/>
        <w:rPr>
          <w:rFonts w:asciiTheme="minorEastAsia" w:hAnsiTheme="minorEastAsia" w:eastAsiaTheme="minorEastAsia" w:cstheme="minorEastAsia"/>
          <w:szCs w:val="21"/>
        </w:rPr>
      </w:pPr>
      <w:r>
        <w:rPr>
          <w:rFonts w:hint="eastAsia" w:ascii="宋体" w:hAnsi="宋体" w:cs="宋体"/>
          <w:szCs w:val="21"/>
        </w:rPr>
        <w:t xml:space="preserve">根据《中华人民共和国政府采购法》、《中华人民共和国政府采购法实施条例》和财政部令第87号《政府采购货物和服务招标投标管理办法》等有关规定, </w:t>
      </w:r>
      <w:r>
        <w:rPr>
          <w:rFonts w:hint="eastAsia" w:asciiTheme="minorEastAsia" w:hAnsiTheme="minorEastAsia" w:eastAsiaTheme="minorEastAsia" w:cstheme="minorEastAsia"/>
          <w:szCs w:val="21"/>
        </w:rPr>
        <w:t>受</w:t>
      </w:r>
      <w:r>
        <w:rPr>
          <w:rFonts w:hint="eastAsia" w:asciiTheme="minorEastAsia" w:hAnsiTheme="minorEastAsia" w:eastAsiaTheme="minorEastAsia" w:cstheme="minorEastAsia"/>
          <w:szCs w:val="21"/>
          <w:u w:val="single"/>
        </w:rPr>
        <w:t>台州市椒江区人民政府洪家街道办事处</w:t>
      </w:r>
      <w:r>
        <w:rPr>
          <w:rFonts w:hint="eastAsia" w:asciiTheme="minorEastAsia" w:hAnsiTheme="minorEastAsia" w:eastAsiaTheme="minorEastAsia" w:cstheme="minorEastAsia"/>
          <w:szCs w:val="21"/>
        </w:rPr>
        <w:t>委托，现就其</w:t>
      </w:r>
      <w:r>
        <w:rPr>
          <w:rFonts w:hint="eastAsia" w:asciiTheme="minorEastAsia" w:hAnsiTheme="minorEastAsia" w:eastAsiaTheme="minorEastAsia" w:cstheme="minorEastAsia"/>
          <w:szCs w:val="21"/>
          <w:u w:val="single"/>
        </w:rPr>
        <w:t>洪家街道民生工程应急防汛设备采购项目(重新招标)</w:t>
      </w:r>
      <w:r>
        <w:rPr>
          <w:rFonts w:hint="eastAsia" w:asciiTheme="minorEastAsia" w:hAnsiTheme="minorEastAsia" w:eastAsiaTheme="minorEastAsia" w:cstheme="minorEastAsia"/>
          <w:szCs w:val="21"/>
        </w:rPr>
        <w:t>进行公开招标采购，欢迎合格供应商前来投标。</w:t>
      </w:r>
    </w:p>
    <w:p>
      <w:pPr>
        <w:numPr>
          <w:ilvl w:val="0"/>
          <w:numId w:val="3"/>
        </w:num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项目编号：ZJZJ-2023-031(1)</w:t>
      </w:r>
    </w:p>
    <w:p>
      <w:pPr>
        <w:numPr>
          <w:ilvl w:val="0"/>
          <w:numId w:val="3"/>
        </w:num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招标项目概况：</w:t>
      </w:r>
    </w:p>
    <w:tbl>
      <w:tblPr>
        <w:tblStyle w:val="29"/>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122"/>
        <w:gridCol w:w="1515"/>
        <w:gridCol w:w="804"/>
        <w:gridCol w:w="804"/>
        <w:gridCol w:w="1474"/>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58" w:type="dxa"/>
            <w:vAlign w:val="center"/>
          </w:tcPr>
          <w:p>
            <w:pPr>
              <w:tabs>
                <w:tab w:val="left" w:pos="8280"/>
              </w:tabs>
              <w:autoSpaceDE w:val="0"/>
              <w:autoSpaceDN w:val="0"/>
              <w:adjustRightInd w:val="0"/>
              <w:ind w:right="25"/>
              <w:jc w:val="center"/>
              <w:rPr>
                <w:rFonts w:ascii="宋体" w:hAnsi="宋体"/>
                <w:b/>
                <w:szCs w:val="21"/>
              </w:rPr>
            </w:pPr>
            <w:bookmarkStart w:id="0" w:name="EBc3c9f0bc06b6413d849824fe98ba274c"/>
            <w:r>
              <w:rPr>
                <w:rFonts w:hint="eastAsia" w:ascii="宋体" w:hAnsi="宋体"/>
                <w:b/>
                <w:szCs w:val="21"/>
              </w:rPr>
              <w:t>标段</w:t>
            </w:r>
          </w:p>
        </w:tc>
        <w:tc>
          <w:tcPr>
            <w:tcW w:w="2122" w:type="dxa"/>
            <w:vAlign w:val="center"/>
          </w:tcPr>
          <w:p>
            <w:pPr>
              <w:tabs>
                <w:tab w:val="left" w:pos="8280"/>
              </w:tabs>
              <w:autoSpaceDE w:val="0"/>
              <w:autoSpaceDN w:val="0"/>
              <w:adjustRightInd w:val="0"/>
              <w:ind w:right="25"/>
              <w:jc w:val="center"/>
              <w:rPr>
                <w:rFonts w:ascii="宋体" w:hAnsi="宋体"/>
                <w:b/>
                <w:szCs w:val="21"/>
              </w:rPr>
            </w:pPr>
            <w:r>
              <w:rPr>
                <w:rFonts w:hint="eastAsia" w:ascii="宋体" w:hAnsi="宋体"/>
                <w:b/>
                <w:szCs w:val="21"/>
              </w:rPr>
              <w:t>项目名称</w:t>
            </w:r>
          </w:p>
        </w:tc>
        <w:tc>
          <w:tcPr>
            <w:tcW w:w="1515" w:type="dxa"/>
            <w:vAlign w:val="center"/>
          </w:tcPr>
          <w:p>
            <w:pPr>
              <w:tabs>
                <w:tab w:val="left" w:pos="8280"/>
              </w:tabs>
              <w:autoSpaceDE w:val="0"/>
              <w:autoSpaceDN w:val="0"/>
              <w:adjustRightInd w:val="0"/>
              <w:ind w:right="25"/>
              <w:jc w:val="center"/>
              <w:rPr>
                <w:rFonts w:ascii="宋体" w:hAnsi="宋体"/>
                <w:b/>
                <w:szCs w:val="21"/>
              </w:rPr>
            </w:pPr>
            <w:r>
              <w:rPr>
                <w:rFonts w:hint="eastAsia" w:ascii="宋体" w:hAnsi="宋体" w:cs="宋体"/>
                <w:b/>
                <w:kern w:val="0"/>
                <w:szCs w:val="21"/>
              </w:rPr>
              <w:t>简要技术要求</w:t>
            </w:r>
          </w:p>
        </w:tc>
        <w:tc>
          <w:tcPr>
            <w:tcW w:w="804" w:type="dxa"/>
            <w:vAlign w:val="center"/>
          </w:tcPr>
          <w:p>
            <w:pPr>
              <w:tabs>
                <w:tab w:val="left" w:pos="8280"/>
              </w:tabs>
              <w:autoSpaceDE w:val="0"/>
              <w:autoSpaceDN w:val="0"/>
              <w:adjustRightInd w:val="0"/>
              <w:ind w:right="25"/>
              <w:jc w:val="center"/>
              <w:rPr>
                <w:rFonts w:ascii="宋体" w:hAnsi="宋体"/>
                <w:b/>
                <w:szCs w:val="21"/>
              </w:rPr>
            </w:pPr>
            <w:r>
              <w:rPr>
                <w:rFonts w:hint="eastAsia" w:ascii="宋体" w:hAnsi="宋体"/>
                <w:b/>
                <w:szCs w:val="21"/>
              </w:rPr>
              <w:t>数量</w:t>
            </w:r>
          </w:p>
        </w:tc>
        <w:tc>
          <w:tcPr>
            <w:tcW w:w="804" w:type="dxa"/>
            <w:vAlign w:val="center"/>
          </w:tcPr>
          <w:p>
            <w:pPr>
              <w:tabs>
                <w:tab w:val="left" w:pos="8280"/>
              </w:tabs>
              <w:autoSpaceDE w:val="0"/>
              <w:autoSpaceDN w:val="0"/>
              <w:adjustRightInd w:val="0"/>
              <w:ind w:right="25"/>
              <w:jc w:val="center"/>
              <w:rPr>
                <w:rFonts w:ascii="宋体" w:hAnsi="宋体"/>
                <w:b/>
                <w:szCs w:val="21"/>
              </w:rPr>
            </w:pPr>
            <w:r>
              <w:rPr>
                <w:rFonts w:hint="eastAsia" w:ascii="宋体" w:hAnsi="宋体"/>
                <w:b/>
                <w:szCs w:val="21"/>
              </w:rPr>
              <w:t>单位</w:t>
            </w:r>
          </w:p>
        </w:tc>
        <w:tc>
          <w:tcPr>
            <w:tcW w:w="1474" w:type="dxa"/>
            <w:vAlign w:val="center"/>
          </w:tcPr>
          <w:p>
            <w:pPr>
              <w:tabs>
                <w:tab w:val="left" w:pos="8280"/>
              </w:tabs>
              <w:autoSpaceDE w:val="0"/>
              <w:autoSpaceDN w:val="0"/>
              <w:adjustRightInd w:val="0"/>
              <w:ind w:right="25"/>
              <w:jc w:val="center"/>
              <w:rPr>
                <w:rFonts w:ascii="宋体" w:hAnsi="宋体"/>
                <w:b/>
                <w:szCs w:val="21"/>
              </w:rPr>
            </w:pPr>
            <w:r>
              <w:rPr>
                <w:rFonts w:hint="eastAsia" w:ascii="宋体" w:hAnsi="宋体"/>
                <w:b/>
                <w:szCs w:val="21"/>
              </w:rPr>
              <w:t>预算</w:t>
            </w:r>
          </w:p>
          <w:p>
            <w:pPr>
              <w:tabs>
                <w:tab w:val="left" w:pos="8280"/>
              </w:tabs>
              <w:autoSpaceDE w:val="0"/>
              <w:autoSpaceDN w:val="0"/>
              <w:adjustRightInd w:val="0"/>
              <w:ind w:right="25"/>
              <w:jc w:val="center"/>
              <w:rPr>
                <w:rFonts w:ascii="宋体" w:hAnsi="宋体"/>
                <w:b/>
                <w:szCs w:val="21"/>
              </w:rPr>
            </w:pPr>
            <w:r>
              <w:rPr>
                <w:rFonts w:hint="eastAsia" w:ascii="宋体" w:hAnsi="宋体"/>
                <w:b/>
                <w:szCs w:val="21"/>
              </w:rPr>
              <w:t>（元）</w:t>
            </w:r>
          </w:p>
        </w:tc>
        <w:tc>
          <w:tcPr>
            <w:tcW w:w="980" w:type="dxa"/>
            <w:vAlign w:val="center"/>
          </w:tcPr>
          <w:p>
            <w:pPr>
              <w:tabs>
                <w:tab w:val="left" w:pos="8280"/>
              </w:tabs>
              <w:autoSpaceDE w:val="0"/>
              <w:autoSpaceDN w:val="0"/>
              <w:adjustRightInd w:val="0"/>
              <w:ind w:right="25"/>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758" w:type="dxa"/>
            <w:vAlign w:val="center"/>
          </w:tcPr>
          <w:p>
            <w:pPr>
              <w:tabs>
                <w:tab w:val="left" w:pos="8280"/>
              </w:tabs>
              <w:autoSpaceDE w:val="0"/>
              <w:autoSpaceDN w:val="0"/>
              <w:adjustRightInd w:val="0"/>
              <w:ind w:right="25"/>
              <w:jc w:val="center"/>
              <w:rPr>
                <w:rFonts w:ascii="宋体" w:hAnsi="宋体"/>
                <w:szCs w:val="21"/>
              </w:rPr>
            </w:pPr>
            <w:r>
              <w:rPr>
                <w:rFonts w:hint="eastAsia" w:ascii="宋体" w:hAnsi="宋体"/>
                <w:szCs w:val="21"/>
              </w:rPr>
              <w:t>一</w:t>
            </w:r>
          </w:p>
        </w:tc>
        <w:tc>
          <w:tcPr>
            <w:tcW w:w="2122" w:type="dxa"/>
            <w:vAlign w:val="center"/>
          </w:tcPr>
          <w:p>
            <w:pPr>
              <w:tabs>
                <w:tab w:val="left" w:pos="8280"/>
              </w:tabs>
              <w:autoSpaceDE w:val="0"/>
              <w:autoSpaceDN w:val="0"/>
              <w:adjustRightInd w:val="0"/>
              <w:ind w:right="25"/>
              <w:jc w:val="center"/>
              <w:rPr>
                <w:rFonts w:ascii="宋体" w:hAnsi="宋体"/>
                <w:szCs w:val="21"/>
              </w:rPr>
            </w:pPr>
            <w:r>
              <w:rPr>
                <w:rFonts w:hint="eastAsia"/>
                <w:szCs w:val="21"/>
                <w:lang w:bidi="ar"/>
              </w:rPr>
              <w:t>洪家街道民生工程应急防汛设备采购项目(重新招标)</w:t>
            </w:r>
          </w:p>
        </w:tc>
        <w:tc>
          <w:tcPr>
            <w:tcW w:w="1515" w:type="dxa"/>
            <w:vAlign w:val="center"/>
          </w:tcPr>
          <w:p>
            <w:pPr>
              <w:tabs>
                <w:tab w:val="left" w:pos="8280"/>
              </w:tabs>
              <w:autoSpaceDE w:val="0"/>
              <w:autoSpaceDN w:val="0"/>
              <w:adjustRightInd w:val="0"/>
              <w:ind w:right="25"/>
              <w:jc w:val="center"/>
              <w:rPr>
                <w:rFonts w:ascii="宋体" w:hAnsi="宋体"/>
                <w:szCs w:val="21"/>
              </w:rPr>
            </w:pPr>
            <w:r>
              <w:rPr>
                <w:rFonts w:hint="eastAsia" w:ascii="宋体" w:hAnsi="宋体"/>
                <w:szCs w:val="21"/>
              </w:rPr>
              <w:t>详见项目需求</w:t>
            </w:r>
          </w:p>
        </w:tc>
        <w:tc>
          <w:tcPr>
            <w:tcW w:w="804" w:type="dxa"/>
            <w:vAlign w:val="center"/>
          </w:tcPr>
          <w:p>
            <w:pPr>
              <w:tabs>
                <w:tab w:val="left" w:pos="8280"/>
              </w:tabs>
              <w:autoSpaceDE w:val="0"/>
              <w:autoSpaceDN w:val="0"/>
              <w:adjustRightInd w:val="0"/>
              <w:ind w:right="25"/>
              <w:jc w:val="center"/>
              <w:rPr>
                <w:rFonts w:ascii="宋体" w:hAnsi="宋体"/>
                <w:szCs w:val="21"/>
              </w:rPr>
            </w:pPr>
            <w:r>
              <w:rPr>
                <w:rFonts w:hint="eastAsia" w:ascii="宋体" w:hAnsi="宋体"/>
                <w:szCs w:val="21"/>
              </w:rPr>
              <w:t>1</w:t>
            </w:r>
          </w:p>
        </w:tc>
        <w:tc>
          <w:tcPr>
            <w:tcW w:w="804" w:type="dxa"/>
            <w:vAlign w:val="center"/>
          </w:tcPr>
          <w:p>
            <w:pPr>
              <w:widowControl/>
              <w:jc w:val="center"/>
              <w:rPr>
                <w:rFonts w:ascii="宋体" w:hAnsi="宋体"/>
                <w:szCs w:val="21"/>
              </w:rPr>
            </w:pPr>
            <w:r>
              <w:rPr>
                <w:rFonts w:hint="eastAsia" w:ascii="宋体" w:hAnsi="宋体"/>
                <w:szCs w:val="21"/>
              </w:rPr>
              <w:t>项</w:t>
            </w:r>
          </w:p>
        </w:tc>
        <w:tc>
          <w:tcPr>
            <w:tcW w:w="1474" w:type="dxa"/>
            <w:vAlign w:val="center"/>
          </w:tcPr>
          <w:p>
            <w:pPr>
              <w:tabs>
                <w:tab w:val="left" w:pos="8280"/>
              </w:tabs>
              <w:autoSpaceDE w:val="0"/>
              <w:autoSpaceDN w:val="0"/>
              <w:adjustRightInd w:val="0"/>
              <w:ind w:right="25"/>
              <w:jc w:val="center"/>
              <w:rPr>
                <w:rFonts w:ascii="宋体" w:hAnsi="宋体"/>
                <w:szCs w:val="21"/>
              </w:rPr>
            </w:pPr>
            <w:r>
              <w:rPr>
                <w:rFonts w:hint="eastAsia" w:ascii="宋体" w:hAnsi="宋体"/>
                <w:szCs w:val="21"/>
              </w:rPr>
              <w:t>838178元</w:t>
            </w:r>
          </w:p>
        </w:tc>
        <w:tc>
          <w:tcPr>
            <w:tcW w:w="980" w:type="dxa"/>
            <w:vAlign w:val="center"/>
          </w:tcPr>
          <w:p>
            <w:pPr>
              <w:tabs>
                <w:tab w:val="left" w:pos="8280"/>
              </w:tabs>
              <w:autoSpaceDE w:val="0"/>
              <w:autoSpaceDN w:val="0"/>
              <w:adjustRightInd w:val="0"/>
              <w:ind w:right="25"/>
              <w:jc w:val="center"/>
              <w:rPr>
                <w:rFonts w:ascii="宋体" w:hAnsi="宋体"/>
                <w:szCs w:val="21"/>
              </w:rPr>
            </w:pPr>
          </w:p>
        </w:tc>
      </w:tr>
      <w:bookmarkEnd w:id="0"/>
    </w:tbl>
    <w:p>
      <w:pPr>
        <w:widowControl/>
        <w:tabs>
          <w:tab w:val="left" w:pos="0"/>
        </w:tabs>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u w:val="single"/>
        </w:rPr>
        <w:t>本项目采用“电子交易”的方式提交投标文件（还可以提供备份投标文件），请各投标人按照要求进行。</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三、合格投标人的资格条件：</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符合《中华人民共和国政府采购法》第二十二条及其他法律、行政法规规定的对投标主体的要求；未被“信用中国”（www.creditchina.gov.cn）、中国政府采购网（www.ccgp.gov.cn）列入失信被执行人、重大税收违法失信主体、政府采购严重违法失信行为记录名单。</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（二）本项目供应商特定资格要求</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（1）本项目不接受联合体投标。</w:t>
      </w:r>
    </w:p>
    <w:p>
      <w:pPr>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（2）落实政府采购政策需满足的资格要求：本项目按照《政府采购促进中小企业发展管理办法》【财库（2020）46号】第七条规定：本项目专门面向中小企业采购，货物全部由符合政策要求的中小企业制造。</w:t>
      </w:r>
    </w:p>
    <w:p>
      <w:pPr>
        <w:snapToGrid w:val="0"/>
        <w:spacing w:line="360" w:lineRule="auto"/>
        <w:ind w:firstLine="498" w:firstLineChars="236"/>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四、招标文件获取的方式、时间:</w:t>
      </w:r>
    </w:p>
    <w:p>
      <w:pPr>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1、</w:t>
      </w:r>
      <w:r>
        <w:rPr>
          <w:rFonts w:hint="eastAsia" w:asciiTheme="minorEastAsia" w:hAnsiTheme="minorEastAsia" w:eastAsiaTheme="minorEastAsia" w:cstheme="minorEastAsia"/>
          <w:b/>
          <w:szCs w:val="21"/>
        </w:rPr>
        <w:t>本项目招标文件实行“浙江政府采购网”</w:t>
      </w:r>
      <w:r>
        <w:rPr>
          <w:rStyle w:val="32"/>
          <w:rFonts w:hint="eastAsia" w:asciiTheme="minorEastAsia" w:hAnsiTheme="minorEastAsia" w:eastAsiaTheme="minorEastAsia" w:cstheme="minorEastAsia"/>
          <w:sz w:val="21"/>
          <w:szCs w:val="21"/>
        </w:rPr>
        <w:t>（http://zfcg.czt.zj.gov.cn）</w:t>
      </w:r>
      <w:r>
        <w:rPr>
          <w:rFonts w:hint="eastAsia" w:asciiTheme="minorEastAsia" w:hAnsiTheme="minorEastAsia" w:eastAsiaTheme="minorEastAsia" w:cstheme="minorEastAsia"/>
          <w:b/>
          <w:szCs w:val="21"/>
        </w:rPr>
        <w:t>在线获取，不提供招标文件纸质版。供应商获取招标文件前应先完成“浙江政府采购网”的账号注册。</w:t>
      </w:r>
    </w:p>
    <w:p>
      <w:pPr>
        <w:spacing w:line="360" w:lineRule="auto"/>
        <w:ind w:firstLine="422" w:firstLineChars="200"/>
        <w:rPr>
          <w:rStyle w:val="32"/>
          <w:rFonts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bCs/>
          <w:szCs w:val="21"/>
        </w:rPr>
        <w:t>2、获取</w:t>
      </w:r>
      <w:r>
        <w:rPr>
          <w:rStyle w:val="32"/>
          <w:rFonts w:hint="eastAsia" w:asciiTheme="minorEastAsia" w:hAnsiTheme="minorEastAsia" w:eastAsiaTheme="minorEastAsia" w:cstheme="minorEastAsia"/>
          <w:sz w:val="21"/>
          <w:szCs w:val="21"/>
        </w:rPr>
        <w:t>方式：潜在供应商登陆政府采购云平台，在线申请获取招标文件</w:t>
      </w:r>
      <w:r>
        <w:rPr>
          <w:rStyle w:val="32"/>
          <w:rFonts w:hint="eastAsia" w:asciiTheme="minorEastAsia" w:hAnsiTheme="minorEastAsia" w:eastAsiaTheme="minorEastAsia" w:cstheme="minorEastAsia"/>
          <w:b w:val="0"/>
          <w:bCs/>
          <w:sz w:val="21"/>
          <w:szCs w:val="21"/>
        </w:rPr>
        <w:t>（进入“项目采购”应用，在获取招标文件菜单中选择项目，申请获取招标文件，本项目招标文件不收取工本费；</w:t>
      </w:r>
      <w:r>
        <w:rPr>
          <w:rStyle w:val="32"/>
          <w:rFonts w:hint="eastAsia" w:asciiTheme="minorEastAsia" w:hAnsiTheme="minorEastAsia" w:eastAsiaTheme="minorEastAsia" w:cstheme="minorEastAsia"/>
          <w:b w:val="0"/>
          <w:bCs/>
          <w:sz w:val="21"/>
          <w:szCs w:val="21"/>
          <w:u w:val="single"/>
        </w:rPr>
        <w:t>仅需浏览招标文件的供应商可点击“游客，浏览招标文件”直接下载招标文件浏览</w:t>
      </w:r>
      <w:r>
        <w:rPr>
          <w:rStyle w:val="32"/>
          <w:rFonts w:hint="eastAsia" w:asciiTheme="minorEastAsia" w:hAnsiTheme="minorEastAsia" w:eastAsiaTheme="minorEastAsia" w:cstheme="minorEastAsia"/>
          <w:b w:val="0"/>
          <w:bCs/>
          <w:sz w:val="21"/>
          <w:szCs w:val="21"/>
        </w:rPr>
        <w:t>）；</w:t>
      </w:r>
    </w:p>
    <w:p>
      <w:pPr>
        <w:spacing w:line="360" w:lineRule="auto"/>
        <w:ind w:firstLine="422" w:firstLineChars="200"/>
        <w:rPr>
          <w:rFonts w:asciiTheme="minorEastAsia" w:hAnsiTheme="minorEastAsia" w:eastAsiaTheme="minorEastAsia" w:cstheme="minorEastAsia"/>
          <w:szCs w:val="21"/>
        </w:rPr>
      </w:pPr>
      <w:r>
        <w:rPr>
          <w:rStyle w:val="32"/>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b/>
          <w:bCs/>
          <w:szCs w:val="21"/>
        </w:rPr>
        <w:t>获取（公告）时间</w:t>
      </w:r>
      <w:r>
        <w:rPr>
          <w:rFonts w:hint="eastAsia" w:asciiTheme="minorEastAsia" w:hAnsiTheme="minorEastAsia" w:eastAsiaTheme="minorEastAsia" w:cstheme="minorEastAsia"/>
          <w:szCs w:val="21"/>
        </w:rPr>
        <w:t>：自本公告发布之日起至投标文件递交截止时间止；</w:t>
      </w:r>
    </w:p>
    <w:p>
      <w:pPr>
        <w:spacing w:line="360" w:lineRule="auto"/>
        <w:ind w:firstLine="422" w:firstLineChars="200"/>
        <w:rPr>
          <w:rFonts w:asciiTheme="minorEastAsia" w:hAnsiTheme="minorEastAsia" w:eastAsiaTheme="minorEastAsia" w:cstheme="minorEastAsia"/>
          <w:szCs w:val="21"/>
        </w:rPr>
      </w:pPr>
      <w:r>
        <w:rPr>
          <w:rStyle w:val="32"/>
          <w:rFonts w:hint="eastAsia" w:asciiTheme="minorEastAsia" w:hAnsiTheme="minorEastAsia" w:eastAsiaTheme="minorEastAsia" w:cstheme="minorEastAsia"/>
          <w:sz w:val="21"/>
          <w:szCs w:val="21"/>
        </w:rPr>
        <w:t>4、供应商网上报名操作指南：</w:t>
      </w:r>
      <w:r>
        <w:rPr>
          <w:rStyle w:val="32"/>
          <w:rFonts w:hint="eastAsia" w:asciiTheme="minorEastAsia" w:hAnsiTheme="minorEastAsia" w:eastAsiaTheme="minorEastAsia" w:cstheme="minorEastAsia"/>
          <w:b w:val="0"/>
          <w:sz w:val="21"/>
          <w:szCs w:val="21"/>
        </w:rPr>
        <w:t>“浙江政府采购网-办事指南-省采中心-网上报名”（http://zfcg.czt.zj.gov.cn/bs_other/2018-03-30/12002.html）。</w:t>
      </w:r>
    </w:p>
    <w:p>
      <w:pPr>
        <w:pStyle w:val="26"/>
        <w:spacing w:before="0" w:beforeAutospacing="0" w:after="0" w:afterAutospacing="0" w:line="360" w:lineRule="auto"/>
        <w:ind w:firstLine="422" w:firstLineChars="200"/>
        <w:rPr>
          <w:rFonts w:asciiTheme="minorEastAsia" w:hAnsiTheme="minorEastAsia" w:eastAsiaTheme="minorEastAsia" w:cstheme="minorEastAsia"/>
          <w:sz w:val="21"/>
          <w:szCs w:val="21"/>
        </w:rPr>
      </w:pPr>
      <w:r>
        <w:rPr>
          <w:rStyle w:val="32"/>
          <w:rFonts w:hint="eastAsia" w:asciiTheme="minorEastAsia" w:hAnsiTheme="minorEastAsia" w:eastAsiaTheme="minorEastAsia" w:cstheme="minorEastAsia"/>
          <w:kern w:val="2"/>
          <w:sz w:val="21"/>
          <w:szCs w:val="21"/>
        </w:rPr>
        <w:t>5、供应商获取招标文件时须提交的文件资料</w:t>
      </w:r>
      <w:r>
        <w:rPr>
          <w:rStyle w:val="32"/>
          <w:rFonts w:hint="eastAsia" w:asciiTheme="minorEastAsia" w:hAnsiTheme="minorEastAsia" w:eastAsiaTheme="minorEastAsia" w:cstheme="minorEastAsia"/>
          <w:b w:val="0"/>
          <w:sz w:val="21"/>
          <w:szCs w:val="21"/>
        </w:rPr>
        <w:t>：无；</w:t>
      </w:r>
    </w:p>
    <w:p>
      <w:pPr>
        <w:pStyle w:val="26"/>
        <w:spacing w:before="0" w:beforeAutospacing="0" w:after="0" w:afterAutospacing="0" w:line="360" w:lineRule="auto"/>
        <w:ind w:firstLine="422" w:firstLineChars="200"/>
        <w:rPr>
          <w:rFonts w:asciiTheme="minorEastAsia" w:hAnsiTheme="minorEastAsia" w:eastAsiaTheme="minorEastAsia" w:cstheme="minorEastAsia"/>
          <w:sz w:val="21"/>
          <w:szCs w:val="21"/>
        </w:rPr>
      </w:pPr>
      <w:r>
        <w:rPr>
          <w:rStyle w:val="32"/>
          <w:rFonts w:hint="eastAsia" w:asciiTheme="minorEastAsia" w:hAnsiTheme="minorEastAsia" w:eastAsiaTheme="minorEastAsia" w:cstheme="minorEastAsia"/>
          <w:sz w:val="21"/>
          <w:szCs w:val="21"/>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26"/>
        <w:spacing w:before="0" w:beforeAutospacing="0" w:after="0" w:afterAutospacing="0" w:line="360" w:lineRule="auto"/>
        <w:ind w:firstLine="480"/>
        <w:rPr>
          <w:rStyle w:val="32"/>
          <w:rFonts w:asciiTheme="minorEastAsia" w:hAnsiTheme="minorEastAsia" w:eastAsiaTheme="minorEastAsia" w:cstheme="minorEastAsia"/>
          <w:sz w:val="21"/>
          <w:szCs w:val="21"/>
        </w:rPr>
      </w:pPr>
      <w:r>
        <w:rPr>
          <w:rStyle w:val="32"/>
          <w:rFonts w:hint="eastAsia" w:asciiTheme="minorEastAsia" w:hAnsiTheme="minorEastAsia" w:eastAsiaTheme="minorEastAsia" w:cstheme="minorEastAsia"/>
          <w:sz w:val="21"/>
          <w:szCs w:val="21"/>
        </w:rPr>
        <w:t>注：请供应商按上述要求获取招标文件，如未在“政府采购云平台”系统内完成相关流程，引起的投标无效责任自负。</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五、招标答疑会</w:t>
      </w:r>
    </w:p>
    <w:p>
      <w:pPr>
        <w:spacing w:line="360" w:lineRule="auto"/>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六、投标须知：</w:t>
      </w:r>
    </w:p>
    <w:p>
      <w:pPr>
        <w:pStyle w:val="61"/>
        <w:snapToGrid w:val="0"/>
        <w:spacing w:line="360" w:lineRule="auto"/>
        <w:ind w:firstLine="373" w:firstLineChars="177"/>
        <w:rPr>
          <w:rFonts w:asciiTheme="minorEastAsia" w:hAnsiTheme="minorEastAsia" w:eastAsiaTheme="minorEastAsia" w:cstheme="minorEastAsia"/>
        </w:rPr>
      </w:pPr>
      <w:r>
        <w:rPr>
          <w:rFonts w:hint="eastAsia" w:asciiTheme="minorEastAsia" w:hAnsiTheme="minorEastAsia" w:eastAsiaTheme="minorEastAsia" w:cstheme="minorEastAsia"/>
          <w:b/>
          <w:bCs/>
        </w:rPr>
        <w:t>1、投标截止时间与地点</w:t>
      </w:r>
      <w:r>
        <w:rPr>
          <w:rFonts w:hint="eastAsia" w:asciiTheme="minorEastAsia" w:hAnsiTheme="minorEastAsia" w:eastAsiaTheme="minorEastAsia" w:cstheme="minorEastAsia"/>
        </w:rPr>
        <w:t>：2024年1月</w:t>
      </w:r>
      <w:r>
        <w:rPr>
          <w:rFonts w:hint="eastAsia" w:asciiTheme="minorEastAsia" w:hAnsiTheme="minorEastAsia" w:eastAsiaTheme="minorEastAsia" w:cstheme="minorEastAsia"/>
          <w:lang w:val="en-US" w:eastAsia="zh-CN"/>
        </w:rPr>
        <w:t>31</w:t>
      </w:r>
      <w:r>
        <w:rPr>
          <w:rFonts w:hint="eastAsia" w:asciiTheme="minorEastAsia" w:hAnsiTheme="minorEastAsia" w:eastAsiaTheme="minorEastAsia" w:cstheme="minorEastAsia"/>
        </w:rPr>
        <w:t xml:space="preserve">日上午09：00整，地点：通过“政府采购云平台（www.zcygov.cn）”实行在线投标响应   </w:t>
      </w:r>
    </w:p>
    <w:p>
      <w:pPr>
        <w:pStyle w:val="61"/>
        <w:snapToGrid w:val="0"/>
        <w:spacing w:line="360" w:lineRule="auto"/>
        <w:ind w:firstLine="373" w:firstLineChars="177"/>
        <w:rPr>
          <w:rFonts w:asciiTheme="minorEastAsia" w:hAnsiTheme="minorEastAsia" w:eastAsiaTheme="minorEastAsia" w:cstheme="minorEastAsia"/>
        </w:rPr>
      </w:pPr>
      <w:r>
        <w:rPr>
          <w:rFonts w:hint="eastAsia" w:asciiTheme="minorEastAsia" w:hAnsiTheme="minorEastAsia" w:eastAsiaTheme="minorEastAsia" w:cstheme="minorEastAsia"/>
          <w:b/>
          <w:bCs/>
        </w:rPr>
        <w:t>2、开标时间及地点</w:t>
      </w:r>
      <w:r>
        <w:rPr>
          <w:rFonts w:hint="eastAsia" w:asciiTheme="minorEastAsia" w:hAnsiTheme="minorEastAsia" w:eastAsiaTheme="minorEastAsia" w:cstheme="minorEastAsia"/>
        </w:rPr>
        <w:t>：2024年1月</w:t>
      </w:r>
      <w:r>
        <w:rPr>
          <w:rFonts w:hint="eastAsia" w:asciiTheme="minorEastAsia" w:hAnsiTheme="minorEastAsia" w:eastAsiaTheme="minorEastAsia" w:cstheme="minorEastAsia"/>
          <w:lang w:val="en-US" w:eastAsia="zh-CN"/>
        </w:rPr>
        <w:t>31</w:t>
      </w:r>
      <w:r>
        <w:rPr>
          <w:rFonts w:hint="eastAsia" w:asciiTheme="minorEastAsia" w:hAnsiTheme="minorEastAsia" w:eastAsiaTheme="minorEastAsia" w:cstheme="minorEastAsia"/>
        </w:rPr>
        <w:t>日上午09：00整，地点：通过“政府采购云平台（www.zcygov.cn）”实行在线投标响应</w:t>
      </w:r>
    </w:p>
    <w:p>
      <w:pPr>
        <w:pStyle w:val="61"/>
        <w:snapToGrid w:val="0"/>
        <w:spacing w:line="360" w:lineRule="auto"/>
        <w:ind w:firstLine="373" w:firstLineChars="177"/>
        <w:rPr>
          <w:rFonts w:asciiTheme="minorEastAsia" w:hAnsiTheme="minorEastAsia" w:eastAsiaTheme="minorEastAsia" w:cstheme="minorEastAsia"/>
        </w:rPr>
      </w:pPr>
      <w:r>
        <w:rPr>
          <w:rFonts w:hint="eastAsia" w:asciiTheme="minorEastAsia" w:hAnsiTheme="minorEastAsia" w:eastAsiaTheme="minorEastAsia" w:cstheme="minorEastAsia"/>
          <w:b/>
          <w:bCs/>
        </w:rPr>
        <w:t>3、解密截止时间</w:t>
      </w:r>
      <w:r>
        <w:rPr>
          <w:rFonts w:hint="eastAsia" w:asciiTheme="minorEastAsia" w:hAnsiTheme="minorEastAsia" w:eastAsiaTheme="minorEastAsia" w:cstheme="minorEastAsia"/>
        </w:rPr>
        <w:t>：2024年1月</w:t>
      </w:r>
      <w:r>
        <w:rPr>
          <w:rFonts w:hint="eastAsia" w:asciiTheme="minorEastAsia" w:hAnsiTheme="minorEastAsia" w:eastAsiaTheme="minorEastAsia" w:cstheme="minorEastAsia"/>
          <w:lang w:val="en-US" w:eastAsia="zh-CN"/>
        </w:rPr>
        <w:t>31</w:t>
      </w:r>
      <w:r>
        <w:rPr>
          <w:rFonts w:hint="eastAsia" w:asciiTheme="minorEastAsia" w:hAnsiTheme="minorEastAsia" w:eastAsiaTheme="minorEastAsia" w:cstheme="minorEastAsia"/>
        </w:rPr>
        <w:t xml:space="preserve"> 日上午09：30整</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七、在线投标响应（电子投标）说明</w:t>
      </w:r>
    </w:p>
    <w:p>
      <w:pPr>
        <w:pStyle w:val="13"/>
        <w:wordWrap w:val="0"/>
        <w:adjustRightInd w:val="0"/>
        <w:snapToGrid w:val="0"/>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Style w:val="13"/>
        <w:wordWrap w:val="0"/>
        <w:adjustRightInd w:val="0"/>
        <w:snapToGrid w:val="0"/>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95763。</w:t>
      </w:r>
    </w:p>
    <w:p>
      <w:pPr>
        <w:pStyle w:val="61"/>
        <w:snapToGrid w:val="0"/>
        <w:spacing w:line="360" w:lineRule="auto"/>
        <w:ind w:firstLine="42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Theme="minorEastAsia" w:hAnsiTheme="minorEastAsia" w:eastAsiaTheme="minorEastAsia" w:cstheme="minorEastAsia"/>
          <w:b/>
          <w:bCs/>
        </w:rPr>
        <w:t>CA驱动和申领流程</w:t>
      </w:r>
      <w:r>
        <w:rPr>
          <w:rFonts w:hint="eastAsia" w:asciiTheme="minorEastAsia" w:hAnsiTheme="minorEastAsia" w:eastAsiaTheme="minorEastAsia" w:cstheme="minorEastAsia"/>
          <w:b/>
          <w:bCs/>
        </w:rPr>
        <w:fldChar w:fldCharType="end"/>
      </w:r>
      <w:r>
        <w:rPr>
          <w:rFonts w:hint="eastAsia" w:asciiTheme="minorEastAsia" w:hAnsiTheme="minorEastAsia" w:eastAsiaTheme="minorEastAsia" w:cstheme="minorEastAsia"/>
          <w:b/>
          <w:bCs/>
        </w:rPr>
        <w:t>”进行查阅；</w:t>
      </w:r>
    </w:p>
    <w:p>
      <w:pPr>
        <w:pStyle w:val="13"/>
        <w:adjustRightInd w:val="0"/>
        <w:snapToGrid w:val="0"/>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3、投标人通过政府采购云平台电子投标工具制作投标文件，电子投标工具请供应商自行前往浙江政府采购网下载并安装，（下载网址：</w:t>
      </w:r>
      <w:r>
        <w:fldChar w:fldCharType="begin"/>
      </w:r>
      <w:r>
        <w:instrText xml:space="preserve"> HYPERLINK "http://www.zjzfcg.gov.cn/bidClientTemplate/2019-05-27/12946.html" </w:instrText>
      </w:r>
      <w:r>
        <w:fldChar w:fldCharType="separate"/>
      </w:r>
      <w:r>
        <w:rPr>
          <w:rFonts w:hint="eastAsia" w:asciiTheme="minorEastAsia" w:hAnsiTheme="minorEastAsia" w:eastAsiaTheme="minorEastAsia" w:cstheme="minorEastAsia"/>
          <w:b/>
          <w:bCs/>
          <w:kern w:val="0"/>
          <w:szCs w:val="21"/>
        </w:rPr>
        <w:t>http://zfcg.czt.zj.gov.cn/bidClientTemplate/2019-05-27/12946.html</w:t>
      </w:r>
      <w:r>
        <w:rPr>
          <w:rFonts w:hint="eastAsia" w:asciiTheme="minorEastAsia" w:hAnsiTheme="minorEastAsia" w:eastAsiaTheme="minorEastAsia" w:cstheme="minorEastAsia"/>
          <w:b/>
          <w:bCs/>
          <w:kern w:val="0"/>
          <w:szCs w:val="21"/>
        </w:rPr>
        <w:fldChar w:fldCharType="end"/>
      </w:r>
      <w:r>
        <w:rPr>
          <w:rFonts w:hint="eastAsia" w:asciiTheme="minorEastAsia" w:hAnsiTheme="minorEastAsia" w:eastAsiaTheme="minorEastAsia" w:cstheme="minorEastAsia"/>
          <w:b/>
          <w:bCs/>
          <w:kern w:val="0"/>
          <w:szCs w:val="21"/>
        </w:rPr>
        <w:t>），电子投标具体流程文档详见网址：https://help.zcygov.cn/web/site_2/2018/12-28/2573.html。</w:t>
      </w:r>
    </w:p>
    <w:p>
      <w:pPr>
        <w:pStyle w:val="13"/>
        <w:adjustRightInd w:val="0"/>
        <w:snapToGrid w:val="0"/>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pPr>
        <w:pStyle w:val="13"/>
        <w:adjustRightInd w:val="0"/>
        <w:snapToGrid w:val="0"/>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5、供应商同时还可以提供</w:t>
      </w:r>
      <w:r>
        <w:rPr>
          <w:rFonts w:hint="eastAsia" w:asciiTheme="minorEastAsia" w:hAnsiTheme="minorEastAsia" w:eastAsiaTheme="minorEastAsia" w:cstheme="minorEastAsia"/>
          <w:b/>
          <w:bCs/>
          <w:szCs w:val="21"/>
        </w:rPr>
        <w:t>以介质（U盘）存储的数据电文形式的备份</w:t>
      </w:r>
      <w:r>
        <w:rPr>
          <w:rFonts w:hint="eastAsia" w:asciiTheme="minorEastAsia" w:hAnsiTheme="minorEastAsia" w:eastAsiaTheme="minorEastAsia" w:cstheme="minorEastAsia"/>
          <w:b/>
          <w:bCs/>
          <w:kern w:val="0"/>
          <w:szCs w:val="21"/>
        </w:rPr>
        <w:t>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Theme="minorEastAsia" w:hAnsiTheme="minorEastAsia" w:eastAsiaTheme="minorEastAsia" w:cstheme="minorEastAsia"/>
          <w:b/>
          <w:bCs/>
          <w:szCs w:val="21"/>
        </w:rPr>
        <w:t>顺丰</w:t>
      </w:r>
      <w:r>
        <w:rPr>
          <w:rFonts w:hint="eastAsia" w:asciiTheme="minorEastAsia" w:hAnsiTheme="minorEastAsia" w:eastAsiaTheme="minorEastAsia" w:cstheme="minorEastAsia"/>
          <w:b/>
          <w:bCs/>
          <w:kern w:val="0"/>
          <w:szCs w:val="21"/>
        </w:rPr>
        <w:t>邮寄到</w:t>
      </w:r>
      <w:r>
        <w:rPr>
          <w:rFonts w:hint="eastAsia" w:asciiTheme="minorEastAsia" w:hAnsiTheme="minorEastAsia" w:eastAsiaTheme="minorEastAsia" w:cstheme="minorEastAsia"/>
          <w:b/>
          <w:bCs/>
          <w:szCs w:val="21"/>
        </w:rPr>
        <w:t>台州市椒江区台都花园65幢1号（浙江中竞管理服务有限公司）收件人：项海芳；联系电话：13626688339</w:t>
      </w:r>
      <w:r>
        <w:rPr>
          <w:rFonts w:hint="eastAsia" w:asciiTheme="minorEastAsia" w:hAnsiTheme="minorEastAsia" w:eastAsiaTheme="minorEastAsia" w:cstheme="minorEastAsia"/>
          <w:b/>
          <w:bCs/>
          <w:kern w:val="0"/>
          <w:szCs w:val="21"/>
        </w:rPr>
        <w:t>，逾期寄达或未按要求密封将被拒收。</w:t>
      </w:r>
    </w:p>
    <w:p>
      <w:pPr>
        <w:pStyle w:val="13"/>
        <w:adjustRightInd w:val="0"/>
        <w:snapToGrid w:val="0"/>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14"/>
        <w:spacing w:line="360" w:lineRule="auto"/>
        <w:ind w:left="0" w:leftChars="0" w:firstLine="422" w:firstLineChars="200"/>
      </w:pPr>
      <w:r>
        <w:rPr>
          <w:rFonts w:hint="eastAsia" w:asciiTheme="minorEastAsia" w:hAnsiTheme="minorEastAsia" w:eastAsiaTheme="minorEastAsia" w:cstheme="minorEastAsia"/>
          <w:b/>
          <w:bCs/>
          <w:kern w:val="0"/>
          <w:sz w:val="21"/>
          <w:szCs w:val="21"/>
        </w:rPr>
        <w:t xml:space="preserve">7、▲在政府采购活动中，供应商提供的货物、工程或者服务符合下列情形的，享受本办法规定的中小企业扶持政策： </w:t>
      </w:r>
      <w:r>
        <w:rPr>
          <w:rFonts w:asciiTheme="minorEastAsia" w:hAnsiTheme="minorEastAsia" w:eastAsiaTheme="minorEastAsia" w:cstheme="minorEastAsia"/>
          <w:b/>
          <w:bCs/>
          <w:kern w:val="0"/>
          <w:sz w:val="21"/>
          <w:szCs w:val="21"/>
        </w:rPr>
        <w:t>①</w:t>
      </w:r>
      <w:r>
        <w:rPr>
          <w:rFonts w:hint="eastAsia" w:asciiTheme="minorEastAsia" w:hAnsiTheme="minorEastAsia" w:eastAsiaTheme="minorEastAsia" w:cstheme="minorEastAsia"/>
          <w:b/>
          <w:bCs/>
          <w:kern w:val="0"/>
          <w:sz w:val="21"/>
          <w:szCs w:val="21"/>
        </w:rPr>
        <w:t xml:space="preserve">在货物采购项目中，货物由中小企业制造，即货物由中小企业生产且使用该中小企业商号或者注册商标； </w:t>
      </w:r>
      <w:r>
        <w:rPr>
          <w:rFonts w:asciiTheme="minorEastAsia" w:hAnsiTheme="minorEastAsia" w:eastAsiaTheme="minorEastAsia" w:cstheme="minorEastAsia"/>
          <w:b/>
          <w:bCs/>
          <w:kern w:val="0"/>
          <w:sz w:val="21"/>
          <w:szCs w:val="21"/>
        </w:rPr>
        <w:t>②</w:t>
      </w:r>
      <w:r>
        <w:rPr>
          <w:rFonts w:hint="eastAsia" w:asciiTheme="minorEastAsia" w:hAnsiTheme="minorEastAsia" w:eastAsiaTheme="minorEastAsia" w:cstheme="minorEastAsia"/>
          <w:b/>
          <w:bCs/>
          <w:kern w:val="0"/>
          <w:sz w:val="21"/>
          <w:szCs w:val="21"/>
        </w:rPr>
        <w:t xml:space="preserve">在工程采购项目中，工程由中小企业承建，即工程施工单位为中小企业； </w:t>
      </w:r>
      <w:r>
        <w:rPr>
          <w:rFonts w:asciiTheme="minorEastAsia" w:hAnsiTheme="minorEastAsia" w:eastAsiaTheme="minorEastAsia" w:cstheme="minorEastAsia"/>
          <w:b/>
          <w:bCs/>
          <w:kern w:val="0"/>
          <w:sz w:val="21"/>
          <w:szCs w:val="21"/>
        </w:rPr>
        <w:t>③</w:t>
      </w:r>
      <w:r>
        <w:rPr>
          <w:rFonts w:hint="eastAsia" w:asciiTheme="minorEastAsia" w:hAnsiTheme="minorEastAsia" w:eastAsiaTheme="minorEastAsia" w:cstheme="minorEastAsia"/>
          <w:b/>
          <w:bCs/>
          <w:kern w:val="0"/>
          <w:sz w:val="21"/>
          <w:szCs w:val="21"/>
        </w:rPr>
        <w:t>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八、投标人信用信息查询渠道及截止时点、信用信息查询记录和证据留存的具体方式、信用信息的使用规则：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1、查询渠道：“信用中国”（www.creditchina.gov.cn）、“中国政府采购网”（www.ccgp.gov.cn）、“浙江政府采购网（www.zjzfcg.gov.cn）。</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2、信用信息查询的截止时点：开标后评标前。</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3、信用信息查询记录和证据留存的具体方式：由采购代理机构在规定查询时间内打印信用信息查询记录并归入项目档案。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信用信息的使用规则：对列入失信被执行人、重大税收违法失信主体、政府采购严重违法失信行为记录名单及其他不符合《中华人民共和国政府采购法》第二十二条规定条件的供应商，将被拒绝其参与政府采购活动。</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九、相关注意事项：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公告期限为5个工作日。供应商认为采购文件使自己的权益受到损害的，可以自收到采购文件之日或采购文件公告期限届满之日起7个工作日内，以书面形式一次性向采购人和采购代理机构提出同一环节的质疑，后续针对采购过程、采购结果的质疑也应一次性提出，以供应商提供质疑函原件的时间为提起质疑的时间。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3、根据《浙江省政府采购供应商注册及诚信管理暂行办法》浙财采监【2009】28号文件，请各投标供应商及时办理浙江政府采购网“政府采购供应商注册”手续。</w:t>
      </w:r>
    </w:p>
    <w:p>
      <w:pPr>
        <w:pStyle w:val="9"/>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kern w:val="0"/>
          <w:szCs w:val="21"/>
        </w:rPr>
        <w:t>参与政府采购项目的注册供应商，需登录浙江政府采购网（http://zfcg.czt.zj.gov.cn）进行网上获取文件；尚未注册的供应商应当先在浙江政府采购网上申请注册，注册终审通过后再进行网上获取文件。</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5、本项目所有公告发布网站：“浙江政府采购网”（http:// </w:t>
      </w:r>
      <w:r>
        <w:fldChar w:fldCharType="begin"/>
      </w:r>
      <w:r>
        <w:instrText xml:space="preserve"> HYPERLINK "http://www.zjzfcg.gov.cn）。" </w:instrText>
      </w:r>
      <w:r>
        <w:fldChar w:fldCharType="separate"/>
      </w:r>
      <w:r>
        <w:rPr>
          <w:rStyle w:val="34"/>
          <w:rFonts w:hint="eastAsia" w:asciiTheme="minorEastAsia" w:hAnsiTheme="minorEastAsia" w:eastAsiaTheme="minorEastAsia" w:cstheme="minorEastAsia"/>
          <w:color w:val="auto"/>
          <w:szCs w:val="21"/>
        </w:rPr>
        <w:t>www.zjzfcg.gov.cn）。</w:t>
      </w:r>
      <w:r>
        <w:rPr>
          <w:rStyle w:val="34"/>
          <w:rFonts w:hint="eastAsia" w:asciiTheme="minorEastAsia" w:hAnsiTheme="minorEastAsia" w:eastAsiaTheme="minorEastAsia" w:cstheme="minorEastAsia"/>
          <w:color w:val="auto"/>
          <w:szCs w:val="21"/>
        </w:rPr>
        <w:fldChar w:fldCharType="end"/>
      </w:r>
    </w:p>
    <w:p>
      <w:pPr>
        <w:pStyle w:val="9"/>
        <w:spacing w:after="0"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6、采购文件发售截止时间之后有潜在供应商提出要求获取采购文件的允许其报名获取，但对采购文件有异议应按规定的时间提出，逾期提出的，采购组织机构可不予受理、答复。</w:t>
      </w:r>
    </w:p>
    <w:p>
      <w:pPr>
        <w:spacing w:line="360" w:lineRule="auto"/>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十、联系方式：</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1、采购代理机构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采购代理机构名称：浙江中竞管理服务有限公司</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联系人：项女士，卢先生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联系电话：13626688339</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质疑接收人：叶先生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联系电话：0576-88887287</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地点：台州市椒江区台都花园65幢1号</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2、采购人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采购人名称：台州市椒江区人民政府洪家街道办事处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联系人：何先生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联系电话：89026859</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采购人地址：台州市椒江区洪家街道昌平路1号</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3、同级政府采购监督管理部门</w:t>
      </w:r>
    </w:p>
    <w:p>
      <w:pPr>
        <w:spacing w:line="460" w:lineRule="exact"/>
        <w:ind w:firstLine="420" w:firstLineChars="200"/>
        <w:rPr>
          <w:rFonts w:ascii="宋体" w:hAnsi="宋体" w:cs="宋体"/>
          <w:b/>
          <w:sz w:val="24"/>
        </w:rPr>
      </w:pPr>
      <w:r>
        <w:rPr>
          <w:rFonts w:hint="eastAsia" w:asciiTheme="minorEastAsia" w:hAnsiTheme="minorEastAsia" w:eastAsiaTheme="minorEastAsia" w:cstheme="minorEastAsia"/>
          <w:szCs w:val="21"/>
        </w:rPr>
        <w:t>同级政府采购监督管理部门名称：</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称：台州市椒江区财政局政府采购监管科</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址：台州市椒江区财政局</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联系人：王女士，李女士</w:t>
      </w:r>
    </w:p>
    <w:p>
      <w:pPr>
        <w:spacing w:line="400" w:lineRule="exact"/>
        <w:ind w:firstLine="420" w:firstLineChars="200"/>
      </w:pPr>
      <w:r>
        <w:rPr>
          <w:rFonts w:hint="eastAsia" w:asciiTheme="minorEastAsia" w:hAnsiTheme="minorEastAsia" w:eastAsiaTheme="minorEastAsia" w:cstheme="minorEastAsia"/>
          <w:szCs w:val="21"/>
        </w:rPr>
        <w:t xml:space="preserve">联系电话：0576-88553889 </w:t>
      </w:r>
      <w:r>
        <w:rPr>
          <w:rFonts w:hint="eastAsia" w:ascii="宋体" w:hAnsi="宋体" w:cs="宋体"/>
          <w:sz w:val="28"/>
          <w:szCs w:val="28"/>
          <w:shd w:val="clear" w:color="auto" w:fill="FFFFFF"/>
        </w:rPr>
        <w:t xml:space="preserve">                   </w:t>
      </w:r>
    </w:p>
    <w:p>
      <w:pPr>
        <w:pStyle w:val="10"/>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4、其余事项</w:t>
      </w:r>
    </w:p>
    <w:p>
      <w:pPr>
        <w:rPr>
          <w:sz w:val="32"/>
          <w:szCs w:val="32"/>
        </w:rPr>
      </w:pPr>
      <w:r>
        <w:rPr>
          <w:rFonts w:hint="eastAsia" w:asciiTheme="minorEastAsia" w:hAnsiTheme="minorEastAsia" w:eastAsiaTheme="minorEastAsia" w:cstheme="minorEastAsia"/>
          <w:szCs w:val="21"/>
        </w:rPr>
        <w:t>（1）合同履约</w:t>
      </w:r>
      <w:r>
        <w:rPr>
          <w:rFonts w:hint="eastAsia"/>
          <w:szCs w:val="21"/>
        </w:rPr>
        <w:t>保函联系方式</w:t>
      </w:r>
    </w:p>
    <w:tbl>
      <w:tblPr>
        <w:tblStyle w:val="30"/>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保险公司名称</w:t>
            </w:r>
          </w:p>
        </w:tc>
        <w:tc>
          <w:tcPr>
            <w:tcW w:w="2288"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保费率</w:t>
            </w:r>
          </w:p>
        </w:tc>
        <w:tc>
          <w:tcPr>
            <w:tcW w:w="1276"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联系人</w:t>
            </w:r>
          </w:p>
        </w:tc>
        <w:tc>
          <w:tcPr>
            <w:tcW w:w="1624"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中国人寿财产保险股份有限公司台州中心支公司</w:t>
            </w:r>
          </w:p>
        </w:tc>
        <w:tc>
          <w:tcPr>
            <w:tcW w:w="2288"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年费率1%，最低保费500元</w:t>
            </w:r>
          </w:p>
        </w:tc>
        <w:tc>
          <w:tcPr>
            <w:tcW w:w="127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徐凌</w:t>
            </w:r>
          </w:p>
        </w:tc>
        <w:tc>
          <w:tcPr>
            <w:tcW w:w="162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永诚财产保险股份有限公司台州分公司</w:t>
            </w:r>
          </w:p>
        </w:tc>
        <w:tc>
          <w:tcPr>
            <w:tcW w:w="2288"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年费率1%，最低保费1000元</w:t>
            </w:r>
          </w:p>
        </w:tc>
        <w:tc>
          <w:tcPr>
            <w:tcW w:w="127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尹刚强</w:t>
            </w:r>
          </w:p>
        </w:tc>
        <w:tc>
          <w:tcPr>
            <w:tcW w:w="162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华泰财产保险有限公司台州中心支公司</w:t>
            </w:r>
          </w:p>
        </w:tc>
        <w:tc>
          <w:tcPr>
            <w:tcW w:w="2288"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年费率0.5%，最低保费1000元</w:t>
            </w:r>
          </w:p>
        </w:tc>
        <w:tc>
          <w:tcPr>
            <w:tcW w:w="127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王灵芳</w:t>
            </w:r>
          </w:p>
        </w:tc>
        <w:tc>
          <w:tcPr>
            <w:tcW w:w="162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中国大地财产保险股份有限公司台州中心支公司</w:t>
            </w:r>
          </w:p>
        </w:tc>
        <w:tc>
          <w:tcPr>
            <w:tcW w:w="2288"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年费率1.5%，最低保费1000元</w:t>
            </w:r>
          </w:p>
        </w:tc>
        <w:tc>
          <w:tcPr>
            <w:tcW w:w="127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徐小明</w:t>
            </w:r>
          </w:p>
        </w:tc>
        <w:tc>
          <w:tcPr>
            <w:tcW w:w="162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阳光保险台州中心支公司</w:t>
            </w:r>
          </w:p>
        </w:tc>
        <w:tc>
          <w:tcPr>
            <w:tcW w:w="2288"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年费率1%，最低保费500元</w:t>
            </w:r>
          </w:p>
        </w:tc>
        <w:tc>
          <w:tcPr>
            <w:tcW w:w="127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林高明</w:t>
            </w:r>
          </w:p>
        </w:tc>
        <w:tc>
          <w:tcPr>
            <w:tcW w:w="162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中华联合财产保险股份有限公司台州中心支公司</w:t>
            </w:r>
          </w:p>
        </w:tc>
        <w:tc>
          <w:tcPr>
            <w:tcW w:w="2288"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年费率2%，最低保费500元</w:t>
            </w:r>
          </w:p>
        </w:tc>
        <w:tc>
          <w:tcPr>
            <w:tcW w:w="127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王仙高</w:t>
            </w:r>
          </w:p>
        </w:tc>
        <w:tc>
          <w:tcPr>
            <w:tcW w:w="162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中国人民财产保险股份有限公司台州中心支公司</w:t>
            </w:r>
          </w:p>
        </w:tc>
        <w:tc>
          <w:tcPr>
            <w:tcW w:w="2288"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年费率0.3%，最低保费1000元</w:t>
            </w:r>
          </w:p>
        </w:tc>
        <w:tc>
          <w:tcPr>
            <w:tcW w:w="127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王仙春</w:t>
            </w:r>
          </w:p>
        </w:tc>
        <w:tc>
          <w:tcPr>
            <w:tcW w:w="162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永安财产保险股份有限公司台州中心支公司</w:t>
            </w:r>
          </w:p>
        </w:tc>
        <w:tc>
          <w:tcPr>
            <w:tcW w:w="2288"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年费率0.3%，最低保费1000</w:t>
            </w:r>
            <w:r>
              <w:rPr>
                <w:rFonts w:hint="eastAsia" w:asciiTheme="minorEastAsia" w:hAnsiTheme="minorEastAsia" w:cstheme="minorEastAsia"/>
                <w:szCs w:val="21"/>
              </w:rPr>
              <w:t>元</w:t>
            </w:r>
          </w:p>
        </w:tc>
        <w:tc>
          <w:tcPr>
            <w:tcW w:w="127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王春宇</w:t>
            </w:r>
          </w:p>
        </w:tc>
        <w:tc>
          <w:tcPr>
            <w:tcW w:w="162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13676675331</w:t>
            </w:r>
          </w:p>
        </w:tc>
      </w:tr>
    </w:tbl>
    <w:p>
      <w:pPr>
        <w:rPr>
          <w:rFonts w:asciiTheme="minorEastAsia" w:hAnsiTheme="minorEastAsia" w:eastAsiaTheme="minorEastAsia" w:cstheme="minorEastAsia"/>
          <w:szCs w:val="21"/>
        </w:rPr>
      </w:pPr>
    </w:p>
    <w:p>
      <w:pPr>
        <w:rPr>
          <w:szCs w:val="21"/>
        </w:rPr>
      </w:pPr>
      <w:r>
        <w:rPr>
          <w:rFonts w:hint="eastAsia" w:asciiTheme="minorEastAsia" w:hAnsiTheme="minorEastAsia" w:eastAsiaTheme="minorEastAsia" w:cstheme="minorEastAsia"/>
          <w:szCs w:val="21"/>
        </w:rPr>
        <w:t>（2）预付款保函</w:t>
      </w:r>
      <w:r>
        <w:rPr>
          <w:rFonts w:hint="eastAsia"/>
          <w:szCs w:val="21"/>
        </w:rPr>
        <w:t>联系方式</w:t>
      </w:r>
    </w:p>
    <w:tbl>
      <w:tblPr>
        <w:tblStyle w:val="30"/>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保险公司名称</w:t>
            </w:r>
          </w:p>
        </w:tc>
        <w:tc>
          <w:tcPr>
            <w:tcW w:w="2288"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保费率</w:t>
            </w:r>
          </w:p>
        </w:tc>
        <w:tc>
          <w:tcPr>
            <w:tcW w:w="1287"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联系人</w:t>
            </w:r>
          </w:p>
        </w:tc>
        <w:tc>
          <w:tcPr>
            <w:tcW w:w="1600" w:type="dxa"/>
            <w:vAlign w:val="center"/>
          </w:tcPr>
          <w:p>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中国人寿财产保险股份有限公司台州中心支公司</w:t>
            </w:r>
          </w:p>
        </w:tc>
        <w:tc>
          <w:tcPr>
            <w:tcW w:w="2288" w:type="dxa"/>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年费率3%，最低保费500元</w:t>
            </w:r>
          </w:p>
        </w:tc>
        <w:tc>
          <w:tcPr>
            <w:tcW w:w="128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徐凌</w:t>
            </w:r>
          </w:p>
        </w:tc>
        <w:tc>
          <w:tcPr>
            <w:tcW w:w="16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阳光保险台州中心支公司</w:t>
            </w:r>
          </w:p>
        </w:tc>
        <w:tc>
          <w:tcPr>
            <w:tcW w:w="2288" w:type="dxa"/>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年费率1%，最低保费500元</w:t>
            </w:r>
          </w:p>
        </w:tc>
        <w:tc>
          <w:tcPr>
            <w:tcW w:w="128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林高明</w:t>
            </w:r>
          </w:p>
        </w:tc>
        <w:tc>
          <w:tcPr>
            <w:tcW w:w="16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天安财产保险股份有限公司台州中心支公司</w:t>
            </w:r>
          </w:p>
        </w:tc>
        <w:tc>
          <w:tcPr>
            <w:tcW w:w="2288" w:type="dxa"/>
          </w:tcPr>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年费率1%-2%，最低保费500元</w:t>
            </w:r>
          </w:p>
        </w:tc>
        <w:tc>
          <w:tcPr>
            <w:tcW w:w="128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罗赛</w:t>
            </w:r>
          </w:p>
        </w:tc>
        <w:tc>
          <w:tcPr>
            <w:tcW w:w="1600"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13736605643</w:t>
            </w:r>
          </w:p>
        </w:tc>
      </w:tr>
    </w:tbl>
    <w:p>
      <w:pPr>
        <w:spacing w:line="360" w:lineRule="auto"/>
      </w:pPr>
      <w:r>
        <w:rPr>
          <w:rFonts w:hint="eastAsia" w:ascii="宋体" w:hAnsi="宋体" w:cs="宋体"/>
          <w:szCs w:val="21"/>
        </w:rPr>
        <w:t>（3）中标供应商如有融资需求，可使用以下银行的政采贷服务。</w:t>
      </w:r>
    </w:p>
    <w:tbl>
      <w:tblPr>
        <w:tblStyle w:val="30"/>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7"/>
        <w:gridCol w:w="1408"/>
        <w:gridCol w:w="1782"/>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pPr>
              <w:spacing w:line="360" w:lineRule="auto"/>
              <w:jc w:val="center"/>
              <w:rPr>
                <w:szCs w:val="21"/>
              </w:rPr>
            </w:pPr>
            <w:r>
              <w:rPr>
                <w:rFonts w:hint="eastAsia"/>
                <w:szCs w:val="21"/>
              </w:rPr>
              <w:t>银行</w:t>
            </w:r>
          </w:p>
        </w:tc>
        <w:tc>
          <w:tcPr>
            <w:tcW w:w="1408" w:type="dxa"/>
            <w:vAlign w:val="center"/>
          </w:tcPr>
          <w:p>
            <w:pPr>
              <w:spacing w:line="360" w:lineRule="auto"/>
              <w:jc w:val="center"/>
              <w:rPr>
                <w:szCs w:val="21"/>
              </w:rPr>
            </w:pPr>
            <w:r>
              <w:rPr>
                <w:rFonts w:hint="eastAsia"/>
                <w:szCs w:val="21"/>
              </w:rPr>
              <w:t>贷款年利率</w:t>
            </w:r>
          </w:p>
        </w:tc>
        <w:tc>
          <w:tcPr>
            <w:tcW w:w="1782" w:type="dxa"/>
            <w:vAlign w:val="center"/>
          </w:tcPr>
          <w:p>
            <w:pPr>
              <w:spacing w:line="360" w:lineRule="auto"/>
              <w:jc w:val="center"/>
              <w:rPr>
                <w:szCs w:val="21"/>
              </w:rPr>
            </w:pPr>
            <w:r>
              <w:rPr>
                <w:rFonts w:hint="eastAsia"/>
                <w:szCs w:val="21"/>
              </w:rPr>
              <w:t>联系人</w:t>
            </w:r>
          </w:p>
        </w:tc>
        <w:tc>
          <w:tcPr>
            <w:tcW w:w="2250" w:type="dxa"/>
            <w:vAlign w:val="center"/>
          </w:tcPr>
          <w:p>
            <w:pPr>
              <w:spacing w:line="360" w:lineRule="auto"/>
              <w:jc w:val="center"/>
              <w:rPr>
                <w:szCs w:val="21"/>
              </w:rPr>
            </w:pPr>
            <w:r>
              <w:rPr>
                <w:rFonts w:hint="eastAsia"/>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pPr>
              <w:spacing w:line="360" w:lineRule="auto"/>
              <w:jc w:val="center"/>
              <w:rPr>
                <w:szCs w:val="21"/>
              </w:rPr>
            </w:pPr>
            <w:r>
              <w:rPr>
                <w:rFonts w:hint="eastAsia"/>
                <w:szCs w:val="21"/>
              </w:rPr>
              <w:t>中国工商银行</w:t>
            </w:r>
          </w:p>
        </w:tc>
        <w:tc>
          <w:tcPr>
            <w:tcW w:w="1408" w:type="dxa"/>
            <w:vAlign w:val="center"/>
          </w:tcPr>
          <w:p>
            <w:pPr>
              <w:spacing w:line="360" w:lineRule="auto"/>
              <w:jc w:val="center"/>
              <w:rPr>
                <w:szCs w:val="21"/>
              </w:rPr>
            </w:pPr>
            <w:r>
              <w:rPr>
                <w:rFonts w:hint="eastAsia"/>
                <w:szCs w:val="21"/>
              </w:rPr>
              <w:t>3.8%起</w:t>
            </w:r>
          </w:p>
        </w:tc>
        <w:tc>
          <w:tcPr>
            <w:tcW w:w="1782" w:type="dxa"/>
            <w:vAlign w:val="center"/>
          </w:tcPr>
          <w:p>
            <w:pPr>
              <w:spacing w:line="360" w:lineRule="auto"/>
              <w:jc w:val="center"/>
              <w:rPr>
                <w:szCs w:val="21"/>
              </w:rPr>
            </w:pPr>
            <w:r>
              <w:rPr>
                <w:rFonts w:hint="eastAsia"/>
                <w:szCs w:val="21"/>
              </w:rPr>
              <w:t>王霖</w:t>
            </w:r>
          </w:p>
        </w:tc>
        <w:tc>
          <w:tcPr>
            <w:tcW w:w="2250" w:type="dxa"/>
            <w:vAlign w:val="center"/>
          </w:tcPr>
          <w:p>
            <w:pPr>
              <w:spacing w:line="360" w:lineRule="auto"/>
              <w:jc w:val="center"/>
              <w:rPr>
                <w:szCs w:val="21"/>
              </w:rPr>
            </w:pPr>
            <w:r>
              <w:rPr>
                <w:rFonts w:hint="eastAsia"/>
                <w:szCs w:val="21"/>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pPr>
              <w:spacing w:line="360" w:lineRule="auto"/>
              <w:jc w:val="center"/>
              <w:rPr>
                <w:szCs w:val="21"/>
              </w:rPr>
            </w:pPr>
            <w:r>
              <w:rPr>
                <w:rFonts w:hint="eastAsia"/>
                <w:szCs w:val="21"/>
              </w:rPr>
              <w:t>中国农业银行</w:t>
            </w:r>
          </w:p>
        </w:tc>
        <w:tc>
          <w:tcPr>
            <w:tcW w:w="1408" w:type="dxa"/>
            <w:vAlign w:val="center"/>
          </w:tcPr>
          <w:p>
            <w:pPr>
              <w:spacing w:line="360" w:lineRule="auto"/>
              <w:jc w:val="center"/>
              <w:rPr>
                <w:szCs w:val="21"/>
              </w:rPr>
            </w:pPr>
            <w:r>
              <w:rPr>
                <w:rFonts w:hint="eastAsia"/>
                <w:szCs w:val="21"/>
              </w:rPr>
              <w:t>3.8%起</w:t>
            </w:r>
          </w:p>
        </w:tc>
        <w:tc>
          <w:tcPr>
            <w:tcW w:w="1782" w:type="dxa"/>
            <w:vAlign w:val="center"/>
          </w:tcPr>
          <w:p>
            <w:pPr>
              <w:spacing w:line="360" w:lineRule="auto"/>
              <w:jc w:val="center"/>
              <w:rPr>
                <w:szCs w:val="21"/>
              </w:rPr>
            </w:pPr>
            <w:r>
              <w:rPr>
                <w:rFonts w:hint="eastAsia"/>
                <w:szCs w:val="21"/>
              </w:rPr>
              <w:t>龚盛</w:t>
            </w:r>
          </w:p>
        </w:tc>
        <w:tc>
          <w:tcPr>
            <w:tcW w:w="2250" w:type="dxa"/>
            <w:vAlign w:val="center"/>
          </w:tcPr>
          <w:p>
            <w:pPr>
              <w:spacing w:line="360" w:lineRule="auto"/>
              <w:jc w:val="center"/>
              <w:rPr>
                <w:szCs w:val="21"/>
              </w:rPr>
            </w:pPr>
            <w:r>
              <w:rPr>
                <w:rFonts w:hint="eastAsia"/>
                <w:szCs w:val="21"/>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pPr>
              <w:spacing w:line="360" w:lineRule="auto"/>
              <w:jc w:val="center"/>
              <w:rPr>
                <w:szCs w:val="21"/>
              </w:rPr>
            </w:pPr>
            <w:r>
              <w:rPr>
                <w:rFonts w:hint="eastAsia"/>
                <w:szCs w:val="21"/>
              </w:rPr>
              <w:t>中国建设银行</w:t>
            </w:r>
          </w:p>
        </w:tc>
        <w:tc>
          <w:tcPr>
            <w:tcW w:w="1408" w:type="dxa"/>
            <w:vAlign w:val="center"/>
          </w:tcPr>
          <w:p>
            <w:pPr>
              <w:spacing w:line="360" w:lineRule="auto"/>
              <w:jc w:val="center"/>
              <w:rPr>
                <w:szCs w:val="21"/>
              </w:rPr>
            </w:pPr>
            <w:r>
              <w:rPr>
                <w:rFonts w:hint="eastAsia"/>
                <w:szCs w:val="21"/>
              </w:rPr>
              <w:t>3.8%起</w:t>
            </w:r>
          </w:p>
        </w:tc>
        <w:tc>
          <w:tcPr>
            <w:tcW w:w="1782" w:type="dxa"/>
            <w:vAlign w:val="center"/>
          </w:tcPr>
          <w:p>
            <w:pPr>
              <w:spacing w:line="360" w:lineRule="auto"/>
              <w:jc w:val="center"/>
              <w:rPr>
                <w:rFonts w:eastAsiaTheme="minorEastAsia"/>
                <w:szCs w:val="21"/>
              </w:rPr>
            </w:pPr>
            <w:r>
              <w:rPr>
                <w:rFonts w:hint="eastAsia"/>
                <w:szCs w:val="21"/>
              </w:rPr>
              <w:t>梅晶晶</w:t>
            </w:r>
          </w:p>
        </w:tc>
        <w:tc>
          <w:tcPr>
            <w:tcW w:w="2250" w:type="dxa"/>
            <w:vAlign w:val="center"/>
          </w:tcPr>
          <w:p>
            <w:pPr>
              <w:spacing w:line="360" w:lineRule="auto"/>
              <w:jc w:val="center"/>
              <w:rPr>
                <w:szCs w:val="21"/>
              </w:rPr>
            </w:pPr>
            <w:r>
              <w:rPr>
                <w:rFonts w:hint="eastAsia"/>
                <w:szCs w:val="21"/>
              </w:rPr>
              <w:t>88525339</w:t>
            </w:r>
          </w:p>
          <w:p>
            <w:pPr>
              <w:spacing w:line="360" w:lineRule="auto"/>
              <w:jc w:val="center"/>
              <w:rPr>
                <w:szCs w:val="21"/>
              </w:rPr>
            </w:pPr>
            <w:r>
              <w:rPr>
                <w:rFonts w:hint="eastAsia"/>
                <w:szCs w:val="21"/>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pPr>
              <w:spacing w:line="360" w:lineRule="auto"/>
              <w:jc w:val="center"/>
              <w:rPr>
                <w:szCs w:val="21"/>
              </w:rPr>
            </w:pPr>
            <w:r>
              <w:rPr>
                <w:rFonts w:hint="eastAsia"/>
                <w:szCs w:val="21"/>
              </w:rPr>
              <w:t>中国银行</w:t>
            </w:r>
          </w:p>
        </w:tc>
        <w:tc>
          <w:tcPr>
            <w:tcW w:w="1408" w:type="dxa"/>
            <w:vAlign w:val="center"/>
          </w:tcPr>
          <w:p>
            <w:pPr>
              <w:spacing w:line="360" w:lineRule="auto"/>
              <w:jc w:val="center"/>
              <w:rPr>
                <w:szCs w:val="21"/>
              </w:rPr>
            </w:pPr>
            <w:r>
              <w:rPr>
                <w:rFonts w:hint="eastAsia"/>
                <w:szCs w:val="21"/>
              </w:rPr>
              <w:t>3.75%起</w:t>
            </w:r>
          </w:p>
        </w:tc>
        <w:tc>
          <w:tcPr>
            <w:tcW w:w="1782" w:type="dxa"/>
            <w:vAlign w:val="center"/>
          </w:tcPr>
          <w:p>
            <w:pPr>
              <w:spacing w:line="360" w:lineRule="auto"/>
              <w:jc w:val="center"/>
              <w:rPr>
                <w:szCs w:val="21"/>
              </w:rPr>
            </w:pPr>
            <w:r>
              <w:rPr>
                <w:rFonts w:hint="eastAsia"/>
                <w:szCs w:val="21"/>
              </w:rPr>
              <w:t>任茜</w:t>
            </w:r>
          </w:p>
        </w:tc>
        <w:tc>
          <w:tcPr>
            <w:tcW w:w="2250" w:type="dxa"/>
            <w:vAlign w:val="center"/>
          </w:tcPr>
          <w:p>
            <w:pPr>
              <w:spacing w:line="360" w:lineRule="auto"/>
              <w:jc w:val="center"/>
              <w:rPr>
                <w:szCs w:val="21"/>
              </w:rPr>
            </w:pPr>
            <w:r>
              <w:rPr>
                <w:rFonts w:hint="eastAsia"/>
                <w:szCs w:val="21"/>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pPr>
              <w:spacing w:line="360" w:lineRule="auto"/>
              <w:jc w:val="center"/>
              <w:rPr>
                <w:rFonts w:eastAsiaTheme="minorEastAsia"/>
                <w:szCs w:val="21"/>
              </w:rPr>
            </w:pPr>
            <w:r>
              <w:rPr>
                <w:rFonts w:hint="eastAsia"/>
                <w:szCs w:val="21"/>
              </w:rPr>
              <w:t>浦发银行台州分行</w:t>
            </w:r>
          </w:p>
        </w:tc>
        <w:tc>
          <w:tcPr>
            <w:tcW w:w="1408" w:type="dxa"/>
            <w:vAlign w:val="center"/>
          </w:tcPr>
          <w:p>
            <w:pPr>
              <w:spacing w:line="360" w:lineRule="auto"/>
              <w:jc w:val="center"/>
              <w:rPr>
                <w:szCs w:val="21"/>
              </w:rPr>
            </w:pPr>
            <w:r>
              <w:rPr>
                <w:rFonts w:hint="eastAsia"/>
                <w:szCs w:val="21"/>
              </w:rPr>
              <w:t>4.05%起</w:t>
            </w:r>
          </w:p>
        </w:tc>
        <w:tc>
          <w:tcPr>
            <w:tcW w:w="1782" w:type="dxa"/>
            <w:vAlign w:val="center"/>
          </w:tcPr>
          <w:p>
            <w:pPr>
              <w:spacing w:line="360" w:lineRule="auto"/>
              <w:jc w:val="center"/>
              <w:rPr>
                <w:szCs w:val="21"/>
              </w:rPr>
            </w:pPr>
            <w:r>
              <w:rPr>
                <w:rFonts w:hint="eastAsia"/>
                <w:szCs w:val="21"/>
              </w:rPr>
              <w:t>王渊</w:t>
            </w:r>
          </w:p>
        </w:tc>
        <w:tc>
          <w:tcPr>
            <w:tcW w:w="2250" w:type="dxa"/>
            <w:vAlign w:val="center"/>
          </w:tcPr>
          <w:p>
            <w:pPr>
              <w:spacing w:line="360" w:lineRule="auto"/>
              <w:jc w:val="center"/>
              <w:rPr>
                <w:szCs w:val="21"/>
              </w:rPr>
            </w:pPr>
            <w:r>
              <w:rPr>
                <w:rFonts w:hint="eastAsia"/>
                <w:szCs w:val="21"/>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pPr>
              <w:spacing w:line="360" w:lineRule="auto"/>
              <w:jc w:val="center"/>
              <w:rPr>
                <w:szCs w:val="21"/>
              </w:rPr>
            </w:pPr>
            <w:r>
              <w:rPr>
                <w:rFonts w:hint="eastAsia"/>
                <w:szCs w:val="21"/>
              </w:rPr>
              <w:t>浦发银行椒江分行</w:t>
            </w:r>
          </w:p>
        </w:tc>
        <w:tc>
          <w:tcPr>
            <w:tcW w:w="1408" w:type="dxa"/>
            <w:vAlign w:val="center"/>
          </w:tcPr>
          <w:p>
            <w:pPr>
              <w:spacing w:line="360" w:lineRule="auto"/>
              <w:jc w:val="center"/>
              <w:rPr>
                <w:szCs w:val="21"/>
              </w:rPr>
            </w:pPr>
            <w:r>
              <w:rPr>
                <w:rFonts w:hint="eastAsia"/>
                <w:szCs w:val="21"/>
              </w:rPr>
              <w:t>4.05%起</w:t>
            </w:r>
          </w:p>
        </w:tc>
        <w:tc>
          <w:tcPr>
            <w:tcW w:w="1782" w:type="dxa"/>
            <w:vAlign w:val="center"/>
          </w:tcPr>
          <w:p>
            <w:pPr>
              <w:spacing w:line="360" w:lineRule="auto"/>
              <w:jc w:val="center"/>
              <w:rPr>
                <w:szCs w:val="21"/>
              </w:rPr>
            </w:pPr>
            <w:r>
              <w:rPr>
                <w:rFonts w:hint="eastAsia"/>
                <w:szCs w:val="21"/>
              </w:rPr>
              <w:t>孙瑞华</w:t>
            </w:r>
          </w:p>
        </w:tc>
        <w:tc>
          <w:tcPr>
            <w:tcW w:w="2250" w:type="dxa"/>
            <w:vAlign w:val="center"/>
          </w:tcPr>
          <w:p>
            <w:pPr>
              <w:spacing w:line="360" w:lineRule="auto"/>
              <w:jc w:val="center"/>
              <w:rPr>
                <w:szCs w:val="21"/>
              </w:rPr>
            </w:pPr>
            <w:r>
              <w:rPr>
                <w:rFonts w:hint="eastAsia"/>
                <w:szCs w:val="21"/>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pPr>
              <w:spacing w:line="360" w:lineRule="auto"/>
              <w:jc w:val="center"/>
              <w:rPr>
                <w:szCs w:val="21"/>
              </w:rPr>
            </w:pPr>
            <w:r>
              <w:rPr>
                <w:rFonts w:hint="eastAsia"/>
                <w:szCs w:val="21"/>
              </w:rPr>
              <w:t>交通银行台州分行</w:t>
            </w:r>
          </w:p>
        </w:tc>
        <w:tc>
          <w:tcPr>
            <w:tcW w:w="1408" w:type="dxa"/>
            <w:vAlign w:val="center"/>
          </w:tcPr>
          <w:p>
            <w:pPr>
              <w:spacing w:line="360" w:lineRule="auto"/>
              <w:jc w:val="center"/>
              <w:rPr>
                <w:szCs w:val="21"/>
              </w:rPr>
            </w:pPr>
            <w:r>
              <w:rPr>
                <w:rFonts w:hint="eastAsia"/>
                <w:szCs w:val="21"/>
              </w:rPr>
              <w:t>3.75%起</w:t>
            </w:r>
          </w:p>
        </w:tc>
        <w:tc>
          <w:tcPr>
            <w:tcW w:w="1782" w:type="dxa"/>
            <w:vAlign w:val="center"/>
          </w:tcPr>
          <w:p>
            <w:pPr>
              <w:spacing w:line="360" w:lineRule="auto"/>
              <w:jc w:val="center"/>
              <w:rPr>
                <w:szCs w:val="21"/>
              </w:rPr>
            </w:pPr>
            <w:r>
              <w:rPr>
                <w:rFonts w:hint="eastAsia"/>
                <w:szCs w:val="21"/>
              </w:rPr>
              <w:t>周翔宇</w:t>
            </w:r>
          </w:p>
        </w:tc>
        <w:tc>
          <w:tcPr>
            <w:tcW w:w="2250" w:type="dxa"/>
            <w:vAlign w:val="center"/>
          </w:tcPr>
          <w:p>
            <w:pPr>
              <w:spacing w:line="360" w:lineRule="auto"/>
              <w:jc w:val="center"/>
              <w:rPr>
                <w:szCs w:val="21"/>
              </w:rPr>
            </w:pPr>
            <w:r>
              <w:rPr>
                <w:rFonts w:hint="eastAsia"/>
                <w:szCs w:val="21"/>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pPr>
              <w:spacing w:line="360" w:lineRule="auto"/>
              <w:jc w:val="center"/>
              <w:rPr>
                <w:szCs w:val="21"/>
              </w:rPr>
            </w:pPr>
            <w:r>
              <w:rPr>
                <w:rFonts w:hint="eastAsia"/>
                <w:szCs w:val="21"/>
              </w:rPr>
              <w:t>招商银行台州分行</w:t>
            </w:r>
          </w:p>
        </w:tc>
        <w:tc>
          <w:tcPr>
            <w:tcW w:w="1408" w:type="dxa"/>
            <w:vAlign w:val="center"/>
          </w:tcPr>
          <w:p>
            <w:pPr>
              <w:spacing w:line="360" w:lineRule="auto"/>
              <w:jc w:val="center"/>
              <w:rPr>
                <w:szCs w:val="21"/>
              </w:rPr>
            </w:pPr>
            <w:r>
              <w:rPr>
                <w:rFonts w:hint="eastAsia"/>
                <w:szCs w:val="21"/>
              </w:rPr>
              <w:t>4.32%起</w:t>
            </w:r>
          </w:p>
        </w:tc>
        <w:tc>
          <w:tcPr>
            <w:tcW w:w="1782" w:type="dxa"/>
            <w:vAlign w:val="center"/>
          </w:tcPr>
          <w:p>
            <w:pPr>
              <w:spacing w:line="360" w:lineRule="auto"/>
              <w:jc w:val="center"/>
              <w:rPr>
                <w:szCs w:val="21"/>
              </w:rPr>
            </w:pPr>
            <w:r>
              <w:rPr>
                <w:rFonts w:hint="eastAsia"/>
                <w:szCs w:val="21"/>
              </w:rPr>
              <w:t>王海玲</w:t>
            </w:r>
          </w:p>
        </w:tc>
        <w:tc>
          <w:tcPr>
            <w:tcW w:w="2250" w:type="dxa"/>
            <w:vAlign w:val="center"/>
          </w:tcPr>
          <w:p>
            <w:pPr>
              <w:spacing w:line="360" w:lineRule="auto"/>
              <w:jc w:val="center"/>
              <w:rPr>
                <w:szCs w:val="21"/>
              </w:rPr>
            </w:pPr>
            <w:r>
              <w:rPr>
                <w:rFonts w:hint="eastAsia"/>
                <w:szCs w:val="21"/>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pPr>
              <w:spacing w:line="360" w:lineRule="auto"/>
              <w:jc w:val="center"/>
              <w:rPr>
                <w:szCs w:val="21"/>
              </w:rPr>
            </w:pPr>
            <w:r>
              <w:rPr>
                <w:rFonts w:hint="eastAsia"/>
                <w:szCs w:val="21"/>
              </w:rPr>
              <w:t>浙商银行台州分行</w:t>
            </w:r>
          </w:p>
        </w:tc>
        <w:tc>
          <w:tcPr>
            <w:tcW w:w="1408" w:type="dxa"/>
            <w:vAlign w:val="center"/>
          </w:tcPr>
          <w:p>
            <w:pPr>
              <w:spacing w:line="360" w:lineRule="auto"/>
              <w:jc w:val="center"/>
              <w:rPr>
                <w:szCs w:val="21"/>
              </w:rPr>
            </w:pPr>
            <w:r>
              <w:rPr>
                <w:rFonts w:hint="eastAsia"/>
                <w:szCs w:val="21"/>
              </w:rPr>
              <w:t>5.01%起</w:t>
            </w:r>
          </w:p>
        </w:tc>
        <w:tc>
          <w:tcPr>
            <w:tcW w:w="1782" w:type="dxa"/>
            <w:vAlign w:val="center"/>
          </w:tcPr>
          <w:p>
            <w:pPr>
              <w:spacing w:line="360" w:lineRule="auto"/>
              <w:jc w:val="center"/>
              <w:rPr>
                <w:szCs w:val="21"/>
              </w:rPr>
            </w:pPr>
            <w:r>
              <w:rPr>
                <w:rFonts w:hint="eastAsia"/>
                <w:szCs w:val="21"/>
              </w:rPr>
              <w:t>章涉漪</w:t>
            </w:r>
          </w:p>
        </w:tc>
        <w:tc>
          <w:tcPr>
            <w:tcW w:w="2250" w:type="dxa"/>
            <w:vAlign w:val="center"/>
          </w:tcPr>
          <w:p>
            <w:pPr>
              <w:spacing w:line="360" w:lineRule="auto"/>
              <w:jc w:val="center"/>
              <w:rPr>
                <w:szCs w:val="21"/>
              </w:rPr>
            </w:pPr>
            <w:r>
              <w:rPr>
                <w:rFonts w:hint="eastAsia"/>
                <w:szCs w:val="21"/>
              </w:rPr>
              <w:t>81880185</w:t>
            </w:r>
          </w:p>
          <w:p>
            <w:pPr>
              <w:spacing w:line="360" w:lineRule="auto"/>
              <w:jc w:val="center"/>
              <w:rPr>
                <w:szCs w:val="21"/>
              </w:rPr>
            </w:pPr>
            <w:r>
              <w:rPr>
                <w:rFonts w:hint="eastAsia"/>
                <w:szCs w:val="21"/>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pPr>
              <w:spacing w:line="360" w:lineRule="auto"/>
              <w:jc w:val="center"/>
              <w:rPr>
                <w:szCs w:val="21"/>
              </w:rPr>
            </w:pPr>
            <w:r>
              <w:rPr>
                <w:rFonts w:hint="eastAsia"/>
                <w:szCs w:val="21"/>
              </w:rPr>
              <w:t>中信银行台州分行</w:t>
            </w:r>
          </w:p>
        </w:tc>
        <w:tc>
          <w:tcPr>
            <w:tcW w:w="1408" w:type="dxa"/>
            <w:vAlign w:val="center"/>
          </w:tcPr>
          <w:p>
            <w:pPr>
              <w:spacing w:line="360" w:lineRule="auto"/>
              <w:jc w:val="center"/>
              <w:rPr>
                <w:szCs w:val="21"/>
              </w:rPr>
            </w:pPr>
            <w:r>
              <w:rPr>
                <w:rFonts w:hint="eastAsia"/>
                <w:szCs w:val="21"/>
              </w:rPr>
              <w:t>4.15%起</w:t>
            </w:r>
          </w:p>
        </w:tc>
        <w:tc>
          <w:tcPr>
            <w:tcW w:w="1782" w:type="dxa"/>
            <w:vAlign w:val="center"/>
          </w:tcPr>
          <w:p>
            <w:pPr>
              <w:spacing w:line="360" w:lineRule="auto"/>
              <w:jc w:val="center"/>
              <w:rPr>
                <w:szCs w:val="21"/>
              </w:rPr>
            </w:pPr>
            <w:r>
              <w:rPr>
                <w:rFonts w:hint="eastAsia"/>
                <w:szCs w:val="21"/>
              </w:rPr>
              <w:t>陈金园</w:t>
            </w:r>
          </w:p>
        </w:tc>
        <w:tc>
          <w:tcPr>
            <w:tcW w:w="2250" w:type="dxa"/>
            <w:vAlign w:val="center"/>
          </w:tcPr>
          <w:p>
            <w:pPr>
              <w:spacing w:line="360" w:lineRule="auto"/>
              <w:jc w:val="center"/>
              <w:rPr>
                <w:szCs w:val="21"/>
              </w:rPr>
            </w:pPr>
            <w:r>
              <w:rPr>
                <w:rFonts w:hint="eastAsia"/>
                <w:szCs w:val="21"/>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pPr>
              <w:spacing w:line="360" w:lineRule="auto"/>
              <w:jc w:val="center"/>
              <w:rPr>
                <w:szCs w:val="21"/>
              </w:rPr>
            </w:pPr>
            <w:r>
              <w:rPr>
                <w:rFonts w:hint="eastAsia"/>
                <w:szCs w:val="21"/>
              </w:rPr>
              <w:t>华夏银行台州分行</w:t>
            </w:r>
          </w:p>
        </w:tc>
        <w:tc>
          <w:tcPr>
            <w:tcW w:w="1408" w:type="dxa"/>
            <w:vAlign w:val="center"/>
          </w:tcPr>
          <w:p>
            <w:pPr>
              <w:spacing w:line="360" w:lineRule="auto"/>
              <w:jc w:val="center"/>
              <w:rPr>
                <w:szCs w:val="21"/>
              </w:rPr>
            </w:pPr>
            <w:r>
              <w:rPr>
                <w:rFonts w:hint="eastAsia"/>
                <w:szCs w:val="21"/>
              </w:rPr>
              <w:t>4.5%起</w:t>
            </w:r>
          </w:p>
        </w:tc>
        <w:tc>
          <w:tcPr>
            <w:tcW w:w="1782" w:type="dxa"/>
            <w:vAlign w:val="center"/>
          </w:tcPr>
          <w:p>
            <w:pPr>
              <w:spacing w:line="360" w:lineRule="auto"/>
              <w:jc w:val="center"/>
              <w:rPr>
                <w:szCs w:val="21"/>
              </w:rPr>
            </w:pPr>
            <w:r>
              <w:rPr>
                <w:rFonts w:hint="eastAsia"/>
                <w:szCs w:val="21"/>
              </w:rPr>
              <w:t>邱明达</w:t>
            </w:r>
          </w:p>
        </w:tc>
        <w:tc>
          <w:tcPr>
            <w:tcW w:w="2250" w:type="dxa"/>
            <w:vAlign w:val="center"/>
          </w:tcPr>
          <w:p>
            <w:pPr>
              <w:spacing w:line="360" w:lineRule="auto"/>
              <w:jc w:val="center"/>
              <w:rPr>
                <w:szCs w:val="21"/>
              </w:rPr>
            </w:pPr>
            <w:r>
              <w:rPr>
                <w:rFonts w:hint="eastAsia"/>
                <w:szCs w:val="21"/>
              </w:rPr>
              <w:t>81871518</w:t>
            </w:r>
          </w:p>
          <w:p>
            <w:pPr>
              <w:spacing w:line="360" w:lineRule="auto"/>
              <w:jc w:val="center"/>
              <w:rPr>
                <w:szCs w:val="21"/>
              </w:rPr>
            </w:pPr>
            <w:r>
              <w:rPr>
                <w:rFonts w:hint="eastAsia"/>
                <w:szCs w:val="21"/>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pPr>
              <w:spacing w:line="360" w:lineRule="auto"/>
              <w:jc w:val="center"/>
              <w:rPr>
                <w:szCs w:val="21"/>
              </w:rPr>
            </w:pPr>
            <w:r>
              <w:rPr>
                <w:rFonts w:hint="eastAsia"/>
                <w:szCs w:val="21"/>
              </w:rPr>
              <w:t>泰隆银行开发区支行</w:t>
            </w:r>
          </w:p>
        </w:tc>
        <w:tc>
          <w:tcPr>
            <w:tcW w:w="1408" w:type="dxa"/>
            <w:vAlign w:val="center"/>
          </w:tcPr>
          <w:p>
            <w:pPr>
              <w:spacing w:line="360" w:lineRule="auto"/>
              <w:jc w:val="center"/>
              <w:rPr>
                <w:szCs w:val="21"/>
              </w:rPr>
            </w:pPr>
            <w:r>
              <w:rPr>
                <w:rFonts w:hint="eastAsia"/>
                <w:szCs w:val="21"/>
              </w:rPr>
              <w:t>5.6%起</w:t>
            </w:r>
          </w:p>
        </w:tc>
        <w:tc>
          <w:tcPr>
            <w:tcW w:w="1782" w:type="dxa"/>
            <w:vAlign w:val="center"/>
          </w:tcPr>
          <w:p>
            <w:pPr>
              <w:spacing w:line="360" w:lineRule="auto"/>
              <w:jc w:val="center"/>
              <w:rPr>
                <w:szCs w:val="21"/>
              </w:rPr>
            </w:pPr>
            <w:r>
              <w:rPr>
                <w:rFonts w:hint="eastAsia"/>
                <w:szCs w:val="21"/>
              </w:rPr>
              <w:t>梁宛莉</w:t>
            </w:r>
          </w:p>
        </w:tc>
        <w:tc>
          <w:tcPr>
            <w:tcW w:w="2250" w:type="dxa"/>
            <w:vAlign w:val="center"/>
          </w:tcPr>
          <w:p>
            <w:pPr>
              <w:spacing w:line="360" w:lineRule="auto"/>
              <w:jc w:val="center"/>
              <w:rPr>
                <w:szCs w:val="21"/>
              </w:rPr>
            </w:pPr>
            <w:r>
              <w:rPr>
                <w:rFonts w:hint="eastAsia"/>
                <w:szCs w:val="21"/>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pPr>
              <w:spacing w:line="360" w:lineRule="auto"/>
              <w:jc w:val="center"/>
              <w:rPr>
                <w:szCs w:val="21"/>
              </w:rPr>
            </w:pPr>
            <w:r>
              <w:rPr>
                <w:rFonts w:hint="eastAsia"/>
                <w:szCs w:val="21"/>
              </w:rPr>
              <w:t>民泰银行椒江支行</w:t>
            </w:r>
          </w:p>
        </w:tc>
        <w:tc>
          <w:tcPr>
            <w:tcW w:w="1408" w:type="dxa"/>
            <w:vAlign w:val="center"/>
          </w:tcPr>
          <w:p>
            <w:pPr>
              <w:spacing w:line="360" w:lineRule="auto"/>
              <w:jc w:val="center"/>
              <w:rPr>
                <w:szCs w:val="21"/>
              </w:rPr>
            </w:pPr>
            <w:r>
              <w:rPr>
                <w:rFonts w:hint="eastAsia"/>
                <w:szCs w:val="21"/>
              </w:rPr>
              <w:t>5.8%起</w:t>
            </w:r>
          </w:p>
        </w:tc>
        <w:tc>
          <w:tcPr>
            <w:tcW w:w="1782" w:type="dxa"/>
            <w:vAlign w:val="center"/>
          </w:tcPr>
          <w:p>
            <w:pPr>
              <w:spacing w:line="360" w:lineRule="auto"/>
              <w:jc w:val="center"/>
              <w:rPr>
                <w:szCs w:val="21"/>
              </w:rPr>
            </w:pPr>
            <w:r>
              <w:rPr>
                <w:rFonts w:hint="eastAsia"/>
                <w:szCs w:val="21"/>
              </w:rPr>
              <w:t>陈慧珠</w:t>
            </w:r>
          </w:p>
        </w:tc>
        <w:tc>
          <w:tcPr>
            <w:tcW w:w="2250" w:type="dxa"/>
            <w:vAlign w:val="center"/>
          </w:tcPr>
          <w:p>
            <w:pPr>
              <w:spacing w:line="360" w:lineRule="auto"/>
              <w:jc w:val="center"/>
              <w:rPr>
                <w:szCs w:val="21"/>
              </w:rPr>
            </w:pPr>
            <w:r>
              <w:rPr>
                <w:rFonts w:hint="eastAsia"/>
                <w:szCs w:val="21"/>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pPr>
              <w:spacing w:line="360" w:lineRule="auto"/>
              <w:jc w:val="center"/>
              <w:rPr>
                <w:szCs w:val="21"/>
              </w:rPr>
            </w:pPr>
            <w:r>
              <w:rPr>
                <w:rFonts w:hint="eastAsia"/>
                <w:szCs w:val="21"/>
              </w:rPr>
              <w:t>绍兴银行台州分行</w:t>
            </w:r>
          </w:p>
        </w:tc>
        <w:tc>
          <w:tcPr>
            <w:tcW w:w="1408" w:type="dxa"/>
            <w:vAlign w:val="center"/>
          </w:tcPr>
          <w:p>
            <w:pPr>
              <w:spacing w:line="360" w:lineRule="auto"/>
              <w:jc w:val="center"/>
              <w:rPr>
                <w:szCs w:val="21"/>
              </w:rPr>
            </w:pPr>
            <w:r>
              <w:rPr>
                <w:rFonts w:hint="eastAsia"/>
                <w:szCs w:val="21"/>
              </w:rPr>
              <w:t>5.1%起</w:t>
            </w:r>
          </w:p>
        </w:tc>
        <w:tc>
          <w:tcPr>
            <w:tcW w:w="1782" w:type="dxa"/>
            <w:vAlign w:val="center"/>
          </w:tcPr>
          <w:p>
            <w:pPr>
              <w:spacing w:line="360" w:lineRule="auto"/>
              <w:jc w:val="center"/>
              <w:rPr>
                <w:szCs w:val="21"/>
              </w:rPr>
            </w:pPr>
            <w:r>
              <w:rPr>
                <w:rFonts w:hint="eastAsia"/>
                <w:szCs w:val="21"/>
              </w:rPr>
              <w:t>郭庭斌</w:t>
            </w:r>
          </w:p>
        </w:tc>
        <w:tc>
          <w:tcPr>
            <w:tcW w:w="2250" w:type="dxa"/>
            <w:vAlign w:val="center"/>
          </w:tcPr>
          <w:p>
            <w:pPr>
              <w:spacing w:line="360" w:lineRule="auto"/>
              <w:jc w:val="center"/>
              <w:rPr>
                <w:szCs w:val="21"/>
              </w:rPr>
            </w:pPr>
            <w:r>
              <w:rPr>
                <w:rFonts w:hint="eastAsia"/>
                <w:szCs w:val="21"/>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pPr>
              <w:spacing w:line="360" w:lineRule="auto"/>
              <w:jc w:val="center"/>
              <w:rPr>
                <w:szCs w:val="21"/>
              </w:rPr>
            </w:pPr>
            <w:r>
              <w:rPr>
                <w:rFonts w:hint="eastAsia"/>
                <w:szCs w:val="21"/>
              </w:rPr>
              <w:t>温州银行台州分行</w:t>
            </w:r>
          </w:p>
        </w:tc>
        <w:tc>
          <w:tcPr>
            <w:tcW w:w="1408" w:type="dxa"/>
            <w:vAlign w:val="center"/>
          </w:tcPr>
          <w:p>
            <w:pPr>
              <w:spacing w:line="360" w:lineRule="auto"/>
              <w:jc w:val="center"/>
              <w:rPr>
                <w:szCs w:val="21"/>
              </w:rPr>
            </w:pPr>
            <w:r>
              <w:rPr>
                <w:rFonts w:hint="eastAsia"/>
                <w:szCs w:val="21"/>
              </w:rPr>
              <w:t>4.55%起</w:t>
            </w:r>
          </w:p>
        </w:tc>
        <w:tc>
          <w:tcPr>
            <w:tcW w:w="1782" w:type="dxa"/>
            <w:vAlign w:val="center"/>
          </w:tcPr>
          <w:p>
            <w:pPr>
              <w:spacing w:line="360" w:lineRule="auto"/>
              <w:jc w:val="center"/>
              <w:rPr>
                <w:szCs w:val="21"/>
              </w:rPr>
            </w:pPr>
            <w:r>
              <w:rPr>
                <w:rFonts w:hint="eastAsia"/>
                <w:szCs w:val="21"/>
              </w:rPr>
              <w:t>王晓波</w:t>
            </w:r>
          </w:p>
        </w:tc>
        <w:tc>
          <w:tcPr>
            <w:tcW w:w="2250" w:type="dxa"/>
            <w:vAlign w:val="center"/>
          </w:tcPr>
          <w:p>
            <w:pPr>
              <w:spacing w:line="360" w:lineRule="auto"/>
              <w:jc w:val="center"/>
              <w:rPr>
                <w:szCs w:val="21"/>
              </w:rPr>
            </w:pPr>
            <w:r>
              <w:rPr>
                <w:rFonts w:hint="eastAsia"/>
                <w:szCs w:val="21"/>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pPr>
              <w:spacing w:line="360" w:lineRule="auto"/>
              <w:jc w:val="center"/>
              <w:rPr>
                <w:szCs w:val="21"/>
              </w:rPr>
            </w:pPr>
            <w:r>
              <w:rPr>
                <w:rFonts w:hint="eastAsia"/>
                <w:szCs w:val="21"/>
              </w:rPr>
              <w:t>平安银行台州分行</w:t>
            </w:r>
          </w:p>
        </w:tc>
        <w:tc>
          <w:tcPr>
            <w:tcW w:w="1408" w:type="dxa"/>
            <w:vAlign w:val="center"/>
          </w:tcPr>
          <w:p>
            <w:pPr>
              <w:spacing w:line="360" w:lineRule="auto"/>
              <w:jc w:val="center"/>
              <w:rPr>
                <w:szCs w:val="21"/>
              </w:rPr>
            </w:pPr>
            <w:r>
              <w:rPr>
                <w:rFonts w:hint="eastAsia"/>
                <w:szCs w:val="21"/>
              </w:rPr>
              <w:t>6.53%起</w:t>
            </w:r>
          </w:p>
        </w:tc>
        <w:tc>
          <w:tcPr>
            <w:tcW w:w="1782" w:type="dxa"/>
            <w:vAlign w:val="center"/>
          </w:tcPr>
          <w:p>
            <w:pPr>
              <w:spacing w:line="360" w:lineRule="auto"/>
              <w:jc w:val="center"/>
              <w:rPr>
                <w:szCs w:val="21"/>
              </w:rPr>
            </w:pPr>
            <w:r>
              <w:rPr>
                <w:rFonts w:hint="eastAsia"/>
                <w:szCs w:val="21"/>
              </w:rPr>
              <w:t>李俊丽</w:t>
            </w:r>
          </w:p>
        </w:tc>
        <w:tc>
          <w:tcPr>
            <w:tcW w:w="2250" w:type="dxa"/>
            <w:vAlign w:val="center"/>
          </w:tcPr>
          <w:p>
            <w:pPr>
              <w:spacing w:line="360" w:lineRule="auto"/>
              <w:jc w:val="center"/>
              <w:rPr>
                <w:szCs w:val="21"/>
              </w:rPr>
            </w:pPr>
            <w:r>
              <w:rPr>
                <w:rFonts w:hint="eastAsia"/>
                <w:szCs w:val="21"/>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pPr>
              <w:spacing w:line="360" w:lineRule="auto"/>
              <w:jc w:val="center"/>
              <w:rPr>
                <w:szCs w:val="21"/>
              </w:rPr>
            </w:pPr>
            <w:r>
              <w:rPr>
                <w:rFonts w:hint="eastAsia"/>
                <w:szCs w:val="21"/>
              </w:rPr>
              <w:t>宁波银行台州分行</w:t>
            </w:r>
          </w:p>
        </w:tc>
        <w:tc>
          <w:tcPr>
            <w:tcW w:w="1408" w:type="dxa"/>
            <w:vAlign w:val="center"/>
          </w:tcPr>
          <w:p>
            <w:pPr>
              <w:spacing w:line="360" w:lineRule="auto"/>
              <w:jc w:val="center"/>
              <w:rPr>
                <w:szCs w:val="21"/>
              </w:rPr>
            </w:pPr>
            <w:r>
              <w:rPr>
                <w:rFonts w:hint="eastAsia"/>
                <w:szCs w:val="21"/>
              </w:rPr>
              <w:t>4.35%起</w:t>
            </w:r>
          </w:p>
        </w:tc>
        <w:tc>
          <w:tcPr>
            <w:tcW w:w="1782" w:type="dxa"/>
            <w:vAlign w:val="center"/>
          </w:tcPr>
          <w:p>
            <w:pPr>
              <w:spacing w:line="360" w:lineRule="auto"/>
              <w:jc w:val="center"/>
              <w:rPr>
                <w:szCs w:val="21"/>
              </w:rPr>
            </w:pPr>
            <w:r>
              <w:rPr>
                <w:rFonts w:hint="eastAsia"/>
                <w:szCs w:val="21"/>
              </w:rPr>
              <w:t>戴莉丽</w:t>
            </w:r>
          </w:p>
        </w:tc>
        <w:tc>
          <w:tcPr>
            <w:tcW w:w="2250" w:type="dxa"/>
            <w:vAlign w:val="center"/>
          </w:tcPr>
          <w:p>
            <w:pPr>
              <w:spacing w:line="360" w:lineRule="auto"/>
              <w:jc w:val="center"/>
              <w:rPr>
                <w:szCs w:val="21"/>
              </w:rPr>
            </w:pPr>
            <w:r>
              <w:rPr>
                <w:rFonts w:hint="eastAsia"/>
                <w:szCs w:val="21"/>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pPr>
              <w:spacing w:line="360" w:lineRule="auto"/>
              <w:jc w:val="center"/>
              <w:rPr>
                <w:szCs w:val="21"/>
              </w:rPr>
            </w:pPr>
            <w:r>
              <w:rPr>
                <w:rFonts w:hint="eastAsia"/>
                <w:szCs w:val="21"/>
              </w:rPr>
              <w:t>金华银行台州分行</w:t>
            </w:r>
          </w:p>
        </w:tc>
        <w:tc>
          <w:tcPr>
            <w:tcW w:w="1408" w:type="dxa"/>
            <w:vAlign w:val="center"/>
          </w:tcPr>
          <w:p>
            <w:pPr>
              <w:spacing w:line="360" w:lineRule="auto"/>
              <w:jc w:val="center"/>
              <w:rPr>
                <w:szCs w:val="21"/>
              </w:rPr>
            </w:pPr>
            <w:r>
              <w:rPr>
                <w:rFonts w:hint="eastAsia"/>
                <w:szCs w:val="21"/>
              </w:rPr>
              <w:t>4.05%起</w:t>
            </w:r>
          </w:p>
        </w:tc>
        <w:tc>
          <w:tcPr>
            <w:tcW w:w="1782" w:type="dxa"/>
            <w:vAlign w:val="center"/>
          </w:tcPr>
          <w:p>
            <w:pPr>
              <w:spacing w:line="360" w:lineRule="auto"/>
              <w:jc w:val="center"/>
              <w:rPr>
                <w:szCs w:val="21"/>
              </w:rPr>
            </w:pPr>
            <w:r>
              <w:rPr>
                <w:rFonts w:hint="eastAsia"/>
                <w:szCs w:val="21"/>
              </w:rPr>
              <w:t>金雪婷</w:t>
            </w:r>
          </w:p>
        </w:tc>
        <w:tc>
          <w:tcPr>
            <w:tcW w:w="2250" w:type="dxa"/>
            <w:vAlign w:val="center"/>
          </w:tcPr>
          <w:p>
            <w:pPr>
              <w:spacing w:line="360" w:lineRule="auto"/>
              <w:jc w:val="center"/>
              <w:rPr>
                <w:szCs w:val="21"/>
              </w:rPr>
            </w:pPr>
            <w:r>
              <w:rPr>
                <w:rFonts w:hint="eastAsia"/>
                <w:szCs w:val="21"/>
              </w:rPr>
              <w:t>81886670</w:t>
            </w:r>
          </w:p>
          <w:p>
            <w:pPr>
              <w:spacing w:line="360" w:lineRule="auto"/>
              <w:jc w:val="center"/>
              <w:rPr>
                <w:szCs w:val="21"/>
              </w:rPr>
            </w:pPr>
            <w:r>
              <w:rPr>
                <w:rFonts w:hint="eastAsia"/>
                <w:szCs w:val="21"/>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pPr>
              <w:spacing w:line="360" w:lineRule="auto"/>
              <w:jc w:val="center"/>
              <w:rPr>
                <w:rFonts w:eastAsiaTheme="minorEastAsia"/>
                <w:szCs w:val="21"/>
              </w:rPr>
            </w:pPr>
            <w:r>
              <w:rPr>
                <w:rFonts w:hint="eastAsia"/>
                <w:szCs w:val="21"/>
              </w:rPr>
              <w:t>台州银行</w:t>
            </w:r>
          </w:p>
        </w:tc>
        <w:tc>
          <w:tcPr>
            <w:tcW w:w="1408" w:type="dxa"/>
            <w:vAlign w:val="center"/>
          </w:tcPr>
          <w:p>
            <w:pPr>
              <w:spacing w:line="360" w:lineRule="auto"/>
              <w:jc w:val="center"/>
              <w:rPr>
                <w:szCs w:val="21"/>
              </w:rPr>
            </w:pPr>
            <w:r>
              <w:rPr>
                <w:rFonts w:hint="eastAsia"/>
                <w:szCs w:val="21"/>
              </w:rPr>
              <w:t>5.6%起</w:t>
            </w:r>
          </w:p>
        </w:tc>
        <w:tc>
          <w:tcPr>
            <w:tcW w:w="1782" w:type="dxa"/>
            <w:vAlign w:val="center"/>
          </w:tcPr>
          <w:p>
            <w:pPr>
              <w:spacing w:line="360" w:lineRule="auto"/>
              <w:jc w:val="center"/>
              <w:rPr>
                <w:szCs w:val="21"/>
              </w:rPr>
            </w:pPr>
            <w:r>
              <w:rPr>
                <w:rFonts w:hint="eastAsia"/>
                <w:szCs w:val="21"/>
              </w:rPr>
              <w:t>洪婷</w:t>
            </w:r>
          </w:p>
        </w:tc>
        <w:tc>
          <w:tcPr>
            <w:tcW w:w="2250" w:type="dxa"/>
            <w:vAlign w:val="center"/>
          </w:tcPr>
          <w:p>
            <w:pPr>
              <w:spacing w:line="360" w:lineRule="auto"/>
              <w:jc w:val="center"/>
              <w:rPr>
                <w:szCs w:val="21"/>
              </w:rPr>
            </w:pPr>
            <w:r>
              <w:rPr>
                <w:rFonts w:hint="eastAsia"/>
                <w:szCs w:val="21"/>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57" w:type="dxa"/>
            <w:vAlign w:val="center"/>
          </w:tcPr>
          <w:p>
            <w:pPr>
              <w:spacing w:line="360" w:lineRule="auto"/>
              <w:jc w:val="center"/>
              <w:rPr>
                <w:rFonts w:eastAsiaTheme="minorEastAsia"/>
                <w:szCs w:val="21"/>
              </w:rPr>
            </w:pPr>
            <w:r>
              <w:rPr>
                <w:rFonts w:hint="eastAsia"/>
                <w:szCs w:val="21"/>
              </w:rPr>
              <w:t>邮储银行台州分行</w:t>
            </w:r>
          </w:p>
        </w:tc>
        <w:tc>
          <w:tcPr>
            <w:tcW w:w="1408" w:type="dxa"/>
            <w:vAlign w:val="center"/>
          </w:tcPr>
          <w:p>
            <w:pPr>
              <w:spacing w:line="360" w:lineRule="auto"/>
              <w:jc w:val="center"/>
              <w:rPr>
                <w:szCs w:val="21"/>
              </w:rPr>
            </w:pPr>
            <w:r>
              <w:rPr>
                <w:rFonts w:hint="eastAsia"/>
                <w:szCs w:val="21"/>
              </w:rPr>
              <w:t>3.85%起</w:t>
            </w:r>
          </w:p>
        </w:tc>
        <w:tc>
          <w:tcPr>
            <w:tcW w:w="1782" w:type="dxa"/>
            <w:vAlign w:val="center"/>
          </w:tcPr>
          <w:p>
            <w:pPr>
              <w:spacing w:line="360" w:lineRule="auto"/>
              <w:jc w:val="center"/>
              <w:rPr>
                <w:szCs w:val="21"/>
              </w:rPr>
            </w:pPr>
            <w:r>
              <w:rPr>
                <w:rFonts w:hint="eastAsia"/>
                <w:szCs w:val="21"/>
              </w:rPr>
              <w:t>董庆</w:t>
            </w:r>
          </w:p>
        </w:tc>
        <w:tc>
          <w:tcPr>
            <w:tcW w:w="2250" w:type="dxa"/>
            <w:vAlign w:val="center"/>
          </w:tcPr>
          <w:p>
            <w:pPr>
              <w:spacing w:line="360" w:lineRule="auto"/>
              <w:jc w:val="center"/>
              <w:rPr>
                <w:szCs w:val="21"/>
              </w:rPr>
            </w:pPr>
            <w:r>
              <w:rPr>
                <w:rFonts w:hint="eastAsia"/>
                <w:szCs w:val="21"/>
              </w:rPr>
              <w:t>81888982</w:t>
            </w:r>
          </w:p>
          <w:p>
            <w:pPr>
              <w:spacing w:line="360" w:lineRule="auto"/>
              <w:jc w:val="center"/>
              <w:rPr>
                <w:szCs w:val="21"/>
              </w:rPr>
            </w:pPr>
            <w:r>
              <w:rPr>
                <w:rFonts w:hint="eastAsia"/>
                <w:szCs w:val="21"/>
              </w:rPr>
              <w:t>18957683735</w:t>
            </w:r>
          </w:p>
        </w:tc>
      </w:tr>
    </w:tbl>
    <w:p>
      <w:pPr>
        <w:spacing w:line="360" w:lineRule="auto"/>
        <w:rPr>
          <w:rFonts w:ascii="宋体" w:hAnsi="宋体"/>
          <w:szCs w:val="21"/>
        </w:rPr>
      </w:pPr>
      <w:r>
        <w:rPr>
          <w:rFonts w:hint="eastAsia" w:ascii="宋体" w:hAnsi="宋体"/>
          <w:b/>
          <w:szCs w:val="21"/>
        </w:rPr>
        <w:t>十一、采购（中标）公告发布媒体：</w:t>
      </w:r>
      <w:r>
        <w:rPr>
          <w:rFonts w:hint="eastAsia" w:ascii="宋体" w:hAnsi="宋体"/>
          <w:szCs w:val="21"/>
        </w:rPr>
        <w:t>浙江政府采购网（</w:t>
      </w:r>
      <w:r>
        <w:fldChar w:fldCharType="begin"/>
      </w:r>
      <w:r>
        <w:instrText xml:space="preserve"> HYPERLINK "http://www.zjzfcg.gov.cn/new/" </w:instrText>
      </w:r>
      <w:r>
        <w:fldChar w:fldCharType="separate"/>
      </w:r>
      <w:r>
        <w:rPr>
          <w:rStyle w:val="34"/>
          <w:rFonts w:hint="eastAsia" w:ascii="宋体" w:hAnsi="宋体"/>
          <w:color w:val="auto"/>
          <w:szCs w:val="21"/>
        </w:rPr>
        <w:t>http://zfcg.czt.zj.gov.cn</w:t>
      </w:r>
      <w:r>
        <w:rPr>
          <w:rStyle w:val="34"/>
          <w:rFonts w:hint="eastAsia" w:ascii="宋体" w:hAnsi="宋体"/>
          <w:color w:val="auto"/>
          <w:szCs w:val="21"/>
        </w:rPr>
        <w:fldChar w:fldCharType="end"/>
      </w:r>
      <w:r>
        <w:rPr>
          <w:rFonts w:hint="eastAsia" w:ascii="宋体" w:hAnsi="宋体"/>
          <w:szCs w:val="21"/>
        </w:rPr>
        <w:t>）</w:t>
      </w:r>
    </w:p>
    <w:p>
      <w:pPr>
        <w:spacing w:line="360" w:lineRule="auto"/>
        <w:ind w:right="-252" w:rightChars="-120" w:firstLine="422" w:firstLineChars="200"/>
        <w:rPr>
          <w:rFonts w:ascii="宋体" w:hAnsi="宋体"/>
          <w:b/>
          <w:szCs w:val="21"/>
        </w:rPr>
      </w:pPr>
      <w:r>
        <w:rPr>
          <w:rFonts w:hint="eastAsia" w:ascii="宋体" w:hAnsi="宋体"/>
          <w:b/>
          <w:szCs w:val="21"/>
        </w:rPr>
        <w:t>备注：请贵单位下载本次招标采购文件后，认真阅读各项内容，进行必要的准备工作，按文件的要求详细填写和编制响应文件，并按以上确定的时间、地点准时上传投标文件。</w:t>
      </w:r>
    </w:p>
    <w:p>
      <w:pPr>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浙江中竞管理服务有限公司</w:t>
      </w:r>
    </w:p>
    <w:p>
      <w:pPr>
        <w:pStyle w:val="9"/>
        <w:spacing w:line="360" w:lineRule="auto"/>
        <w:jc w:val="right"/>
        <w:rPr>
          <w:rFonts w:ascii="宋体"/>
          <w:b/>
          <w:sz w:val="36"/>
          <w:szCs w:val="36"/>
        </w:rPr>
        <w:sectPr>
          <w:headerReference r:id="rId3" w:type="default"/>
          <w:footerReference r:id="rId4" w:type="default"/>
          <w:pgSz w:w="11906" w:h="16838"/>
          <w:pgMar w:top="1440" w:right="1440" w:bottom="1440" w:left="1803" w:header="851" w:footer="992" w:gutter="0"/>
          <w:cols w:space="0" w:num="1"/>
          <w:docGrid w:type="lines" w:linePitch="325" w:charSpace="0"/>
        </w:sectPr>
      </w:pPr>
      <w:r>
        <w:rPr>
          <w:rFonts w:hint="eastAsia" w:asciiTheme="minorEastAsia" w:hAnsiTheme="minorEastAsia" w:eastAsiaTheme="minorEastAsia" w:cstheme="minorEastAsia"/>
          <w:szCs w:val="21"/>
        </w:rPr>
        <w:t>二○二</w:t>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月</w:t>
      </w:r>
    </w:p>
    <w:p>
      <w:pPr>
        <w:spacing w:line="360" w:lineRule="auto"/>
        <w:jc w:val="center"/>
        <w:outlineLvl w:val="0"/>
        <w:rPr>
          <w:rFonts w:ascii="宋体"/>
          <w:b/>
          <w:sz w:val="36"/>
          <w:szCs w:val="36"/>
        </w:rPr>
      </w:pPr>
      <w:r>
        <w:rPr>
          <w:rFonts w:hint="eastAsia" w:ascii="宋体" w:hAnsi="宋体"/>
          <w:b/>
          <w:sz w:val="36"/>
          <w:szCs w:val="36"/>
        </w:rPr>
        <w:t>第二章 投标人须知</w:t>
      </w:r>
    </w:p>
    <w:p>
      <w:pPr>
        <w:spacing w:line="360" w:lineRule="auto"/>
        <w:jc w:val="center"/>
        <w:rPr>
          <w:rFonts w:ascii="宋体"/>
          <w:b/>
          <w:sz w:val="28"/>
          <w:szCs w:val="28"/>
        </w:rPr>
      </w:pPr>
      <w:r>
        <w:rPr>
          <w:rFonts w:hint="eastAsia" w:ascii="宋体" w:hAnsi="宋体"/>
          <w:b/>
          <w:sz w:val="28"/>
          <w:szCs w:val="28"/>
        </w:rPr>
        <w:t>前  附 表</w:t>
      </w:r>
    </w:p>
    <w:tbl>
      <w:tblPr>
        <w:tblStyle w:val="29"/>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58"/>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11" w:type="dxa"/>
            <w:vAlign w:val="center"/>
          </w:tcPr>
          <w:p>
            <w:pPr>
              <w:spacing w:line="360" w:lineRule="auto"/>
              <w:jc w:val="center"/>
              <w:rPr>
                <w:rFonts w:ascii="宋体" w:hAnsi="宋体" w:cs="宋体"/>
                <w:b/>
                <w:bCs/>
                <w:szCs w:val="21"/>
              </w:rPr>
            </w:pPr>
            <w:r>
              <w:rPr>
                <w:rFonts w:hint="eastAsia" w:ascii="宋体" w:hAnsi="宋体" w:cs="宋体"/>
                <w:b/>
                <w:bCs/>
                <w:szCs w:val="21"/>
              </w:rPr>
              <w:t>序号</w:t>
            </w:r>
          </w:p>
        </w:tc>
        <w:tc>
          <w:tcPr>
            <w:tcW w:w="1358" w:type="dxa"/>
            <w:vAlign w:val="center"/>
          </w:tcPr>
          <w:p>
            <w:pPr>
              <w:spacing w:line="360" w:lineRule="auto"/>
              <w:jc w:val="center"/>
              <w:rPr>
                <w:rFonts w:ascii="宋体" w:hAnsi="宋体" w:cs="宋体"/>
                <w:b/>
                <w:bCs/>
                <w:szCs w:val="21"/>
              </w:rPr>
            </w:pPr>
            <w:r>
              <w:rPr>
                <w:rFonts w:hint="eastAsia" w:ascii="宋体" w:hAnsi="宋体" w:cs="宋体"/>
                <w:b/>
                <w:bCs/>
                <w:szCs w:val="21"/>
              </w:rPr>
              <w:t>项目</w:t>
            </w:r>
          </w:p>
        </w:tc>
        <w:tc>
          <w:tcPr>
            <w:tcW w:w="6910" w:type="dxa"/>
            <w:vAlign w:val="center"/>
          </w:tcPr>
          <w:p>
            <w:pPr>
              <w:spacing w:line="360" w:lineRule="auto"/>
              <w:jc w:val="center"/>
              <w:rPr>
                <w:rFonts w:ascii="宋体" w:hAnsi="宋体" w:cs="宋体"/>
                <w:b/>
                <w:bCs/>
                <w:szCs w:val="21"/>
              </w:rPr>
            </w:pPr>
            <w:r>
              <w:rPr>
                <w:rFonts w:hint="eastAsia" w:ascii="宋体" w:hAnsi="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711"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358" w:type="dxa"/>
            <w:vAlign w:val="center"/>
          </w:tcPr>
          <w:p>
            <w:pPr>
              <w:spacing w:line="360" w:lineRule="auto"/>
              <w:jc w:val="center"/>
              <w:rPr>
                <w:rFonts w:ascii="宋体" w:hAnsi="宋体" w:cs="宋体"/>
                <w:szCs w:val="21"/>
              </w:rPr>
            </w:pPr>
            <w:r>
              <w:rPr>
                <w:rFonts w:hint="eastAsia" w:ascii="宋体" w:hAnsi="宋体" w:cs="宋体"/>
                <w:szCs w:val="21"/>
              </w:rPr>
              <w:t>项目说明</w:t>
            </w:r>
          </w:p>
        </w:tc>
        <w:tc>
          <w:tcPr>
            <w:tcW w:w="6910" w:type="dxa"/>
            <w:vAlign w:val="center"/>
          </w:tcPr>
          <w:p>
            <w:pPr>
              <w:spacing w:line="360" w:lineRule="auto"/>
              <w:rPr>
                <w:rFonts w:ascii="宋体" w:hAnsi="宋体" w:cs="宋体"/>
                <w:szCs w:val="21"/>
              </w:rPr>
            </w:pPr>
            <w:r>
              <w:rPr>
                <w:rFonts w:hint="eastAsia" w:ascii="宋体" w:hAnsi="宋体" w:cs="宋体"/>
                <w:szCs w:val="21"/>
              </w:rPr>
              <w:t>项目类别：制造业-货物类</w:t>
            </w:r>
          </w:p>
          <w:p>
            <w:pPr>
              <w:spacing w:line="360" w:lineRule="auto"/>
              <w:rPr>
                <w:rFonts w:ascii="宋体" w:hAnsi="宋体" w:cs="宋体"/>
                <w:szCs w:val="21"/>
              </w:rPr>
            </w:pPr>
            <w:r>
              <w:rPr>
                <w:rFonts w:hint="eastAsia" w:ascii="宋体" w:hAnsi="宋体" w:cs="宋体"/>
                <w:szCs w:val="21"/>
              </w:rPr>
              <w:t>采购标的所属行业：根据《工业和信息化部、国家统计局、国家发展和改革委员会、财政部关于印发中小企业划型标准规定的通知》（工信部联企业[2011]300号）规定，本项目采购标的对应的中小企业划分标准所属行业为（十六）：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1"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358" w:type="dxa"/>
            <w:vAlign w:val="center"/>
          </w:tcPr>
          <w:p>
            <w:pPr>
              <w:jc w:val="center"/>
              <w:rPr>
                <w:rFonts w:ascii="宋体" w:hAnsi="宋体" w:cs="宋体"/>
                <w:szCs w:val="21"/>
              </w:rPr>
            </w:pPr>
            <w:r>
              <w:rPr>
                <w:rFonts w:hint="eastAsia" w:ascii="宋体" w:hAnsi="宋体" w:cs="宋体"/>
                <w:szCs w:val="21"/>
              </w:rPr>
              <w:t>供应商特定资格要求</w:t>
            </w:r>
          </w:p>
        </w:tc>
        <w:tc>
          <w:tcPr>
            <w:tcW w:w="6910" w:type="dxa"/>
            <w:vAlign w:val="center"/>
          </w:tcPr>
          <w:p>
            <w:pPr>
              <w:spacing w:line="360" w:lineRule="auto"/>
              <w:rPr>
                <w:rFonts w:ascii="宋体" w:hAnsi="宋体" w:cs="宋体"/>
                <w:szCs w:val="21"/>
              </w:rPr>
            </w:pPr>
            <w:r>
              <w:rPr>
                <w:rFonts w:hint="eastAsia" w:ascii="宋体" w:hAnsi="宋体" w:cs="宋体"/>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11"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358" w:type="dxa"/>
            <w:vAlign w:val="center"/>
          </w:tcPr>
          <w:p>
            <w:pPr>
              <w:jc w:val="center"/>
              <w:rPr>
                <w:rFonts w:ascii="宋体" w:hAnsi="宋体" w:cs="宋体"/>
                <w:szCs w:val="21"/>
              </w:rPr>
            </w:pPr>
            <w:r>
              <w:rPr>
                <w:rFonts w:hint="eastAsia" w:ascii="宋体" w:hAnsi="宋体" w:cs="宋体"/>
                <w:szCs w:val="21"/>
              </w:rPr>
              <w:t>答疑会或现场踏勘</w:t>
            </w:r>
          </w:p>
        </w:tc>
        <w:tc>
          <w:tcPr>
            <w:tcW w:w="6910" w:type="dxa"/>
            <w:vAlign w:val="center"/>
          </w:tcPr>
          <w:p>
            <w:pPr>
              <w:spacing w:line="360" w:lineRule="auto"/>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711"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358" w:type="dxa"/>
            <w:vAlign w:val="center"/>
          </w:tcPr>
          <w:p>
            <w:pPr>
              <w:spacing w:line="360" w:lineRule="auto"/>
              <w:jc w:val="center"/>
              <w:rPr>
                <w:rFonts w:ascii="宋体" w:hAnsi="宋体" w:cs="宋体"/>
                <w:szCs w:val="21"/>
              </w:rPr>
            </w:pPr>
            <w:r>
              <w:rPr>
                <w:rFonts w:hint="eastAsia" w:ascii="宋体" w:hAnsi="宋体" w:cs="宋体"/>
                <w:szCs w:val="21"/>
              </w:rPr>
              <w:t>投标文件组成要求</w:t>
            </w:r>
          </w:p>
        </w:tc>
        <w:tc>
          <w:tcPr>
            <w:tcW w:w="6910" w:type="dxa"/>
            <w:vAlign w:val="center"/>
          </w:tcPr>
          <w:p>
            <w:pPr>
              <w:spacing w:line="360" w:lineRule="auto"/>
              <w:rPr>
                <w:rFonts w:ascii="宋体" w:hAnsi="宋体" w:cs="宋体"/>
                <w:szCs w:val="21"/>
              </w:rPr>
            </w:pPr>
            <w:r>
              <w:rPr>
                <w:rFonts w:hint="eastAsia" w:ascii="宋体" w:hAnsi="宋体" w:cs="宋体"/>
                <w:szCs w:val="21"/>
              </w:rPr>
              <w:t>本项目实行电子投标，供应商应准备电子投标文件、还可以提供以介质（U盘）存储的数据电文形式的备份投标文件。</w:t>
            </w:r>
          </w:p>
          <w:p>
            <w:pPr>
              <w:spacing w:line="360" w:lineRule="auto"/>
              <w:rPr>
                <w:rFonts w:ascii="宋体" w:hAnsi="宋体" w:cs="宋体"/>
                <w:szCs w:val="21"/>
              </w:rPr>
            </w:pPr>
            <w:r>
              <w:rPr>
                <w:rFonts w:hint="eastAsia" w:ascii="宋体" w:hAnsi="宋体" w:cs="宋体"/>
                <w:szCs w:val="21"/>
              </w:rPr>
              <w:t>1、电子投标文件：指通过“政采云电子交易客户端”完成投标文件编制后生成并加密的数据电文形式的电子投标文件。</w:t>
            </w:r>
          </w:p>
          <w:p>
            <w:pPr>
              <w:spacing w:line="360" w:lineRule="auto"/>
              <w:rPr>
                <w:rFonts w:ascii="宋体" w:hAnsi="宋体" w:cs="宋体"/>
                <w:szCs w:val="21"/>
              </w:rPr>
            </w:pPr>
            <w:r>
              <w:rPr>
                <w:rFonts w:hint="eastAsia" w:ascii="宋体" w:hAnsi="宋体" w:cs="宋体"/>
                <w:szCs w:val="21"/>
              </w:rPr>
              <w:t>2、备份投标文件：是指“电子投标文件”同时生成的数据电文形式的电子文件（备份标书），以U盘形式提供。</w:t>
            </w:r>
          </w:p>
          <w:p>
            <w:pPr>
              <w:spacing w:line="360" w:lineRule="auto"/>
              <w:rPr>
                <w:rFonts w:ascii="宋体" w:hAnsi="宋体" w:cs="宋体"/>
                <w:szCs w:val="21"/>
              </w:rPr>
            </w:pPr>
            <w:r>
              <w:rPr>
                <w:rFonts w:hint="eastAsia" w:ascii="宋体" w:hAnsi="宋体" w:cs="宋体"/>
                <w:szCs w:val="21"/>
              </w:rPr>
              <w:t>以上两类投标文件均由资格证明文件、商务技术文件、报价文件三部分组成。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11" w:type="dxa"/>
            <w:vAlign w:val="center"/>
          </w:tcPr>
          <w:p>
            <w:pPr>
              <w:spacing w:line="360" w:lineRule="auto"/>
              <w:jc w:val="center"/>
              <w:rPr>
                <w:rFonts w:ascii="宋体" w:hAnsi="宋体" w:cs="宋体"/>
                <w:szCs w:val="21"/>
              </w:rPr>
            </w:pPr>
            <w:r>
              <w:rPr>
                <w:rFonts w:hint="eastAsia" w:ascii="宋体" w:hAnsi="宋体" w:cs="宋体"/>
                <w:szCs w:val="21"/>
              </w:rPr>
              <w:t>5</w:t>
            </w:r>
          </w:p>
        </w:tc>
        <w:tc>
          <w:tcPr>
            <w:tcW w:w="1358" w:type="dxa"/>
            <w:vAlign w:val="center"/>
          </w:tcPr>
          <w:p>
            <w:pPr>
              <w:jc w:val="center"/>
              <w:rPr>
                <w:rFonts w:ascii="宋体" w:hAnsi="宋体" w:cs="宋体"/>
                <w:szCs w:val="21"/>
              </w:rPr>
            </w:pPr>
            <w:r>
              <w:rPr>
                <w:rFonts w:hint="eastAsia" w:ascii="宋体" w:hAnsi="宋体" w:cs="宋体"/>
                <w:szCs w:val="21"/>
              </w:rPr>
              <w:t>投标文件有效期</w:t>
            </w:r>
          </w:p>
        </w:tc>
        <w:tc>
          <w:tcPr>
            <w:tcW w:w="6910" w:type="dxa"/>
            <w:vAlign w:val="center"/>
          </w:tcPr>
          <w:p>
            <w:pPr>
              <w:spacing w:line="360" w:lineRule="auto"/>
              <w:rPr>
                <w:rFonts w:ascii="宋体" w:hAnsi="宋体" w:cs="宋体"/>
                <w:szCs w:val="21"/>
              </w:rPr>
            </w:pPr>
            <w:r>
              <w:rPr>
                <w:rFonts w:hint="eastAsia" w:ascii="宋体" w:hAnsi="宋体" w:cs="宋体"/>
                <w:szCs w:val="21"/>
              </w:rPr>
              <w:t>投标有效期为90天，投标有效期从提交投标文件的截止之日起算。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11" w:type="dxa"/>
            <w:vAlign w:val="center"/>
          </w:tcPr>
          <w:p>
            <w:pPr>
              <w:spacing w:line="360" w:lineRule="auto"/>
              <w:jc w:val="center"/>
              <w:rPr>
                <w:rFonts w:ascii="宋体" w:hAnsi="宋体" w:cs="宋体"/>
                <w:szCs w:val="21"/>
              </w:rPr>
            </w:pPr>
            <w:r>
              <w:rPr>
                <w:rFonts w:hint="eastAsia" w:ascii="宋体" w:hAnsi="宋体" w:cs="宋体"/>
                <w:szCs w:val="21"/>
              </w:rPr>
              <w:t>6</w:t>
            </w:r>
          </w:p>
        </w:tc>
        <w:tc>
          <w:tcPr>
            <w:tcW w:w="1358" w:type="dxa"/>
            <w:vAlign w:val="center"/>
          </w:tcPr>
          <w:p>
            <w:pPr>
              <w:pStyle w:val="9"/>
              <w:spacing w:line="300" w:lineRule="exact"/>
              <w:jc w:val="center"/>
              <w:rPr>
                <w:rFonts w:ascii="宋体" w:hAnsi="宋体" w:cs="宋体"/>
                <w:szCs w:val="21"/>
              </w:rPr>
            </w:pPr>
            <w:r>
              <w:rPr>
                <w:rFonts w:hint="eastAsia" w:ascii="宋体" w:hAnsi="宋体" w:cs="宋体"/>
                <w:szCs w:val="21"/>
              </w:rPr>
              <w:t>电子投标文件的传输递交</w:t>
            </w:r>
          </w:p>
        </w:tc>
        <w:tc>
          <w:tcPr>
            <w:tcW w:w="6910" w:type="dxa"/>
            <w:vAlign w:val="center"/>
          </w:tcPr>
          <w:p>
            <w:pPr>
              <w:spacing w:line="300" w:lineRule="exact"/>
              <w:rPr>
                <w:rFonts w:ascii="宋体" w:hAnsi="宋体" w:cs="宋体"/>
                <w:b/>
                <w:bCs/>
                <w:szCs w:val="21"/>
              </w:rPr>
            </w:pPr>
            <w:r>
              <w:rPr>
                <w:rFonts w:hint="eastAsia" w:ascii="宋体" w:hAnsi="宋体" w:cs="宋体"/>
                <w:b/>
                <w:bCs/>
                <w:szCs w:val="21"/>
              </w:rPr>
              <w:t>截止时间：</w:t>
            </w:r>
            <w:r>
              <w:rPr>
                <w:rFonts w:hint="eastAsia" w:asciiTheme="minorEastAsia" w:hAnsiTheme="minorEastAsia" w:eastAsiaTheme="minorEastAsia" w:cstheme="minorEastAsia"/>
                <w:szCs w:val="21"/>
              </w:rPr>
              <w:t>2024年1月</w:t>
            </w:r>
            <w:r>
              <w:rPr>
                <w:rFonts w:hint="eastAsia" w:asciiTheme="minorEastAsia" w:hAnsiTheme="minorEastAsia" w:eastAsiaTheme="minorEastAsia" w:cstheme="minorEastAsia"/>
                <w:szCs w:val="21"/>
                <w:lang w:val="en-US" w:eastAsia="zh-CN"/>
              </w:rPr>
              <w:t>31</w:t>
            </w:r>
            <w:r>
              <w:rPr>
                <w:rFonts w:hint="eastAsia" w:asciiTheme="minorEastAsia" w:hAnsiTheme="minorEastAsia" w:eastAsiaTheme="minorEastAsia" w:cstheme="minorEastAsia"/>
                <w:szCs w:val="21"/>
              </w:rPr>
              <w:t>日上午09：00整</w:t>
            </w:r>
          </w:p>
          <w:p>
            <w:pPr>
              <w:spacing w:line="300" w:lineRule="exact"/>
              <w:rPr>
                <w:rFonts w:ascii="宋体" w:hAnsi="宋体" w:cs="宋体"/>
                <w:szCs w:val="21"/>
              </w:rPr>
            </w:pPr>
            <w:r>
              <w:rPr>
                <w:rFonts w:hint="eastAsia" w:ascii="宋体" w:hAnsi="宋体" w:cs="宋体"/>
                <w:szCs w:val="21"/>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w:t>
            </w:r>
            <w:r>
              <w:rPr>
                <w:rFonts w:hint="eastAsia" w:ascii="宋体" w:hAnsi="宋体" w:cs="宋体"/>
                <w:szCs w:val="21"/>
                <w:lang w:val="en-US" w:eastAsia="zh-CN"/>
              </w:rPr>
              <w:t>传输</w:t>
            </w:r>
            <w:r>
              <w:rPr>
                <w:rFonts w:hint="eastAsia" w:ascii="宋体" w:hAnsi="宋体" w:cs="宋体"/>
                <w:szCs w:val="21"/>
              </w:rPr>
              <w:t>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11" w:type="dxa"/>
            <w:vAlign w:val="center"/>
          </w:tcPr>
          <w:p>
            <w:pPr>
              <w:spacing w:line="360" w:lineRule="auto"/>
              <w:jc w:val="center"/>
              <w:rPr>
                <w:rFonts w:ascii="宋体" w:hAnsi="宋体" w:cs="宋体"/>
                <w:szCs w:val="21"/>
              </w:rPr>
            </w:pPr>
            <w:r>
              <w:rPr>
                <w:rFonts w:hint="eastAsia" w:ascii="宋体" w:hAnsi="宋体" w:cs="宋体"/>
                <w:szCs w:val="21"/>
              </w:rPr>
              <w:t>7</w:t>
            </w:r>
          </w:p>
        </w:tc>
        <w:tc>
          <w:tcPr>
            <w:tcW w:w="1358" w:type="dxa"/>
            <w:vAlign w:val="center"/>
          </w:tcPr>
          <w:p>
            <w:pPr>
              <w:spacing w:line="300" w:lineRule="exact"/>
              <w:jc w:val="center"/>
              <w:rPr>
                <w:rFonts w:ascii="宋体" w:hAnsi="宋体" w:cs="宋体"/>
                <w:szCs w:val="21"/>
              </w:rPr>
            </w:pPr>
            <w:r>
              <w:rPr>
                <w:rFonts w:hint="eastAsia" w:ascii="宋体" w:hAnsi="宋体" w:cs="宋体"/>
                <w:szCs w:val="21"/>
              </w:rPr>
              <w:t>备份投标文件的递交</w:t>
            </w:r>
          </w:p>
        </w:tc>
        <w:tc>
          <w:tcPr>
            <w:tcW w:w="6910" w:type="dxa"/>
            <w:vAlign w:val="center"/>
          </w:tcPr>
          <w:p>
            <w:pPr>
              <w:pStyle w:val="61"/>
              <w:snapToGrid w:val="0"/>
              <w:spacing w:line="300" w:lineRule="exact"/>
              <w:rPr>
                <w:rFonts w:ascii="宋体" w:hAnsi="宋体"/>
                <w:kern w:val="2"/>
              </w:rPr>
            </w:pPr>
            <w:r>
              <w:rPr>
                <w:rFonts w:hint="eastAsia" w:ascii="宋体" w:hAnsi="宋体"/>
                <w:kern w:val="2"/>
              </w:rPr>
              <w:t xml:space="preserve">供应商同时还可以提供以介质（U盘）存储的数据电文形式的备份投标文件。供应商自行确定是否提交，若提交请在2024年1月 </w:t>
            </w:r>
            <w:r>
              <w:rPr>
                <w:rFonts w:hint="eastAsia" w:ascii="宋体" w:hAnsi="宋体"/>
                <w:kern w:val="2"/>
                <w:lang w:val="en-US" w:eastAsia="zh-CN"/>
              </w:rPr>
              <w:t>30</w:t>
            </w:r>
            <w:r>
              <w:rPr>
                <w:rFonts w:hint="eastAsia" w:ascii="宋体" w:hAnsi="宋体"/>
                <w:kern w:val="2"/>
              </w:rPr>
              <w:t xml:space="preserve"> 日下午16时00分前递交（建议采用EMS邮寄或顺丰邮寄形式）经政采云平台加密处理的、以介质（U盘）存储的数据电文形式的“备份投标文件”，邮寄地址：浙江省台州市椒江区台都花园65幢1号浙江中竞管理服务有限公司，项女士收，联系电话13626688339。</w:t>
            </w:r>
          </w:p>
          <w:p>
            <w:pPr>
              <w:pStyle w:val="61"/>
              <w:snapToGrid w:val="0"/>
              <w:spacing w:line="300" w:lineRule="exact"/>
              <w:rPr>
                <w:rFonts w:ascii="宋体" w:hAnsi="宋体"/>
              </w:rPr>
            </w:pPr>
            <w:r>
              <w:rPr>
                <w:rFonts w:hint="eastAsia" w:ascii="宋体" w:hAnsi="宋体"/>
              </w:rPr>
              <w:t>如电子投标文件解密成功，则备份投标文件不再拆封。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711" w:type="dxa"/>
            <w:vAlign w:val="center"/>
          </w:tcPr>
          <w:p>
            <w:pPr>
              <w:spacing w:line="360" w:lineRule="auto"/>
              <w:jc w:val="center"/>
              <w:rPr>
                <w:rFonts w:ascii="宋体" w:hAnsi="宋体" w:cs="宋体"/>
                <w:szCs w:val="21"/>
              </w:rPr>
            </w:pPr>
            <w:r>
              <w:rPr>
                <w:rFonts w:hint="eastAsia" w:ascii="宋体" w:hAnsi="宋体" w:cs="宋体"/>
                <w:szCs w:val="21"/>
              </w:rPr>
              <w:t>8</w:t>
            </w:r>
          </w:p>
        </w:tc>
        <w:tc>
          <w:tcPr>
            <w:tcW w:w="1358" w:type="dxa"/>
            <w:vAlign w:val="center"/>
          </w:tcPr>
          <w:p>
            <w:pPr>
              <w:spacing w:line="360" w:lineRule="auto"/>
              <w:jc w:val="center"/>
              <w:rPr>
                <w:rFonts w:ascii="宋体" w:hAnsi="宋体" w:cs="宋体"/>
                <w:szCs w:val="21"/>
              </w:rPr>
            </w:pPr>
            <w:r>
              <w:rPr>
                <w:rFonts w:hint="eastAsia" w:ascii="宋体" w:hAnsi="宋体" w:cs="宋体"/>
                <w:szCs w:val="21"/>
              </w:rPr>
              <w:t>投标文件上传和递交</w:t>
            </w:r>
          </w:p>
        </w:tc>
        <w:tc>
          <w:tcPr>
            <w:tcW w:w="6910" w:type="dxa"/>
            <w:vAlign w:val="center"/>
          </w:tcPr>
          <w:p>
            <w:pPr>
              <w:spacing w:line="340" w:lineRule="atLeast"/>
              <w:rPr>
                <w:rFonts w:ascii="宋体" w:hAnsi="宋体" w:cs="宋体"/>
                <w:szCs w:val="21"/>
              </w:rPr>
            </w:pPr>
            <w:r>
              <w:rPr>
                <w:rFonts w:hint="eastAsia" w:ascii="宋体" w:hAnsi="宋体" w:cs="宋体"/>
                <w:szCs w:val="21"/>
              </w:rPr>
              <w:t>1.“电子加密投标文件”的上传、递交：</w:t>
            </w:r>
          </w:p>
          <w:p>
            <w:pPr>
              <w:spacing w:line="340" w:lineRule="atLeast"/>
              <w:rPr>
                <w:rFonts w:ascii="宋体" w:hAnsi="宋体" w:cs="宋体"/>
                <w:szCs w:val="21"/>
              </w:rPr>
            </w:pPr>
            <w:r>
              <w:rPr>
                <w:rFonts w:hint="eastAsia" w:ascii="宋体" w:hAnsi="宋体" w:cs="宋体"/>
                <w:szCs w:val="21"/>
              </w:rPr>
              <w:t>a.供应商应在投标截止时间前将“电子加密投标文件”成功上传递交至“政府采购云平台”，否则投标无效。</w:t>
            </w:r>
          </w:p>
          <w:p>
            <w:pPr>
              <w:spacing w:line="340" w:lineRule="atLeast"/>
              <w:rPr>
                <w:rFonts w:ascii="宋体" w:hAnsi="宋体" w:cs="宋体"/>
                <w:szCs w:val="21"/>
              </w:rPr>
            </w:pPr>
            <w:r>
              <w:rPr>
                <w:rFonts w:hint="eastAsia" w:ascii="宋体" w:hAnsi="宋体" w:cs="宋体"/>
                <w:szCs w:val="21"/>
              </w:rPr>
              <w:t>b.“电子加密投标文件”成功上传递交后，供应商可自行打印投标文件接收回执。</w:t>
            </w:r>
          </w:p>
          <w:p>
            <w:pPr>
              <w:spacing w:line="340" w:lineRule="atLeast"/>
              <w:rPr>
                <w:rFonts w:ascii="宋体" w:hAnsi="宋体" w:cs="宋体"/>
                <w:szCs w:val="21"/>
              </w:rPr>
            </w:pPr>
            <w:r>
              <w:rPr>
                <w:rFonts w:hint="eastAsia" w:ascii="宋体" w:hAnsi="宋体" w:cs="宋体"/>
                <w:szCs w:val="21"/>
              </w:rPr>
              <w:t>2.“备份投标文件”的密封包装、递交：</w:t>
            </w:r>
          </w:p>
          <w:p>
            <w:pPr>
              <w:spacing w:line="340" w:lineRule="atLeast"/>
              <w:rPr>
                <w:rFonts w:ascii="宋体" w:hAnsi="宋体" w:cs="宋体"/>
                <w:szCs w:val="21"/>
              </w:rPr>
            </w:pPr>
            <w:r>
              <w:rPr>
                <w:rFonts w:hint="eastAsia" w:ascii="宋体" w:hAnsi="宋体" w:cs="宋体"/>
                <w:szCs w:val="21"/>
              </w:rPr>
              <w:t>a.供应商在“政府采购云平台”完成“电子加密投标文件”的上传递交后，还可自行决定在投标截止时间前递交（EMS邮寄或顺丰邮寄形式）以介质（U盘）存储的 “备份投标文件”（一份）；</w:t>
            </w:r>
          </w:p>
          <w:p>
            <w:pPr>
              <w:spacing w:line="340" w:lineRule="atLeast"/>
              <w:rPr>
                <w:rFonts w:ascii="宋体" w:hAnsi="宋体" w:cs="宋体"/>
                <w:szCs w:val="21"/>
              </w:rPr>
            </w:pPr>
            <w:r>
              <w:rPr>
                <w:rFonts w:hint="eastAsia" w:ascii="宋体" w:hAnsi="宋体" w:cs="宋体"/>
                <w:szCs w:val="21"/>
              </w:rPr>
              <w:t>b.“备份投标文件”应当密封包装，并在包装上标注参与投标项目名称、投标单位名称并加盖公章。没有密封包装或者逾期邮寄送达至投标地点的“备份投标文件”将不予接收；</w:t>
            </w:r>
          </w:p>
          <w:p>
            <w:pPr>
              <w:spacing w:line="360" w:lineRule="auto"/>
              <w:rPr>
                <w:rFonts w:ascii="宋体" w:hAnsi="宋体" w:cs="宋体"/>
                <w:szCs w:val="21"/>
              </w:rPr>
            </w:pPr>
            <w:r>
              <w:rPr>
                <w:rFonts w:hint="eastAsia" w:ascii="宋体" w:hAnsi="宋体" w:cs="宋体"/>
                <w:szCs w:val="21"/>
              </w:rPr>
              <w:t>c.通过“政府采购云平台”成功上传递交的“电子加密投标文件”已按时解密的，“备份投标文件”自动失效。投标截止时间前，供应商仅递交了“备份投标文件”而未将“电子加密投标文件”成功上传至“政府采购云平台”的，其响应无效。</w:t>
            </w:r>
          </w:p>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11" w:type="dxa"/>
            <w:vAlign w:val="center"/>
          </w:tcPr>
          <w:p>
            <w:pPr>
              <w:spacing w:line="360" w:lineRule="auto"/>
              <w:jc w:val="center"/>
              <w:rPr>
                <w:rFonts w:ascii="宋体" w:hAnsi="宋体" w:cs="宋体"/>
                <w:szCs w:val="21"/>
              </w:rPr>
            </w:pPr>
            <w:r>
              <w:rPr>
                <w:rFonts w:hint="eastAsia" w:ascii="宋体" w:hAnsi="宋体" w:cs="宋体"/>
                <w:szCs w:val="21"/>
              </w:rPr>
              <w:t>9</w:t>
            </w:r>
          </w:p>
        </w:tc>
        <w:tc>
          <w:tcPr>
            <w:tcW w:w="1358" w:type="dxa"/>
            <w:vAlign w:val="center"/>
          </w:tcPr>
          <w:p>
            <w:pPr>
              <w:spacing w:line="300" w:lineRule="exact"/>
              <w:jc w:val="center"/>
              <w:rPr>
                <w:rFonts w:ascii="宋体" w:hAnsi="宋体" w:cs="宋体"/>
                <w:szCs w:val="21"/>
              </w:rPr>
            </w:pPr>
            <w:r>
              <w:rPr>
                <w:rFonts w:hint="eastAsia" w:ascii="宋体" w:hAnsi="宋体" w:cs="宋体"/>
                <w:szCs w:val="21"/>
              </w:rPr>
              <w:t>电子投标文件解密时间及地点</w:t>
            </w:r>
          </w:p>
        </w:tc>
        <w:tc>
          <w:tcPr>
            <w:tcW w:w="6910" w:type="dxa"/>
            <w:vAlign w:val="center"/>
          </w:tcPr>
          <w:p>
            <w:pPr>
              <w:spacing w:line="360" w:lineRule="auto"/>
              <w:rPr>
                <w:rFonts w:ascii="宋体" w:hAnsi="宋体" w:cs="宋体"/>
                <w:szCs w:val="21"/>
              </w:rPr>
            </w:pPr>
            <w:r>
              <w:rPr>
                <w:rFonts w:hint="eastAsia" w:ascii="宋体" w:hAnsi="宋体" w:cs="宋体"/>
                <w:szCs w:val="21"/>
              </w:rPr>
              <w:t>时间：</w:t>
            </w:r>
            <w:r>
              <w:rPr>
                <w:rFonts w:hint="eastAsia" w:asciiTheme="minorEastAsia" w:hAnsiTheme="minorEastAsia" w:eastAsiaTheme="minorEastAsia" w:cstheme="minorEastAsia"/>
                <w:szCs w:val="21"/>
              </w:rPr>
              <w:t>2024年1月</w:t>
            </w:r>
            <w:r>
              <w:rPr>
                <w:rFonts w:hint="eastAsia" w:asciiTheme="minorEastAsia" w:hAnsiTheme="minorEastAsia" w:eastAsiaTheme="minorEastAsia" w:cstheme="minorEastAsia"/>
                <w:szCs w:val="21"/>
                <w:lang w:val="en-US" w:eastAsia="zh-CN"/>
              </w:rPr>
              <w:t>31</w:t>
            </w:r>
            <w:r>
              <w:rPr>
                <w:rFonts w:hint="eastAsia" w:asciiTheme="minorEastAsia" w:hAnsiTheme="minorEastAsia" w:eastAsiaTheme="minorEastAsia" w:cstheme="minorEastAsia"/>
                <w:szCs w:val="21"/>
              </w:rPr>
              <w:t>日上午09：00整</w:t>
            </w:r>
            <w:r>
              <w:rPr>
                <w:rFonts w:hint="eastAsia" w:ascii="宋体" w:hAnsi="宋体" w:cs="宋体"/>
                <w:szCs w:val="21"/>
              </w:rPr>
              <w:t>（北京时间）</w:t>
            </w:r>
          </w:p>
          <w:p>
            <w:pPr>
              <w:pStyle w:val="60"/>
              <w:spacing w:line="360" w:lineRule="auto"/>
              <w:rPr>
                <w:rFonts w:hAnsi="宋体" w:cs="宋体"/>
                <w:kern w:val="2"/>
                <w:sz w:val="21"/>
                <w:szCs w:val="21"/>
              </w:rPr>
            </w:pPr>
            <w:r>
              <w:rPr>
                <w:rFonts w:hint="eastAsia" w:hAnsi="宋体" w:cs="宋体"/>
                <w:kern w:val="2"/>
                <w:sz w:val="21"/>
                <w:szCs w:val="21"/>
              </w:rPr>
              <w:t>地点：政采云平台（http://zfcg.czt.zj.gov.cn）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1" w:type="dxa"/>
            <w:vAlign w:val="center"/>
          </w:tcPr>
          <w:p>
            <w:pPr>
              <w:jc w:val="center"/>
              <w:rPr>
                <w:rFonts w:ascii="宋体" w:hAnsi="宋体" w:cs="宋体"/>
                <w:szCs w:val="21"/>
              </w:rPr>
            </w:pPr>
            <w:r>
              <w:rPr>
                <w:rFonts w:hint="eastAsia" w:ascii="宋体" w:hAnsi="宋体" w:cs="宋体"/>
                <w:szCs w:val="21"/>
              </w:rPr>
              <w:t>10</w:t>
            </w:r>
          </w:p>
        </w:tc>
        <w:tc>
          <w:tcPr>
            <w:tcW w:w="1358" w:type="dxa"/>
            <w:vAlign w:val="center"/>
          </w:tcPr>
          <w:p>
            <w:pPr>
              <w:jc w:val="center"/>
              <w:rPr>
                <w:rFonts w:ascii="宋体" w:hAnsi="宋体" w:cs="宋体"/>
                <w:szCs w:val="21"/>
              </w:rPr>
            </w:pPr>
            <w:r>
              <w:rPr>
                <w:rFonts w:hint="eastAsia" w:ascii="宋体" w:hAnsi="宋体" w:cs="宋体"/>
                <w:szCs w:val="21"/>
              </w:rPr>
              <w:t>其他要求</w:t>
            </w:r>
          </w:p>
        </w:tc>
        <w:tc>
          <w:tcPr>
            <w:tcW w:w="6910" w:type="dxa"/>
            <w:vAlign w:val="center"/>
          </w:tcPr>
          <w:p>
            <w:pPr>
              <w:spacing w:line="360" w:lineRule="auto"/>
              <w:jc w:val="left"/>
              <w:rPr>
                <w:rFonts w:ascii="宋体" w:hAnsi="宋体" w:cs="宋体"/>
                <w:szCs w:val="21"/>
              </w:rPr>
            </w:pPr>
            <w:r>
              <w:rPr>
                <w:rFonts w:hint="eastAsia" w:ascii="宋体" w:hAnsi="宋体" w:cs="宋体"/>
                <w:szCs w:val="21"/>
              </w:rPr>
              <w:t>1、踏勘现场时间及地点：不组织，各投标单位根据自己需要，自行前往勘察现场和周围环境，所产生的费用由投标单位自理。</w:t>
            </w:r>
          </w:p>
          <w:p>
            <w:pPr>
              <w:pStyle w:val="60"/>
              <w:spacing w:line="360" w:lineRule="auto"/>
              <w:rPr>
                <w:rFonts w:hAnsi="宋体" w:cs="宋体"/>
                <w:kern w:val="2"/>
                <w:sz w:val="21"/>
                <w:szCs w:val="21"/>
              </w:rPr>
            </w:pPr>
            <w:r>
              <w:rPr>
                <w:rFonts w:hint="eastAsia" w:hAnsi="宋体" w:cs="宋体"/>
                <w:kern w:val="2"/>
                <w:sz w:val="21"/>
                <w:szCs w:val="21"/>
              </w:rPr>
              <w:t>2、节能环保：符合国家相关法律法规；</w:t>
            </w:r>
          </w:p>
          <w:p>
            <w:pPr>
              <w:pStyle w:val="60"/>
              <w:spacing w:line="360" w:lineRule="auto"/>
              <w:rPr>
                <w:rFonts w:hAnsi="宋体" w:cs="宋体"/>
                <w:kern w:val="2"/>
                <w:sz w:val="21"/>
                <w:szCs w:val="21"/>
              </w:rPr>
            </w:pPr>
            <w:r>
              <w:rPr>
                <w:rFonts w:hint="eastAsia" w:hAnsi="宋体" w:cs="宋体"/>
                <w:kern w:val="2"/>
                <w:sz w:val="21"/>
                <w:szCs w:val="21"/>
              </w:rPr>
              <w:t>3、样品：无要求；</w:t>
            </w:r>
          </w:p>
          <w:p>
            <w:pPr>
              <w:pStyle w:val="60"/>
              <w:spacing w:line="360" w:lineRule="auto"/>
              <w:rPr>
                <w:rFonts w:hAnsi="宋体" w:cs="宋体"/>
                <w:kern w:val="2"/>
                <w:sz w:val="21"/>
                <w:szCs w:val="21"/>
              </w:rPr>
            </w:pPr>
            <w:r>
              <w:rPr>
                <w:rFonts w:hint="eastAsia" w:hAnsi="宋体" w:cs="宋体"/>
                <w:kern w:val="2"/>
                <w:sz w:val="21"/>
                <w:szCs w:val="21"/>
              </w:rPr>
              <w:t>4、现场演示：无要求。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711"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1358" w:type="dxa"/>
            <w:vAlign w:val="center"/>
          </w:tcPr>
          <w:p>
            <w:pPr>
              <w:spacing w:line="360" w:lineRule="auto"/>
              <w:jc w:val="center"/>
              <w:rPr>
                <w:rFonts w:ascii="宋体" w:hAnsi="宋体" w:cs="宋体"/>
                <w:szCs w:val="21"/>
              </w:rPr>
            </w:pPr>
            <w:r>
              <w:rPr>
                <w:rFonts w:hint="eastAsia" w:ascii="宋体" w:hAnsi="宋体" w:cs="宋体"/>
                <w:szCs w:val="21"/>
              </w:rPr>
              <w:t>中小企业扶持政策</w:t>
            </w:r>
          </w:p>
        </w:tc>
        <w:tc>
          <w:tcPr>
            <w:tcW w:w="6910" w:type="dxa"/>
            <w:vAlign w:val="center"/>
          </w:tcPr>
          <w:p>
            <w:pPr>
              <w:pStyle w:val="60"/>
              <w:spacing w:line="360" w:lineRule="auto"/>
              <w:rPr>
                <w:rFonts w:hAnsi="宋体" w:cs="宋体"/>
                <w:kern w:val="2"/>
                <w:sz w:val="21"/>
                <w:szCs w:val="21"/>
              </w:rPr>
            </w:pPr>
            <w:r>
              <w:rPr>
                <w:rFonts w:hint="eastAsia" w:hAnsi="宋体" w:cs="宋体"/>
                <w:kern w:val="2"/>
                <w:sz w:val="21"/>
                <w:szCs w:val="21"/>
              </w:rPr>
              <w:t>1、依据《政府采购促进中小企业发展管理办法》（财库【2020】46号）第四条规定，本项目货物由中小企业制造。残疾人福利性单位和监狱企业视同小型、微型企业。</w:t>
            </w:r>
          </w:p>
          <w:p>
            <w:pPr>
              <w:pStyle w:val="60"/>
              <w:spacing w:line="360" w:lineRule="auto"/>
              <w:rPr>
                <w:rFonts w:hAnsi="宋体" w:cs="宋体"/>
                <w:kern w:val="2"/>
                <w:sz w:val="21"/>
                <w:szCs w:val="21"/>
              </w:rPr>
            </w:pPr>
            <w:r>
              <w:rPr>
                <w:rFonts w:hint="eastAsia" w:hAnsi="宋体" w:cs="宋体"/>
                <w:kern w:val="2"/>
                <w:sz w:val="21"/>
                <w:szCs w:val="21"/>
              </w:rPr>
              <w:t>2、依据《政府采购促进中小企业发展管理办法》（财库【2020】46号）第十二条规定，享受扶持政策获得政府采购合同的，小微企业不得将合同分包给大中型企业，中型企业不得将合同分包给大型企业，否则按违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11" w:type="dxa"/>
            <w:vAlign w:val="center"/>
          </w:tcPr>
          <w:p>
            <w:pPr>
              <w:jc w:val="center"/>
              <w:rPr>
                <w:rFonts w:ascii="宋体" w:hAnsi="宋体" w:cs="宋体"/>
                <w:szCs w:val="21"/>
              </w:rPr>
            </w:pPr>
            <w:r>
              <w:rPr>
                <w:rFonts w:hint="eastAsia" w:ascii="宋体" w:hAnsi="宋体" w:cs="宋体"/>
                <w:szCs w:val="21"/>
              </w:rPr>
              <w:t>12</w:t>
            </w:r>
          </w:p>
        </w:tc>
        <w:tc>
          <w:tcPr>
            <w:tcW w:w="1358" w:type="dxa"/>
            <w:vAlign w:val="center"/>
          </w:tcPr>
          <w:p>
            <w:pPr>
              <w:jc w:val="center"/>
              <w:rPr>
                <w:rFonts w:ascii="宋体" w:hAnsi="宋体" w:cs="宋体"/>
                <w:szCs w:val="21"/>
                <w:lang w:val="zh-CN"/>
              </w:rPr>
            </w:pPr>
            <w:r>
              <w:rPr>
                <w:rFonts w:hint="eastAsia" w:ascii="宋体" w:hAnsi="宋体" w:cs="宋体"/>
                <w:szCs w:val="21"/>
                <w:lang w:val="zh-CN"/>
              </w:rPr>
              <w:t>实质性条款</w:t>
            </w:r>
          </w:p>
        </w:tc>
        <w:tc>
          <w:tcPr>
            <w:tcW w:w="6910" w:type="dxa"/>
            <w:vAlign w:val="center"/>
          </w:tcPr>
          <w:p>
            <w:pPr>
              <w:spacing w:line="360" w:lineRule="auto"/>
              <w:rPr>
                <w:rFonts w:ascii="宋体" w:hAnsi="宋体" w:cs="宋体"/>
                <w:szCs w:val="21"/>
                <w:lang w:val="zh-CN"/>
              </w:rPr>
            </w:pPr>
            <w:r>
              <w:rPr>
                <w:rFonts w:hint="eastAsia" w:ascii="宋体" w:hAnsi="宋体" w:cs="宋体"/>
                <w:szCs w:val="21"/>
                <w:lang w:val="zh-CN"/>
              </w:rPr>
              <w:t>带“</w:t>
            </w:r>
            <w:r>
              <w:rPr>
                <w:rFonts w:hint="eastAsia" w:ascii="宋体" w:hAnsi="宋体" w:cs="宋体"/>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11" w:type="dxa"/>
            <w:vAlign w:val="center"/>
          </w:tcPr>
          <w:p>
            <w:pPr>
              <w:jc w:val="center"/>
              <w:rPr>
                <w:rFonts w:ascii="宋体" w:hAnsi="宋体" w:cs="宋体"/>
                <w:szCs w:val="21"/>
              </w:rPr>
            </w:pPr>
            <w:r>
              <w:rPr>
                <w:rFonts w:hint="eastAsia" w:ascii="宋体" w:hAnsi="宋体" w:cs="宋体"/>
                <w:szCs w:val="21"/>
              </w:rPr>
              <w:t>13</w:t>
            </w:r>
          </w:p>
        </w:tc>
        <w:tc>
          <w:tcPr>
            <w:tcW w:w="1358" w:type="dxa"/>
            <w:vAlign w:val="center"/>
          </w:tcPr>
          <w:p>
            <w:pPr>
              <w:pStyle w:val="60"/>
              <w:spacing w:line="360" w:lineRule="auto"/>
              <w:ind w:firstLine="210" w:firstLineChars="100"/>
              <w:rPr>
                <w:rFonts w:hAnsi="宋体" w:cs="宋体"/>
                <w:kern w:val="2"/>
                <w:sz w:val="21"/>
                <w:szCs w:val="21"/>
              </w:rPr>
            </w:pPr>
            <w:r>
              <w:rPr>
                <w:rFonts w:hint="eastAsia" w:hAnsi="宋体" w:cs="宋体"/>
                <w:kern w:val="2"/>
                <w:sz w:val="21"/>
                <w:szCs w:val="21"/>
              </w:rPr>
              <w:t>报价</w:t>
            </w:r>
          </w:p>
        </w:tc>
        <w:tc>
          <w:tcPr>
            <w:tcW w:w="6910" w:type="dxa"/>
            <w:vAlign w:val="center"/>
          </w:tcPr>
          <w:p>
            <w:pPr>
              <w:pStyle w:val="60"/>
              <w:spacing w:line="360" w:lineRule="auto"/>
              <w:rPr>
                <w:rFonts w:hAnsi="宋体" w:cs="宋体"/>
                <w:kern w:val="2"/>
                <w:sz w:val="21"/>
                <w:szCs w:val="21"/>
              </w:rPr>
            </w:pPr>
            <w:r>
              <w:rPr>
                <w:rFonts w:hint="eastAsia" w:hAnsi="宋体" w:cs="宋体"/>
                <w:kern w:val="2"/>
                <w:sz w:val="21"/>
                <w:szCs w:val="21"/>
              </w:rPr>
              <w:t>▲不得超过本项目公开招标公告要求的最高限价，否则其投标文件无效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11" w:type="dxa"/>
            <w:vAlign w:val="center"/>
          </w:tcPr>
          <w:p>
            <w:pPr>
              <w:jc w:val="center"/>
              <w:rPr>
                <w:rFonts w:ascii="宋体" w:hAnsi="宋体" w:cs="宋体"/>
                <w:szCs w:val="21"/>
              </w:rPr>
            </w:pPr>
            <w:r>
              <w:rPr>
                <w:rFonts w:hint="eastAsia" w:ascii="宋体" w:hAnsi="宋体" w:cs="宋体"/>
                <w:szCs w:val="21"/>
              </w:rPr>
              <w:t>14</w:t>
            </w:r>
          </w:p>
        </w:tc>
        <w:tc>
          <w:tcPr>
            <w:tcW w:w="1358" w:type="dxa"/>
            <w:vAlign w:val="center"/>
          </w:tcPr>
          <w:p>
            <w:pPr>
              <w:pStyle w:val="60"/>
              <w:spacing w:line="360" w:lineRule="auto"/>
              <w:rPr>
                <w:rFonts w:hAnsi="宋体" w:cs="宋体"/>
                <w:kern w:val="2"/>
                <w:sz w:val="21"/>
                <w:szCs w:val="21"/>
              </w:rPr>
            </w:pPr>
            <w:r>
              <w:rPr>
                <w:rFonts w:hint="eastAsia" w:hAnsi="宋体" w:cs="宋体"/>
                <w:kern w:val="2"/>
                <w:sz w:val="21"/>
                <w:szCs w:val="21"/>
              </w:rPr>
              <w:t>履约保证金</w:t>
            </w:r>
          </w:p>
        </w:tc>
        <w:tc>
          <w:tcPr>
            <w:tcW w:w="6910" w:type="dxa"/>
            <w:vAlign w:val="center"/>
          </w:tcPr>
          <w:p>
            <w:pPr>
              <w:pStyle w:val="60"/>
              <w:spacing w:line="360" w:lineRule="auto"/>
              <w:rPr>
                <w:rFonts w:hAnsi="宋体" w:cs="宋体"/>
                <w:kern w:val="2"/>
                <w:sz w:val="21"/>
                <w:szCs w:val="21"/>
              </w:rPr>
            </w:pPr>
            <w:r>
              <w:rPr>
                <w:rFonts w:hint="eastAsia" w:hAnsi="宋体" w:cs="宋体"/>
                <w:kern w:val="2"/>
                <w:sz w:val="21"/>
                <w:szCs w:val="21"/>
              </w:rPr>
              <w:t>本项目履约保证金为合同金额的1%。可采用银行独立保函、保险机构保证保险保单、保兑支票、银行汇票或现金支票等形式。验收通过后7日</w:t>
            </w:r>
            <w:r>
              <w:rPr>
                <w:rFonts w:hint="eastAsia" w:hAnsi="宋体" w:cs="宋体"/>
                <w:kern w:val="2"/>
                <w:sz w:val="21"/>
                <w:szCs w:val="21"/>
                <w:lang w:val="zh-CN"/>
              </w:rPr>
              <w:t>内，如无发生违约情形，无息退还全款（如有违约情形，扣除违约金额后退还剩余部分）；采用保函形式的，应当确保有效期限超过合同届满时间后</w:t>
            </w:r>
            <w:r>
              <w:rPr>
                <w:rFonts w:hint="eastAsia" w:hAnsi="宋体" w:cs="宋体"/>
                <w:kern w:val="2"/>
                <w:sz w:val="21"/>
                <w:szCs w:val="21"/>
              </w:rPr>
              <w:t>30日历天</w:t>
            </w:r>
            <w:r>
              <w:rPr>
                <w:rFonts w:hint="eastAsia" w:hAnsi="宋体" w:cs="宋体"/>
                <w:kern w:val="2"/>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11" w:type="dxa"/>
            <w:vAlign w:val="center"/>
          </w:tcPr>
          <w:p>
            <w:pPr>
              <w:jc w:val="center"/>
              <w:rPr>
                <w:rFonts w:ascii="宋体" w:hAnsi="宋体" w:cs="宋体"/>
                <w:szCs w:val="21"/>
              </w:rPr>
            </w:pPr>
            <w:r>
              <w:rPr>
                <w:rFonts w:hint="eastAsia" w:ascii="宋体" w:hAnsi="宋体" w:cs="宋体"/>
                <w:szCs w:val="21"/>
              </w:rPr>
              <w:t>15</w:t>
            </w:r>
          </w:p>
        </w:tc>
        <w:tc>
          <w:tcPr>
            <w:tcW w:w="1358" w:type="dxa"/>
            <w:vAlign w:val="center"/>
          </w:tcPr>
          <w:p>
            <w:pPr>
              <w:jc w:val="center"/>
              <w:rPr>
                <w:rFonts w:ascii="宋体" w:hAnsi="宋体" w:cs="宋体"/>
                <w:szCs w:val="21"/>
              </w:rPr>
            </w:pPr>
            <w:r>
              <w:rPr>
                <w:rFonts w:hint="eastAsia" w:ascii="宋体" w:hAnsi="宋体" w:cs="宋体"/>
                <w:szCs w:val="21"/>
              </w:rPr>
              <w:t>解释权</w:t>
            </w:r>
          </w:p>
        </w:tc>
        <w:tc>
          <w:tcPr>
            <w:tcW w:w="6910" w:type="dxa"/>
            <w:vAlign w:val="center"/>
          </w:tcPr>
          <w:p>
            <w:pPr>
              <w:rPr>
                <w:rFonts w:ascii="宋体" w:hAnsi="宋体" w:cs="宋体"/>
                <w:szCs w:val="21"/>
              </w:rPr>
            </w:pPr>
            <w:r>
              <w:rPr>
                <w:rFonts w:hint="eastAsia" w:ascii="宋体" w:hAnsi="宋体" w:cs="宋体"/>
                <w:szCs w:val="21"/>
              </w:rPr>
              <w:t>本招标文件的解释权属于</w:t>
            </w:r>
            <w:r>
              <w:rPr>
                <w:rFonts w:hint="eastAsia" w:ascii="宋体" w:hAnsi="宋体" w:cs="宋体"/>
                <w:bCs/>
                <w:szCs w:val="21"/>
              </w:rPr>
              <w:t>采购代理机构和采购人</w:t>
            </w:r>
          </w:p>
        </w:tc>
      </w:tr>
    </w:tbl>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一、总则</w:t>
      </w:r>
    </w:p>
    <w:p>
      <w:pPr>
        <w:spacing w:line="360" w:lineRule="auto"/>
        <w:ind w:firstLine="422" w:firstLineChars="200"/>
        <w:rPr>
          <w:rFonts w:ascii="宋体" w:hAnsi="宋体" w:cs="宋体"/>
          <w:b/>
          <w:bCs/>
          <w:szCs w:val="21"/>
        </w:rPr>
      </w:pPr>
      <w:r>
        <w:rPr>
          <w:rFonts w:hint="eastAsia" w:ascii="宋体" w:hAnsi="宋体" w:cs="宋体"/>
          <w:b/>
          <w:bCs/>
          <w:szCs w:val="21"/>
        </w:rPr>
        <w:t>（一） 适用范围</w:t>
      </w:r>
    </w:p>
    <w:p>
      <w:pPr>
        <w:spacing w:line="360" w:lineRule="auto"/>
        <w:ind w:firstLine="420" w:firstLineChars="200"/>
        <w:rPr>
          <w:rFonts w:ascii="宋体" w:hAnsi="宋体" w:cs="宋体"/>
          <w:szCs w:val="21"/>
        </w:rPr>
      </w:pPr>
      <w:r>
        <w:rPr>
          <w:rFonts w:hint="eastAsia" w:ascii="宋体" w:hAnsi="宋体" w:cs="宋体"/>
          <w:szCs w:val="21"/>
        </w:rPr>
        <w:t>本招标文件适用于本次项目的招标、投标、评标、定标、验收、合同履约、付款等行为（法律、法规另有规定的，从其规定）。</w:t>
      </w:r>
    </w:p>
    <w:p>
      <w:pPr>
        <w:spacing w:line="360" w:lineRule="auto"/>
        <w:ind w:firstLine="422" w:firstLineChars="200"/>
        <w:rPr>
          <w:rFonts w:ascii="宋体" w:hAnsi="宋体" w:cs="宋体"/>
          <w:b/>
          <w:bCs/>
          <w:szCs w:val="21"/>
        </w:rPr>
      </w:pPr>
      <w:r>
        <w:rPr>
          <w:rFonts w:hint="eastAsia" w:ascii="宋体" w:hAnsi="宋体" w:cs="宋体"/>
          <w:b/>
          <w:bCs/>
          <w:szCs w:val="21"/>
        </w:rPr>
        <w:t>（二）定义</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zh-CN"/>
        </w:rPr>
        <w:t>“采购组织机构”：指采购人委托组织招标的采购代理机构。</w:t>
      </w:r>
    </w:p>
    <w:p>
      <w:pPr>
        <w:spacing w:line="360" w:lineRule="auto"/>
        <w:ind w:firstLine="420" w:firstLineChars="200"/>
        <w:rPr>
          <w:rFonts w:ascii="宋体" w:hAnsi="宋体" w:cs="宋体"/>
          <w:szCs w:val="21"/>
        </w:rPr>
      </w:pPr>
      <w:r>
        <w:rPr>
          <w:rFonts w:hint="eastAsia" w:ascii="宋体" w:hAnsi="宋体" w:cs="宋体"/>
          <w:szCs w:val="21"/>
        </w:rPr>
        <w:t>2、采购人：是指委托</w:t>
      </w:r>
      <w:r>
        <w:rPr>
          <w:rFonts w:hint="eastAsia" w:ascii="宋体" w:hAnsi="宋体" w:cs="宋体"/>
          <w:szCs w:val="21"/>
          <w:lang w:val="zh-CN"/>
        </w:rPr>
        <w:t>采购代理机构</w:t>
      </w:r>
      <w:r>
        <w:rPr>
          <w:rFonts w:hint="eastAsia" w:ascii="宋体" w:hAnsi="宋体" w:cs="宋体"/>
          <w:szCs w:val="21"/>
        </w:rPr>
        <w:t>采购本次项目的国家机关、事业单位和团体组织。</w:t>
      </w:r>
    </w:p>
    <w:p>
      <w:pPr>
        <w:spacing w:line="360" w:lineRule="auto"/>
        <w:ind w:firstLine="420" w:firstLineChars="200"/>
        <w:rPr>
          <w:rFonts w:ascii="宋体" w:hAnsi="宋体" w:cs="宋体"/>
          <w:szCs w:val="21"/>
        </w:rPr>
      </w:pPr>
      <w:r>
        <w:rPr>
          <w:rFonts w:hint="eastAsia" w:ascii="宋体" w:hAnsi="宋体" w:cs="宋体"/>
          <w:szCs w:val="21"/>
        </w:rPr>
        <w:t>3、投标人：是指向采购</w:t>
      </w:r>
      <w:r>
        <w:rPr>
          <w:rFonts w:hint="eastAsia" w:ascii="宋体" w:hAnsi="宋体" w:cs="宋体"/>
          <w:szCs w:val="21"/>
          <w:lang w:val="zh-CN"/>
        </w:rPr>
        <w:t>组织</w:t>
      </w:r>
      <w:r>
        <w:rPr>
          <w:rFonts w:hint="eastAsia" w:ascii="宋体" w:hAnsi="宋体" w:cs="宋体"/>
          <w:szCs w:val="21"/>
        </w:rPr>
        <w:t>机构提交投标文件的单位或个人。</w:t>
      </w:r>
    </w:p>
    <w:p>
      <w:pPr>
        <w:spacing w:line="360" w:lineRule="auto"/>
        <w:ind w:firstLine="420" w:firstLineChars="200"/>
        <w:rPr>
          <w:rFonts w:ascii="宋体" w:hAnsi="宋体" w:cs="宋体"/>
          <w:szCs w:val="21"/>
        </w:rPr>
      </w:pPr>
      <w:r>
        <w:rPr>
          <w:rFonts w:hint="eastAsia" w:ascii="宋体" w:hAnsi="宋体" w:cs="宋体"/>
          <w:szCs w:val="21"/>
        </w:rPr>
        <w:t>4、货物：是指各种形态和种类的物品，包括原材料、燃料、设备、产品等。</w:t>
      </w:r>
    </w:p>
    <w:p>
      <w:pPr>
        <w:spacing w:line="360" w:lineRule="auto"/>
        <w:ind w:firstLine="420" w:firstLineChars="200"/>
        <w:rPr>
          <w:rFonts w:ascii="宋体" w:hAnsi="宋体" w:cs="宋体"/>
          <w:szCs w:val="21"/>
        </w:rPr>
      </w:pPr>
      <w:r>
        <w:rPr>
          <w:rFonts w:hint="eastAsia" w:ascii="宋体" w:hAnsi="宋体" w:cs="宋体"/>
          <w:szCs w:val="21"/>
        </w:rPr>
        <w:t>5、服务：是指除货物和工程以外的政府采购对象，包括各类专业服务、信息网络开发服务、金融保险服务、运输服务，以及维修与维护服务等。</w:t>
      </w:r>
    </w:p>
    <w:p>
      <w:pPr>
        <w:spacing w:line="360" w:lineRule="auto"/>
        <w:ind w:firstLine="420" w:firstLineChars="200"/>
        <w:rPr>
          <w:rFonts w:ascii="宋体" w:hAnsi="宋体" w:cs="宋体"/>
          <w:szCs w:val="21"/>
        </w:rPr>
      </w:pPr>
      <w:r>
        <w:rPr>
          <w:rFonts w:hint="eastAsia" w:ascii="宋体" w:hAnsi="宋体" w:cs="宋体"/>
          <w:szCs w:val="21"/>
        </w:rPr>
        <w:t>6、“书面形式”：包括信函、传真等。</w:t>
      </w:r>
    </w:p>
    <w:p>
      <w:pPr>
        <w:spacing w:line="360" w:lineRule="auto"/>
        <w:ind w:firstLine="420" w:firstLineChars="200"/>
        <w:jc w:val="left"/>
        <w:rPr>
          <w:rFonts w:ascii="宋体" w:hAnsi="宋体" w:cs="宋体"/>
          <w:szCs w:val="21"/>
        </w:rPr>
      </w:pPr>
      <w:r>
        <w:rPr>
          <w:rFonts w:hint="eastAsia" w:ascii="宋体" w:hAnsi="宋体" w:cs="宋体"/>
          <w:szCs w:val="21"/>
        </w:rPr>
        <w:t>7、“▲：”系指实质性要求条款。</w:t>
      </w:r>
    </w:p>
    <w:p>
      <w:pPr>
        <w:spacing w:line="360" w:lineRule="auto"/>
        <w:ind w:firstLine="422" w:firstLineChars="200"/>
        <w:jc w:val="left"/>
        <w:rPr>
          <w:rFonts w:ascii="宋体" w:hAnsi="宋体" w:cs="宋体"/>
          <w:b/>
          <w:bCs/>
          <w:szCs w:val="21"/>
        </w:rPr>
      </w:pPr>
      <w:r>
        <w:rPr>
          <w:rFonts w:hint="eastAsia" w:ascii="宋体" w:hAnsi="宋体" w:cs="宋体"/>
          <w:b/>
          <w:bCs/>
          <w:szCs w:val="21"/>
        </w:rPr>
        <w:t>（三）投标费用</w:t>
      </w:r>
    </w:p>
    <w:p>
      <w:pPr>
        <w:spacing w:line="360" w:lineRule="auto"/>
        <w:ind w:firstLine="420" w:firstLineChars="200"/>
        <w:jc w:val="left"/>
        <w:rPr>
          <w:rFonts w:ascii="宋体" w:hAnsi="宋体" w:cs="宋体"/>
          <w:szCs w:val="21"/>
        </w:rPr>
      </w:pPr>
      <w:r>
        <w:rPr>
          <w:rFonts w:hint="eastAsia" w:ascii="宋体" w:hAnsi="宋体" w:cs="宋体"/>
          <w:szCs w:val="21"/>
        </w:rPr>
        <w:t>不论投标结果如何，投标人均应自行承担所有与投标有关的全部费用（招标文件有相关规定除外）。</w:t>
      </w:r>
    </w:p>
    <w:p>
      <w:pPr>
        <w:spacing w:line="360" w:lineRule="auto"/>
        <w:ind w:firstLine="422" w:firstLineChars="200"/>
        <w:jc w:val="left"/>
        <w:rPr>
          <w:rFonts w:ascii="宋体" w:hAnsi="宋体" w:cs="宋体"/>
          <w:b/>
          <w:bCs/>
          <w:szCs w:val="21"/>
        </w:rPr>
      </w:pPr>
      <w:r>
        <w:rPr>
          <w:rFonts w:hint="eastAsia" w:ascii="宋体" w:hAnsi="宋体" w:cs="宋体"/>
          <w:b/>
          <w:bCs/>
          <w:szCs w:val="21"/>
        </w:rPr>
        <w:t>（四）特别说明</w:t>
      </w:r>
    </w:p>
    <w:p>
      <w:pPr>
        <w:spacing w:line="360" w:lineRule="auto"/>
        <w:ind w:firstLine="420" w:firstLineChars="200"/>
        <w:jc w:val="left"/>
        <w:rPr>
          <w:rFonts w:ascii="宋体" w:hAnsi="宋体" w:cs="宋体"/>
          <w:szCs w:val="21"/>
        </w:rPr>
      </w:pPr>
      <w:r>
        <w:rPr>
          <w:rFonts w:hint="eastAsia" w:ascii="宋体" w:hAnsi="宋体" w:cs="宋体"/>
          <w:szCs w:val="21"/>
        </w:rPr>
        <w:t>1、投标人投标所使用的资格、信誉、荣誉、业绩与企业认证必须为本法人所拥有。投标人投标所使用的采购项目实施人员必须为本法人员工。▲其中涉及资格条件的如非投标人本人所拥有，则投标无效。</w:t>
      </w:r>
    </w:p>
    <w:p>
      <w:pPr>
        <w:spacing w:line="360" w:lineRule="auto"/>
        <w:ind w:firstLine="420" w:firstLineChars="200"/>
        <w:jc w:val="left"/>
        <w:rPr>
          <w:rFonts w:ascii="宋体" w:hAnsi="宋体" w:cs="宋体"/>
          <w:szCs w:val="21"/>
        </w:rPr>
      </w:pPr>
      <w:r>
        <w:rPr>
          <w:rFonts w:hint="eastAsia" w:ascii="宋体" w:hAnsi="宋体" w:cs="宋体"/>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spacing w:line="360" w:lineRule="auto"/>
        <w:ind w:firstLine="420" w:firstLineChars="200"/>
        <w:rPr>
          <w:rFonts w:ascii="宋体" w:hAnsi="宋体" w:cs="宋体"/>
          <w:szCs w:val="21"/>
        </w:rPr>
      </w:pPr>
      <w:r>
        <w:rPr>
          <w:rFonts w:hint="eastAsia" w:ascii="宋体" w:hAnsi="宋体" w:cs="宋体"/>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20" w:firstLineChars="200"/>
        <w:rPr>
          <w:rFonts w:ascii="宋体" w:hAnsi="宋体" w:cs="宋体"/>
          <w:szCs w:val="21"/>
        </w:rPr>
      </w:pPr>
      <w:r>
        <w:rPr>
          <w:rFonts w:hint="eastAsia" w:ascii="宋体" w:hAnsi="宋体" w:cs="宋体"/>
          <w:szCs w:val="21"/>
        </w:rPr>
        <w:t>▲4、投标人不得相互串通投标报价，不得妨碍其他投标人的公平竞争，不得损害采购人或其他投标人的合法权益，投标人不得以向采购人、评标委员会成员行贿或者采取其他不正当手段谋取中标。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20" w:firstLineChars="200"/>
        <w:rPr>
          <w:rFonts w:ascii="宋体" w:hAnsi="宋体" w:cs="宋体"/>
          <w:szCs w:val="21"/>
        </w:rPr>
      </w:pPr>
      <w:r>
        <w:rPr>
          <w:rFonts w:hint="eastAsia" w:ascii="宋体" w:hAnsi="宋体" w:cs="宋体"/>
          <w:szCs w:val="21"/>
        </w:rPr>
        <w:t>▲5、为采购项目提供整体设计、规范编制或者项目管理、监理、检测等服务的供应商，不得再参加该采购项目的其他采购活动。</w:t>
      </w:r>
    </w:p>
    <w:p>
      <w:pPr>
        <w:spacing w:line="360" w:lineRule="auto"/>
        <w:ind w:firstLine="420" w:firstLineChars="200"/>
        <w:rPr>
          <w:rFonts w:ascii="宋体" w:hAnsi="宋体" w:cs="宋体"/>
          <w:szCs w:val="21"/>
        </w:rPr>
      </w:pPr>
      <w:r>
        <w:rPr>
          <w:rFonts w:hint="eastAsia" w:ascii="宋体" w:hAnsi="宋体" w:cs="宋体"/>
          <w:szCs w:val="21"/>
        </w:rPr>
        <w:t>6、投标文件格式中的表格式样可以根据项目差别做适当调整,但应当保持表格样式基本形态不变。</w:t>
      </w:r>
    </w:p>
    <w:p>
      <w:pPr>
        <w:tabs>
          <w:tab w:val="left" w:pos="851"/>
        </w:tabs>
        <w:autoSpaceDE w:val="0"/>
        <w:autoSpaceDN w:val="0"/>
        <w:adjustRightInd w:val="0"/>
        <w:snapToGrid w:val="0"/>
        <w:spacing w:line="360" w:lineRule="auto"/>
        <w:ind w:firstLine="480"/>
        <w:rPr>
          <w:rFonts w:ascii="宋体" w:hAnsi="宋体" w:cs="宋体"/>
          <w:szCs w:val="21"/>
        </w:rPr>
      </w:pPr>
      <w:r>
        <w:rPr>
          <w:rFonts w:hint="eastAsia" w:ascii="宋体" w:hAnsi="宋体" w:cs="宋体"/>
          <w:szCs w:val="21"/>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pPr>
        <w:tabs>
          <w:tab w:val="left" w:pos="851"/>
        </w:tabs>
        <w:autoSpaceDE w:val="0"/>
        <w:autoSpaceDN w:val="0"/>
        <w:adjustRightInd w:val="0"/>
        <w:snapToGrid w:val="0"/>
        <w:spacing w:line="360" w:lineRule="auto"/>
        <w:ind w:firstLine="480"/>
        <w:rPr>
          <w:rFonts w:ascii="宋体" w:hAnsi="宋体" w:cs="宋体"/>
          <w:szCs w:val="21"/>
        </w:rPr>
      </w:pPr>
      <w:r>
        <w:rPr>
          <w:rFonts w:hint="eastAsia" w:ascii="宋体" w:hAnsi="宋体" w:cs="宋体"/>
          <w:szCs w:val="21"/>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pPr>
        <w:spacing w:line="360" w:lineRule="auto"/>
        <w:ind w:firstLine="420" w:firstLineChars="200"/>
        <w:rPr>
          <w:rFonts w:ascii="宋体" w:hAnsi="宋体" w:cs="宋体"/>
          <w:szCs w:val="21"/>
        </w:rPr>
      </w:pPr>
      <w:r>
        <w:rPr>
          <w:rFonts w:hint="eastAsia" w:ascii="宋体" w:hAnsi="宋体" w:cs="宋体"/>
          <w:szCs w:val="21"/>
        </w:rPr>
        <w:t>▲9、本项目不允许分包。</w:t>
      </w:r>
    </w:p>
    <w:p>
      <w:pPr>
        <w:spacing w:line="360" w:lineRule="auto"/>
        <w:rPr>
          <w:rFonts w:ascii="宋体" w:hAnsi="宋体" w:cs="宋体"/>
          <w:szCs w:val="21"/>
        </w:rPr>
      </w:pPr>
      <w:r>
        <w:rPr>
          <w:rFonts w:hint="eastAsia" w:ascii="宋体" w:hAnsi="宋体" w:cs="宋体"/>
          <w:b/>
          <w:bCs/>
          <w:szCs w:val="21"/>
        </w:rPr>
        <w:t>二、招标文件</w:t>
      </w:r>
    </w:p>
    <w:p>
      <w:pPr>
        <w:spacing w:line="360" w:lineRule="auto"/>
        <w:ind w:firstLine="420" w:firstLineChars="200"/>
        <w:rPr>
          <w:rFonts w:ascii="宋体" w:hAnsi="宋体" w:cs="宋体"/>
          <w:szCs w:val="21"/>
        </w:rPr>
      </w:pPr>
      <w:r>
        <w:rPr>
          <w:rFonts w:hint="eastAsia" w:ascii="宋体" w:hAnsi="宋体" w:cs="宋体"/>
          <w:szCs w:val="21"/>
        </w:rPr>
        <w:t>（一）招标文件由招标文件总目录所列内容组成。</w:t>
      </w:r>
    </w:p>
    <w:p>
      <w:pPr>
        <w:spacing w:line="360" w:lineRule="auto"/>
        <w:ind w:firstLine="420" w:firstLineChars="200"/>
        <w:rPr>
          <w:rFonts w:ascii="宋体" w:hAnsi="宋体" w:cs="宋体"/>
          <w:szCs w:val="21"/>
        </w:rPr>
      </w:pPr>
      <w:r>
        <w:rPr>
          <w:rFonts w:hint="eastAsia" w:ascii="宋体" w:hAnsi="宋体" w:cs="宋体"/>
          <w:szCs w:val="21"/>
        </w:rPr>
        <w:t>（二）招标文件的澄清或修改</w:t>
      </w:r>
    </w:p>
    <w:p>
      <w:pPr>
        <w:spacing w:line="360" w:lineRule="auto"/>
        <w:ind w:firstLine="420" w:firstLineChars="200"/>
        <w:rPr>
          <w:rFonts w:ascii="宋体" w:hAnsi="宋体" w:cs="宋体"/>
          <w:szCs w:val="21"/>
        </w:rPr>
      </w:pPr>
      <w:r>
        <w:rPr>
          <w:rFonts w:hint="eastAsia" w:ascii="宋体" w:hAnsi="宋体" w:cs="宋体"/>
          <w:szCs w:val="21"/>
        </w:rPr>
        <w:t xml:space="preserve">1、采购代理机构可视采购具体情况对已发出的招标文件进行必要的澄清或者修改。澄清或者修改的内容可能影响投标文件编制的，采购人或者采购代理机构应当在投标截止时间至少15日前，在原公告发布媒体上发布澄清公告，澄清或者修改的内容为招标文件的组成部分；不足15日的，采购人或者采购代理机构应当顺延提交投标文件的截止时间。 </w:t>
      </w:r>
    </w:p>
    <w:p>
      <w:pPr>
        <w:spacing w:line="360" w:lineRule="auto"/>
        <w:ind w:firstLine="420" w:firstLineChars="200"/>
        <w:rPr>
          <w:rFonts w:ascii="宋体" w:hAnsi="宋体" w:cs="宋体"/>
          <w:szCs w:val="21"/>
        </w:rPr>
      </w:pPr>
      <w:r>
        <w:rPr>
          <w:rFonts w:hint="eastAsia" w:ascii="宋体" w:hAnsi="宋体" w:cs="宋体"/>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宋体" w:hAnsi="宋体" w:cs="宋体"/>
          <w:b/>
          <w:bCs/>
          <w:szCs w:val="21"/>
        </w:rPr>
      </w:pPr>
      <w:r>
        <w:rPr>
          <w:rFonts w:hint="eastAsia" w:ascii="宋体" w:hAnsi="宋体" w:cs="宋体"/>
          <w:b/>
          <w:bCs/>
          <w:szCs w:val="21"/>
        </w:rPr>
        <w:t>三、投标文件</w:t>
      </w:r>
    </w:p>
    <w:p>
      <w:pPr>
        <w:spacing w:line="360" w:lineRule="auto"/>
        <w:ind w:firstLine="420" w:firstLineChars="200"/>
        <w:rPr>
          <w:rFonts w:ascii="宋体" w:hAnsi="宋体" w:cs="宋体"/>
          <w:bCs/>
          <w:szCs w:val="21"/>
        </w:rPr>
      </w:pPr>
      <w:r>
        <w:rPr>
          <w:rFonts w:hint="eastAsia" w:ascii="宋体" w:hAnsi="宋体" w:cs="宋体"/>
          <w:bCs/>
          <w:szCs w:val="21"/>
        </w:rPr>
        <w:t>本项目实行电子投标，供应商应准备电子投标文件、还可以提供备份投标文件。</w:t>
      </w:r>
    </w:p>
    <w:p>
      <w:pPr>
        <w:snapToGrid w:val="0"/>
        <w:spacing w:line="360" w:lineRule="auto"/>
        <w:ind w:firstLine="411" w:firstLineChars="196"/>
        <w:jc w:val="left"/>
        <w:rPr>
          <w:rFonts w:ascii="宋体" w:hAnsi="宋体" w:cs="宋体"/>
          <w:bCs/>
          <w:szCs w:val="21"/>
        </w:rPr>
      </w:pPr>
      <w:r>
        <w:rPr>
          <w:rFonts w:hint="eastAsia" w:ascii="宋体" w:hAnsi="宋体" w:cs="宋体"/>
          <w:bCs/>
          <w:szCs w:val="21"/>
        </w:rPr>
        <w:t>1、</w:t>
      </w:r>
      <w:r>
        <w:rPr>
          <w:rFonts w:hint="eastAsia" w:ascii="宋体" w:hAnsi="宋体" w:cs="宋体"/>
          <w:bCs/>
          <w:szCs w:val="21"/>
          <w:lang w:val="zh-CN"/>
        </w:rPr>
        <w:t>电子投标文件按</w:t>
      </w:r>
      <w:r>
        <w:rPr>
          <w:rFonts w:hint="eastAsia" w:ascii="宋体" w:hAnsi="宋体" w:cs="宋体"/>
          <w:bCs/>
          <w:szCs w:val="21"/>
        </w:rPr>
        <w:t>政府采购</w:t>
      </w:r>
      <w:r>
        <w:rPr>
          <w:rFonts w:hint="eastAsia" w:ascii="宋体" w:hAnsi="宋体" w:cs="宋体"/>
          <w:bCs/>
          <w:szCs w:val="21"/>
          <w:lang w:val="zh-CN"/>
        </w:rPr>
        <w:t>云平台供应商项目采购-电子招投标操作指南（网址：https://help.zcygov.cn/web/site_2/2018/12-28/2573.html）及本招标文件要求制作、加密并</w:t>
      </w:r>
      <w:r>
        <w:rPr>
          <w:rFonts w:hint="eastAsia" w:ascii="宋体" w:hAnsi="宋体" w:cs="宋体"/>
          <w:bCs/>
          <w:szCs w:val="21"/>
        </w:rPr>
        <w:t>传输</w:t>
      </w:r>
      <w:r>
        <w:rPr>
          <w:rFonts w:hint="eastAsia" w:ascii="宋体" w:hAnsi="宋体" w:cs="宋体"/>
          <w:bCs/>
          <w:szCs w:val="21"/>
          <w:lang w:val="zh-CN"/>
        </w:rPr>
        <w:t>递交。</w:t>
      </w:r>
    </w:p>
    <w:p>
      <w:pPr>
        <w:snapToGrid w:val="0"/>
        <w:spacing w:line="360" w:lineRule="auto"/>
        <w:ind w:firstLine="411" w:firstLineChars="196"/>
        <w:jc w:val="left"/>
        <w:rPr>
          <w:rFonts w:ascii="宋体" w:hAnsi="宋体" w:cs="宋体"/>
          <w:bCs/>
          <w:szCs w:val="21"/>
        </w:rPr>
      </w:pPr>
      <w:r>
        <w:rPr>
          <w:rFonts w:hint="eastAsia" w:ascii="宋体" w:hAnsi="宋体" w:cs="宋体"/>
          <w:bCs/>
          <w:szCs w:val="21"/>
        </w:rPr>
        <w:t>2、</w:t>
      </w:r>
      <w:r>
        <w:rPr>
          <w:rFonts w:hint="eastAsia" w:ascii="宋体" w:hAnsi="宋体" w:cs="宋体"/>
          <w:szCs w:val="21"/>
          <w:lang w:val="zh-CN"/>
        </w:rPr>
        <w:t>备份投标文件是指“电子投标文件”同时生成的数据电文形式的电子文件（备份标书），以U盘形式提供。</w:t>
      </w:r>
    </w:p>
    <w:p>
      <w:pPr>
        <w:spacing w:line="360" w:lineRule="auto"/>
        <w:ind w:firstLine="420" w:firstLineChars="200"/>
        <w:rPr>
          <w:rFonts w:ascii="宋体" w:hAnsi="宋体" w:cs="宋体"/>
          <w:szCs w:val="21"/>
          <w:u w:val="single"/>
        </w:rPr>
      </w:pPr>
      <w:r>
        <w:rPr>
          <w:rFonts w:hint="eastAsia" w:ascii="宋体" w:hAnsi="宋体" w:cs="宋体"/>
          <w:szCs w:val="21"/>
          <w:u w:val="single"/>
        </w:rPr>
        <w:t>3、投标文件启用顺序和效力：投标文件的启用，按先后顺位分别为电子投标文件、以介质（U盘）存储的数据电文形式的备份投标文件。如果某位投标人的电子投标文件无法按时解密的，可启用以介质（U盘）存储的数据电文形式的备份投标文件。</w:t>
      </w:r>
    </w:p>
    <w:p>
      <w:pPr>
        <w:snapToGrid w:val="0"/>
        <w:spacing w:line="360" w:lineRule="auto"/>
        <w:ind w:firstLine="411" w:firstLineChars="196"/>
        <w:jc w:val="left"/>
        <w:rPr>
          <w:rFonts w:ascii="宋体" w:hAnsi="宋体" w:cs="宋体"/>
          <w:bCs/>
          <w:szCs w:val="21"/>
        </w:rPr>
      </w:pPr>
      <w:r>
        <w:rPr>
          <w:rFonts w:hint="eastAsia" w:ascii="宋体" w:hAnsi="宋体" w:cs="宋体"/>
          <w:bCs/>
          <w:szCs w:val="21"/>
        </w:rPr>
        <w:t>▲未传输递交电子投标文件，投标无效。</w:t>
      </w:r>
    </w:p>
    <w:p>
      <w:pPr>
        <w:spacing w:line="360" w:lineRule="auto"/>
        <w:ind w:firstLine="422" w:firstLineChars="200"/>
        <w:rPr>
          <w:rFonts w:ascii="宋体" w:hAnsi="宋体" w:cs="宋体"/>
          <w:szCs w:val="21"/>
        </w:rPr>
      </w:pPr>
      <w:r>
        <w:rPr>
          <w:rFonts w:hint="eastAsia" w:ascii="宋体" w:hAnsi="宋体" w:cs="宋体"/>
          <w:b/>
          <w:bCs/>
          <w:szCs w:val="21"/>
          <w:lang w:val="zh-CN"/>
        </w:rPr>
        <w:t>（一）</w:t>
      </w:r>
      <w:r>
        <w:rPr>
          <w:rFonts w:hint="eastAsia" w:ascii="宋体" w:hAnsi="宋体" w:cs="宋体"/>
          <w:b/>
          <w:bCs/>
          <w:szCs w:val="21"/>
        </w:rPr>
        <w:t>投标文件的组成</w:t>
      </w:r>
    </w:p>
    <w:p>
      <w:pPr>
        <w:spacing w:line="360" w:lineRule="auto"/>
        <w:ind w:firstLine="420" w:firstLineChars="200"/>
        <w:rPr>
          <w:rFonts w:ascii="宋体" w:hAnsi="宋体" w:cs="宋体"/>
          <w:szCs w:val="21"/>
        </w:rPr>
      </w:pPr>
      <w:r>
        <w:rPr>
          <w:rFonts w:hint="eastAsia" w:ascii="宋体" w:hAnsi="宋体" w:cs="宋体"/>
          <w:szCs w:val="21"/>
        </w:rPr>
        <w:t>投标人接到招标文件后，按照招标文件的要求提供投标文件（包含电子投标文件和备份投标文件）：由资格证明文件、资信与商务技术文件和报价文件三部分组成。</w:t>
      </w:r>
    </w:p>
    <w:p>
      <w:pPr>
        <w:spacing w:line="360" w:lineRule="auto"/>
        <w:ind w:firstLine="420" w:firstLineChars="200"/>
        <w:rPr>
          <w:rFonts w:ascii="宋体" w:hAnsi="宋体" w:cs="宋体"/>
          <w:szCs w:val="21"/>
          <w:lang w:val="zh-CN"/>
        </w:rPr>
      </w:pPr>
      <w:r>
        <w:rPr>
          <w:rFonts w:hint="eastAsia" w:ascii="宋体" w:hAnsi="宋体" w:cs="宋体"/>
          <w:szCs w:val="21"/>
          <w:lang w:val="zh-CN"/>
        </w:rPr>
        <w:t>【特别提示：如有要求提供资料原件的，原件另行包装，并与投标文件一起提交，投标截止时间后所有原件不予接收。资料原件也可以用与原件相符的公证原件替代】</w:t>
      </w:r>
    </w:p>
    <w:p>
      <w:pPr>
        <w:spacing w:line="440" w:lineRule="exact"/>
        <w:ind w:firstLine="210" w:firstLineChars="100"/>
        <w:rPr>
          <w:rFonts w:ascii="宋体" w:hAnsi="宋体" w:cs="宋体"/>
          <w:b/>
          <w:bCs/>
        </w:rPr>
      </w:pPr>
      <w:r>
        <w:rPr>
          <w:rFonts w:hint="eastAsia" w:ascii="宋体" w:hAnsi="宋体" w:cs="宋体"/>
          <w:szCs w:val="21"/>
        </w:rPr>
        <w:t>▲</w:t>
      </w:r>
      <w:r>
        <w:rPr>
          <w:rFonts w:hint="eastAsia" w:ascii="宋体" w:hAnsi="宋体" w:cs="宋体"/>
          <w:b/>
          <w:bCs/>
          <w:szCs w:val="21"/>
        </w:rPr>
        <w:t>1、资格证明文件的组成：</w:t>
      </w:r>
    </w:p>
    <w:p>
      <w:pPr>
        <w:spacing w:line="360" w:lineRule="auto"/>
        <w:ind w:firstLine="420" w:firstLineChars="200"/>
        <w:rPr>
          <w:rFonts w:ascii="宋体" w:hAnsi="宋体" w:cs="宋体"/>
          <w:szCs w:val="21"/>
        </w:rPr>
      </w:pPr>
      <w:r>
        <w:rPr>
          <w:rFonts w:hint="eastAsia" w:ascii="宋体" w:hAnsi="宋体" w:cs="宋体"/>
          <w:szCs w:val="21"/>
        </w:rPr>
        <w:t>（1）投标声明书；</w:t>
      </w:r>
    </w:p>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法定代表人身份证明或法定代表人授权委托书</w:t>
      </w:r>
      <w:r>
        <w:rPr>
          <w:rFonts w:hint="eastAsia" w:ascii="宋体" w:hAnsi="宋体" w:cs="宋体"/>
          <w:szCs w:val="21"/>
        </w:rPr>
        <w:t>（格式见附件)；</w:t>
      </w:r>
    </w:p>
    <w:p>
      <w:pPr>
        <w:spacing w:line="360" w:lineRule="auto"/>
        <w:ind w:firstLine="420" w:firstLineChars="200"/>
        <w:rPr>
          <w:rFonts w:ascii="宋体" w:hAnsi="宋体" w:cs="宋体"/>
          <w:szCs w:val="21"/>
        </w:rPr>
      </w:pPr>
      <w:r>
        <w:rPr>
          <w:rFonts w:hint="eastAsia" w:ascii="宋体" w:hAnsi="宋体" w:cs="宋体"/>
          <w:szCs w:val="21"/>
        </w:rPr>
        <w:t>（3）法人或者其他组织的营业执照等证明文件，自然人的身份证明；</w:t>
      </w:r>
    </w:p>
    <w:p>
      <w:pPr>
        <w:spacing w:line="360" w:lineRule="auto"/>
        <w:ind w:firstLine="420" w:firstLineChars="200"/>
        <w:rPr>
          <w:rFonts w:ascii="宋体" w:hAnsi="宋体" w:cs="宋体"/>
          <w:szCs w:val="21"/>
        </w:rPr>
      </w:pPr>
      <w:r>
        <w:rPr>
          <w:rFonts w:hint="eastAsia" w:ascii="宋体" w:hAnsi="宋体" w:cs="宋体"/>
          <w:szCs w:val="21"/>
        </w:rPr>
        <w:t>（4）具有良好的商业信誉和健全的财务会计制度的承诺（格式见附件）；</w:t>
      </w:r>
    </w:p>
    <w:p>
      <w:pPr>
        <w:spacing w:line="360" w:lineRule="auto"/>
        <w:ind w:firstLine="420" w:firstLineChars="200"/>
        <w:rPr>
          <w:rFonts w:ascii="宋体" w:hAnsi="宋体" w:cs="宋体"/>
          <w:szCs w:val="21"/>
        </w:rPr>
      </w:pPr>
      <w:r>
        <w:rPr>
          <w:rFonts w:hint="eastAsia" w:ascii="宋体" w:hAnsi="宋体" w:cs="宋体"/>
          <w:szCs w:val="21"/>
        </w:rPr>
        <w:t>（5）投标人无税收缴纳、社会保障等方面的失信记录的承诺函（格式见附件）；</w:t>
      </w:r>
    </w:p>
    <w:p>
      <w:pPr>
        <w:spacing w:line="360" w:lineRule="auto"/>
        <w:ind w:firstLine="420" w:firstLineChars="200"/>
        <w:rPr>
          <w:rFonts w:ascii="宋体" w:hAnsi="宋体" w:cs="宋体"/>
          <w:szCs w:val="21"/>
        </w:rPr>
      </w:pPr>
      <w:r>
        <w:rPr>
          <w:rFonts w:hint="eastAsia" w:ascii="宋体" w:hAnsi="宋体" w:cs="宋体"/>
          <w:szCs w:val="21"/>
        </w:rPr>
        <w:t>（6）具备履行合同所必需的设备和专业技术能力的承诺函（格式见附件）；</w:t>
      </w:r>
    </w:p>
    <w:p>
      <w:pPr>
        <w:spacing w:line="360" w:lineRule="auto"/>
        <w:ind w:firstLine="420" w:firstLineChars="200"/>
        <w:rPr>
          <w:rFonts w:ascii="宋体" w:hAnsi="宋体" w:cs="宋体"/>
        </w:rPr>
      </w:pPr>
      <w:r>
        <w:rPr>
          <w:rFonts w:hint="eastAsia" w:ascii="宋体" w:hAnsi="宋体" w:cs="宋体"/>
          <w:szCs w:val="21"/>
        </w:rPr>
        <w:t>（7）参加政府采购活动前三年内，在经营活动中没有重大违法记录（格式见附件）；</w:t>
      </w:r>
    </w:p>
    <w:p>
      <w:pPr>
        <w:spacing w:line="360" w:lineRule="auto"/>
        <w:ind w:firstLine="420" w:firstLineChars="200"/>
        <w:rPr>
          <w:rFonts w:ascii="宋体" w:hAnsi="宋体" w:cs="宋体"/>
          <w:kern w:val="0"/>
          <w:szCs w:val="21"/>
        </w:rPr>
      </w:pPr>
      <w:r>
        <w:rPr>
          <w:rFonts w:hint="eastAsia" w:ascii="宋体" w:hAnsi="宋体" w:cs="宋体"/>
          <w:szCs w:val="21"/>
        </w:rPr>
        <w:t>（8）</w:t>
      </w:r>
      <w:r>
        <w:rPr>
          <w:rFonts w:hint="eastAsia" w:ascii="宋体" w:hAnsi="宋体" w:cs="宋体"/>
          <w:kern w:val="0"/>
          <w:szCs w:val="21"/>
        </w:rPr>
        <w:t>须提供中小企业声明函等政府优惠政策适用证明材料(格式见附件)；</w:t>
      </w:r>
    </w:p>
    <w:p>
      <w:pPr>
        <w:spacing w:line="440" w:lineRule="exact"/>
        <w:ind w:firstLine="211" w:firstLineChars="100"/>
        <w:rPr>
          <w:rFonts w:ascii="宋体" w:hAnsi="宋体" w:cs="宋体"/>
          <w:b/>
          <w:bCs/>
          <w:szCs w:val="21"/>
        </w:rPr>
      </w:pPr>
      <w:r>
        <w:rPr>
          <w:rFonts w:hint="eastAsia" w:ascii="宋体" w:hAnsi="宋体" w:cs="宋体"/>
          <w:b/>
          <w:bCs/>
          <w:szCs w:val="21"/>
        </w:rPr>
        <w:t xml:space="preserve">2、资信与商务技术文件  </w:t>
      </w:r>
    </w:p>
    <w:p>
      <w:pPr>
        <w:spacing w:line="360" w:lineRule="auto"/>
        <w:ind w:firstLine="420" w:firstLineChars="200"/>
        <w:rPr>
          <w:rFonts w:ascii="宋体" w:hAnsi="宋体" w:cs="宋体"/>
          <w:szCs w:val="21"/>
        </w:rPr>
      </w:pPr>
      <w:r>
        <w:rPr>
          <w:rFonts w:hint="eastAsia" w:ascii="宋体" w:hAnsi="宋体" w:cs="宋体"/>
          <w:szCs w:val="21"/>
        </w:rPr>
        <w:t>（1）资信与商务技术文件评分索引表（</w:t>
      </w:r>
      <w:r>
        <w:rPr>
          <w:rFonts w:hint="eastAsia" w:ascii="宋体" w:hAnsi="宋体" w:cs="宋体"/>
          <w:kern w:val="0"/>
          <w:szCs w:val="21"/>
        </w:rPr>
        <w:t>格式见附件</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（2）类似业绩（</w:t>
      </w:r>
      <w:r>
        <w:rPr>
          <w:rFonts w:hint="eastAsia" w:ascii="宋体" w:hAnsi="宋体" w:cs="宋体"/>
          <w:kern w:val="0"/>
          <w:szCs w:val="21"/>
        </w:rPr>
        <w:t>格式见附件）</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（3）技术参数；</w:t>
      </w:r>
    </w:p>
    <w:p>
      <w:pPr>
        <w:spacing w:line="360" w:lineRule="auto"/>
        <w:ind w:firstLine="420" w:firstLineChars="200"/>
        <w:rPr>
          <w:rFonts w:ascii="宋体" w:hAnsi="宋体" w:cs="宋体"/>
          <w:szCs w:val="21"/>
        </w:rPr>
      </w:pPr>
      <w:r>
        <w:rPr>
          <w:rFonts w:hint="eastAsia" w:ascii="宋体" w:hAnsi="宋体" w:cs="宋体"/>
          <w:szCs w:val="21"/>
        </w:rPr>
        <w:t>（4）应急响应；</w:t>
      </w:r>
    </w:p>
    <w:p>
      <w:pPr>
        <w:spacing w:line="360" w:lineRule="auto"/>
        <w:ind w:firstLine="420" w:firstLineChars="200"/>
        <w:rPr>
          <w:rFonts w:ascii="宋体" w:hAnsi="宋体" w:cs="宋体"/>
          <w:szCs w:val="21"/>
        </w:rPr>
      </w:pPr>
      <w:r>
        <w:rPr>
          <w:rFonts w:hint="eastAsia" w:ascii="宋体" w:hAnsi="宋体" w:cs="宋体"/>
          <w:szCs w:val="21"/>
        </w:rPr>
        <w:t>（5）供货配送方案；</w:t>
      </w:r>
    </w:p>
    <w:p>
      <w:pPr>
        <w:spacing w:line="360" w:lineRule="auto"/>
        <w:ind w:firstLine="420" w:firstLineChars="200"/>
        <w:rPr>
          <w:rFonts w:ascii="宋体" w:hAnsi="宋体" w:cs="宋体"/>
          <w:szCs w:val="21"/>
        </w:rPr>
      </w:pPr>
      <w:r>
        <w:rPr>
          <w:rFonts w:hint="eastAsia" w:ascii="宋体" w:hAnsi="宋体" w:cs="宋体"/>
          <w:szCs w:val="21"/>
        </w:rPr>
        <w:t>（6）质量保障方案；</w:t>
      </w:r>
    </w:p>
    <w:p>
      <w:pPr>
        <w:spacing w:line="360" w:lineRule="auto"/>
        <w:ind w:firstLine="420" w:firstLineChars="200"/>
        <w:rPr>
          <w:rFonts w:ascii="宋体" w:hAnsi="宋体" w:cs="宋体"/>
          <w:szCs w:val="21"/>
        </w:rPr>
      </w:pPr>
      <w:r>
        <w:rPr>
          <w:rFonts w:hint="eastAsia" w:ascii="宋体" w:hAnsi="宋体" w:cs="宋体"/>
          <w:szCs w:val="21"/>
        </w:rPr>
        <w:t>（7）售后服务；</w:t>
      </w:r>
    </w:p>
    <w:p>
      <w:pPr>
        <w:spacing w:line="360" w:lineRule="auto"/>
        <w:ind w:firstLine="420" w:firstLineChars="200"/>
        <w:rPr>
          <w:rFonts w:ascii="宋体" w:hAnsi="宋体" w:cs="宋体"/>
          <w:szCs w:val="21"/>
        </w:rPr>
      </w:pPr>
      <w:r>
        <w:rPr>
          <w:rFonts w:hint="eastAsia" w:ascii="宋体" w:hAnsi="宋体" w:cs="宋体"/>
          <w:szCs w:val="21"/>
        </w:rPr>
        <w:t>（8）投标人认为需要的其他文件和说明。</w:t>
      </w:r>
    </w:p>
    <w:p>
      <w:pPr>
        <w:spacing w:line="440" w:lineRule="exact"/>
        <w:ind w:firstLine="420" w:firstLineChars="200"/>
        <w:rPr>
          <w:rFonts w:ascii="宋体" w:hAnsi="宋体" w:cs="宋体"/>
          <w:b w:val="0"/>
          <w:bCs/>
        </w:rPr>
      </w:pPr>
      <w:r>
        <w:rPr>
          <w:rFonts w:hint="eastAsia" w:ascii="宋体" w:hAnsi="宋体" w:cs="宋体"/>
          <w:b w:val="0"/>
          <w:bCs/>
          <w:szCs w:val="21"/>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pPr>
        <w:spacing w:line="440" w:lineRule="exact"/>
        <w:ind w:firstLine="211" w:firstLineChars="100"/>
        <w:rPr>
          <w:rFonts w:ascii="宋体" w:hAnsi="宋体" w:cs="宋体"/>
          <w:b/>
          <w:bCs/>
          <w:szCs w:val="21"/>
        </w:rPr>
      </w:pPr>
      <w:r>
        <w:rPr>
          <w:rFonts w:hint="eastAsia" w:ascii="宋体" w:hAnsi="宋体" w:cs="宋体"/>
          <w:b/>
          <w:bCs/>
          <w:szCs w:val="21"/>
        </w:rPr>
        <w:t xml:space="preserve">3 报价文件 </w:t>
      </w:r>
    </w:p>
    <w:p>
      <w:pPr>
        <w:spacing w:line="360" w:lineRule="auto"/>
        <w:ind w:firstLine="422" w:firstLineChars="200"/>
        <w:rPr>
          <w:rFonts w:ascii="宋体" w:hAnsi="宋体" w:cs="宋体"/>
          <w:szCs w:val="21"/>
        </w:rPr>
      </w:pPr>
      <w:r>
        <w:rPr>
          <w:rFonts w:hint="eastAsia" w:ascii="宋体" w:hAnsi="宋体" w:cs="宋体"/>
          <w:b/>
          <w:bCs/>
          <w:szCs w:val="21"/>
        </w:rPr>
        <w:t>▲</w:t>
      </w:r>
      <w:r>
        <w:rPr>
          <w:rFonts w:hint="eastAsia" w:ascii="宋体" w:hAnsi="宋体" w:cs="宋体"/>
          <w:szCs w:val="21"/>
        </w:rPr>
        <w:t>（1）开标一览表（</w:t>
      </w:r>
      <w:r>
        <w:rPr>
          <w:rFonts w:hint="eastAsia" w:ascii="宋体" w:hAnsi="宋体" w:cs="宋体"/>
          <w:kern w:val="0"/>
          <w:szCs w:val="21"/>
        </w:rPr>
        <w:t>格式见附件）</w:t>
      </w:r>
      <w:r>
        <w:rPr>
          <w:rFonts w:hint="eastAsia" w:ascii="宋体" w:hAnsi="宋体" w:cs="宋体"/>
          <w:szCs w:val="21"/>
        </w:rPr>
        <w:t xml:space="preserve">； </w:t>
      </w:r>
    </w:p>
    <w:p>
      <w:pPr>
        <w:spacing w:line="360" w:lineRule="auto"/>
        <w:ind w:firstLine="422" w:firstLineChars="200"/>
        <w:rPr>
          <w:rFonts w:ascii="宋体" w:hAnsi="宋体" w:cs="宋体"/>
          <w:szCs w:val="21"/>
        </w:rPr>
      </w:pPr>
      <w:r>
        <w:rPr>
          <w:rFonts w:hint="eastAsia" w:ascii="宋体" w:hAnsi="宋体" w:cs="宋体"/>
          <w:b/>
          <w:bCs/>
          <w:szCs w:val="21"/>
        </w:rPr>
        <w:t>▲</w:t>
      </w:r>
      <w:r>
        <w:rPr>
          <w:rFonts w:hint="eastAsia" w:ascii="宋体" w:hAnsi="宋体" w:cs="宋体"/>
          <w:szCs w:val="21"/>
        </w:rPr>
        <w:t>（2）报价明细表（</w:t>
      </w:r>
      <w:r>
        <w:rPr>
          <w:rFonts w:hint="eastAsia" w:ascii="宋体" w:hAnsi="宋体" w:cs="宋体"/>
          <w:kern w:val="0"/>
          <w:szCs w:val="21"/>
        </w:rPr>
        <w:t>格式见附件）</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（3）投标人需要说明的其他文件和说明。</w:t>
      </w:r>
    </w:p>
    <w:p>
      <w:pPr>
        <w:spacing w:line="360" w:lineRule="auto"/>
        <w:ind w:firstLine="211" w:firstLineChars="100"/>
        <w:rPr>
          <w:rFonts w:ascii="宋体" w:hAnsi="宋体" w:cs="宋体"/>
          <w:b/>
          <w:bCs/>
          <w:szCs w:val="21"/>
        </w:rPr>
      </w:pPr>
      <w:r>
        <w:rPr>
          <w:rFonts w:hint="eastAsia" w:ascii="宋体" w:hAnsi="宋体" w:cs="宋体"/>
          <w:b/>
          <w:bCs/>
          <w:szCs w:val="21"/>
        </w:rPr>
        <w:t>3.1、报价文件的组成</w:t>
      </w:r>
    </w:p>
    <w:p>
      <w:pPr>
        <w:spacing w:line="360" w:lineRule="auto"/>
        <w:ind w:firstLine="420" w:firstLineChars="200"/>
        <w:rPr>
          <w:rFonts w:ascii="宋体" w:hAnsi="宋体" w:cs="宋体"/>
          <w:szCs w:val="21"/>
        </w:rPr>
      </w:pPr>
      <w:r>
        <w:rPr>
          <w:rFonts w:hint="eastAsia" w:ascii="宋体" w:hAnsi="宋体" w:cs="宋体"/>
          <w:szCs w:val="21"/>
        </w:rPr>
        <w:t>（1）报价文件由开标一览表、报价明细表，以及投标人认为其他需要说明的内容组成。</w:t>
      </w:r>
    </w:p>
    <w:p>
      <w:pPr>
        <w:snapToGrid w:val="0"/>
        <w:spacing w:line="460" w:lineRule="exact"/>
        <w:ind w:firstLine="420" w:firstLineChars="200"/>
        <w:jc w:val="left"/>
        <w:rPr>
          <w:rFonts w:ascii="宋体" w:hAnsi="宋体" w:cs="宋体"/>
        </w:rPr>
      </w:pPr>
      <w:r>
        <w:rPr>
          <w:rFonts w:hint="eastAsia" w:ascii="宋体" w:hAnsi="宋体" w:cs="宋体"/>
          <w:szCs w:val="21"/>
        </w:rPr>
        <w:t>（2）此报价为投标人一次性报出唯一的最终价格，包含其它一切所要涉及到的费用，有选择的报价将被拒绝。</w:t>
      </w:r>
      <w:r>
        <w:rPr>
          <w:rFonts w:hint="eastAsia" w:ascii="宋体" w:hAnsi="宋体" w:cs="宋体"/>
          <w:szCs w:val="21"/>
        </w:rPr>
        <w:br w:type="textWrapping"/>
      </w:r>
      <w:r>
        <w:rPr>
          <w:rFonts w:hint="eastAsia" w:ascii="宋体" w:hAnsi="宋体" w:cs="宋体"/>
          <w:szCs w:val="21"/>
        </w:rPr>
        <w:t xml:space="preserve">    （3）</w:t>
      </w:r>
      <w:r>
        <w:rPr>
          <w:rFonts w:hint="eastAsia" w:ascii="宋体" w:hAnsi="宋体" w:cs="宋体"/>
        </w:rPr>
        <w:t>采用全费用综合单价报价，其全费用综合单价包括的投标范围内全部内容的所有费用，其应包括产品设计、加工制作、运输费、装卸费、人工费、材料费、保险费、售后服务、利润、税金、招标代理服务费及合同包含的所有风险、责任等可能发生的一切费用。投标人应根据上述因素自行综合考虑，采购人可根据实际情况调整工程量，中标人不得以此为要求调整综合单价。结算时，中标人在综合单价不变的前提下，根据实际数量按实调整，综合单价一次性报死，日后不作调整。</w:t>
      </w:r>
    </w:p>
    <w:p>
      <w:pPr>
        <w:spacing w:line="360" w:lineRule="auto"/>
        <w:ind w:firstLine="420" w:firstLineChars="200"/>
        <w:rPr>
          <w:rFonts w:ascii="宋体" w:hAnsi="宋体" w:cs="宋体"/>
          <w:szCs w:val="21"/>
        </w:rPr>
      </w:pPr>
      <w:r>
        <w:rPr>
          <w:rFonts w:hint="eastAsia" w:ascii="宋体" w:hAnsi="宋体" w:cs="宋体"/>
          <w:szCs w:val="21"/>
        </w:rPr>
        <w:t>▲（4）相关报价单需打印或用不退色的墨水填写，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20" w:firstLineChars="200"/>
        <w:rPr>
          <w:rFonts w:ascii="宋体" w:hAnsi="宋体" w:cs="宋体"/>
          <w:szCs w:val="21"/>
        </w:rPr>
      </w:pPr>
      <w:r>
        <w:rPr>
          <w:rFonts w:hint="eastAsia" w:ascii="宋体" w:hAnsi="宋体" w:cs="宋体"/>
          <w:szCs w:val="21"/>
        </w:rPr>
        <w:t>（5）投标报价应按招标文件中相关附表格式填写。</w:t>
      </w:r>
    </w:p>
    <w:p>
      <w:pPr>
        <w:spacing w:line="360" w:lineRule="auto"/>
        <w:ind w:firstLine="422" w:firstLineChars="200"/>
        <w:rPr>
          <w:rFonts w:ascii="宋体" w:hAnsi="宋体" w:cs="宋体"/>
          <w:b/>
          <w:bCs/>
          <w:szCs w:val="21"/>
        </w:rPr>
      </w:pPr>
      <w:r>
        <w:rPr>
          <w:rFonts w:hint="eastAsia" w:ascii="宋体" w:hAnsi="宋体" w:cs="宋体"/>
          <w:b/>
          <w:bCs/>
          <w:szCs w:val="21"/>
        </w:rPr>
        <w:t>（二）投标文件的制作及递交要求</w:t>
      </w:r>
    </w:p>
    <w:p>
      <w:pPr>
        <w:autoSpaceDE w:val="0"/>
        <w:autoSpaceDN w:val="0"/>
        <w:adjustRightInd w:val="0"/>
        <w:spacing w:line="360" w:lineRule="auto"/>
        <w:ind w:firstLine="422" w:firstLineChars="200"/>
        <w:rPr>
          <w:rFonts w:ascii="宋体" w:hAnsi="宋体" w:cs="宋体"/>
          <w:b/>
          <w:bCs/>
          <w:szCs w:val="21"/>
        </w:rPr>
      </w:pPr>
      <w:r>
        <w:rPr>
          <w:rFonts w:hint="eastAsia" w:ascii="宋体" w:hAnsi="宋体" w:cs="宋体"/>
          <w:b/>
          <w:bCs/>
          <w:szCs w:val="21"/>
        </w:rPr>
        <w:t>1、投标文件的制作要求</w:t>
      </w:r>
    </w:p>
    <w:p>
      <w:pPr>
        <w:spacing w:line="360" w:lineRule="auto"/>
        <w:ind w:firstLine="420" w:firstLineChars="200"/>
        <w:rPr>
          <w:rFonts w:ascii="宋体" w:hAnsi="宋体" w:cs="宋体"/>
          <w:szCs w:val="21"/>
        </w:rPr>
      </w:pPr>
      <w:r>
        <w:rPr>
          <w:rFonts w:hint="eastAsia" w:ascii="宋体" w:hAnsi="宋体" w:cs="宋体"/>
          <w:szCs w:val="21"/>
        </w:rPr>
        <w:t>（1）本项目通过“政府采购云平台（www.zcygov.cn）”实行在线投标响应（电子投标）。投标人应通过“政采云电子交易客户端”，并按照本招标文件和“政府采购云平台”的要求编制并加密投标文件。</w:t>
      </w:r>
    </w:p>
    <w:p>
      <w:pPr>
        <w:spacing w:line="360" w:lineRule="auto"/>
        <w:ind w:firstLine="420" w:firstLineChars="200"/>
        <w:rPr>
          <w:rFonts w:ascii="宋体" w:hAnsi="宋体" w:cs="宋体"/>
          <w:kern w:val="0"/>
          <w:szCs w:val="21"/>
        </w:rPr>
      </w:pPr>
      <w:r>
        <w:rPr>
          <w:rFonts w:hint="eastAsia" w:ascii="宋体" w:hAnsi="宋体" w:cs="宋体"/>
          <w:kern w:val="0"/>
          <w:szCs w:val="21"/>
        </w:rPr>
        <w:t>（2）投标人应当按照本章节 “投标文件组成”规定的内容及顺序在“政采云电子交易客户端”编制投标文件。其中资格证明文件、技术文件中不得出现本项目投标报价，如因投标人原因提前泄露投标报价，是投标人的责任。</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bCs/>
          <w:szCs w:val="21"/>
        </w:rPr>
        <w:t>（3）本文件《第六章  应提交的有关格式范例》中有提供格式的，投标人须参照格式进行编制（格式中要求提供相关证明材料的还需后附相关证明材料），</w:t>
      </w:r>
      <w:r>
        <w:rPr>
          <w:rFonts w:hint="eastAsia" w:ascii="宋体" w:hAnsi="宋体" w:cs="宋体"/>
          <w:szCs w:val="21"/>
        </w:rPr>
        <w:t>▲</w:t>
      </w:r>
      <w:r>
        <w:rPr>
          <w:rFonts w:hint="eastAsia" w:ascii="宋体" w:hAnsi="宋体" w:cs="宋体"/>
          <w:bCs/>
          <w:szCs w:val="21"/>
        </w:rPr>
        <w:t>并按格式要求在指定位置根据要求进行电子签章，否则视为未提供；本文件《第六章  应提交的有关格式范例》未提供格式的，请各投标单位自行拟定格式</w:t>
      </w:r>
      <w:r>
        <w:rPr>
          <w:rFonts w:hint="eastAsia" w:ascii="宋体" w:hAnsi="宋体" w:cs="宋体"/>
          <w:szCs w:val="21"/>
        </w:rPr>
        <w:t>。</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szCs w:val="21"/>
        </w:rPr>
        <w:t>▲（4）投标人应对所提供的全部资料的真实性承担法律责任。</w:t>
      </w:r>
    </w:p>
    <w:p>
      <w:pPr>
        <w:spacing w:line="360" w:lineRule="auto"/>
        <w:ind w:firstLine="420" w:firstLineChars="200"/>
        <w:jc w:val="left"/>
        <w:rPr>
          <w:rFonts w:ascii="宋体" w:hAnsi="宋体" w:cs="宋体"/>
          <w:szCs w:val="21"/>
        </w:rPr>
      </w:pPr>
      <w:r>
        <w:rPr>
          <w:rFonts w:hint="eastAsia" w:ascii="宋体" w:hAnsi="宋体" w:cs="宋体"/>
          <w:kern w:val="0"/>
          <w:szCs w:val="21"/>
          <w:lang w:val="zh-CN"/>
        </w:rPr>
        <w:t>（</w:t>
      </w:r>
      <w:r>
        <w:rPr>
          <w:rFonts w:hint="eastAsia" w:ascii="宋体" w:hAnsi="宋体" w:cs="宋体"/>
          <w:kern w:val="0"/>
          <w:szCs w:val="21"/>
        </w:rPr>
        <w:t>5</w:t>
      </w:r>
      <w:r>
        <w:rPr>
          <w:rFonts w:hint="eastAsia" w:ascii="宋体" w:hAnsi="宋体" w:cs="宋体"/>
          <w:kern w:val="0"/>
          <w:szCs w:val="21"/>
          <w:lang w:val="zh-CN"/>
        </w:rPr>
        <w:t>）</w:t>
      </w:r>
      <w:r>
        <w:rPr>
          <w:rFonts w:hint="eastAsia" w:ascii="宋体" w:hAnsi="宋体" w:cs="宋体"/>
          <w:szCs w:val="21"/>
        </w:rPr>
        <w:t>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20" w:firstLineChars="200"/>
        <w:jc w:val="left"/>
        <w:rPr>
          <w:rFonts w:ascii="宋体" w:hAnsi="宋体" w:cs="宋体"/>
          <w:szCs w:val="21"/>
        </w:rPr>
      </w:pPr>
      <w:r>
        <w:rPr>
          <w:rFonts w:hint="eastAsia" w:ascii="宋体" w:hAnsi="宋体" w:cs="宋体"/>
          <w:szCs w:val="21"/>
        </w:rPr>
        <w:t>▲（6）投标计量单位，</w:t>
      </w:r>
      <w:r>
        <w:rPr>
          <w:rFonts w:hint="eastAsia" w:ascii="宋体" w:hAnsi="宋体" w:cs="宋体"/>
          <w:bCs/>
          <w:szCs w:val="21"/>
        </w:rPr>
        <w:t>招标文件</w:t>
      </w:r>
      <w:r>
        <w:rPr>
          <w:rFonts w:hint="eastAsia" w:ascii="宋体" w:hAnsi="宋体" w:cs="宋体"/>
          <w:szCs w:val="21"/>
        </w:rPr>
        <w:t>已有明确规定的，使用</w:t>
      </w:r>
      <w:r>
        <w:rPr>
          <w:rFonts w:hint="eastAsia" w:ascii="宋体" w:hAnsi="宋体" w:cs="宋体"/>
          <w:bCs/>
          <w:szCs w:val="21"/>
        </w:rPr>
        <w:t>招标文件</w:t>
      </w:r>
      <w:r>
        <w:rPr>
          <w:rFonts w:hint="eastAsia" w:ascii="宋体" w:hAnsi="宋体" w:cs="宋体"/>
          <w:szCs w:val="21"/>
        </w:rPr>
        <w:t>规定的计量单位；</w:t>
      </w:r>
      <w:r>
        <w:rPr>
          <w:rFonts w:hint="eastAsia" w:ascii="宋体" w:hAnsi="宋体" w:cs="宋体"/>
          <w:bCs/>
          <w:szCs w:val="21"/>
        </w:rPr>
        <w:t>招标文件</w:t>
      </w:r>
      <w:r>
        <w:rPr>
          <w:rFonts w:hint="eastAsia" w:ascii="宋体" w:hAnsi="宋体" w:cs="宋体"/>
          <w:szCs w:val="21"/>
        </w:rPr>
        <w:t>没有规定的，应采用中华人民共和国法定计量单位（货币单位：人民币元），否则视同未响应。</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（7）若投标人不按采购文件的要求提供资格审查材料，其风险由投标人自行承担。</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kern w:val="0"/>
          <w:szCs w:val="21"/>
        </w:rPr>
        <w:t>（8）</w:t>
      </w:r>
      <w:r>
        <w:rPr>
          <w:rFonts w:hint="eastAsia" w:ascii="宋体" w:hAnsi="宋体" w:cs="宋体"/>
          <w:szCs w:val="21"/>
        </w:rPr>
        <w:t>与本次投标无关的内容请不要制作在内，确保投标文件有针对性、简洁明了。</w:t>
      </w:r>
    </w:p>
    <w:p>
      <w:pPr>
        <w:autoSpaceDE w:val="0"/>
        <w:autoSpaceDN w:val="0"/>
        <w:adjustRightInd w:val="0"/>
        <w:spacing w:line="360" w:lineRule="auto"/>
        <w:ind w:firstLine="422" w:firstLineChars="200"/>
        <w:rPr>
          <w:rFonts w:ascii="宋体" w:hAnsi="宋体" w:cs="宋体"/>
          <w:szCs w:val="21"/>
        </w:rPr>
      </w:pPr>
      <w:r>
        <w:rPr>
          <w:rFonts w:hint="eastAsia" w:ascii="宋体" w:hAnsi="宋体" w:cs="宋体"/>
          <w:b/>
          <w:bCs/>
          <w:szCs w:val="21"/>
        </w:rPr>
        <w:t>2、投标文件的签章</w:t>
      </w:r>
    </w:p>
    <w:p>
      <w:pPr>
        <w:spacing w:line="360" w:lineRule="auto"/>
        <w:ind w:firstLine="420" w:firstLineChars="200"/>
        <w:rPr>
          <w:rFonts w:ascii="宋体" w:hAnsi="宋体" w:cs="宋体"/>
          <w:bCs/>
          <w:kern w:val="0"/>
          <w:szCs w:val="21"/>
        </w:rPr>
      </w:pPr>
      <w:r>
        <w:rPr>
          <w:rFonts w:hint="eastAsia" w:ascii="宋体" w:hAnsi="宋体" w:cs="宋体"/>
          <w:bCs/>
          <w:kern w:val="0"/>
          <w:szCs w:val="21"/>
        </w:rPr>
        <w:t>（1）《投标文件》的签章：</w:t>
      </w:r>
      <w:r>
        <w:rPr>
          <w:rFonts w:hint="eastAsia" w:ascii="宋体" w:hAnsi="宋体" w:cs="宋体"/>
          <w:bCs/>
          <w:szCs w:val="21"/>
        </w:rPr>
        <w:t>见《前附表》；</w:t>
      </w:r>
    </w:p>
    <w:p>
      <w:pPr>
        <w:spacing w:line="360" w:lineRule="auto"/>
        <w:ind w:firstLine="420" w:firstLineChars="200"/>
        <w:rPr>
          <w:rFonts w:ascii="宋体" w:hAnsi="宋体" w:cs="宋体"/>
          <w:bCs/>
          <w:kern w:val="0"/>
          <w:szCs w:val="21"/>
        </w:rPr>
      </w:pPr>
      <w:r>
        <w:rPr>
          <w:rFonts w:hint="eastAsia" w:ascii="宋体" w:hAnsi="宋体" w:cs="宋体"/>
          <w:bCs/>
          <w:kern w:val="0"/>
          <w:szCs w:val="21"/>
        </w:rPr>
        <w:t>（2）《投标文件》应由投标人法定代表人或其授权代表签字（或签章），同时加盖投标人电子公章。</w:t>
      </w:r>
    </w:p>
    <w:p>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bCs/>
          <w:kern w:val="0"/>
          <w:szCs w:val="21"/>
        </w:rPr>
        <w:t>（3）电子签章操作指南详见</w:t>
      </w:r>
      <w:r>
        <w:rPr>
          <w:rFonts w:hint="eastAsia" w:ascii="宋体" w:hAnsi="宋体" w:cs="宋体"/>
          <w:bCs/>
          <w:szCs w:val="21"/>
        </w:rPr>
        <w:t>《供应商项目采购-电子招投标操作指南》。</w:t>
      </w:r>
    </w:p>
    <w:p>
      <w:pPr>
        <w:autoSpaceDE w:val="0"/>
        <w:autoSpaceDN w:val="0"/>
        <w:adjustRightInd w:val="0"/>
        <w:spacing w:line="360" w:lineRule="auto"/>
        <w:ind w:firstLine="422" w:firstLineChars="200"/>
        <w:rPr>
          <w:rFonts w:ascii="宋体" w:hAnsi="宋体" w:cs="宋体"/>
          <w:b/>
          <w:kern w:val="0"/>
          <w:szCs w:val="21"/>
        </w:rPr>
      </w:pPr>
      <w:r>
        <w:rPr>
          <w:rFonts w:hint="eastAsia" w:ascii="宋体" w:hAnsi="宋体" w:cs="宋体"/>
          <w:b/>
          <w:kern w:val="0"/>
          <w:szCs w:val="21"/>
        </w:rPr>
        <w:t>3、投标文件的形式</w:t>
      </w:r>
    </w:p>
    <w:p>
      <w:pPr>
        <w:spacing w:line="360" w:lineRule="auto"/>
        <w:ind w:firstLine="420" w:firstLineChars="200"/>
        <w:rPr>
          <w:rFonts w:ascii="宋体" w:hAnsi="宋体" w:cs="宋体"/>
          <w:bCs/>
          <w:szCs w:val="21"/>
        </w:rPr>
      </w:pPr>
      <w:r>
        <w:rPr>
          <w:rFonts w:hint="eastAsia" w:ascii="宋体" w:hAnsi="宋体" w:cs="宋体"/>
          <w:bCs/>
          <w:szCs w:val="21"/>
        </w:rPr>
        <w:t>（1）投标文件的形式：见《前附表》；</w:t>
      </w:r>
    </w:p>
    <w:p>
      <w:pPr>
        <w:spacing w:line="360" w:lineRule="auto"/>
        <w:ind w:firstLine="420" w:firstLineChars="200"/>
        <w:rPr>
          <w:rFonts w:ascii="宋体" w:hAnsi="宋体" w:cs="宋体"/>
          <w:bCs/>
          <w:szCs w:val="21"/>
        </w:rPr>
      </w:pPr>
      <w:r>
        <w:rPr>
          <w:rFonts w:hint="eastAsia" w:ascii="宋体" w:hAnsi="宋体" w:cs="宋体"/>
          <w:bCs/>
          <w:szCs w:val="21"/>
        </w:rPr>
        <w:t>（2）“电子加密投标文件”：“电子加密投标文件”是指通过“政采云电子交易客户端”完成投标文件编制后生成并加密的数据电文形式的投标文件。</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（3）“备份投标文件”：“备份投标文件”是指与“电子加密投标文件”同时生成的数据电文形式的电子文件（备份标书），其他方式编制的“备份投标文件”视为无效的“备份投标文件”。</w:t>
      </w:r>
    </w:p>
    <w:p>
      <w:pPr>
        <w:autoSpaceDE w:val="0"/>
        <w:autoSpaceDN w:val="0"/>
        <w:adjustRightInd w:val="0"/>
        <w:spacing w:line="360" w:lineRule="auto"/>
        <w:ind w:firstLine="422" w:firstLineChars="200"/>
        <w:rPr>
          <w:rFonts w:ascii="宋体" w:hAnsi="宋体" w:cs="宋体"/>
          <w:b/>
          <w:kern w:val="0"/>
          <w:szCs w:val="21"/>
        </w:rPr>
      </w:pPr>
      <w:r>
        <w:rPr>
          <w:rFonts w:hint="eastAsia" w:ascii="宋体" w:hAnsi="宋体" w:cs="宋体"/>
          <w:b/>
          <w:kern w:val="0"/>
          <w:szCs w:val="21"/>
        </w:rPr>
        <w:t>4、投标文件的份数</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1）电子投标文件：按本项目招标文件和“政府采购云平台”相关要求编制。电子投标文件中须加盖投标人公章部分均采用CA签章，并根据“政府采购云平台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（2）电子投标文件如内容不完整、编排混乱导致投标文件被误读、漏读，或者在按采购文件规定的部位查找不到相关内容的，由投标人自行承担。</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（3）</w:t>
      </w:r>
      <w:r>
        <w:rPr>
          <w:rFonts w:hint="eastAsia" w:ascii="宋体" w:hAnsi="宋体" w:cs="宋体"/>
          <w:szCs w:val="21"/>
        </w:rPr>
        <w:t>供应商自行确定是否提交“备份投标文件”，若提交请在投标截止时间前递交（建议采用EMS邮寄或顺丰邮寄形式）经政采云平台加密处理的、以介质（U盘）存储的数据电文形式的“备份投标文件”，邮寄地址：浙江省台州市椒江区台都花园65幢1号浙江中竞管理服务有限公司，项女士收，联系电话</w:t>
      </w:r>
      <w:r>
        <w:rPr>
          <w:rFonts w:hint="eastAsia" w:ascii="宋体" w:hAnsi="宋体" w:cs="宋体"/>
          <w:szCs w:val="21"/>
          <w:u w:val="single"/>
        </w:rPr>
        <w:t>13626688339</w:t>
      </w:r>
      <w:r>
        <w:rPr>
          <w:rFonts w:hint="eastAsia" w:ascii="宋体" w:hAnsi="宋体" w:cs="宋体"/>
          <w:szCs w:val="21"/>
        </w:rPr>
        <w:t>。</w:t>
      </w:r>
    </w:p>
    <w:p>
      <w:pPr>
        <w:spacing w:line="360" w:lineRule="auto"/>
        <w:ind w:firstLine="422" w:firstLineChars="200"/>
        <w:rPr>
          <w:rFonts w:ascii="宋体" w:hAnsi="宋体" w:cs="宋体"/>
          <w:b/>
          <w:bCs/>
          <w:szCs w:val="21"/>
        </w:rPr>
      </w:pPr>
      <w:r>
        <w:rPr>
          <w:rFonts w:hint="eastAsia" w:ascii="宋体" w:hAnsi="宋体" w:cs="宋体"/>
          <w:b/>
          <w:bCs/>
          <w:kern w:val="0"/>
          <w:szCs w:val="21"/>
        </w:rPr>
        <w:t>5、</w:t>
      </w:r>
      <w:r>
        <w:rPr>
          <w:rFonts w:hint="eastAsia" w:ascii="宋体" w:hAnsi="宋体" w:cs="宋体"/>
          <w:b/>
          <w:bCs/>
          <w:szCs w:val="21"/>
        </w:rPr>
        <w:t>投标文件的递交要求</w:t>
      </w:r>
    </w:p>
    <w:p>
      <w:pPr>
        <w:autoSpaceDE w:val="0"/>
        <w:autoSpaceDN w:val="0"/>
        <w:adjustRightInd w:val="0"/>
        <w:spacing w:line="360" w:lineRule="auto"/>
        <w:ind w:firstLine="420" w:firstLineChars="200"/>
        <w:rPr>
          <w:rFonts w:ascii="宋体" w:hAnsi="宋体" w:cs="宋体"/>
          <w:bCs/>
          <w:szCs w:val="21"/>
          <w:lang w:val="en-GB"/>
        </w:rPr>
      </w:pPr>
      <w:r>
        <w:rPr>
          <w:rFonts w:hint="eastAsia" w:ascii="宋体" w:hAnsi="宋体" w:cs="宋体"/>
          <w:bCs/>
          <w:szCs w:val="21"/>
          <w:lang w:val="en-GB"/>
        </w:rPr>
        <w:t>（</w:t>
      </w:r>
      <w:r>
        <w:rPr>
          <w:rFonts w:hint="eastAsia" w:ascii="宋体" w:hAnsi="宋体" w:cs="宋体"/>
          <w:bCs/>
          <w:szCs w:val="21"/>
        </w:rPr>
        <w:t>1</w:t>
      </w:r>
      <w:r>
        <w:rPr>
          <w:rFonts w:hint="eastAsia" w:ascii="宋体" w:hAnsi="宋体" w:cs="宋体"/>
          <w:bCs/>
          <w:szCs w:val="21"/>
          <w:lang w:val="en-GB"/>
        </w:rPr>
        <w:t>）“投标文件”的上传、递交：见《前附表》。▲未传输递交电子投标文件的，投标无效。</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（2）数据电文形式的备份投标文件必须在规定时间前送达或邮寄至</w:t>
      </w:r>
      <w:r>
        <w:rPr>
          <w:rFonts w:hint="eastAsia" w:ascii="宋体" w:hAnsi="宋体" w:cs="宋体"/>
          <w:bCs/>
          <w:szCs w:val="21"/>
          <w:lang w:val="en-GB"/>
        </w:rPr>
        <w:t>公告规定的</w:t>
      </w:r>
      <w:r>
        <w:rPr>
          <w:rFonts w:hint="eastAsia" w:ascii="宋体" w:hAnsi="宋体" w:cs="宋体"/>
          <w:bCs/>
          <w:szCs w:val="21"/>
        </w:rPr>
        <w:t>地点。备份投标文件在截止时间后提交，采购组织机构将拒绝接收</w:t>
      </w:r>
      <w:r>
        <w:rPr>
          <w:rFonts w:hint="eastAsia" w:ascii="宋体" w:hAnsi="宋体" w:cs="宋体"/>
          <w:bCs/>
          <w:szCs w:val="21"/>
          <w:lang w:val="en-GB"/>
        </w:rPr>
        <w:t>。</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（3）如有特殊情况，采购组织机构延长截止时间和开标时间，采购组织机构和投标人的权利和义务将受到新的截止时间和开标时间的约束。</w:t>
      </w:r>
    </w:p>
    <w:p>
      <w:pPr>
        <w:autoSpaceDE w:val="0"/>
        <w:autoSpaceDN w:val="0"/>
        <w:adjustRightInd w:val="0"/>
        <w:spacing w:line="360" w:lineRule="auto"/>
        <w:ind w:firstLine="420" w:firstLineChars="200"/>
        <w:rPr>
          <w:rFonts w:ascii="宋体" w:hAnsi="宋体" w:cs="宋体"/>
          <w:bCs/>
          <w:szCs w:val="21"/>
          <w:lang w:val="en-GB"/>
        </w:rPr>
      </w:pPr>
      <w:r>
        <w:rPr>
          <w:rFonts w:hint="eastAsia" w:ascii="宋体" w:hAnsi="宋体" w:cs="宋体"/>
          <w:bCs/>
          <w:szCs w:val="21"/>
          <w:lang w:val="en-GB"/>
        </w:rPr>
        <w:t>（</w:t>
      </w:r>
      <w:r>
        <w:rPr>
          <w:rFonts w:hint="eastAsia" w:ascii="宋体" w:hAnsi="宋体" w:cs="宋体"/>
          <w:bCs/>
          <w:szCs w:val="21"/>
        </w:rPr>
        <w:t>4</w:t>
      </w:r>
      <w:r>
        <w:rPr>
          <w:rFonts w:hint="eastAsia" w:ascii="宋体" w:hAnsi="宋体" w:cs="宋体"/>
          <w:bCs/>
          <w:szCs w:val="21"/>
          <w:lang w:val="en-GB"/>
        </w:rPr>
        <w:t>）投标文件的备选方案</w:t>
      </w:r>
    </w:p>
    <w:p>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szCs w:val="21"/>
        </w:rPr>
        <w:t>▲</w:t>
      </w:r>
      <w:r>
        <w:rPr>
          <w:rFonts w:hint="eastAsia" w:ascii="宋体" w:hAnsi="宋体" w:cs="宋体"/>
          <w:bCs/>
          <w:szCs w:val="21"/>
          <w:lang w:val="en-GB"/>
        </w:rPr>
        <w:t>投标人不得递交任何的投标备选（替代）方案，否则其投标文件将作无效标处理。与“电子加密投标文件”同时生成的“备份投标文件”不是投标备选（替代）方案。</w:t>
      </w:r>
    </w:p>
    <w:p>
      <w:pPr>
        <w:tabs>
          <w:tab w:val="left" w:pos="1898"/>
        </w:tabs>
        <w:autoSpaceDE w:val="0"/>
        <w:autoSpaceDN w:val="0"/>
        <w:adjustRightInd w:val="0"/>
        <w:spacing w:line="360" w:lineRule="auto"/>
        <w:ind w:firstLine="422" w:firstLineChars="200"/>
        <w:rPr>
          <w:rFonts w:ascii="宋体" w:hAnsi="宋体" w:cs="宋体"/>
          <w:b/>
          <w:kern w:val="0"/>
          <w:szCs w:val="21"/>
        </w:rPr>
      </w:pPr>
      <w:r>
        <w:rPr>
          <w:rFonts w:hint="eastAsia" w:ascii="宋体" w:hAnsi="宋体" w:cs="宋体"/>
          <w:b/>
          <w:kern w:val="0"/>
          <w:szCs w:val="21"/>
        </w:rPr>
        <w:t>6、投标文件的补充、修改和撤回。</w:t>
      </w:r>
    </w:p>
    <w:p>
      <w:pPr>
        <w:tabs>
          <w:tab w:val="left" w:pos="960"/>
          <w:tab w:val="left" w:pos="1418"/>
        </w:tabs>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20" w:firstLineChars="200"/>
        <w:rPr>
          <w:rFonts w:ascii="宋体" w:hAnsi="宋体" w:cs="宋体"/>
          <w:kern w:val="0"/>
          <w:szCs w:val="21"/>
        </w:rPr>
      </w:pPr>
      <w:r>
        <w:rPr>
          <w:rFonts w:hint="eastAsia" w:ascii="宋体" w:hAnsi="宋体" w:cs="宋体"/>
          <w:kern w:val="0"/>
          <w:szCs w:val="21"/>
        </w:rPr>
        <w:t>投标截止时间后，投标人不得撤回、修改《投标文件》。</w:t>
      </w:r>
    </w:p>
    <w:p>
      <w:pPr>
        <w:spacing w:line="360" w:lineRule="auto"/>
        <w:ind w:firstLine="422" w:firstLineChars="200"/>
        <w:rPr>
          <w:rFonts w:ascii="宋体" w:hAnsi="宋体" w:cs="宋体"/>
          <w:b/>
          <w:bCs/>
          <w:szCs w:val="21"/>
        </w:rPr>
      </w:pPr>
      <w:r>
        <w:rPr>
          <w:rFonts w:hint="eastAsia" w:ascii="宋体" w:hAnsi="宋体" w:cs="宋体"/>
          <w:b/>
          <w:bCs/>
          <w:szCs w:val="21"/>
        </w:rPr>
        <w:t>（三）投标文件的有效期</w:t>
      </w:r>
    </w:p>
    <w:p>
      <w:pPr>
        <w:spacing w:line="360" w:lineRule="auto"/>
        <w:ind w:firstLine="420" w:firstLineChars="200"/>
        <w:rPr>
          <w:rFonts w:ascii="宋体" w:hAnsi="宋体" w:cs="宋体"/>
          <w:szCs w:val="21"/>
          <w:lang w:val="en-GB"/>
        </w:rPr>
      </w:pPr>
      <w:r>
        <w:rPr>
          <w:rFonts w:hint="eastAsia" w:ascii="宋体" w:hAnsi="宋体" w:cs="宋体"/>
          <w:szCs w:val="21"/>
        </w:rPr>
        <w:t>▲1、</w:t>
      </w:r>
      <w:r>
        <w:rPr>
          <w:rFonts w:hint="eastAsia" w:ascii="宋体" w:hAnsi="宋体" w:cs="宋体"/>
          <w:szCs w:val="21"/>
          <w:lang w:val="en-GB"/>
        </w:rPr>
        <w:t>自投标截止日起90天投标文件应保持有效。有效期不足的投标文件将被拒绝。</w:t>
      </w:r>
    </w:p>
    <w:p>
      <w:pPr>
        <w:spacing w:line="360" w:lineRule="auto"/>
        <w:ind w:firstLine="420" w:firstLineChars="200"/>
        <w:rPr>
          <w:rFonts w:ascii="宋体" w:hAnsi="宋体" w:cs="宋体"/>
          <w:szCs w:val="21"/>
          <w:lang w:val="en-GB"/>
        </w:rPr>
      </w:pPr>
      <w:r>
        <w:rPr>
          <w:rFonts w:hint="eastAsia" w:ascii="宋体" w:hAnsi="宋体" w:cs="宋体"/>
          <w:szCs w:val="21"/>
        </w:rPr>
        <w:t>2、在符合相关法律法规规定的情况下，</w:t>
      </w:r>
      <w:r>
        <w:rPr>
          <w:rFonts w:hint="eastAsia" w:ascii="宋体" w:hAnsi="宋体" w:cs="宋体"/>
          <w:szCs w:val="21"/>
          <w:lang w:val="en-GB"/>
        </w:rPr>
        <w:t>采购人可与投标人协商延长投标文件的有效期，这种要求和答复均以书面形式进行。</w:t>
      </w:r>
    </w:p>
    <w:p>
      <w:pPr>
        <w:spacing w:line="360" w:lineRule="auto"/>
        <w:ind w:firstLine="420" w:firstLineChars="200"/>
        <w:rPr>
          <w:rFonts w:ascii="宋体" w:hAnsi="宋体" w:cs="宋体"/>
          <w:szCs w:val="21"/>
        </w:rPr>
      </w:pPr>
      <w:r>
        <w:rPr>
          <w:rFonts w:hint="eastAsia" w:ascii="宋体" w:hAnsi="宋体" w:cs="宋体"/>
          <w:szCs w:val="21"/>
        </w:rPr>
        <w:t>▲3、中标人的投标文件自开标之日起至合同履行完毕均应保持有效。</w:t>
      </w:r>
    </w:p>
    <w:p>
      <w:pPr>
        <w:numPr>
          <w:ilvl w:val="0"/>
          <w:numId w:val="4"/>
        </w:numPr>
        <w:spacing w:line="360" w:lineRule="auto"/>
        <w:rPr>
          <w:rFonts w:ascii="宋体" w:hAnsi="宋体" w:cs="宋体"/>
          <w:b/>
          <w:bCs/>
          <w:szCs w:val="21"/>
        </w:rPr>
      </w:pPr>
      <w:r>
        <w:rPr>
          <w:rFonts w:hint="eastAsia" w:ascii="宋体" w:hAnsi="宋体" w:cs="宋体"/>
          <w:b/>
          <w:bCs/>
          <w:szCs w:val="21"/>
        </w:rPr>
        <w:t>投标保证金：</w:t>
      </w:r>
    </w:p>
    <w:p>
      <w:pPr>
        <w:spacing w:line="360" w:lineRule="auto"/>
        <w:ind w:firstLine="632" w:firstLineChars="300"/>
        <w:rPr>
          <w:rFonts w:ascii="宋体" w:hAnsi="宋体" w:cs="宋体"/>
          <w:b/>
          <w:bCs/>
          <w:szCs w:val="21"/>
        </w:rPr>
      </w:pPr>
      <w:r>
        <w:rPr>
          <w:rFonts w:hint="eastAsia" w:ascii="宋体" w:hAnsi="宋体" w:cs="宋体"/>
          <w:b/>
          <w:bCs/>
          <w:szCs w:val="21"/>
        </w:rPr>
        <w:t>本项目不设置投标保证金。</w:t>
      </w:r>
    </w:p>
    <w:p>
      <w:pPr>
        <w:spacing w:line="360" w:lineRule="auto"/>
        <w:rPr>
          <w:rFonts w:ascii="宋体" w:hAnsi="宋体" w:cs="宋体"/>
          <w:szCs w:val="21"/>
        </w:rPr>
      </w:pPr>
      <w:r>
        <w:rPr>
          <w:rFonts w:hint="eastAsia" w:ascii="宋体" w:hAnsi="宋体" w:cs="宋体"/>
          <w:b/>
          <w:bCs/>
          <w:szCs w:val="21"/>
        </w:rPr>
        <w:t>五、开标</w:t>
      </w:r>
    </w:p>
    <w:p>
      <w:pPr>
        <w:spacing w:line="360" w:lineRule="auto"/>
        <w:ind w:firstLine="420" w:firstLineChars="200"/>
        <w:rPr>
          <w:rFonts w:ascii="宋体" w:hAnsi="宋体" w:cs="宋体"/>
          <w:szCs w:val="21"/>
        </w:rPr>
      </w:pPr>
      <w:r>
        <w:rPr>
          <w:rFonts w:hint="eastAsia" w:ascii="宋体" w:hAnsi="宋体" w:cs="宋体"/>
          <w:szCs w:val="21"/>
        </w:rPr>
        <w:t>（一）开标事项</w:t>
      </w:r>
    </w:p>
    <w:p>
      <w:pPr>
        <w:spacing w:line="360" w:lineRule="auto"/>
        <w:ind w:firstLine="420" w:firstLineChars="200"/>
        <w:rPr>
          <w:rFonts w:ascii="宋体" w:hAnsi="宋体" w:cs="宋体"/>
          <w:szCs w:val="21"/>
        </w:rPr>
      </w:pPr>
      <w:r>
        <w:rPr>
          <w:rFonts w:hint="eastAsia" w:ascii="宋体" w:hAnsi="宋体" w:cs="宋体"/>
          <w:szCs w:val="21"/>
        </w:rPr>
        <w:t>采购组织机构在“招标公告”规定的时间和地点公开开标，本次招标采用先评审资格和技术服务方案，后公开并评审报价的办法实施。</w:t>
      </w:r>
    </w:p>
    <w:p>
      <w:pPr>
        <w:spacing w:line="360" w:lineRule="auto"/>
        <w:ind w:firstLine="420" w:firstLineChars="200"/>
        <w:rPr>
          <w:rFonts w:ascii="宋体" w:hAnsi="宋体" w:cs="宋体"/>
          <w:szCs w:val="21"/>
        </w:rPr>
      </w:pPr>
      <w:r>
        <w:rPr>
          <w:rFonts w:hint="eastAsia" w:ascii="宋体" w:hAnsi="宋体" w:cs="宋体"/>
          <w:szCs w:val="21"/>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宋体" w:hAnsi="宋体" w:cs="宋体"/>
          <w:szCs w:val="21"/>
        </w:rPr>
      </w:pPr>
      <w:r>
        <w:rPr>
          <w:rFonts w:hint="eastAsia" w:ascii="宋体" w:hAnsi="宋体" w:cs="宋体"/>
          <w:szCs w:val="21"/>
        </w:rPr>
        <w:t xml:space="preserve">（1）电子交易平台发生故障而无法登录访问的； </w:t>
      </w:r>
    </w:p>
    <w:p>
      <w:pPr>
        <w:spacing w:line="360" w:lineRule="auto"/>
        <w:ind w:firstLine="420" w:firstLineChars="200"/>
        <w:rPr>
          <w:rFonts w:ascii="宋体" w:hAnsi="宋体" w:cs="宋体"/>
          <w:szCs w:val="21"/>
        </w:rPr>
      </w:pPr>
      <w:r>
        <w:rPr>
          <w:rFonts w:hint="eastAsia" w:ascii="宋体" w:hAnsi="宋体" w:cs="宋体"/>
          <w:szCs w:val="21"/>
        </w:rPr>
        <w:t>（2）电子交易平台应用或数据库出现错误，不能进行正常操作的；</w:t>
      </w:r>
    </w:p>
    <w:p>
      <w:pPr>
        <w:spacing w:line="360" w:lineRule="auto"/>
        <w:ind w:firstLine="420" w:firstLineChars="200"/>
        <w:rPr>
          <w:rFonts w:ascii="宋体" w:hAnsi="宋体" w:cs="宋体"/>
          <w:szCs w:val="21"/>
        </w:rPr>
      </w:pPr>
      <w:r>
        <w:rPr>
          <w:rFonts w:hint="eastAsia" w:ascii="宋体" w:hAnsi="宋体" w:cs="宋体"/>
          <w:szCs w:val="21"/>
        </w:rPr>
        <w:t>（3）电子交易平台发现严重安全漏洞，有潜在泄密危险的；</w:t>
      </w:r>
    </w:p>
    <w:p>
      <w:pPr>
        <w:spacing w:line="360" w:lineRule="auto"/>
        <w:ind w:firstLine="420" w:firstLineChars="200"/>
        <w:rPr>
          <w:rFonts w:ascii="宋体" w:hAnsi="宋体" w:cs="宋体"/>
          <w:szCs w:val="21"/>
        </w:rPr>
      </w:pPr>
      <w:r>
        <w:rPr>
          <w:rFonts w:hint="eastAsia" w:ascii="宋体" w:hAnsi="宋体" w:cs="宋体"/>
          <w:szCs w:val="21"/>
        </w:rPr>
        <w:t>（4）病毒导致不能进行正常操作的；</w:t>
      </w:r>
    </w:p>
    <w:p>
      <w:pPr>
        <w:spacing w:line="360" w:lineRule="auto"/>
        <w:ind w:firstLine="420" w:firstLineChars="200"/>
        <w:rPr>
          <w:rFonts w:ascii="宋体" w:hAnsi="宋体" w:cs="宋体"/>
          <w:szCs w:val="21"/>
        </w:rPr>
      </w:pPr>
      <w:r>
        <w:rPr>
          <w:rFonts w:hint="eastAsia" w:ascii="宋体" w:hAnsi="宋体" w:cs="宋体"/>
          <w:szCs w:val="21"/>
        </w:rPr>
        <w:t>（5）其他无法保证电子交易的公平、公正和安全的情况。</w:t>
      </w:r>
    </w:p>
    <w:p>
      <w:pPr>
        <w:spacing w:line="360" w:lineRule="auto"/>
        <w:ind w:firstLine="420" w:firstLineChars="200"/>
        <w:rPr>
          <w:rFonts w:ascii="宋体" w:hAnsi="宋体" w:cs="宋体"/>
          <w:szCs w:val="21"/>
        </w:rPr>
      </w:pPr>
      <w:r>
        <w:rPr>
          <w:rFonts w:hint="eastAsia" w:ascii="宋体" w:hAnsi="宋体" w:cs="宋体"/>
          <w:szCs w:val="21"/>
        </w:rPr>
        <w:t>出现前款规定情形，不影响采购公平、公正性的，采购组织机构可以待上述情形消除后继续组织电子交易活动；影响或可能影响采购公平、公正性的，应当重新采购。</w:t>
      </w:r>
    </w:p>
    <w:p>
      <w:pPr>
        <w:spacing w:line="360" w:lineRule="auto"/>
        <w:ind w:firstLine="420" w:firstLineChars="200"/>
        <w:rPr>
          <w:rFonts w:ascii="宋体" w:hAnsi="宋体" w:cs="宋体"/>
          <w:szCs w:val="21"/>
        </w:rPr>
      </w:pPr>
      <w:r>
        <w:rPr>
          <w:rFonts w:hint="eastAsia" w:ascii="宋体" w:hAnsi="宋体" w:cs="宋体"/>
          <w:szCs w:val="21"/>
        </w:rPr>
        <w:t>（二） 开标程序：</w:t>
      </w:r>
    </w:p>
    <w:p>
      <w:pPr>
        <w:spacing w:line="360" w:lineRule="auto"/>
        <w:ind w:firstLine="420" w:firstLineChars="200"/>
        <w:rPr>
          <w:rFonts w:ascii="宋体" w:hAnsi="宋体" w:cs="宋体"/>
          <w:szCs w:val="21"/>
        </w:rPr>
      </w:pPr>
      <w:r>
        <w:rPr>
          <w:rFonts w:hint="eastAsia" w:ascii="宋体" w:hAnsi="宋体" w:cs="宋体"/>
          <w:szCs w:val="21"/>
        </w:rPr>
        <w:t>1、开标会由招标负责人主持，主持人宣布开标会议开始；</w:t>
      </w:r>
    </w:p>
    <w:p>
      <w:pPr>
        <w:spacing w:line="360" w:lineRule="auto"/>
        <w:ind w:firstLine="420" w:firstLineChars="200"/>
        <w:rPr>
          <w:rFonts w:ascii="宋体" w:hAnsi="宋体" w:cs="宋体"/>
          <w:szCs w:val="21"/>
        </w:rPr>
      </w:pPr>
      <w:r>
        <w:rPr>
          <w:rFonts w:hint="eastAsia" w:ascii="宋体" w:hAnsi="宋体" w:cs="宋体"/>
          <w:szCs w:val="21"/>
        </w:rPr>
        <w:t xml:space="preserve">2、主持人介绍参加开标会的人员名单； </w:t>
      </w:r>
    </w:p>
    <w:p>
      <w:pPr>
        <w:spacing w:line="360" w:lineRule="auto"/>
        <w:ind w:firstLine="420" w:firstLineChars="200"/>
        <w:rPr>
          <w:rFonts w:ascii="宋体" w:hAnsi="宋体" w:cs="宋体"/>
          <w:szCs w:val="21"/>
        </w:rPr>
      </w:pPr>
      <w:r>
        <w:rPr>
          <w:rFonts w:hint="eastAsia" w:ascii="宋体" w:hAnsi="宋体" w:cs="宋体"/>
          <w:szCs w:val="21"/>
        </w:rPr>
        <w:t>3、主持人宣布评标期间的有关事项，告知应当回避的情形，提请有关人员回避；对投标人进行签到验证。</w:t>
      </w:r>
    </w:p>
    <w:p>
      <w:pPr>
        <w:spacing w:line="360" w:lineRule="auto"/>
        <w:ind w:firstLine="420" w:firstLineChars="200"/>
        <w:rPr>
          <w:rFonts w:ascii="宋体" w:hAnsi="宋体" w:cs="宋体"/>
          <w:szCs w:val="21"/>
        </w:rPr>
      </w:pPr>
      <w:r>
        <w:rPr>
          <w:rFonts w:hint="eastAsia" w:ascii="宋体" w:hAnsi="宋体" w:cs="宋体"/>
          <w:szCs w:val="21"/>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20" w:firstLineChars="200"/>
        <w:rPr>
          <w:rFonts w:ascii="宋体" w:hAnsi="宋体" w:cs="宋体"/>
          <w:szCs w:val="21"/>
        </w:rPr>
      </w:pPr>
      <w:r>
        <w:rPr>
          <w:rFonts w:hint="eastAsia" w:ascii="宋体" w:hAnsi="宋体" w:cs="宋体"/>
          <w:szCs w:val="21"/>
        </w:rPr>
        <w:t>5、采购组织机构点击【开启标书信息】，开启标书成功后进入开标流程。</w:t>
      </w:r>
    </w:p>
    <w:p>
      <w:pPr>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lang w:val="zh-CN"/>
        </w:rPr>
        <w:t>资格证明文件和技术文件</w:t>
      </w:r>
      <w:r>
        <w:rPr>
          <w:rFonts w:hint="eastAsia" w:ascii="宋体" w:hAnsi="宋体" w:cs="宋体"/>
          <w:szCs w:val="21"/>
        </w:rPr>
        <w:t>评审；</w:t>
      </w:r>
    </w:p>
    <w:p>
      <w:pPr>
        <w:spacing w:line="360" w:lineRule="auto"/>
        <w:ind w:firstLine="420" w:firstLineChars="200"/>
        <w:rPr>
          <w:rFonts w:ascii="宋体" w:hAnsi="宋体" w:cs="宋体"/>
          <w:szCs w:val="21"/>
        </w:rPr>
      </w:pPr>
      <w:r>
        <w:rPr>
          <w:rFonts w:hint="eastAsia" w:ascii="宋体" w:hAnsi="宋体" w:cs="宋体"/>
          <w:szCs w:val="21"/>
        </w:rPr>
        <w:t>7、由主持人公布无效投标的投标人名单、投标无效的原因及其他有效投标的评分汇总分；</w:t>
      </w:r>
    </w:p>
    <w:p>
      <w:pPr>
        <w:spacing w:line="360" w:lineRule="auto"/>
        <w:ind w:firstLine="420" w:firstLineChars="200"/>
        <w:rPr>
          <w:rFonts w:ascii="宋体" w:hAnsi="宋体" w:cs="宋体"/>
          <w:szCs w:val="21"/>
        </w:rPr>
      </w:pPr>
      <w:r>
        <w:rPr>
          <w:rFonts w:hint="eastAsia" w:ascii="宋体" w:hAnsi="宋体" w:cs="宋体"/>
          <w:szCs w:val="21"/>
        </w:rPr>
        <w:t>8、开启报价响应文件：采购代理机构成功开启报价响应文件后，方可查看各投标人报价情况。</w:t>
      </w:r>
    </w:p>
    <w:p>
      <w:pPr>
        <w:spacing w:line="360" w:lineRule="auto"/>
        <w:ind w:firstLine="420" w:firstLineChars="200"/>
        <w:rPr>
          <w:rFonts w:ascii="宋体" w:hAnsi="宋体" w:cs="宋体"/>
          <w:szCs w:val="21"/>
        </w:rPr>
      </w:pPr>
      <w:r>
        <w:rPr>
          <w:rFonts w:hint="eastAsia" w:ascii="宋体" w:hAnsi="宋体" w:cs="宋体"/>
          <w:szCs w:val="21"/>
        </w:rPr>
        <w:t>9、报价文件评审；</w:t>
      </w:r>
    </w:p>
    <w:p>
      <w:pPr>
        <w:spacing w:line="360" w:lineRule="auto"/>
        <w:ind w:firstLine="420" w:firstLineChars="200"/>
        <w:rPr>
          <w:rFonts w:ascii="宋体" w:hAnsi="宋体" w:cs="宋体"/>
          <w:szCs w:val="21"/>
        </w:rPr>
      </w:pPr>
      <w:r>
        <w:rPr>
          <w:rFonts w:hint="eastAsia" w:ascii="宋体" w:hAnsi="宋体" w:cs="宋体"/>
          <w:szCs w:val="21"/>
        </w:rPr>
        <w:t>10、由主持人公布无效投标的投标人名单、投标无效的原因及其他有效投标的报价文件得分；</w:t>
      </w:r>
    </w:p>
    <w:p>
      <w:pPr>
        <w:spacing w:line="360" w:lineRule="auto"/>
        <w:ind w:firstLine="420" w:firstLineChars="200"/>
        <w:rPr>
          <w:rFonts w:ascii="宋体" w:hAnsi="宋体" w:cs="宋体"/>
          <w:szCs w:val="21"/>
        </w:rPr>
      </w:pPr>
      <w:r>
        <w:rPr>
          <w:rFonts w:hint="eastAsia" w:ascii="宋体" w:hAnsi="宋体" w:cs="宋体"/>
          <w:szCs w:val="21"/>
        </w:rPr>
        <w:t>11、宣布综合得分结果及中标候选人名单；</w:t>
      </w:r>
    </w:p>
    <w:p>
      <w:pPr>
        <w:spacing w:line="360" w:lineRule="auto"/>
        <w:ind w:firstLine="420" w:firstLineChars="200"/>
        <w:rPr>
          <w:rFonts w:ascii="宋体" w:hAnsi="宋体" w:cs="宋体"/>
          <w:szCs w:val="21"/>
        </w:rPr>
      </w:pPr>
      <w:r>
        <w:rPr>
          <w:rFonts w:hint="eastAsia" w:ascii="宋体" w:hAnsi="宋体" w:cs="宋体"/>
          <w:szCs w:val="21"/>
        </w:rPr>
        <w:t>12、开标会议结束。</w:t>
      </w:r>
    </w:p>
    <w:p>
      <w:pPr>
        <w:pStyle w:val="13"/>
        <w:spacing w:line="360" w:lineRule="auto"/>
        <w:ind w:firstLine="422" w:firstLineChars="200"/>
        <w:outlineLvl w:val="1"/>
        <w:rPr>
          <w:rFonts w:hAnsi="宋体" w:cs="宋体"/>
          <w:b/>
          <w:szCs w:val="21"/>
        </w:rPr>
      </w:pPr>
      <w:r>
        <w:rPr>
          <w:rFonts w:hint="eastAsia" w:hAnsi="宋体" w:cs="宋体"/>
          <w:b/>
          <w:szCs w:val="21"/>
        </w:rPr>
        <w:t>六、评标</w:t>
      </w:r>
    </w:p>
    <w:p>
      <w:pPr>
        <w:pStyle w:val="13"/>
        <w:spacing w:line="360" w:lineRule="auto"/>
        <w:ind w:left="479" w:leftChars="228" w:firstLine="422" w:firstLineChars="200"/>
        <w:rPr>
          <w:rFonts w:hAnsi="宋体" w:cs="宋体"/>
          <w:b/>
          <w:szCs w:val="21"/>
        </w:rPr>
      </w:pPr>
      <w:r>
        <w:rPr>
          <w:rFonts w:hint="eastAsia" w:hAnsi="宋体" w:cs="宋体"/>
          <w:b/>
          <w:szCs w:val="21"/>
        </w:rPr>
        <w:t>（一）组建评标委员会</w:t>
      </w:r>
    </w:p>
    <w:p>
      <w:pPr>
        <w:pStyle w:val="13"/>
        <w:spacing w:line="360" w:lineRule="auto"/>
        <w:ind w:firstLine="420" w:firstLineChars="200"/>
        <w:rPr>
          <w:rFonts w:hAnsi="宋体" w:cs="宋体"/>
          <w:szCs w:val="21"/>
        </w:rPr>
      </w:pPr>
      <w:r>
        <w:rPr>
          <w:rFonts w:hint="eastAsia" w:hAnsi="宋体" w:cs="宋体"/>
          <w:szCs w:val="21"/>
        </w:rPr>
        <w:t>本项目评标委员会由政府采购评审专家（随机抽取）和采购单位评审代表组成。成员人数为5人以上单数，其中评审专家不得少于成员总数的三分之二，评标委员会成员名单在定标前保密。</w:t>
      </w:r>
    </w:p>
    <w:p>
      <w:pPr>
        <w:pStyle w:val="13"/>
        <w:spacing w:line="360" w:lineRule="auto"/>
        <w:ind w:left="479" w:leftChars="228" w:firstLine="422" w:firstLineChars="200"/>
        <w:rPr>
          <w:rFonts w:hAnsi="宋体" w:cs="宋体"/>
          <w:b/>
          <w:szCs w:val="21"/>
        </w:rPr>
      </w:pPr>
      <w:r>
        <w:rPr>
          <w:rFonts w:hint="eastAsia" w:hAnsi="宋体" w:cs="宋体"/>
          <w:b/>
          <w:szCs w:val="21"/>
        </w:rPr>
        <w:t>（二）</w:t>
      </w:r>
      <w:r>
        <w:rPr>
          <w:rFonts w:hint="eastAsia" w:hAnsi="宋体" w:cs="宋体"/>
          <w:b/>
          <w:bCs/>
          <w:szCs w:val="21"/>
        </w:rPr>
        <w:t>评标程序</w:t>
      </w:r>
    </w:p>
    <w:p>
      <w:pPr>
        <w:spacing w:line="360" w:lineRule="auto"/>
        <w:ind w:firstLine="422" w:firstLineChars="200"/>
        <w:rPr>
          <w:rFonts w:ascii="宋体" w:hAnsi="宋体" w:cs="宋体"/>
          <w:b/>
          <w:bCs/>
          <w:szCs w:val="21"/>
        </w:rPr>
      </w:pPr>
      <w:r>
        <w:rPr>
          <w:rFonts w:hint="eastAsia" w:ascii="宋体" w:hAnsi="宋体" w:cs="宋体"/>
          <w:b/>
          <w:bCs/>
          <w:szCs w:val="21"/>
        </w:rPr>
        <w:t>1、资格审查</w:t>
      </w:r>
    </w:p>
    <w:p>
      <w:pPr>
        <w:pStyle w:val="26"/>
        <w:spacing w:before="0" w:beforeAutospacing="0" w:after="0" w:afterAutospacing="0" w:line="360" w:lineRule="auto"/>
        <w:ind w:firstLine="420" w:firstLineChars="200"/>
        <w:jc w:val="both"/>
        <w:rPr>
          <w:rFonts w:cs="宋体"/>
          <w:sz w:val="21"/>
          <w:szCs w:val="21"/>
        </w:rPr>
      </w:pPr>
      <w:r>
        <w:rPr>
          <w:rFonts w:hint="eastAsia" w:cs="宋体"/>
          <w:sz w:val="21"/>
          <w:szCs w:val="21"/>
        </w:rPr>
        <w:t>公开招标采购项目开标结束后，采购人或者采购组织机构应当依法对投标人的资格进行审查，对审查发现无效的进行必要的询标，结束后公布无效投标的投标人名单、投标无效的原因。</w:t>
      </w:r>
    </w:p>
    <w:p>
      <w:pPr>
        <w:pStyle w:val="26"/>
        <w:spacing w:before="0" w:beforeAutospacing="0" w:after="0" w:afterAutospacing="0" w:line="360" w:lineRule="auto"/>
        <w:ind w:firstLine="422" w:firstLineChars="200"/>
        <w:jc w:val="both"/>
        <w:rPr>
          <w:rFonts w:cs="宋体"/>
          <w:b/>
          <w:bCs/>
          <w:sz w:val="21"/>
          <w:szCs w:val="21"/>
        </w:rPr>
      </w:pPr>
      <w:r>
        <w:rPr>
          <w:rFonts w:hint="eastAsia" w:cs="宋体"/>
          <w:b/>
          <w:bCs/>
          <w:sz w:val="21"/>
          <w:szCs w:val="21"/>
        </w:rPr>
        <w:t>2、符合性审查</w:t>
      </w:r>
    </w:p>
    <w:p>
      <w:pPr>
        <w:pStyle w:val="26"/>
        <w:spacing w:before="0" w:beforeAutospacing="0" w:after="0" w:afterAutospacing="0" w:line="360" w:lineRule="auto"/>
        <w:ind w:firstLine="420" w:firstLineChars="200"/>
        <w:jc w:val="both"/>
        <w:rPr>
          <w:rFonts w:cs="宋体"/>
          <w:sz w:val="21"/>
          <w:szCs w:val="21"/>
        </w:rPr>
      </w:pPr>
      <w:r>
        <w:rPr>
          <w:rFonts w:hint="eastAsia" w:cs="宋体"/>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26"/>
        <w:spacing w:before="0" w:beforeAutospacing="0" w:after="0" w:afterAutospacing="0" w:line="360" w:lineRule="auto"/>
        <w:ind w:firstLine="422" w:firstLineChars="200"/>
        <w:jc w:val="both"/>
        <w:rPr>
          <w:rFonts w:cs="宋体"/>
          <w:sz w:val="21"/>
          <w:szCs w:val="21"/>
        </w:rPr>
      </w:pPr>
      <w:r>
        <w:rPr>
          <w:rFonts w:hint="eastAsia" w:cs="宋体"/>
          <w:b/>
          <w:bCs/>
          <w:sz w:val="21"/>
          <w:szCs w:val="21"/>
        </w:rPr>
        <w:t>3、综合比较与评价</w:t>
      </w:r>
    </w:p>
    <w:p>
      <w:pPr>
        <w:pStyle w:val="26"/>
        <w:spacing w:before="0" w:beforeAutospacing="0" w:after="0" w:afterAutospacing="0" w:line="360" w:lineRule="auto"/>
        <w:ind w:firstLine="420" w:firstLineChars="200"/>
        <w:jc w:val="both"/>
        <w:rPr>
          <w:rFonts w:cs="宋体"/>
          <w:sz w:val="21"/>
          <w:szCs w:val="21"/>
        </w:rPr>
      </w:pPr>
      <w:r>
        <w:rPr>
          <w:rFonts w:hint="eastAsia" w:cs="宋体"/>
          <w:sz w:val="21"/>
          <w:szCs w:val="21"/>
        </w:rPr>
        <w:t>（1）对于投标文件中含义不明确、同类问题表述不一致或者有明显文字和计算错误的内容，评标委员会应当以书面形式要求投标人作出必要的澄清、说明或者补正。</w:t>
      </w:r>
    </w:p>
    <w:p>
      <w:pPr>
        <w:pStyle w:val="26"/>
        <w:spacing w:before="0" w:beforeAutospacing="0" w:after="0" w:afterAutospacing="0" w:line="360" w:lineRule="auto"/>
        <w:ind w:firstLine="420" w:firstLineChars="200"/>
        <w:jc w:val="both"/>
        <w:rPr>
          <w:rFonts w:cs="宋体"/>
          <w:sz w:val="21"/>
          <w:szCs w:val="21"/>
        </w:rPr>
      </w:pPr>
      <w:r>
        <w:rPr>
          <w:rFonts w:hint="eastAsia" w:cs="宋体"/>
          <w:sz w:val="21"/>
          <w:szCs w:val="21"/>
        </w:rPr>
        <w:t>（2）评标委员会应当按照招标文件中规定的评标方法和标准，对符合性审查合格的投标文件进行资格和技术评估，综合比较与评价。</w:t>
      </w:r>
    </w:p>
    <w:p>
      <w:pPr>
        <w:spacing w:line="360" w:lineRule="auto"/>
        <w:ind w:firstLine="420" w:firstLineChars="200"/>
        <w:rPr>
          <w:rFonts w:ascii="宋体" w:hAnsi="宋体" w:cs="宋体"/>
          <w:kern w:val="0"/>
          <w:szCs w:val="21"/>
        </w:rPr>
      </w:pPr>
      <w:r>
        <w:rPr>
          <w:rFonts w:hint="eastAsia" w:ascii="宋体" w:hAnsi="宋体" w:cs="宋体"/>
          <w:kern w:val="0"/>
          <w:szCs w:val="21"/>
        </w:rPr>
        <w:t>（3）评标时，评标委员会各成员应当独立对每个投标人的投标文件进行评价，并汇总每个投标人的得分。</w:t>
      </w:r>
    </w:p>
    <w:p>
      <w:pPr>
        <w:spacing w:line="360" w:lineRule="auto"/>
        <w:ind w:firstLine="422" w:firstLineChars="200"/>
        <w:rPr>
          <w:rFonts w:ascii="宋体" w:hAnsi="宋体" w:cs="宋体"/>
          <w:b/>
          <w:bCs/>
          <w:szCs w:val="21"/>
        </w:rPr>
      </w:pPr>
      <w:r>
        <w:rPr>
          <w:rFonts w:hint="eastAsia" w:ascii="宋体" w:hAnsi="宋体" w:cs="宋体"/>
          <w:b/>
          <w:bCs/>
          <w:szCs w:val="21"/>
        </w:rPr>
        <w:t>4、得分确认及评审报告编写</w:t>
      </w:r>
    </w:p>
    <w:p>
      <w:pPr>
        <w:spacing w:line="360" w:lineRule="auto"/>
        <w:ind w:firstLine="420" w:firstLineChars="200"/>
        <w:rPr>
          <w:rFonts w:ascii="宋体" w:hAnsi="宋体" w:cs="宋体"/>
          <w:szCs w:val="21"/>
        </w:rPr>
      </w:pPr>
      <w:r>
        <w:rPr>
          <w:rFonts w:hint="eastAsia" w:ascii="宋体" w:hAnsi="宋体" w:cs="宋体"/>
          <w:szCs w:val="21"/>
        </w:rPr>
        <w:t>（1）评标委员会对报价文件进行复核，对于系统计算出的价格分及总得分进行确认；</w:t>
      </w:r>
    </w:p>
    <w:p>
      <w:pPr>
        <w:pStyle w:val="26"/>
        <w:spacing w:before="0" w:beforeAutospacing="0" w:after="0" w:afterAutospacing="0" w:line="360" w:lineRule="auto"/>
        <w:ind w:firstLine="420" w:firstLineChars="200"/>
        <w:jc w:val="both"/>
        <w:rPr>
          <w:rFonts w:cs="宋体"/>
          <w:sz w:val="21"/>
          <w:szCs w:val="21"/>
        </w:rPr>
      </w:pPr>
      <w:r>
        <w:rPr>
          <w:rFonts w:hint="eastAsia" w:cs="宋体"/>
          <w:sz w:val="21"/>
          <w:szCs w:val="21"/>
        </w:rPr>
        <w:t>（2）评标委员会应当按照招标文件中规定的评标方法和标准，对符合性审查合格的投标文件进行资格和技术评估，综合比较与评价。</w:t>
      </w:r>
    </w:p>
    <w:p>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kern w:val="0"/>
          <w:szCs w:val="21"/>
        </w:rPr>
        <w:t>评标委员会</w:t>
      </w:r>
      <w:r>
        <w:rPr>
          <w:rFonts w:hint="eastAsia" w:ascii="宋体" w:hAnsi="宋体" w:cs="宋体"/>
          <w:szCs w:val="21"/>
        </w:rPr>
        <w:t>按评标原则及得分情况编写评审报告。</w:t>
      </w:r>
    </w:p>
    <w:p>
      <w:pPr>
        <w:spacing w:line="360" w:lineRule="auto"/>
        <w:ind w:firstLine="422" w:firstLineChars="200"/>
        <w:rPr>
          <w:rFonts w:ascii="宋体" w:hAnsi="宋体" w:cs="宋体"/>
          <w:b/>
          <w:kern w:val="0"/>
          <w:szCs w:val="21"/>
        </w:rPr>
      </w:pPr>
      <w:r>
        <w:rPr>
          <w:rFonts w:hint="eastAsia" w:ascii="宋体" w:hAnsi="宋体" w:cs="宋体"/>
          <w:b/>
          <w:kern w:val="0"/>
          <w:szCs w:val="21"/>
        </w:rPr>
        <w:t>5、评价</w:t>
      </w:r>
    </w:p>
    <w:p>
      <w:pPr>
        <w:spacing w:line="360" w:lineRule="auto"/>
        <w:ind w:firstLine="420" w:firstLineChars="200"/>
        <w:rPr>
          <w:rFonts w:ascii="宋体" w:hAnsi="宋体" w:cs="宋体"/>
          <w:b/>
          <w:kern w:val="0"/>
          <w:szCs w:val="21"/>
        </w:rPr>
      </w:pPr>
      <w:r>
        <w:rPr>
          <w:rFonts w:hint="eastAsia" w:ascii="宋体" w:hAnsi="宋体" w:cs="宋体"/>
          <w:szCs w:val="21"/>
        </w:rPr>
        <w:t>采购组织机构对评标委员会评审专家进行评价。</w:t>
      </w:r>
    </w:p>
    <w:p>
      <w:pPr>
        <w:spacing w:line="360" w:lineRule="auto"/>
        <w:ind w:firstLine="422" w:firstLineChars="200"/>
        <w:rPr>
          <w:rFonts w:ascii="宋体" w:hAnsi="宋体" w:cs="宋体"/>
          <w:b/>
          <w:szCs w:val="21"/>
        </w:rPr>
      </w:pPr>
      <w:r>
        <w:rPr>
          <w:rFonts w:hint="eastAsia" w:ascii="宋体" w:hAnsi="宋体" w:cs="宋体"/>
          <w:b/>
          <w:szCs w:val="21"/>
        </w:rPr>
        <w:t>（三）澄清问题的形式</w:t>
      </w:r>
    </w:p>
    <w:p>
      <w:pPr>
        <w:spacing w:line="360" w:lineRule="auto"/>
        <w:ind w:firstLine="420" w:firstLineChars="200"/>
        <w:rPr>
          <w:rFonts w:ascii="宋体" w:hAnsi="宋体" w:cs="宋体"/>
          <w:szCs w:val="21"/>
        </w:rPr>
      </w:pPr>
      <w:r>
        <w:rPr>
          <w:rFonts w:hint="eastAsia" w:ascii="宋体" w:hAnsi="宋体" w:cs="宋体"/>
          <w:szCs w:val="21"/>
        </w:rPr>
        <w:t>投标人的澄清、说明或者补正应当采用书面形式，并加盖公章，或者由法定代理人或其授权的代表签字，并不得超出投标文件的范围或者改变投标文件的实质性内容。</w:t>
      </w:r>
    </w:p>
    <w:p>
      <w:pPr>
        <w:spacing w:line="360" w:lineRule="auto"/>
        <w:ind w:firstLine="422" w:firstLineChars="200"/>
        <w:rPr>
          <w:rFonts w:ascii="宋体" w:hAnsi="宋体" w:cs="宋体"/>
          <w:b/>
          <w:szCs w:val="21"/>
        </w:rPr>
      </w:pPr>
      <w:r>
        <w:rPr>
          <w:rFonts w:hint="eastAsia" w:ascii="宋体" w:hAnsi="宋体" w:cs="宋体"/>
          <w:b/>
          <w:szCs w:val="21"/>
        </w:rPr>
        <w:t>（四）错误修正</w:t>
      </w:r>
    </w:p>
    <w:p>
      <w:pPr>
        <w:pStyle w:val="26"/>
        <w:spacing w:before="0" w:beforeAutospacing="0" w:after="0" w:afterAutospacing="0" w:line="360" w:lineRule="auto"/>
        <w:ind w:firstLine="420" w:firstLineChars="200"/>
        <w:jc w:val="both"/>
        <w:rPr>
          <w:rFonts w:cs="宋体"/>
          <w:sz w:val="21"/>
          <w:szCs w:val="21"/>
        </w:rPr>
      </w:pPr>
      <w:r>
        <w:rPr>
          <w:rFonts w:hint="eastAsia" w:cs="宋体"/>
          <w:sz w:val="21"/>
          <w:szCs w:val="21"/>
        </w:rPr>
        <w:t>投标文件报价出现前后不一致的，除招标文件另有规定外，按照下列规定修正：</w:t>
      </w:r>
    </w:p>
    <w:p>
      <w:pPr>
        <w:pStyle w:val="26"/>
        <w:spacing w:before="0" w:beforeAutospacing="0" w:after="0" w:afterAutospacing="0" w:line="360" w:lineRule="auto"/>
        <w:ind w:firstLine="420" w:firstLineChars="200"/>
        <w:jc w:val="both"/>
        <w:rPr>
          <w:rFonts w:cs="宋体"/>
          <w:sz w:val="21"/>
          <w:szCs w:val="21"/>
        </w:rPr>
      </w:pPr>
      <w:r>
        <w:rPr>
          <w:rFonts w:hint="eastAsia" w:cs="宋体"/>
          <w:sz w:val="21"/>
          <w:szCs w:val="21"/>
        </w:rPr>
        <w:t>1、投标文件中开标一览表（报价表）内容与投标文件中相应内容不一致的，以开标一览表（报价表）为准；</w:t>
      </w:r>
    </w:p>
    <w:p>
      <w:pPr>
        <w:pStyle w:val="26"/>
        <w:spacing w:before="0" w:beforeAutospacing="0" w:after="0" w:afterAutospacing="0" w:line="360" w:lineRule="auto"/>
        <w:ind w:firstLine="420" w:firstLineChars="200"/>
        <w:jc w:val="both"/>
        <w:rPr>
          <w:rFonts w:cs="宋体"/>
          <w:sz w:val="21"/>
          <w:szCs w:val="21"/>
        </w:rPr>
      </w:pPr>
      <w:r>
        <w:rPr>
          <w:rFonts w:hint="eastAsia" w:cs="宋体"/>
          <w:sz w:val="21"/>
          <w:szCs w:val="21"/>
        </w:rPr>
        <w:t>2、大写金额和小写金额不一致的，以大写金额为准；</w:t>
      </w:r>
    </w:p>
    <w:p>
      <w:pPr>
        <w:pStyle w:val="26"/>
        <w:spacing w:before="0" w:beforeAutospacing="0" w:after="0" w:afterAutospacing="0" w:line="360" w:lineRule="auto"/>
        <w:ind w:firstLine="420" w:firstLineChars="200"/>
        <w:jc w:val="both"/>
        <w:rPr>
          <w:rFonts w:cs="宋体"/>
          <w:sz w:val="21"/>
          <w:szCs w:val="21"/>
        </w:rPr>
      </w:pPr>
      <w:r>
        <w:rPr>
          <w:rFonts w:hint="eastAsia" w:cs="宋体"/>
          <w:sz w:val="21"/>
          <w:szCs w:val="21"/>
        </w:rPr>
        <w:t>3、单价金额小数点或者百分比有明显错位的，以开标一览表的总价为准，并修改单价；</w:t>
      </w:r>
    </w:p>
    <w:p>
      <w:pPr>
        <w:pStyle w:val="26"/>
        <w:spacing w:before="0" w:beforeAutospacing="0" w:after="0" w:afterAutospacing="0" w:line="360" w:lineRule="auto"/>
        <w:ind w:firstLine="420" w:firstLineChars="200"/>
        <w:jc w:val="both"/>
        <w:rPr>
          <w:rFonts w:cs="宋体"/>
          <w:sz w:val="21"/>
          <w:szCs w:val="21"/>
        </w:rPr>
      </w:pPr>
      <w:r>
        <w:rPr>
          <w:rFonts w:hint="eastAsia" w:cs="宋体"/>
          <w:sz w:val="21"/>
          <w:szCs w:val="21"/>
        </w:rPr>
        <w:t>4、总价金额与按单价汇总金额不一致的，以单价金额计算结果为准。</w:t>
      </w:r>
    </w:p>
    <w:p>
      <w:pPr>
        <w:pStyle w:val="26"/>
        <w:spacing w:before="0" w:beforeAutospacing="0" w:after="0" w:afterAutospacing="0" w:line="360" w:lineRule="auto"/>
        <w:ind w:firstLine="420" w:firstLineChars="200"/>
        <w:jc w:val="both"/>
        <w:rPr>
          <w:rFonts w:cs="宋体"/>
          <w:sz w:val="21"/>
          <w:szCs w:val="21"/>
        </w:rPr>
      </w:pPr>
      <w:r>
        <w:rPr>
          <w:rFonts w:hint="eastAsia" w:cs="宋体"/>
          <w:sz w:val="21"/>
          <w:szCs w:val="21"/>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26"/>
        <w:numPr>
          <w:ilvl w:val="0"/>
          <w:numId w:val="5"/>
        </w:numPr>
        <w:spacing w:before="0" w:beforeAutospacing="0" w:after="0" w:afterAutospacing="0" w:line="360" w:lineRule="auto"/>
        <w:ind w:firstLine="420" w:firstLineChars="200"/>
        <w:jc w:val="both"/>
        <w:rPr>
          <w:rFonts w:cs="宋体"/>
          <w:b/>
          <w:sz w:val="21"/>
          <w:szCs w:val="21"/>
        </w:rPr>
      </w:pPr>
      <w:r>
        <w:rPr>
          <w:rFonts w:hint="eastAsia" w:cs="宋体"/>
          <w:sz w:val="21"/>
          <w:szCs w:val="21"/>
        </w:rPr>
        <w:t>▲</w:t>
      </w:r>
      <w:r>
        <w:rPr>
          <w:rFonts w:hint="eastAsia" w:cs="宋体"/>
          <w:b/>
          <w:sz w:val="21"/>
          <w:szCs w:val="21"/>
        </w:rPr>
        <w:t>投标人存在下列情况之一的，投标无效</w:t>
      </w:r>
    </w:p>
    <w:p>
      <w:pPr>
        <w:pStyle w:val="26"/>
        <w:spacing w:before="0" w:beforeAutospacing="0" w:after="0" w:afterAutospacing="0" w:line="360" w:lineRule="auto"/>
        <w:ind w:firstLine="420" w:firstLineChars="200"/>
        <w:jc w:val="both"/>
        <w:rPr>
          <w:rFonts w:cs="宋体"/>
          <w:bCs/>
          <w:sz w:val="21"/>
          <w:szCs w:val="21"/>
        </w:rPr>
      </w:pPr>
      <w:r>
        <w:rPr>
          <w:rFonts w:hint="eastAsia" w:cs="宋体"/>
          <w:bCs/>
          <w:sz w:val="21"/>
          <w:szCs w:val="21"/>
        </w:rPr>
        <w:t>1、电子投标文件解密失败的，且未在规定时间内提交电子备份投标文件的；</w:t>
      </w:r>
    </w:p>
    <w:p>
      <w:pPr>
        <w:pStyle w:val="26"/>
        <w:spacing w:before="0" w:beforeAutospacing="0" w:after="0" w:afterAutospacing="0" w:line="360" w:lineRule="auto"/>
        <w:ind w:left="420" w:leftChars="200"/>
        <w:jc w:val="both"/>
        <w:rPr>
          <w:rFonts w:cs="宋体"/>
          <w:bCs/>
          <w:sz w:val="21"/>
          <w:szCs w:val="21"/>
        </w:rPr>
      </w:pPr>
      <w:r>
        <w:rPr>
          <w:rFonts w:hint="eastAsia" w:cs="宋体"/>
          <w:bCs/>
          <w:sz w:val="21"/>
          <w:szCs w:val="21"/>
        </w:rPr>
        <w:t>2、未按规定提供相应的备份投标文件，造成项目开评标活动无法进行下去的，投标无效；</w:t>
      </w:r>
    </w:p>
    <w:p>
      <w:pPr>
        <w:pStyle w:val="26"/>
        <w:spacing w:before="0" w:beforeAutospacing="0" w:after="0" w:afterAutospacing="0" w:line="360" w:lineRule="auto"/>
        <w:ind w:left="420" w:leftChars="200"/>
        <w:jc w:val="both"/>
        <w:rPr>
          <w:rFonts w:cs="宋体"/>
          <w:bCs/>
          <w:sz w:val="21"/>
          <w:szCs w:val="21"/>
        </w:rPr>
      </w:pPr>
      <w:r>
        <w:rPr>
          <w:rFonts w:hint="eastAsia" w:cs="宋体"/>
          <w:bCs/>
          <w:sz w:val="21"/>
          <w:szCs w:val="21"/>
        </w:rPr>
        <w:t>3、电子投标文件未按规定要求提供电子签章的；</w:t>
      </w:r>
    </w:p>
    <w:p>
      <w:pPr>
        <w:autoSpaceDE w:val="0"/>
        <w:autoSpaceDN w:val="0"/>
        <w:adjustRightInd w:val="0"/>
        <w:spacing w:line="360" w:lineRule="auto"/>
        <w:ind w:firstLine="420" w:firstLineChars="200"/>
        <w:rPr>
          <w:rFonts w:ascii="宋体" w:hAnsi="宋体" w:cs="宋体"/>
          <w:bCs/>
          <w:kern w:val="0"/>
          <w:szCs w:val="21"/>
        </w:rPr>
      </w:pPr>
      <w:r>
        <w:rPr>
          <w:rFonts w:hint="eastAsia" w:ascii="宋体" w:hAnsi="宋体" w:cs="宋体"/>
          <w:bCs/>
          <w:kern w:val="0"/>
          <w:szCs w:val="21"/>
        </w:rPr>
        <w:t>4、资格证明文件或商务与技术文件跟报价文件出现混装或在资格证明文件或商务与技术文件中出现投标报价的，或者报价文件中报价的货物/服务跟商务与技术文件中的投标货物/服务出现重大偏差的；</w:t>
      </w:r>
    </w:p>
    <w:p>
      <w:pPr>
        <w:autoSpaceDE w:val="0"/>
        <w:autoSpaceDN w:val="0"/>
        <w:adjustRightInd w:val="0"/>
        <w:spacing w:line="360" w:lineRule="auto"/>
        <w:ind w:firstLine="420" w:firstLineChars="200"/>
        <w:rPr>
          <w:rFonts w:ascii="宋体" w:hAnsi="宋体" w:cs="宋体"/>
          <w:bCs/>
          <w:kern w:val="0"/>
          <w:szCs w:val="21"/>
        </w:rPr>
      </w:pPr>
      <w:r>
        <w:rPr>
          <w:rFonts w:hint="eastAsia" w:ascii="宋体" w:hAnsi="宋体" w:cs="宋体"/>
          <w:bCs/>
          <w:kern w:val="0"/>
          <w:szCs w:val="21"/>
        </w:rPr>
        <w:t>5、不具备招标文件中规定的资格要求的。</w:t>
      </w:r>
    </w:p>
    <w:p>
      <w:pPr>
        <w:autoSpaceDE w:val="0"/>
        <w:autoSpaceDN w:val="0"/>
        <w:adjustRightInd w:val="0"/>
        <w:spacing w:line="360" w:lineRule="auto"/>
        <w:ind w:firstLine="420" w:firstLineChars="200"/>
        <w:rPr>
          <w:rFonts w:ascii="宋体" w:hAnsi="宋体" w:cs="宋体"/>
          <w:bCs/>
          <w:kern w:val="0"/>
          <w:szCs w:val="21"/>
        </w:rPr>
      </w:pPr>
      <w:r>
        <w:rPr>
          <w:rFonts w:hint="eastAsia" w:ascii="宋体" w:hAnsi="宋体" w:cs="宋体"/>
          <w:bCs/>
          <w:kern w:val="0"/>
          <w:szCs w:val="21"/>
        </w:rPr>
        <w:t>6、投标文件含有采购人不能接受的附加条件的。</w:t>
      </w:r>
    </w:p>
    <w:p>
      <w:pPr>
        <w:autoSpaceDE w:val="0"/>
        <w:autoSpaceDN w:val="0"/>
        <w:adjustRightInd w:val="0"/>
        <w:spacing w:line="360" w:lineRule="auto"/>
        <w:ind w:firstLine="420" w:firstLineChars="200"/>
        <w:rPr>
          <w:rFonts w:ascii="宋体" w:hAnsi="宋体" w:cs="宋体"/>
          <w:bCs/>
          <w:kern w:val="0"/>
          <w:szCs w:val="21"/>
        </w:rPr>
      </w:pPr>
      <w:r>
        <w:rPr>
          <w:rFonts w:hint="eastAsia" w:ascii="宋体" w:hAnsi="宋体" w:cs="宋体"/>
          <w:bCs/>
          <w:kern w:val="0"/>
          <w:szCs w:val="21"/>
        </w:rPr>
        <w:t>7、投标代表人未能出具身份证明或与法定代表人授权委托人身份不符的；</w:t>
      </w:r>
    </w:p>
    <w:p>
      <w:pPr>
        <w:autoSpaceDE w:val="0"/>
        <w:autoSpaceDN w:val="0"/>
        <w:adjustRightInd w:val="0"/>
        <w:spacing w:line="360" w:lineRule="auto"/>
        <w:ind w:firstLine="420" w:firstLineChars="200"/>
        <w:rPr>
          <w:rFonts w:ascii="宋体" w:hAnsi="宋体" w:cs="宋体"/>
          <w:bCs/>
          <w:kern w:val="0"/>
          <w:szCs w:val="21"/>
        </w:rPr>
      </w:pPr>
      <w:r>
        <w:rPr>
          <w:rFonts w:hint="eastAsia" w:ascii="宋体" w:hAnsi="宋体" w:cs="宋体"/>
          <w:bCs/>
          <w:kern w:val="0"/>
          <w:szCs w:val="21"/>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360" w:lineRule="auto"/>
        <w:ind w:firstLine="420" w:firstLineChars="200"/>
        <w:rPr>
          <w:rFonts w:ascii="宋体" w:hAnsi="宋体" w:cs="宋体"/>
          <w:bCs/>
          <w:kern w:val="0"/>
          <w:szCs w:val="21"/>
        </w:rPr>
      </w:pPr>
      <w:r>
        <w:rPr>
          <w:rFonts w:hint="eastAsia" w:ascii="宋体" w:hAnsi="宋体" w:cs="宋体"/>
          <w:bCs/>
          <w:kern w:val="0"/>
          <w:szCs w:val="21"/>
        </w:rPr>
        <w:t>9、未按要求进行报价，或报价超过招标文件中规定的预算金额/最高限（单）价。</w:t>
      </w:r>
    </w:p>
    <w:p>
      <w:pPr>
        <w:autoSpaceDE w:val="0"/>
        <w:autoSpaceDN w:val="0"/>
        <w:adjustRightInd w:val="0"/>
        <w:spacing w:line="360" w:lineRule="auto"/>
        <w:ind w:firstLine="420" w:firstLineChars="200"/>
        <w:rPr>
          <w:rFonts w:ascii="宋体" w:hAnsi="宋体" w:cs="宋体"/>
          <w:bCs/>
          <w:kern w:val="0"/>
          <w:szCs w:val="21"/>
        </w:rPr>
      </w:pPr>
      <w:r>
        <w:rPr>
          <w:rFonts w:hint="eastAsia" w:ascii="宋体" w:hAnsi="宋体" w:cs="宋体"/>
          <w:bCs/>
          <w:kern w:val="0"/>
          <w:szCs w:val="21"/>
        </w:rPr>
        <w:t>10、投标参数未如实填写，完全复制粘贴招标参数的。</w:t>
      </w:r>
    </w:p>
    <w:p>
      <w:pPr>
        <w:autoSpaceDE w:val="0"/>
        <w:autoSpaceDN w:val="0"/>
        <w:adjustRightInd w:val="0"/>
        <w:spacing w:line="360" w:lineRule="auto"/>
        <w:ind w:firstLine="420" w:firstLineChars="200"/>
        <w:rPr>
          <w:rFonts w:ascii="宋体" w:hAnsi="宋体" w:cs="宋体"/>
          <w:bCs/>
          <w:kern w:val="0"/>
          <w:szCs w:val="21"/>
        </w:rPr>
      </w:pPr>
      <w:r>
        <w:rPr>
          <w:rFonts w:hint="eastAsia" w:ascii="宋体" w:hAnsi="宋体" w:cs="宋体"/>
          <w:bCs/>
          <w:kern w:val="0"/>
          <w:szCs w:val="21"/>
        </w:rPr>
        <w:t>11、投标文件提供虚假材料的。</w:t>
      </w:r>
    </w:p>
    <w:p>
      <w:pPr>
        <w:autoSpaceDE w:val="0"/>
        <w:autoSpaceDN w:val="0"/>
        <w:adjustRightInd w:val="0"/>
        <w:spacing w:line="360" w:lineRule="auto"/>
        <w:ind w:firstLine="420" w:firstLineChars="200"/>
        <w:rPr>
          <w:rFonts w:ascii="宋体" w:hAnsi="宋体" w:cs="宋体"/>
          <w:bCs/>
          <w:kern w:val="0"/>
          <w:szCs w:val="21"/>
        </w:rPr>
      </w:pPr>
      <w:r>
        <w:rPr>
          <w:rFonts w:hint="eastAsia" w:ascii="宋体" w:hAnsi="宋体" w:cs="宋体"/>
          <w:bCs/>
          <w:kern w:val="0"/>
          <w:szCs w:val="21"/>
        </w:rPr>
        <w:t>12、不符合下列情形之一的，视为投标人串通投标，其投标无效，并移送采购监管部门：</w:t>
      </w:r>
    </w:p>
    <w:p>
      <w:pPr>
        <w:autoSpaceDE w:val="0"/>
        <w:autoSpaceDN w:val="0"/>
        <w:adjustRightInd w:val="0"/>
        <w:spacing w:line="360" w:lineRule="auto"/>
        <w:ind w:firstLine="420" w:firstLineChars="200"/>
        <w:rPr>
          <w:rFonts w:ascii="宋体" w:hAnsi="宋体" w:cs="宋体"/>
          <w:bCs/>
          <w:kern w:val="0"/>
          <w:szCs w:val="21"/>
        </w:rPr>
      </w:pPr>
      <w:r>
        <w:rPr>
          <w:rFonts w:hint="eastAsia" w:ascii="宋体" w:hAnsi="宋体" w:cs="宋体"/>
          <w:bCs/>
          <w:kern w:val="0"/>
          <w:szCs w:val="21"/>
        </w:rPr>
        <w:t>（1）不同投标人的投标文件由同一单位或者个人编制；</w:t>
      </w:r>
    </w:p>
    <w:p>
      <w:pPr>
        <w:autoSpaceDE w:val="0"/>
        <w:autoSpaceDN w:val="0"/>
        <w:adjustRightInd w:val="0"/>
        <w:spacing w:line="360" w:lineRule="auto"/>
        <w:ind w:firstLine="420" w:firstLineChars="200"/>
        <w:rPr>
          <w:rFonts w:ascii="宋体" w:hAnsi="宋体" w:cs="宋体"/>
          <w:bCs/>
          <w:kern w:val="0"/>
          <w:szCs w:val="21"/>
        </w:rPr>
      </w:pPr>
      <w:r>
        <w:rPr>
          <w:rFonts w:hint="eastAsia" w:ascii="宋体" w:hAnsi="宋体" w:cs="宋体"/>
          <w:bCs/>
          <w:kern w:val="0"/>
          <w:szCs w:val="21"/>
        </w:rPr>
        <w:t>（2）不同投标人委托同一单位或者个人办理投标事宜；</w:t>
      </w:r>
    </w:p>
    <w:p>
      <w:pPr>
        <w:autoSpaceDE w:val="0"/>
        <w:autoSpaceDN w:val="0"/>
        <w:adjustRightInd w:val="0"/>
        <w:spacing w:line="360" w:lineRule="auto"/>
        <w:ind w:firstLine="420" w:firstLineChars="200"/>
        <w:rPr>
          <w:rFonts w:ascii="宋体" w:hAnsi="宋体" w:cs="宋体"/>
          <w:bCs/>
          <w:kern w:val="0"/>
          <w:szCs w:val="21"/>
        </w:rPr>
      </w:pPr>
      <w:r>
        <w:rPr>
          <w:rFonts w:hint="eastAsia" w:ascii="宋体" w:hAnsi="宋体" w:cs="宋体"/>
          <w:bCs/>
          <w:kern w:val="0"/>
          <w:szCs w:val="21"/>
        </w:rPr>
        <w:t>（3）不同投标人的投标文件载明的项目管理成员或者联系人员为同一人；</w:t>
      </w:r>
    </w:p>
    <w:p>
      <w:pPr>
        <w:autoSpaceDE w:val="0"/>
        <w:autoSpaceDN w:val="0"/>
        <w:adjustRightInd w:val="0"/>
        <w:spacing w:line="360" w:lineRule="auto"/>
        <w:ind w:firstLine="420" w:firstLineChars="200"/>
        <w:rPr>
          <w:rFonts w:ascii="宋体" w:hAnsi="宋体" w:cs="宋体"/>
          <w:bCs/>
          <w:kern w:val="0"/>
          <w:szCs w:val="21"/>
        </w:rPr>
      </w:pPr>
      <w:r>
        <w:rPr>
          <w:rFonts w:hint="eastAsia" w:ascii="宋体" w:hAnsi="宋体" w:cs="宋体"/>
          <w:bCs/>
          <w:kern w:val="0"/>
          <w:szCs w:val="21"/>
        </w:rPr>
        <w:t>（4）不同投标人的投标文件异常一致或者投标报价呈规律性差异；</w:t>
      </w:r>
    </w:p>
    <w:p>
      <w:pPr>
        <w:autoSpaceDE w:val="0"/>
        <w:autoSpaceDN w:val="0"/>
        <w:adjustRightInd w:val="0"/>
        <w:spacing w:line="360" w:lineRule="auto"/>
        <w:ind w:firstLine="420" w:firstLineChars="200"/>
        <w:rPr>
          <w:rFonts w:ascii="宋体" w:hAnsi="宋体" w:cs="宋体"/>
          <w:bCs/>
          <w:kern w:val="0"/>
          <w:szCs w:val="21"/>
        </w:rPr>
      </w:pPr>
      <w:r>
        <w:rPr>
          <w:rFonts w:hint="eastAsia" w:ascii="宋体" w:hAnsi="宋体" w:cs="宋体"/>
          <w:bCs/>
          <w:kern w:val="0"/>
          <w:szCs w:val="21"/>
        </w:rPr>
        <w:t>（5）不同投标人的投标文件相互混装。</w:t>
      </w:r>
    </w:p>
    <w:p>
      <w:pPr>
        <w:autoSpaceDE w:val="0"/>
        <w:autoSpaceDN w:val="0"/>
        <w:adjustRightInd w:val="0"/>
        <w:spacing w:line="360" w:lineRule="auto"/>
        <w:ind w:firstLine="420" w:firstLineChars="200"/>
        <w:rPr>
          <w:rFonts w:ascii="宋体" w:hAnsi="宋体" w:cs="宋体"/>
          <w:bCs/>
          <w:kern w:val="0"/>
          <w:szCs w:val="21"/>
        </w:rPr>
      </w:pPr>
      <w:r>
        <w:rPr>
          <w:rFonts w:hint="eastAsia" w:ascii="宋体" w:hAnsi="宋体" w:cs="宋体"/>
          <w:bCs/>
          <w:kern w:val="0"/>
          <w:szCs w:val="21"/>
        </w:rPr>
        <w:t>13、不符合法律、法规和招标文件中规定的其他实质性要求的（招标文件中打“▲”内容及被拒绝的条款）。</w:t>
      </w:r>
    </w:p>
    <w:p>
      <w:pPr>
        <w:autoSpaceDE w:val="0"/>
        <w:autoSpaceDN w:val="0"/>
        <w:adjustRightInd w:val="0"/>
        <w:spacing w:line="360" w:lineRule="auto"/>
        <w:ind w:firstLine="422" w:firstLineChars="200"/>
        <w:rPr>
          <w:rFonts w:ascii="宋体" w:hAnsi="宋体" w:cs="宋体"/>
          <w:kern w:val="0"/>
          <w:szCs w:val="21"/>
        </w:rPr>
      </w:pPr>
      <w:r>
        <w:rPr>
          <w:rFonts w:hint="eastAsia" w:ascii="宋体" w:hAnsi="宋体" w:cs="宋体"/>
          <w:b/>
          <w:kern w:val="0"/>
          <w:szCs w:val="21"/>
        </w:rPr>
        <w:t>（六）有下列情况之一的，本次招标作为废标处理</w:t>
      </w:r>
    </w:p>
    <w:p>
      <w:pPr>
        <w:pStyle w:val="26"/>
        <w:spacing w:before="0" w:beforeAutospacing="0" w:after="0" w:afterAutospacing="0" w:line="360" w:lineRule="auto"/>
        <w:ind w:firstLine="420" w:firstLineChars="200"/>
        <w:jc w:val="both"/>
        <w:rPr>
          <w:rFonts w:cs="宋体"/>
          <w:sz w:val="21"/>
          <w:szCs w:val="21"/>
        </w:rPr>
      </w:pPr>
      <w:r>
        <w:rPr>
          <w:rFonts w:hint="eastAsia" w:cs="宋体"/>
          <w:sz w:val="21"/>
          <w:szCs w:val="21"/>
        </w:rPr>
        <w:t>1、出现影响采购公正的违法、违规行为的；</w:t>
      </w:r>
    </w:p>
    <w:p>
      <w:pPr>
        <w:pStyle w:val="26"/>
        <w:spacing w:before="0" w:beforeAutospacing="0" w:after="0" w:afterAutospacing="0" w:line="360" w:lineRule="auto"/>
        <w:ind w:firstLine="420" w:firstLineChars="200"/>
        <w:jc w:val="both"/>
        <w:rPr>
          <w:rFonts w:cs="宋体"/>
          <w:b/>
          <w:bCs/>
          <w:sz w:val="21"/>
          <w:szCs w:val="21"/>
        </w:rPr>
      </w:pPr>
      <w:r>
        <w:rPr>
          <w:rFonts w:hint="eastAsia" w:cs="宋体"/>
          <w:sz w:val="21"/>
          <w:szCs w:val="21"/>
        </w:rPr>
        <w:t xml:space="preserve">2、评标委员会发现招标文件存在歧义、重大缺陷导致评标工作无法进行，或者招标文件内容违反国家有关强制性规定的； </w:t>
      </w:r>
    </w:p>
    <w:p>
      <w:pPr>
        <w:pStyle w:val="26"/>
        <w:spacing w:before="0" w:beforeAutospacing="0" w:after="0" w:afterAutospacing="0" w:line="360" w:lineRule="auto"/>
        <w:ind w:firstLine="420" w:firstLineChars="200"/>
        <w:jc w:val="both"/>
        <w:rPr>
          <w:rFonts w:cs="宋体"/>
          <w:sz w:val="21"/>
          <w:szCs w:val="21"/>
        </w:rPr>
      </w:pPr>
      <w:r>
        <w:rPr>
          <w:rFonts w:hint="eastAsia" w:cs="宋体"/>
          <w:sz w:val="21"/>
          <w:szCs w:val="21"/>
        </w:rPr>
        <w:t>3、因重大变故，采购任务取消的；</w:t>
      </w:r>
    </w:p>
    <w:p>
      <w:pPr>
        <w:pStyle w:val="26"/>
        <w:spacing w:before="0" w:beforeAutospacing="0" w:after="0" w:afterAutospacing="0" w:line="360" w:lineRule="auto"/>
        <w:ind w:firstLine="420" w:firstLineChars="200"/>
        <w:jc w:val="both"/>
        <w:rPr>
          <w:rFonts w:cs="宋体"/>
          <w:sz w:val="21"/>
          <w:szCs w:val="21"/>
        </w:rPr>
      </w:pPr>
      <w:r>
        <w:rPr>
          <w:rFonts w:hint="eastAsia" w:cs="宋体"/>
          <w:sz w:val="21"/>
          <w:szCs w:val="21"/>
        </w:rPr>
        <w:t>4、法律、法规和招标文件规定的其他导致评标结果无效的。</w:t>
      </w:r>
    </w:p>
    <w:p>
      <w:pPr>
        <w:pStyle w:val="13"/>
        <w:tabs>
          <w:tab w:val="left" w:pos="630"/>
        </w:tabs>
        <w:spacing w:line="360" w:lineRule="auto"/>
        <w:ind w:firstLine="422" w:firstLineChars="200"/>
        <w:rPr>
          <w:rFonts w:hAnsi="宋体" w:cs="宋体"/>
          <w:b/>
          <w:szCs w:val="21"/>
        </w:rPr>
      </w:pPr>
      <w:r>
        <w:rPr>
          <w:rFonts w:hint="eastAsia" w:hAnsi="宋体" w:cs="宋体"/>
          <w:b/>
          <w:szCs w:val="21"/>
        </w:rPr>
        <w:t>（七）评标原则和评标办法</w:t>
      </w:r>
    </w:p>
    <w:p>
      <w:pPr>
        <w:pStyle w:val="13"/>
        <w:spacing w:line="360" w:lineRule="auto"/>
        <w:ind w:firstLine="420" w:firstLineChars="200"/>
        <w:rPr>
          <w:rFonts w:hAnsi="宋体" w:cs="宋体"/>
          <w:szCs w:val="21"/>
        </w:rPr>
      </w:pPr>
      <w:r>
        <w:rPr>
          <w:rFonts w:hint="eastAsia" w:hAnsi="宋体" w:cs="宋体"/>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spacing w:line="360" w:lineRule="auto"/>
        <w:ind w:firstLine="420" w:firstLineChars="200"/>
        <w:rPr>
          <w:rFonts w:hAnsi="宋体" w:cs="宋体"/>
          <w:szCs w:val="21"/>
        </w:rPr>
      </w:pPr>
      <w:r>
        <w:rPr>
          <w:rFonts w:hint="eastAsia" w:hAnsi="宋体" w:cs="宋体"/>
          <w:szCs w:val="21"/>
        </w:rPr>
        <w:t>2、评标办法：具体评标内容及评分标准等详见《第三章：评标方法及评分标准》。</w:t>
      </w:r>
    </w:p>
    <w:p>
      <w:pPr>
        <w:pStyle w:val="13"/>
        <w:spacing w:line="360" w:lineRule="auto"/>
        <w:ind w:firstLine="422" w:firstLineChars="200"/>
        <w:rPr>
          <w:rFonts w:hAnsi="宋体" w:cs="宋体"/>
          <w:b/>
          <w:szCs w:val="21"/>
        </w:rPr>
      </w:pPr>
      <w:r>
        <w:rPr>
          <w:rFonts w:hint="eastAsia" w:hAnsi="宋体" w:cs="宋体"/>
          <w:b/>
          <w:szCs w:val="21"/>
        </w:rPr>
        <w:t>（八）评标过程的监控</w:t>
      </w:r>
    </w:p>
    <w:p>
      <w:pPr>
        <w:pStyle w:val="26"/>
        <w:spacing w:before="0" w:beforeAutospacing="0" w:after="0" w:afterAutospacing="0" w:line="360" w:lineRule="auto"/>
        <w:ind w:firstLine="420" w:firstLineChars="200"/>
        <w:jc w:val="both"/>
        <w:rPr>
          <w:rFonts w:cs="宋体"/>
          <w:sz w:val="21"/>
          <w:szCs w:val="21"/>
        </w:rPr>
      </w:pPr>
      <w:r>
        <w:rPr>
          <w:rFonts w:hint="eastAsia" w:cs="宋体"/>
          <w:sz w:val="21"/>
          <w:szCs w:val="21"/>
        </w:rPr>
        <w:t>本项目评标过程实行全程录音、录像监控，相关采购监管部门视情进行现场监督，投标人在评标过程中所进行的试图影响评标结果的不公正活动，可能导致其投标被拒绝。</w:t>
      </w:r>
    </w:p>
    <w:p>
      <w:pPr>
        <w:pStyle w:val="26"/>
        <w:spacing w:before="0" w:beforeAutospacing="0" w:after="0" w:afterAutospacing="0" w:line="360" w:lineRule="auto"/>
        <w:ind w:firstLine="422" w:firstLineChars="200"/>
        <w:jc w:val="both"/>
        <w:outlineLvl w:val="1"/>
        <w:rPr>
          <w:rFonts w:cs="宋体"/>
          <w:b/>
          <w:sz w:val="21"/>
          <w:szCs w:val="21"/>
        </w:rPr>
      </w:pPr>
      <w:r>
        <w:rPr>
          <w:rFonts w:hint="eastAsia" w:cs="宋体"/>
          <w:b/>
          <w:sz w:val="21"/>
          <w:szCs w:val="21"/>
        </w:rPr>
        <w:t>七、定标</w:t>
      </w:r>
    </w:p>
    <w:p>
      <w:pPr>
        <w:pStyle w:val="26"/>
        <w:spacing w:before="0" w:beforeAutospacing="0" w:after="0" w:afterAutospacing="0" w:line="360" w:lineRule="auto"/>
        <w:ind w:firstLine="420" w:firstLineChars="200"/>
        <w:jc w:val="both"/>
        <w:rPr>
          <w:rFonts w:cs="宋体"/>
          <w:sz w:val="21"/>
          <w:szCs w:val="21"/>
        </w:rPr>
      </w:pPr>
      <w:r>
        <w:rPr>
          <w:rFonts w:hint="eastAsia" w:cs="宋体"/>
          <w:sz w:val="21"/>
          <w:szCs w:val="21"/>
        </w:rPr>
        <w:t>1、确定中标投标人：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20" w:firstLineChars="200"/>
        <w:rPr>
          <w:rFonts w:ascii="宋体" w:hAnsi="宋体" w:cs="宋体"/>
          <w:kern w:val="0"/>
          <w:szCs w:val="21"/>
        </w:rPr>
      </w:pPr>
      <w:r>
        <w:rPr>
          <w:rFonts w:hint="eastAsia" w:ascii="宋体" w:hAnsi="宋体" w:cs="宋体"/>
          <w:szCs w:val="21"/>
        </w:rPr>
        <w:t>2、</w:t>
      </w:r>
      <w:r>
        <w:rPr>
          <w:rFonts w:hint="eastAsia" w:ascii="宋体" w:hAnsi="宋体" w:cs="宋体"/>
          <w:kern w:val="0"/>
          <w:szCs w:val="21"/>
        </w:rPr>
        <w:t>发布</w:t>
      </w:r>
      <w:r>
        <w:rPr>
          <w:rFonts w:hint="eastAsia" w:ascii="宋体" w:hAnsi="宋体" w:cs="宋体"/>
          <w:szCs w:val="21"/>
        </w:rPr>
        <w:t>中标</w:t>
      </w:r>
      <w:r>
        <w:rPr>
          <w:rFonts w:hint="eastAsia" w:ascii="宋体" w:hAnsi="宋体" w:cs="宋体"/>
          <w:kern w:val="0"/>
          <w:szCs w:val="21"/>
        </w:rPr>
        <w:t>结果公告：采购组织机构应当自中标人确定之日起2个工作日内，在省级以上财政部门指定的媒体及相关网站上公告中标结果，招标文件应当随中标结果同时公告。</w:t>
      </w:r>
    </w:p>
    <w:p>
      <w:pPr>
        <w:spacing w:line="360" w:lineRule="auto"/>
        <w:ind w:firstLine="420" w:firstLineChars="200"/>
        <w:rPr>
          <w:rFonts w:ascii="宋体" w:hAnsi="宋体" w:cs="宋体"/>
          <w:kern w:val="0"/>
          <w:szCs w:val="21"/>
        </w:rPr>
      </w:pPr>
      <w:r>
        <w:rPr>
          <w:rFonts w:hint="eastAsia" w:ascii="宋体" w:hAnsi="宋体" w:cs="宋体"/>
          <w:kern w:val="0"/>
          <w:szCs w:val="21"/>
        </w:rPr>
        <w:t>3、发出中标通知书：采购组织机构在发布中标结果的同时，向中标人发出中标通知书。</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4、招标代理费：按照中标通知书确定的中标金额，按下附表货物类收费标准，采用差额累进算法向中标单位收取代理服务费。代理服务费结算不足陆仟元的，按定额陆仟元收取。该费用中标方须在领取中标通知书时一次性付清。</w:t>
      </w:r>
      <w:r>
        <w:rPr>
          <w:rFonts w:hint="eastAsia" w:ascii="宋体" w:hAnsi="宋体" w:cs="宋体"/>
          <w:szCs w:val="21"/>
          <w:lang w:val="en-US" w:eastAsia="zh-CN"/>
        </w:rPr>
        <w:t>另本项目专家论证费3000元由中标供应商支付。</w:t>
      </w:r>
    </w:p>
    <w:p>
      <w:pPr>
        <w:spacing w:line="360" w:lineRule="auto"/>
        <w:jc w:val="center"/>
        <w:rPr>
          <w:rFonts w:ascii="宋体" w:hAnsi="宋体" w:cs="宋体"/>
          <w:b/>
          <w:bCs/>
          <w:szCs w:val="21"/>
        </w:rPr>
      </w:pPr>
      <w:r>
        <w:rPr>
          <w:rFonts w:hint="eastAsia" w:ascii="宋体" w:hAnsi="宋体" w:cs="宋体"/>
          <w:b/>
          <w:bCs/>
          <w:szCs w:val="21"/>
        </w:rPr>
        <w:t>附表：招标代理服务收费标准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pPr>
              <w:ind w:firstLine="1470" w:firstLineChars="700"/>
              <w:rPr>
                <w:rFonts w:ascii="宋体" w:hAnsi="宋体" w:cs="宋体"/>
                <w:b/>
                <w:szCs w:val="21"/>
              </w:rPr>
            </w:pPr>
            <w:r>
              <w:rPr>
                <w:rFonts w:hint="eastAsia" w:ascii="宋体" w:hAnsi="宋体" w:cs="宋体"/>
                <w:szCs w:val="21"/>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3" name="直接连接符 3"/>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EbAFM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cs="宋体"/>
                <w:szCs w:val="21"/>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5" name="直接连接符 5"/>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gGFe1QAAAAgBAAAPAAAAAAAAAAEAIAAAACIAAABkcnMvZG93bnJl&#10;di54bWxQSwECFAAUAAAACACHTuJAcy5S5wACAADiAwAADgAAAAAAAAABACAAAAAkAQAAZHJzL2Uy&#10;b0RvYy54bWxQSwUGAAAAAAYABgBZAQAAlgUAAAAA&#10;">
                      <v:fill on="f" focussize="0,0"/>
                      <v:stroke color="#000000 [3200]" joinstyle="round"/>
                      <v:imagedata o:title=""/>
                      <o:lock v:ext="edit" aspectratio="f"/>
                    </v:line>
                  </w:pict>
                </mc:Fallback>
              </mc:AlternateContent>
            </w:r>
            <w:r>
              <w:rPr>
                <w:rFonts w:hint="eastAsia" w:ascii="宋体" w:hAnsi="宋体" w:cs="宋体"/>
                <w:b/>
                <w:szCs w:val="21"/>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kdN+1QAAAAkBAAAPAAAAAAAAAAEAIAAAACIAAABkcnMvZG93bnJldi54bWxQSwECFAAUAAAACACH&#10;TuJA2MWT8+4BAADiAwAADgAAAAAAAAABACAAAAAkAQAAZHJzL2Uyb0RvYy54bWxQSwUGAAAAAAYA&#10;BgBZAQAAhAUAAAAA&#10;">
                      <v:fill on="f" focussize="0,0"/>
                      <v:stroke color="#000000" joinstyle="round"/>
                      <v:imagedata o:title=""/>
                      <o:lock v:ext="edit" aspectratio="f"/>
                    </v:line>
                  </w:pict>
                </mc:Fallback>
              </mc:AlternateContent>
            </w:r>
            <w:r>
              <w:rPr>
                <w:rFonts w:hint="eastAsia" w:ascii="宋体" w:hAnsi="宋体" w:cs="宋体"/>
                <w:b/>
                <w:szCs w:val="21"/>
              </w:rPr>
              <w:t>服务</w:t>
            </w:r>
          </w:p>
          <w:p>
            <w:pPr>
              <w:ind w:firstLine="1054" w:firstLineChars="500"/>
              <w:rPr>
                <w:rFonts w:ascii="宋体" w:hAnsi="宋体" w:cs="宋体"/>
                <w:b/>
                <w:szCs w:val="21"/>
              </w:rPr>
            </w:pPr>
            <w:r>
              <w:rPr>
                <w:rFonts w:hint="eastAsia" w:ascii="宋体" w:hAnsi="宋体" w:cs="宋体"/>
                <w:b/>
                <w:szCs w:val="21"/>
              </w:rPr>
              <w:t>费　　类型</w:t>
            </w:r>
          </w:p>
          <w:p>
            <w:pPr>
              <w:ind w:firstLine="1476" w:firstLineChars="700"/>
              <w:rPr>
                <w:rFonts w:ascii="宋体" w:hAnsi="宋体" w:cs="宋体"/>
                <w:b/>
                <w:szCs w:val="21"/>
              </w:rPr>
            </w:pPr>
            <w:r>
              <w:rPr>
                <w:rFonts w:hint="eastAsia" w:ascii="宋体" w:hAnsi="宋体" w:cs="宋体"/>
                <w:b/>
                <w:szCs w:val="21"/>
              </w:rPr>
              <w:t>率</w:t>
            </w:r>
          </w:p>
          <w:p>
            <w:pPr>
              <w:rPr>
                <w:rFonts w:ascii="宋体" w:hAnsi="宋体" w:cs="宋体"/>
                <w:b/>
                <w:szCs w:val="21"/>
              </w:rPr>
            </w:pPr>
            <w:r>
              <w:rPr>
                <w:rFonts w:hint="eastAsia" w:ascii="宋体" w:hAnsi="宋体" w:cs="宋体"/>
                <w:b/>
                <w:szCs w:val="21"/>
              </w:rPr>
              <w:t>中标金额（万元）</w:t>
            </w:r>
          </w:p>
        </w:tc>
        <w:tc>
          <w:tcPr>
            <w:tcW w:w="2067" w:type="dxa"/>
            <w:vAlign w:val="center"/>
          </w:tcPr>
          <w:p>
            <w:pPr>
              <w:jc w:val="center"/>
              <w:rPr>
                <w:rFonts w:ascii="宋体" w:hAnsi="宋体" w:cs="宋体"/>
                <w:b/>
                <w:szCs w:val="21"/>
              </w:rPr>
            </w:pPr>
            <w:r>
              <w:rPr>
                <w:rFonts w:hint="eastAsia" w:ascii="宋体" w:hAnsi="宋体" w:cs="宋体"/>
                <w:b/>
                <w:szCs w:val="21"/>
              </w:rPr>
              <w:t>货物招标</w:t>
            </w:r>
          </w:p>
        </w:tc>
        <w:tc>
          <w:tcPr>
            <w:tcW w:w="2067" w:type="dxa"/>
            <w:vAlign w:val="center"/>
          </w:tcPr>
          <w:p>
            <w:pPr>
              <w:jc w:val="center"/>
              <w:rPr>
                <w:rFonts w:ascii="宋体" w:hAnsi="宋体" w:cs="宋体"/>
                <w:b/>
                <w:szCs w:val="21"/>
              </w:rPr>
            </w:pPr>
            <w:r>
              <w:rPr>
                <w:rFonts w:hint="eastAsia" w:ascii="宋体" w:hAnsi="宋体" w:cs="宋体"/>
                <w:b/>
                <w:szCs w:val="21"/>
              </w:rPr>
              <w:t>服务招标</w:t>
            </w:r>
          </w:p>
        </w:tc>
        <w:tc>
          <w:tcPr>
            <w:tcW w:w="2067" w:type="dxa"/>
            <w:vAlign w:val="center"/>
          </w:tcPr>
          <w:p>
            <w:pPr>
              <w:jc w:val="center"/>
              <w:rPr>
                <w:rFonts w:ascii="宋体" w:hAnsi="宋体" w:cs="宋体"/>
                <w:b/>
                <w:szCs w:val="21"/>
              </w:rPr>
            </w:pPr>
            <w:r>
              <w:rPr>
                <w:rFonts w:hint="eastAsia" w:ascii="宋体" w:hAnsi="宋体" w:cs="宋体"/>
                <w:b/>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宋体" w:hAnsi="宋体" w:cs="宋体"/>
                <w:szCs w:val="21"/>
              </w:rPr>
            </w:pPr>
            <w:r>
              <w:rPr>
                <w:rFonts w:hint="eastAsia" w:ascii="宋体" w:hAnsi="宋体" w:cs="宋体"/>
                <w:szCs w:val="21"/>
              </w:rPr>
              <w:t>100以下</w:t>
            </w:r>
          </w:p>
        </w:tc>
        <w:tc>
          <w:tcPr>
            <w:tcW w:w="2067" w:type="dxa"/>
          </w:tcPr>
          <w:p>
            <w:pPr>
              <w:jc w:val="center"/>
              <w:rPr>
                <w:rFonts w:ascii="宋体" w:hAnsi="宋体" w:cs="宋体"/>
                <w:szCs w:val="21"/>
              </w:rPr>
            </w:pPr>
            <w:r>
              <w:rPr>
                <w:rFonts w:hint="eastAsia" w:ascii="宋体" w:hAnsi="宋体" w:cs="宋体"/>
                <w:szCs w:val="21"/>
              </w:rPr>
              <w:t>1.5%</w:t>
            </w:r>
          </w:p>
        </w:tc>
        <w:tc>
          <w:tcPr>
            <w:tcW w:w="2067" w:type="dxa"/>
          </w:tcPr>
          <w:p>
            <w:pPr>
              <w:jc w:val="center"/>
              <w:rPr>
                <w:rFonts w:ascii="宋体" w:hAnsi="宋体" w:cs="宋体"/>
                <w:szCs w:val="21"/>
              </w:rPr>
            </w:pPr>
            <w:r>
              <w:rPr>
                <w:rFonts w:hint="eastAsia" w:ascii="宋体" w:hAnsi="宋体" w:cs="宋体"/>
                <w:szCs w:val="21"/>
              </w:rPr>
              <w:t>1.5%</w:t>
            </w:r>
          </w:p>
        </w:tc>
        <w:tc>
          <w:tcPr>
            <w:tcW w:w="2067" w:type="dxa"/>
          </w:tcPr>
          <w:p>
            <w:pPr>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宋体" w:hAnsi="宋体" w:cs="宋体"/>
                <w:szCs w:val="21"/>
              </w:rPr>
            </w:pPr>
            <w:r>
              <w:rPr>
                <w:rFonts w:hint="eastAsia" w:ascii="宋体" w:hAnsi="宋体" w:cs="宋体"/>
                <w:szCs w:val="21"/>
              </w:rPr>
              <w:t>100-500</w:t>
            </w:r>
          </w:p>
        </w:tc>
        <w:tc>
          <w:tcPr>
            <w:tcW w:w="2067" w:type="dxa"/>
          </w:tcPr>
          <w:p>
            <w:pPr>
              <w:jc w:val="center"/>
              <w:rPr>
                <w:rFonts w:ascii="宋体" w:hAnsi="宋体" w:cs="宋体"/>
                <w:szCs w:val="21"/>
              </w:rPr>
            </w:pPr>
            <w:r>
              <w:rPr>
                <w:rFonts w:hint="eastAsia" w:ascii="宋体" w:hAnsi="宋体" w:cs="宋体"/>
                <w:szCs w:val="21"/>
              </w:rPr>
              <w:t>1.1%</w:t>
            </w:r>
          </w:p>
        </w:tc>
        <w:tc>
          <w:tcPr>
            <w:tcW w:w="2067" w:type="dxa"/>
          </w:tcPr>
          <w:p>
            <w:pPr>
              <w:jc w:val="center"/>
              <w:rPr>
                <w:rFonts w:ascii="宋体" w:hAnsi="宋体" w:cs="宋体"/>
                <w:szCs w:val="21"/>
              </w:rPr>
            </w:pPr>
            <w:r>
              <w:rPr>
                <w:rFonts w:hint="eastAsia" w:ascii="宋体" w:hAnsi="宋体" w:cs="宋体"/>
                <w:szCs w:val="21"/>
              </w:rPr>
              <w:t>0.8%</w:t>
            </w:r>
          </w:p>
        </w:tc>
        <w:tc>
          <w:tcPr>
            <w:tcW w:w="2067" w:type="dxa"/>
          </w:tcPr>
          <w:p>
            <w:pPr>
              <w:jc w:val="center"/>
              <w:rPr>
                <w:rFonts w:ascii="宋体" w:hAnsi="宋体" w:cs="宋体"/>
                <w:szCs w:val="21"/>
              </w:rPr>
            </w:pPr>
            <w:r>
              <w:rPr>
                <w:rFonts w:hint="eastAsia" w:ascii="宋体" w:hAnsi="宋体" w:cs="宋体"/>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宋体" w:hAnsi="宋体" w:cs="宋体"/>
                <w:szCs w:val="21"/>
              </w:rPr>
            </w:pPr>
            <w:r>
              <w:rPr>
                <w:rFonts w:hint="eastAsia" w:ascii="宋体" w:hAnsi="宋体" w:cs="宋体"/>
                <w:szCs w:val="21"/>
              </w:rPr>
              <w:t>500-1000</w:t>
            </w:r>
          </w:p>
        </w:tc>
        <w:tc>
          <w:tcPr>
            <w:tcW w:w="2067" w:type="dxa"/>
          </w:tcPr>
          <w:p>
            <w:pPr>
              <w:jc w:val="center"/>
              <w:rPr>
                <w:rFonts w:ascii="宋体" w:hAnsi="宋体" w:cs="宋体"/>
                <w:szCs w:val="21"/>
              </w:rPr>
            </w:pPr>
            <w:r>
              <w:rPr>
                <w:rFonts w:hint="eastAsia" w:ascii="宋体" w:hAnsi="宋体" w:cs="宋体"/>
                <w:szCs w:val="21"/>
              </w:rPr>
              <w:t>0.8%</w:t>
            </w:r>
          </w:p>
        </w:tc>
        <w:tc>
          <w:tcPr>
            <w:tcW w:w="2067" w:type="dxa"/>
          </w:tcPr>
          <w:p>
            <w:pPr>
              <w:jc w:val="center"/>
              <w:rPr>
                <w:rFonts w:ascii="宋体" w:hAnsi="宋体" w:cs="宋体"/>
                <w:szCs w:val="21"/>
              </w:rPr>
            </w:pPr>
            <w:r>
              <w:rPr>
                <w:rFonts w:hint="eastAsia" w:ascii="宋体" w:hAnsi="宋体" w:cs="宋体"/>
                <w:szCs w:val="21"/>
              </w:rPr>
              <w:t>0.45%</w:t>
            </w:r>
          </w:p>
        </w:tc>
        <w:tc>
          <w:tcPr>
            <w:tcW w:w="2067" w:type="dxa"/>
          </w:tcPr>
          <w:p>
            <w:pPr>
              <w:jc w:val="center"/>
              <w:rPr>
                <w:rFonts w:ascii="宋体" w:hAnsi="宋体" w:cs="宋体"/>
                <w:szCs w:val="21"/>
              </w:rPr>
            </w:pPr>
            <w:r>
              <w:rPr>
                <w:rFonts w:hint="eastAsia" w:ascii="宋体" w:hAnsi="宋体" w:cs="宋体"/>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宋体" w:hAnsi="宋体" w:cs="宋体"/>
                <w:szCs w:val="21"/>
              </w:rPr>
            </w:pPr>
            <w:r>
              <w:rPr>
                <w:rFonts w:hint="eastAsia" w:ascii="宋体" w:hAnsi="宋体" w:cs="宋体"/>
                <w:szCs w:val="21"/>
              </w:rPr>
              <w:t>1000-5000</w:t>
            </w:r>
          </w:p>
        </w:tc>
        <w:tc>
          <w:tcPr>
            <w:tcW w:w="2067" w:type="dxa"/>
          </w:tcPr>
          <w:p>
            <w:pPr>
              <w:jc w:val="center"/>
              <w:rPr>
                <w:rFonts w:ascii="宋体" w:hAnsi="宋体" w:cs="宋体"/>
                <w:szCs w:val="21"/>
              </w:rPr>
            </w:pPr>
            <w:r>
              <w:rPr>
                <w:rFonts w:hint="eastAsia" w:ascii="宋体" w:hAnsi="宋体" w:cs="宋体"/>
                <w:szCs w:val="21"/>
              </w:rPr>
              <w:t>0.5%</w:t>
            </w:r>
          </w:p>
        </w:tc>
        <w:tc>
          <w:tcPr>
            <w:tcW w:w="2067" w:type="dxa"/>
          </w:tcPr>
          <w:p>
            <w:pPr>
              <w:jc w:val="center"/>
              <w:rPr>
                <w:rFonts w:ascii="宋体" w:hAnsi="宋体" w:cs="宋体"/>
                <w:szCs w:val="21"/>
              </w:rPr>
            </w:pPr>
            <w:r>
              <w:rPr>
                <w:rFonts w:hint="eastAsia" w:ascii="宋体" w:hAnsi="宋体" w:cs="宋体"/>
                <w:szCs w:val="21"/>
              </w:rPr>
              <w:t>0.25%</w:t>
            </w:r>
          </w:p>
        </w:tc>
        <w:tc>
          <w:tcPr>
            <w:tcW w:w="2067" w:type="dxa"/>
          </w:tcPr>
          <w:p>
            <w:pPr>
              <w:jc w:val="center"/>
              <w:rPr>
                <w:rFonts w:ascii="宋体" w:hAnsi="宋体" w:cs="宋体"/>
                <w:szCs w:val="21"/>
              </w:rPr>
            </w:pPr>
            <w:r>
              <w:rPr>
                <w:rFonts w:hint="eastAsia" w:ascii="宋体" w:hAnsi="宋体" w:cs="宋体"/>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宋体" w:hAnsi="宋体" w:cs="宋体"/>
                <w:szCs w:val="21"/>
              </w:rPr>
            </w:pPr>
            <w:r>
              <w:rPr>
                <w:rFonts w:hint="eastAsia" w:ascii="宋体" w:hAnsi="宋体" w:cs="宋体"/>
                <w:szCs w:val="21"/>
              </w:rPr>
              <w:t>5000-10000</w:t>
            </w:r>
          </w:p>
        </w:tc>
        <w:tc>
          <w:tcPr>
            <w:tcW w:w="2067" w:type="dxa"/>
          </w:tcPr>
          <w:p>
            <w:pPr>
              <w:jc w:val="center"/>
              <w:rPr>
                <w:rFonts w:ascii="宋体" w:hAnsi="宋体" w:cs="宋体"/>
                <w:szCs w:val="21"/>
              </w:rPr>
            </w:pPr>
            <w:r>
              <w:rPr>
                <w:rFonts w:hint="eastAsia" w:ascii="宋体" w:hAnsi="宋体" w:cs="宋体"/>
                <w:szCs w:val="21"/>
              </w:rPr>
              <w:t>0.25%</w:t>
            </w:r>
          </w:p>
        </w:tc>
        <w:tc>
          <w:tcPr>
            <w:tcW w:w="2067" w:type="dxa"/>
          </w:tcPr>
          <w:p>
            <w:pPr>
              <w:jc w:val="center"/>
              <w:rPr>
                <w:rFonts w:ascii="宋体" w:hAnsi="宋体" w:cs="宋体"/>
                <w:szCs w:val="21"/>
              </w:rPr>
            </w:pPr>
            <w:r>
              <w:rPr>
                <w:rFonts w:hint="eastAsia" w:ascii="宋体" w:hAnsi="宋体" w:cs="宋体"/>
                <w:szCs w:val="21"/>
              </w:rPr>
              <w:t>0.1%</w:t>
            </w:r>
          </w:p>
        </w:tc>
        <w:tc>
          <w:tcPr>
            <w:tcW w:w="2067" w:type="dxa"/>
          </w:tcPr>
          <w:p>
            <w:pPr>
              <w:jc w:val="center"/>
              <w:rPr>
                <w:rFonts w:ascii="宋体" w:hAnsi="宋体" w:cs="宋体"/>
                <w:szCs w:val="21"/>
              </w:rPr>
            </w:pPr>
            <w:r>
              <w:rPr>
                <w:rFonts w:hint="eastAsia" w:ascii="宋体" w:hAnsi="宋体" w:cs="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宋体" w:hAnsi="宋体" w:cs="宋体"/>
                <w:szCs w:val="21"/>
              </w:rPr>
            </w:pPr>
            <w:r>
              <w:rPr>
                <w:rFonts w:hint="eastAsia" w:ascii="宋体" w:hAnsi="宋体" w:cs="宋体"/>
                <w:szCs w:val="21"/>
              </w:rPr>
              <w:t>10000-100000</w:t>
            </w:r>
          </w:p>
        </w:tc>
        <w:tc>
          <w:tcPr>
            <w:tcW w:w="2067" w:type="dxa"/>
          </w:tcPr>
          <w:p>
            <w:pPr>
              <w:jc w:val="center"/>
              <w:rPr>
                <w:rFonts w:ascii="宋体" w:hAnsi="宋体" w:cs="宋体"/>
                <w:szCs w:val="21"/>
              </w:rPr>
            </w:pPr>
            <w:r>
              <w:rPr>
                <w:rFonts w:hint="eastAsia" w:ascii="宋体" w:hAnsi="宋体" w:cs="宋体"/>
                <w:szCs w:val="21"/>
              </w:rPr>
              <w:t>0.05%</w:t>
            </w:r>
          </w:p>
        </w:tc>
        <w:tc>
          <w:tcPr>
            <w:tcW w:w="2067" w:type="dxa"/>
          </w:tcPr>
          <w:p>
            <w:pPr>
              <w:jc w:val="center"/>
              <w:rPr>
                <w:rFonts w:ascii="宋体" w:hAnsi="宋体" w:cs="宋体"/>
                <w:szCs w:val="21"/>
              </w:rPr>
            </w:pPr>
            <w:r>
              <w:rPr>
                <w:rFonts w:hint="eastAsia" w:ascii="宋体" w:hAnsi="宋体" w:cs="宋体"/>
                <w:szCs w:val="21"/>
              </w:rPr>
              <w:t>0.05%</w:t>
            </w:r>
          </w:p>
        </w:tc>
        <w:tc>
          <w:tcPr>
            <w:tcW w:w="2067" w:type="dxa"/>
          </w:tcPr>
          <w:p>
            <w:pPr>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pPr>
              <w:jc w:val="center"/>
              <w:rPr>
                <w:rFonts w:ascii="宋体" w:hAnsi="宋体" w:cs="宋体"/>
                <w:szCs w:val="21"/>
              </w:rPr>
            </w:pPr>
            <w:r>
              <w:rPr>
                <w:rFonts w:hint="eastAsia" w:ascii="宋体" w:hAnsi="宋体" w:cs="宋体"/>
                <w:szCs w:val="21"/>
              </w:rPr>
              <w:t>100000以上</w:t>
            </w:r>
          </w:p>
        </w:tc>
        <w:tc>
          <w:tcPr>
            <w:tcW w:w="2067" w:type="dxa"/>
          </w:tcPr>
          <w:p>
            <w:pPr>
              <w:jc w:val="center"/>
              <w:rPr>
                <w:rFonts w:ascii="宋体" w:hAnsi="宋体" w:cs="宋体"/>
                <w:szCs w:val="21"/>
              </w:rPr>
            </w:pPr>
            <w:r>
              <w:rPr>
                <w:rFonts w:hint="eastAsia" w:ascii="宋体" w:hAnsi="宋体" w:cs="宋体"/>
                <w:szCs w:val="21"/>
              </w:rPr>
              <w:t>0.01%</w:t>
            </w:r>
          </w:p>
        </w:tc>
        <w:tc>
          <w:tcPr>
            <w:tcW w:w="2067" w:type="dxa"/>
          </w:tcPr>
          <w:p>
            <w:pPr>
              <w:jc w:val="center"/>
              <w:rPr>
                <w:rFonts w:ascii="宋体" w:hAnsi="宋体" w:cs="宋体"/>
                <w:szCs w:val="21"/>
              </w:rPr>
            </w:pPr>
            <w:r>
              <w:rPr>
                <w:rFonts w:hint="eastAsia" w:ascii="宋体" w:hAnsi="宋体" w:cs="宋体"/>
                <w:szCs w:val="21"/>
              </w:rPr>
              <w:t>0.01%</w:t>
            </w:r>
          </w:p>
        </w:tc>
        <w:tc>
          <w:tcPr>
            <w:tcW w:w="2067" w:type="dxa"/>
          </w:tcPr>
          <w:p>
            <w:pPr>
              <w:jc w:val="center"/>
              <w:rPr>
                <w:rFonts w:ascii="宋体" w:hAnsi="宋体" w:cs="宋体"/>
                <w:szCs w:val="21"/>
              </w:rPr>
            </w:pPr>
            <w:r>
              <w:rPr>
                <w:rFonts w:hint="eastAsia" w:ascii="宋体" w:hAnsi="宋体" w:cs="宋体"/>
                <w:szCs w:val="21"/>
              </w:rPr>
              <w:t>0.01%</w:t>
            </w:r>
          </w:p>
        </w:tc>
      </w:tr>
    </w:tbl>
    <w:p>
      <w:pPr>
        <w:pStyle w:val="4"/>
        <w:tabs>
          <w:tab w:val="left" w:pos="8280"/>
        </w:tabs>
        <w:rPr>
          <w:rFonts w:ascii="宋体" w:hAnsi="宋体" w:eastAsia="宋体" w:cs="宋体"/>
          <w:kern w:val="0"/>
          <w:sz w:val="21"/>
          <w:szCs w:val="21"/>
        </w:rPr>
      </w:pPr>
      <w:r>
        <w:rPr>
          <w:rFonts w:hint="eastAsia" w:ascii="宋体" w:hAnsi="宋体" w:eastAsia="宋体" w:cs="宋体"/>
          <w:sz w:val="21"/>
          <w:szCs w:val="21"/>
        </w:rPr>
        <w:t>八、</w:t>
      </w:r>
      <w:r>
        <w:rPr>
          <w:rFonts w:hint="eastAsia" w:ascii="宋体" w:hAnsi="宋体" w:eastAsia="宋体" w:cs="宋体"/>
          <w:kern w:val="0"/>
          <w:sz w:val="21"/>
          <w:szCs w:val="21"/>
        </w:rPr>
        <w:t>合同签订及公告</w:t>
      </w:r>
    </w:p>
    <w:p>
      <w:pPr>
        <w:rPr>
          <w:rFonts w:ascii="宋体" w:hAnsi="宋体" w:cs="宋体"/>
          <w:b/>
          <w:szCs w:val="21"/>
        </w:rPr>
      </w:pPr>
      <w:r>
        <w:rPr>
          <w:rFonts w:hint="eastAsia" w:ascii="宋体" w:hAnsi="宋体" w:cs="宋体"/>
          <w:b/>
          <w:szCs w:val="21"/>
        </w:rPr>
        <w:t>（一）签订合同</w:t>
      </w:r>
    </w:p>
    <w:p>
      <w:pPr>
        <w:spacing w:line="360" w:lineRule="auto"/>
        <w:ind w:firstLine="420" w:firstLineChars="200"/>
        <w:rPr>
          <w:rFonts w:ascii="宋体" w:hAnsi="宋体" w:cs="宋体"/>
          <w:szCs w:val="21"/>
        </w:rPr>
      </w:pPr>
      <w:r>
        <w:rPr>
          <w:rFonts w:hint="eastAsia" w:ascii="宋体" w:hAnsi="宋体" w:cs="宋体"/>
          <w:szCs w:val="21"/>
        </w:rPr>
        <w:t>1、采购人应当自中标通知书发出之日起3天内，按照招标文件和中标人投标文件的规定，与中标人签订书面合同。所签订的合同不得对招标文件确定的事项和中标人投标文件作实质性修改。</w:t>
      </w:r>
    </w:p>
    <w:p>
      <w:pPr>
        <w:spacing w:line="360" w:lineRule="auto"/>
        <w:ind w:firstLine="420" w:firstLineChars="200"/>
        <w:rPr>
          <w:rFonts w:ascii="宋体" w:hAnsi="宋体" w:cs="宋体"/>
          <w:szCs w:val="21"/>
        </w:rPr>
      </w:pPr>
      <w:r>
        <w:rPr>
          <w:rFonts w:hint="eastAsia" w:ascii="宋体" w:hAnsi="宋体" w:cs="宋体"/>
          <w:szCs w:val="21"/>
        </w:rPr>
        <w:t>2、采购人不得向中标人提出任何不合理的要求作为签订合同的条件。</w:t>
      </w:r>
    </w:p>
    <w:p>
      <w:pPr>
        <w:spacing w:line="360" w:lineRule="auto"/>
        <w:ind w:firstLine="420" w:firstLineChars="200"/>
        <w:rPr>
          <w:rFonts w:ascii="宋体" w:hAnsi="宋体" w:cs="宋体"/>
          <w:szCs w:val="21"/>
        </w:rPr>
      </w:pPr>
      <w:r>
        <w:rPr>
          <w:rFonts w:hint="eastAsia" w:ascii="宋体" w:hAnsi="宋体" w:cs="宋体"/>
          <w:szCs w:val="21"/>
        </w:rPr>
        <w:t>3、中标投标人无故拖延、拒签合同的,将取消中标资格。</w:t>
      </w:r>
    </w:p>
    <w:p>
      <w:pPr>
        <w:spacing w:line="360" w:lineRule="auto"/>
        <w:ind w:firstLine="420" w:firstLineChars="200"/>
        <w:rPr>
          <w:rFonts w:ascii="宋体" w:hAnsi="宋体" w:cs="宋体"/>
          <w:szCs w:val="21"/>
        </w:rPr>
      </w:pPr>
      <w:r>
        <w:rPr>
          <w:rFonts w:hint="eastAsia" w:ascii="宋体" w:hAnsi="宋体" w:cs="宋体"/>
          <w:szCs w:val="21"/>
        </w:rPr>
        <w:t>4、中标投标人拒绝与采购人签订合同的，采购人可以按照评审报告推荐的中标候选人名单排序，确定下一候选人为中标投标人，也可以重新开展政府采购活动。同时，拒绝与采购人签订合同的投标人，由同级财政部门依法作出处理。</w:t>
      </w:r>
    </w:p>
    <w:p>
      <w:pPr>
        <w:spacing w:line="360" w:lineRule="auto"/>
        <w:ind w:firstLine="420" w:firstLineChars="200"/>
        <w:rPr>
          <w:rFonts w:ascii="宋体" w:hAnsi="宋体" w:cs="宋体"/>
          <w:szCs w:val="21"/>
        </w:rPr>
      </w:pPr>
      <w:r>
        <w:rPr>
          <w:rFonts w:hint="eastAsia" w:ascii="宋体" w:hAnsi="宋体" w:cs="宋体"/>
          <w:szCs w:val="21"/>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22" w:firstLineChars="200"/>
        <w:rPr>
          <w:rFonts w:ascii="宋体" w:hAnsi="宋体" w:cs="宋体"/>
          <w:b/>
          <w:szCs w:val="21"/>
        </w:rPr>
      </w:pPr>
      <w:r>
        <w:rPr>
          <w:rFonts w:hint="eastAsia" w:ascii="宋体" w:hAnsi="宋体" w:cs="宋体"/>
          <w:b/>
          <w:szCs w:val="21"/>
        </w:rPr>
        <w:t>（二）合同公告及备案</w:t>
      </w:r>
    </w:p>
    <w:p>
      <w:pPr>
        <w:spacing w:line="360" w:lineRule="auto"/>
        <w:ind w:firstLine="420" w:firstLineChars="200"/>
        <w:rPr>
          <w:rFonts w:ascii="宋体" w:hAnsi="宋体" w:cs="宋体"/>
          <w:szCs w:val="21"/>
        </w:rPr>
      </w:pPr>
      <w:r>
        <w:rPr>
          <w:rFonts w:hint="eastAsia" w:ascii="宋体" w:hAnsi="宋体" w:cs="宋体"/>
          <w:szCs w:val="21"/>
        </w:rPr>
        <w:t>1、采购人应当自政府采购合同签订之日起2个工作日内，在省级以上财政部门指定的政府采购信息发布媒体及相关网站上公告。</w:t>
      </w:r>
    </w:p>
    <w:p>
      <w:pPr>
        <w:spacing w:line="360" w:lineRule="auto"/>
        <w:ind w:firstLine="420" w:firstLineChars="200"/>
        <w:rPr>
          <w:rFonts w:ascii="宋体" w:hAnsi="宋体" w:cs="宋体"/>
          <w:kern w:val="0"/>
          <w:szCs w:val="21"/>
        </w:rPr>
      </w:pPr>
      <w:r>
        <w:rPr>
          <w:rFonts w:hint="eastAsia" w:ascii="宋体" w:hAnsi="宋体" w:cs="宋体"/>
          <w:kern w:val="0"/>
          <w:szCs w:val="21"/>
        </w:rPr>
        <w:t>2、采购人应当自政府采购合同签订之日起7个工作日内，将政府采购合同副本报同级人民政府财政部门备案以及采购组织机构存档。</w:t>
      </w:r>
    </w:p>
    <w:p>
      <w:pPr>
        <w:spacing w:line="340" w:lineRule="atLeast"/>
        <w:rPr>
          <w:rFonts w:ascii="宋体" w:hAnsi="宋体" w:cs="宋体"/>
          <w:b/>
          <w:szCs w:val="21"/>
        </w:rPr>
      </w:pPr>
    </w:p>
    <w:p>
      <w:pPr>
        <w:pStyle w:val="4"/>
        <w:tabs>
          <w:tab w:val="left" w:pos="8280"/>
        </w:tabs>
        <w:rPr>
          <w:rFonts w:ascii="宋体" w:hAnsi="宋体" w:eastAsia="宋体" w:cs="宋体"/>
          <w:b w:val="0"/>
          <w:sz w:val="21"/>
          <w:szCs w:val="21"/>
        </w:rPr>
      </w:pPr>
    </w:p>
    <w:p>
      <w:pPr>
        <w:rPr>
          <w:rFonts w:ascii="宋体" w:hAnsi="宋体" w:cs="宋体"/>
          <w:b/>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p>
    <w:p>
      <w:pPr>
        <w:pStyle w:val="36"/>
      </w:pPr>
    </w:p>
    <w:p>
      <w:pPr>
        <w:spacing w:line="360" w:lineRule="auto"/>
        <w:ind w:firstLine="420" w:firstLineChars="200"/>
        <w:rPr>
          <w:rFonts w:asciiTheme="minorEastAsia" w:hAnsiTheme="minorEastAsia" w:eastAsiaTheme="minorEastAsia" w:cstheme="minorEastAsia"/>
          <w:szCs w:val="21"/>
        </w:rPr>
      </w:pPr>
    </w:p>
    <w:p>
      <w:pPr>
        <w:pStyle w:val="37"/>
        <w:rPr>
          <w:b/>
          <w:sz w:val="36"/>
          <w:szCs w:val="36"/>
        </w:rPr>
      </w:pPr>
    </w:p>
    <w:p>
      <w:pPr>
        <w:spacing w:line="360" w:lineRule="auto"/>
        <w:jc w:val="center"/>
        <w:outlineLvl w:val="0"/>
        <w:rPr>
          <w:rFonts w:ascii="宋体"/>
          <w:b/>
          <w:sz w:val="36"/>
          <w:szCs w:val="36"/>
        </w:rPr>
      </w:pPr>
      <w:r>
        <w:rPr>
          <w:rFonts w:hint="eastAsia" w:ascii="宋体" w:hAnsi="宋体"/>
          <w:b/>
          <w:sz w:val="36"/>
          <w:szCs w:val="36"/>
        </w:rPr>
        <w:t>第三章 评标办法及评分标准</w:t>
      </w:r>
    </w:p>
    <w:p>
      <w:pPr>
        <w:spacing w:line="360" w:lineRule="auto"/>
        <w:ind w:firstLine="420" w:firstLineChars="200"/>
        <w:rPr>
          <w:rFonts w:ascii="宋体" w:hAnsi="宋体" w:cs="宋体"/>
          <w:szCs w:val="21"/>
        </w:rPr>
      </w:pPr>
      <w:r>
        <w:rPr>
          <w:rFonts w:hint="eastAsia" w:ascii="宋体" w:hAnsi="宋体" w:cs="宋体"/>
          <w:szCs w:val="21"/>
        </w:rPr>
        <w:t>一、采购组织机构将组织评标委员会，对投标人提供的投标文件进行综合评审。</w:t>
      </w:r>
    </w:p>
    <w:p>
      <w:pPr>
        <w:spacing w:line="360" w:lineRule="auto"/>
        <w:ind w:firstLine="420" w:firstLineChars="200"/>
        <w:rPr>
          <w:rFonts w:ascii="宋体" w:hAnsi="宋体" w:cs="宋体"/>
          <w:szCs w:val="21"/>
        </w:rPr>
      </w:pPr>
      <w:r>
        <w:rPr>
          <w:rFonts w:hint="eastAsia" w:ascii="宋体" w:hAnsi="宋体" w:cs="宋体"/>
          <w:szCs w:val="21"/>
        </w:rPr>
        <w:t>二、本次招标项目的评标方法为综合评分法，总计100分。资信及商务技术文件</w:t>
      </w:r>
      <w:r>
        <w:rPr>
          <w:rFonts w:hint="eastAsia" w:ascii="宋体" w:hAnsi="宋体" w:cs="宋体"/>
          <w:szCs w:val="21"/>
          <w:lang w:val="zh-CN"/>
        </w:rPr>
        <w:t>分值</w:t>
      </w:r>
      <w:r>
        <w:rPr>
          <w:rFonts w:hint="eastAsia" w:ascii="宋体" w:hAnsi="宋体" w:cs="宋体"/>
          <w:szCs w:val="21"/>
        </w:rPr>
        <w:t>70</w:t>
      </w:r>
      <w:r>
        <w:rPr>
          <w:rFonts w:hint="eastAsia" w:ascii="宋体" w:hAnsi="宋体" w:cs="宋体"/>
          <w:szCs w:val="21"/>
          <w:lang w:val="zh-CN"/>
        </w:rPr>
        <w:t>分，投标报价分值</w:t>
      </w:r>
      <w:r>
        <w:rPr>
          <w:rFonts w:hint="eastAsia" w:ascii="宋体" w:hAnsi="宋体" w:cs="宋体"/>
          <w:szCs w:val="21"/>
        </w:rPr>
        <w:t>30</w:t>
      </w:r>
      <w:r>
        <w:rPr>
          <w:rFonts w:hint="eastAsia" w:ascii="宋体" w:hAnsi="宋体" w:cs="宋体"/>
          <w:szCs w:val="21"/>
          <w:lang w:val="zh-CN"/>
        </w:rPr>
        <w:t>分</w:t>
      </w:r>
      <w:r>
        <w:rPr>
          <w:rFonts w:hint="eastAsia" w:ascii="宋体" w:hAnsi="宋体" w:cs="宋体"/>
          <w:szCs w:val="21"/>
        </w:rPr>
        <w:t>。评标标准按评分细化条款及分值进行评审。</w:t>
      </w:r>
    </w:p>
    <w:p>
      <w:pPr>
        <w:spacing w:line="360" w:lineRule="auto"/>
        <w:ind w:firstLine="420" w:firstLineChars="200"/>
        <w:rPr>
          <w:rFonts w:ascii="宋体" w:hAnsi="宋体" w:cs="宋体"/>
          <w:szCs w:val="21"/>
          <w:lang w:val="zh-CN"/>
        </w:rPr>
      </w:pPr>
      <w:r>
        <w:rPr>
          <w:rFonts w:hint="eastAsia" w:ascii="宋体" w:hAnsi="宋体" w:cs="宋体"/>
          <w:szCs w:val="21"/>
          <w:lang w:val="zh-CN"/>
        </w:rPr>
        <w:t>（一）</w:t>
      </w:r>
      <w:r>
        <w:rPr>
          <w:rFonts w:hint="eastAsia" w:ascii="宋体" w:hAnsi="宋体" w:cs="宋体"/>
          <w:szCs w:val="21"/>
        </w:rPr>
        <w:t>资信及商务技术文件</w:t>
      </w:r>
      <w:r>
        <w:rPr>
          <w:rFonts w:hint="eastAsia" w:ascii="宋体" w:hAnsi="宋体" w:cs="宋体"/>
          <w:szCs w:val="21"/>
          <w:lang w:val="zh-CN"/>
        </w:rPr>
        <w:t>中的客观分应由评审小组成员独立评审，</w:t>
      </w:r>
      <w:r>
        <w:rPr>
          <w:rFonts w:hint="eastAsia" w:ascii="宋体" w:hAnsi="宋体" w:cs="宋体"/>
          <w:szCs w:val="21"/>
        </w:rPr>
        <w:t>但客观分打分应一致</w:t>
      </w:r>
      <w:r>
        <w:rPr>
          <w:rFonts w:hint="eastAsia" w:ascii="宋体" w:hAnsi="宋体" w:cs="宋体"/>
          <w:szCs w:val="21"/>
          <w:lang w:val="zh-CN"/>
        </w:rPr>
        <w:t>；客观分不一致时，由评审委员会复核或书面说明理由，其余在规定的分值内单独评定打分</w:t>
      </w:r>
      <w:r>
        <w:rPr>
          <w:rFonts w:hint="eastAsia" w:ascii="宋体" w:hAnsi="宋体" w:cs="宋体"/>
          <w:szCs w:val="21"/>
        </w:rPr>
        <w:t>（小数点后保留1位）</w:t>
      </w:r>
      <w:r>
        <w:rPr>
          <w:rFonts w:hint="eastAsia" w:ascii="宋体" w:hAnsi="宋体" w:cs="宋体"/>
          <w:szCs w:val="21"/>
          <w:lang w:val="zh-CN"/>
        </w:rPr>
        <w:t>。</w:t>
      </w:r>
    </w:p>
    <w:p>
      <w:pPr>
        <w:spacing w:line="360" w:lineRule="auto"/>
        <w:ind w:firstLine="420" w:firstLineChars="200"/>
        <w:rPr>
          <w:rFonts w:ascii="宋体" w:hAnsi="宋体" w:cs="宋体"/>
          <w:szCs w:val="21"/>
          <w:lang w:val="zh-CN"/>
        </w:rPr>
      </w:pPr>
      <w:r>
        <w:rPr>
          <w:rFonts w:hint="eastAsia" w:ascii="宋体" w:hAnsi="宋体" w:cs="宋体"/>
          <w:szCs w:val="21"/>
          <w:lang w:val="zh-CN"/>
        </w:rPr>
        <w:t>（二）各投标人</w:t>
      </w:r>
      <w:r>
        <w:rPr>
          <w:rFonts w:hint="eastAsia" w:ascii="宋体" w:hAnsi="宋体" w:cs="宋体"/>
          <w:szCs w:val="21"/>
        </w:rPr>
        <w:t>资信及商务技术文件</w:t>
      </w:r>
      <w:r>
        <w:rPr>
          <w:rFonts w:hint="eastAsia" w:ascii="宋体" w:hAnsi="宋体" w:cs="宋体"/>
          <w:szCs w:val="21"/>
          <w:lang w:val="zh-CN"/>
        </w:rPr>
        <w:t>得分按照评标委员会成员的独立评分结果汇总后的算术平均分计算</w:t>
      </w:r>
      <w:r>
        <w:rPr>
          <w:rFonts w:hint="eastAsia" w:ascii="宋体" w:hAnsi="宋体" w:cs="宋体"/>
          <w:szCs w:val="21"/>
        </w:rPr>
        <w:t>（小数点后保留2位）</w:t>
      </w:r>
      <w:r>
        <w:rPr>
          <w:rFonts w:hint="eastAsia" w:ascii="宋体" w:hAnsi="宋体" w:cs="宋体"/>
          <w:szCs w:val="21"/>
          <w:lang w:val="zh-CN"/>
        </w:rPr>
        <w:t>，计算公式为：</w:t>
      </w:r>
    </w:p>
    <w:p>
      <w:pPr>
        <w:spacing w:line="360" w:lineRule="auto"/>
        <w:ind w:firstLine="420" w:firstLineChars="200"/>
        <w:rPr>
          <w:rFonts w:ascii="宋体" w:hAnsi="宋体" w:cs="宋体"/>
          <w:szCs w:val="21"/>
          <w:lang w:val="zh-CN"/>
        </w:rPr>
      </w:pPr>
      <w:r>
        <w:rPr>
          <w:rFonts w:hint="eastAsia" w:ascii="宋体" w:hAnsi="宋体" w:cs="宋体"/>
          <w:szCs w:val="21"/>
        </w:rPr>
        <w:t>资信及商务技术文件得分</w:t>
      </w:r>
      <w:r>
        <w:rPr>
          <w:rFonts w:hint="eastAsia" w:ascii="宋体" w:hAnsi="宋体" w:cs="宋体"/>
          <w:szCs w:val="21"/>
          <w:lang w:val="zh-CN"/>
        </w:rPr>
        <w:t>=评标委员会所有成员评分合计数/评标委员会组成人员数。</w:t>
      </w:r>
    </w:p>
    <w:p>
      <w:pPr>
        <w:spacing w:line="360" w:lineRule="auto"/>
        <w:ind w:firstLine="420" w:firstLineChars="200"/>
        <w:rPr>
          <w:rFonts w:ascii="宋体" w:hAnsi="宋体" w:cs="宋体"/>
          <w:szCs w:val="21"/>
          <w:lang w:val="zh-CN"/>
        </w:rPr>
      </w:pPr>
      <w:r>
        <w:rPr>
          <w:rFonts w:hint="eastAsia" w:ascii="宋体" w:hAnsi="宋体" w:cs="宋体"/>
          <w:szCs w:val="21"/>
          <w:lang w:val="zh-CN"/>
        </w:rPr>
        <w:t>（三）投标报价得分采用低价优先法计算</w:t>
      </w:r>
      <w:r>
        <w:rPr>
          <w:rFonts w:hint="eastAsia" w:ascii="宋体" w:hAnsi="宋体" w:cs="宋体"/>
          <w:szCs w:val="21"/>
        </w:rPr>
        <w:t>（小数点后保留2位）</w:t>
      </w:r>
      <w:r>
        <w:rPr>
          <w:rFonts w:hint="eastAsia" w:ascii="宋体" w:hAnsi="宋体" w:cs="宋体"/>
          <w:szCs w:val="21"/>
          <w:lang w:val="zh-CN"/>
        </w:rPr>
        <w:t>，即满足招标文件要求且投标价格最低的投标报价为评标基准价，其报价得满分。其他投标人的投标报价得分按下列公式计算：</w:t>
      </w:r>
    </w:p>
    <w:p>
      <w:pPr>
        <w:spacing w:line="360" w:lineRule="auto"/>
        <w:ind w:firstLine="420" w:firstLineChars="200"/>
        <w:rPr>
          <w:rFonts w:ascii="宋体" w:hAnsi="宋体" w:cs="宋体"/>
          <w:szCs w:val="21"/>
          <w:lang w:val="zh-CN"/>
        </w:rPr>
      </w:pPr>
      <w:r>
        <w:rPr>
          <w:rFonts w:hint="eastAsia" w:ascii="宋体" w:hAnsi="宋体" w:cs="宋体"/>
          <w:szCs w:val="21"/>
          <w:lang w:val="zh-CN"/>
        </w:rPr>
        <w:t>投标报价得分=(评标基准价／投标报价)×</w:t>
      </w:r>
      <w:r>
        <w:rPr>
          <w:rFonts w:hint="eastAsia" w:ascii="宋体" w:hAnsi="宋体" w:cs="宋体"/>
          <w:szCs w:val="21"/>
        </w:rPr>
        <w:t>3</w:t>
      </w:r>
      <w:r>
        <w:rPr>
          <w:rFonts w:hint="eastAsia" w:ascii="宋体" w:hAnsi="宋体" w:cs="宋体"/>
          <w:szCs w:val="21"/>
          <w:lang w:val="zh-CN"/>
        </w:rPr>
        <w:t>0%×100 。</w:t>
      </w:r>
    </w:p>
    <w:p>
      <w:pPr>
        <w:spacing w:line="360" w:lineRule="auto"/>
        <w:ind w:firstLine="420" w:firstLineChars="200"/>
        <w:rPr>
          <w:rFonts w:ascii="宋体" w:hAnsi="宋体" w:cs="宋体"/>
          <w:szCs w:val="21"/>
          <w:lang w:val="zh-CN"/>
        </w:rPr>
      </w:pPr>
      <w:r>
        <w:rPr>
          <w:rFonts w:hint="eastAsia" w:ascii="宋体" w:hAnsi="宋体" w:cs="宋体"/>
          <w:szCs w:val="21"/>
          <w:lang w:val="zh-CN"/>
        </w:rPr>
        <w:t>（四）投标人综合得分＝资信及商务技术文件得分＋投标报价得分。</w:t>
      </w:r>
    </w:p>
    <w:p>
      <w:pPr>
        <w:autoSpaceDE w:val="0"/>
        <w:autoSpaceDN w:val="0"/>
        <w:adjustRightInd w:val="0"/>
        <w:spacing w:line="360" w:lineRule="auto"/>
        <w:ind w:right="85" w:firstLine="420" w:firstLineChars="200"/>
        <w:rPr>
          <w:rFonts w:ascii="宋体" w:hAnsi="宋体" w:cs="宋体"/>
          <w:szCs w:val="21"/>
          <w:lang w:val="zh-CN"/>
        </w:rPr>
      </w:pPr>
      <w:r>
        <w:rPr>
          <w:rFonts w:hint="eastAsia" w:ascii="宋体" w:hAnsi="宋体" w:cs="宋体"/>
          <w:szCs w:val="21"/>
          <w:lang w:val="zh-CN"/>
        </w:rPr>
        <w:t>三、在最大限度地满足招标文件实质性要求前提下，评标委员会按照招标文件中规定的各项因素进行综合评审后，</w:t>
      </w:r>
      <w:r>
        <w:rPr>
          <w:rFonts w:hint="eastAsia" w:ascii="宋体" w:hAnsi="宋体" w:cs="宋体"/>
          <w:szCs w:val="21"/>
        </w:rPr>
        <w:t>以评审总得分最高的供应商为成交候选供应商</w:t>
      </w:r>
    </w:p>
    <w:p>
      <w:pPr>
        <w:spacing w:line="360" w:lineRule="auto"/>
        <w:ind w:firstLine="420" w:firstLineChars="200"/>
        <w:rPr>
          <w:rFonts w:ascii="宋体" w:hAnsi="宋体" w:cs="宋体"/>
          <w:szCs w:val="21"/>
          <w:lang w:val="zh-CN"/>
        </w:rPr>
      </w:pPr>
      <w:r>
        <w:rPr>
          <w:rFonts w:hint="eastAsia" w:ascii="宋体" w:hAnsi="宋体" w:cs="宋体"/>
          <w:szCs w:val="21"/>
          <w:lang w:val="zh-CN"/>
        </w:rPr>
        <w:t>四、如综合得分相同，投标报价低者为先；如综合得分且投标报价相同的，</w:t>
      </w:r>
      <w:r>
        <w:rPr>
          <w:rFonts w:hint="eastAsia" w:ascii="宋体" w:hAnsi="宋体" w:cs="宋体"/>
          <w:szCs w:val="21"/>
        </w:rPr>
        <w:t>货物类采购</w:t>
      </w:r>
      <w:r>
        <w:rPr>
          <w:rFonts w:hint="eastAsia" w:ascii="宋体" w:hAnsi="宋体" w:cs="宋体"/>
          <w:szCs w:val="21"/>
          <w:lang w:val="zh-CN"/>
        </w:rPr>
        <w:t>以</w:t>
      </w:r>
      <w:r>
        <w:rPr>
          <w:rFonts w:hint="eastAsia" w:ascii="宋体" w:hAnsi="宋体" w:cs="宋体"/>
          <w:szCs w:val="21"/>
        </w:rPr>
        <w:t>资信及商务技术文件得</w:t>
      </w:r>
      <w:r>
        <w:rPr>
          <w:rFonts w:hint="eastAsia" w:ascii="宋体" w:hAnsi="宋体" w:cs="宋体"/>
          <w:szCs w:val="21"/>
          <w:lang w:val="zh-CN"/>
        </w:rPr>
        <w:t>分较高者为先。</w:t>
      </w:r>
    </w:p>
    <w:p>
      <w:pPr>
        <w:spacing w:line="360" w:lineRule="auto"/>
        <w:ind w:firstLine="420" w:firstLineChars="200"/>
        <w:rPr>
          <w:rFonts w:ascii="宋体" w:hAnsi="宋体" w:cs="宋体"/>
          <w:spacing w:val="10"/>
          <w:szCs w:val="21"/>
        </w:rPr>
      </w:pPr>
      <w:r>
        <w:rPr>
          <w:rFonts w:hint="eastAsia" w:ascii="宋体" w:hAnsi="宋体" w:cs="宋体"/>
          <w:szCs w:val="21"/>
        </w:rPr>
        <w:t>五、中标候选人放弃中标、拒绝与采购人签订合同、因不可抗力提出不能履行合同，或者招标文件规定应当提交履约保证金而在规定的期限内未能提交的，采购人可以按照评审报告推荐的中标或者成交候选人名单排序，确定下一候选人为中标或者成交供应商，也可以重新开展政府采购活动。评标办法的解释权归招标人。</w:t>
      </w:r>
    </w:p>
    <w:p>
      <w:pPr>
        <w:spacing w:line="360" w:lineRule="auto"/>
        <w:ind w:firstLine="420" w:firstLineChars="200"/>
        <w:rPr>
          <w:rFonts w:ascii="宋体" w:hAnsi="宋体" w:cs="宋体"/>
          <w:szCs w:val="21"/>
          <w:lang w:val="zh-CN"/>
        </w:rPr>
      </w:pPr>
      <w:r>
        <w:rPr>
          <w:rFonts w:hint="eastAsia" w:ascii="宋体" w:hAnsi="宋体" w:cs="宋体"/>
          <w:szCs w:val="21"/>
        </w:rPr>
        <w:t>六</w:t>
      </w:r>
      <w:r>
        <w:rPr>
          <w:rFonts w:hint="eastAsia" w:ascii="宋体" w:hAnsi="宋体" w:cs="宋体"/>
          <w:szCs w:val="21"/>
          <w:lang w:val="zh-CN"/>
        </w:rPr>
        <w:t>、本次</w:t>
      </w:r>
      <w:r>
        <w:rPr>
          <w:rFonts w:hint="eastAsia" w:ascii="宋体" w:hAnsi="宋体" w:cs="宋体"/>
          <w:szCs w:val="21"/>
        </w:rPr>
        <w:t>商务与技术</w:t>
      </w:r>
      <w:r>
        <w:rPr>
          <w:rFonts w:hint="eastAsia" w:ascii="宋体" w:hAnsi="宋体" w:cs="宋体"/>
          <w:szCs w:val="21"/>
          <w:lang w:val="zh-CN"/>
        </w:rPr>
        <w:t>评分具体分值细化条款如下表：</w:t>
      </w:r>
    </w:p>
    <w:tbl>
      <w:tblPr>
        <w:tblStyle w:val="29"/>
        <w:tblW w:w="10023"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524"/>
        <w:gridCol w:w="6420"/>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77" w:type="dxa"/>
            <w:shd w:val="clear" w:color="000000" w:fill="FFFFFF"/>
            <w:vAlign w:val="center"/>
          </w:tcPr>
          <w:p>
            <w:pPr>
              <w:jc w:val="center"/>
              <w:rPr>
                <w:rFonts w:ascii="宋体" w:hAnsi="宋体" w:cs="宋体"/>
                <w:b/>
                <w:szCs w:val="21"/>
              </w:rPr>
            </w:pPr>
            <w:r>
              <w:rPr>
                <w:rFonts w:hint="eastAsia" w:ascii="宋体" w:hAnsi="宋体" w:cs="宋体"/>
                <w:b/>
                <w:szCs w:val="21"/>
              </w:rPr>
              <w:t>序号</w:t>
            </w:r>
          </w:p>
        </w:tc>
        <w:tc>
          <w:tcPr>
            <w:tcW w:w="1524" w:type="dxa"/>
            <w:shd w:val="clear" w:color="000000" w:fill="FFFFFF"/>
            <w:vAlign w:val="center"/>
          </w:tcPr>
          <w:p>
            <w:pPr>
              <w:jc w:val="center"/>
              <w:rPr>
                <w:rFonts w:ascii="宋体" w:hAnsi="宋体" w:cs="宋体"/>
                <w:b/>
                <w:szCs w:val="21"/>
              </w:rPr>
            </w:pPr>
            <w:r>
              <w:rPr>
                <w:rFonts w:hint="eastAsia" w:ascii="宋体" w:hAnsi="宋体" w:cs="宋体"/>
                <w:b/>
                <w:szCs w:val="21"/>
              </w:rPr>
              <w:t>评分内容</w:t>
            </w:r>
          </w:p>
        </w:tc>
        <w:tc>
          <w:tcPr>
            <w:tcW w:w="6420" w:type="dxa"/>
            <w:shd w:val="clear" w:color="000000" w:fill="FFFFFF"/>
            <w:vAlign w:val="center"/>
          </w:tcPr>
          <w:p>
            <w:pPr>
              <w:pStyle w:val="11"/>
              <w:tabs>
                <w:tab w:val="left" w:pos="720"/>
                <w:tab w:val="left" w:pos="1260"/>
                <w:tab w:val="left" w:pos="2160"/>
                <w:tab w:val="left" w:pos="2880"/>
                <w:tab w:val="left" w:pos="3600"/>
                <w:tab w:val="left" w:pos="4320"/>
                <w:tab w:val="left" w:pos="5040"/>
                <w:tab w:val="left" w:pos="5760"/>
              </w:tabs>
              <w:snapToGrid w:val="0"/>
              <w:spacing w:after="0" w:line="300" w:lineRule="auto"/>
              <w:jc w:val="center"/>
              <w:rPr>
                <w:rFonts w:ascii="宋体" w:hAnsi="宋体" w:cs="宋体"/>
                <w:b/>
                <w:szCs w:val="21"/>
              </w:rPr>
            </w:pPr>
            <w:r>
              <w:rPr>
                <w:rFonts w:hint="eastAsia" w:ascii="宋体" w:hAnsi="宋体" w:cs="宋体"/>
                <w:b/>
                <w:szCs w:val="21"/>
              </w:rPr>
              <w:t>评分标准及内容</w:t>
            </w:r>
          </w:p>
        </w:tc>
        <w:tc>
          <w:tcPr>
            <w:tcW w:w="1202" w:type="dxa"/>
            <w:shd w:val="clear" w:color="000000" w:fill="FFFFFF"/>
            <w:vAlign w:val="center"/>
          </w:tcPr>
          <w:p>
            <w:pPr>
              <w:pStyle w:val="11"/>
              <w:tabs>
                <w:tab w:val="left" w:pos="720"/>
                <w:tab w:val="left" w:pos="1260"/>
                <w:tab w:val="left" w:pos="2160"/>
                <w:tab w:val="left" w:pos="2880"/>
                <w:tab w:val="left" w:pos="3600"/>
                <w:tab w:val="left" w:pos="4320"/>
                <w:tab w:val="left" w:pos="5040"/>
                <w:tab w:val="left" w:pos="5760"/>
              </w:tabs>
              <w:snapToGrid w:val="0"/>
              <w:spacing w:after="0" w:line="300" w:lineRule="auto"/>
              <w:ind w:left="0" w:leftChars="0" w:firstLine="211" w:firstLineChars="100"/>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77" w:type="dxa"/>
            <w:shd w:val="clear" w:color="000000" w:fill="FFFFFF"/>
            <w:vAlign w:val="center"/>
          </w:tcPr>
          <w:p>
            <w:pPr>
              <w:jc w:val="center"/>
              <w:rPr>
                <w:rFonts w:ascii="宋体" w:hAnsi="宋体" w:cs="宋体"/>
                <w:bCs/>
                <w:szCs w:val="21"/>
              </w:rPr>
            </w:pPr>
            <w:r>
              <w:rPr>
                <w:rFonts w:hint="eastAsia" w:ascii="宋体" w:hAnsi="宋体" w:cs="宋体"/>
                <w:bCs/>
                <w:szCs w:val="21"/>
              </w:rPr>
              <w:t>1</w:t>
            </w:r>
          </w:p>
        </w:tc>
        <w:tc>
          <w:tcPr>
            <w:tcW w:w="1524" w:type="dxa"/>
            <w:shd w:val="clear" w:color="000000" w:fill="FFFFFF"/>
            <w:vAlign w:val="center"/>
          </w:tcPr>
          <w:p>
            <w:pPr>
              <w:widowControl/>
              <w:spacing w:line="440" w:lineRule="exact"/>
              <w:jc w:val="center"/>
              <w:rPr>
                <w:rFonts w:ascii="宋体" w:hAnsi="宋体" w:cs="宋体"/>
                <w:szCs w:val="21"/>
              </w:rPr>
            </w:pPr>
            <w:r>
              <w:rPr>
                <w:rFonts w:hint="eastAsia" w:ascii="宋体" w:hAnsi="宋体" w:cs="宋体"/>
                <w:szCs w:val="21"/>
              </w:rPr>
              <w:t>企业业绩</w:t>
            </w:r>
          </w:p>
        </w:tc>
        <w:tc>
          <w:tcPr>
            <w:tcW w:w="6420" w:type="dxa"/>
            <w:shd w:val="clear" w:color="000000" w:fill="FFFFFF"/>
            <w:vAlign w:val="center"/>
          </w:tcPr>
          <w:p>
            <w:pPr>
              <w:widowControl/>
              <w:spacing w:line="440" w:lineRule="exact"/>
              <w:rPr>
                <w:rFonts w:ascii="宋体" w:hAnsi="宋体" w:cs="宋体"/>
                <w:szCs w:val="21"/>
              </w:rPr>
            </w:pPr>
            <w:r>
              <w:rPr>
                <w:rFonts w:hint="eastAsia" w:ascii="宋体" w:hAnsi="宋体" w:cs="宋体"/>
                <w:szCs w:val="21"/>
              </w:rPr>
              <w:t>投标人自2020年1月1日(含)以来（时间以合同签订时间为准）承接过类似项目业绩的，每个合同得1分，最高得2分。</w:t>
            </w:r>
          </w:p>
          <w:p>
            <w:pPr>
              <w:widowControl/>
              <w:spacing w:line="440" w:lineRule="exact"/>
              <w:rPr>
                <w:rFonts w:ascii="宋体" w:hAnsi="宋体" w:cs="宋体"/>
                <w:szCs w:val="21"/>
              </w:rPr>
            </w:pPr>
            <w:r>
              <w:rPr>
                <w:rFonts w:hint="eastAsia" w:ascii="宋体" w:hAnsi="宋体" w:cs="宋体"/>
                <w:szCs w:val="21"/>
              </w:rPr>
              <w:t>须提供业绩证明材料：采购合同文件复印件（扫描件）或政采云网上订单合同扫描件，加盖公章编入投标文件，未提供或提供不全不得分。</w:t>
            </w:r>
          </w:p>
        </w:tc>
        <w:tc>
          <w:tcPr>
            <w:tcW w:w="1202" w:type="dxa"/>
            <w:shd w:val="clear" w:color="000000" w:fill="FFFFFF"/>
            <w:vAlign w:val="center"/>
          </w:tcPr>
          <w:p>
            <w:pPr>
              <w:widowControl/>
              <w:spacing w:line="440" w:lineRule="exact"/>
              <w:jc w:val="center"/>
              <w:rPr>
                <w:rFonts w:ascii="宋体" w:hAnsi="宋体" w:cs="宋体"/>
                <w:szCs w:val="21"/>
              </w:rPr>
            </w:pPr>
            <w:r>
              <w:rPr>
                <w:rFonts w:hint="eastAsia" w:ascii="宋体" w:hAnsi="宋体" w:cs="宋体"/>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77" w:type="dxa"/>
            <w:shd w:val="clear" w:color="000000" w:fill="FFFFFF"/>
            <w:vAlign w:val="center"/>
          </w:tcPr>
          <w:p>
            <w:pPr>
              <w:jc w:val="center"/>
              <w:rPr>
                <w:rFonts w:ascii="宋体" w:hAnsi="宋体" w:cs="宋体"/>
                <w:bCs/>
                <w:szCs w:val="21"/>
              </w:rPr>
            </w:pPr>
            <w:r>
              <w:rPr>
                <w:rFonts w:hint="eastAsia" w:ascii="宋体" w:hAnsi="宋体" w:cs="宋体"/>
                <w:bCs/>
                <w:szCs w:val="21"/>
              </w:rPr>
              <w:t>2</w:t>
            </w:r>
          </w:p>
        </w:tc>
        <w:tc>
          <w:tcPr>
            <w:tcW w:w="1524" w:type="dxa"/>
            <w:shd w:val="clear" w:color="000000" w:fill="FFFFFF"/>
            <w:vAlign w:val="center"/>
          </w:tcPr>
          <w:p>
            <w:pPr>
              <w:widowControl/>
              <w:spacing w:line="440" w:lineRule="exact"/>
              <w:jc w:val="center"/>
              <w:rPr>
                <w:rFonts w:ascii="宋体" w:hAnsi="宋体" w:cs="宋体"/>
                <w:szCs w:val="21"/>
                <w:highlight w:val="none"/>
              </w:rPr>
            </w:pPr>
            <w:r>
              <w:rPr>
                <w:rFonts w:hint="eastAsia" w:ascii="宋体" w:hAnsi="宋体" w:cs="宋体"/>
                <w:szCs w:val="21"/>
                <w:highlight w:val="none"/>
              </w:rPr>
              <w:t>技术参数</w:t>
            </w:r>
          </w:p>
        </w:tc>
        <w:tc>
          <w:tcPr>
            <w:tcW w:w="6420" w:type="dxa"/>
            <w:shd w:val="clear" w:color="000000" w:fill="FFFFFF"/>
            <w:vAlign w:val="center"/>
          </w:tcPr>
          <w:p>
            <w:pPr>
              <w:widowControl/>
              <w:spacing w:line="440" w:lineRule="exact"/>
              <w:rPr>
                <w:rFonts w:ascii="宋体" w:hAnsi="宋体" w:cs="宋体"/>
                <w:szCs w:val="21"/>
                <w:highlight w:val="none"/>
              </w:rPr>
            </w:pPr>
            <w:r>
              <w:rPr>
                <w:rFonts w:hint="eastAsia" w:ascii="宋体" w:hAnsi="宋体" w:cs="宋体"/>
                <w:szCs w:val="21"/>
                <w:highlight w:val="none"/>
              </w:rPr>
              <w:t>根据各投标人所投货物技术性能、功能以及对招标文件各项技术要求的逐项响应承诺等方面情况由评委进行评分。所投货物技术性能、功能完全满足招标文件要求的得30分；标有“★”为关键技术参数指标，每有一项负偏离扣</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其他偏离扣</w:t>
            </w:r>
            <w:r>
              <w:rPr>
                <w:rFonts w:hint="eastAsia" w:ascii="宋体" w:hAnsi="宋体" w:cs="宋体"/>
                <w:szCs w:val="21"/>
                <w:highlight w:val="none"/>
                <w:lang w:val="en-US" w:eastAsia="zh-CN"/>
              </w:rPr>
              <w:t>0.5分，</w:t>
            </w:r>
            <w:r>
              <w:rPr>
                <w:rFonts w:hint="eastAsia" w:ascii="宋体" w:hAnsi="宋体" w:cs="宋体"/>
                <w:szCs w:val="21"/>
                <w:highlight w:val="none"/>
              </w:rPr>
              <w:t xml:space="preserve">扣完为止。（是否属于偏离指标由评审小组根据投标人提供的参数、相关证明文件的描述进行认定。）  </w:t>
            </w:r>
          </w:p>
        </w:tc>
        <w:tc>
          <w:tcPr>
            <w:tcW w:w="1202" w:type="dxa"/>
            <w:shd w:val="clear" w:color="000000" w:fill="FFFFFF"/>
            <w:vAlign w:val="center"/>
          </w:tcPr>
          <w:p>
            <w:pPr>
              <w:widowControl/>
              <w:spacing w:line="440" w:lineRule="exact"/>
              <w:jc w:val="center"/>
              <w:rPr>
                <w:rFonts w:ascii="宋体" w:hAnsi="宋体" w:cs="宋体"/>
                <w:szCs w:val="21"/>
              </w:rPr>
            </w:pPr>
            <w:r>
              <w:rPr>
                <w:rFonts w:hint="eastAsia" w:ascii="宋体" w:hAnsi="宋体" w:cs="宋体"/>
                <w:szCs w:val="21"/>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trPr>
        <w:tc>
          <w:tcPr>
            <w:tcW w:w="877" w:type="dxa"/>
            <w:shd w:val="clear" w:color="000000" w:fill="FFFFFF"/>
            <w:vAlign w:val="center"/>
          </w:tcPr>
          <w:p>
            <w:pPr>
              <w:jc w:val="center"/>
              <w:rPr>
                <w:rFonts w:ascii="宋体" w:hAnsi="宋体" w:cs="宋体"/>
                <w:szCs w:val="21"/>
              </w:rPr>
            </w:pPr>
            <w:r>
              <w:rPr>
                <w:rFonts w:hint="eastAsia" w:ascii="宋体" w:hAnsi="宋体" w:cs="宋体"/>
                <w:szCs w:val="21"/>
              </w:rPr>
              <w:t>3</w:t>
            </w:r>
          </w:p>
        </w:tc>
        <w:tc>
          <w:tcPr>
            <w:tcW w:w="1524" w:type="dxa"/>
            <w:shd w:val="clear" w:color="000000" w:fill="FFFFFF"/>
            <w:vAlign w:val="center"/>
          </w:tcPr>
          <w:p>
            <w:pPr>
              <w:widowControl/>
              <w:spacing w:line="440" w:lineRule="exact"/>
              <w:jc w:val="center"/>
              <w:rPr>
                <w:rFonts w:ascii="宋体" w:hAnsi="宋体" w:cs="宋体"/>
                <w:szCs w:val="21"/>
              </w:rPr>
            </w:pPr>
            <w:r>
              <w:rPr>
                <w:rFonts w:hint="eastAsia" w:ascii="宋体" w:hAnsi="宋体" w:cs="宋体"/>
                <w:szCs w:val="21"/>
              </w:rPr>
              <w:t>应急响应</w:t>
            </w:r>
          </w:p>
        </w:tc>
        <w:tc>
          <w:tcPr>
            <w:tcW w:w="6420" w:type="dxa"/>
            <w:shd w:val="clear" w:color="000000" w:fill="FFFFFF"/>
            <w:vAlign w:val="center"/>
          </w:tcPr>
          <w:p>
            <w:pPr>
              <w:widowControl/>
              <w:spacing w:line="440" w:lineRule="exact"/>
              <w:rPr>
                <w:rFonts w:ascii="宋体" w:hAnsi="宋体" w:cs="宋体"/>
                <w:szCs w:val="21"/>
              </w:rPr>
            </w:pPr>
            <w:r>
              <w:rPr>
                <w:rFonts w:hint="eastAsia" w:ascii="宋体" w:hAnsi="宋体" w:cs="宋体"/>
                <w:szCs w:val="21"/>
              </w:rPr>
              <w:t>根据投标人应急响应时间进行打分：</w:t>
            </w:r>
          </w:p>
          <w:p>
            <w:pPr>
              <w:widowControl/>
              <w:spacing w:line="440" w:lineRule="exact"/>
              <w:rPr>
                <w:rFonts w:ascii="宋体" w:hAnsi="宋体" w:cs="宋体"/>
                <w:szCs w:val="21"/>
                <w:lang w:val="zh-CN"/>
              </w:rPr>
            </w:pPr>
            <w:r>
              <w:rPr>
                <w:rFonts w:hint="eastAsia" w:ascii="宋体" w:hAnsi="宋体" w:cs="宋体"/>
                <w:szCs w:val="21"/>
              </w:rPr>
              <w:t>①在接到采购人报修通知(电话、电传等)</w:t>
            </w:r>
            <w:r>
              <w:rPr>
                <w:rFonts w:hint="eastAsia" w:ascii="宋体" w:hAnsi="宋体" w:cs="宋体"/>
                <w:szCs w:val="21"/>
                <w:lang w:val="en-US" w:eastAsia="zh-CN"/>
              </w:rPr>
              <w:t>1.5</w:t>
            </w:r>
            <w:r>
              <w:rPr>
                <w:rFonts w:hint="eastAsia" w:ascii="宋体" w:hAnsi="宋体" w:cs="宋体"/>
                <w:szCs w:val="21"/>
                <w:lang w:val="zh-CN"/>
              </w:rPr>
              <w:t>小时内到达服务现场的，得</w:t>
            </w:r>
            <w:r>
              <w:rPr>
                <w:rFonts w:hint="eastAsia" w:ascii="宋体" w:hAnsi="宋体" w:cs="宋体"/>
                <w:szCs w:val="21"/>
              </w:rPr>
              <w:t>3</w:t>
            </w:r>
            <w:r>
              <w:rPr>
                <w:rFonts w:hint="eastAsia" w:ascii="宋体" w:hAnsi="宋体" w:cs="宋体"/>
                <w:szCs w:val="21"/>
                <w:lang w:val="zh-CN"/>
              </w:rPr>
              <w:t>分；</w:t>
            </w:r>
          </w:p>
          <w:p>
            <w:pPr>
              <w:widowControl/>
              <w:spacing w:line="440" w:lineRule="exact"/>
              <w:rPr>
                <w:rFonts w:ascii="宋体" w:hAnsi="宋体" w:cs="宋体"/>
                <w:szCs w:val="21"/>
                <w:lang w:val="zh-CN"/>
              </w:rPr>
            </w:pPr>
            <w:r>
              <w:rPr>
                <w:rFonts w:hint="eastAsia" w:ascii="宋体" w:hAnsi="宋体" w:cs="宋体"/>
                <w:szCs w:val="21"/>
                <w:lang w:val="zh-CN"/>
              </w:rPr>
              <w:t>②响应时间</w:t>
            </w:r>
            <w:r>
              <w:rPr>
                <w:rFonts w:hint="eastAsia" w:ascii="宋体" w:hAnsi="宋体" w:cs="宋体"/>
                <w:szCs w:val="21"/>
                <w:lang w:val="en-US" w:eastAsia="zh-CN"/>
              </w:rPr>
              <w:t>3</w:t>
            </w:r>
            <w:r>
              <w:rPr>
                <w:rFonts w:hint="eastAsia" w:ascii="宋体" w:hAnsi="宋体" w:cs="宋体"/>
                <w:szCs w:val="21"/>
                <w:lang w:val="zh-CN"/>
              </w:rPr>
              <w:t>小时内到达服务现场的，得</w:t>
            </w:r>
            <w:r>
              <w:rPr>
                <w:rFonts w:hint="eastAsia" w:ascii="宋体" w:hAnsi="宋体" w:cs="宋体"/>
                <w:szCs w:val="21"/>
              </w:rPr>
              <w:t>2</w:t>
            </w:r>
            <w:r>
              <w:rPr>
                <w:rFonts w:hint="eastAsia" w:ascii="宋体" w:hAnsi="宋体" w:cs="宋体"/>
                <w:szCs w:val="21"/>
                <w:lang w:val="zh-CN"/>
              </w:rPr>
              <w:t>分；</w:t>
            </w:r>
          </w:p>
          <w:p>
            <w:pPr>
              <w:widowControl/>
              <w:spacing w:line="440" w:lineRule="exact"/>
              <w:rPr>
                <w:rFonts w:ascii="宋体" w:hAnsi="宋体" w:cs="宋体"/>
                <w:szCs w:val="21"/>
                <w:lang w:val="zh-CN"/>
              </w:rPr>
            </w:pPr>
            <w:r>
              <w:rPr>
                <w:rFonts w:hint="eastAsia" w:ascii="宋体" w:hAnsi="宋体" w:cs="宋体"/>
                <w:szCs w:val="21"/>
                <w:lang w:val="zh-CN"/>
              </w:rPr>
              <w:t>③响应时间</w:t>
            </w:r>
            <w:r>
              <w:rPr>
                <w:rFonts w:hint="eastAsia" w:ascii="宋体" w:hAnsi="宋体" w:cs="宋体"/>
                <w:szCs w:val="21"/>
              </w:rPr>
              <w:t>12</w:t>
            </w:r>
            <w:r>
              <w:rPr>
                <w:rFonts w:hint="eastAsia" w:ascii="宋体" w:hAnsi="宋体" w:cs="宋体"/>
                <w:szCs w:val="21"/>
                <w:lang w:val="zh-CN"/>
              </w:rPr>
              <w:t>小时内到达服务现场的，得</w:t>
            </w:r>
            <w:r>
              <w:rPr>
                <w:rFonts w:hint="eastAsia" w:ascii="宋体" w:hAnsi="宋体" w:cs="宋体"/>
                <w:szCs w:val="21"/>
              </w:rPr>
              <w:t>1</w:t>
            </w:r>
            <w:r>
              <w:rPr>
                <w:rFonts w:hint="eastAsia" w:ascii="宋体" w:hAnsi="宋体" w:cs="宋体"/>
                <w:szCs w:val="21"/>
                <w:lang w:val="zh-CN"/>
              </w:rPr>
              <w:t>分；</w:t>
            </w:r>
          </w:p>
          <w:p>
            <w:pPr>
              <w:widowControl/>
              <w:spacing w:line="440" w:lineRule="exact"/>
              <w:rPr>
                <w:rFonts w:ascii="宋体" w:hAnsi="宋体" w:cs="宋体"/>
                <w:szCs w:val="21"/>
                <w:lang w:val="zh-CN"/>
              </w:rPr>
            </w:pPr>
            <w:r>
              <w:rPr>
                <w:rFonts w:hint="eastAsia" w:ascii="宋体" w:hAnsi="宋体" w:cs="宋体"/>
                <w:szCs w:val="21"/>
                <w:lang w:val="zh-CN"/>
              </w:rPr>
              <w:t>④响应时间超过</w:t>
            </w:r>
            <w:r>
              <w:rPr>
                <w:rFonts w:hint="eastAsia" w:ascii="宋体" w:hAnsi="宋体" w:cs="宋体"/>
                <w:szCs w:val="21"/>
              </w:rPr>
              <w:t>12</w:t>
            </w:r>
            <w:r>
              <w:rPr>
                <w:rFonts w:hint="eastAsia" w:ascii="宋体" w:hAnsi="宋体" w:cs="宋体"/>
                <w:szCs w:val="21"/>
                <w:lang w:val="zh-CN"/>
              </w:rPr>
              <w:t>小时内到达服务现场的，不得分。</w:t>
            </w:r>
          </w:p>
          <w:p>
            <w:pPr>
              <w:widowControl/>
              <w:spacing w:line="440" w:lineRule="exact"/>
              <w:rPr>
                <w:rFonts w:ascii="宋体" w:hAnsi="宋体" w:cs="宋体"/>
                <w:szCs w:val="21"/>
              </w:rPr>
            </w:pPr>
            <w:r>
              <w:rPr>
                <w:rFonts w:hint="eastAsia" w:ascii="宋体" w:hAnsi="宋体" w:cs="宋体"/>
                <w:szCs w:val="21"/>
              </w:rPr>
              <w:t>提供相关证明资料和承诺函（格式自似），未提供或提供不全不得分。</w:t>
            </w:r>
          </w:p>
        </w:tc>
        <w:tc>
          <w:tcPr>
            <w:tcW w:w="1202" w:type="dxa"/>
            <w:shd w:val="clear" w:color="000000" w:fill="FFFFFF"/>
            <w:vAlign w:val="center"/>
          </w:tcPr>
          <w:p>
            <w:pPr>
              <w:widowControl/>
              <w:spacing w:line="440" w:lineRule="exact"/>
              <w:jc w:val="center"/>
              <w:rPr>
                <w:rFonts w:ascii="宋体" w:hAnsi="宋体" w:cs="宋体"/>
                <w:szCs w:val="21"/>
              </w:rPr>
            </w:pPr>
            <w:r>
              <w:rPr>
                <w:rFonts w:hint="eastAsia" w:ascii="宋体" w:hAnsi="宋体" w:cs="宋体"/>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77" w:type="dxa"/>
            <w:shd w:val="clear" w:color="000000" w:fill="FFFFFF"/>
            <w:vAlign w:val="center"/>
          </w:tcPr>
          <w:p>
            <w:pPr>
              <w:jc w:val="center"/>
              <w:rPr>
                <w:rFonts w:ascii="宋体" w:hAnsi="宋体" w:cs="宋体"/>
                <w:szCs w:val="21"/>
              </w:rPr>
            </w:pPr>
            <w:r>
              <w:rPr>
                <w:rFonts w:hint="eastAsia" w:ascii="宋体" w:hAnsi="宋体" w:cs="宋体"/>
                <w:szCs w:val="21"/>
              </w:rPr>
              <w:t>4</w:t>
            </w:r>
          </w:p>
        </w:tc>
        <w:tc>
          <w:tcPr>
            <w:tcW w:w="1524" w:type="dxa"/>
            <w:shd w:val="clear" w:color="000000" w:fill="FFFFFF"/>
            <w:vAlign w:val="center"/>
          </w:tcPr>
          <w:p>
            <w:pPr>
              <w:widowControl/>
              <w:spacing w:line="440" w:lineRule="exact"/>
              <w:jc w:val="center"/>
              <w:rPr>
                <w:rFonts w:ascii="宋体" w:hAnsi="宋体" w:cs="宋体"/>
                <w:szCs w:val="21"/>
              </w:rPr>
            </w:pPr>
            <w:r>
              <w:rPr>
                <w:rFonts w:hint="eastAsia" w:ascii="宋体" w:hAnsi="宋体" w:cs="宋体"/>
                <w:szCs w:val="21"/>
              </w:rPr>
              <w:t>供货配送方案</w:t>
            </w:r>
          </w:p>
        </w:tc>
        <w:tc>
          <w:tcPr>
            <w:tcW w:w="6420" w:type="dxa"/>
            <w:shd w:val="clear" w:color="000000" w:fill="FFFFFF"/>
            <w:vAlign w:val="center"/>
          </w:tcPr>
          <w:p>
            <w:pPr>
              <w:widowControl/>
              <w:spacing w:line="440" w:lineRule="exact"/>
              <w:rPr>
                <w:rFonts w:ascii="宋体" w:hAnsi="宋体" w:cs="宋体"/>
                <w:szCs w:val="21"/>
              </w:rPr>
            </w:pPr>
            <w:r>
              <w:rPr>
                <w:rFonts w:hint="eastAsia" w:ascii="宋体" w:hAnsi="宋体" w:cs="宋体"/>
                <w:szCs w:val="21"/>
              </w:rPr>
              <w:t>评委根据投标人提供的投标文件，对其供货保障措施及配送方案（配送车辆情况、配送人员情况、配送保障等）进行评审。</w:t>
            </w:r>
          </w:p>
          <w:p>
            <w:pPr>
              <w:widowControl/>
              <w:spacing w:line="440" w:lineRule="exact"/>
              <w:rPr>
                <w:rFonts w:ascii="宋体" w:hAnsi="宋体" w:cs="宋体"/>
                <w:szCs w:val="21"/>
              </w:rPr>
            </w:pPr>
            <w:r>
              <w:rPr>
                <w:rFonts w:hint="eastAsia" w:ascii="宋体" w:hAnsi="宋体" w:cs="宋体"/>
                <w:szCs w:val="21"/>
              </w:rPr>
              <w:t>①方案合理、科学、可操作性强的得4</w:t>
            </w:r>
            <w:r>
              <w:rPr>
                <w:rFonts w:hint="eastAsia" w:ascii="宋体" w:hAnsi="宋体" w:cs="宋体"/>
                <w:szCs w:val="21"/>
                <w:lang w:val="zh-CN"/>
              </w:rPr>
              <w:t>.1-</w:t>
            </w:r>
            <w:r>
              <w:rPr>
                <w:rFonts w:hint="eastAsia" w:ascii="宋体" w:hAnsi="宋体" w:cs="宋体"/>
                <w:szCs w:val="21"/>
              </w:rPr>
              <w:t>6分；</w:t>
            </w:r>
          </w:p>
          <w:p>
            <w:pPr>
              <w:widowControl/>
              <w:spacing w:line="440" w:lineRule="exact"/>
              <w:rPr>
                <w:rFonts w:ascii="宋体" w:hAnsi="宋体" w:cs="宋体"/>
                <w:szCs w:val="21"/>
              </w:rPr>
            </w:pPr>
            <w:r>
              <w:rPr>
                <w:rFonts w:hint="eastAsia" w:ascii="宋体" w:hAnsi="宋体" w:cs="宋体"/>
                <w:szCs w:val="21"/>
              </w:rPr>
              <w:t>②方案较合理、较科学、基本满足需求的得2.</w:t>
            </w:r>
            <w:r>
              <w:rPr>
                <w:rFonts w:hint="eastAsia" w:ascii="宋体" w:hAnsi="宋体" w:cs="宋体"/>
                <w:szCs w:val="21"/>
                <w:lang w:val="zh-CN"/>
              </w:rPr>
              <w:t>1-</w:t>
            </w:r>
            <w:r>
              <w:rPr>
                <w:rFonts w:hint="eastAsia" w:ascii="宋体" w:hAnsi="宋体" w:cs="宋体"/>
                <w:szCs w:val="21"/>
              </w:rPr>
              <w:t>4分；</w:t>
            </w:r>
          </w:p>
          <w:p>
            <w:pPr>
              <w:widowControl/>
              <w:spacing w:line="440" w:lineRule="exact"/>
              <w:rPr>
                <w:rFonts w:ascii="宋体" w:hAnsi="宋体" w:cs="宋体"/>
                <w:szCs w:val="21"/>
              </w:rPr>
            </w:pPr>
            <w:r>
              <w:rPr>
                <w:rFonts w:hint="eastAsia" w:ascii="宋体" w:hAnsi="宋体" w:cs="宋体"/>
                <w:szCs w:val="21"/>
              </w:rPr>
              <w:t>③方案一般的得1</w:t>
            </w:r>
            <w:r>
              <w:rPr>
                <w:rFonts w:hint="eastAsia" w:ascii="宋体" w:hAnsi="宋体" w:cs="宋体"/>
                <w:szCs w:val="21"/>
                <w:lang w:val="zh-CN"/>
              </w:rPr>
              <w:t>-</w:t>
            </w:r>
            <w:r>
              <w:rPr>
                <w:rFonts w:hint="eastAsia" w:ascii="宋体" w:hAnsi="宋体" w:cs="宋体"/>
                <w:szCs w:val="21"/>
              </w:rPr>
              <w:t>2分。</w:t>
            </w:r>
          </w:p>
          <w:p>
            <w:pPr>
              <w:pStyle w:val="10"/>
              <w:ind w:firstLine="210"/>
              <w:rPr>
                <w:rFonts w:ascii="宋体" w:hAnsi="宋体" w:cs="宋体"/>
                <w:szCs w:val="21"/>
              </w:rPr>
            </w:pPr>
            <w:r>
              <w:rPr>
                <w:rFonts w:hint="eastAsia" w:ascii="宋体" w:hAnsi="宋体" w:cs="宋体"/>
                <w:szCs w:val="21"/>
              </w:rPr>
              <w:t>本项未提供不得分</w:t>
            </w:r>
          </w:p>
        </w:tc>
        <w:tc>
          <w:tcPr>
            <w:tcW w:w="1202" w:type="dxa"/>
            <w:shd w:val="clear" w:color="000000" w:fill="FFFFFF"/>
            <w:vAlign w:val="center"/>
          </w:tcPr>
          <w:p>
            <w:pPr>
              <w:widowControl/>
              <w:spacing w:line="440" w:lineRule="exact"/>
              <w:jc w:val="center"/>
              <w:rPr>
                <w:rFonts w:ascii="宋体" w:hAnsi="宋体" w:cs="宋体"/>
                <w:szCs w:val="21"/>
              </w:rPr>
            </w:pPr>
            <w:r>
              <w:rPr>
                <w:rFonts w:hint="eastAsia" w:ascii="宋体" w:hAnsi="宋体" w:cs="宋体"/>
                <w:szCs w:val="21"/>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77" w:type="dxa"/>
            <w:shd w:val="clear" w:color="000000" w:fill="FFFFFF"/>
            <w:vAlign w:val="center"/>
          </w:tcPr>
          <w:p>
            <w:pPr>
              <w:jc w:val="center"/>
              <w:rPr>
                <w:rFonts w:ascii="宋体" w:hAnsi="宋体" w:cs="宋体"/>
                <w:szCs w:val="21"/>
              </w:rPr>
            </w:pPr>
            <w:r>
              <w:rPr>
                <w:rFonts w:hint="eastAsia" w:ascii="宋体" w:hAnsi="宋体" w:cs="宋体"/>
                <w:szCs w:val="21"/>
              </w:rPr>
              <w:t>5</w:t>
            </w:r>
          </w:p>
        </w:tc>
        <w:tc>
          <w:tcPr>
            <w:tcW w:w="1524" w:type="dxa"/>
            <w:shd w:val="clear" w:color="000000" w:fill="FFFFFF"/>
            <w:vAlign w:val="center"/>
          </w:tcPr>
          <w:p>
            <w:pPr>
              <w:widowControl/>
              <w:spacing w:line="440" w:lineRule="exact"/>
              <w:jc w:val="center"/>
              <w:rPr>
                <w:rFonts w:ascii="宋体" w:hAnsi="宋体" w:cs="宋体"/>
                <w:szCs w:val="21"/>
              </w:rPr>
            </w:pPr>
            <w:r>
              <w:rPr>
                <w:rFonts w:hint="eastAsia" w:ascii="宋体" w:hAnsi="宋体" w:cs="宋体"/>
                <w:szCs w:val="21"/>
              </w:rPr>
              <w:t>质量保障方案</w:t>
            </w:r>
          </w:p>
        </w:tc>
        <w:tc>
          <w:tcPr>
            <w:tcW w:w="6420" w:type="dxa"/>
            <w:shd w:val="clear" w:color="000000" w:fill="FFFFFF"/>
            <w:vAlign w:val="center"/>
          </w:tcPr>
          <w:p>
            <w:pPr>
              <w:widowControl/>
              <w:spacing w:line="440" w:lineRule="exact"/>
              <w:rPr>
                <w:rFonts w:ascii="宋体" w:hAnsi="宋体" w:cs="宋体"/>
                <w:szCs w:val="21"/>
              </w:rPr>
            </w:pPr>
            <w:r>
              <w:rPr>
                <w:rFonts w:hint="eastAsia" w:ascii="宋体" w:hAnsi="宋体" w:cs="宋体"/>
                <w:szCs w:val="21"/>
              </w:rPr>
              <w:t>评委根据投标人提供的投标文件，对其针对本项目的质量保证方案进行评审。</w:t>
            </w:r>
          </w:p>
          <w:p>
            <w:pPr>
              <w:widowControl/>
              <w:spacing w:line="440" w:lineRule="exact"/>
              <w:rPr>
                <w:rFonts w:ascii="宋体" w:hAnsi="宋体" w:cs="宋体"/>
                <w:szCs w:val="21"/>
              </w:rPr>
            </w:pPr>
            <w:r>
              <w:rPr>
                <w:rFonts w:hint="eastAsia" w:ascii="宋体" w:hAnsi="宋体" w:cs="宋体"/>
                <w:szCs w:val="21"/>
              </w:rPr>
              <w:t>①方案合理性、可操作性等成熟、完善的得7</w:t>
            </w:r>
            <w:r>
              <w:rPr>
                <w:rFonts w:hint="eastAsia" w:ascii="宋体" w:hAnsi="宋体" w:cs="宋体"/>
                <w:szCs w:val="21"/>
                <w:lang w:val="zh-CN"/>
              </w:rPr>
              <w:t>.1-</w:t>
            </w:r>
            <w:r>
              <w:rPr>
                <w:rFonts w:hint="eastAsia" w:ascii="宋体" w:hAnsi="宋体" w:cs="宋体"/>
                <w:szCs w:val="21"/>
              </w:rPr>
              <w:t>10分；</w:t>
            </w:r>
          </w:p>
          <w:p>
            <w:pPr>
              <w:widowControl/>
              <w:spacing w:line="440" w:lineRule="exact"/>
              <w:rPr>
                <w:rFonts w:ascii="宋体" w:hAnsi="宋体" w:cs="宋体"/>
                <w:szCs w:val="21"/>
              </w:rPr>
            </w:pPr>
            <w:r>
              <w:rPr>
                <w:rFonts w:hint="eastAsia" w:ascii="宋体" w:hAnsi="宋体" w:cs="宋体"/>
                <w:szCs w:val="21"/>
              </w:rPr>
              <w:t>②方案基本满足的得3.</w:t>
            </w:r>
            <w:r>
              <w:rPr>
                <w:rFonts w:hint="eastAsia" w:ascii="宋体" w:hAnsi="宋体" w:cs="宋体"/>
                <w:szCs w:val="21"/>
                <w:lang w:val="zh-CN"/>
              </w:rPr>
              <w:t>1-</w:t>
            </w:r>
            <w:r>
              <w:rPr>
                <w:rFonts w:hint="eastAsia" w:ascii="宋体" w:hAnsi="宋体" w:cs="宋体"/>
                <w:szCs w:val="21"/>
              </w:rPr>
              <w:t>7分；</w:t>
            </w:r>
          </w:p>
          <w:p>
            <w:pPr>
              <w:widowControl/>
              <w:spacing w:line="440" w:lineRule="exact"/>
              <w:rPr>
                <w:rFonts w:ascii="宋体" w:hAnsi="宋体" w:cs="宋体"/>
                <w:szCs w:val="21"/>
              </w:rPr>
            </w:pPr>
            <w:r>
              <w:rPr>
                <w:rFonts w:hint="eastAsia" w:ascii="宋体" w:hAnsi="宋体" w:cs="宋体"/>
                <w:szCs w:val="21"/>
              </w:rPr>
              <w:t>③方案一般的得1</w:t>
            </w:r>
            <w:r>
              <w:rPr>
                <w:rFonts w:hint="eastAsia" w:ascii="宋体" w:hAnsi="宋体" w:cs="宋体"/>
                <w:szCs w:val="21"/>
                <w:lang w:val="zh-CN"/>
              </w:rPr>
              <w:t>-</w:t>
            </w:r>
            <w:r>
              <w:rPr>
                <w:rFonts w:hint="eastAsia" w:ascii="宋体" w:hAnsi="宋体" w:cs="宋体"/>
                <w:szCs w:val="21"/>
              </w:rPr>
              <w:t>3分。</w:t>
            </w:r>
          </w:p>
          <w:p>
            <w:pPr>
              <w:pStyle w:val="10"/>
              <w:ind w:firstLine="210"/>
              <w:rPr>
                <w:rFonts w:ascii="宋体" w:hAnsi="宋体" w:cs="宋体"/>
                <w:szCs w:val="21"/>
              </w:rPr>
            </w:pPr>
            <w:r>
              <w:rPr>
                <w:rFonts w:hint="eastAsia" w:ascii="宋体" w:hAnsi="宋体" w:cs="宋体"/>
                <w:szCs w:val="21"/>
              </w:rPr>
              <w:t>本项未提供不得分</w:t>
            </w:r>
          </w:p>
        </w:tc>
        <w:tc>
          <w:tcPr>
            <w:tcW w:w="1202" w:type="dxa"/>
            <w:shd w:val="clear" w:color="000000" w:fill="FFFFFF"/>
            <w:vAlign w:val="center"/>
          </w:tcPr>
          <w:p>
            <w:pPr>
              <w:widowControl/>
              <w:spacing w:line="440" w:lineRule="exact"/>
              <w:jc w:val="center"/>
              <w:rPr>
                <w:rFonts w:ascii="宋体" w:hAnsi="宋体" w:cs="宋体"/>
                <w:szCs w:val="21"/>
              </w:rPr>
            </w:pPr>
            <w:r>
              <w:rPr>
                <w:rFonts w:hint="eastAsia" w:ascii="宋体" w:hAnsi="宋体" w:cs="宋体"/>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77" w:type="dxa"/>
            <w:vMerge w:val="restart"/>
            <w:shd w:val="clear" w:color="000000" w:fill="FFFFFF"/>
            <w:vAlign w:val="center"/>
          </w:tcPr>
          <w:p>
            <w:pPr>
              <w:jc w:val="center"/>
              <w:rPr>
                <w:rFonts w:ascii="宋体" w:hAnsi="宋体" w:cs="宋体"/>
                <w:szCs w:val="21"/>
              </w:rPr>
            </w:pPr>
            <w:r>
              <w:rPr>
                <w:rFonts w:hint="eastAsia" w:ascii="宋体" w:hAnsi="宋体" w:cs="宋体"/>
                <w:szCs w:val="21"/>
              </w:rPr>
              <w:t>6</w:t>
            </w:r>
          </w:p>
        </w:tc>
        <w:tc>
          <w:tcPr>
            <w:tcW w:w="1524" w:type="dxa"/>
            <w:vMerge w:val="restart"/>
            <w:shd w:val="clear" w:color="000000" w:fill="FFFFFF"/>
            <w:vAlign w:val="center"/>
          </w:tcPr>
          <w:p>
            <w:pPr>
              <w:widowControl/>
              <w:spacing w:line="440" w:lineRule="exact"/>
              <w:jc w:val="center"/>
              <w:rPr>
                <w:rFonts w:ascii="宋体" w:hAnsi="宋体" w:cs="宋体"/>
                <w:szCs w:val="21"/>
              </w:rPr>
            </w:pPr>
            <w:r>
              <w:rPr>
                <w:rFonts w:hint="eastAsia" w:ascii="宋体" w:hAnsi="宋体" w:cs="宋体"/>
                <w:szCs w:val="21"/>
              </w:rPr>
              <w:t>售后服务</w:t>
            </w:r>
          </w:p>
        </w:tc>
        <w:tc>
          <w:tcPr>
            <w:tcW w:w="6420" w:type="dxa"/>
            <w:shd w:val="clear" w:color="000000" w:fill="FFFFFF"/>
            <w:vAlign w:val="center"/>
          </w:tcPr>
          <w:p>
            <w:pPr>
              <w:widowControl/>
              <w:spacing w:line="440" w:lineRule="exact"/>
              <w:rPr>
                <w:rFonts w:ascii="宋体" w:hAnsi="宋体" w:cs="宋体"/>
                <w:szCs w:val="21"/>
              </w:rPr>
            </w:pPr>
            <w:r>
              <w:rPr>
                <w:rFonts w:hint="eastAsia" w:ascii="宋体" w:hAnsi="宋体" w:cs="宋体"/>
                <w:szCs w:val="21"/>
              </w:rPr>
              <w:t>评委根据投标人提供的投标文件，对其针对本项目制定的售后服务方案、退换货处理方案进行评审。</w:t>
            </w:r>
          </w:p>
          <w:p>
            <w:pPr>
              <w:widowControl/>
              <w:spacing w:line="440" w:lineRule="exact"/>
              <w:rPr>
                <w:rFonts w:ascii="宋体" w:hAnsi="宋体" w:cs="宋体"/>
                <w:szCs w:val="21"/>
              </w:rPr>
            </w:pPr>
            <w:r>
              <w:rPr>
                <w:rFonts w:hint="eastAsia" w:ascii="宋体" w:hAnsi="宋体" w:cs="宋体"/>
                <w:szCs w:val="21"/>
              </w:rPr>
              <w:t>①方案合理、科学、可操作性强的得4</w:t>
            </w:r>
            <w:r>
              <w:rPr>
                <w:rFonts w:hint="eastAsia" w:ascii="宋体" w:hAnsi="宋体" w:cs="宋体"/>
                <w:szCs w:val="21"/>
                <w:lang w:val="zh-CN"/>
              </w:rPr>
              <w:t>.1-</w:t>
            </w:r>
            <w:r>
              <w:rPr>
                <w:rFonts w:hint="eastAsia" w:ascii="宋体" w:hAnsi="宋体" w:cs="宋体"/>
                <w:szCs w:val="21"/>
              </w:rPr>
              <w:t>6分；</w:t>
            </w:r>
          </w:p>
          <w:p>
            <w:pPr>
              <w:widowControl/>
              <w:spacing w:line="440" w:lineRule="exact"/>
              <w:rPr>
                <w:rFonts w:ascii="宋体" w:hAnsi="宋体" w:cs="宋体"/>
                <w:szCs w:val="21"/>
              </w:rPr>
            </w:pPr>
            <w:r>
              <w:rPr>
                <w:rFonts w:hint="eastAsia" w:ascii="宋体" w:hAnsi="宋体" w:cs="宋体"/>
                <w:szCs w:val="21"/>
              </w:rPr>
              <w:t>②方案较合理、较科学、基本满足需求的得2.</w:t>
            </w:r>
            <w:r>
              <w:rPr>
                <w:rFonts w:hint="eastAsia" w:ascii="宋体" w:hAnsi="宋体" w:cs="宋体"/>
                <w:szCs w:val="21"/>
                <w:lang w:val="zh-CN"/>
              </w:rPr>
              <w:t>1-</w:t>
            </w:r>
            <w:r>
              <w:rPr>
                <w:rFonts w:hint="eastAsia" w:ascii="宋体" w:hAnsi="宋体" w:cs="宋体"/>
                <w:szCs w:val="21"/>
              </w:rPr>
              <w:t>4分；</w:t>
            </w:r>
          </w:p>
          <w:p>
            <w:pPr>
              <w:widowControl/>
              <w:spacing w:line="440" w:lineRule="exact"/>
              <w:rPr>
                <w:rFonts w:ascii="宋体" w:hAnsi="宋体" w:cs="宋体"/>
                <w:szCs w:val="21"/>
              </w:rPr>
            </w:pPr>
            <w:r>
              <w:rPr>
                <w:rFonts w:hint="eastAsia" w:ascii="宋体" w:hAnsi="宋体" w:cs="宋体"/>
                <w:szCs w:val="21"/>
              </w:rPr>
              <w:t>③方案一般的得1</w:t>
            </w:r>
            <w:r>
              <w:rPr>
                <w:rFonts w:hint="eastAsia" w:ascii="宋体" w:hAnsi="宋体" w:cs="宋体"/>
                <w:szCs w:val="21"/>
                <w:lang w:val="zh-CN"/>
              </w:rPr>
              <w:t>-</w:t>
            </w:r>
            <w:r>
              <w:rPr>
                <w:rFonts w:hint="eastAsia" w:ascii="宋体" w:hAnsi="宋体" w:cs="宋体"/>
                <w:szCs w:val="21"/>
              </w:rPr>
              <w:t>2分。</w:t>
            </w:r>
          </w:p>
          <w:p>
            <w:pPr>
              <w:pStyle w:val="10"/>
              <w:ind w:firstLine="210"/>
              <w:rPr>
                <w:rFonts w:ascii="宋体" w:hAnsi="宋体" w:cs="宋体"/>
                <w:szCs w:val="21"/>
              </w:rPr>
            </w:pPr>
            <w:r>
              <w:rPr>
                <w:rFonts w:hint="eastAsia" w:ascii="宋体" w:hAnsi="宋体" w:cs="宋体"/>
                <w:szCs w:val="21"/>
              </w:rPr>
              <w:t>本项未提供不得分</w:t>
            </w:r>
          </w:p>
        </w:tc>
        <w:tc>
          <w:tcPr>
            <w:tcW w:w="1202" w:type="dxa"/>
            <w:shd w:val="clear" w:color="000000" w:fill="FFFFFF"/>
            <w:vAlign w:val="center"/>
          </w:tcPr>
          <w:p>
            <w:pPr>
              <w:widowControl/>
              <w:spacing w:line="440" w:lineRule="exact"/>
              <w:jc w:val="center"/>
              <w:rPr>
                <w:rFonts w:ascii="宋体" w:hAnsi="宋体" w:cs="宋体"/>
                <w:szCs w:val="21"/>
              </w:rPr>
            </w:pPr>
            <w:r>
              <w:rPr>
                <w:rFonts w:hint="eastAsia" w:ascii="宋体" w:hAnsi="宋体" w:cs="宋体"/>
                <w:szCs w:val="21"/>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77" w:type="dxa"/>
            <w:vMerge w:val="continue"/>
            <w:shd w:val="clear" w:color="000000" w:fill="FFFFFF"/>
            <w:vAlign w:val="center"/>
          </w:tcPr>
          <w:p>
            <w:pPr>
              <w:jc w:val="center"/>
              <w:rPr>
                <w:rFonts w:ascii="宋体" w:hAnsi="宋体" w:cs="宋体"/>
                <w:szCs w:val="21"/>
              </w:rPr>
            </w:pPr>
          </w:p>
        </w:tc>
        <w:tc>
          <w:tcPr>
            <w:tcW w:w="1524" w:type="dxa"/>
            <w:vMerge w:val="continue"/>
            <w:shd w:val="clear" w:color="000000" w:fill="FFFFFF"/>
            <w:vAlign w:val="center"/>
          </w:tcPr>
          <w:p>
            <w:pPr>
              <w:widowControl/>
              <w:spacing w:line="440" w:lineRule="exact"/>
              <w:ind w:firstLine="420" w:firstLineChars="200"/>
              <w:jc w:val="center"/>
              <w:rPr>
                <w:rFonts w:ascii="宋体" w:hAnsi="宋体" w:cs="宋体"/>
                <w:szCs w:val="21"/>
              </w:rPr>
            </w:pPr>
          </w:p>
        </w:tc>
        <w:tc>
          <w:tcPr>
            <w:tcW w:w="6420" w:type="dxa"/>
            <w:shd w:val="clear" w:color="000000" w:fill="FFFFFF"/>
            <w:vAlign w:val="center"/>
          </w:tcPr>
          <w:p>
            <w:pPr>
              <w:widowControl/>
              <w:spacing w:line="440" w:lineRule="exact"/>
              <w:rPr>
                <w:rFonts w:ascii="宋体" w:hAnsi="宋体" w:cs="宋体"/>
                <w:szCs w:val="21"/>
              </w:rPr>
            </w:pPr>
            <w:r>
              <w:rPr>
                <w:rFonts w:hint="eastAsia" w:ascii="宋体" w:hAnsi="宋体" w:cs="宋体"/>
                <w:szCs w:val="21"/>
              </w:rPr>
              <w:t>评委根据投标人提供的售后服务便捷性、维修时间及质保期到期后的相应优惠措施等进行评审。</w:t>
            </w:r>
          </w:p>
          <w:p>
            <w:pPr>
              <w:widowControl/>
              <w:spacing w:line="440" w:lineRule="exact"/>
              <w:rPr>
                <w:rFonts w:ascii="宋体" w:hAnsi="宋体" w:cs="宋体"/>
                <w:szCs w:val="21"/>
              </w:rPr>
            </w:pPr>
            <w:r>
              <w:rPr>
                <w:rFonts w:hint="eastAsia" w:ascii="宋体" w:hAnsi="宋体" w:cs="宋体"/>
                <w:szCs w:val="21"/>
              </w:rPr>
              <w:t>①方案合理、科学、可行的得2.1-3分；</w:t>
            </w:r>
          </w:p>
          <w:p>
            <w:pPr>
              <w:widowControl/>
              <w:spacing w:line="440" w:lineRule="exact"/>
              <w:rPr>
                <w:rFonts w:ascii="宋体" w:hAnsi="宋体" w:cs="宋体"/>
                <w:szCs w:val="21"/>
              </w:rPr>
            </w:pPr>
            <w:r>
              <w:rPr>
                <w:rFonts w:hint="eastAsia" w:ascii="宋体" w:hAnsi="宋体" w:cs="宋体"/>
                <w:szCs w:val="21"/>
              </w:rPr>
              <w:t>②方案较合理、较科学、基本满足需求的得1.1-2分；</w:t>
            </w:r>
          </w:p>
          <w:p>
            <w:pPr>
              <w:widowControl/>
              <w:spacing w:line="440" w:lineRule="exact"/>
              <w:rPr>
                <w:rFonts w:ascii="宋体" w:hAnsi="宋体" w:cs="宋体"/>
                <w:szCs w:val="21"/>
              </w:rPr>
            </w:pPr>
            <w:r>
              <w:rPr>
                <w:rFonts w:hint="eastAsia" w:ascii="宋体" w:hAnsi="宋体" w:cs="宋体"/>
                <w:szCs w:val="21"/>
              </w:rPr>
              <w:t>③方案一般的得0.1-1分。</w:t>
            </w:r>
          </w:p>
          <w:p>
            <w:pPr>
              <w:pStyle w:val="10"/>
              <w:ind w:firstLine="210"/>
              <w:rPr>
                <w:rFonts w:ascii="宋体" w:hAnsi="宋体" w:cs="宋体"/>
                <w:szCs w:val="21"/>
              </w:rPr>
            </w:pPr>
            <w:r>
              <w:rPr>
                <w:rFonts w:hint="eastAsia" w:ascii="宋体" w:hAnsi="宋体" w:cs="宋体"/>
                <w:szCs w:val="21"/>
              </w:rPr>
              <w:t>本项未提供不得分</w:t>
            </w:r>
          </w:p>
        </w:tc>
        <w:tc>
          <w:tcPr>
            <w:tcW w:w="1202" w:type="dxa"/>
            <w:shd w:val="clear" w:color="000000" w:fill="FFFFFF"/>
            <w:vAlign w:val="center"/>
          </w:tcPr>
          <w:p>
            <w:pPr>
              <w:widowControl/>
              <w:spacing w:line="440" w:lineRule="exact"/>
              <w:jc w:val="center"/>
              <w:rPr>
                <w:rFonts w:ascii="宋体" w:hAnsi="宋体" w:cs="宋体"/>
                <w:szCs w:val="21"/>
              </w:rPr>
            </w:pPr>
            <w:r>
              <w:rPr>
                <w:rFonts w:hint="eastAsia" w:ascii="宋体" w:hAnsi="宋体" w:cs="宋体"/>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77" w:type="dxa"/>
            <w:shd w:val="clear" w:color="000000" w:fill="FFFFFF"/>
            <w:vAlign w:val="center"/>
          </w:tcPr>
          <w:p>
            <w:pPr>
              <w:jc w:val="center"/>
              <w:rPr>
                <w:rFonts w:ascii="宋体" w:hAnsi="宋体" w:cs="宋体"/>
                <w:szCs w:val="21"/>
              </w:rPr>
            </w:pPr>
            <w:r>
              <w:rPr>
                <w:rFonts w:hint="eastAsia" w:ascii="宋体" w:hAnsi="宋体" w:cs="宋体"/>
                <w:szCs w:val="21"/>
              </w:rPr>
              <w:t>7</w:t>
            </w:r>
          </w:p>
        </w:tc>
        <w:tc>
          <w:tcPr>
            <w:tcW w:w="1524" w:type="dxa"/>
            <w:shd w:val="clear" w:color="000000" w:fill="FFFFFF"/>
            <w:vAlign w:val="center"/>
          </w:tcPr>
          <w:p>
            <w:pPr>
              <w:widowControl/>
              <w:spacing w:line="440" w:lineRule="exact"/>
              <w:jc w:val="center"/>
              <w:rPr>
                <w:rFonts w:ascii="宋体" w:hAnsi="宋体" w:cs="宋体"/>
                <w:szCs w:val="21"/>
              </w:rPr>
            </w:pPr>
            <w:r>
              <w:rPr>
                <w:rFonts w:hint="eastAsia" w:ascii="宋体" w:hAnsi="宋体" w:cs="宋体"/>
                <w:szCs w:val="21"/>
              </w:rPr>
              <w:t>合理化建议</w:t>
            </w:r>
          </w:p>
        </w:tc>
        <w:tc>
          <w:tcPr>
            <w:tcW w:w="6420" w:type="dxa"/>
            <w:shd w:val="clear" w:color="000000" w:fill="FFFFFF"/>
            <w:vAlign w:val="center"/>
          </w:tcPr>
          <w:p>
            <w:pPr>
              <w:widowControl/>
              <w:spacing w:line="440" w:lineRule="exact"/>
              <w:rPr>
                <w:rFonts w:ascii="宋体" w:hAnsi="宋体" w:cs="宋体"/>
                <w:szCs w:val="21"/>
              </w:rPr>
            </w:pPr>
            <w:r>
              <w:rPr>
                <w:rFonts w:hint="eastAsia" w:ascii="宋体" w:hAnsi="宋体" w:cs="宋体"/>
                <w:szCs w:val="21"/>
              </w:rPr>
              <w:t>根据供应商依据本项目服务要求、实际作业需求提出的合理化建议，建议内容具有合理性、实用性等情况由评审专家综合比较打分：</w:t>
            </w:r>
          </w:p>
          <w:p>
            <w:pPr>
              <w:widowControl/>
              <w:spacing w:line="440" w:lineRule="exact"/>
              <w:rPr>
                <w:rFonts w:ascii="宋体" w:hAnsi="宋体" w:cs="宋体"/>
                <w:szCs w:val="21"/>
              </w:rPr>
            </w:pPr>
            <w:r>
              <w:rPr>
                <w:rFonts w:hint="eastAsia" w:ascii="宋体" w:hAnsi="宋体" w:cs="宋体"/>
                <w:szCs w:val="21"/>
              </w:rPr>
              <w:t>①方案科学、合理、可行的得3.1-5分；</w:t>
            </w:r>
          </w:p>
          <w:p>
            <w:pPr>
              <w:widowControl/>
              <w:spacing w:line="440" w:lineRule="exact"/>
              <w:rPr>
                <w:rFonts w:ascii="宋体" w:hAnsi="宋体" w:cs="宋体"/>
                <w:szCs w:val="21"/>
              </w:rPr>
            </w:pPr>
            <w:r>
              <w:rPr>
                <w:rFonts w:hint="eastAsia" w:ascii="宋体" w:hAnsi="宋体" w:cs="宋体"/>
                <w:szCs w:val="21"/>
              </w:rPr>
              <w:t>②方案较科学、较合理的得1.1-3分；</w:t>
            </w:r>
          </w:p>
          <w:p>
            <w:pPr>
              <w:widowControl/>
              <w:spacing w:line="440" w:lineRule="exact"/>
              <w:rPr>
                <w:rFonts w:ascii="宋体" w:hAnsi="宋体" w:cs="宋体"/>
                <w:szCs w:val="21"/>
              </w:rPr>
            </w:pPr>
            <w:r>
              <w:rPr>
                <w:rFonts w:hint="eastAsia" w:ascii="宋体" w:hAnsi="宋体" w:cs="宋体"/>
                <w:szCs w:val="21"/>
              </w:rPr>
              <w:t>③方案一般的得0.1-1分；</w:t>
            </w:r>
          </w:p>
          <w:p>
            <w:pPr>
              <w:widowControl/>
              <w:spacing w:line="440" w:lineRule="exact"/>
              <w:rPr>
                <w:rFonts w:ascii="宋体" w:hAnsi="宋体" w:cs="宋体"/>
                <w:szCs w:val="21"/>
              </w:rPr>
            </w:pPr>
            <w:r>
              <w:rPr>
                <w:rFonts w:hint="eastAsia" w:ascii="宋体" w:hAnsi="宋体" w:cs="宋体"/>
                <w:szCs w:val="21"/>
              </w:rPr>
              <w:t>未提供或不具有针对性或不合理的不得分。</w:t>
            </w:r>
          </w:p>
        </w:tc>
        <w:tc>
          <w:tcPr>
            <w:tcW w:w="1202" w:type="dxa"/>
            <w:shd w:val="clear" w:color="000000" w:fill="FFFFFF"/>
            <w:vAlign w:val="center"/>
          </w:tcPr>
          <w:p>
            <w:pPr>
              <w:widowControl/>
              <w:spacing w:line="440" w:lineRule="exact"/>
              <w:jc w:val="center"/>
              <w:rPr>
                <w:rFonts w:ascii="宋体" w:hAnsi="宋体" w:cs="宋体"/>
                <w:szCs w:val="21"/>
              </w:rPr>
            </w:pPr>
            <w:r>
              <w:rPr>
                <w:rFonts w:hint="eastAsia" w:ascii="宋体" w:hAnsi="宋体" w:cs="宋体"/>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77" w:type="dxa"/>
            <w:shd w:val="clear" w:color="000000" w:fill="FFFFFF"/>
            <w:vAlign w:val="center"/>
          </w:tcPr>
          <w:p>
            <w:pPr>
              <w:jc w:val="center"/>
              <w:rPr>
                <w:rFonts w:ascii="宋体" w:hAnsi="宋体" w:cs="宋体"/>
                <w:szCs w:val="21"/>
              </w:rPr>
            </w:pPr>
            <w:r>
              <w:rPr>
                <w:rFonts w:hint="eastAsia" w:ascii="宋体" w:hAnsi="宋体" w:cs="宋体"/>
                <w:szCs w:val="21"/>
              </w:rPr>
              <w:t>8</w:t>
            </w:r>
          </w:p>
        </w:tc>
        <w:tc>
          <w:tcPr>
            <w:tcW w:w="1524" w:type="dxa"/>
            <w:shd w:val="clear" w:color="000000" w:fill="FFFFFF"/>
            <w:vAlign w:val="center"/>
          </w:tcPr>
          <w:p>
            <w:pPr>
              <w:widowControl/>
              <w:spacing w:line="440" w:lineRule="exact"/>
              <w:jc w:val="center"/>
              <w:rPr>
                <w:rFonts w:ascii="宋体" w:hAnsi="宋体" w:cs="宋体"/>
                <w:szCs w:val="21"/>
              </w:rPr>
            </w:pPr>
            <w:r>
              <w:rPr>
                <w:rFonts w:hint="eastAsia" w:ascii="宋体" w:hAnsi="宋体" w:cs="宋体"/>
                <w:szCs w:val="21"/>
              </w:rPr>
              <w:t>安装、验收方案</w:t>
            </w:r>
          </w:p>
        </w:tc>
        <w:tc>
          <w:tcPr>
            <w:tcW w:w="6420" w:type="dxa"/>
            <w:shd w:val="clear" w:color="000000" w:fill="FFFFFF"/>
            <w:vAlign w:val="center"/>
          </w:tcPr>
          <w:p>
            <w:pPr>
              <w:widowControl/>
              <w:spacing w:line="440" w:lineRule="exact"/>
              <w:rPr>
                <w:rFonts w:ascii="宋体" w:hAnsi="宋体" w:cs="宋体"/>
                <w:szCs w:val="21"/>
              </w:rPr>
            </w:pPr>
            <w:r>
              <w:rPr>
                <w:rFonts w:hint="eastAsia" w:ascii="宋体" w:hAnsi="宋体" w:cs="宋体"/>
                <w:szCs w:val="21"/>
              </w:rPr>
              <w:t>根据投标人提供出详细安装、调试、验收方案，各环节内容承诺的完整性、可行性、科学性，以及验收方案的合理性等情况由评审专家综合比较打分：</w:t>
            </w:r>
          </w:p>
          <w:p>
            <w:pPr>
              <w:widowControl/>
              <w:spacing w:line="440" w:lineRule="exact"/>
              <w:rPr>
                <w:rFonts w:ascii="宋体" w:hAnsi="宋体" w:cs="宋体"/>
                <w:szCs w:val="21"/>
              </w:rPr>
            </w:pPr>
            <w:r>
              <w:rPr>
                <w:rFonts w:hint="eastAsia" w:ascii="宋体" w:hAnsi="宋体" w:cs="宋体"/>
                <w:szCs w:val="21"/>
              </w:rPr>
              <w:t>①内容完整、先进、科学、可行的得3.1-5分；</w:t>
            </w:r>
          </w:p>
          <w:p>
            <w:pPr>
              <w:widowControl/>
              <w:spacing w:line="440" w:lineRule="exact"/>
              <w:rPr>
                <w:rFonts w:ascii="宋体" w:hAnsi="宋体" w:cs="宋体"/>
                <w:szCs w:val="21"/>
              </w:rPr>
            </w:pPr>
            <w:r>
              <w:rPr>
                <w:rFonts w:hint="eastAsia" w:ascii="宋体" w:hAnsi="宋体" w:cs="宋体"/>
                <w:szCs w:val="21"/>
              </w:rPr>
              <w:t>②较为完整、科学、合理的得1.1-3分；</w:t>
            </w:r>
          </w:p>
          <w:p>
            <w:pPr>
              <w:widowControl/>
              <w:spacing w:line="440" w:lineRule="exact"/>
              <w:rPr>
                <w:rFonts w:ascii="宋体" w:hAnsi="宋体" w:cs="宋体"/>
                <w:szCs w:val="21"/>
              </w:rPr>
            </w:pPr>
            <w:r>
              <w:rPr>
                <w:rFonts w:hint="eastAsia" w:ascii="宋体" w:hAnsi="宋体" w:cs="宋体"/>
                <w:szCs w:val="21"/>
              </w:rPr>
              <w:t>③方案不具有针对性或不合理的得0.1-1分。</w:t>
            </w:r>
          </w:p>
          <w:p>
            <w:pPr>
              <w:widowControl/>
              <w:spacing w:line="440" w:lineRule="exact"/>
              <w:rPr>
                <w:rFonts w:ascii="宋体" w:hAnsi="宋体" w:cs="宋体"/>
                <w:szCs w:val="21"/>
              </w:rPr>
            </w:pPr>
            <w:r>
              <w:rPr>
                <w:rFonts w:hint="eastAsia" w:ascii="宋体" w:hAnsi="宋体" w:cs="宋体"/>
                <w:szCs w:val="21"/>
              </w:rPr>
              <w:t>不符合项目需求或未提供不得分。</w:t>
            </w:r>
          </w:p>
        </w:tc>
        <w:tc>
          <w:tcPr>
            <w:tcW w:w="1202" w:type="dxa"/>
            <w:shd w:val="clear" w:color="000000" w:fill="FFFFFF"/>
            <w:vAlign w:val="center"/>
          </w:tcPr>
          <w:p>
            <w:pPr>
              <w:widowControl/>
              <w:spacing w:line="440" w:lineRule="exact"/>
              <w:jc w:val="center"/>
              <w:rPr>
                <w:rFonts w:ascii="宋体" w:hAnsi="宋体" w:cs="宋体"/>
                <w:szCs w:val="21"/>
              </w:rPr>
            </w:pPr>
            <w:r>
              <w:rPr>
                <w:rFonts w:hint="eastAsia" w:ascii="宋体" w:hAnsi="宋体" w:cs="宋体"/>
                <w:szCs w:val="21"/>
              </w:rPr>
              <w:t>0-5分</w:t>
            </w:r>
          </w:p>
        </w:tc>
      </w:tr>
    </w:tbl>
    <w:p>
      <w:pPr>
        <w:spacing w:line="360" w:lineRule="auto"/>
        <w:jc w:val="center"/>
        <w:outlineLvl w:val="0"/>
        <w:rPr>
          <w:rFonts w:ascii="宋体" w:hAnsi="宋体" w:cs="宋体"/>
          <w:b/>
          <w:szCs w:val="21"/>
        </w:rPr>
      </w:pPr>
    </w:p>
    <w:p>
      <w:pPr>
        <w:spacing w:line="360" w:lineRule="auto"/>
        <w:jc w:val="center"/>
        <w:outlineLvl w:val="0"/>
        <w:rPr>
          <w:rFonts w:ascii="宋体" w:hAnsi="宋体" w:cs="宋体"/>
          <w:b/>
          <w:szCs w:val="21"/>
        </w:rPr>
      </w:pPr>
    </w:p>
    <w:p>
      <w:pPr>
        <w:spacing w:line="360" w:lineRule="auto"/>
        <w:jc w:val="center"/>
        <w:outlineLvl w:val="0"/>
        <w:rPr>
          <w:rFonts w:ascii="宋体" w:hAnsi="宋体" w:cs="宋体"/>
          <w:b/>
          <w:szCs w:val="21"/>
        </w:rPr>
      </w:pPr>
    </w:p>
    <w:p>
      <w:pPr>
        <w:pStyle w:val="36"/>
        <w:rPr>
          <w:rFonts w:ascii="宋体" w:hAnsi="宋体" w:eastAsia="宋体" w:cs="宋体"/>
          <w:b/>
          <w:sz w:val="21"/>
          <w:szCs w:val="21"/>
        </w:rPr>
      </w:pPr>
    </w:p>
    <w:p>
      <w:pPr>
        <w:pStyle w:val="36"/>
        <w:rPr>
          <w:rFonts w:ascii="宋体" w:hAnsi="宋体" w:eastAsia="宋体" w:cs="宋体"/>
          <w:b/>
          <w:sz w:val="21"/>
          <w:szCs w:val="21"/>
        </w:rPr>
      </w:pPr>
    </w:p>
    <w:p>
      <w:pPr>
        <w:pStyle w:val="36"/>
        <w:rPr>
          <w:rFonts w:ascii="宋体" w:hAnsi="宋体" w:eastAsia="宋体" w:cs="宋体"/>
          <w:b/>
          <w:sz w:val="21"/>
          <w:szCs w:val="21"/>
        </w:rPr>
      </w:pPr>
    </w:p>
    <w:p>
      <w:pPr>
        <w:pStyle w:val="36"/>
        <w:rPr>
          <w:rFonts w:ascii="宋体" w:hAnsi="宋体" w:eastAsia="宋体" w:cs="宋体"/>
          <w:b/>
          <w:sz w:val="21"/>
          <w:szCs w:val="21"/>
        </w:rPr>
      </w:pPr>
    </w:p>
    <w:p>
      <w:pPr>
        <w:pStyle w:val="36"/>
        <w:rPr>
          <w:rFonts w:ascii="宋体" w:hAnsi="宋体" w:eastAsia="宋体" w:cs="宋体"/>
          <w:b/>
          <w:sz w:val="21"/>
          <w:szCs w:val="21"/>
        </w:rPr>
      </w:pPr>
    </w:p>
    <w:p>
      <w:pPr>
        <w:pStyle w:val="36"/>
        <w:rPr>
          <w:rFonts w:ascii="宋体" w:hAnsi="宋体" w:eastAsia="宋体" w:cs="宋体"/>
          <w:b/>
          <w:sz w:val="21"/>
          <w:szCs w:val="21"/>
        </w:rPr>
      </w:pPr>
    </w:p>
    <w:p>
      <w:pPr>
        <w:pStyle w:val="36"/>
        <w:rPr>
          <w:rFonts w:ascii="宋体" w:hAnsi="宋体" w:eastAsia="宋体" w:cs="宋体"/>
          <w:b/>
          <w:sz w:val="21"/>
          <w:szCs w:val="21"/>
        </w:rPr>
      </w:pPr>
    </w:p>
    <w:p>
      <w:pPr>
        <w:pStyle w:val="36"/>
        <w:rPr>
          <w:rFonts w:ascii="宋体" w:hAnsi="宋体" w:eastAsia="宋体" w:cs="宋体"/>
          <w:b/>
          <w:sz w:val="21"/>
          <w:szCs w:val="21"/>
        </w:rPr>
      </w:pPr>
    </w:p>
    <w:p>
      <w:pPr>
        <w:pStyle w:val="36"/>
        <w:rPr>
          <w:rFonts w:ascii="宋体" w:hAnsi="宋体" w:eastAsia="宋体" w:cs="宋体"/>
          <w:b/>
          <w:sz w:val="21"/>
          <w:szCs w:val="21"/>
        </w:rPr>
      </w:pPr>
    </w:p>
    <w:p>
      <w:pPr>
        <w:pStyle w:val="36"/>
        <w:rPr>
          <w:rFonts w:ascii="宋体" w:hAnsi="宋体" w:eastAsia="宋体" w:cs="宋体"/>
          <w:b/>
          <w:sz w:val="21"/>
          <w:szCs w:val="21"/>
        </w:rPr>
      </w:pPr>
    </w:p>
    <w:p>
      <w:pPr>
        <w:pStyle w:val="36"/>
        <w:rPr>
          <w:rFonts w:ascii="宋体" w:hAnsi="宋体" w:eastAsia="宋体" w:cs="宋体"/>
          <w:b/>
          <w:sz w:val="21"/>
          <w:szCs w:val="21"/>
        </w:rPr>
      </w:pPr>
    </w:p>
    <w:p>
      <w:pPr>
        <w:spacing w:line="360" w:lineRule="auto"/>
        <w:outlineLvl w:val="0"/>
        <w:rPr>
          <w:rFonts w:ascii="宋体" w:hAnsi="宋体" w:cs="宋体"/>
          <w:b/>
          <w:szCs w:val="21"/>
        </w:rPr>
      </w:pPr>
    </w:p>
    <w:p>
      <w:pPr>
        <w:numPr>
          <w:ilvl w:val="0"/>
          <w:numId w:val="6"/>
        </w:numPr>
        <w:spacing w:line="360" w:lineRule="auto"/>
        <w:jc w:val="center"/>
        <w:outlineLvl w:val="0"/>
        <w:rPr>
          <w:rFonts w:ascii="宋体" w:hAnsi="宋体"/>
          <w:b/>
          <w:sz w:val="36"/>
          <w:szCs w:val="36"/>
        </w:rPr>
      </w:pPr>
      <w:r>
        <w:rPr>
          <w:rFonts w:hint="eastAsia" w:ascii="宋体" w:hAnsi="宋体"/>
          <w:b/>
          <w:sz w:val="36"/>
          <w:szCs w:val="36"/>
        </w:rPr>
        <w:t>公开招标需求</w:t>
      </w:r>
    </w:p>
    <w:p>
      <w:pPr>
        <w:widowControl/>
        <w:spacing w:line="480" w:lineRule="exact"/>
        <w:ind w:firstLine="422" w:firstLineChars="200"/>
        <w:outlineLvl w:val="1"/>
        <w:rPr>
          <w:rFonts w:ascii="宋体" w:hAnsi="宋体" w:cs="宋体"/>
          <w:b/>
          <w:szCs w:val="21"/>
        </w:rPr>
      </w:pPr>
      <w:bookmarkStart w:id="1" w:name="_Toc375206054"/>
      <w:bookmarkStart w:id="2" w:name="_Toc386636611"/>
      <w:bookmarkStart w:id="3" w:name="_Toc6413"/>
      <w:bookmarkStart w:id="4" w:name="_Toc333842561"/>
      <w:bookmarkStart w:id="5" w:name="_Toc397775657"/>
      <w:bookmarkStart w:id="6" w:name="_Toc429491360"/>
      <w:bookmarkStart w:id="7" w:name="_Toc369166669"/>
      <w:bookmarkStart w:id="8" w:name="_Toc340736189"/>
      <w:r>
        <w:rPr>
          <w:rFonts w:hint="eastAsia" w:ascii="宋体" w:hAnsi="宋体" w:cs="宋体"/>
          <w:b/>
          <w:szCs w:val="21"/>
        </w:rPr>
        <w:t>一、总则</w:t>
      </w:r>
      <w:bookmarkEnd w:id="1"/>
      <w:bookmarkEnd w:id="2"/>
      <w:bookmarkEnd w:id="3"/>
      <w:bookmarkEnd w:id="4"/>
      <w:bookmarkEnd w:id="5"/>
      <w:bookmarkEnd w:id="6"/>
      <w:bookmarkEnd w:id="7"/>
      <w:bookmarkEnd w:id="8"/>
    </w:p>
    <w:p>
      <w:pPr>
        <w:widowControl/>
        <w:snapToGrid w:val="0"/>
        <w:spacing w:line="480" w:lineRule="exact"/>
        <w:ind w:firstLine="420" w:firstLineChars="200"/>
        <w:rPr>
          <w:rFonts w:hint="eastAsia" w:ascii="宋体" w:hAnsi="宋体" w:cs="宋体"/>
          <w:szCs w:val="21"/>
        </w:rPr>
      </w:pPr>
      <w:r>
        <w:rPr>
          <w:rFonts w:hint="eastAsia" w:ascii="宋体" w:hAnsi="宋体" w:cs="宋体"/>
          <w:szCs w:val="21"/>
        </w:rPr>
        <w:t>技术参数是对采购内容的一些原则性规定，并不是详尽的要求，投标人有责任对产品符合技术规范、标准负责。</w:t>
      </w:r>
    </w:p>
    <w:p>
      <w:pPr>
        <w:widowControl/>
        <w:spacing w:line="480" w:lineRule="exact"/>
        <w:ind w:firstLine="422" w:firstLineChars="200"/>
        <w:outlineLvl w:val="1"/>
      </w:pPr>
      <w:r>
        <w:rPr>
          <w:rFonts w:hint="eastAsia" w:ascii="宋体" w:hAnsi="宋体" w:cs="宋体"/>
          <w:b/>
          <w:szCs w:val="21"/>
        </w:rPr>
        <w:t>二、采购设备清单及技术参数要求</w:t>
      </w:r>
    </w:p>
    <w:tbl>
      <w:tblPr>
        <w:tblStyle w:val="29"/>
        <w:tblW w:w="9576" w:type="dxa"/>
        <w:tblInd w:w="93" w:type="dxa"/>
        <w:tblLayout w:type="autofit"/>
        <w:tblCellMar>
          <w:top w:w="0" w:type="dxa"/>
          <w:left w:w="108" w:type="dxa"/>
          <w:bottom w:w="0" w:type="dxa"/>
          <w:right w:w="108" w:type="dxa"/>
        </w:tblCellMar>
      </w:tblPr>
      <w:tblGrid>
        <w:gridCol w:w="606"/>
        <w:gridCol w:w="758"/>
        <w:gridCol w:w="1016"/>
        <w:gridCol w:w="733"/>
        <w:gridCol w:w="751"/>
        <w:gridCol w:w="5712"/>
      </w:tblGrid>
      <w:tr>
        <w:tblPrEx>
          <w:tblCellMar>
            <w:top w:w="0" w:type="dxa"/>
            <w:left w:w="108" w:type="dxa"/>
            <w:bottom w:w="0" w:type="dxa"/>
            <w:right w:w="108" w:type="dxa"/>
          </w:tblCellMar>
        </w:tblPrEx>
        <w:trPr>
          <w:trHeight w:val="638"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18"/>
                <w:szCs w:val="18"/>
                <w:highlight w:val="none"/>
              </w:rPr>
            </w:pPr>
            <w:r>
              <w:rPr>
                <w:rFonts w:hint="eastAsia" w:ascii="宋体" w:hAnsi="宋体" w:cs="宋体"/>
                <w:b/>
                <w:bCs/>
                <w:kern w:val="0"/>
                <w:sz w:val="18"/>
                <w:szCs w:val="18"/>
                <w:highlight w:val="none"/>
                <w:lang w:bidi="ar"/>
              </w:rPr>
              <w:t>序号</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18"/>
                <w:szCs w:val="18"/>
                <w:highlight w:val="none"/>
              </w:rPr>
            </w:pPr>
            <w:r>
              <w:rPr>
                <w:rFonts w:hint="eastAsia" w:ascii="宋体" w:hAnsi="宋体" w:cs="宋体"/>
                <w:b/>
                <w:bCs/>
                <w:kern w:val="0"/>
                <w:sz w:val="18"/>
                <w:szCs w:val="18"/>
                <w:highlight w:val="none"/>
                <w:lang w:bidi="ar"/>
              </w:rPr>
              <w:t>项目编码</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18"/>
                <w:szCs w:val="18"/>
                <w:highlight w:val="none"/>
              </w:rPr>
            </w:pPr>
            <w:r>
              <w:rPr>
                <w:rFonts w:hint="eastAsia" w:ascii="宋体" w:hAnsi="宋体" w:cs="宋体"/>
                <w:b/>
                <w:bCs/>
                <w:kern w:val="0"/>
                <w:sz w:val="18"/>
                <w:szCs w:val="18"/>
                <w:highlight w:val="none"/>
                <w:lang w:bidi="ar"/>
              </w:rPr>
              <w:t>项目名称</w:t>
            </w:r>
          </w:p>
        </w:tc>
        <w:tc>
          <w:tcPr>
            <w:tcW w:w="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18"/>
                <w:szCs w:val="18"/>
                <w:highlight w:val="none"/>
              </w:rPr>
            </w:pPr>
            <w:r>
              <w:rPr>
                <w:rFonts w:hint="eastAsia" w:ascii="宋体" w:hAnsi="宋体" w:cs="宋体"/>
                <w:b/>
                <w:bCs/>
                <w:kern w:val="0"/>
                <w:sz w:val="18"/>
                <w:szCs w:val="18"/>
                <w:highlight w:val="none"/>
                <w:lang w:bidi="ar"/>
              </w:rPr>
              <w:t>计量</w:t>
            </w:r>
            <w:r>
              <w:rPr>
                <w:rFonts w:hint="eastAsia" w:ascii="宋体" w:hAnsi="宋体" w:cs="宋体"/>
                <w:b/>
                <w:bCs/>
                <w:kern w:val="0"/>
                <w:sz w:val="18"/>
                <w:szCs w:val="18"/>
                <w:highlight w:val="none"/>
                <w:lang w:bidi="ar"/>
              </w:rPr>
              <w:br w:type="textWrapping"/>
            </w:r>
            <w:r>
              <w:rPr>
                <w:rFonts w:hint="eastAsia" w:ascii="宋体" w:hAnsi="宋体" w:cs="宋体"/>
                <w:b/>
                <w:bCs/>
                <w:kern w:val="0"/>
                <w:sz w:val="18"/>
                <w:szCs w:val="18"/>
                <w:highlight w:val="none"/>
                <w:lang w:bidi="ar"/>
              </w:rPr>
              <w:t>单位</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18"/>
                <w:szCs w:val="18"/>
                <w:highlight w:val="none"/>
              </w:rPr>
            </w:pPr>
            <w:r>
              <w:rPr>
                <w:rFonts w:hint="eastAsia" w:ascii="宋体" w:hAnsi="宋体" w:cs="宋体"/>
                <w:b/>
                <w:bCs/>
                <w:kern w:val="0"/>
                <w:sz w:val="18"/>
                <w:szCs w:val="18"/>
                <w:highlight w:val="none"/>
                <w:lang w:bidi="ar"/>
              </w:rPr>
              <w:t>数量</w:t>
            </w:r>
          </w:p>
        </w:tc>
        <w:tc>
          <w:tcPr>
            <w:tcW w:w="57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18"/>
                <w:szCs w:val="18"/>
                <w:highlight w:val="none"/>
              </w:rPr>
            </w:pPr>
            <w:r>
              <w:rPr>
                <w:rFonts w:hint="eastAsia" w:ascii="宋体" w:hAnsi="宋体" w:cs="宋体"/>
                <w:b/>
                <w:bCs/>
                <w:kern w:val="0"/>
                <w:sz w:val="18"/>
                <w:szCs w:val="18"/>
                <w:highlight w:val="none"/>
                <w:lang w:bidi="ar"/>
              </w:rPr>
              <w:t>项目特征</w:t>
            </w:r>
          </w:p>
        </w:tc>
      </w:tr>
      <w:tr>
        <w:tblPrEx>
          <w:tblCellMar>
            <w:top w:w="0" w:type="dxa"/>
            <w:left w:w="108" w:type="dxa"/>
            <w:bottom w:w="0" w:type="dxa"/>
            <w:right w:w="108" w:type="dxa"/>
          </w:tblCellMar>
        </w:tblPrEx>
        <w:trPr>
          <w:trHeight w:val="4410" w:hRule="atLeast"/>
        </w:trPr>
        <w:tc>
          <w:tcPr>
            <w:tcW w:w="60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w:t>
            </w:r>
          </w:p>
        </w:tc>
        <w:tc>
          <w:tcPr>
            <w:tcW w:w="75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01B001</w:t>
            </w:r>
          </w:p>
        </w:tc>
        <w:tc>
          <w:tcPr>
            <w:tcW w:w="101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救生用品存放箱及救生物品（救生衣，救生圈，救生绳）</w:t>
            </w:r>
          </w:p>
        </w:tc>
        <w:tc>
          <w:tcPr>
            <w:tcW w:w="73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88</w:t>
            </w:r>
          </w:p>
        </w:tc>
        <w:tc>
          <w:tcPr>
            <w:tcW w:w="571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kern w:val="0"/>
                <w:sz w:val="18"/>
                <w:szCs w:val="18"/>
                <w:highlight w:val="none"/>
                <w:lang w:bidi="ar"/>
              </w:rPr>
            </w:pPr>
            <w:r>
              <w:rPr>
                <w:rFonts w:hint="eastAsia" w:ascii="宋体" w:hAnsi="宋体" w:cs="宋体"/>
                <w:b/>
                <w:bCs/>
                <w:kern w:val="0"/>
                <w:sz w:val="18"/>
                <w:szCs w:val="18"/>
                <w:highlight w:val="none"/>
                <w:lang w:bidi="ar"/>
              </w:rPr>
              <w:t>救生用品存放箱</w:t>
            </w:r>
            <w:r>
              <w:rPr>
                <w:rFonts w:hint="eastAsia" w:ascii="宋体" w:hAnsi="宋体" w:cs="宋体"/>
                <w:kern w:val="0"/>
                <w:sz w:val="18"/>
                <w:szCs w:val="18"/>
                <w:highlight w:val="none"/>
                <w:lang w:bidi="ar"/>
              </w:rPr>
              <w:t>：</w:t>
            </w:r>
          </w:p>
          <w:p>
            <w:pPr>
              <w:widowControl/>
              <w:numPr>
                <w:ilvl w:val="0"/>
                <w:numId w:val="7"/>
              </w:numPr>
              <w:jc w:val="left"/>
              <w:textAlignment w:val="center"/>
              <w:rPr>
                <w:rFonts w:ascii="宋体" w:hAnsi="宋体" w:cs="宋体"/>
                <w:kern w:val="0"/>
                <w:sz w:val="18"/>
                <w:szCs w:val="18"/>
                <w:highlight w:val="none"/>
                <w:lang w:bidi="ar"/>
              </w:rPr>
            </w:pPr>
            <w:r>
              <w:rPr>
                <w:rFonts w:hint="eastAsia" w:ascii="宋体" w:hAnsi="宋体" w:cs="宋体"/>
                <w:kern w:val="0"/>
                <w:sz w:val="18"/>
                <w:szCs w:val="18"/>
                <w:highlight w:val="none"/>
                <w:lang w:val="en-US" w:eastAsia="zh-CN" w:bidi="ar"/>
              </w:rPr>
              <w:t>箱体</w:t>
            </w:r>
            <w:r>
              <w:rPr>
                <w:rFonts w:hint="eastAsia" w:ascii="宋体" w:hAnsi="宋体" w:cs="宋体"/>
                <w:kern w:val="0"/>
                <w:sz w:val="18"/>
                <w:szCs w:val="18"/>
                <w:highlight w:val="none"/>
                <w:lang w:bidi="ar"/>
              </w:rPr>
              <w:t>材质:玻璃钢+亚克力；</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2、产品参数：尺寸:</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760*760*210MM(内径)；壁厚:≥3MM</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左右；</w:t>
            </w:r>
            <w:r>
              <w:rPr>
                <w:rFonts w:hint="eastAsia" w:ascii="宋体" w:hAnsi="宋体" w:cs="宋体"/>
                <w:color w:val="000000"/>
                <w:kern w:val="0"/>
                <w:sz w:val="18"/>
                <w:szCs w:val="18"/>
                <w:highlight w:val="none"/>
                <w:lang w:bidi="ar"/>
              </w:rPr>
              <w:t>颜色:红色；</w:t>
            </w:r>
            <w:r>
              <w:rPr>
                <w:rFonts w:hint="eastAsia" w:ascii="宋体" w:hAnsi="宋体" w:cs="宋体"/>
                <w:kern w:val="0"/>
                <w:sz w:val="18"/>
                <w:szCs w:val="18"/>
                <w:highlight w:val="none"/>
                <w:lang w:bidi="ar"/>
              </w:rPr>
              <w:br w:type="textWrapping"/>
            </w:r>
            <w:r>
              <w:rPr>
                <w:rFonts w:hint="eastAsia" w:ascii="宋体" w:hAnsi="宋体" w:cs="宋体"/>
                <w:b/>
                <w:bCs/>
                <w:kern w:val="0"/>
                <w:sz w:val="18"/>
                <w:szCs w:val="18"/>
                <w:highlight w:val="none"/>
                <w:lang w:bidi="ar"/>
              </w:rPr>
              <w:t>救生衣：</w:t>
            </w:r>
          </w:p>
          <w:p>
            <w:pPr>
              <w:widowControl/>
              <w:jc w:val="left"/>
              <w:textAlignment w:val="center"/>
              <w:rPr>
                <w:rFonts w:hint="eastAsia" w:ascii="宋体" w:hAnsi="宋体" w:eastAsia="宋体" w:cs="宋体"/>
                <w:kern w:val="0"/>
                <w:sz w:val="18"/>
                <w:szCs w:val="18"/>
                <w:highlight w:val="none"/>
                <w:lang w:eastAsia="zh-CN" w:bidi="ar"/>
              </w:rPr>
            </w:pPr>
            <w:r>
              <w:rPr>
                <w:rFonts w:hint="eastAsia" w:ascii="宋体" w:hAnsi="宋体" w:cs="宋体"/>
                <w:kern w:val="0"/>
                <w:sz w:val="18"/>
                <w:szCs w:val="18"/>
                <w:highlight w:val="none"/>
                <w:lang w:bidi="ar"/>
              </w:rPr>
              <w:t>救生衣符合标准：GB/T</w:t>
            </w:r>
            <w:r>
              <w:rPr>
                <w:rFonts w:hint="eastAsia" w:ascii="宋体" w:hAnsi="宋体" w:cs="宋体"/>
                <w:kern w:val="0"/>
                <w:sz w:val="18"/>
                <w:szCs w:val="18"/>
                <w:highlight w:val="none"/>
                <w:lang w:val="en-US" w:eastAsia="zh-CN" w:bidi="ar"/>
              </w:rPr>
              <w:t xml:space="preserve"> </w:t>
            </w:r>
            <w:r>
              <w:rPr>
                <w:rFonts w:hint="eastAsia" w:ascii="宋体" w:hAnsi="宋体" w:cs="宋体"/>
                <w:kern w:val="0"/>
                <w:sz w:val="18"/>
                <w:szCs w:val="18"/>
                <w:highlight w:val="none"/>
                <w:lang w:bidi="ar"/>
              </w:rPr>
              <w:t>4303-2008(船用救生衣标准）</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★须提供</w:t>
            </w:r>
            <w:r>
              <w:rPr>
                <w:rFonts w:hint="eastAsia" w:ascii="宋体" w:hAnsi="宋体" w:cs="宋体"/>
                <w:kern w:val="0"/>
                <w:sz w:val="18"/>
                <w:szCs w:val="18"/>
                <w:highlight w:val="none"/>
                <w:lang w:val="en-US" w:eastAsia="zh-CN" w:bidi="ar"/>
              </w:rPr>
              <w:t>具备法定资质的</w:t>
            </w:r>
            <w:r>
              <w:rPr>
                <w:rFonts w:hint="eastAsia" w:ascii="宋体" w:hAnsi="宋体" w:cs="宋体"/>
                <w:kern w:val="0"/>
                <w:sz w:val="18"/>
                <w:szCs w:val="18"/>
                <w:highlight w:val="none"/>
                <w:lang w:bidi="ar"/>
              </w:rPr>
              <w:t>检验</w:t>
            </w:r>
            <w:r>
              <w:rPr>
                <w:rFonts w:hint="eastAsia" w:ascii="宋体" w:hAnsi="宋体" w:cs="宋体"/>
                <w:kern w:val="0"/>
                <w:sz w:val="18"/>
                <w:szCs w:val="18"/>
                <w:highlight w:val="none"/>
                <w:lang w:eastAsia="zh-CN" w:bidi="ar"/>
              </w:rPr>
              <w:t>机构</w:t>
            </w:r>
            <w:r>
              <w:rPr>
                <w:rFonts w:hint="eastAsia" w:ascii="宋体" w:hAnsi="宋体" w:cs="宋体"/>
                <w:kern w:val="0"/>
                <w:sz w:val="18"/>
                <w:szCs w:val="18"/>
                <w:highlight w:val="none"/>
                <w:lang w:bidi="ar"/>
              </w:rPr>
              <w:t>出具的检测报告</w:t>
            </w:r>
            <w:r>
              <w:rPr>
                <w:rFonts w:hint="eastAsia" w:ascii="宋体" w:hAnsi="宋体" w:cs="宋体"/>
                <w:kern w:val="0"/>
                <w:sz w:val="18"/>
                <w:szCs w:val="18"/>
                <w:highlight w:val="none"/>
                <w:lang w:val="en-US" w:eastAsia="zh-CN" w:bidi="ar"/>
              </w:rPr>
              <w:t xml:space="preserve"> 。</w:t>
            </w:r>
          </w:p>
          <w:p>
            <w:pPr>
              <w:widowControl/>
              <w:jc w:val="left"/>
              <w:textAlignment w:val="center"/>
              <w:rPr>
                <w:rFonts w:ascii="宋体" w:hAnsi="宋体" w:cs="宋体"/>
                <w:kern w:val="0"/>
                <w:sz w:val="18"/>
                <w:szCs w:val="18"/>
                <w:highlight w:val="none"/>
                <w:lang w:bidi="ar"/>
              </w:rPr>
            </w:pPr>
            <w:r>
              <w:rPr>
                <w:rFonts w:hint="eastAsia" w:ascii="宋体" w:hAnsi="宋体" w:cs="宋体"/>
                <w:kern w:val="0"/>
                <w:sz w:val="18"/>
                <w:szCs w:val="18"/>
                <w:highlight w:val="none"/>
                <w:lang w:bidi="ar"/>
              </w:rPr>
              <w:t xml:space="preserve">                                                </w:t>
            </w:r>
          </w:p>
          <w:p>
            <w:pPr>
              <w:widowControl/>
              <w:jc w:val="left"/>
              <w:textAlignment w:val="center"/>
              <w:rPr>
                <w:rFonts w:hint="eastAsia" w:ascii="宋体" w:hAnsi="宋体" w:cs="宋体"/>
                <w:b/>
                <w:bCs/>
                <w:kern w:val="0"/>
                <w:sz w:val="18"/>
                <w:szCs w:val="18"/>
                <w:highlight w:val="none"/>
                <w:lang w:bidi="ar"/>
              </w:rPr>
            </w:pPr>
            <w:r>
              <w:rPr>
                <w:rFonts w:hint="eastAsia" w:ascii="宋体" w:hAnsi="宋体" w:cs="宋体"/>
                <w:b/>
                <w:bCs/>
                <w:kern w:val="0"/>
                <w:sz w:val="18"/>
                <w:szCs w:val="18"/>
                <w:highlight w:val="none"/>
                <w:lang w:bidi="ar"/>
              </w:rPr>
              <w:t>救生圈：</w:t>
            </w:r>
          </w:p>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产品</w:t>
            </w:r>
            <w:r>
              <w:rPr>
                <w:rFonts w:hint="eastAsia" w:ascii="宋体" w:hAnsi="宋体" w:cs="宋体"/>
                <w:kern w:val="0"/>
                <w:sz w:val="18"/>
                <w:szCs w:val="18"/>
                <w:highlight w:val="none"/>
                <w:lang w:val="en-US" w:eastAsia="zh-CN" w:bidi="ar"/>
              </w:rPr>
              <w:t>符合</w:t>
            </w:r>
            <w:r>
              <w:rPr>
                <w:rFonts w:hint="eastAsia" w:ascii="宋体" w:hAnsi="宋体" w:cs="宋体"/>
                <w:kern w:val="0"/>
                <w:sz w:val="18"/>
                <w:szCs w:val="18"/>
                <w:highlight w:val="none"/>
                <w:lang w:bidi="ar"/>
              </w:rPr>
              <w:t>国标</w:t>
            </w:r>
            <w:r>
              <w:rPr>
                <w:rFonts w:hint="eastAsia" w:ascii="宋体" w:hAnsi="宋体" w:cs="宋体"/>
                <w:kern w:val="0"/>
                <w:sz w:val="18"/>
                <w:szCs w:val="18"/>
                <w:highlight w:val="none"/>
                <w:lang w:val="en-US" w:eastAsia="zh-CN" w:bidi="ar"/>
              </w:rPr>
              <w:t>要求</w:t>
            </w:r>
            <w:r>
              <w:rPr>
                <w:rFonts w:hint="eastAsia" w:ascii="宋体" w:hAnsi="宋体" w:cs="宋体"/>
                <w:kern w:val="0"/>
                <w:sz w:val="18"/>
                <w:szCs w:val="18"/>
                <w:highlight w:val="none"/>
                <w:lang w:bidi="ar"/>
              </w:rPr>
              <w:t>。</w:t>
            </w:r>
          </w:p>
          <w:p>
            <w:pPr>
              <w:pStyle w:val="36"/>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★须提供具备法定资质的检测机构出具的检测报告复印件。</w:t>
            </w:r>
          </w:p>
          <w:p>
            <w:pPr>
              <w:widowControl/>
              <w:jc w:val="left"/>
              <w:textAlignment w:val="center"/>
              <w:rPr>
                <w:rFonts w:ascii="宋体" w:hAnsi="宋体" w:cs="宋体"/>
                <w:b/>
                <w:bCs/>
                <w:kern w:val="0"/>
                <w:sz w:val="18"/>
                <w:szCs w:val="18"/>
                <w:highlight w:val="none"/>
                <w:lang w:bidi="ar"/>
              </w:rPr>
            </w:pPr>
            <w:r>
              <w:rPr>
                <w:rFonts w:hint="eastAsia" w:ascii="宋体" w:hAnsi="宋体" w:cs="宋体"/>
                <w:b/>
                <w:bCs/>
                <w:kern w:val="0"/>
                <w:sz w:val="18"/>
                <w:szCs w:val="18"/>
                <w:highlight w:val="none"/>
                <w:lang w:bidi="ar"/>
              </w:rPr>
              <w:t>救生绳：</w:t>
            </w:r>
          </w:p>
          <w:p>
            <w:pPr>
              <w:widowControl/>
              <w:jc w:val="left"/>
              <w:textAlignment w:val="center"/>
              <w:rPr>
                <w:rFonts w:hint="eastAsia" w:ascii="宋体" w:hAnsi="宋体" w:cs="宋体"/>
                <w:kern w:val="0"/>
                <w:sz w:val="18"/>
                <w:szCs w:val="18"/>
                <w:highlight w:val="none"/>
                <w:lang w:val="en-US" w:eastAsia="zh-CN" w:bidi="ar"/>
              </w:rPr>
            </w:pPr>
            <w:r>
              <w:rPr>
                <w:rFonts w:hint="eastAsia" w:ascii="宋体" w:hAnsi="宋体" w:cs="宋体"/>
                <w:kern w:val="0"/>
                <w:sz w:val="18"/>
                <w:szCs w:val="18"/>
                <w:highlight w:val="none"/>
                <w:lang w:val="en-US" w:eastAsia="zh-CN" w:bidi="ar"/>
              </w:rPr>
              <w:t>救生绳直径为≥8mm，长度为≥30m,颜色为橘黄色。</w:t>
            </w:r>
          </w:p>
          <w:p>
            <w:pPr>
              <w:widowControl/>
              <w:jc w:val="left"/>
              <w:textAlignment w:val="center"/>
              <w:rPr>
                <w:highlight w:val="none"/>
              </w:rPr>
            </w:pPr>
            <w:r>
              <w:rPr>
                <w:rFonts w:hint="eastAsia" w:ascii="宋体" w:hAnsi="宋体" w:cs="宋体"/>
                <w:kern w:val="0"/>
                <w:sz w:val="18"/>
                <w:szCs w:val="18"/>
                <w:highlight w:val="none"/>
                <w:lang w:val="en-US" w:eastAsia="zh-CN" w:bidi="ar"/>
              </w:rPr>
              <w:t>★</w:t>
            </w:r>
            <w:r>
              <w:rPr>
                <w:rFonts w:hint="eastAsia" w:ascii="宋体" w:hAnsi="宋体" w:cs="宋体"/>
                <w:kern w:val="0"/>
                <w:sz w:val="18"/>
                <w:szCs w:val="18"/>
                <w:highlight w:val="none"/>
                <w:lang w:bidi="ar"/>
              </w:rPr>
              <w:t>须</w:t>
            </w:r>
            <w:r>
              <w:rPr>
                <w:rFonts w:hint="eastAsia" w:ascii="宋体" w:hAnsi="宋体" w:cs="宋体"/>
                <w:kern w:val="0"/>
                <w:sz w:val="18"/>
                <w:szCs w:val="18"/>
                <w:highlight w:val="none"/>
                <w:lang w:val="en-US" w:eastAsia="zh-CN" w:bidi="ar"/>
              </w:rPr>
              <w:t>提供具备法定资质的</w:t>
            </w:r>
            <w:r>
              <w:rPr>
                <w:rFonts w:hint="eastAsia" w:ascii="宋体" w:hAnsi="宋体" w:cs="宋体"/>
                <w:kern w:val="0"/>
                <w:sz w:val="18"/>
                <w:szCs w:val="18"/>
                <w:highlight w:val="none"/>
                <w:lang w:bidi="ar"/>
              </w:rPr>
              <w:t>检测</w:t>
            </w:r>
            <w:r>
              <w:rPr>
                <w:rFonts w:hint="eastAsia" w:ascii="宋体" w:hAnsi="宋体" w:cs="宋体"/>
                <w:kern w:val="0"/>
                <w:sz w:val="18"/>
                <w:szCs w:val="18"/>
                <w:highlight w:val="none"/>
                <w:lang w:val="en-US" w:eastAsia="zh-CN" w:bidi="ar"/>
              </w:rPr>
              <w:t>机构</w:t>
            </w:r>
            <w:r>
              <w:rPr>
                <w:rFonts w:hint="eastAsia" w:ascii="宋体" w:hAnsi="宋体" w:cs="宋体"/>
                <w:kern w:val="0"/>
                <w:sz w:val="18"/>
                <w:szCs w:val="18"/>
                <w:highlight w:val="none"/>
                <w:lang w:bidi="ar"/>
              </w:rPr>
              <w:t>出具的检测报告</w:t>
            </w:r>
            <w:r>
              <w:rPr>
                <w:rFonts w:hint="eastAsia"/>
                <w:highlight w:val="none"/>
                <w:lang w:eastAsia="zh-CN"/>
              </w:rPr>
              <w:t>。</w:t>
            </w:r>
          </w:p>
          <w:p>
            <w:pPr>
              <w:pStyle w:val="36"/>
              <w:widowControl w:val="0"/>
              <w:numPr>
                <w:ilvl w:val="0"/>
                <w:numId w:val="0"/>
              </w:numPr>
              <w:ind w:left="0" w:leftChars="0" w:firstLine="0" w:firstLineChars="0"/>
              <w:jc w:val="both"/>
              <w:rPr>
                <w:rFonts w:ascii="宋体" w:hAnsi="宋体" w:cs="宋体"/>
                <w:sz w:val="18"/>
                <w:szCs w:val="18"/>
                <w:highlight w:val="none"/>
              </w:rPr>
            </w:pPr>
          </w:p>
        </w:tc>
      </w:tr>
      <w:tr>
        <w:tblPrEx>
          <w:tblCellMar>
            <w:top w:w="0" w:type="dxa"/>
            <w:left w:w="108" w:type="dxa"/>
            <w:bottom w:w="0" w:type="dxa"/>
            <w:right w:w="108" w:type="dxa"/>
          </w:tblCellMar>
        </w:tblPrEx>
        <w:trPr>
          <w:trHeight w:val="2501" w:hRule="atLeast"/>
        </w:trPr>
        <w:tc>
          <w:tcPr>
            <w:tcW w:w="606"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w:t>
            </w:r>
          </w:p>
        </w:tc>
        <w:tc>
          <w:tcPr>
            <w:tcW w:w="7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01B003</w:t>
            </w:r>
          </w:p>
        </w:tc>
        <w:tc>
          <w:tcPr>
            <w:tcW w:w="1016"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森林消防头盔</w:t>
            </w:r>
          </w:p>
        </w:tc>
        <w:tc>
          <w:tcPr>
            <w:tcW w:w="73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119</w:t>
            </w:r>
          </w:p>
        </w:tc>
        <w:tc>
          <w:tcPr>
            <w:tcW w:w="5712"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widowControl/>
              <w:numPr>
                <w:ilvl w:val="0"/>
                <w:numId w:val="8"/>
              </w:numPr>
              <w:jc w:val="left"/>
              <w:textAlignment w:val="center"/>
              <w:rPr>
                <w:rFonts w:ascii="宋体" w:hAnsi="宋体" w:cs="宋体"/>
                <w:kern w:val="0"/>
                <w:sz w:val="18"/>
                <w:szCs w:val="18"/>
                <w:highlight w:val="none"/>
                <w:lang w:bidi="ar"/>
              </w:rPr>
            </w:pPr>
            <w:r>
              <w:rPr>
                <w:rFonts w:hint="eastAsia" w:ascii="宋体" w:hAnsi="宋体" w:cs="宋体"/>
                <w:kern w:val="0"/>
                <w:sz w:val="18"/>
                <w:szCs w:val="18"/>
                <w:highlight w:val="none"/>
                <w:lang w:bidi="ar"/>
              </w:rPr>
              <w:t>产品材质:高强度ABS材质；</w:t>
            </w:r>
          </w:p>
          <w:p>
            <w:pPr>
              <w:widowControl/>
              <w:numPr>
                <w:ilvl w:val="0"/>
                <w:numId w:val="8"/>
              </w:numPr>
              <w:jc w:val="left"/>
              <w:textAlignment w:val="center"/>
              <w:rPr>
                <w:rFonts w:hint="eastAsia" w:ascii="宋体" w:hAnsi="宋体" w:cs="宋体"/>
                <w:kern w:val="0"/>
                <w:sz w:val="18"/>
                <w:szCs w:val="18"/>
                <w:highlight w:val="none"/>
                <w:lang w:val="en-US" w:eastAsia="zh-CN" w:bidi="ar"/>
              </w:rPr>
            </w:pPr>
            <w:r>
              <w:rPr>
                <w:rFonts w:hint="eastAsia" w:ascii="宋体" w:hAnsi="宋体" w:cs="宋体"/>
                <w:kern w:val="0"/>
                <w:sz w:val="18"/>
                <w:szCs w:val="18"/>
                <w:highlight w:val="none"/>
                <w:lang w:bidi="ar"/>
              </w:rPr>
              <w:t>头盔结构：盔体、内衬、面罩、标识、披肩组成</w:t>
            </w:r>
            <w:r>
              <w:rPr>
                <w:rFonts w:hint="eastAsia" w:ascii="宋体" w:hAnsi="宋体" w:cs="宋体"/>
                <w:kern w:val="0"/>
                <w:sz w:val="18"/>
                <w:szCs w:val="18"/>
                <w:highlight w:val="none"/>
                <w:lang w:eastAsia="zh-CN" w:bidi="ar"/>
              </w:rPr>
              <w:t>。</w:t>
            </w:r>
          </w:p>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val="en-US" w:eastAsia="zh-CN" w:bidi="ar"/>
              </w:rPr>
              <w:t>3、★产品符合GA633-2006《消防员抢险救援防护服装》检验标准，</w:t>
            </w:r>
            <w:r>
              <w:rPr>
                <w:rFonts w:hint="eastAsia" w:ascii="宋体" w:hAnsi="宋体" w:cs="宋体"/>
                <w:kern w:val="0"/>
                <w:sz w:val="18"/>
                <w:szCs w:val="18"/>
                <w:highlight w:val="none"/>
                <w:lang w:bidi="ar"/>
              </w:rPr>
              <w:t>须</w:t>
            </w:r>
            <w:r>
              <w:rPr>
                <w:rFonts w:hint="eastAsia" w:ascii="宋体" w:hAnsi="宋体" w:cs="宋体"/>
                <w:kern w:val="0"/>
                <w:sz w:val="18"/>
                <w:szCs w:val="18"/>
                <w:highlight w:val="none"/>
                <w:lang w:val="en-US" w:eastAsia="zh-CN" w:bidi="ar"/>
              </w:rPr>
              <w:t>提供具备法定资质的</w:t>
            </w:r>
            <w:r>
              <w:rPr>
                <w:rFonts w:hint="eastAsia" w:ascii="宋体" w:hAnsi="宋体" w:cs="宋体"/>
                <w:kern w:val="0"/>
                <w:sz w:val="18"/>
                <w:szCs w:val="18"/>
                <w:highlight w:val="none"/>
                <w:lang w:bidi="ar"/>
              </w:rPr>
              <w:t>检测</w:t>
            </w:r>
            <w:r>
              <w:rPr>
                <w:rFonts w:hint="eastAsia" w:ascii="宋体" w:hAnsi="宋体" w:cs="宋体"/>
                <w:kern w:val="0"/>
                <w:sz w:val="18"/>
                <w:szCs w:val="18"/>
                <w:highlight w:val="none"/>
                <w:lang w:val="en-US" w:eastAsia="zh-CN" w:bidi="ar"/>
              </w:rPr>
              <w:t>机构</w:t>
            </w:r>
            <w:r>
              <w:rPr>
                <w:rFonts w:hint="eastAsia" w:ascii="宋体" w:hAnsi="宋体" w:cs="宋体"/>
                <w:kern w:val="0"/>
                <w:sz w:val="18"/>
                <w:szCs w:val="18"/>
                <w:highlight w:val="none"/>
                <w:lang w:bidi="ar"/>
              </w:rPr>
              <w:t>出具的检测报告。</w:t>
            </w:r>
          </w:p>
        </w:tc>
      </w:tr>
      <w:tr>
        <w:tblPrEx>
          <w:tblCellMar>
            <w:top w:w="0" w:type="dxa"/>
            <w:left w:w="108" w:type="dxa"/>
            <w:bottom w:w="0" w:type="dxa"/>
            <w:right w:w="108" w:type="dxa"/>
          </w:tblCellMar>
        </w:tblPrEx>
        <w:trPr>
          <w:trHeight w:val="2501" w:hRule="atLeast"/>
        </w:trPr>
        <w:tc>
          <w:tcPr>
            <w:tcW w:w="60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3</w:t>
            </w:r>
          </w:p>
        </w:tc>
        <w:tc>
          <w:tcPr>
            <w:tcW w:w="75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01B004</w:t>
            </w:r>
          </w:p>
        </w:tc>
        <w:tc>
          <w:tcPr>
            <w:tcW w:w="101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消防服</w:t>
            </w:r>
          </w:p>
        </w:tc>
        <w:tc>
          <w:tcPr>
            <w:tcW w:w="73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套</w:t>
            </w:r>
          </w:p>
        </w:tc>
        <w:tc>
          <w:tcPr>
            <w:tcW w:w="751"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225</w:t>
            </w:r>
          </w:p>
        </w:tc>
        <w:tc>
          <w:tcPr>
            <w:tcW w:w="571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9"/>
              </w:numPr>
              <w:jc w:val="left"/>
              <w:textAlignment w:val="center"/>
              <w:rPr>
                <w:rFonts w:ascii="宋体" w:hAnsi="宋体" w:cs="宋体"/>
                <w:kern w:val="0"/>
                <w:sz w:val="18"/>
                <w:szCs w:val="18"/>
                <w:highlight w:val="none"/>
                <w:lang w:bidi="ar"/>
              </w:rPr>
            </w:pPr>
            <w:r>
              <w:rPr>
                <w:rFonts w:hint="eastAsia" w:ascii="宋体" w:hAnsi="宋体" w:cs="宋体"/>
                <w:kern w:val="0"/>
                <w:sz w:val="18"/>
                <w:szCs w:val="18"/>
                <w:highlight w:val="none"/>
                <w:lang w:bidi="ar"/>
              </w:rPr>
              <w:t>产品材质：阻燃染色芳纶纤维布料；</w:t>
            </w:r>
          </w:p>
          <w:p>
            <w:pPr>
              <w:widowControl/>
              <w:numPr>
                <w:ilvl w:val="0"/>
                <w:numId w:val="9"/>
              </w:numPr>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产品符合GA10-2014 消防员灭火防护服；须提供</w:t>
            </w:r>
            <w:r>
              <w:rPr>
                <w:rFonts w:hint="eastAsia" w:ascii="宋体" w:hAnsi="宋体" w:cs="宋体"/>
                <w:kern w:val="0"/>
                <w:sz w:val="18"/>
                <w:szCs w:val="18"/>
                <w:highlight w:val="none"/>
                <w:lang w:val="en-US" w:eastAsia="zh-CN" w:bidi="ar"/>
              </w:rPr>
              <w:t>具备法定资质的</w:t>
            </w:r>
            <w:r>
              <w:rPr>
                <w:rFonts w:hint="eastAsia" w:ascii="宋体" w:hAnsi="宋体" w:cs="宋体"/>
                <w:kern w:val="0"/>
                <w:sz w:val="18"/>
                <w:szCs w:val="18"/>
                <w:highlight w:val="none"/>
                <w:lang w:eastAsia="zh-CN" w:bidi="ar"/>
              </w:rPr>
              <w:t>检测机构</w:t>
            </w:r>
            <w:r>
              <w:rPr>
                <w:rFonts w:hint="eastAsia" w:ascii="宋体" w:hAnsi="宋体" w:cs="宋体"/>
                <w:kern w:val="0"/>
                <w:sz w:val="18"/>
                <w:szCs w:val="18"/>
                <w:highlight w:val="none"/>
                <w:lang w:bidi="ar"/>
              </w:rPr>
              <w:t>出具的检测报告</w:t>
            </w:r>
            <w:r>
              <w:rPr>
                <w:rFonts w:hint="eastAsia" w:ascii="宋体" w:hAnsi="宋体" w:cs="宋体"/>
                <w:kern w:val="0"/>
                <w:sz w:val="18"/>
                <w:szCs w:val="18"/>
                <w:highlight w:val="none"/>
                <w:lang w:eastAsia="zh-CN" w:bidi="ar"/>
              </w:rPr>
              <w:t>。</w:t>
            </w:r>
          </w:p>
        </w:tc>
      </w:tr>
      <w:tr>
        <w:tblPrEx>
          <w:tblCellMar>
            <w:top w:w="0" w:type="dxa"/>
            <w:left w:w="108" w:type="dxa"/>
            <w:bottom w:w="0" w:type="dxa"/>
            <w:right w:w="108" w:type="dxa"/>
          </w:tblCellMar>
        </w:tblPrEx>
        <w:trPr>
          <w:trHeight w:val="1878" w:hRule="atLeast"/>
        </w:trPr>
        <w:tc>
          <w:tcPr>
            <w:tcW w:w="60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4</w:t>
            </w:r>
          </w:p>
        </w:tc>
        <w:tc>
          <w:tcPr>
            <w:tcW w:w="75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01B005</w:t>
            </w:r>
          </w:p>
        </w:tc>
        <w:tc>
          <w:tcPr>
            <w:tcW w:w="101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森林灭火铁拖把</w:t>
            </w:r>
          </w:p>
        </w:tc>
        <w:tc>
          <w:tcPr>
            <w:tcW w:w="73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把</w:t>
            </w:r>
          </w:p>
        </w:tc>
        <w:tc>
          <w:tcPr>
            <w:tcW w:w="75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19</w:t>
            </w:r>
          </w:p>
        </w:tc>
        <w:tc>
          <w:tcPr>
            <w:tcW w:w="571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1、材质：钢丝+铁杆；</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2、产品参数：尺寸：铁柄长≥150cm；</w:t>
            </w:r>
          </w:p>
        </w:tc>
      </w:tr>
      <w:tr>
        <w:tblPrEx>
          <w:tblCellMar>
            <w:top w:w="0" w:type="dxa"/>
            <w:left w:w="108" w:type="dxa"/>
            <w:bottom w:w="0" w:type="dxa"/>
            <w:right w:w="108" w:type="dxa"/>
          </w:tblCellMar>
        </w:tblPrEx>
        <w:trPr>
          <w:trHeight w:val="1567" w:hRule="atLeast"/>
        </w:trPr>
        <w:tc>
          <w:tcPr>
            <w:tcW w:w="6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5</w:t>
            </w:r>
          </w:p>
        </w:tc>
        <w:tc>
          <w:tcPr>
            <w:tcW w:w="7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01B006</w:t>
            </w:r>
          </w:p>
        </w:tc>
        <w:tc>
          <w:tcPr>
            <w:tcW w:w="10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消防扳手</w:t>
            </w:r>
          </w:p>
        </w:tc>
        <w:tc>
          <w:tcPr>
            <w:tcW w:w="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把</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62</w:t>
            </w:r>
          </w:p>
        </w:tc>
        <w:tc>
          <w:tcPr>
            <w:tcW w:w="5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numPr>
                <w:ilvl w:val="0"/>
                <w:numId w:val="10"/>
              </w:numPr>
              <w:jc w:val="left"/>
              <w:textAlignment w:val="center"/>
              <w:rPr>
                <w:rFonts w:ascii="宋体" w:hAnsi="宋体" w:cs="宋体"/>
                <w:kern w:val="0"/>
                <w:sz w:val="18"/>
                <w:szCs w:val="18"/>
                <w:highlight w:val="none"/>
                <w:lang w:bidi="ar"/>
              </w:rPr>
            </w:pPr>
            <w:r>
              <w:rPr>
                <w:rFonts w:hint="eastAsia" w:ascii="宋体" w:hAnsi="宋体" w:cs="宋体"/>
                <w:kern w:val="0"/>
                <w:sz w:val="18"/>
                <w:szCs w:val="18"/>
                <w:highlight w:val="none"/>
                <w:lang w:bidi="ar"/>
              </w:rPr>
              <w:t xml:space="preserve">产品材质：加厚精铁; </w:t>
            </w:r>
          </w:p>
          <w:p>
            <w:pPr>
              <w:widowControl/>
              <w:numPr>
                <w:ilvl w:val="0"/>
                <w:numId w:val="10"/>
              </w:numPr>
              <w:jc w:val="left"/>
              <w:textAlignment w:val="center"/>
              <w:rPr>
                <w:rFonts w:ascii="宋体" w:hAnsi="宋体" w:cs="宋体"/>
                <w:kern w:val="0"/>
                <w:sz w:val="18"/>
                <w:szCs w:val="18"/>
                <w:highlight w:val="none"/>
                <w:lang w:bidi="ar"/>
              </w:rPr>
            </w:pPr>
            <w:r>
              <w:rPr>
                <w:rFonts w:hint="eastAsia" w:ascii="宋体" w:hAnsi="宋体" w:cs="宋体"/>
                <w:kern w:val="0"/>
                <w:sz w:val="18"/>
                <w:szCs w:val="18"/>
                <w:highlight w:val="none"/>
                <w:lang w:bidi="ar"/>
              </w:rPr>
              <w:t>产品参数</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t>尺寸:</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37cm*5.5cm，厚度≥1.</w:t>
            </w: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cm;</w:t>
            </w:r>
          </w:p>
          <w:p>
            <w:pPr>
              <w:widowControl/>
              <w:jc w:val="left"/>
              <w:textAlignment w:val="center"/>
              <w:rPr>
                <w:rFonts w:ascii="宋体" w:hAnsi="宋体" w:cs="宋体"/>
                <w:sz w:val="18"/>
                <w:szCs w:val="18"/>
                <w:highlight w:val="none"/>
              </w:rPr>
            </w:pPr>
          </w:p>
        </w:tc>
      </w:tr>
      <w:tr>
        <w:tblPrEx>
          <w:tblCellMar>
            <w:top w:w="0" w:type="dxa"/>
            <w:left w:w="108" w:type="dxa"/>
            <w:bottom w:w="0" w:type="dxa"/>
            <w:right w:w="108" w:type="dxa"/>
          </w:tblCellMar>
        </w:tblPrEx>
        <w:trPr>
          <w:trHeight w:val="1878" w:hRule="atLeast"/>
        </w:trPr>
        <w:tc>
          <w:tcPr>
            <w:tcW w:w="60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6</w:t>
            </w:r>
          </w:p>
        </w:tc>
        <w:tc>
          <w:tcPr>
            <w:tcW w:w="75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01B007</w:t>
            </w:r>
          </w:p>
        </w:tc>
        <w:tc>
          <w:tcPr>
            <w:tcW w:w="101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防火</w:t>
            </w:r>
            <w:r>
              <w:rPr>
                <w:rFonts w:hint="eastAsia" w:ascii="宋体" w:hAnsi="宋体" w:cs="宋体"/>
                <w:kern w:val="0"/>
                <w:sz w:val="20"/>
                <w:szCs w:val="20"/>
                <w:highlight w:val="none"/>
                <w:lang w:val="en-US" w:eastAsia="zh-CN" w:bidi="ar"/>
              </w:rPr>
              <w:t>钩</w:t>
            </w:r>
          </w:p>
        </w:tc>
        <w:tc>
          <w:tcPr>
            <w:tcW w:w="73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把</w:t>
            </w:r>
          </w:p>
        </w:tc>
        <w:tc>
          <w:tcPr>
            <w:tcW w:w="751"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44</w:t>
            </w:r>
          </w:p>
        </w:tc>
        <w:tc>
          <w:tcPr>
            <w:tcW w:w="571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1、产品材质：金属钩头+实木手柄；</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2、产品参数：总长≥175cm；</w:t>
            </w:r>
          </w:p>
        </w:tc>
      </w:tr>
      <w:tr>
        <w:tblPrEx>
          <w:tblCellMar>
            <w:top w:w="0" w:type="dxa"/>
            <w:left w:w="108" w:type="dxa"/>
            <w:bottom w:w="0" w:type="dxa"/>
            <w:right w:w="108" w:type="dxa"/>
          </w:tblCellMar>
        </w:tblPrEx>
        <w:trPr>
          <w:trHeight w:val="1430"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7</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01B008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消防灭火毯</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张</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108</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1"/>
              </w:numPr>
              <w:jc w:val="left"/>
              <w:textAlignment w:val="center"/>
              <w:rPr>
                <w:rFonts w:ascii="宋体" w:hAnsi="宋体" w:cs="宋体"/>
                <w:kern w:val="0"/>
                <w:sz w:val="18"/>
                <w:szCs w:val="18"/>
                <w:highlight w:val="none"/>
                <w:lang w:bidi="ar"/>
              </w:rPr>
            </w:pPr>
            <w:r>
              <w:rPr>
                <w:rFonts w:hint="eastAsia" w:ascii="宋体" w:hAnsi="宋体" w:cs="宋体"/>
                <w:kern w:val="0"/>
                <w:sz w:val="18"/>
                <w:szCs w:val="18"/>
                <w:highlight w:val="none"/>
                <w:lang w:bidi="ar"/>
              </w:rPr>
              <w:t xml:space="preserve">产品材质:玻璃纤维; </w:t>
            </w:r>
          </w:p>
          <w:p>
            <w:pPr>
              <w:widowControl/>
              <w:numPr>
                <w:ilvl w:val="0"/>
                <w:numId w:val="11"/>
              </w:numPr>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产品参数:尺寸:1.5m*1.5m，厚≥0.5mm</w:t>
            </w:r>
          </w:p>
        </w:tc>
      </w:tr>
      <w:tr>
        <w:tblPrEx>
          <w:tblCellMar>
            <w:top w:w="0" w:type="dxa"/>
            <w:left w:w="108" w:type="dxa"/>
            <w:bottom w:w="0" w:type="dxa"/>
            <w:right w:w="108" w:type="dxa"/>
          </w:tblCellMar>
        </w:tblPrEx>
        <w:trPr>
          <w:trHeight w:val="1475"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8</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01B009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阻火包720型</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60</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1、产品材质：防火布，珍珠岩，岩棉矿物质；</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2、产品参数：尺寸≥320mm*180mm*40mm；</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3</w:t>
            </w:r>
            <w:r>
              <w:rPr>
                <w:rFonts w:hint="eastAsia" w:ascii="宋体" w:hAnsi="宋体" w:cs="宋体"/>
                <w:kern w:val="0"/>
                <w:sz w:val="18"/>
                <w:szCs w:val="18"/>
                <w:highlight w:val="none"/>
                <w:lang w:bidi="ar"/>
              </w:rPr>
              <w:t>、★须</w:t>
            </w:r>
            <w:r>
              <w:rPr>
                <w:rFonts w:hint="eastAsia" w:ascii="宋体" w:hAnsi="宋体" w:cs="宋体"/>
                <w:kern w:val="0"/>
                <w:sz w:val="18"/>
                <w:szCs w:val="18"/>
                <w:highlight w:val="none"/>
                <w:lang w:val="en-US" w:eastAsia="zh-CN" w:bidi="ar"/>
              </w:rPr>
              <w:t>提供具备法定资质的</w:t>
            </w:r>
            <w:r>
              <w:rPr>
                <w:rFonts w:hint="eastAsia" w:ascii="宋体" w:hAnsi="宋体" w:cs="宋体"/>
                <w:kern w:val="0"/>
                <w:sz w:val="18"/>
                <w:szCs w:val="18"/>
                <w:highlight w:val="none"/>
                <w:lang w:bidi="ar"/>
              </w:rPr>
              <w:t>检测</w:t>
            </w:r>
            <w:r>
              <w:rPr>
                <w:rFonts w:hint="eastAsia" w:ascii="宋体" w:hAnsi="宋体" w:cs="宋体"/>
                <w:kern w:val="0"/>
                <w:sz w:val="18"/>
                <w:szCs w:val="18"/>
                <w:highlight w:val="none"/>
                <w:lang w:val="en-US" w:eastAsia="zh-CN" w:bidi="ar"/>
              </w:rPr>
              <w:t>机构</w:t>
            </w:r>
            <w:r>
              <w:rPr>
                <w:rFonts w:hint="eastAsia" w:ascii="宋体" w:hAnsi="宋体" w:cs="宋体"/>
                <w:kern w:val="0"/>
                <w:sz w:val="18"/>
                <w:szCs w:val="18"/>
                <w:highlight w:val="none"/>
                <w:lang w:bidi="ar"/>
              </w:rPr>
              <w:t>出具的检测报告。</w:t>
            </w:r>
          </w:p>
        </w:tc>
      </w:tr>
      <w:tr>
        <w:tblPrEx>
          <w:tblCellMar>
            <w:top w:w="0" w:type="dxa"/>
            <w:left w:w="108" w:type="dxa"/>
            <w:bottom w:w="0" w:type="dxa"/>
            <w:right w:w="108" w:type="dxa"/>
          </w:tblCellMar>
        </w:tblPrEx>
        <w:trPr>
          <w:trHeight w:val="1180"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9</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01B010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灭火器箱</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81</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1、产品材质:厚碳钢；</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2、产品参数：尺寸≥360*190*450mm</w:t>
            </w:r>
          </w:p>
        </w:tc>
      </w:tr>
      <w:tr>
        <w:tblPrEx>
          <w:tblCellMar>
            <w:top w:w="0" w:type="dxa"/>
            <w:left w:w="108" w:type="dxa"/>
            <w:bottom w:w="0" w:type="dxa"/>
            <w:right w:w="108" w:type="dxa"/>
          </w:tblCellMar>
        </w:tblPrEx>
        <w:trPr>
          <w:trHeight w:val="1635" w:hRule="atLeast"/>
        </w:trPr>
        <w:tc>
          <w:tcPr>
            <w:tcW w:w="60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10</w:t>
            </w:r>
          </w:p>
        </w:tc>
        <w:tc>
          <w:tcPr>
            <w:tcW w:w="75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01B011</w:t>
            </w:r>
          </w:p>
        </w:tc>
        <w:tc>
          <w:tcPr>
            <w:tcW w:w="101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18"/>
                <w:szCs w:val="18"/>
                <w:highlight w:val="none"/>
                <w:lang w:bidi="ar"/>
              </w:rPr>
              <w:t>4kg</w:t>
            </w:r>
            <w:r>
              <w:rPr>
                <w:rFonts w:hint="eastAsia" w:ascii="宋体" w:hAnsi="宋体" w:cs="宋体"/>
                <w:kern w:val="0"/>
                <w:sz w:val="18"/>
                <w:szCs w:val="18"/>
                <w:highlight w:val="none"/>
                <w:lang w:val="en-US" w:eastAsia="zh-CN" w:bidi="ar"/>
              </w:rPr>
              <w:t>干粉</w:t>
            </w:r>
            <w:r>
              <w:rPr>
                <w:rFonts w:hint="eastAsia" w:ascii="宋体" w:hAnsi="宋体" w:cs="宋体"/>
                <w:kern w:val="0"/>
                <w:sz w:val="20"/>
                <w:szCs w:val="20"/>
                <w:highlight w:val="none"/>
                <w:lang w:bidi="ar"/>
              </w:rPr>
              <w:t>灭火器</w:t>
            </w:r>
          </w:p>
        </w:tc>
        <w:tc>
          <w:tcPr>
            <w:tcW w:w="733"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468</w:t>
            </w:r>
          </w:p>
        </w:tc>
        <w:tc>
          <w:tcPr>
            <w:tcW w:w="5712" w:type="dxa"/>
            <w:tcBorders>
              <w:top w:val="nil"/>
              <w:left w:val="single" w:color="000000" w:sz="4" w:space="0"/>
              <w:bottom w:val="single" w:color="000000" w:sz="4" w:space="0"/>
              <w:right w:val="single" w:color="000000" w:sz="4" w:space="0"/>
            </w:tcBorders>
            <w:shd w:val="clear" w:color="auto" w:fill="FFFFFF"/>
            <w:noWrap w:val="0"/>
            <w:vAlign w:val="center"/>
          </w:tcPr>
          <w:p>
            <w:pPr>
              <w:widowControl/>
              <w:numPr>
                <w:ilvl w:val="0"/>
                <w:numId w:val="12"/>
              </w:numPr>
              <w:jc w:val="left"/>
              <w:textAlignment w:val="center"/>
              <w:rPr>
                <w:rFonts w:hint="eastAsia" w:ascii="宋体" w:hAnsi="宋体" w:cs="宋体"/>
                <w:kern w:val="0"/>
                <w:sz w:val="18"/>
                <w:szCs w:val="18"/>
                <w:highlight w:val="none"/>
                <w:lang w:eastAsia="zh-CN" w:bidi="ar"/>
              </w:rPr>
            </w:pPr>
            <w:r>
              <w:rPr>
                <w:rFonts w:hint="eastAsia" w:ascii="宋体" w:hAnsi="宋体" w:cs="宋体"/>
                <w:kern w:val="0"/>
                <w:sz w:val="18"/>
                <w:szCs w:val="18"/>
                <w:highlight w:val="none"/>
                <w:lang w:bidi="ar"/>
              </w:rPr>
              <w:t>产品材质：新国标90粉；钢瓶材质</w:t>
            </w:r>
          </w:p>
          <w:p>
            <w:pPr>
              <w:widowControl/>
              <w:numPr>
                <w:ilvl w:val="0"/>
                <w:numId w:val="0"/>
              </w:numPr>
              <w:ind w:left="0" w:leftChars="0" w:firstLine="0" w:firstLineChars="0"/>
              <w:jc w:val="left"/>
              <w:textAlignment w:val="center"/>
              <w:rPr>
                <w:rFonts w:ascii="宋体" w:hAnsi="宋体" w:cs="宋体"/>
                <w:sz w:val="18"/>
                <w:szCs w:val="18"/>
                <w:highlight w:val="none"/>
              </w:rPr>
            </w:pP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、产品符合GB4351.1-2005《手提式灭火器 第1部分:性能和结构要求》CCCF-XSRK-004:2011《消防类产品型式认可实施规则 灭火器产品》检验标准；须</w:t>
            </w:r>
            <w:r>
              <w:rPr>
                <w:rFonts w:hint="eastAsia" w:ascii="宋体" w:hAnsi="宋体" w:cs="宋体"/>
                <w:kern w:val="0"/>
                <w:sz w:val="18"/>
                <w:szCs w:val="18"/>
                <w:highlight w:val="none"/>
                <w:lang w:val="en-US" w:eastAsia="zh-CN" w:bidi="ar"/>
              </w:rPr>
              <w:t>提供具备法定资质的</w:t>
            </w:r>
            <w:r>
              <w:rPr>
                <w:rFonts w:hint="eastAsia" w:ascii="宋体" w:hAnsi="宋体" w:cs="宋体"/>
                <w:kern w:val="0"/>
                <w:sz w:val="18"/>
                <w:szCs w:val="18"/>
                <w:highlight w:val="none"/>
                <w:lang w:bidi="ar"/>
              </w:rPr>
              <w:t>检测</w:t>
            </w:r>
            <w:r>
              <w:rPr>
                <w:rFonts w:hint="eastAsia" w:ascii="宋体" w:hAnsi="宋体" w:cs="宋体"/>
                <w:kern w:val="0"/>
                <w:sz w:val="18"/>
                <w:szCs w:val="18"/>
                <w:highlight w:val="none"/>
                <w:lang w:val="en-US" w:eastAsia="zh-CN" w:bidi="ar"/>
              </w:rPr>
              <w:t>机构</w:t>
            </w:r>
            <w:r>
              <w:rPr>
                <w:rFonts w:hint="eastAsia" w:ascii="宋体" w:hAnsi="宋体" w:cs="宋体"/>
                <w:kern w:val="0"/>
                <w:sz w:val="18"/>
                <w:szCs w:val="18"/>
                <w:highlight w:val="none"/>
                <w:lang w:bidi="ar"/>
              </w:rPr>
              <w:t>出具的检测报告。</w:t>
            </w:r>
          </w:p>
        </w:tc>
      </w:tr>
      <w:tr>
        <w:tblPrEx>
          <w:tblCellMar>
            <w:top w:w="0" w:type="dxa"/>
            <w:left w:w="108" w:type="dxa"/>
            <w:bottom w:w="0" w:type="dxa"/>
            <w:right w:w="108" w:type="dxa"/>
          </w:tblCellMar>
        </w:tblPrEx>
        <w:trPr>
          <w:trHeight w:val="1575"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11</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01B012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kg</w:t>
            </w:r>
            <w:r>
              <w:rPr>
                <w:rFonts w:hint="eastAsia" w:ascii="宋体" w:hAnsi="宋体" w:cs="宋体"/>
                <w:kern w:val="0"/>
                <w:sz w:val="18"/>
                <w:szCs w:val="18"/>
                <w:highlight w:val="none"/>
                <w:lang w:val="en-US" w:eastAsia="zh-CN" w:bidi="ar"/>
              </w:rPr>
              <w:t>干粉</w:t>
            </w:r>
            <w:r>
              <w:rPr>
                <w:rFonts w:hint="eastAsia" w:ascii="宋体" w:hAnsi="宋体" w:cs="宋体"/>
                <w:kern w:val="0"/>
                <w:sz w:val="20"/>
                <w:szCs w:val="20"/>
                <w:highlight w:val="none"/>
                <w:lang w:bidi="ar"/>
              </w:rPr>
              <w:t>灭火器</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14</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0"/>
              </w:numPr>
              <w:ind w:left="0" w:leftChars="0" w:firstLine="0" w:firstLineChars="0"/>
              <w:jc w:val="left"/>
              <w:textAlignment w:val="center"/>
              <w:rPr>
                <w:rFonts w:ascii="宋体" w:hAnsi="宋体" w:cs="宋体"/>
                <w:sz w:val="18"/>
                <w:szCs w:val="18"/>
                <w:highlight w:val="none"/>
              </w:rPr>
            </w:pPr>
            <w:r>
              <w:rPr>
                <w:rFonts w:hint="eastAsia" w:ascii="宋体" w:hAnsi="宋体" w:cs="宋体"/>
                <w:kern w:val="0"/>
                <w:sz w:val="18"/>
                <w:szCs w:val="18"/>
                <w:highlight w:val="none"/>
                <w:lang w:val="en-US" w:eastAsia="zh-CN" w:bidi="ar"/>
              </w:rPr>
              <w:t>1.</w:t>
            </w:r>
            <w:r>
              <w:rPr>
                <w:rFonts w:hint="eastAsia" w:ascii="宋体" w:hAnsi="宋体" w:cs="宋体"/>
                <w:kern w:val="0"/>
                <w:sz w:val="18"/>
                <w:szCs w:val="18"/>
                <w:highlight w:val="none"/>
                <w:lang w:bidi="ar"/>
              </w:rPr>
              <w:t>产品材质：新国标90粉；钢瓶材质</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、产品符合GB4351.1-2005《手提式灭火器 第1部分:性能和结构要求》CCCF-XSRK-004:2011《消防类产品型式认可实施规则 灭火器产品》检验标准；须</w:t>
            </w:r>
            <w:r>
              <w:rPr>
                <w:rFonts w:hint="eastAsia" w:ascii="宋体" w:hAnsi="宋体" w:cs="宋体"/>
                <w:kern w:val="0"/>
                <w:sz w:val="18"/>
                <w:szCs w:val="18"/>
                <w:highlight w:val="none"/>
                <w:lang w:val="en-US" w:eastAsia="zh-CN" w:bidi="ar"/>
              </w:rPr>
              <w:t>提供具备法定资质的</w:t>
            </w:r>
            <w:r>
              <w:rPr>
                <w:rFonts w:hint="eastAsia" w:ascii="宋体" w:hAnsi="宋体" w:cs="宋体"/>
                <w:kern w:val="0"/>
                <w:sz w:val="18"/>
                <w:szCs w:val="18"/>
                <w:highlight w:val="none"/>
                <w:lang w:bidi="ar"/>
              </w:rPr>
              <w:t>检测</w:t>
            </w:r>
            <w:r>
              <w:rPr>
                <w:rFonts w:hint="eastAsia" w:ascii="宋体" w:hAnsi="宋体" w:cs="宋体"/>
                <w:kern w:val="0"/>
                <w:sz w:val="18"/>
                <w:szCs w:val="18"/>
                <w:highlight w:val="none"/>
                <w:lang w:val="en-US" w:eastAsia="zh-CN" w:bidi="ar"/>
              </w:rPr>
              <w:t>机构</w:t>
            </w:r>
            <w:r>
              <w:rPr>
                <w:rFonts w:hint="eastAsia" w:ascii="宋体" w:hAnsi="宋体" w:cs="宋体"/>
                <w:kern w:val="0"/>
                <w:sz w:val="18"/>
                <w:szCs w:val="18"/>
                <w:highlight w:val="none"/>
                <w:lang w:bidi="ar"/>
              </w:rPr>
              <w:t>出具的检测报告</w:t>
            </w:r>
          </w:p>
        </w:tc>
      </w:tr>
      <w:tr>
        <w:tblPrEx>
          <w:tblCellMar>
            <w:top w:w="0" w:type="dxa"/>
            <w:left w:w="108" w:type="dxa"/>
            <w:bottom w:w="0" w:type="dxa"/>
            <w:right w:w="108" w:type="dxa"/>
          </w:tblCellMar>
        </w:tblPrEx>
        <w:trPr>
          <w:trHeight w:val="3746" w:hRule="atLeast"/>
        </w:trPr>
        <w:tc>
          <w:tcPr>
            <w:tcW w:w="606"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12</w:t>
            </w:r>
          </w:p>
        </w:tc>
        <w:tc>
          <w:tcPr>
            <w:tcW w:w="758"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01B013</w:t>
            </w:r>
          </w:p>
        </w:tc>
        <w:tc>
          <w:tcPr>
            <w:tcW w:w="1016"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应急灯</w:t>
            </w:r>
          </w:p>
        </w:tc>
        <w:tc>
          <w:tcPr>
            <w:tcW w:w="733"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77</w:t>
            </w:r>
          </w:p>
        </w:tc>
        <w:tc>
          <w:tcPr>
            <w:tcW w:w="5712"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1、灯体材质：钢；光源</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t>LED；</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2、产品参数：产品尺寸（cm）：</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25*2</w:t>
            </w: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w:t>
            </w: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；额定电源电压:AC220V；额定工作频率:50Hz；应急供电形式：自带电源型；应急控制方式：非集中控制型；</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3</w:t>
            </w:r>
            <w:r>
              <w:rPr>
                <w:rFonts w:hint="eastAsia" w:ascii="宋体" w:hAnsi="宋体" w:cs="宋体"/>
                <w:kern w:val="0"/>
                <w:sz w:val="18"/>
                <w:szCs w:val="18"/>
                <w:highlight w:val="none"/>
                <w:lang w:bidi="ar"/>
              </w:rPr>
              <w:t>、产品符合GB17945-2010《消防应急照明和疏散指示系统》CNCA-C18-01:2014《强制性产品认证实施规则 火灾报警产品》CCCF-HZBJ-02《强制性产品认证实施细则火灾报警产品消防应急照明和疏散指示产品》检测标准</w:t>
            </w:r>
          </w:p>
        </w:tc>
      </w:tr>
      <w:tr>
        <w:tblPrEx>
          <w:tblCellMar>
            <w:top w:w="0" w:type="dxa"/>
            <w:left w:w="108" w:type="dxa"/>
            <w:bottom w:w="0" w:type="dxa"/>
            <w:right w:w="108" w:type="dxa"/>
          </w:tblCellMar>
        </w:tblPrEx>
        <w:trPr>
          <w:trHeight w:val="1256"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13</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01B014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消防器材保养卡</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张</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646</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1、产品材质：铜版纸；</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2、产品参数：尺寸：9*12cm，厚度</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t>0.3mm；</w:t>
            </w:r>
            <w:r>
              <w:rPr>
                <w:rFonts w:hint="eastAsia" w:ascii="宋体" w:hAnsi="宋体" w:cs="宋体"/>
                <w:kern w:val="0"/>
                <w:sz w:val="18"/>
                <w:szCs w:val="18"/>
                <w:highlight w:val="none"/>
                <w:lang w:bidi="ar"/>
              </w:rPr>
              <w:br w:type="textWrapping"/>
            </w:r>
          </w:p>
        </w:tc>
      </w:tr>
      <w:tr>
        <w:tblPrEx>
          <w:tblCellMar>
            <w:top w:w="0" w:type="dxa"/>
            <w:left w:w="108" w:type="dxa"/>
            <w:bottom w:w="0" w:type="dxa"/>
            <w:right w:w="108" w:type="dxa"/>
          </w:tblCellMar>
        </w:tblPrEx>
        <w:trPr>
          <w:trHeight w:val="2560" w:hRule="atLeast"/>
        </w:trPr>
        <w:tc>
          <w:tcPr>
            <w:tcW w:w="60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14</w:t>
            </w:r>
          </w:p>
        </w:tc>
        <w:tc>
          <w:tcPr>
            <w:tcW w:w="75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01B015</w:t>
            </w:r>
          </w:p>
        </w:tc>
        <w:tc>
          <w:tcPr>
            <w:tcW w:w="101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消防水带8-65-25（加接口且接好）</w:t>
            </w:r>
          </w:p>
        </w:tc>
        <w:tc>
          <w:tcPr>
            <w:tcW w:w="73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条</w:t>
            </w:r>
          </w:p>
        </w:tc>
        <w:tc>
          <w:tcPr>
            <w:tcW w:w="75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146</w:t>
            </w:r>
          </w:p>
        </w:tc>
        <w:tc>
          <w:tcPr>
            <w:tcW w:w="571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numPr>
                <w:ilvl w:val="0"/>
                <w:numId w:val="13"/>
              </w:numPr>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产品材质：涤纶长丝纬线</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2、产品参数：尺寸：长度25m，内径65mm；压力：8公斤；</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3</w:t>
            </w:r>
            <w:r>
              <w:rPr>
                <w:rFonts w:hint="eastAsia" w:ascii="宋体" w:hAnsi="宋体" w:cs="宋体"/>
                <w:kern w:val="0"/>
                <w:sz w:val="18"/>
                <w:szCs w:val="18"/>
                <w:highlight w:val="none"/>
                <w:lang w:bidi="ar"/>
              </w:rPr>
              <w:t xml:space="preserve">、产品符合GB 6246-2011《消防水带》CNCA-C18-03:2014《强制性产品认证实施规则 灭火设备产品》CCCF-MHSB-07《强制性产品认证实施细则 灭火设备产品 消防水带产品》检验标准  </w:t>
            </w:r>
          </w:p>
          <w:p>
            <w:pPr>
              <w:widowControl/>
              <w:numPr>
                <w:ilvl w:val="0"/>
                <w:numId w:val="0"/>
              </w:numPr>
              <w:ind w:left="0" w:leftChars="0" w:firstLine="0" w:firstLineChars="0"/>
              <w:jc w:val="left"/>
              <w:textAlignment w:val="center"/>
              <w:rPr>
                <w:rFonts w:ascii="宋体" w:hAnsi="宋体" w:cs="宋体"/>
                <w:sz w:val="18"/>
                <w:szCs w:val="18"/>
                <w:highlight w:val="none"/>
              </w:rPr>
            </w:pPr>
            <w:r>
              <w:rPr>
                <w:rFonts w:hint="eastAsia" w:ascii="宋体" w:hAnsi="宋体" w:cs="宋体"/>
                <w:kern w:val="0"/>
                <w:sz w:val="18"/>
                <w:szCs w:val="18"/>
                <w:highlight w:val="none"/>
                <w:lang w:val="en-US" w:eastAsia="zh-CN" w:bidi="ar"/>
              </w:rPr>
              <w:t>4</w:t>
            </w:r>
            <w:r>
              <w:rPr>
                <w:rFonts w:hint="eastAsia" w:ascii="宋体" w:hAnsi="宋体" w:cs="宋体"/>
                <w:kern w:val="0"/>
                <w:sz w:val="18"/>
                <w:szCs w:val="18"/>
                <w:highlight w:val="none"/>
                <w:lang w:bidi="ar"/>
              </w:rPr>
              <w:t>、产品需符合CCCF-CPRZ-25:2019消防类产品认证</w:t>
            </w:r>
          </w:p>
        </w:tc>
      </w:tr>
      <w:tr>
        <w:tblPrEx>
          <w:tblCellMar>
            <w:top w:w="0" w:type="dxa"/>
            <w:left w:w="108" w:type="dxa"/>
            <w:bottom w:w="0" w:type="dxa"/>
            <w:right w:w="108" w:type="dxa"/>
          </w:tblCellMar>
        </w:tblPrEx>
        <w:trPr>
          <w:trHeight w:val="2310" w:hRule="atLeast"/>
        </w:trPr>
        <w:tc>
          <w:tcPr>
            <w:tcW w:w="606"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15</w:t>
            </w:r>
          </w:p>
        </w:tc>
        <w:tc>
          <w:tcPr>
            <w:tcW w:w="7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01B016</w:t>
            </w:r>
          </w:p>
        </w:tc>
        <w:tc>
          <w:tcPr>
            <w:tcW w:w="1016"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消防水带10-65-25（加接口且接好）</w:t>
            </w:r>
          </w:p>
        </w:tc>
        <w:tc>
          <w:tcPr>
            <w:tcW w:w="73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条</w:t>
            </w:r>
          </w:p>
        </w:tc>
        <w:tc>
          <w:tcPr>
            <w:tcW w:w="75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230</w:t>
            </w:r>
          </w:p>
        </w:tc>
        <w:tc>
          <w:tcPr>
            <w:tcW w:w="5712"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1、产品材质：涤纶长丝纬线</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2、产品参数（±2%）：尺寸：长度25m，内径65mm；压力：10公斤；</w:t>
            </w:r>
            <w:r>
              <w:rPr>
                <w:rFonts w:hint="eastAsia" w:ascii="宋体" w:hAnsi="宋体" w:cs="宋体"/>
                <w:kern w:val="0"/>
                <w:sz w:val="18"/>
                <w:szCs w:val="18"/>
                <w:highlight w:val="none"/>
                <w:lang w:val="en-US" w:eastAsia="zh-CN" w:bidi="ar"/>
              </w:rPr>
              <w:t>3</w:t>
            </w:r>
            <w:r>
              <w:rPr>
                <w:rFonts w:hint="eastAsia" w:ascii="宋体" w:hAnsi="宋体" w:cs="宋体"/>
                <w:kern w:val="0"/>
                <w:sz w:val="18"/>
                <w:szCs w:val="18"/>
                <w:highlight w:val="none"/>
                <w:lang w:bidi="ar"/>
              </w:rPr>
              <w:t>、产品符合GB 6246-2011《消防水带》CNCA-C18-03:2014《强制性产品认证实施规则 灭火设备产品》CCCF-MHSB-07《强制性产品认证实施细则 灭火设备产品 消防水带产品》检验标准；</w:t>
            </w:r>
          </w:p>
        </w:tc>
      </w:tr>
      <w:tr>
        <w:tblPrEx>
          <w:tblCellMar>
            <w:top w:w="0" w:type="dxa"/>
            <w:left w:w="108" w:type="dxa"/>
            <w:bottom w:w="0" w:type="dxa"/>
            <w:right w:w="108" w:type="dxa"/>
          </w:tblCellMar>
        </w:tblPrEx>
        <w:trPr>
          <w:trHeight w:val="90" w:hRule="atLeast"/>
        </w:trPr>
        <w:tc>
          <w:tcPr>
            <w:tcW w:w="60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16</w:t>
            </w:r>
          </w:p>
        </w:tc>
        <w:tc>
          <w:tcPr>
            <w:tcW w:w="75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01B017</w:t>
            </w:r>
          </w:p>
        </w:tc>
        <w:tc>
          <w:tcPr>
            <w:tcW w:w="101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直流水枪</w:t>
            </w:r>
          </w:p>
        </w:tc>
        <w:tc>
          <w:tcPr>
            <w:tcW w:w="73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91</w:t>
            </w:r>
          </w:p>
        </w:tc>
        <w:tc>
          <w:tcPr>
            <w:tcW w:w="571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val="en-US" w:eastAsia="zh-CN" w:bidi="ar"/>
              </w:rPr>
              <w:t>1、</w:t>
            </w:r>
            <w:r>
              <w:rPr>
                <w:rFonts w:hint="eastAsia" w:ascii="宋体" w:hAnsi="宋体" w:cs="宋体"/>
                <w:kern w:val="0"/>
                <w:sz w:val="18"/>
                <w:szCs w:val="18"/>
                <w:highlight w:val="none"/>
                <w:lang w:bidi="ar"/>
              </w:rPr>
              <w:t>产品材质：铝</w:t>
            </w:r>
          </w:p>
          <w:p>
            <w:pPr>
              <w:widowControl/>
              <w:jc w:val="left"/>
              <w:textAlignment w:val="center"/>
              <w:rPr>
                <w:rFonts w:hint="default" w:ascii="宋体" w:hAnsi="宋体" w:cs="宋体"/>
                <w:kern w:val="0"/>
                <w:sz w:val="18"/>
                <w:szCs w:val="18"/>
                <w:highlight w:val="none"/>
                <w:lang w:val="en-US" w:eastAsia="zh-CN" w:bidi="ar"/>
              </w:rPr>
            </w:pP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产品参数</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t>流量 ≥7.</w:t>
            </w: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(L/s)</w:t>
            </w:r>
          </w:p>
          <w:p>
            <w:pPr>
              <w:widowControl/>
              <w:numPr>
                <w:ilvl w:val="0"/>
                <w:numId w:val="0"/>
              </w:numPr>
              <w:ind w:left="0" w:leftChars="0" w:firstLine="0" w:firstLineChars="0"/>
              <w:jc w:val="left"/>
              <w:textAlignment w:val="center"/>
              <w:rPr>
                <w:rFonts w:ascii="宋体" w:hAnsi="宋体" w:cs="宋体"/>
                <w:sz w:val="18"/>
                <w:szCs w:val="18"/>
                <w:highlight w:val="none"/>
              </w:rPr>
            </w:pPr>
            <w:r>
              <w:rPr>
                <w:rFonts w:hint="eastAsia" w:ascii="宋体" w:hAnsi="宋体" w:cs="宋体"/>
                <w:kern w:val="0"/>
                <w:sz w:val="18"/>
                <w:szCs w:val="18"/>
                <w:highlight w:val="none"/>
                <w:lang w:val="en-US" w:eastAsia="zh-CN" w:bidi="ar"/>
              </w:rPr>
              <w:t>3、</w:t>
            </w:r>
            <w:r>
              <w:rPr>
                <w:rFonts w:hint="eastAsia" w:ascii="宋体" w:hAnsi="宋体" w:cs="宋体"/>
                <w:kern w:val="0"/>
                <w:sz w:val="18"/>
                <w:szCs w:val="18"/>
                <w:highlight w:val="none"/>
                <w:lang w:bidi="ar"/>
              </w:rPr>
              <w:t>产品符合CCCF-XSRK-006: 2011《消防类产品型式认可实施规则 消防水枪产品》GB 8181-2005《消防水枪》检验标准；</w:t>
            </w:r>
          </w:p>
        </w:tc>
      </w:tr>
      <w:tr>
        <w:tblPrEx>
          <w:tblCellMar>
            <w:top w:w="0" w:type="dxa"/>
            <w:left w:w="108" w:type="dxa"/>
            <w:bottom w:w="0" w:type="dxa"/>
            <w:right w:w="108" w:type="dxa"/>
          </w:tblCellMar>
        </w:tblPrEx>
        <w:trPr>
          <w:trHeight w:val="1256" w:hRule="atLeast"/>
        </w:trPr>
        <w:tc>
          <w:tcPr>
            <w:tcW w:w="60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17</w:t>
            </w:r>
          </w:p>
        </w:tc>
        <w:tc>
          <w:tcPr>
            <w:tcW w:w="75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01B018</w:t>
            </w:r>
          </w:p>
        </w:tc>
        <w:tc>
          <w:tcPr>
            <w:tcW w:w="101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80水带喉箍</w:t>
            </w:r>
          </w:p>
        </w:tc>
        <w:tc>
          <w:tcPr>
            <w:tcW w:w="73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196</w:t>
            </w:r>
          </w:p>
        </w:tc>
        <w:tc>
          <w:tcPr>
            <w:tcW w:w="571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t>不锈钢；</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w:t>
            </w:r>
            <w:r>
              <w:rPr>
                <w:rFonts w:hint="eastAsia" w:ascii="宋体" w:hAnsi="宋体" w:cs="宋体"/>
                <w:kern w:val="0"/>
                <w:sz w:val="18"/>
                <w:szCs w:val="18"/>
                <w:highlight w:val="none"/>
                <w:lang w:val="en-US" w:eastAsia="zh-CN" w:bidi="ar"/>
              </w:rPr>
              <w:t>数</w:t>
            </w:r>
            <w:r>
              <w:rPr>
                <w:rFonts w:hint="eastAsia" w:ascii="宋体" w:hAnsi="宋体" w:cs="宋体"/>
                <w:kern w:val="0"/>
                <w:sz w:val="18"/>
                <w:szCs w:val="18"/>
                <w:highlight w:val="none"/>
                <w:lang w:bidi="ar"/>
              </w:rPr>
              <w:t>：喉箍直径收缩范围：收到最小直径为72mm，放到最大直径为95mm。</w:t>
            </w:r>
          </w:p>
        </w:tc>
      </w:tr>
      <w:tr>
        <w:tblPrEx>
          <w:tblCellMar>
            <w:top w:w="0" w:type="dxa"/>
            <w:left w:w="108" w:type="dxa"/>
            <w:bottom w:w="0" w:type="dxa"/>
            <w:right w:w="108" w:type="dxa"/>
          </w:tblCellMar>
        </w:tblPrEx>
        <w:trPr>
          <w:trHeight w:val="1186" w:hRule="atLeast"/>
        </w:trPr>
        <w:tc>
          <w:tcPr>
            <w:tcW w:w="606"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18</w:t>
            </w:r>
          </w:p>
        </w:tc>
        <w:tc>
          <w:tcPr>
            <w:tcW w:w="7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01B019</w:t>
            </w:r>
          </w:p>
        </w:tc>
        <w:tc>
          <w:tcPr>
            <w:tcW w:w="1016"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100水带喉箍</w:t>
            </w:r>
          </w:p>
        </w:tc>
        <w:tc>
          <w:tcPr>
            <w:tcW w:w="73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210</w:t>
            </w:r>
          </w:p>
        </w:tc>
        <w:tc>
          <w:tcPr>
            <w:tcW w:w="5712"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widowControl/>
              <w:numPr>
                <w:ilvl w:val="0"/>
                <w:numId w:val="14"/>
              </w:numPr>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产品材质：不锈钢；</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2、产品参数：喉箍直径收缩范围：收到最小直径为90mm，放到最大直径为115mm</w:t>
            </w:r>
          </w:p>
        </w:tc>
      </w:tr>
      <w:tr>
        <w:tblPrEx>
          <w:tblCellMar>
            <w:top w:w="0" w:type="dxa"/>
            <w:left w:w="108" w:type="dxa"/>
            <w:bottom w:w="0" w:type="dxa"/>
            <w:right w:w="108" w:type="dxa"/>
          </w:tblCellMar>
        </w:tblPrEx>
        <w:trPr>
          <w:trHeight w:val="90" w:hRule="atLeast"/>
        </w:trPr>
        <w:tc>
          <w:tcPr>
            <w:tcW w:w="60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19</w:t>
            </w:r>
          </w:p>
        </w:tc>
        <w:tc>
          <w:tcPr>
            <w:tcW w:w="75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01B020</w:t>
            </w:r>
          </w:p>
        </w:tc>
        <w:tc>
          <w:tcPr>
            <w:tcW w:w="101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水域救援战术头盔</w:t>
            </w:r>
          </w:p>
        </w:tc>
        <w:tc>
          <w:tcPr>
            <w:tcW w:w="73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44</w:t>
            </w:r>
          </w:p>
        </w:tc>
        <w:tc>
          <w:tcPr>
            <w:tcW w:w="571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5"/>
              </w:numPr>
              <w:jc w:val="left"/>
              <w:textAlignment w:val="center"/>
              <w:rPr>
                <w:rFonts w:hint="eastAsia"/>
                <w:highlight w:val="none"/>
              </w:rPr>
            </w:pPr>
            <w:r>
              <w:rPr>
                <w:rFonts w:hint="eastAsia" w:ascii="宋体" w:hAnsi="宋体" w:cs="宋体"/>
                <w:kern w:val="0"/>
                <w:sz w:val="18"/>
                <w:szCs w:val="18"/>
                <w:highlight w:val="none"/>
                <w:lang w:bidi="ar"/>
              </w:rPr>
              <w:t>产品材质: ABS工程塑料;</w:t>
            </w:r>
          </w:p>
          <w:p>
            <w:pPr>
              <w:widowControl/>
              <w:numPr>
                <w:ilvl w:val="0"/>
                <w:numId w:val="15"/>
              </w:numPr>
              <w:ind w:left="0" w:leftChars="0" w:firstLine="0" w:firstLineChars="0"/>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须</w:t>
            </w:r>
            <w:r>
              <w:rPr>
                <w:rFonts w:hint="eastAsia" w:ascii="宋体" w:hAnsi="宋体" w:cs="宋体"/>
                <w:kern w:val="0"/>
                <w:sz w:val="18"/>
                <w:szCs w:val="18"/>
                <w:highlight w:val="none"/>
                <w:lang w:val="en-US" w:eastAsia="zh-CN" w:bidi="ar"/>
              </w:rPr>
              <w:t>提供具备法定资质的</w:t>
            </w:r>
            <w:r>
              <w:rPr>
                <w:rFonts w:hint="eastAsia" w:ascii="宋体" w:hAnsi="宋体" w:cs="宋体"/>
                <w:kern w:val="0"/>
                <w:sz w:val="18"/>
                <w:szCs w:val="18"/>
                <w:highlight w:val="none"/>
                <w:lang w:bidi="ar"/>
              </w:rPr>
              <w:t>检测</w:t>
            </w:r>
            <w:r>
              <w:rPr>
                <w:rFonts w:hint="eastAsia" w:ascii="宋体" w:hAnsi="宋体" w:cs="宋体"/>
                <w:kern w:val="0"/>
                <w:sz w:val="18"/>
                <w:szCs w:val="18"/>
                <w:highlight w:val="none"/>
                <w:lang w:val="en-US" w:eastAsia="zh-CN" w:bidi="ar"/>
              </w:rPr>
              <w:t>机构</w:t>
            </w:r>
            <w:r>
              <w:rPr>
                <w:rFonts w:hint="eastAsia" w:ascii="宋体" w:hAnsi="宋体" w:cs="宋体"/>
                <w:kern w:val="0"/>
                <w:sz w:val="18"/>
                <w:szCs w:val="18"/>
                <w:highlight w:val="none"/>
                <w:lang w:bidi="ar"/>
              </w:rPr>
              <w:t>出具的检测报告</w:t>
            </w:r>
          </w:p>
        </w:tc>
      </w:tr>
      <w:tr>
        <w:tblPrEx>
          <w:tblCellMar>
            <w:top w:w="0" w:type="dxa"/>
            <w:left w:w="108" w:type="dxa"/>
            <w:bottom w:w="0" w:type="dxa"/>
            <w:right w:w="108" w:type="dxa"/>
          </w:tblCellMar>
        </w:tblPrEx>
        <w:trPr>
          <w:trHeight w:val="1058"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20</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01B021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头盔主灯</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63</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kern w:val="0"/>
                <w:sz w:val="18"/>
                <w:szCs w:val="18"/>
                <w:highlight w:val="none"/>
                <w:lang w:bidi="ar"/>
              </w:rPr>
            </w:pPr>
            <w:r>
              <w:rPr>
                <w:rFonts w:hint="eastAsia" w:ascii="宋体" w:hAnsi="宋体" w:cs="宋体"/>
                <w:kern w:val="0"/>
                <w:sz w:val="18"/>
                <w:szCs w:val="18"/>
                <w:highlight w:val="none"/>
                <w:lang w:bidi="ar"/>
              </w:rPr>
              <w:t>1.产品材质: ABS工程塑料;</w:t>
            </w:r>
          </w:p>
          <w:p>
            <w:pPr>
              <w:widowControl/>
              <w:jc w:val="left"/>
              <w:textAlignment w:val="center"/>
              <w:rPr>
                <w:rFonts w:ascii="宋体" w:hAnsi="宋体" w:cs="宋体"/>
                <w:kern w:val="0"/>
                <w:sz w:val="18"/>
                <w:szCs w:val="18"/>
                <w:highlight w:val="none"/>
                <w:lang w:bidi="ar"/>
              </w:rPr>
            </w:pPr>
            <w:r>
              <w:rPr>
                <w:rFonts w:hint="eastAsia" w:ascii="宋体" w:hAnsi="宋体" w:cs="宋体"/>
                <w:kern w:val="0"/>
                <w:sz w:val="18"/>
                <w:szCs w:val="18"/>
                <w:highlight w:val="none"/>
                <w:lang w:bidi="ar"/>
              </w:rPr>
              <w:t>2.产品基本参数：</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val="en-US" w:eastAsia="zh-CN" w:bidi="ar"/>
              </w:rPr>
              <w:t>1）</w:t>
            </w:r>
            <w:r>
              <w:rPr>
                <w:rFonts w:hint="eastAsia" w:ascii="宋体" w:hAnsi="宋体" w:cs="宋体"/>
                <w:kern w:val="0"/>
                <w:sz w:val="18"/>
                <w:szCs w:val="18"/>
                <w:highlight w:val="none"/>
                <w:lang w:bidi="ar"/>
              </w:rPr>
              <w:t>外观尺寸:</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6</w:t>
            </w: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*4</w:t>
            </w:r>
            <w:r>
              <w:rPr>
                <w:rFonts w:hint="eastAsia" w:ascii="宋体" w:hAnsi="宋体" w:cs="宋体"/>
                <w:kern w:val="0"/>
                <w:sz w:val="18"/>
                <w:szCs w:val="18"/>
                <w:highlight w:val="none"/>
                <w:lang w:val="en-US" w:eastAsia="zh-CN" w:bidi="ar"/>
              </w:rPr>
              <w:t>0</w:t>
            </w:r>
            <w:r>
              <w:rPr>
                <w:rFonts w:hint="eastAsia" w:ascii="宋体" w:hAnsi="宋体" w:cs="宋体"/>
                <w:kern w:val="0"/>
                <w:sz w:val="18"/>
                <w:szCs w:val="18"/>
                <w:highlight w:val="none"/>
                <w:lang w:bidi="ar"/>
              </w:rPr>
              <w:t>*</w:t>
            </w:r>
            <w:r>
              <w:rPr>
                <w:rFonts w:hint="eastAsia" w:ascii="宋体" w:hAnsi="宋体" w:cs="宋体"/>
                <w:kern w:val="0"/>
                <w:sz w:val="18"/>
                <w:szCs w:val="18"/>
                <w:highlight w:val="none"/>
                <w:lang w:val="en-US" w:eastAsia="zh-CN" w:bidi="ar"/>
              </w:rPr>
              <w:t>40</w:t>
            </w:r>
            <w:r>
              <w:rPr>
                <w:rFonts w:hint="eastAsia" w:ascii="宋体" w:hAnsi="宋体" w:cs="宋体"/>
                <w:kern w:val="0"/>
                <w:sz w:val="18"/>
                <w:szCs w:val="18"/>
                <w:highlight w:val="none"/>
                <w:lang w:bidi="ar"/>
              </w:rPr>
              <w:t xml:space="preserve">mm; </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光源:LED</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val="en-US" w:eastAsia="zh-CN" w:bidi="ar"/>
              </w:rPr>
              <w:t>3）</w:t>
            </w:r>
            <w:r>
              <w:rPr>
                <w:rFonts w:hint="eastAsia" w:ascii="宋体" w:hAnsi="宋体" w:cs="宋体"/>
                <w:kern w:val="0"/>
                <w:sz w:val="18"/>
                <w:szCs w:val="18"/>
                <w:highlight w:val="none"/>
                <w:lang w:bidi="ar"/>
              </w:rPr>
              <w:t>电池型号:≥1800mAh充电</w:t>
            </w:r>
            <w:r>
              <w:rPr>
                <w:rFonts w:hint="eastAsia" w:ascii="宋体" w:hAnsi="宋体" w:cs="宋体"/>
                <w:kern w:val="0"/>
                <w:sz w:val="18"/>
                <w:szCs w:val="18"/>
                <w:highlight w:val="none"/>
                <w:lang w:val="en-US" w:eastAsia="zh-CN" w:bidi="ar"/>
              </w:rPr>
              <w:t>锂</w:t>
            </w:r>
            <w:r>
              <w:rPr>
                <w:rFonts w:hint="eastAsia" w:ascii="宋体" w:hAnsi="宋体" w:cs="宋体"/>
                <w:kern w:val="0"/>
                <w:sz w:val="18"/>
                <w:szCs w:val="18"/>
                <w:highlight w:val="none"/>
                <w:lang w:bidi="ar"/>
              </w:rPr>
              <w:t>电池内置;</w:t>
            </w:r>
          </w:p>
          <w:p>
            <w:pPr>
              <w:widowControl/>
              <w:jc w:val="left"/>
              <w:textAlignment w:val="center"/>
              <w:rPr>
                <w:rFonts w:ascii="宋体" w:hAnsi="宋体" w:cs="宋体"/>
                <w:sz w:val="18"/>
                <w:szCs w:val="18"/>
                <w:highlight w:val="none"/>
              </w:rPr>
            </w:pPr>
          </w:p>
        </w:tc>
      </w:tr>
      <w:tr>
        <w:tblPrEx>
          <w:tblCellMar>
            <w:top w:w="0" w:type="dxa"/>
            <w:left w:w="108" w:type="dxa"/>
            <w:bottom w:w="0" w:type="dxa"/>
            <w:right w:w="108" w:type="dxa"/>
          </w:tblCellMar>
        </w:tblPrEx>
        <w:trPr>
          <w:trHeight w:val="2501" w:hRule="atLeast"/>
        </w:trPr>
        <w:tc>
          <w:tcPr>
            <w:tcW w:w="60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21</w:t>
            </w:r>
          </w:p>
        </w:tc>
        <w:tc>
          <w:tcPr>
            <w:tcW w:w="75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01B022</w:t>
            </w:r>
          </w:p>
        </w:tc>
        <w:tc>
          <w:tcPr>
            <w:tcW w:w="101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头盔</w:t>
            </w:r>
            <w:r>
              <w:rPr>
                <w:rFonts w:hint="eastAsia" w:ascii="宋体" w:hAnsi="宋体" w:cs="宋体"/>
                <w:kern w:val="0"/>
                <w:sz w:val="20"/>
                <w:szCs w:val="20"/>
                <w:highlight w:val="none"/>
                <w:lang w:val="en-US" w:eastAsia="zh-CN" w:bidi="ar"/>
              </w:rPr>
              <w:t>侧</w:t>
            </w:r>
            <w:r>
              <w:rPr>
                <w:rFonts w:hint="eastAsia" w:ascii="宋体" w:hAnsi="宋体" w:cs="宋体"/>
                <w:kern w:val="0"/>
                <w:sz w:val="20"/>
                <w:szCs w:val="20"/>
                <w:highlight w:val="none"/>
                <w:lang w:bidi="ar"/>
              </w:rPr>
              <w:t>灯</w:t>
            </w:r>
          </w:p>
        </w:tc>
        <w:tc>
          <w:tcPr>
            <w:tcW w:w="733"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23</w:t>
            </w:r>
          </w:p>
        </w:tc>
        <w:tc>
          <w:tcPr>
            <w:tcW w:w="5712"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1、产品材质:工程塑料;                                                                           2、产品参数:光源:LED;最大功率:10W;最高亮度(最大光通量):100流明-240流明(</w:t>
            </w:r>
            <w:r>
              <w:rPr>
                <w:rFonts w:hint="eastAsia" w:ascii="宋体" w:hAnsi="宋体" w:cs="宋体"/>
                <w:kern w:val="0"/>
                <w:sz w:val="18"/>
                <w:szCs w:val="18"/>
                <w:highlight w:val="none"/>
                <w:lang w:val="en-US" w:eastAsia="zh-CN" w:bidi="ar"/>
              </w:rPr>
              <w:t>左右</w:t>
            </w:r>
            <w:r>
              <w:rPr>
                <w:rFonts w:hint="eastAsia" w:ascii="宋体" w:hAnsi="宋体" w:cs="宋体"/>
                <w:kern w:val="0"/>
                <w:sz w:val="18"/>
                <w:szCs w:val="18"/>
                <w:highlight w:val="none"/>
                <w:lang w:bidi="ar"/>
              </w:rPr>
              <w:t>);镜片:耐高温UCL双镀膜蛙眼树脂透镜筒身材质</w:t>
            </w:r>
            <w:r>
              <w:rPr>
                <w:rFonts w:hint="eastAsia" w:ascii="宋体" w:hAnsi="宋体" w:cs="宋体"/>
                <w:kern w:val="0"/>
                <w:sz w:val="18"/>
                <w:szCs w:val="18"/>
                <w:highlight w:val="none"/>
                <w:lang w:val="en-US" w:eastAsia="zh-CN" w:bidi="ar"/>
              </w:rPr>
              <w:t>;</w:t>
            </w:r>
            <w:r>
              <w:rPr>
                <w:rFonts w:hint="eastAsia" w:ascii="宋体" w:hAnsi="宋体" w:cs="宋体"/>
                <w:kern w:val="0"/>
                <w:sz w:val="18"/>
                <w:szCs w:val="18"/>
                <w:highlight w:val="none"/>
                <w:lang w:bidi="ar"/>
              </w:rPr>
              <w:t>铝合金电源:≥1</w:t>
            </w:r>
            <w:r>
              <w:rPr>
                <w:rFonts w:hint="eastAsia" w:ascii="宋体" w:hAnsi="宋体" w:cs="宋体"/>
                <w:kern w:val="0"/>
                <w:sz w:val="18"/>
                <w:szCs w:val="18"/>
                <w:highlight w:val="none"/>
                <w:lang w:val="en-US" w:eastAsia="zh-CN" w:bidi="ar"/>
              </w:rPr>
              <w:t>40</w:t>
            </w:r>
            <w:r>
              <w:rPr>
                <w:rFonts w:hint="eastAsia" w:ascii="宋体" w:hAnsi="宋体" w:cs="宋体"/>
                <w:kern w:val="0"/>
                <w:sz w:val="18"/>
                <w:szCs w:val="18"/>
                <w:highlight w:val="none"/>
                <w:lang w:bidi="ar"/>
              </w:rPr>
              <w:t>00mAh</w:t>
            </w:r>
            <w:r>
              <w:rPr>
                <w:rFonts w:hint="eastAsia" w:ascii="宋体" w:hAnsi="宋体" w:cs="宋体"/>
                <w:kern w:val="0"/>
                <w:sz w:val="18"/>
                <w:szCs w:val="18"/>
                <w:highlight w:val="none"/>
                <w:lang w:val="en-US" w:eastAsia="zh-CN" w:bidi="ar"/>
              </w:rPr>
              <w:t>锂</w:t>
            </w:r>
            <w:r>
              <w:rPr>
                <w:rFonts w:hint="eastAsia" w:ascii="宋体" w:hAnsi="宋体" w:cs="宋体"/>
                <w:kern w:val="0"/>
                <w:sz w:val="18"/>
                <w:szCs w:val="18"/>
                <w:highlight w:val="none"/>
                <w:lang w:bidi="ar"/>
              </w:rPr>
              <w:t>电池供电或5号电池1节:射程:50m-100m(</w:t>
            </w:r>
            <w:r>
              <w:rPr>
                <w:rFonts w:hint="eastAsia" w:ascii="宋体" w:hAnsi="宋体" w:cs="宋体"/>
                <w:kern w:val="0"/>
                <w:sz w:val="18"/>
                <w:szCs w:val="18"/>
                <w:highlight w:val="none"/>
                <w:lang w:val="en-US" w:eastAsia="zh-CN" w:bidi="ar"/>
              </w:rPr>
              <w:t>左右</w:t>
            </w:r>
            <w:r>
              <w:rPr>
                <w:rFonts w:hint="eastAsia" w:ascii="宋体" w:hAnsi="宋体" w:cs="宋体"/>
                <w:kern w:val="0"/>
                <w:sz w:val="18"/>
                <w:szCs w:val="18"/>
                <w:highlight w:val="none"/>
                <w:lang w:bidi="ar"/>
              </w:rPr>
              <w:t>):档位:强光-弱光-爆闪;续航时间:强光1-2小时，弱光和爆闪2-4小时声明;长度:</w:t>
            </w:r>
            <w:r>
              <w:rPr>
                <w:rFonts w:hint="eastAsia" w:ascii="宋体" w:hAnsi="宋体" w:cs="宋体"/>
                <w:kern w:val="0"/>
                <w:sz w:val="18"/>
                <w:szCs w:val="18"/>
                <w:highlight w:val="none"/>
                <w:lang w:val="en-US" w:eastAsia="zh-CN" w:bidi="ar"/>
              </w:rPr>
              <w:t>9</w:t>
            </w:r>
            <w:r>
              <w:rPr>
                <w:rFonts w:hint="eastAsia" w:ascii="宋体" w:hAnsi="宋体" w:cs="宋体"/>
                <w:kern w:val="0"/>
                <w:sz w:val="18"/>
                <w:szCs w:val="18"/>
                <w:highlight w:val="none"/>
                <w:lang w:bidi="ar"/>
              </w:rPr>
              <w:t>cm</w:t>
            </w:r>
            <w:r>
              <w:rPr>
                <w:rFonts w:hint="eastAsia" w:ascii="宋体" w:hAnsi="宋体" w:cs="宋体"/>
                <w:kern w:val="0"/>
                <w:sz w:val="18"/>
                <w:szCs w:val="18"/>
                <w:highlight w:val="none"/>
                <w:lang w:val="en-US" w:eastAsia="zh-CN" w:bidi="ar"/>
              </w:rPr>
              <w:t>左右</w:t>
            </w:r>
            <w:r>
              <w:rPr>
                <w:rFonts w:hint="eastAsia" w:ascii="宋体" w:hAnsi="宋体" w:cs="宋体"/>
                <w:kern w:val="0"/>
                <w:sz w:val="18"/>
                <w:szCs w:val="18"/>
                <w:highlight w:val="none"/>
                <w:lang w:bidi="ar"/>
              </w:rPr>
              <w:t>;</w:t>
            </w:r>
          </w:p>
        </w:tc>
      </w:tr>
      <w:tr>
        <w:tblPrEx>
          <w:tblCellMar>
            <w:top w:w="0" w:type="dxa"/>
            <w:left w:w="108" w:type="dxa"/>
            <w:bottom w:w="0" w:type="dxa"/>
            <w:right w:w="108" w:type="dxa"/>
          </w:tblCellMar>
        </w:tblPrEx>
        <w:trPr>
          <w:trHeight w:val="2463" w:hRule="atLeast"/>
        </w:trPr>
        <w:tc>
          <w:tcPr>
            <w:tcW w:w="60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22</w:t>
            </w:r>
          </w:p>
        </w:tc>
        <w:tc>
          <w:tcPr>
            <w:tcW w:w="75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01B023</w:t>
            </w:r>
          </w:p>
        </w:tc>
        <w:tc>
          <w:tcPr>
            <w:tcW w:w="101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救援头盔</w:t>
            </w:r>
          </w:p>
        </w:tc>
        <w:tc>
          <w:tcPr>
            <w:tcW w:w="73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套</w:t>
            </w:r>
          </w:p>
        </w:tc>
        <w:tc>
          <w:tcPr>
            <w:tcW w:w="75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7</w:t>
            </w:r>
          </w:p>
        </w:tc>
        <w:tc>
          <w:tcPr>
            <w:tcW w:w="571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numPr>
                <w:ilvl w:val="0"/>
                <w:numId w:val="16"/>
              </w:numPr>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产品材质：ABS材质真尼龙织带；</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2、产品参数：产品包含：头盔+强光头灯+信号灯+放光魔术贴+战术侧强光灯+防暴护目镜+记录仪；</w:t>
            </w:r>
            <w:r>
              <w:rPr>
                <w:rFonts w:hint="eastAsia" w:ascii="宋体" w:hAnsi="宋体" w:cs="宋体"/>
                <w:kern w:val="0"/>
                <w:sz w:val="18"/>
                <w:szCs w:val="18"/>
                <w:highlight w:val="none"/>
                <w:lang w:val="en-US" w:eastAsia="zh-CN" w:bidi="ar"/>
              </w:rPr>
              <w:t>记录仪续航</w:t>
            </w:r>
            <w:r>
              <w:rPr>
                <w:rFonts w:hint="eastAsia" w:ascii="宋体" w:hAnsi="宋体" w:cs="宋体"/>
                <w:kern w:val="0"/>
                <w:sz w:val="18"/>
                <w:szCs w:val="18"/>
                <w:highlight w:val="none"/>
                <w:lang w:bidi="ar"/>
              </w:rPr>
              <w:t>≥</w:t>
            </w:r>
            <w:r>
              <w:rPr>
                <w:rFonts w:hint="eastAsia" w:ascii="宋体" w:hAnsi="宋体" w:cs="宋体"/>
                <w:kern w:val="0"/>
                <w:sz w:val="18"/>
                <w:szCs w:val="18"/>
                <w:highlight w:val="none"/>
                <w:lang w:val="en-US" w:eastAsia="zh-CN" w:bidi="ar"/>
              </w:rPr>
              <w:t>12小时。</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3</w:t>
            </w:r>
            <w:r>
              <w:rPr>
                <w:rFonts w:hint="eastAsia" w:ascii="宋体" w:hAnsi="宋体" w:cs="宋体"/>
                <w:kern w:val="0"/>
                <w:sz w:val="18"/>
                <w:szCs w:val="18"/>
                <w:highlight w:val="none"/>
                <w:lang w:bidi="ar"/>
              </w:rPr>
              <w:t>、★产品符合XF44-2015《消防头盔》、XF633-2006《消防员抢险救援防护服装》检测要求，须提供</w:t>
            </w:r>
            <w:r>
              <w:rPr>
                <w:rFonts w:hint="eastAsia" w:ascii="宋体" w:hAnsi="宋体" w:cs="宋体"/>
                <w:kern w:val="0"/>
                <w:sz w:val="18"/>
                <w:szCs w:val="18"/>
                <w:highlight w:val="none"/>
                <w:lang w:val="en-US" w:eastAsia="zh-CN" w:bidi="ar"/>
              </w:rPr>
              <w:t>具备法定资质的</w:t>
            </w:r>
            <w:r>
              <w:rPr>
                <w:rFonts w:hint="eastAsia" w:ascii="宋体" w:hAnsi="宋体" w:cs="宋体"/>
                <w:kern w:val="0"/>
                <w:sz w:val="18"/>
                <w:szCs w:val="18"/>
                <w:highlight w:val="none"/>
                <w:lang w:eastAsia="zh-CN" w:bidi="ar"/>
              </w:rPr>
              <w:t>检测机构</w:t>
            </w:r>
            <w:r>
              <w:rPr>
                <w:rFonts w:hint="eastAsia" w:ascii="宋体" w:hAnsi="宋体" w:cs="宋体"/>
                <w:kern w:val="0"/>
                <w:sz w:val="18"/>
                <w:szCs w:val="18"/>
                <w:highlight w:val="none"/>
                <w:lang w:bidi="ar"/>
              </w:rPr>
              <w:t>出具的检测报告</w:t>
            </w:r>
            <w:r>
              <w:rPr>
                <w:rFonts w:hint="eastAsia" w:ascii="宋体" w:hAnsi="宋体" w:cs="宋体"/>
                <w:kern w:val="0"/>
                <w:sz w:val="18"/>
                <w:szCs w:val="18"/>
                <w:highlight w:val="none"/>
                <w:lang w:val="en-US" w:eastAsia="zh-CN" w:bidi="ar"/>
              </w:rPr>
              <w:t xml:space="preserve"> </w:t>
            </w:r>
            <w:r>
              <w:rPr>
                <w:rFonts w:hint="eastAsia" w:ascii="宋体" w:hAnsi="宋体" w:cs="宋体"/>
                <w:kern w:val="0"/>
                <w:sz w:val="18"/>
                <w:szCs w:val="18"/>
                <w:highlight w:val="none"/>
                <w:lang w:bidi="ar"/>
              </w:rPr>
              <w:t>。</w:t>
            </w:r>
          </w:p>
        </w:tc>
      </w:tr>
      <w:tr>
        <w:tblPrEx>
          <w:tblCellMar>
            <w:top w:w="0" w:type="dxa"/>
            <w:left w:w="108" w:type="dxa"/>
            <w:bottom w:w="0" w:type="dxa"/>
            <w:right w:w="108" w:type="dxa"/>
          </w:tblCellMar>
        </w:tblPrEx>
        <w:trPr>
          <w:trHeight w:val="6117" w:hRule="atLeast"/>
        </w:trPr>
        <w:tc>
          <w:tcPr>
            <w:tcW w:w="606"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23</w:t>
            </w:r>
          </w:p>
        </w:tc>
        <w:tc>
          <w:tcPr>
            <w:tcW w:w="7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01B024</w:t>
            </w:r>
          </w:p>
        </w:tc>
        <w:tc>
          <w:tcPr>
            <w:tcW w:w="1016"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干式水域救援服</w:t>
            </w:r>
          </w:p>
        </w:tc>
        <w:tc>
          <w:tcPr>
            <w:tcW w:w="73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套</w:t>
            </w:r>
          </w:p>
        </w:tc>
        <w:tc>
          <w:tcPr>
            <w:tcW w:w="75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5</w:t>
            </w:r>
          </w:p>
        </w:tc>
        <w:tc>
          <w:tcPr>
            <w:tcW w:w="5712"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18"/>
                <w:szCs w:val="18"/>
                <w:highlight w:val="none"/>
                <w:lang w:val="en-US" w:eastAsia="zh-CN" w:bidi="ar"/>
              </w:rPr>
            </w:pPr>
            <w:r>
              <w:rPr>
                <w:rFonts w:hint="eastAsia" w:ascii="宋体" w:hAnsi="宋体" w:cs="宋体"/>
                <w:kern w:val="0"/>
                <w:sz w:val="18"/>
                <w:szCs w:val="18"/>
                <w:highlight w:val="none"/>
                <w:lang w:bidi="ar"/>
              </w:rPr>
              <w:t xml:space="preserve">干式水域救援服：1.采用320D加粗3层防水透气复合尼龙布，面料断裂强力：经向≥2200N，纬向≥1000N，透气蒸汽性能≥1.65/（每平方米、24小时），接缝强力≥270N,耐静水压性能≥26KPa </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2.红色为整体主色配置黑色补强；有门襟设计，防水拉链闭合，外设挡水护盖，如厕时不用脱下整件衣服</w:t>
            </w:r>
            <w:r>
              <w:rPr>
                <w:rFonts w:hint="eastAsia" w:ascii="宋体" w:hAnsi="宋体" w:cs="宋体"/>
                <w:kern w:val="0"/>
                <w:sz w:val="18"/>
                <w:szCs w:val="18"/>
                <w:highlight w:val="none"/>
                <w:lang w:val="en-US" w:eastAsia="zh-CN" w:bidi="ar"/>
              </w:rPr>
              <w:t>；</w:t>
            </w:r>
            <w:r>
              <w:rPr>
                <w:rFonts w:hint="eastAsia" w:ascii="宋体" w:hAnsi="宋体" w:cs="宋体"/>
                <w:kern w:val="0"/>
                <w:sz w:val="18"/>
                <w:szCs w:val="18"/>
                <w:highlight w:val="none"/>
                <w:lang w:bidi="ar"/>
              </w:rPr>
              <w:t>采用一体式袜套。</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3.大腿部两侧增加有排水孔工具袋。</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4.高亮反光带，两手臂都有水平竖直反光条，反光条宽度≥25mm；膝盖和臀部位置耐磨采用杜邦考杜拉的加厚层</w:t>
            </w:r>
            <w:r>
              <w:rPr>
                <w:rFonts w:hint="eastAsia" w:ascii="宋体" w:hAnsi="宋体" w:cs="宋体"/>
                <w:kern w:val="0"/>
                <w:sz w:val="18"/>
                <w:szCs w:val="18"/>
                <w:highlight w:val="none"/>
                <w:lang w:val="en-US" w:eastAsia="zh-CN" w:bidi="ar"/>
              </w:rPr>
              <w:t>；</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5.前斜拉链为气密防水拉链及粘贴保护盖</w:t>
            </w:r>
            <w:r>
              <w:rPr>
                <w:rFonts w:hint="eastAsia" w:ascii="宋体" w:hAnsi="宋体" w:cs="宋体"/>
                <w:kern w:val="0"/>
                <w:sz w:val="18"/>
                <w:szCs w:val="18"/>
                <w:highlight w:val="none"/>
                <w:lang w:val="en-US" w:eastAsia="zh-CN" w:bidi="ar"/>
              </w:rPr>
              <w:t>；</w:t>
            </w:r>
          </w:p>
          <w:p>
            <w:pPr>
              <w:widowControl/>
              <w:jc w:val="left"/>
              <w:textAlignment w:val="center"/>
              <w:rPr>
                <w:rFonts w:hint="eastAsia" w:ascii="宋体" w:hAnsi="宋体" w:cs="宋体"/>
                <w:kern w:val="0"/>
                <w:sz w:val="18"/>
                <w:szCs w:val="18"/>
                <w:highlight w:val="none"/>
                <w:lang w:val="en-US" w:eastAsia="zh-CN" w:bidi="ar"/>
              </w:rPr>
            </w:pPr>
            <w:r>
              <w:rPr>
                <w:rFonts w:hint="eastAsia" w:ascii="宋体" w:hAnsi="宋体" w:cs="宋体"/>
                <w:kern w:val="0"/>
                <w:sz w:val="18"/>
                <w:szCs w:val="18"/>
                <w:highlight w:val="none"/>
                <w:lang w:bidi="ar"/>
              </w:rPr>
              <w:t xml:space="preserve">6.领口、袖口使用乳胶材质， 橡胶颈部和腕关节弹性伸缩袖口、领口。                          </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7.配可调节式魔术贴松紧领口及袖口</w:t>
            </w:r>
            <w:r>
              <w:rPr>
                <w:rFonts w:hint="eastAsia" w:ascii="宋体" w:hAnsi="宋体" w:cs="宋体"/>
                <w:kern w:val="0"/>
                <w:sz w:val="18"/>
                <w:szCs w:val="18"/>
                <w:highlight w:val="none"/>
                <w:lang w:val="en-US" w:eastAsia="zh-CN" w:bidi="ar"/>
              </w:rPr>
              <w:t>；</w:t>
            </w:r>
          </w:p>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8.★保温性能：穿着救援服的受试者经受1h浸水试验后，不得降至10°C以下，体温下降不得超过2°C，且身体活动不受限制。</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9.★防渗漏性能：水中漫泡1h后服装进水量≤0.1kg；</w:t>
            </w:r>
          </w:p>
          <w:p>
            <w:pPr>
              <w:widowControl/>
              <w:jc w:val="left"/>
              <w:textAlignment w:val="center"/>
              <w:rPr>
                <w:rFonts w:hint="eastAsia" w:ascii="宋体" w:hAnsi="宋体" w:eastAsia="宋体" w:cs="宋体"/>
                <w:sz w:val="18"/>
                <w:szCs w:val="18"/>
                <w:highlight w:val="none"/>
                <w:lang w:eastAsia="zh-CN"/>
              </w:rPr>
            </w:pPr>
            <w:r>
              <w:rPr>
                <w:rFonts w:hint="eastAsia" w:ascii="宋体" w:hAnsi="宋体" w:cs="宋体"/>
                <w:kern w:val="0"/>
                <w:sz w:val="18"/>
                <w:szCs w:val="18"/>
                <w:highlight w:val="none"/>
                <w:lang w:val="en-US" w:eastAsia="zh-CN" w:bidi="ar"/>
              </w:rPr>
              <w:t>10.</w:t>
            </w:r>
            <w:r>
              <w:rPr>
                <w:rFonts w:hint="eastAsia" w:ascii="宋体" w:hAnsi="宋体" w:cs="宋体"/>
                <w:kern w:val="0"/>
                <w:sz w:val="18"/>
                <w:szCs w:val="18"/>
                <w:highlight w:val="none"/>
                <w:lang w:bidi="ar"/>
              </w:rPr>
              <w:t>★温度适用性能：10个高低温循环后，产品无皱缩、破裂、胀大、分解等现象或机械性能的改变</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★须提供</w:t>
            </w:r>
            <w:r>
              <w:rPr>
                <w:rFonts w:hint="eastAsia" w:ascii="宋体" w:hAnsi="宋体" w:cs="宋体"/>
                <w:kern w:val="0"/>
                <w:sz w:val="18"/>
                <w:szCs w:val="18"/>
                <w:highlight w:val="none"/>
                <w:lang w:val="en-US" w:eastAsia="zh-CN" w:bidi="ar"/>
              </w:rPr>
              <w:t>具备法定资质的</w:t>
            </w:r>
            <w:r>
              <w:rPr>
                <w:rFonts w:hint="eastAsia" w:ascii="宋体" w:hAnsi="宋体" w:cs="宋体"/>
                <w:kern w:val="0"/>
                <w:sz w:val="18"/>
                <w:szCs w:val="18"/>
                <w:highlight w:val="none"/>
                <w:lang w:eastAsia="zh-CN" w:bidi="ar"/>
              </w:rPr>
              <w:t>检测机构</w:t>
            </w:r>
            <w:r>
              <w:rPr>
                <w:rFonts w:hint="eastAsia" w:ascii="宋体" w:hAnsi="宋体" w:cs="宋体"/>
                <w:kern w:val="0"/>
                <w:sz w:val="18"/>
                <w:szCs w:val="18"/>
                <w:highlight w:val="none"/>
                <w:lang w:bidi="ar"/>
              </w:rPr>
              <w:t>出具的检测报告</w:t>
            </w:r>
            <w:r>
              <w:rPr>
                <w:rFonts w:hint="eastAsia" w:ascii="宋体" w:hAnsi="宋体" w:cs="宋体"/>
                <w:kern w:val="0"/>
                <w:sz w:val="18"/>
                <w:szCs w:val="18"/>
                <w:highlight w:val="none"/>
                <w:lang w:val="en-US" w:eastAsia="zh-CN" w:bidi="ar"/>
              </w:rPr>
              <w:t xml:space="preserve"> </w:t>
            </w:r>
            <w:r>
              <w:rPr>
                <w:rFonts w:hint="eastAsia" w:ascii="宋体" w:hAnsi="宋体" w:cs="宋体"/>
                <w:kern w:val="0"/>
                <w:sz w:val="18"/>
                <w:szCs w:val="18"/>
                <w:highlight w:val="none"/>
                <w:lang w:bidi="ar"/>
              </w:rPr>
              <w:t>。“★”标示检测报告中必须体现项</w:t>
            </w:r>
            <w:r>
              <w:rPr>
                <w:rFonts w:hint="eastAsia" w:ascii="宋体" w:hAnsi="宋体" w:cs="宋体"/>
                <w:kern w:val="0"/>
                <w:sz w:val="18"/>
                <w:szCs w:val="18"/>
                <w:highlight w:val="none"/>
                <w:lang w:eastAsia="zh-CN" w:bidi="ar"/>
              </w:rPr>
              <w:t>。</w:t>
            </w:r>
          </w:p>
        </w:tc>
      </w:tr>
      <w:tr>
        <w:tblPrEx>
          <w:tblCellMar>
            <w:top w:w="0" w:type="dxa"/>
            <w:left w:w="108" w:type="dxa"/>
            <w:bottom w:w="0" w:type="dxa"/>
            <w:right w:w="108" w:type="dxa"/>
          </w:tblCellMar>
        </w:tblPrEx>
        <w:trPr>
          <w:trHeight w:val="3332" w:hRule="atLeast"/>
        </w:trPr>
        <w:tc>
          <w:tcPr>
            <w:tcW w:w="606"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color w:val="0000FF"/>
                <w:sz w:val="18"/>
                <w:szCs w:val="18"/>
                <w:highlight w:val="none"/>
              </w:rPr>
            </w:pPr>
            <w:r>
              <w:rPr>
                <w:rFonts w:hint="eastAsia" w:ascii="宋体" w:hAnsi="宋体" w:cs="宋体"/>
                <w:color w:val="auto"/>
                <w:kern w:val="0"/>
                <w:sz w:val="18"/>
                <w:szCs w:val="18"/>
                <w:highlight w:val="none"/>
                <w:lang w:bidi="ar"/>
              </w:rPr>
              <w:t>24</w:t>
            </w:r>
          </w:p>
        </w:tc>
        <w:tc>
          <w:tcPr>
            <w:tcW w:w="7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01B025</w:t>
            </w:r>
          </w:p>
        </w:tc>
        <w:tc>
          <w:tcPr>
            <w:tcW w:w="1016"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水域救援抛绳包</w:t>
            </w:r>
          </w:p>
        </w:tc>
        <w:tc>
          <w:tcPr>
            <w:tcW w:w="73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15</w:t>
            </w:r>
          </w:p>
        </w:tc>
        <w:tc>
          <w:tcPr>
            <w:tcW w:w="5712"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numPr>
                <w:ilvl w:val="0"/>
                <w:numId w:val="17"/>
              </w:numPr>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带有双重快速释放装置的腰带部分，背后中间部分设有不锈钢D型扣</w:t>
            </w:r>
            <w:r>
              <w:rPr>
                <w:rFonts w:hint="eastAsia" w:ascii="宋体" w:hAnsi="宋体" w:cs="宋体"/>
                <w:kern w:val="0"/>
                <w:sz w:val="18"/>
                <w:szCs w:val="18"/>
                <w:highlight w:val="none"/>
                <w:lang w:val="en-US" w:eastAsia="zh-CN" w:bidi="ar"/>
              </w:rPr>
              <w:t>；</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2.橘红色高强度CORDURA面料包体</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t>包体设有</w:t>
            </w:r>
            <w:r>
              <w:rPr>
                <w:rFonts w:hint="eastAsia" w:ascii="宋体" w:hAnsi="宋体" w:cs="宋体"/>
                <w:kern w:val="0"/>
                <w:sz w:val="18"/>
                <w:szCs w:val="18"/>
                <w:highlight w:val="none"/>
                <w:lang w:val="en-US" w:eastAsia="zh-CN" w:bidi="ar"/>
              </w:rPr>
              <w:t>加宽网眼布和</w:t>
            </w:r>
            <w:r>
              <w:rPr>
                <w:rFonts w:hint="eastAsia" w:ascii="宋体" w:hAnsi="宋体" w:cs="宋体"/>
                <w:kern w:val="0"/>
                <w:sz w:val="18"/>
                <w:szCs w:val="18"/>
                <w:highlight w:val="none"/>
                <w:lang w:bidi="ar"/>
              </w:rPr>
              <w:t>反光带。</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3.束口绳设有筒形卡锁</w:t>
            </w:r>
            <w:r>
              <w:rPr>
                <w:rFonts w:hint="eastAsia" w:ascii="宋体" w:hAnsi="宋体" w:cs="宋体"/>
                <w:kern w:val="0"/>
                <w:sz w:val="18"/>
                <w:szCs w:val="18"/>
                <w:highlight w:val="none"/>
                <w:lang w:val="en-US" w:eastAsia="zh-CN" w:bidi="ar"/>
              </w:rPr>
              <w:t>；</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4.包体内置浮力泡棉，500D</w:t>
            </w:r>
            <w:r>
              <w:rPr>
                <w:rFonts w:hint="eastAsia" w:ascii="宋体" w:hAnsi="宋体" w:cs="宋体"/>
                <w:kern w:val="0"/>
                <w:sz w:val="18"/>
                <w:szCs w:val="18"/>
                <w:highlight w:val="none"/>
                <w:lang w:val="en-US" w:eastAsia="zh-CN" w:bidi="ar"/>
              </w:rPr>
              <w:t>牛津布、</w:t>
            </w:r>
            <w:r>
              <w:rPr>
                <w:rFonts w:hint="eastAsia" w:ascii="宋体" w:hAnsi="宋体" w:cs="宋体"/>
                <w:kern w:val="0"/>
                <w:sz w:val="18"/>
                <w:szCs w:val="18"/>
                <w:highlight w:val="none"/>
                <w:lang w:bidi="ar"/>
              </w:rPr>
              <w:t>PU防水口袋盖部面料，可漂浮于水面上。</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5.绳包尾部设不锈钢D型扣。</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6.包内有15米</w:t>
            </w:r>
            <w:r>
              <w:rPr>
                <w:rFonts w:hint="eastAsia" w:ascii="宋体" w:hAnsi="宋体" w:cs="宋体"/>
                <w:kern w:val="0"/>
                <w:sz w:val="18"/>
                <w:szCs w:val="18"/>
                <w:highlight w:val="none"/>
                <w:lang w:val="en-US" w:eastAsia="zh-CN" w:bidi="ar"/>
              </w:rPr>
              <w:t>的</w:t>
            </w:r>
            <w:r>
              <w:rPr>
                <w:rFonts w:hint="eastAsia" w:ascii="宋体" w:hAnsi="宋体" w:cs="宋体"/>
                <w:kern w:val="0"/>
                <w:sz w:val="18"/>
                <w:szCs w:val="18"/>
                <w:highlight w:val="none"/>
                <w:lang w:bidi="ar"/>
              </w:rPr>
              <w:t>直径</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6MM水面漂浮救生绳，抗拉强度≥12KN，聚丙烯纤维交叉编织外层，内包聚乙烯绳芯</w:t>
            </w:r>
            <w:r>
              <w:rPr>
                <w:rFonts w:hint="eastAsia" w:ascii="宋体" w:hAnsi="宋体" w:cs="宋体"/>
                <w:kern w:val="0"/>
                <w:sz w:val="18"/>
                <w:szCs w:val="18"/>
                <w:highlight w:val="none"/>
                <w:lang w:val="en-US" w:eastAsia="zh-CN" w:bidi="ar"/>
              </w:rPr>
              <w:t>；</w:t>
            </w:r>
          </w:p>
          <w:p>
            <w:pPr>
              <w:widowControl/>
              <w:numPr>
                <w:ilvl w:val="0"/>
                <w:numId w:val="0"/>
              </w:numPr>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7.外层编织荧光和反光材料，绳包外部设计有一处魔术贴，适合快速粘贴队徽、自定义名称、应急救援LOGO等。</w:t>
            </w:r>
          </w:p>
        </w:tc>
      </w:tr>
      <w:tr>
        <w:tblPrEx>
          <w:tblCellMar>
            <w:top w:w="0" w:type="dxa"/>
            <w:left w:w="108" w:type="dxa"/>
            <w:bottom w:w="0" w:type="dxa"/>
            <w:right w:w="108" w:type="dxa"/>
          </w:tblCellMar>
        </w:tblPrEx>
        <w:trPr>
          <w:trHeight w:val="4273" w:hRule="atLeast"/>
        </w:trPr>
        <w:tc>
          <w:tcPr>
            <w:tcW w:w="6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cs="宋体"/>
                <w:color w:val="0000FF"/>
                <w:sz w:val="18"/>
                <w:szCs w:val="18"/>
                <w:highlight w:val="none"/>
              </w:rPr>
            </w:pPr>
            <w:r>
              <w:rPr>
                <w:rFonts w:hint="eastAsia" w:ascii="宋体" w:hAnsi="宋体" w:cs="宋体"/>
                <w:color w:val="auto"/>
                <w:kern w:val="0"/>
                <w:sz w:val="18"/>
                <w:szCs w:val="18"/>
                <w:highlight w:val="none"/>
                <w:lang w:bidi="ar"/>
              </w:rPr>
              <w:t>25</w:t>
            </w:r>
          </w:p>
        </w:tc>
        <w:tc>
          <w:tcPr>
            <w:tcW w:w="7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01B026</w:t>
            </w:r>
          </w:p>
        </w:tc>
        <w:tc>
          <w:tcPr>
            <w:tcW w:w="10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水域重型救生衣</w:t>
            </w:r>
          </w:p>
        </w:tc>
        <w:tc>
          <w:tcPr>
            <w:tcW w:w="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套</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32</w:t>
            </w:r>
          </w:p>
        </w:tc>
        <w:tc>
          <w:tcPr>
            <w:tcW w:w="5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numPr>
                <w:ilvl w:val="0"/>
                <w:numId w:val="18"/>
              </w:numPr>
              <w:jc w:val="left"/>
              <w:textAlignment w:val="center"/>
              <w:rPr>
                <w:rFonts w:hint="eastAsia"/>
                <w:sz w:val="18"/>
                <w:szCs w:val="18"/>
                <w:highlight w:val="none"/>
              </w:rPr>
            </w:pPr>
            <w:r>
              <w:rPr>
                <w:rFonts w:hint="eastAsia"/>
                <w:sz w:val="18"/>
                <w:szCs w:val="18"/>
                <w:highlight w:val="none"/>
              </w:rPr>
              <w:t>可产生的浮力≥115N；</w:t>
            </w:r>
            <w:r>
              <w:rPr>
                <w:rFonts w:hint="eastAsia"/>
                <w:sz w:val="18"/>
                <w:szCs w:val="18"/>
                <w:highlight w:val="none"/>
              </w:rPr>
              <w:br w:type="textWrapping"/>
            </w:r>
            <w:r>
              <w:rPr>
                <w:rFonts w:hint="eastAsia"/>
                <w:sz w:val="18"/>
                <w:szCs w:val="18"/>
                <w:highlight w:val="none"/>
              </w:rPr>
              <w:t>2. 激流救援型救生衣</w:t>
            </w:r>
          </w:p>
          <w:p>
            <w:pPr>
              <w:widowControl/>
              <w:numPr>
                <w:ilvl w:val="0"/>
                <w:numId w:val="0"/>
              </w:numPr>
              <w:ind w:leftChars="0"/>
              <w:jc w:val="left"/>
              <w:textAlignment w:val="center"/>
              <w:rPr>
                <w:rFonts w:hint="eastAsia"/>
                <w:sz w:val="18"/>
                <w:szCs w:val="18"/>
                <w:highlight w:val="none"/>
              </w:rPr>
            </w:pPr>
            <w:r>
              <w:rPr>
                <w:rFonts w:hint="eastAsia"/>
                <w:sz w:val="18"/>
                <w:szCs w:val="18"/>
                <w:highlight w:val="none"/>
                <w:lang w:val="en-US" w:eastAsia="zh-CN"/>
              </w:rPr>
              <w:t xml:space="preserve">3. </w:t>
            </w:r>
            <w:r>
              <w:rPr>
                <w:rFonts w:hint="eastAsia"/>
                <w:sz w:val="18"/>
                <w:szCs w:val="18"/>
                <w:highlight w:val="none"/>
              </w:rPr>
              <w:t>8条可调节的固定带</w:t>
            </w:r>
            <w:r>
              <w:rPr>
                <w:rFonts w:hint="eastAsia"/>
                <w:sz w:val="18"/>
                <w:szCs w:val="18"/>
                <w:highlight w:val="none"/>
              </w:rPr>
              <w:br w:type="textWrapping"/>
            </w:r>
            <w:r>
              <w:rPr>
                <w:rFonts w:hint="eastAsia"/>
                <w:sz w:val="18"/>
                <w:szCs w:val="18"/>
                <w:highlight w:val="none"/>
                <w:lang w:val="en-US" w:eastAsia="zh-CN"/>
              </w:rPr>
              <w:t>4</w:t>
            </w:r>
            <w:r>
              <w:rPr>
                <w:rFonts w:hint="eastAsia"/>
                <w:sz w:val="18"/>
                <w:szCs w:val="18"/>
                <w:highlight w:val="none"/>
              </w:rPr>
              <w:t>. 前置2个大容量口袋，塑料插扣和可调节尼龙织带；</w:t>
            </w:r>
            <w:r>
              <w:rPr>
                <w:rFonts w:hint="eastAsia"/>
                <w:sz w:val="18"/>
                <w:szCs w:val="18"/>
                <w:highlight w:val="none"/>
              </w:rPr>
              <w:br w:type="textWrapping"/>
            </w:r>
            <w:r>
              <w:rPr>
                <w:rFonts w:hint="eastAsia"/>
                <w:sz w:val="18"/>
                <w:szCs w:val="18"/>
                <w:highlight w:val="none"/>
                <w:lang w:val="en-US" w:eastAsia="zh-CN"/>
              </w:rPr>
              <w:t>5</w:t>
            </w:r>
            <w:r>
              <w:rPr>
                <w:rFonts w:hint="eastAsia"/>
                <w:sz w:val="18"/>
                <w:szCs w:val="18"/>
                <w:highlight w:val="none"/>
              </w:rPr>
              <w:t>. 三个前置挂点使得使用者在使用和固定刀、口哨或者其他东西的时候都得心应手；</w:t>
            </w:r>
            <w:r>
              <w:rPr>
                <w:rFonts w:hint="eastAsia"/>
                <w:sz w:val="18"/>
                <w:szCs w:val="18"/>
                <w:highlight w:val="none"/>
              </w:rPr>
              <w:br w:type="textWrapping"/>
            </w:r>
            <w:r>
              <w:rPr>
                <w:rFonts w:hint="eastAsia"/>
                <w:sz w:val="18"/>
                <w:szCs w:val="18"/>
                <w:highlight w:val="none"/>
                <w:lang w:val="en-US" w:eastAsia="zh-CN"/>
              </w:rPr>
              <w:t>6</w:t>
            </w:r>
            <w:r>
              <w:rPr>
                <w:rFonts w:hint="eastAsia"/>
                <w:sz w:val="18"/>
                <w:szCs w:val="18"/>
                <w:highlight w:val="none"/>
              </w:rPr>
              <w:t>. 在PFD的前后缝制6条高亮荧光带，</w:t>
            </w:r>
          </w:p>
          <w:p>
            <w:pPr>
              <w:widowControl/>
              <w:numPr>
                <w:ilvl w:val="0"/>
                <w:numId w:val="0"/>
              </w:numPr>
              <w:ind w:leftChars="0"/>
              <w:jc w:val="left"/>
              <w:textAlignment w:val="center"/>
              <w:rPr>
                <w:rFonts w:hint="eastAsia"/>
                <w:sz w:val="18"/>
                <w:szCs w:val="18"/>
                <w:highlight w:val="none"/>
              </w:rPr>
            </w:pPr>
            <w:r>
              <w:rPr>
                <w:rFonts w:hint="eastAsia"/>
                <w:sz w:val="18"/>
                <w:szCs w:val="18"/>
                <w:highlight w:val="none"/>
                <w:lang w:val="en-US" w:eastAsia="zh-CN"/>
              </w:rPr>
              <w:t>7</w:t>
            </w:r>
            <w:r>
              <w:rPr>
                <w:rFonts w:hint="eastAsia"/>
                <w:sz w:val="18"/>
                <w:szCs w:val="18"/>
                <w:highlight w:val="none"/>
              </w:rPr>
              <w:t>. 后背部带有牵引绳连接拉环，用于连接快解式牵引绳，遇险快速逃脱；</w:t>
            </w:r>
            <w:r>
              <w:rPr>
                <w:rFonts w:hint="eastAsia"/>
                <w:sz w:val="18"/>
                <w:szCs w:val="18"/>
                <w:highlight w:val="none"/>
              </w:rPr>
              <w:br w:type="textWrapping"/>
            </w:r>
            <w:r>
              <w:rPr>
                <w:rFonts w:hint="eastAsia"/>
                <w:sz w:val="18"/>
                <w:szCs w:val="18"/>
                <w:highlight w:val="none"/>
                <w:lang w:val="en-US" w:eastAsia="zh-CN"/>
              </w:rPr>
              <w:t>8</w:t>
            </w:r>
            <w:r>
              <w:rPr>
                <w:rFonts w:hint="eastAsia"/>
                <w:sz w:val="18"/>
                <w:szCs w:val="18"/>
                <w:highlight w:val="none"/>
              </w:rPr>
              <w:t xml:space="preserve">. 下摆部带有连接点，用于连接腿部固定带，                   </w:t>
            </w:r>
          </w:p>
          <w:p>
            <w:pPr>
              <w:widowControl/>
              <w:numPr>
                <w:ilvl w:val="0"/>
                <w:numId w:val="0"/>
              </w:numPr>
              <w:ind w:leftChars="0"/>
              <w:jc w:val="left"/>
              <w:textAlignment w:val="center"/>
              <w:rPr>
                <w:sz w:val="18"/>
                <w:szCs w:val="18"/>
                <w:highlight w:val="none"/>
              </w:rPr>
            </w:pPr>
            <w:r>
              <w:rPr>
                <w:rFonts w:hint="eastAsia"/>
                <w:sz w:val="18"/>
                <w:szCs w:val="18"/>
                <w:highlight w:val="none"/>
              </w:rPr>
              <w:t>★须提供</w:t>
            </w:r>
            <w:r>
              <w:rPr>
                <w:rFonts w:hint="eastAsia"/>
                <w:sz w:val="18"/>
                <w:szCs w:val="18"/>
                <w:highlight w:val="none"/>
                <w:lang w:val="en-US" w:eastAsia="zh-CN"/>
              </w:rPr>
              <w:t>具备法定资质的</w:t>
            </w:r>
            <w:r>
              <w:rPr>
                <w:rFonts w:hint="eastAsia"/>
                <w:sz w:val="18"/>
                <w:szCs w:val="18"/>
                <w:highlight w:val="none"/>
                <w:lang w:eastAsia="zh-CN"/>
              </w:rPr>
              <w:t>检测机构</w:t>
            </w:r>
            <w:r>
              <w:rPr>
                <w:rFonts w:hint="eastAsia"/>
                <w:sz w:val="18"/>
                <w:szCs w:val="18"/>
                <w:highlight w:val="none"/>
              </w:rPr>
              <w:t>出具的检测报告</w:t>
            </w:r>
          </w:p>
        </w:tc>
      </w:tr>
      <w:tr>
        <w:tblPrEx>
          <w:tblCellMar>
            <w:top w:w="0" w:type="dxa"/>
            <w:left w:w="108" w:type="dxa"/>
            <w:bottom w:w="0" w:type="dxa"/>
            <w:right w:w="108" w:type="dxa"/>
          </w:tblCellMar>
        </w:tblPrEx>
        <w:trPr>
          <w:trHeight w:val="1330" w:hRule="atLeast"/>
        </w:trPr>
        <w:tc>
          <w:tcPr>
            <w:tcW w:w="60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26</w:t>
            </w:r>
          </w:p>
        </w:tc>
        <w:tc>
          <w:tcPr>
            <w:tcW w:w="75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01B027</w:t>
            </w:r>
          </w:p>
        </w:tc>
        <w:tc>
          <w:tcPr>
            <w:tcW w:w="101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807高筒雨鞋</w:t>
            </w:r>
          </w:p>
        </w:tc>
        <w:tc>
          <w:tcPr>
            <w:tcW w:w="73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双</w:t>
            </w:r>
          </w:p>
        </w:tc>
        <w:tc>
          <w:tcPr>
            <w:tcW w:w="751"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124</w:t>
            </w:r>
          </w:p>
        </w:tc>
        <w:tc>
          <w:tcPr>
            <w:tcW w:w="571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1、产品材质：塑胶+牛筋底；</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2、产品尺码：3</w:t>
            </w:r>
            <w:r>
              <w:rPr>
                <w:rFonts w:hint="eastAsia" w:ascii="宋体" w:hAnsi="宋体" w:cs="宋体"/>
                <w:kern w:val="0"/>
                <w:sz w:val="18"/>
                <w:szCs w:val="18"/>
                <w:highlight w:val="none"/>
                <w:lang w:val="en-US" w:eastAsia="zh-CN" w:bidi="ar"/>
              </w:rPr>
              <w:t>7</w:t>
            </w:r>
            <w:r>
              <w:rPr>
                <w:rFonts w:hint="eastAsia" w:ascii="宋体" w:hAnsi="宋体" w:cs="宋体"/>
                <w:kern w:val="0"/>
                <w:sz w:val="18"/>
                <w:szCs w:val="18"/>
                <w:highlight w:val="none"/>
                <w:lang w:bidi="ar"/>
              </w:rPr>
              <w:t>-4</w:t>
            </w:r>
            <w:r>
              <w:rPr>
                <w:rFonts w:hint="eastAsia" w:ascii="宋体" w:hAnsi="宋体" w:cs="宋体"/>
                <w:kern w:val="0"/>
                <w:sz w:val="18"/>
                <w:szCs w:val="18"/>
                <w:highlight w:val="none"/>
                <w:lang w:val="en-US" w:eastAsia="zh-CN" w:bidi="ar"/>
              </w:rPr>
              <w:t>6</w:t>
            </w:r>
            <w:r>
              <w:rPr>
                <w:rFonts w:hint="eastAsia" w:ascii="宋体" w:hAnsi="宋体" w:cs="宋体"/>
                <w:kern w:val="0"/>
                <w:sz w:val="18"/>
                <w:szCs w:val="18"/>
                <w:highlight w:val="none"/>
                <w:lang w:bidi="ar"/>
              </w:rPr>
              <w:t>；</w:t>
            </w:r>
          </w:p>
        </w:tc>
      </w:tr>
      <w:tr>
        <w:tblPrEx>
          <w:tblCellMar>
            <w:top w:w="0" w:type="dxa"/>
            <w:left w:w="108" w:type="dxa"/>
            <w:bottom w:w="0" w:type="dxa"/>
            <w:right w:w="108" w:type="dxa"/>
          </w:tblCellMar>
        </w:tblPrEx>
        <w:trPr>
          <w:trHeight w:val="1857" w:hRule="atLeast"/>
        </w:trPr>
        <w:tc>
          <w:tcPr>
            <w:tcW w:w="606"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27</w:t>
            </w:r>
          </w:p>
        </w:tc>
        <w:tc>
          <w:tcPr>
            <w:tcW w:w="758"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01B028</w:t>
            </w:r>
          </w:p>
        </w:tc>
        <w:tc>
          <w:tcPr>
            <w:tcW w:w="1016"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02式消防鞋</w:t>
            </w:r>
          </w:p>
        </w:tc>
        <w:tc>
          <w:tcPr>
            <w:tcW w:w="733"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双</w:t>
            </w:r>
          </w:p>
        </w:tc>
        <w:tc>
          <w:tcPr>
            <w:tcW w:w="75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176</w:t>
            </w:r>
          </w:p>
        </w:tc>
        <w:tc>
          <w:tcPr>
            <w:tcW w:w="5712" w:type="dxa"/>
            <w:tcBorders>
              <w:top w:val="single" w:color="000000" w:sz="4" w:space="0"/>
              <w:left w:val="single" w:color="000000" w:sz="4" w:space="0"/>
              <w:bottom w:val="nil"/>
              <w:right w:val="single" w:color="000000" w:sz="4" w:space="0"/>
            </w:tcBorders>
            <w:shd w:val="clear" w:color="auto" w:fill="FFFFFF"/>
            <w:noWrap w:val="0"/>
            <w:vAlign w:val="center"/>
          </w:tcPr>
          <w:p>
            <w:pPr>
              <w:widowControl/>
              <w:numPr>
                <w:ilvl w:val="0"/>
                <w:numId w:val="0"/>
              </w:numPr>
              <w:jc w:val="left"/>
              <w:textAlignment w:val="center"/>
              <w:rPr>
                <w:rFonts w:ascii="宋体" w:hAnsi="宋体" w:cs="宋体"/>
                <w:kern w:val="0"/>
                <w:sz w:val="18"/>
                <w:szCs w:val="18"/>
                <w:highlight w:val="none"/>
                <w:lang w:bidi="ar"/>
              </w:rPr>
            </w:pPr>
            <w:r>
              <w:rPr>
                <w:rFonts w:hint="eastAsia" w:ascii="宋体" w:hAnsi="宋体" w:cs="宋体"/>
                <w:kern w:val="0"/>
                <w:sz w:val="18"/>
                <w:szCs w:val="18"/>
                <w:highlight w:val="none"/>
                <w:lang w:bidi="ar"/>
              </w:rPr>
              <w:t xml:space="preserve">                            </w:t>
            </w:r>
          </w:p>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★产品符合GA6一2004《消防员灭火防护靴》CNCA-C18-04:2014，《强制性产品认证实施规则消防装备产品》，CCCF-XFZB-01《强制性产品认证实施细则 消防装备产品 消防员个人防护装备产品》检测标准，</w:t>
            </w:r>
            <w:r>
              <w:rPr>
                <w:rFonts w:hint="eastAsia"/>
                <w:sz w:val="18"/>
                <w:szCs w:val="18"/>
                <w:highlight w:val="none"/>
              </w:rPr>
              <w:t>须提供</w:t>
            </w:r>
            <w:r>
              <w:rPr>
                <w:rFonts w:hint="eastAsia"/>
                <w:sz w:val="18"/>
                <w:szCs w:val="18"/>
                <w:highlight w:val="none"/>
                <w:lang w:val="en-US" w:eastAsia="zh-CN"/>
              </w:rPr>
              <w:t>具备法定资质的</w:t>
            </w:r>
            <w:r>
              <w:rPr>
                <w:rFonts w:hint="eastAsia"/>
                <w:sz w:val="18"/>
                <w:szCs w:val="18"/>
                <w:highlight w:val="none"/>
                <w:lang w:eastAsia="zh-CN"/>
              </w:rPr>
              <w:t>检测机构</w:t>
            </w:r>
            <w:r>
              <w:rPr>
                <w:rFonts w:hint="eastAsia"/>
                <w:sz w:val="18"/>
                <w:szCs w:val="18"/>
                <w:highlight w:val="none"/>
              </w:rPr>
              <w:t>出具的检测报告</w:t>
            </w:r>
          </w:p>
        </w:tc>
      </w:tr>
      <w:tr>
        <w:tblPrEx>
          <w:tblCellMar>
            <w:top w:w="0" w:type="dxa"/>
            <w:left w:w="108" w:type="dxa"/>
            <w:bottom w:w="0" w:type="dxa"/>
            <w:right w:w="108" w:type="dxa"/>
          </w:tblCellMar>
        </w:tblPrEx>
        <w:trPr>
          <w:trHeight w:val="1930"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28</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01B029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97式消防鞋</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双</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104</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★产品符合GA6一2004《消防员灭火防护靴》CNCA-C18-04:2014，《强制性产品认证实施规则消防装备产品》，CCCF-XFZB-01《强制性产品认证实施细则 消防装备产品 消防员个人防护装备产品》检测标准，</w:t>
            </w:r>
            <w:r>
              <w:rPr>
                <w:rFonts w:hint="eastAsia"/>
                <w:sz w:val="18"/>
                <w:szCs w:val="18"/>
                <w:highlight w:val="none"/>
              </w:rPr>
              <w:t>须提供</w:t>
            </w:r>
            <w:r>
              <w:rPr>
                <w:rFonts w:hint="eastAsia"/>
                <w:sz w:val="18"/>
                <w:szCs w:val="18"/>
                <w:highlight w:val="none"/>
                <w:lang w:val="en-US" w:eastAsia="zh-CN"/>
              </w:rPr>
              <w:t>具备法定资质的</w:t>
            </w:r>
            <w:r>
              <w:rPr>
                <w:rFonts w:hint="eastAsia"/>
                <w:sz w:val="18"/>
                <w:szCs w:val="18"/>
                <w:highlight w:val="none"/>
                <w:lang w:eastAsia="zh-CN"/>
              </w:rPr>
              <w:t>检测机构</w:t>
            </w:r>
            <w:r>
              <w:rPr>
                <w:rFonts w:hint="eastAsia"/>
                <w:sz w:val="18"/>
                <w:szCs w:val="18"/>
                <w:highlight w:val="none"/>
              </w:rPr>
              <w:t>出具的检测报告</w:t>
            </w:r>
          </w:p>
        </w:tc>
      </w:tr>
      <w:tr>
        <w:tblPrEx>
          <w:tblCellMar>
            <w:top w:w="0" w:type="dxa"/>
            <w:left w:w="108" w:type="dxa"/>
            <w:bottom w:w="0" w:type="dxa"/>
            <w:right w:w="108" w:type="dxa"/>
          </w:tblCellMar>
        </w:tblPrEx>
        <w:trPr>
          <w:trHeight w:val="1412"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29</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01B030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雨衣pvc材质</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55</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产品面料：150D牛津布+ pvc涂层；</w:t>
            </w:r>
          </w:p>
        </w:tc>
      </w:tr>
      <w:tr>
        <w:tblPrEx>
          <w:tblCellMar>
            <w:top w:w="0" w:type="dxa"/>
            <w:left w:w="108" w:type="dxa"/>
            <w:bottom w:w="0" w:type="dxa"/>
            <w:right w:w="108" w:type="dxa"/>
          </w:tblCellMar>
        </w:tblPrEx>
        <w:trPr>
          <w:trHeight w:val="1410" w:hRule="atLeast"/>
        </w:trPr>
        <w:tc>
          <w:tcPr>
            <w:tcW w:w="60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30</w:t>
            </w:r>
          </w:p>
        </w:tc>
        <w:tc>
          <w:tcPr>
            <w:tcW w:w="75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01B031</w:t>
            </w:r>
          </w:p>
        </w:tc>
        <w:tc>
          <w:tcPr>
            <w:tcW w:w="101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雨衣</w:t>
            </w:r>
            <w:r>
              <w:rPr>
                <w:rFonts w:hint="eastAsia" w:ascii="宋体" w:hAnsi="宋体" w:cs="宋体"/>
                <w:kern w:val="0"/>
                <w:sz w:val="20"/>
                <w:szCs w:val="20"/>
                <w:highlight w:val="none"/>
                <w:lang w:val="en-US" w:eastAsia="zh-CN" w:bidi="ar"/>
              </w:rPr>
              <w:t>pu</w:t>
            </w:r>
            <w:r>
              <w:rPr>
                <w:rFonts w:hint="eastAsia" w:ascii="宋体" w:hAnsi="宋体" w:cs="宋体"/>
                <w:kern w:val="0"/>
                <w:sz w:val="20"/>
                <w:szCs w:val="20"/>
                <w:highlight w:val="none"/>
                <w:lang w:bidi="ar"/>
              </w:rPr>
              <w:t>牛津布材质</w:t>
            </w:r>
          </w:p>
        </w:tc>
        <w:tc>
          <w:tcPr>
            <w:tcW w:w="733"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套</w:t>
            </w:r>
          </w:p>
        </w:tc>
        <w:tc>
          <w:tcPr>
            <w:tcW w:w="751"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263</w:t>
            </w:r>
          </w:p>
        </w:tc>
        <w:tc>
          <w:tcPr>
            <w:tcW w:w="5712"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1、产品面料：300D牛津布+ pu涂层；</w:t>
            </w:r>
            <w:r>
              <w:rPr>
                <w:rFonts w:hint="eastAsia" w:ascii="宋体" w:hAnsi="宋体" w:cs="宋体"/>
                <w:kern w:val="0"/>
                <w:sz w:val="18"/>
                <w:szCs w:val="18"/>
                <w:highlight w:val="none"/>
                <w:lang w:bidi="ar"/>
              </w:rPr>
              <w:br w:type="textWrapping"/>
            </w:r>
          </w:p>
        </w:tc>
      </w:tr>
      <w:tr>
        <w:tblPrEx>
          <w:tblCellMar>
            <w:top w:w="0" w:type="dxa"/>
            <w:left w:w="108" w:type="dxa"/>
            <w:bottom w:w="0" w:type="dxa"/>
            <w:right w:w="108" w:type="dxa"/>
          </w:tblCellMar>
        </w:tblPrEx>
        <w:trPr>
          <w:trHeight w:val="1661"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31</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01B032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头盔</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70</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sz w:val="18"/>
                <w:szCs w:val="18"/>
                <w:highlight w:val="none"/>
                <w:lang w:eastAsia="zh-CN"/>
              </w:rPr>
            </w:pPr>
            <w:r>
              <w:rPr>
                <w:rFonts w:hint="eastAsia" w:ascii="宋体" w:hAnsi="宋体" w:cs="宋体"/>
                <w:kern w:val="0"/>
                <w:sz w:val="18"/>
                <w:szCs w:val="18"/>
                <w:highlight w:val="none"/>
                <w:lang w:bidi="ar"/>
              </w:rPr>
              <w:t>1、材质：玻璃钢；</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、★产品符合GB 2811-2019《头部防护安全帽》的检测标准，</w:t>
            </w:r>
            <w:r>
              <w:rPr>
                <w:rFonts w:hint="eastAsia"/>
                <w:sz w:val="18"/>
                <w:szCs w:val="18"/>
                <w:highlight w:val="none"/>
              </w:rPr>
              <w:t>须提供</w:t>
            </w:r>
            <w:r>
              <w:rPr>
                <w:rFonts w:hint="eastAsia"/>
                <w:sz w:val="18"/>
                <w:szCs w:val="18"/>
                <w:highlight w:val="none"/>
                <w:lang w:val="en-US" w:eastAsia="zh-CN"/>
              </w:rPr>
              <w:t>具备法定资质的</w:t>
            </w:r>
            <w:r>
              <w:rPr>
                <w:rFonts w:hint="eastAsia"/>
                <w:sz w:val="18"/>
                <w:szCs w:val="18"/>
                <w:highlight w:val="none"/>
                <w:lang w:eastAsia="zh-CN"/>
              </w:rPr>
              <w:t>检测机构</w:t>
            </w:r>
            <w:r>
              <w:rPr>
                <w:rFonts w:hint="eastAsia"/>
                <w:sz w:val="18"/>
                <w:szCs w:val="18"/>
                <w:highlight w:val="none"/>
              </w:rPr>
              <w:t>出具的检测报告</w:t>
            </w:r>
            <w:r>
              <w:rPr>
                <w:rFonts w:hint="eastAsia"/>
                <w:sz w:val="18"/>
                <w:szCs w:val="18"/>
                <w:highlight w:val="none"/>
                <w:lang w:eastAsia="zh-CN"/>
              </w:rPr>
              <w:t>。</w:t>
            </w:r>
          </w:p>
        </w:tc>
      </w:tr>
      <w:tr>
        <w:tblPrEx>
          <w:tblCellMar>
            <w:top w:w="0" w:type="dxa"/>
            <w:left w:w="108" w:type="dxa"/>
            <w:bottom w:w="0" w:type="dxa"/>
            <w:right w:w="108" w:type="dxa"/>
          </w:tblCellMar>
        </w:tblPrEx>
        <w:trPr>
          <w:trHeight w:val="1131"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32</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01B033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一次性雨衣</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1139</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产品材质：EVA；</w:t>
            </w:r>
          </w:p>
        </w:tc>
      </w:tr>
      <w:tr>
        <w:tblPrEx>
          <w:tblCellMar>
            <w:top w:w="0" w:type="dxa"/>
            <w:left w:w="108" w:type="dxa"/>
            <w:bottom w:w="0" w:type="dxa"/>
            <w:right w:w="108" w:type="dxa"/>
          </w:tblCellMar>
        </w:tblPrEx>
        <w:trPr>
          <w:trHeight w:val="1004" w:hRule="atLeast"/>
        </w:trPr>
        <w:tc>
          <w:tcPr>
            <w:tcW w:w="606"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33</w:t>
            </w:r>
          </w:p>
        </w:tc>
        <w:tc>
          <w:tcPr>
            <w:tcW w:w="758"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01B034</w:t>
            </w:r>
          </w:p>
        </w:tc>
        <w:tc>
          <w:tcPr>
            <w:tcW w:w="1016"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橡胶手套</w:t>
            </w:r>
          </w:p>
        </w:tc>
        <w:tc>
          <w:tcPr>
            <w:tcW w:w="733"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双</w:t>
            </w:r>
          </w:p>
        </w:tc>
        <w:tc>
          <w:tcPr>
            <w:tcW w:w="75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233</w:t>
            </w:r>
          </w:p>
        </w:tc>
        <w:tc>
          <w:tcPr>
            <w:tcW w:w="5712"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 xml:space="preserve">产品材质：尼龙+乳胶； </w:t>
            </w:r>
            <w:r>
              <w:rPr>
                <w:rFonts w:hint="eastAsia" w:ascii="宋体" w:hAnsi="宋体" w:cs="宋体"/>
                <w:kern w:val="0"/>
                <w:sz w:val="18"/>
                <w:szCs w:val="18"/>
                <w:highlight w:val="none"/>
                <w:lang w:bidi="ar"/>
              </w:rPr>
              <w:br w:type="textWrapping"/>
            </w:r>
          </w:p>
        </w:tc>
      </w:tr>
      <w:tr>
        <w:tblPrEx>
          <w:tblCellMar>
            <w:top w:w="0" w:type="dxa"/>
            <w:left w:w="108" w:type="dxa"/>
            <w:bottom w:w="0" w:type="dxa"/>
            <w:right w:w="108" w:type="dxa"/>
          </w:tblCellMar>
        </w:tblPrEx>
        <w:trPr>
          <w:trHeight w:val="90"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34</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01B035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水域救援防滑耐磨手套</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双</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102</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符合XF633-2006消防员抢险救援防护服装。</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1、款式：马蹄形腕口，五指式。</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、采用高弹力氯丁橡胶复合面料。</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3</w:t>
            </w:r>
            <w:r>
              <w:rPr>
                <w:rFonts w:hint="eastAsia" w:ascii="宋体" w:hAnsi="宋体" w:cs="宋体"/>
                <w:kern w:val="0"/>
                <w:sz w:val="18"/>
                <w:szCs w:val="18"/>
                <w:highlight w:val="none"/>
                <w:lang w:bidi="ar"/>
              </w:rPr>
              <w:t>、接缝采用胶合和盲缝设计</w:t>
            </w:r>
          </w:p>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val="en-US" w:eastAsia="zh-CN" w:bidi="ar"/>
              </w:rPr>
              <w:t>4</w:t>
            </w:r>
            <w:r>
              <w:rPr>
                <w:rFonts w:hint="eastAsia" w:ascii="宋体" w:hAnsi="宋体" w:cs="宋体"/>
                <w:kern w:val="0"/>
                <w:sz w:val="18"/>
                <w:szCs w:val="18"/>
                <w:highlight w:val="none"/>
                <w:lang w:bidi="ar"/>
              </w:rPr>
              <w:t>、剥离强度≥2.2N。</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、手套整体有着防晒、防咬、防冷、防破坏的功能，耐水色牢度、耐酸汉渍色牢度、耐碱汗渍色牢度≥4级。</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材料：主体面料，氯丁橡胶复合面料补强、防滑、止滑面料，拉链：YKK拉链,</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w:t>
            </w:r>
            <w:r>
              <w:rPr>
                <w:rFonts w:hint="eastAsia"/>
                <w:sz w:val="18"/>
                <w:szCs w:val="18"/>
                <w:highlight w:val="none"/>
              </w:rPr>
              <w:t>须提供</w:t>
            </w:r>
            <w:r>
              <w:rPr>
                <w:rFonts w:hint="eastAsia"/>
                <w:sz w:val="18"/>
                <w:szCs w:val="18"/>
                <w:highlight w:val="none"/>
                <w:lang w:val="en-US" w:eastAsia="zh-CN"/>
              </w:rPr>
              <w:t>具备法定资质的</w:t>
            </w:r>
            <w:r>
              <w:rPr>
                <w:rFonts w:hint="eastAsia"/>
                <w:sz w:val="18"/>
                <w:szCs w:val="18"/>
                <w:highlight w:val="none"/>
                <w:lang w:eastAsia="zh-CN"/>
              </w:rPr>
              <w:t>检测机构</w:t>
            </w:r>
            <w:r>
              <w:rPr>
                <w:rFonts w:hint="eastAsia"/>
                <w:sz w:val="18"/>
                <w:szCs w:val="18"/>
                <w:highlight w:val="none"/>
              </w:rPr>
              <w:t>出具的检测报告</w:t>
            </w:r>
            <w:r>
              <w:rPr>
                <w:rFonts w:hint="eastAsia"/>
                <w:sz w:val="18"/>
                <w:szCs w:val="18"/>
                <w:highlight w:val="none"/>
                <w:lang w:eastAsia="zh-CN"/>
              </w:rPr>
              <w:t>。</w:t>
            </w:r>
          </w:p>
        </w:tc>
      </w:tr>
      <w:tr>
        <w:tblPrEx>
          <w:tblCellMar>
            <w:top w:w="0" w:type="dxa"/>
            <w:left w:w="108" w:type="dxa"/>
            <w:bottom w:w="0" w:type="dxa"/>
            <w:right w:w="108" w:type="dxa"/>
          </w:tblCellMar>
        </w:tblPrEx>
        <w:trPr>
          <w:trHeight w:val="1900"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35</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01B036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17式消防员抢险救援手套</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双</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127</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1、产品材质：芳纶</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w:t>
            </w: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、产品符合GA633-2006《消防员抢险救援防护服装》标准规定的要求，</w:t>
            </w:r>
            <w:r>
              <w:rPr>
                <w:rFonts w:hint="eastAsia"/>
                <w:sz w:val="18"/>
                <w:szCs w:val="18"/>
                <w:highlight w:val="none"/>
              </w:rPr>
              <w:t>须提供</w:t>
            </w:r>
            <w:r>
              <w:rPr>
                <w:rFonts w:hint="eastAsia"/>
                <w:sz w:val="18"/>
                <w:szCs w:val="18"/>
                <w:highlight w:val="none"/>
                <w:lang w:val="en-US" w:eastAsia="zh-CN"/>
              </w:rPr>
              <w:t>具备法定资质的</w:t>
            </w:r>
            <w:r>
              <w:rPr>
                <w:rFonts w:hint="eastAsia"/>
                <w:sz w:val="18"/>
                <w:szCs w:val="18"/>
                <w:highlight w:val="none"/>
                <w:lang w:eastAsia="zh-CN"/>
              </w:rPr>
              <w:t>检测机构</w:t>
            </w:r>
            <w:r>
              <w:rPr>
                <w:rFonts w:hint="eastAsia"/>
                <w:sz w:val="18"/>
                <w:szCs w:val="18"/>
                <w:highlight w:val="none"/>
              </w:rPr>
              <w:t>出具的检测报告</w:t>
            </w:r>
            <w:r>
              <w:rPr>
                <w:rFonts w:hint="eastAsia"/>
                <w:sz w:val="18"/>
                <w:szCs w:val="18"/>
                <w:highlight w:val="none"/>
                <w:lang w:eastAsia="zh-CN"/>
              </w:rPr>
              <w:t>。</w:t>
            </w:r>
          </w:p>
        </w:tc>
      </w:tr>
      <w:tr>
        <w:tblPrEx>
          <w:tblCellMar>
            <w:top w:w="0" w:type="dxa"/>
            <w:left w:w="108" w:type="dxa"/>
            <w:bottom w:w="0" w:type="dxa"/>
            <w:right w:w="108" w:type="dxa"/>
          </w:tblCellMar>
        </w:tblPrEx>
        <w:trPr>
          <w:trHeight w:val="3754"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36</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01B037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救生衣</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118</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val="en-US" w:eastAsia="zh-CN" w:bidi="ar"/>
              </w:rPr>
              <w:t>1</w:t>
            </w:r>
            <w:r>
              <w:rPr>
                <w:rFonts w:hint="eastAsia" w:ascii="宋体" w:hAnsi="宋体" w:cs="宋体"/>
                <w:kern w:val="0"/>
                <w:sz w:val="18"/>
                <w:szCs w:val="18"/>
                <w:highlight w:val="none"/>
                <w:lang w:bidi="ar"/>
              </w:rPr>
              <w:t xml:space="preserve">、产品材质：衣服整体材料为加厚400D牛津防水面料                                                                           </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、★产品符合GB 20653-2020《防护服装 职业用高可视性警示服》、GB/T 4303-2008《船用救生衣》、GB/T 3920-2008《纺织品 色牢度试验 耐摩擦色牢度》、GB/T 3922-2013《纺织品 色牢度试验 耐汗渍色度》、GB/T 5713-2013《纺织品色牢度试验 耐水色牢度》、GB/T5714-1997《纺织品 色度试验 耐海水色度》、GB/T2912.1-2009《纺织品 甲醛的测定 第2 部分:游离的甲(水取法)》、GB/T7573-2009《纺织品 水萃取液 pH 值的测定》的检测标准，，</w:t>
            </w:r>
            <w:r>
              <w:rPr>
                <w:rFonts w:hint="eastAsia"/>
                <w:sz w:val="18"/>
                <w:szCs w:val="18"/>
                <w:highlight w:val="none"/>
              </w:rPr>
              <w:t>须提供</w:t>
            </w:r>
            <w:r>
              <w:rPr>
                <w:rFonts w:hint="eastAsia"/>
                <w:sz w:val="18"/>
                <w:szCs w:val="18"/>
                <w:highlight w:val="none"/>
                <w:lang w:val="en-US" w:eastAsia="zh-CN"/>
              </w:rPr>
              <w:t>具备法定资质的</w:t>
            </w:r>
            <w:r>
              <w:rPr>
                <w:rFonts w:hint="eastAsia"/>
                <w:sz w:val="18"/>
                <w:szCs w:val="18"/>
                <w:highlight w:val="none"/>
                <w:lang w:eastAsia="zh-CN"/>
              </w:rPr>
              <w:t>检测机构</w:t>
            </w:r>
            <w:r>
              <w:rPr>
                <w:rFonts w:hint="eastAsia"/>
                <w:sz w:val="18"/>
                <w:szCs w:val="18"/>
                <w:highlight w:val="none"/>
              </w:rPr>
              <w:t>出具的检测报告</w:t>
            </w:r>
            <w:r>
              <w:rPr>
                <w:rFonts w:hint="eastAsia" w:ascii="宋体" w:hAnsi="宋体" w:cs="宋体"/>
                <w:kern w:val="0"/>
                <w:sz w:val="18"/>
                <w:szCs w:val="18"/>
                <w:highlight w:val="none"/>
                <w:lang w:bidi="ar"/>
              </w:rPr>
              <w:t>。</w:t>
            </w:r>
          </w:p>
        </w:tc>
      </w:tr>
      <w:tr>
        <w:tblPrEx>
          <w:tblCellMar>
            <w:top w:w="0" w:type="dxa"/>
            <w:left w:w="108" w:type="dxa"/>
            <w:bottom w:w="0" w:type="dxa"/>
            <w:right w:w="108" w:type="dxa"/>
          </w:tblCellMar>
        </w:tblPrEx>
        <w:trPr>
          <w:trHeight w:val="393"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37</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01B038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救生衣(自动充气)</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39</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0"/>
              </w:numPr>
              <w:jc w:val="left"/>
              <w:textAlignment w:val="center"/>
              <w:rPr>
                <w:rFonts w:ascii="宋体" w:hAnsi="宋体" w:cs="宋体"/>
                <w:sz w:val="18"/>
                <w:szCs w:val="18"/>
                <w:highlight w:val="none"/>
              </w:rPr>
            </w:pPr>
            <w:r>
              <w:rPr>
                <w:rFonts w:hint="eastAsia" w:ascii="宋体" w:hAnsi="宋体" w:cs="宋体"/>
                <w:kern w:val="0"/>
                <w:sz w:val="18"/>
                <w:szCs w:val="18"/>
                <w:highlight w:val="none"/>
                <w:lang w:val="en-US" w:eastAsia="zh-CN" w:bidi="ar"/>
              </w:rPr>
              <w:t>1.</w:t>
            </w:r>
            <w:r>
              <w:rPr>
                <w:rFonts w:hint="eastAsia" w:ascii="宋体" w:hAnsi="宋体" w:cs="宋体"/>
                <w:kern w:val="0"/>
                <w:sz w:val="18"/>
                <w:szCs w:val="18"/>
                <w:highlight w:val="none"/>
                <w:lang w:bidi="ar"/>
              </w:rPr>
              <w:t xml:space="preserve">产品材质：气囊布为TPU复合尼龙布，外罩为牛津布，肩部加两篇反光条，外罩布贴身部位加尼龙网布，围脖布部位加软布衬垫，腰部扣具为合金材质；                                               </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★产品符合GB/T 4303-2008《船用救生衣》的检验标准，须</w:t>
            </w:r>
            <w:r>
              <w:rPr>
                <w:rFonts w:hint="eastAsia" w:ascii="宋体" w:hAnsi="宋体" w:cs="宋体"/>
                <w:kern w:val="0"/>
                <w:sz w:val="18"/>
                <w:szCs w:val="18"/>
                <w:highlight w:val="none"/>
                <w:lang w:val="en-US" w:eastAsia="zh-CN" w:bidi="ar"/>
              </w:rPr>
              <w:t>提供具备法定资质的</w:t>
            </w:r>
            <w:r>
              <w:rPr>
                <w:rFonts w:hint="eastAsia" w:ascii="宋体" w:hAnsi="宋体" w:cs="宋体"/>
                <w:kern w:val="0"/>
                <w:sz w:val="18"/>
                <w:szCs w:val="18"/>
                <w:highlight w:val="none"/>
                <w:lang w:bidi="ar"/>
              </w:rPr>
              <w:t>检测</w:t>
            </w:r>
            <w:r>
              <w:rPr>
                <w:rFonts w:hint="eastAsia" w:ascii="宋体" w:hAnsi="宋体" w:cs="宋体"/>
                <w:kern w:val="0"/>
                <w:sz w:val="18"/>
                <w:szCs w:val="18"/>
                <w:highlight w:val="none"/>
                <w:lang w:val="en-US" w:eastAsia="zh-CN" w:bidi="ar"/>
              </w:rPr>
              <w:t>机构</w:t>
            </w:r>
            <w:r>
              <w:rPr>
                <w:rFonts w:hint="eastAsia" w:ascii="宋体" w:hAnsi="宋体" w:cs="宋体"/>
                <w:kern w:val="0"/>
                <w:sz w:val="18"/>
                <w:szCs w:val="18"/>
                <w:highlight w:val="none"/>
                <w:lang w:bidi="ar"/>
              </w:rPr>
              <w:t>出具的检测报告</w:t>
            </w:r>
          </w:p>
        </w:tc>
      </w:tr>
      <w:tr>
        <w:tblPrEx>
          <w:tblCellMar>
            <w:top w:w="0" w:type="dxa"/>
            <w:left w:w="108" w:type="dxa"/>
            <w:bottom w:w="0" w:type="dxa"/>
            <w:right w:w="108" w:type="dxa"/>
          </w:tblCellMar>
        </w:tblPrEx>
        <w:trPr>
          <w:trHeight w:val="1368" w:hRule="atLeast"/>
        </w:trPr>
        <w:tc>
          <w:tcPr>
            <w:tcW w:w="606"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38</w:t>
            </w:r>
          </w:p>
        </w:tc>
        <w:tc>
          <w:tcPr>
            <w:tcW w:w="758"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01B039</w:t>
            </w:r>
          </w:p>
        </w:tc>
        <w:tc>
          <w:tcPr>
            <w:tcW w:w="1016"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救生圈</w:t>
            </w:r>
          </w:p>
        </w:tc>
        <w:tc>
          <w:tcPr>
            <w:tcW w:w="733"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85</w:t>
            </w:r>
          </w:p>
        </w:tc>
        <w:tc>
          <w:tcPr>
            <w:tcW w:w="5712"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产品</w:t>
            </w:r>
            <w:r>
              <w:rPr>
                <w:rFonts w:hint="eastAsia" w:ascii="宋体" w:hAnsi="宋体" w:cs="宋体"/>
                <w:kern w:val="0"/>
                <w:sz w:val="18"/>
                <w:szCs w:val="18"/>
                <w:highlight w:val="none"/>
                <w:lang w:val="en-US" w:eastAsia="zh-CN" w:bidi="ar"/>
              </w:rPr>
              <w:t>符合</w:t>
            </w:r>
            <w:r>
              <w:rPr>
                <w:rFonts w:hint="eastAsia" w:ascii="宋体" w:hAnsi="宋体" w:cs="宋体"/>
                <w:kern w:val="0"/>
                <w:sz w:val="18"/>
                <w:szCs w:val="18"/>
                <w:highlight w:val="none"/>
                <w:lang w:bidi="ar"/>
              </w:rPr>
              <w:t>国标</w:t>
            </w:r>
            <w:r>
              <w:rPr>
                <w:rFonts w:hint="eastAsia" w:ascii="宋体" w:hAnsi="宋体" w:cs="宋体"/>
                <w:kern w:val="0"/>
                <w:sz w:val="18"/>
                <w:szCs w:val="18"/>
                <w:highlight w:val="none"/>
                <w:lang w:val="en-US" w:eastAsia="zh-CN" w:bidi="ar"/>
              </w:rPr>
              <w:t>要求</w:t>
            </w:r>
            <w:r>
              <w:rPr>
                <w:rFonts w:hint="eastAsia" w:ascii="宋体" w:hAnsi="宋体" w:cs="宋体"/>
                <w:kern w:val="0"/>
                <w:sz w:val="18"/>
                <w:szCs w:val="18"/>
                <w:highlight w:val="none"/>
                <w:lang w:bidi="ar"/>
              </w:rPr>
              <w:t>。</w:t>
            </w:r>
          </w:p>
          <w:p>
            <w:pPr>
              <w:pStyle w:val="36"/>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★须提供具备法定资质的检测机构出具的检测报告复印件。</w:t>
            </w:r>
          </w:p>
          <w:p>
            <w:pPr>
              <w:widowControl/>
              <w:jc w:val="left"/>
              <w:textAlignment w:val="center"/>
              <w:rPr>
                <w:rFonts w:ascii="宋体" w:hAnsi="宋体" w:cs="宋体"/>
                <w:sz w:val="18"/>
                <w:szCs w:val="18"/>
                <w:highlight w:val="none"/>
              </w:rPr>
            </w:pPr>
          </w:p>
        </w:tc>
      </w:tr>
      <w:tr>
        <w:tblPrEx>
          <w:tblCellMar>
            <w:top w:w="0" w:type="dxa"/>
            <w:left w:w="108" w:type="dxa"/>
            <w:bottom w:w="0" w:type="dxa"/>
            <w:right w:w="108" w:type="dxa"/>
          </w:tblCellMar>
        </w:tblPrEx>
        <w:trPr>
          <w:trHeight w:val="2038"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39</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01B040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多功能救生手电</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249</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default" w:ascii="宋体" w:hAnsi="宋体" w:cs="宋体"/>
                <w:sz w:val="18"/>
                <w:szCs w:val="18"/>
                <w:highlight w:val="none"/>
                <w:lang w:val="en-US"/>
              </w:rPr>
            </w:pPr>
            <w:r>
              <w:rPr>
                <w:rFonts w:hint="eastAsia" w:ascii="宋体" w:hAnsi="宋体" w:cs="宋体"/>
                <w:kern w:val="0"/>
                <w:sz w:val="18"/>
                <w:szCs w:val="18"/>
                <w:highlight w:val="none"/>
                <w:lang w:bidi="ar"/>
              </w:rPr>
              <w:t>1、产品材质：铝合金</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、产品功能：</w:t>
            </w:r>
            <w:r>
              <w:rPr>
                <w:rFonts w:hint="eastAsia" w:ascii="宋体" w:hAnsi="宋体" w:cs="宋体"/>
                <w:kern w:val="0"/>
                <w:sz w:val="18"/>
                <w:szCs w:val="18"/>
                <w:highlight w:val="none"/>
                <w:lang w:val="en-US" w:eastAsia="zh-CN" w:bidi="ar"/>
              </w:rPr>
              <w:t>具备</w:t>
            </w:r>
            <w:r>
              <w:rPr>
                <w:rFonts w:hint="eastAsia" w:ascii="宋体" w:hAnsi="宋体" w:cs="宋体"/>
                <w:kern w:val="0"/>
                <w:sz w:val="18"/>
                <w:szCs w:val="18"/>
                <w:highlight w:val="none"/>
                <w:lang w:bidi="ar"/>
              </w:rPr>
              <w:t>高亮前灯，侧面工作灯，侧面红色警示灯，安全锤，割绳刀，强力磁铁</w:t>
            </w:r>
            <w:r>
              <w:rPr>
                <w:rFonts w:hint="eastAsia" w:ascii="宋体" w:hAnsi="宋体" w:cs="宋体"/>
                <w:kern w:val="0"/>
                <w:sz w:val="18"/>
                <w:szCs w:val="18"/>
                <w:highlight w:val="none"/>
                <w:lang w:val="en-US" w:eastAsia="zh-CN" w:bidi="ar"/>
              </w:rPr>
              <w:t>等功能。</w:t>
            </w:r>
          </w:p>
        </w:tc>
      </w:tr>
      <w:tr>
        <w:tblPrEx>
          <w:tblCellMar>
            <w:top w:w="0" w:type="dxa"/>
            <w:left w:w="108" w:type="dxa"/>
            <w:bottom w:w="0" w:type="dxa"/>
            <w:right w:w="108" w:type="dxa"/>
          </w:tblCellMar>
        </w:tblPrEx>
        <w:trPr>
          <w:trHeight w:val="4454" w:hRule="atLeast"/>
        </w:trPr>
        <w:tc>
          <w:tcPr>
            <w:tcW w:w="60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40</w:t>
            </w:r>
          </w:p>
        </w:tc>
        <w:tc>
          <w:tcPr>
            <w:tcW w:w="75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01B041</w:t>
            </w:r>
          </w:p>
        </w:tc>
        <w:tc>
          <w:tcPr>
            <w:tcW w:w="101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应急防汛防爆手电</w:t>
            </w:r>
          </w:p>
        </w:tc>
        <w:tc>
          <w:tcPr>
            <w:tcW w:w="73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218</w:t>
            </w:r>
          </w:p>
        </w:tc>
        <w:tc>
          <w:tcPr>
            <w:tcW w:w="571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numPr>
                <w:ilvl w:val="0"/>
                <w:numId w:val="0"/>
              </w:numPr>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val="en-US" w:eastAsia="zh-CN" w:bidi="ar"/>
              </w:rPr>
              <w:t>1.</w:t>
            </w:r>
            <w:r>
              <w:rPr>
                <w:rFonts w:hint="eastAsia" w:ascii="宋体" w:hAnsi="宋体" w:cs="宋体"/>
                <w:kern w:val="0"/>
                <w:sz w:val="18"/>
                <w:szCs w:val="18"/>
                <w:highlight w:val="none"/>
                <w:lang w:bidi="ar"/>
              </w:rPr>
              <w:t>产品采用隔爆型进行处理，可在易燃易爆场所安全使用。</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外壳采用高强度合金加硬氧化，可在各种恶劣环境下使用。</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需采用LED光源，强光光通量应≥160lm，工作光光通量≥30lm。</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3.</w:t>
            </w:r>
            <w:r>
              <w:rPr>
                <w:rFonts w:hint="eastAsia" w:ascii="宋体" w:hAnsi="宋体" w:cs="宋体"/>
                <w:kern w:val="0"/>
                <w:sz w:val="18"/>
                <w:szCs w:val="18"/>
                <w:highlight w:val="none"/>
                <w:lang w:bidi="ar"/>
              </w:rPr>
              <w:t>采用锂电池，设计有电量检测功能，可随时查看电量使用情况，使用USB接口充放电。</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4.</w:t>
            </w:r>
            <w:r>
              <w:rPr>
                <w:rFonts w:hint="eastAsia" w:ascii="宋体" w:hAnsi="宋体" w:cs="宋体"/>
                <w:kern w:val="0"/>
                <w:sz w:val="18"/>
                <w:szCs w:val="18"/>
                <w:highlight w:val="none"/>
                <w:lang w:bidi="ar"/>
              </w:rPr>
              <w:t>设有强光、工作光及频闪三种模式。内配智能型充电器有过充、短路保护等功能。连续工作时间 ：（强光）≥6h，（工作光）≥16h，充电时间 ≤5h</w:t>
            </w:r>
          </w:p>
          <w:p>
            <w:pPr>
              <w:widowControl/>
              <w:numPr>
                <w:ilvl w:val="0"/>
                <w:numId w:val="0"/>
              </w:numPr>
              <w:jc w:val="left"/>
              <w:textAlignment w:val="center"/>
              <w:rPr>
                <w:rFonts w:hint="eastAsia" w:ascii="宋体" w:hAnsi="宋体" w:eastAsia="宋体" w:cs="宋体"/>
                <w:kern w:val="0"/>
                <w:sz w:val="18"/>
                <w:szCs w:val="18"/>
                <w:highlight w:val="none"/>
                <w:lang w:eastAsia="zh-CN" w:bidi="ar"/>
              </w:rPr>
            </w:pP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防爆标志 Ex ib IIC T6 Gb</w:t>
            </w:r>
            <w:r>
              <w:rPr>
                <w:rFonts w:hint="eastAsia" w:ascii="宋体" w:hAnsi="宋体" w:cs="宋体"/>
                <w:kern w:val="0"/>
                <w:sz w:val="18"/>
                <w:szCs w:val="18"/>
                <w:highlight w:val="none"/>
                <w:lang w:eastAsia="zh-CN" w:bidi="ar"/>
              </w:rPr>
              <w:t>。</w:t>
            </w:r>
          </w:p>
          <w:p>
            <w:pPr>
              <w:widowControl/>
              <w:numPr>
                <w:ilvl w:val="0"/>
                <w:numId w:val="0"/>
              </w:numPr>
              <w:jc w:val="left"/>
              <w:textAlignment w:val="center"/>
              <w:rPr>
                <w:rFonts w:ascii="宋体" w:hAnsi="宋体" w:cs="宋体"/>
                <w:sz w:val="18"/>
                <w:szCs w:val="18"/>
                <w:highlight w:val="none"/>
              </w:rPr>
            </w:pPr>
            <w:r>
              <w:rPr>
                <w:rFonts w:hint="eastAsia" w:ascii="宋体" w:hAnsi="宋体" w:cs="宋体"/>
                <w:kern w:val="0"/>
                <w:sz w:val="18"/>
                <w:szCs w:val="18"/>
                <w:highlight w:val="none"/>
                <w:lang w:val="en-US" w:eastAsia="zh-CN" w:bidi="ar"/>
              </w:rPr>
              <w:t>6.</w:t>
            </w:r>
            <w:r>
              <w:rPr>
                <w:rFonts w:hint="eastAsia" w:ascii="宋体" w:hAnsi="宋体" w:eastAsia="宋体" w:cs="宋体"/>
                <w:kern w:val="0"/>
                <w:sz w:val="18"/>
                <w:szCs w:val="18"/>
                <w:highlight w:val="none"/>
                <w:lang w:val="en-US" w:eastAsia="zh-CN" w:bidi="ar"/>
              </w:rPr>
              <w:t>★</w:t>
            </w:r>
            <w:r>
              <w:rPr>
                <w:rFonts w:hint="eastAsia" w:ascii="宋体" w:hAnsi="宋体" w:cs="宋体"/>
                <w:kern w:val="0"/>
                <w:sz w:val="18"/>
                <w:szCs w:val="18"/>
                <w:highlight w:val="none"/>
                <w:lang w:bidi="ar"/>
              </w:rPr>
              <w:t>外壳防护等级IP67</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以上带“</w:t>
            </w:r>
            <w:r>
              <w:rPr>
                <w:rFonts w:hint="eastAsia" w:ascii="宋体" w:hAnsi="宋体" w:eastAsia="宋体" w:cs="宋体"/>
                <w:kern w:val="0"/>
                <w:sz w:val="18"/>
                <w:szCs w:val="18"/>
                <w:highlight w:val="none"/>
                <w:lang w:val="en-US" w:eastAsia="zh-CN" w:bidi="ar"/>
              </w:rPr>
              <w:t>★</w:t>
            </w:r>
            <w:r>
              <w:rPr>
                <w:rFonts w:hint="eastAsia" w:ascii="宋体" w:hAnsi="宋体" w:cs="宋体"/>
                <w:kern w:val="0"/>
                <w:sz w:val="18"/>
                <w:szCs w:val="18"/>
                <w:highlight w:val="none"/>
                <w:lang w:bidi="ar"/>
              </w:rPr>
              <w:t>”符合的技术参数为重要参数，</w:t>
            </w:r>
            <w:r>
              <w:rPr>
                <w:rFonts w:hint="eastAsia" w:ascii="宋体" w:hAnsi="宋体" w:eastAsia="宋体" w:cs="宋体"/>
                <w:kern w:val="0"/>
                <w:sz w:val="18"/>
                <w:szCs w:val="18"/>
                <w:highlight w:val="none"/>
                <w:lang w:val="en-US" w:eastAsia="zh-CN" w:bidi="ar"/>
              </w:rPr>
              <w:t>须提供具备法定资质的</w:t>
            </w:r>
            <w:r>
              <w:rPr>
                <w:rFonts w:hint="eastAsia" w:ascii="宋体" w:hAnsi="宋体" w:cs="宋体"/>
                <w:kern w:val="0"/>
                <w:sz w:val="18"/>
                <w:szCs w:val="18"/>
                <w:highlight w:val="none"/>
                <w:lang w:val="en-US" w:eastAsia="zh-CN" w:bidi="ar"/>
              </w:rPr>
              <w:t>检测机构</w:t>
            </w:r>
            <w:r>
              <w:rPr>
                <w:rFonts w:hint="eastAsia" w:ascii="宋体" w:hAnsi="宋体" w:eastAsia="宋体" w:cs="宋体"/>
                <w:kern w:val="0"/>
                <w:sz w:val="18"/>
                <w:szCs w:val="18"/>
                <w:highlight w:val="none"/>
                <w:lang w:val="en-US" w:eastAsia="zh-CN" w:bidi="ar"/>
              </w:rPr>
              <w:t>出具的检测报告复印件</w:t>
            </w:r>
            <w:r>
              <w:rPr>
                <w:rFonts w:hint="eastAsia" w:ascii="宋体" w:hAnsi="宋体" w:cs="宋体"/>
                <w:kern w:val="0"/>
                <w:sz w:val="18"/>
                <w:szCs w:val="18"/>
                <w:highlight w:val="none"/>
                <w:lang w:bidi="ar"/>
              </w:rPr>
              <w:t>。</w:t>
            </w:r>
          </w:p>
        </w:tc>
      </w:tr>
      <w:tr>
        <w:tblPrEx>
          <w:tblCellMar>
            <w:top w:w="0" w:type="dxa"/>
            <w:left w:w="108" w:type="dxa"/>
            <w:bottom w:w="0" w:type="dxa"/>
            <w:right w:w="108" w:type="dxa"/>
          </w:tblCellMar>
        </w:tblPrEx>
        <w:trPr>
          <w:trHeight w:val="4865" w:hRule="atLeast"/>
        </w:trPr>
        <w:tc>
          <w:tcPr>
            <w:tcW w:w="606"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41</w:t>
            </w:r>
          </w:p>
        </w:tc>
        <w:tc>
          <w:tcPr>
            <w:tcW w:w="7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01B042</w:t>
            </w:r>
          </w:p>
        </w:tc>
        <w:tc>
          <w:tcPr>
            <w:tcW w:w="1016"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可头戴式防爆手电</w:t>
            </w:r>
          </w:p>
        </w:tc>
        <w:tc>
          <w:tcPr>
            <w:tcW w:w="73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10</w:t>
            </w:r>
          </w:p>
        </w:tc>
        <w:tc>
          <w:tcPr>
            <w:tcW w:w="5712"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val="en-US" w:eastAsia="zh-CN" w:bidi="ar"/>
              </w:rPr>
              <w:t>1.</w:t>
            </w:r>
            <w:r>
              <w:rPr>
                <w:rFonts w:hint="eastAsia" w:ascii="宋体" w:hAnsi="宋体" w:cs="宋体"/>
                <w:kern w:val="0"/>
                <w:sz w:val="18"/>
                <w:szCs w:val="18"/>
                <w:highlight w:val="none"/>
                <w:lang w:bidi="ar"/>
              </w:rPr>
              <w:t>产品采用铝合金本安外壳</w:t>
            </w:r>
          </w:p>
          <w:p>
            <w:pPr>
              <w:widowControl/>
              <w:jc w:val="left"/>
              <w:textAlignment w:val="center"/>
              <w:rPr>
                <w:rFonts w:hint="eastAsia" w:eastAsia="宋体"/>
                <w:highlight w:val="none"/>
                <w:lang w:eastAsia="zh-CN"/>
              </w:rPr>
            </w:pP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 xml:space="preserve">额定电压3.7V带有双重化保护电路的锂离子电池供电。                                                                         </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3.</w:t>
            </w:r>
            <w:r>
              <w:rPr>
                <w:rFonts w:hint="eastAsia" w:ascii="宋体" w:hAnsi="宋体" w:cs="宋体"/>
                <w:kern w:val="0"/>
                <w:sz w:val="18"/>
                <w:szCs w:val="18"/>
                <w:highlight w:val="none"/>
                <w:lang w:bidi="ar"/>
              </w:rPr>
              <w:t>产品需经过火花点燃试验，防爆级别应符合Ex ib IIC T6 Gb。</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4.具备LED</w:t>
            </w:r>
            <w:r>
              <w:rPr>
                <w:rFonts w:hint="eastAsia" w:ascii="宋体" w:hAnsi="宋体" w:cs="宋体"/>
                <w:kern w:val="0"/>
                <w:sz w:val="18"/>
                <w:szCs w:val="18"/>
                <w:highlight w:val="none"/>
                <w:lang w:bidi="ar"/>
              </w:rPr>
              <w:t>电量检测功能，手柄处设计有LED电量指示装置</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t>Type-c输入充电</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t>电池容量 ≥1900mAh</w:t>
            </w:r>
            <w:r>
              <w:rPr>
                <w:rFonts w:hint="eastAsia" w:ascii="宋体" w:hAnsi="宋体" w:cs="宋体"/>
                <w:kern w:val="0"/>
                <w:sz w:val="18"/>
                <w:szCs w:val="18"/>
                <w:highlight w:val="none"/>
                <w:lang w:eastAsia="zh-CN" w:bidi="ar"/>
              </w:rPr>
              <w:t>。</w:t>
            </w:r>
          </w:p>
          <w:p>
            <w:pPr>
              <w:widowControl/>
              <w:jc w:val="left"/>
              <w:textAlignment w:val="center"/>
              <w:rPr>
                <w:rFonts w:hint="eastAsia" w:ascii="宋体" w:hAnsi="宋体" w:eastAsia="宋体" w:cs="宋体"/>
                <w:kern w:val="0"/>
                <w:sz w:val="18"/>
                <w:szCs w:val="18"/>
                <w:highlight w:val="none"/>
                <w:lang w:eastAsia="zh-CN" w:bidi="ar"/>
              </w:rPr>
            </w:pP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设有强光、工作光及频闪三种模式</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t xml:space="preserve"> 连续工作时间 ≥8h（强光）≥1</w:t>
            </w:r>
            <w:r>
              <w:rPr>
                <w:rFonts w:hint="eastAsia" w:ascii="宋体" w:hAnsi="宋体" w:cs="宋体"/>
                <w:kern w:val="0"/>
                <w:sz w:val="18"/>
                <w:szCs w:val="18"/>
                <w:highlight w:val="none"/>
                <w:lang w:val="en-US" w:eastAsia="zh-CN" w:bidi="ar"/>
              </w:rPr>
              <w:t>0</w:t>
            </w:r>
            <w:r>
              <w:rPr>
                <w:rFonts w:hint="eastAsia" w:ascii="宋体" w:hAnsi="宋体" w:cs="宋体"/>
                <w:kern w:val="0"/>
                <w:sz w:val="18"/>
                <w:szCs w:val="18"/>
                <w:highlight w:val="none"/>
                <w:lang w:bidi="ar"/>
              </w:rPr>
              <w:t>h（工作光）</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t xml:space="preserve">                                                                      </w:t>
            </w:r>
            <w:r>
              <w:rPr>
                <w:rFonts w:hint="eastAsia" w:ascii="宋体" w:hAnsi="宋体" w:cs="宋体"/>
                <w:kern w:val="0"/>
                <w:sz w:val="18"/>
                <w:szCs w:val="18"/>
                <w:highlight w:val="none"/>
                <w:lang w:val="en-US" w:eastAsia="zh-CN" w:bidi="ar"/>
              </w:rPr>
              <w:t>6.</w:t>
            </w:r>
            <w:r>
              <w:rPr>
                <w:rFonts w:hint="eastAsia" w:ascii="宋体" w:hAnsi="宋体" w:cs="宋体"/>
                <w:kern w:val="0"/>
                <w:sz w:val="18"/>
                <w:szCs w:val="18"/>
                <w:highlight w:val="none"/>
                <w:lang w:bidi="ar"/>
              </w:rPr>
              <w:t>防爆标志 Ex ib IIC T6 Gb</w:t>
            </w:r>
            <w:r>
              <w:rPr>
                <w:rFonts w:hint="eastAsia" w:ascii="宋体" w:hAnsi="宋体" w:cs="宋体"/>
                <w:kern w:val="0"/>
                <w:sz w:val="18"/>
                <w:szCs w:val="18"/>
                <w:highlight w:val="none"/>
                <w:lang w:eastAsia="zh-CN" w:bidi="ar"/>
              </w:rPr>
              <w:t>。</w:t>
            </w:r>
          </w:p>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br w:type="textWrapping"/>
            </w:r>
            <w:r>
              <w:rPr>
                <w:rFonts w:hint="eastAsia" w:ascii="宋体" w:hAnsi="宋体" w:eastAsia="宋体" w:cs="宋体"/>
                <w:kern w:val="0"/>
                <w:sz w:val="18"/>
                <w:szCs w:val="18"/>
                <w:highlight w:val="none"/>
                <w:lang w:val="en-US" w:eastAsia="zh-CN" w:bidi="ar"/>
              </w:rPr>
              <w:t>★</w:t>
            </w:r>
            <w:r>
              <w:rPr>
                <w:rFonts w:hint="eastAsia" w:ascii="宋体" w:hAnsi="宋体" w:cs="宋体"/>
                <w:kern w:val="0"/>
                <w:sz w:val="18"/>
                <w:szCs w:val="18"/>
                <w:highlight w:val="none"/>
                <w:lang w:bidi="ar"/>
              </w:rPr>
              <w:t>外壳防护等级应符合GB/T 4208-2017中防护等级IP66级规定</w:t>
            </w:r>
            <w:r>
              <w:rPr>
                <w:rFonts w:hint="eastAsia" w:ascii="宋体" w:hAnsi="宋体" w:cs="宋体"/>
                <w:kern w:val="0"/>
                <w:sz w:val="18"/>
                <w:szCs w:val="18"/>
                <w:highlight w:val="none"/>
                <w:lang w:eastAsia="zh-CN" w:bidi="ar"/>
              </w:rPr>
              <w:t>，</w:t>
            </w:r>
            <w:r>
              <w:rPr>
                <w:rFonts w:hint="eastAsia" w:ascii="宋体" w:hAnsi="宋体" w:eastAsia="宋体" w:cs="宋体"/>
                <w:kern w:val="0"/>
                <w:sz w:val="18"/>
                <w:szCs w:val="18"/>
                <w:highlight w:val="none"/>
                <w:lang w:val="en-US" w:eastAsia="zh-CN" w:bidi="ar"/>
              </w:rPr>
              <w:t>须提供具备法定资质的</w:t>
            </w:r>
            <w:r>
              <w:rPr>
                <w:rFonts w:hint="eastAsia" w:ascii="宋体" w:hAnsi="宋体" w:cs="宋体"/>
                <w:kern w:val="0"/>
                <w:sz w:val="18"/>
                <w:szCs w:val="18"/>
                <w:highlight w:val="none"/>
                <w:lang w:val="en-US" w:eastAsia="zh-CN" w:bidi="ar"/>
              </w:rPr>
              <w:t>检测机构</w:t>
            </w:r>
            <w:r>
              <w:rPr>
                <w:rFonts w:hint="eastAsia" w:ascii="宋体" w:hAnsi="宋体" w:eastAsia="宋体" w:cs="宋体"/>
                <w:kern w:val="0"/>
                <w:sz w:val="18"/>
                <w:szCs w:val="18"/>
                <w:highlight w:val="none"/>
                <w:lang w:val="en-US" w:eastAsia="zh-CN" w:bidi="ar"/>
              </w:rPr>
              <w:t>出具的检测报告复印件</w:t>
            </w:r>
            <w:r>
              <w:rPr>
                <w:rFonts w:hint="eastAsia" w:ascii="宋体" w:hAnsi="宋体" w:cs="宋体"/>
                <w:kern w:val="0"/>
                <w:sz w:val="18"/>
                <w:szCs w:val="18"/>
                <w:highlight w:val="none"/>
                <w:lang w:bidi="ar"/>
              </w:rPr>
              <w:t>。</w:t>
            </w:r>
          </w:p>
        </w:tc>
      </w:tr>
      <w:tr>
        <w:tblPrEx>
          <w:tblCellMar>
            <w:top w:w="0" w:type="dxa"/>
            <w:left w:w="108" w:type="dxa"/>
            <w:bottom w:w="0" w:type="dxa"/>
            <w:right w:w="108" w:type="dxa"/>
          </w:tblCellMar>
        </w:tblPrEx>
        <w:trPr>
          <w:trHeight w:val="5588" w:hRule="atLeast"/>
        </w:trPr>
        <w:tc>
          <w:tcPr>
            <w:tcW w:w="606"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42</w:t>
            </w:r>
          </w:p>
        </w:tc>
        <w:tc>
          <w:tcPr>
            <w:tcW w:w="7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01B043</w:t>
            </w:r>
          </w:p>
        </w:tc>
        <w:tc>
          <w:tcPr>
            <w:tcW w:w="1016"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防爆探照灯</w:t>
            </w:r>
          </w:p>
        </w:tc>
        <w:tc>
          <w:tcPr>
            <w:tcW w:w="73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38</w:t>
            </w:r>
          </w:p>
        </w:tc>
        <w:tc>
          <w:tcPr>
            <w:tcW w:w="5712"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val="en-US" w:eastAsia="zh-CN" w:bidi="ar"/>
              </w:rPr>
              <w:t>1.</w:t>
            </w:r>
            <w:r>
              <w:rPr>
                <w:rFonts w:hint="eastAsia" w:ascii="宋体" w:hAnsi="宋体" w:eastAsia="宋体" w:cs="宋体"/>
                <w:kern w:val="0"/>
                <w:sz w:val="18"/>
                <w:szCs w:val="18"/>
                <w:highlight w:val="none"/>
                <w:lang w:val="en-US" w:eastAsia="zh-CN" w:bidi="ar"/>
              </w:rPr>
              <w:t>★</w:t>
            </w:r>
            <w:r>
              <w:rPr>
                <w:rFonts w:hint="eastAsia" w:ascii="宋体" w:hAnsi="宋体" w:cs="宋体"/>
                <w:kern w:val="0"/>
                <w:sz w:val="18"/>
                <w:szCs w:val="18"/>
                <w:highlight w:val="none"/>
                <w:lang w:bidi="ar"/>
              </w:rPr>
              <w:t>产品可在各种易燃易爆场所安全工作。防爆级别应符合Ex ib IIC T4 Gb。</w:t>
            </w:r>
          </w:p>
          <w:p>
            <w:pPr>
              <w:widowControl/>
              <w:jc w:val="left"/>
              <w:textAlignment w:val="center"/>
              <w:rPr>
                <w:rFonts w:hint="eastAsia" w:ascii="宋体" w:hAnsi="宋体" w:eastAsia="宋体" w:cs="宋体"/>
                <w:kern w:val="0"/>
                <w:sz w:val="18"/>
                <w:szCs w:val="18"/>
                <w:highlight w:val="none"/>
                <w:lang w:eastAsia="zh-CN" w:bidi="ar"/>
              </w:rPr>
            </w:pP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配用光源 LED;连续工作时间 ≥8h（强光）≥16h（工作光）</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3.</w:t>
            </w:r>
            <w:r>
              <w:rPr>
                <w:rFonts w:hint="eastAsia" w:ascii="宋体" w:hAnsi="宋体" w:eastAsia="宋体" w:cs="宋体"/>
                <w:kern w:val="0"/>
                <w:sz w:val="18"/>
                <w:szCs w:val="18"/>
                <w:highlight w:val="none"/>
                <w:lang w:val="en-US" w:eastAsia="zh-CN" w:bidi="ar"/>
              </w:rPr>
              <w:t>★</w:t>
            </w:r>
            <w:r>
              <w:rPr>
                <w:rFonts w:hint="eastAsia" w:ascii="宋体" w:hAnsi="宋体" w:cs="宋体"/>
                <w:kern w:val="0"/>
                <w:sz w:val="18"/>
                <w:szCs w:val="18"/>
                <w:highlight w:val="none"/>
                <w:lang w:bidi="ar"/>
              </w:rPr>
              <w:t>外壳防护等级应符合GB/T 4208-2017中防护等级IP66级规定。</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4.</w:t>
            </w:r>
            <w:r>
              <w:rPr>
                <w:rFonts w:hint="eastAsia" w:ascii="宋体" w:hAnsi="宋体" w:cs="宋体"/>
                <w:kern w:val="0"/>
                <w:sz w:val="18"/>
                <w:szCs w:val="18"/>
                <w:highlight w:val="none"/>
                <w:lang w:bidi="ar"/>
              </w:rPr>
              <w:t>电池容量 ≥4</w:t>
            </w:r>
            <w:r>
              <w:rPr>
                <w:rFonts w:hint="eastAsia" w:ascii="宋体" w:hAnsi="宋体" w:cs="宋体"/>
                <w:kern w:val="0"/>
                <w:sz w:val="18"/>
                <w:szCs w:val="18"/>
                <w:highlight w:val="none"/>
                <w:lang w:val="en-US" w:eastAsia="zh-CN" w:bidi="ar"/>
              </w:rPr>
              <w:t>0</w:t>
            </w:r>
            <w:r>
              <w:rPr>
                <w:rFonts w:hint="eastAsia" w:ascii="宋体" w:hAnsi="宋体" w:cs="宋体"/>
                <w:kern w:val="0"/>
                <w:sz w:val="18"/>
                <w:szCs w:val="18"/>
                <w:highlight w:val="none"/>
                <w:lang w:bidi="ar"/>
              </w:rPr>
              <w:t>00mAh</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val="en-US" w:eastAsia="zh-CN" w:bidi="ar"/>
              </w:rPr>
              <w:t>具有</w:t>
            </w:r>
            <w:r>
              <w:rPr>
                <w:rFonts w:hint="eastAsia" w:ascii="宋体" w:hAnsi="宋体" w:cs="宋体"/>
                <w:kern w:val="0"/>
                <w:sz w:val="18"/>
                <w:szCs w:val="18"/>
                <w:highlight w:val="none"/>
                <w:lang w:bidi="ar"/>
              </w:rPr>
              <w:t>智能化电量显示和低电压警示功能</w:t>
            </w:r>
            <w:r>
              <w:rPr>
                <w:rFonts w:hint="eastAsia" w:ascii="宋体" w:hAnsi="宋体" w:cs="宋体"/>
                <w:kern w:val="0"/>
                <w:sz w:val="18"/>
                <w:szCs w:val="18"/>
                <w:highlight w:val="none"/>
                <w:lang w:eastAsia="zh-CN" w:bidi="ar"/>
              </w:rPr>
              <w:t>。</w:t>
            </w:r>
          </w:p>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配备多种移动设备接口充电线，可供移动设备充电使用，本产品可以作为便携式移动充电宝使用</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6.</w:t>
            </w:r>
            <w:r>
              <w:rPr>
                <w:rFonts w:hint="eastAsia" w:ascii="宋体" w:hAnsi="宋体" w:cs="宋体"/>
                <w:kern w:val="0"/>
                <w:sz w:val="18"/>
                <w:szCs w:val="18"/>
                <w:highlight w:val="none"/>
                <w:lang w:bidi="ar"/>
              </w:rPr>
              <w:t>尾部处设有红色信号功能。</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7.</w:t>
            </w:r>
            <w:r>
              <w:rPr>
                <w:rFonts w:hint="eastAsia" w:ascii="宋体" w:hAnsi="宋体" w:cs="宋体"/>
                <w:kern w:val="0"/>
                <w:sz w:val="18"/>
                <w:szCs w:val="18"/>
                <w:highlight w:val="none"/>
                <w:lang w:bidi="ar"/>
              </w:rPr>
              <w:t>内置倾斜感应报警功能。</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以上带“</w:t>
            </w:r>
            <w:r>
              <w:rPr>
                <w:rFonts w:hint="eastAsia" w:ascii="宋体" w:hAnsi="宋体" w:eastAsia="宋体" w:cs="宋体"/>
                <w:kern w:val="0"/>
                <w:sz w:val="18"/>
                <w:szCs w:val="18"/>
                <w:highlight w:val="none"/>
                <w:lang w:val="en-US" w:eastAsia="zh-CN" w:bidi="ar"/>
              </w:rPr>
              <w:t>★</w:t>
            </w:r>
            <w:r>
              <w:rPr>
                <w:rFonts w:hint="eastAsia" w:ascii="宋体" w:hAnsi="宋体" w:cs="宋体"/>
                <w:kern w:val="0"/>
                <w:sz w:val="18"/>
                <w:szCs w:val="18"/>
                <w:highlight w:val="none"/>
                <w:lang w:bidi="ar"/>
              </w:rPr>
              <w:t>”符合的技术参数为重要参数</w:t>
            </w:r>
            <w:r>
              <w:rPr>
                <w:rFonts w:hint="eastAsia" w:ascii="宋体" w:hAnsi="宋体" w:cs="宋体"/>
                <w:kern w:val="0"/>
                <w:sz w:val="18"/>
                <w:szCs w:val="18"/>
                <w:highlight w:val="none"/>
                <w:lang w:eastAsia="zh-CN" w:bidi="ar"/>
              </w:rPr>
              <w:t>，</w:t>
            </w:r>
            <w:r>
              <w:rPr>
                <w:rFonts w:hint="eastAsia" w:ascii="宋体" w:hAnsi="宋体" w:eastAsia="宋体" w:cs="宋体"/>
                <w:kern w:val="0"/>
                <w:sz w:val="18"/>
                <w:szCs w:val="18"/>
                <w:highlight w:val="none"/>
                <w:lang w:val="en-US" w:eastAsia="zh-CN" w:bidi="ar"/>
              </w:rPr>
              <w:t>须提供具备法定资质的</w:t>
            </w:r>
            <w:r>
              <w:rPr>
                <w:rFonts w:hint="eastAsia" w:ascii="宋体" w:hAnsi="宋体" w:cs="宋体"/>
                <w:kern w:val="0"/>
                <w:sz w:val="18"/>
                <w:szCs w:val="18"/>
                <w:highlight w:val="none"/>
                <w:lang w:val="en-US" w:eastAsia="zh-CN" w:bidi="ar"/>
              </w:rPr>
              <w:t>检测机构</w:t>
            </w:r>
            <w:r>
              <w:rPr>
                <w:rFonts w:hint="eastAsia" w:ascii="宋体" w:hAnsi="宋体" w:eastAsia="宋体" w:cs="宋体"/>
                <w:kern w:val="0"/>
                <w:sz w:val="18"/>
                <w:szCs w:val="18"/>
                <w:highlight w:val="none"/>
                <w:lang w:val="en-US" w:eastAsia="zh-CN" w:bidi="ar"/>
              </w:rPr>
              <w:t>出具的检测报告复印件</w:t>
            </w:r>
            <w:r>
              <w:rPr>
                <w:rFonts w:hint="eastAsia" w:ascii="宋体" w:hAnsi="宋体" w:cs="宋体"/>
                <w:kern w:val="0"/>
                <w:sz w:val="18"/>
                <w:szCs w:val="18"/>
                <w:highlight w:val="none"/>
                <w:lang w:bidi="ar"/>
              </w:rPr>
              <w:t>。</w:t>
            </w:r>
          </w:p>
        </w:tc>
      </w:tr>
      <w:tr>
        <w:tblPrEx>
          <w:tblCellMar>
            <w:top w:w="0" w:type="dxa"/>
            <w:left w:w="108" w:type="dxa"/>
            <w:bottom w:w="0" w:type="dxa"/>
            <w:right w:w="108" w:type="dxa"/>
          </w:tblCellMar>
        </w:tblPrEx>
        <w:trPr>
          <w:trHeight w:val="90" w:hRule="atLeast"/>
        </w:trPr>
        <w:tc>
          <w:tcPr>
            <w:tcW w:w="606"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43</w:t>
            </w:r>
          </w:p>
        </w:tc>
        <w:tc>
          <w:tcPr>
            <w:tcW w:w="7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01B044</w:t>
            </w:r>
          </w:p>
        </w:tc>
        <w:tc>
          <w:tcPr>
            <w:tcW w:w="1016"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佩戴式防爆头灯</w:t>
            </w:r>
          </w:p>
        </w:tc>
        <w:tc>
          <w:tcPr>
            <w:tcW w:w="73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10</w:t>
            </w:r>
          </w:p>
        </w:tc>
        <w:tc>
          <w:tcPr>
            <w:tcW w:w="5712"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val="en-US" w:eastAsia="zh-CN" w:bidi="ar"/>
              </w:rPr>
              <w:t>1.</w:t>
            </w:r>
            <w:r>
              <w:rPr>
                <w:rFonts w:hint="eastAsia" w:ascii="宋体" w:hAnsi="宋体" w:eastAsia="宋体" w:cs="宋体"/>
                <w:kern w:val="0"/>
                <w:sz w:val="18"/>
                <w:szCs w:val="18"/>
                <w:highlight w:val="none"/>
                <w:lang w:val="en-US" w:eastAsia="zh-CN" w:bidi="ar"/>
              </w:rPr>
              <w:t>★</w:t>
            </w:r>
            <w:r>
              <w:rPr>
                <w:rFonts w:hint="eastAsia" w:ascii="宋体" w:hAnsi="宋体" w:cs="宋体"/>
                <w:kern w:val="0"/>
                <w:sz w:val="18"/>
                <w:szCs w:val="18"/>
                <w:highlight w:val="none"/>
                <w:lang w:bidi="ar"/>
              </w:rPr>
              <w:t xml:space="preserve">可在各种易燃易爆场所安全工作。产品需防爆级别应符合Ex ib IIC T4 Gb。                                                                           </w:t>
            </w:r>
            <w:r>
              <w:rPr>
                <w:rFonts w:hint="eastAsia" w:ascii="宋体" w:hAnsi="宋体" w:cs="宋体"/>
                <w:kern w:val="0"/>
                <w:sz w:val="18"/>
                <w:szCs w:val="18"/>
                <w:highlight w:val="none"/>
                <w:lang w:val="en-US" w:eastAsia="zh-CN" w:bidi="ar"/>
              </w:rPr>
              <w:t>2.</w:t>
            </w:r>
            <w:r>
              <w:rPr>
                <w:rFonts w:hint="eastAsia" w:ascii="宋体" w:hAnsi="宋体" w:eastAsia="宋体" w:cs="宋体"/>
                <w:kern w:val="0"/>
                <w:sz w:val="18"/>
                <w:szCs w:val="18"/>
                <w:highlight w:val="none"/>
                <w:lang w:val="en-US" w:eastAsia="zh-CN" w:bidi="ar"/>
              </w:rPr>
              <w:t>★</w:t>
            </w:r>
            <w:r>
              <w:rPr>
                <w:rFonts w:hint="eastAsia" w:ascii="宋体" w:hAnsi="宋体" w:cs="宋体"/>
                <w:kern w:val="0"/>
                <w:sz w:val="18"/>
                <w:szCs w:val="18"/>
                <w:highlight w:val="none"/>
                <w:lang w:bidi="ar"/>
              </w:rPr>
              <w:t>外壳防护等级应符合GB/T 4208-2017中防护等级IP66级规定。</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3.</w:t>
            </w:r>
            <w:r>
              <w:rPr>
                <w:rFonts w:hint="eastAsia" w:ascii="宋体" w:hAnsi="宋体" w:cs="宋体"/>
                <w:kern w:val="0"/>
                <w:sz w:val="18"/>
                <w:szCs w:val="18"/>
                <w:highlight w:val="none"/>
                <w:lang w:bidi="ar"/>
              </w:rPr>
              <w:t>设有强光、工作光、频闪三种工作模式；智能型充电器设有过充、短路保护及充电显示装置</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4.</w:t>
            </w:r>
            <w:r>
              <w:rPr>
                <w:rFonts w:hint="eastAsia" w:ascii="宋体" w:hAnsi="宋体" w:cs="宋体"/>
                <w:kern w:val="0"/>
                <w:sz w:val="18"/>
                <w:szCs w:val="18"/>
                <w:highlight w:val="none"/>
                <w:lang w:bidi="ar"/>
              </w:rPr>
              <w:t>配用光源</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t xml:space="preserve"> </w:t>
            </w:r>
            <w:r>
              <w:rPr>
                <w:rFonts w:hint="eastAsia" w:ascii="宋体" w:hAnsi="宋体" w:cs="宋体"/>
                <w:kern w:val="0"/>
                <w:sz w:val="18"/>
                <w:szCs w:val="18"/>
                <w:highlight w:val="none"/>
                <w:lang w:val="en-US" w:eastAsia="zh-CN" w:bidi="ar"/>
              </w:rPr>
              <w:t>LED。</w:t>
            </w:r>
            <w:r>
              <w:rPr>
                <w:rFonts w:hint="eastAsia" w:ascii="宋体" w:hAnsi="宋体" w:cs="宋体"/>
                <w:kern w:val="0"/>
                <w:sz w:val="18"/>
                <w:szCs w:val="18"/>
                <w:highlight w:val="none"/>
                <w:lang w:bidi="ar"/>
              </w:rPr>
              <w:t>灯头可上下≤90°范围调节。</w:t>
            </w:r>
          </w:p>
          <w:p>
            <w:pPr>
              <w:widowControl/>
              <w:jc w:val="left"/>
              <w:textAlignment w:val="center"/>
              <w:rPr>
                <w:rFonts w:hint="default" w:ascii="宋体" w:hAnsi="宋体" w:eastAsia="宋体" w:cs="宋体"/>
                <w:kern w:val="0"/>
                <w:sz w:val="18"/>
                <w:szCs w:val="18"/>
                <w:highlight w:val="none"/>
                <w:lang w:val="en-US" w:eastAsia="zh-CN" w:bidi="ar"/>
              </w:rPr>
            </w:pP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电池容量 ≥2</w:t>
            </w:r>
            <w:r>
              <w:rPr>
                <w:rFonts w:hint="eastAsia" w:ascii="宋体" w:hAnsi="宋体" w:cs="宋体"/>
                <w:kern w:val="0"/>
                <w:sz w:val="18"/>
                <w:szCs w:val="18"/>
                <w:highlight w:val="none"/>
                <w:lang w:val="en-US" w:eastAsia="zh-CN" w:bidi="ar"/>
              </w:rPr>
              <w:t>0</w:t>
            </w:r>
            <w:r>
              <w:rPr>
                <w:rFonts w:hint="eastAsia" w:ascii="宋体" w:hAnsi="宋体" w:cs="宋体"/>
                <w:kern w:val="0"/>
                <w:sz w:val="18"/>
                <w:szCs w:val="18"/>
                <w:highlight w:val="none"/>
                <w:lang w:bidi="ar"/>
              </w:rPr>
              <w:t>00mAh</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t>连续工作时间 ≥4h（强光）≥8h（工作光）</w:t>
            </w:r>
            <w:r>
              <w:rPr>
                <w:rFonts w:hint="eastAsia" w:ascii="宋体" w:hAnsi="宋体" w:cs="宋体"/>
                <w:kern w:val="0"/>
                <w:sz w:val="18"/>
                <w:szCs w:val="18"/>
                <w:highlight w:val="none"/>
                <w:lang w:eastAsia="zh-CN" w:bidi="ar"/>
              </w:rPr>
              <w:t>。</w:t>
            </w:r>
          </w:p>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以上带“</w:t>
            </w:r>
            <w:r>
              <w:rPr>
                <w:rFonts w:hint="eastAsia" w:ascii="宋体" w:hAnsi="宋体" w:eastAsia="宋体" w:cs="宋体"/>
                <w:kern w:val="0"/>
                <w:sz w:val="18"/>
                <w:szCs w:val="18"/>
                <w:highlight w:val="none"/>
                <w:lang w:val="en-US" w:eastAsia="zh-CN" w:bidi="ar"/>
              </w:rPr>
              <w:t>★</w:t>
            </w:r>
            <w:r>
              <w:rPr>
                <w:rFonts w:hint="eastAsia" w:ascii="宋体" w:hAnsi="宋体" w:cs="宋体"/>
                <w:kern w:val="0"/>
                <w:sz w:val="18"/>
                <w:szCs w:val="18"/>
                <w:highlight w:val="none"/>
                <w:lang w:bidi="ar"/>
              </w:rPr>
              <w:t>”符合的技术参数为重要参数，</w:t>
            </w:r>
            <w:r>
              <w:rPr>
                <w:rFonts w:hint="eastAsia" w:ascii="宋体" w:hAnsi="宋体" w:eastAsia="宋体" w:cs="宋体"/>
                <w:kern w:val="0"/>
                <w:sz w:val="18"/>
                <w:szCs w:val="18"/>
                <w:highlight w:val="none"/>
                <w:lang w:val="en-US" w:eastAsia="zh-CN" w:bidi="ar"/>
              </w:rPr>
              <w:t>须提供具备法定资质的</w:t>
            </w:r>
            <w:r>
              <w:rPr>
                <w:rFonts w:hint="eastAsia" w:ascii="宋体" w:hAnsi="宋体" w:cs="宋体"/>
                <w:kern w:val="0"/>
                <w:sz w:val="18"/>
                <w:szCs w:val="18"/>
                <w:highlight w:val="none"/>
                <w:lang w:val="en-US" w:eastAsia="zh-CN" w:bidi="ar"/>
              </w:rPr>
              <w:t>检测机构</w:t>
            </w:r>
            <w:r>
              <w:rPr>
                <w:rFonts w:hint="eastAsia" w:ascii="宋体" w:hAnsi="宋体" w:eastAsia="宋体" w:cs="宋体"/>
                <w:kern w:val="0"/>
                <w:sz w:val="18"/>
                <w:szCs w:val="18"/>
                <w:highlight w:val="none"/>
                <w:lang w:val="en-US" w:eastAsia="zh-CN" w:bidi="ar"/>
              </w:rPr>
              <w:t>出具的检测报告复印件</w:t>
            </w:r>
            <w:r>
              <w:rPr>
                <w:rFonts w:hint="eastAsia" w:ascii="宋体" w:hAnsi="宋体" w:cs="宋体"/>
                <w:kern w:val="0"/>
                <w:sz w:val="18"/>
                <w:szCs w:val="18"/>
                <w:highlight w:val="none"/>
                <w:lang w:bidi="ar"/>
              </w:rPr>
              <w:t>。</w:t>
            </w:r>
          </w:p>
        </w:tc>
      </w:tr>
      <w:tr>
        <w:tblPrEx>
          <w:tblCellMar>
            <w:top w:w="0" w:type="dxa"/>
            <w:left w:w="108" w:type="dxa"/>
            <w:bottom w:w="0" w:type="dxa"/>
            <w:right w:w="108" w:type="dxa"/>
          </w:tblCellMar>
        </w:tblPrEx>
        <w:trPr>
          <w:trHeight w:val="5372" w:hRule="atLeast"/>
        </w:trPr>
        <w:tc>
          <w:tcPr>
            <w:tcW w:w="606"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44</w:t>
            </w:r>
          </w:p>
        </w:tc>
        <w:tc>
          <w:tcPr>
            <w:tcW w:w="7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01B045</w:t>
            </w:r>
          </w:p>
        </w:tc>
        <w:tc>
          <w:tcPr>
            <w:tcW w:w="1016"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防爆工作灯</w:t>
            </w:r>
          </w:p>
        </w:tc>
        <w:tc>
          <w:tcPr>
            <w:tcW w:w="73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套</w:t>
            </w:r>
          </w:p>
        </w:tc>
        <w:tc>
          <w:tcPr>
            <w:tcW w:w="75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7</w:t>
            </w:r>
          </w:p>
        </w:tc>
        <w:tc>
          <w:tcPr>
            <w:tcW w:w="5712"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widowControl/>
              <w:jc w:val="left"/>
              <w:textAlignment w:val="center"/>
              <w:rPr>
                <w:rFonts w:ascii="宋体" w:hAnsi="宋体" w:cs="宋体"/>
                <w:kern w:val="0"/>
                <w:sz w:val="18"/>
                <w:szCs w:val="18"/>
                <w:highlight w:val="none"/>
                <w:lang w:bidi="ar"/>
              </w:rPr>
            </w:pPr>
            <w:r>
              <w:rPr>
                <w:rFonts w:hint="eastAsia" w:ascii="宋体" w:hAnsi="宋体" w:cs="宋体"/>
                <w:kern w:val="0"/>
                <w:sz w:val="18"/>
                <w:szCs w:val="18"/>
                <w:highlight w:val="none"/>
                <w:lang w:val="en-US" w:eastAsia="zh-CN" w:bidi="ar"/>
              </w:rPr>
              <w:t>1.</w:t>
            </w:r>
            <w:r>
              <w:rPr>
                <w:rFonts w:hint="eastAsia" w:ascii="宋体" w:hAnsi="宋体" w:cs="宋体"/>
                <w:kern w:val="0"/>
                <w:sz w:val="18"/>
                <w:szCs w:val="18"/>
                <w:highlight w:val="none"/>
                <w:lang w:bidi="ar"/>
              </w:rPr>
              <w:t>采用≥10只高亮度LED光源串并联使用</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采用金属外壳</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t xml:space="preserve">                                  </w:t>
            </w:r>
          </w:p>
          <w:p>
            <w:pPr>
              <w:widowControl/>
              <w:jc w:val="left"/>
              <w:textAlignment w:val="center"/>
              <w:rPr>
                <w:rFonts w:hint="eastAsia" w:ascii="宋体" w:hAnsi="宋体" w:eastAsia="宋体" w:cs="宋体"/>
                <w:kern w:val="0"/>
                <w:sz w:val="18"/>
                <w:szCs w:val="18"/>
                <w:highlight w:val="none"/>
                <w:lang w:eastAsia="zh-CN" w:bidi="ar"/>
              </w:rPr>
            </w:pPr>
            <w:r>
              <w:rPr>
                <w:rFonts w:hint="eastAsia" w:ascii="宋体" w:hAnsi="宋体" w:cs="宋体"/>
                <w:kern w:val="0"/>
                <w:sz w:val="18"/>
                <w:szCs w:val="18"/>
                <w:highlight w:val="none"/>
                <w:lang w:val="en-US" w:eastAsia="zh-CN" w:bidi="ar"/>
              </w:rPr>
              <w:t>3.</w:t>
            </w:r>
            <w:r>
              <w:rPr>
                <w:rFonts w:hint="eastAsia" w:ascii="宋体" w:hAnsi="宋体" w:cs="宋体"/>
                <w:kern w:val="0"/>
                <w:sz w:val="18"/>
                <w:szCs w:val="18"/>
                <w:highlight w:val="none"/>
                <w:lang w:bidi="ar"/>
              </w:rPr>
              <w:t>灯头采用全密封一体式设计，可固定在箱体或其它支撑物上使用，也可卸下手持式使用, 照明角度可任意调节</w:t>
            </w:r>
            <w:r>
              <w:rPr>
                <w:rFonts w:hint="eastAsia" w:ascii="宋体" w:hAnsi="宋体" w:cs="宋体"/>
                <w:kern w:val="0"/>
                <w:sz w:val="18"/>
                <w:szCs w:val="18"/>
                <w:highlight w:val="none"/>
                <w:lang w:eastAsia="zh-CN" w:bidi="ar"/>
              </w:rPr>
              <w:t>。</w:t>
            </w:r>
          </w:p>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val="en-US" w:eastAsia="zh-CN" w:bidi="ar"/>
              </w:rPr>
              <w:t>4.</w:t>
            </w:r>
            <w:r>
              <w:rPr>
                <w:rFonts w:hint="eastAsia" w:ascii="宋体" w:hAnsi="宋体" w:cs="宋体"/>
                <w:kern w:val="0"/>
                <w:sz w:val="18"/>
                <w:szCs w:val="18"/>
                <w:highlight w:val="none"/>
                <w:lang w:bidi="ar"/>
              </w:rPr>
              <w:t>电源指示灯随着工作模式切换而做出对应信号指示，具有方位显示功能，满足工作现场使用需要。采用分体式三脚固定架，灯头可在1.2米～3.0米高度范围内任意升降。</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设有强光、工作光、频闪三种工作模式；</w:t>
            </w:r>
          </w:p>
          <w:p>
            <w:pPr>
              <w:widowControl/>
              <w:jc w:val="left"/>
              <w:textAlignment w:val="center"/>
              <w:rPr>
                <w:rFonts w:ascii="宋体" w:hAnsi="宋体" w:cs="宋体"/>
                <w:kern w:val="0"/>
                <w:sz w:val="18"/>
                <w:szCs w:val="18"/>
                <w:highlight w:val="none"/>
                <w:lang w:bidi="ar"/>
              </w:rPr>
            </w:pPr>
            <w:r>
              <w:rPr>
                <w:rFonts w:hint="eastAsia" w:ascii="宋体" w:hAnsi="宋体" w:cs="宋体"/>
                <w:kern w:val="0"/>
                <w:sz w:val="18"/>
                <w:szCs w:val="18"/>
                <w:highlight w:val="none"/>
                <w:lang w:val="en-US" w:eastAsia="zh-CN" w:bidi="ar"/>
              </w:rPr>
              <w:t>6.</w:t>
            </w:r>
            <w:r>
              <w:rPr>
                <w:rFonts w:hint="eastAsia" w:ascii="宋体" w:hAnsi="宋体" w:eastAsia="宋体" w:cs="宋体"/>
                <w:kern w:val="0"/>
                <w:sz w:val="18"/>
                <w:szCs w:val="18"/>
                <w:highlight w:val="none"/>
                <w:lang w:val="en-US" w:eastAsia="zh-CN" w:bidi="ar"/>
              </w:rPr>
              <w:t>★</w:t>
            </w:r>
            <w:r>
              <w:rPr>
                <w:rFonts w:hint="eastAsia" w:ascii="宋体" w:hAnsi="宋体" w:cs="宋体"/>
                <w:kern w:val="0"/>
                <w:sz w:val="18"/>
                <w:szCs w:val="18"/>
                <w:highlight w:val="none"/>
                <w:lang w:bidi="ar"/>
              </w:rPr>
              <w:t>灯具应达到防爆等级为：Ex de IIC T6 Gc 。                                                                                                      额定电压 DC24V电池容量 20Ah额定功率35W</w:t>
            </w:r>
            <w:r>
              <w:rPr>
                <w:rFonts w:hint="eastAsia" w:ascii="宋体" w:hAnsi="宋体" w:cs="宋体"/>
                <w:kern w:val="0"/>
                <w:sz w:val="18"/>
                <w:szCs w:val="18"/>
                <w:highlight w:val="none"/>
                <w:lang w:bidi="ar"/>
              </w:rPr>
              <w:br w:type="textWrapping"/>
            </w:r>
            <w:r>
              <w:rPr>
                <w:rFonts w:hint="eastAsia" w:ascii="宋体" w:hAnsi="宋体" w:eastAsia="宋体" w:cs="宋体"/>
                <w:kern w:val="0"/>
                <w:sz w:val="18"/>
                <w:szCs w:val="18"/>
                <w:highlight w:val="none"/>
                <w:lang w:val="en-US" w:eastAsia="zh-CN" w:bidi="ar"/>
              </w:rPr>
              <w:t>★</w:t>
            </w:r>
            <w:r>
              <w:rPr>
                <w:rFonts w:hint="eastAsia" w:ascii="宋体" w:hAnsi="宋体" w:cs="宋体"/>
                <w:kern w:val="0"/>
                <w:sz w:val="18"/>
                <w:szCs w:val="18"/>
                <w:highlight w:val="none"/>
                <w:lang w:bidi="ar"/>
              </w:rPr>
              <w:t>外壳防护等级 IP66 。</w:t>
            </w:r>
          </w:p>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连续工作时间 ≥1</w:t>
            </w:r>
            <w:r>
              <w:rPr>
                <w:rFonts w:hint="eastAsia" w:ascii="宋体" w:hAnsi="宋体" w:cs="宋体"/>
                <w:kern w:val="0"/>
                <w:sz w:val="18"/>
                <w:szCs w:val="18"/>
                <w:highlight w:val="none"/>
                <w:lang w:val="en-US" w:eastAsia="zh-CN" w:bidi="ar"/>
              </w:rPr>
              <w:t>8</w:t>
            </w:r>
            <w:r>
              <w:rPr>
                <w:rFonts w:hint="eastAsia" w:ascii="宋体" w:hAnsi="宋体" w:cs="宋体"/>
                <w:kern w:val="0"/>
                <w:sz w:val="18"/>
                <w:szCs w:val="18"/>
                <w:highlight w:val="none"/>
                <w:lang w:bidi="ar"/>
              </w:rPr>
              <w:t>h（强光）≥3</w:t>
            </w:r>
            <w:r>
              <w:rPr>
                <w:rFonts w:hint="eastAsia" w:ascii="宋体" w:hAnsi="宋体" w:cs="宋体"/>
                <w:kern w:val="0"/>
                <w:sz w:val="18"/>
                <w:szCs w:val="18"/>
                <w:highlight w:val="none"/>
                <w:lang w:val="en-US" w:eastAsia="zh-CN" w:bidi="ar"/>
              </w:rPr>
              <w:t>6</w:t>
            </w:r>
            <w:r>
              <w:rPr>
                <w:rFonts w:hint="eastAsia" w:ascii="宋体" w:hAnsi="宋体" w:cs="宋体"/>
                <w:kern w:val="0"/>
                <w:sz w:val="18"/>
                <w:szCs w:val="18"/>
                <w:highlight w:val="none"/>
                <w:lang w:bidi="ar"/>
              </w:rPr>
              <w:t>h（工作光）</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以上带“</w:t>
            </w:r>
            <w:r>
              <w:rPr>
                <w:rFonts w:hint="eastAsia" w:ascii="宋体" w:hAnsi="宋体" w:eastAsia="宋体" w:cs="宋体"/>
                <w:kern w:val="0"/>
                <w:sz w:val="18"/>
                <w:szCs w:val="18"/>
                <w:highlight w:val="none"/>
                <w:lang w:val="en-US" w:eastAsia="zh-CN" w:bidi="ar"/>
              </w:rPr>
              <w:t>★</w:t>
            </w:r>
            <w:r>
              <w:rPr>
                <w:rFonts w:hint="eastAsia" w:ascii="宋体" w:hAnsi="宋体" w:cs="宋体"/>
                <w:kern w:val="0"/>
                <w:sz w:val="18"/>
                <w:szCs w:val="18"/>
                <w:highlight w:val="none"/>
                <w:lang w:bidi="ar"/>
              </w:rPr>
              <w:t>”符合的技术参数为重要参数，</w:t>
            </w:r>
            <w:r>
              <w:rPr>
                <w:rFonts w:hint="eastAsia" w:ascii="宋体" w:hAnsi="宋体" w:eastAsia="宋体" w:cs="宋体"/>
                <w:kern w:val="0"/>
                <w:sz w:val="18"/>
                <w:szCs w:val="18"/>
                <w:highlight w:val="none"/>
                <w:lang w:val="en-US" w:eastAsia="zh-CN" w:bidi="ar"/>
              </w:rPr>
              <w:t>须提供具备法定资质的</w:t>
            </w:r>
            <w:r>
              <w:rPr>
                <w:rFonts w:hint="eastAsia" w:ascii="宋体" w:hAnsi="宋体" w:cs="宋体"/>
                <w:kern w:val="0"/>
                <w:sz w:val="18"/>
                <w:szCs w:val="18"/>
                <w:highlight w:val="none"/>
                <w:lang w:val="en-US" w:eastAsia="zh-CN" w:bidi="ar"/>
              </w:rPr>
              <w:t>检测机构</w:t>
            </w:r>
            <w:r>
              <w:rPr>
                <w:rFonts w:hint="eastAsia" w:ascii="宋体" w:hAnsi="宋体" w:eastAsia="宋体" w:cs="宋体"/>
                <w:kern w:val="0"/>
                <w:sz w:val="18"/>
                <w:szCs w:val="18"/>
                <w:highlight w:val="none"/>
                <w:lang w:val="en-US" w:eastAsia="zh-CN" w:bidi="ar"/>
              </w:rPr>
              <w:t>出具的检测报告复印件</w:t>
            </w:r>
            <w:r>
              <w:rPr>
                <w:rFonts w:hint="eastAsia" w:ascii="宋体" w:hAnsi="宋体" w:cs="宋体"/>
                <w:kern w:val="0"/>
                <w:sz w:val="18"/>
                <w:szCs w:val="18"/>
                <w:highlight w:val="none"/>
                <w:lang w:bidi="ar"/>
              </w:rPr>
              <w:t>。</w:t>
            </w:r>
          </w:p>
        </w:tc>
      </w:tr>
      <w:tr>
        <w:tblPrEx>
          <w:tblCellMar>
            <w:top w:w="0" w:type="dxa"/>
            <w:left w:w="108" w:type="dxa"/>
            <w:bottom w:w="0" w:type="dxa"/>
            <w:right w:w="108" w:type="dxa"/>
          </w:tblCellMar>
        </w:tblPrEx>
        <w:trPr>
          <w:trHeight w:val="3151" w:hRule="atLeast"/>
        </w:trPr>
        <w:tc>
          <w:tcPr>
            <w:tcW w:w="60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45</w:t>
            </w:r>
          </w:p>
        </w:tc>
        <w:tc>
          <w:tcPr>
            <w:tcW w:w="75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01B046</w:t>
            </w:r>
          </w:p>
        </w:tc>
        <w:tc>
          <w:tcPr>
            <w:tcW w:w="101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全方位消防应急工作灯</w:t>
            </w:r>
          </w:p>
        </w:tc>
        <w:tc>
          <w:tcPr>
            <w:tcW w:w="73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套</w:t>
            </w:r>
          </w:p>
        </w:tc>
        <w:tc>
          <w:tcPr>
            <w:tcW w:w="751"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w:t>
            </w:r>
          </w:p>
        </w:tc>
        <w:tc>
          <w:tcPr>
            <w:tcW w:w="571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由灯盘、发电机、智能控制系统、遥控器、升降杆、气泵及行走脚轮组成；可通过发电机供电，也可以直接接通 220V 市电长时间照明。</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1.发电机一次性加满油后，可连续工作时间不小于13小时</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2.照明装置的移动底盘应装有万向轮和定向轮，万向轮应有刹车装置。</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3</w:t>
            </w:r>
            <w:r>
              <w:rPr>
                <w:rFonts w:hint="eastAsia" w:ascii="宋体" w:hAnsi="宋体" w:cs="宋体"/>
                <w:kern w:val="0"/>
                <w:sz w:val="18"/>
                <w:szCs w:val="18"/>
                <w:highlight w:val="none"/>
                <w:lang w:bidi="ar"/>
              </w:rPr>
              <w:t>.额定电压:220V，发电机功率:≥3KW，灯头功率: 4X500W。</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4.</w:t>
            </w:r>
            <w:r>
              <w:rPr>
                <w:rFonts w:hint="eastAsia" w:ascii="宋体" w:hAnsi="宋体" w:cs="宋体"/>
                <w:kern w:val="0"/>
                <w:sz w:val="18"/>
                <w:szCs w:val="18"/>
                <w:highlight w:val="none"/>
                <w:lang w:bidi="ar"/>
              </w:rPr>
              <w:t>升降高度&gt;4米，上升时间≤40s，下降时间 ≤30s，升到最大高度后，1h 内升降杆下滑应不超过5cm。</w:t>
            </w:r>
            <w:r>
              <w:rPr>
                <w:rFonts w:hint="eastAsia" w:ascii="宋体" w:hAnsi="宋体" w:cs="宋体"/>
                <w:kern w:val="0"/>
                <w:sz w:val="18"/>
                <w:szCs w:val="18"/>
                <w:highlight w:val="none"/>
                <w:lang w:bidi="ar"/>
              </w:rPr>
              <w:br w:type="textWrapping"/>
            </w:r>
            <w:r>
              <w:rPr>
                <w:rFonts w:hint="eastAsia" w:ascii="宋体" w:hAnsi="宋体" w:eastAsia="宋体" w:cs="宋体"/>
                <w:kern w:val="0"/>
                <w:sz w:val="18"/>
                <w:szCs w:val="18"/>
                <w:highlight w:val="none"/>
                <w:lang w:val="en-US" w:eastAsia="zh-CN" w:bidi="ar"/>
              </w:rPr>
              <w:t>★须提供具备法定资质的</w:t>
            </w:r>
            <w:r>
              <w:rPr>
                <w:rFonts w:hint="eastAsia" w:ascii="宋体" w:hAnsi="宋体" w:cs="宋体"/>
                <w:kern w:val="0"/>
                <w:sz w:val="18"/>
                <w:szCs w:val="18"/>
                <w:highlight w:val="none"/>
                <w:lang w:val="en-US" w:eastAsia="zh-CN" w:bidi="ar"/>
              </w:rPr>
              <w:t>检测机构</w:t>
            </w:r>
            <w:r>
              <w:rPr>
                <w:rFonts w:hint="eastAsia" w:ascii="宋体" w:hAnsi="宋体" w:eastAsia="宋体" w:cs="宋体"/>
                <w:kern w:val="0"/>
                <w:sz w:val="18"/>
                <w:szCs w:val="18"/>
                <w:highlight w:val="none"/>
                <w:lang w:val="en-US" w:eastAsia="zh-CN" w:bidi="ar"/>
              </w:rPr>
              <w:t>出具的检测报告复印件</w:t>
            </w:r>
            <w:r>
              <w:rPr>
                <w:rFonts w:hint="eastAsia" w:ascii="宋体" w:hAnsi="宋体" w:cs="宋体"/>
                <w:kern w:val="0"/>
                <w:sz w:val="18"/>
                <w:szCs w:val="18"/>
                <w:highlight w:val="none"/>
                <w:lang w:bidi="ar"/>
              </w:rPr>
              <w:t>。</w:t>
            </w:r>
          </w:p>
        </w:tc>
      </w:tr>
      <w:tr>
        <w:tblPrEx>
          <w:tblCellMar>
            <w:top w:w="0" w:type="dxa"/>
            <w:left w:w="108" w:type="dxa"/>
            <w:bottom w:w="0" w:type="dxa"/>
            <w:right w:w="108" w:type="dxa"/>
          </w:tblCellMar>
        </w:tblPrEx>
        <w:trPr>
          <w:trHeight w:val="2874" w:hRule="atLeast"/>
        </w:trPr>
        <w:tc>
          <w:tcPr>
            <w:tcW w:w="60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46</w:t>
            </w:r>
          </w:p>
        </w:tc>
        <w:tc>
          <w:tcPr>
            <w:tcW w:w="75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01B047</w:t>
            </w:r>
          </w:p>
        </w:tc>
        <w:tc>
          <w:tcPr>
            <w:tcW w:w="101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夜视仪</w:t>
            </w:r>
          </w:p>
        </w:tc>
        <w:tc>
          <w:tcPr>
            <w:tcW w:w="73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3</w:t>
            </w:r>
          </w:p>
        </w:tc>
        <w:tc>
          <w:tcPr>
            <w:tcW w:w="571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numPr>
                <w:ilvl w:val="0"/>
                <w:numId w:val="19"/>
              </w:numPr>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产品材质：ABS工程塑料；</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2、产品参数：图片分辨率为36M、12M、8M、5M、 3M、2M、1M；视频分辨率为K/FHD/HD；</w:t>
            </w:r>
          </w:p>
          <w:p>
            <w:pPr>
              <w:widowControl/>
              <w:numPr>
                <w:ilvl w:val="0"/>
                <w:numId w:val="0"/>
              </w:numPr>
              <w:jc w:val="left"/>
              <w:textAlignment w:val="center"/>
              <w:rPr>
                <w:rFonts w:ascii="宋体" w:hAnsi="宋体" w:cs="宋体"/>
                <w:sz w:val="18"/>
                <w:szCs w:val="18"/>
                <w:highlight w:val="none"/>
              </w:rPr>
            </w:pPr>
            <w:r>
              <w:rPr>
                <w:rFonts w:hint="eastAsia" w:ascii="宋体" w:hAnsi="宋体" w:cs="宋体"/>
                <w:kern w:val="0"/>
                <w:sz w:val="18"/>
                <w:szCs w:val="18"/>
                <w:highlight w:val="none"/>
                <w:lang w:val="en-US" w:eastAsia="zh-CN" w:bidi="ar"/>
              </w:rPr>
              <w:t>3</w:t>
            </w:r>
            <w:r>
              <w:rPr>
                <w:rFonts w:hint="eastAsia" w:ascii="宋体" w:hAnsi="宋体" w:cs="宋体"/>
                <w:kern w:val="0"/>
                <w:sz w:val="18"/>
                <w:szCs w:val="18"/>
                <w:highlight w:val="none"/>
                <w:lang w:bidi="ar"/>
              </w:rPr>
              <w:t>、★产品已获ROHS和防水检测报告，</w:t>
            </w:r>
            <w:r>
              <w:rPr>
                <w:rFonts w:hint="eastAsia" w:ascii="宋体" w:hAnsi="宋体" w:eastAsia="宋体" w:cs="宋体"/>
                <w:kern w:val="0"/>
                <w:sz w:val="18"/>
                <w:szCs w:val="18"/>
                <w:highlight w:val="none"/>
                <w:lang w:val="en-US" w:eastAsia="zh-CN" w:bidi="ar"/>
              </w:rPr>
              <w:t>须提供具备法定资质的</w:t>
            </w:r>
            <w:r>
              <w:rPr>
                <w:rFonts w:hint="eastAsia" w:ascii="宋体" w:hAnsi="宋体" w:cs="宋体"/>
                <w:kern w:val="0"/>
                <w:sz w:val="18"/>
                <w:szCs w:val="18"/>
                <w:highlight w:val="none"/>
                <w:lang w:val="en-US" w:eastAsia="zh-CN" w:bidi="ar"/>
              </w:rPr>
              <w:t>检测机构</w:t>
            </w:r>
            <w:r>
              <w:rPr>
                <w:rFonts w:hint="eastAsia" w:ascii="宋体" w:hAnsi="宋体" w:eastAsia="宋体" w:cs="宋体"/>
                <w:kern w:val="0"/>
                <w:sz w:val="18"/>
                <w:szCs w:val="18"/>
                <w:highlight w:val="none"/>
                <w:lang w:val="en-US" w:eastAsia="zh-CN" w:bidi="ar"/>
              </w:rPr>
              <w:t>出具的检测报告复印件</w:t>
            </w:r>
            <w:r>
              <w:rPr>
                <w:rFonts w:hint="eastAsia" w:ascii="宋体" w:hAnsi="宋体" w:cs="宋体"/>
                <w:kern w:val="0"/>
                <w:sz w:val="18"/>
                <w:szCs w:val="18"/>
                <w:highlight w:val="none"/>
                <w:lang w:bidi="ar"/>
              </w:rPr>
              <w:t>。</w:t>
            </w:r>
          </w:p>
        </w:tc>
      </w:tr>
      <w:tr>
        <w:tblPrEx>
          <w:tblCellMar>
            <w:top w:w="0" w:type="dxa"/>
            <w:left w:w="108" w:type="dxa"/>
            <w:bottom w:w="0" w:type="dxa"/>
            <w:right w:w="108" w:type="dxa"/>
          </w:tblCellMar>
        </w:tblPrEx>
        <w:trPr>
          <w:trHeight w:val="2536" w:hRule="atLeast"/>
        </w:trPr>
        <w:tc>
          <w:tcPr>
            <w:tcW w:w="606"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47</w:t>
            </w:r>
          </w:p>
        </w:tc>
        <w:tc>
          <w:tcPr>
            <w:tcW w:w="7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01B048</w:t>
            </w:r>
          </w:p>
        </w:tc>
        <w:tc>
          <w:tcPr>
            <w:tcW w:w="1016"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望远镜</w:t>
            </w:r>
          </w:p>
        </w:tc>
        <w:tc>
          <w:tcPr>
            <w:tcW w:w="73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8</w:t>
            </w:r>
          </w:p>
        </w:tc>
        <w:tc>
          <w:tcPr>
            <w:tcW w:w="5712"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1、产品材质：铝合金；</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w:t>
            </w:r>
            <w:r>
              <w:rPr>
                <w:rFonts w:hint="eastAsia" w:ascii="宋体" w:hAnsi="宋体" w:cs="宋体"/>
                <w:kern w:val="0"/>
                <w:sz w:val="18"/>
                <w:szCs w:val="18"/>
                <w:highlight w:val="none"/>
                <w:lang w:val="en-US" w:eastAsia="zh-CN" w:bidi="ar"/>
              </w:rPr>
              <w:t>数</w:t>
            </w:r>
            <w:r>
              <w:rPr>
                <w:rFonts w:hint="eastAsia" w:ascii="宋体" w:hAnsi="宋体" w:cs="宋体"/>
                <w:kern w:val="0"/>
                <w:sz w:val="18"/>
                <w:szCs w:val="18"/>
                <w:highlight w:val="none"/>
                <w:lang w:bidi="ar"/>
              </w:rPr>
              <w:t>：产品型号为10*42；放大率:R为-1.20%、L为-1.40%；物镜口径为42mm；棱镜系统为屋脊；调焦系统为中调；10*42望远镜；最近观察距离为1.5m；出瞳距离15.5mm；重量为790g；尺寸为148*130*52；视场：R为+0.57%、L为+0.57%；像倾斜：R为+45’，L为+55’；</w:t>
            </w:r>
          </w:p>
        </w:tc>
      </w:tr>
      <w:tr>
        <w:tblPrEx>
          <w:tblCellMar>
            <w:top w:w="0" w:type="dxa"/>
            <w:left w:w="108" w:type="dxa"/>
            <w:bottom w:w="0" w:type="dxa"/>
            <w:right w:w="108" w:type="dxa"/>
          </w:tblCellMar>
        </w:tblPrEx>
        <w:trPr>
          <w:trHeight w:val="2370" w:hRule="atLeast"/>
        </w:trPr>
        <w:tc>
          <w:tcPr>
            <w:tcW w:w="606"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48</w:t>
            </w:r>
          </w:p>
        </w:tc>
        <w:tc>
          <w:tcPr>
            <w:tcW w:w="7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01B049</w:t>
            </w:r>
          </w:p>
        </w:tc>
        <w:tc>
          <w:tcPr>
            <w:tcW w:w="1016"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活动室防洪挡板</w:t>
            </w:r>
          </w:p>
        </w:tc>
        <w:tc>
          <w:tcPr>
            <w:tcW w:w="73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套</w:t>
            </w:r>
          </w:p>
        </w:tc>
        <w:tc>
          <w:tcPr>
            <w:tcW w:w="75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6</w:t>
            </w:r>
          </w:p>
        </w:tc>
        <w:tc>
          <w:tcPr>
            <w:tcW w:w="5712"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numPr>
                <w:ilvl w:val="0"/>
                <w:numId w:val="20"/>
              </w:numPr>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产品材质：聚氯乙烯材质，高强度钢管，高强度碳素钢；</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w:t>
            </w:r>
            <w:r>
              <w:rPr>
                <w:rFonts w:hint="eastAsia" w:ascii="宋体" w:hAnsi="宋体" w:cs="宋体"/>
                <w:kern w:val="0"/>
                <w:sz w:val="18"/>
                <w:szCs w:val="18"/>
                <w:highlight w:val="none"/>
                <w:lang w:val="en-US" w:eastAsia="zh-CN" w:bidi="ar"/>
              </w:rPr>
              <w:t>数</w:t>
            </w:r>
            <w:r>
              <w:rPr>
                <w:rFonts w:hint="eastAsia" w:ascii="宋体" w:hAnsi="宋体" w:cs="宋体"/>
                <w:kern w:val="0"/>
                <w:sz w:val="18"/>
                <w:szCs w:val="18"/>
                <w:highlight w:val="none"/>
                <w:lang w:bidi="ar"/>
              </w:rPr>
              <w:t>：展开尺寸：长</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130cmX高90cmX宽90cm ，缩小后尺寸为长</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70cmX高90cmX宽15cm； 钢管尺寸：直径19mm；钢管厚度：0.8mm；最大安全防洪高度：无水流情况下90cm，有水流的情况下75cm；最大转弯半径：30度 ；</w:t>
            </w:r>
          </w:p>
        </w:tc>
      </w:tr>
      <w:tr>
        <w:tblPrEx>
          <w:tblCellMar>
            <w:top w:w="0" w:type="dxa"/>
            <w:left w:w="108" w:type="dxa"/>
            <w:bottom w:w="0" w:type="dxa"/>
            <w:right w:w="108" w:type="dxa"/>
          </w:tblCellMar>
        </w:tblPrEx>
        <w:trPr>
          <w:trHeight w:val="1781" w:hRule="atLeast"/>
        </w:trPr>
        <w:tc>
          <w:tcPr>
            <w:tcW w:w="606"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49</w:t>
            </w:r>
          </w:p>
        </w:tc>
        <w:tc>
          <w:tcPr>
            <w:tcW w:w="7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01B050</w:t>
            </w:r>
          </w:p>
        </w:tc>
        <w:tc>
          <w:tcPr>
            <w:tcW w:w="1016"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塑料挡水板</w:t>
            </w:r>
          </w:p>
        </w:tc>
        <w:tc>
          <w:tcPr>
            <w:tcW w:w="73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套</w:t>
            </w:r>
          </w:p>
        </w:tc>
        <w:tc>
          <w:tcPr>
            <w:tcW w:w="75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8</w:t>
            </w:r>
          </w:p>
        </w:tc>
        <w:tc>
          <w:tcPr>
            <w:tcW w:w="5712"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1、产品材质：红色ABS,表面抗UV涂层；</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2、产品参数：尺寸（cm）：长75* 宽95*高66；厚度: 6.2mm±5%；重量: 7.7KG±5%/PCS：</w:t>
            </w:r>
          </w:p>
        </w:tc>
      </w:tr>
      <w:tr>
        <w:tblPrEx>
          <w:tblCellMar>
            <w:top w:w="0" w:type="dxa"/>
            <w:left w:w="108" w:type="dxa"/>
            <w:bottom w:w="0" w:type="dxa"/>
            <w:right w:w="108" w:type="dxa"/>
          </w:tblCellMar>
        </w:tblPrEx>
        <w:trPr>
          <w:trHeight w:val="1687" w:hRule="atLeast"/>
        </w:trPr>
        <w:tc>
          <w:tcPr>
            <w:tcW w:w="60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50</w:t>
            </w:r>
          </w:p>
        </w:tc>
        <w:tc>
          <w:tcPr>
            <w:tcW w:w="75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01B051</w:t>
            </w:r>
          </w:p>
        </w:tc>
        <w:tc>
          <w:tcPr>
            <w:tcW w:w="101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吸水膨胀袋</w:t>
            </w:r>
          </w:p>
        </w:tc>
        <w:tc>
          <w:tcPr>
            <w:tcW w:w="73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173</w:t>
            </w:r>
          </w:p>
        </w:tc>
        <w:tc>
          <w:tcPr>
            <w:tcW w:w="571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sz w:val="18"/>
                <w:szCs w:val="18"/>
                <w:highlight w:val="none"/>
                <w:lang w:eastAsia="zh-CN"/>
              </w:rPr>
            </w:pPr>
            <w:r>
              <w:rPr>
                <w:rFonts w:hint="eastAsia" w:ascii="宋体" w:hAnsi="宋体" w:cs="宋体"/>
                <w:kern w:val="0"/>
                <w:sz w:val="18"/>
                <w:szCs w:val="18"/>
                <w:highlight w:val="none"/>
                <w:lang w:bidi="ar"/>
              </w:rPr>
              <w:t>1、产品材质：无纺布，吸水树脂；</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2、产品参数：尺寸：≥30×70cm； 填充物无毒、无害、无污染；吸水膨胀后重量：≥12kg；</w:t>
            </w:r>
          </w:p>
        </w:tc>
      </w:tr>
      <w:tr>
        <w:tblPrEx>
          <w:tblCellMar>
            <w:top w:w="0" w:type="dxa"/>
            <w:left w:w="108" w:type="dxa"/>
            <w:bottom w:w="0" w:type="dxa"/>
            <w:right w:w="108" w:type="dxa"/>
          </w:tblCellMar>
        </w:tblPrEx>
        <w:trPr>
          <w:trHeight w:val="90"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51</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01B052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应急生活包</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64</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21"/>
              </w:numPr>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产品参数：应急包的尺寸（cm）：50*35*15；</w:t>
            </w:r>
          </w:p>
          <w:p>
            <w:pPr>
              <w:widowControl/>
              <w:numPr>
                <w:ilvl w:val="0"/>
                <w:numId w:val="21"/>
              </w:numPr>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应急包所包括的产品：1条空调被,1个枕芯，1张冰丝席，1条全棉缎档毛巾，1件T恤，1双塑料拖鞋，1只牙刷；1个保温杯；1包餐巾纸；1个硅胶折叠脸盆；2条一次性内裤；1件成人长款加厚雨衣(非一次性)，1只洗漱袋以及1个包装袋共计14样应急产品；</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br w:type="textWrapping"/>
            </w:r>
          </w:p>
        </w:tc>
      </w:tr>
      <w:tr>
        <w:tblPrEx>
          <w:tblCellMar>
            <w:top w:w="0" w:type="dxa"/>
            <w:left w:w="108" w:type="dxa"/>
            <w:bottom w:w="0" w:type="dxa"/>
            <w:right w:w="108" w:type="dxa"/>
          </w:tblCellMar>
        </w:tblPrEx>
        <w:trPr>
          <w:trHeight w:val="1739"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52</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01B053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救生安全绳</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根</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113</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1、产品直径为≥12mm，长度为≥30m,颜色为橘黄色。采用高强轻质纤维丙纶制成，</w:t>
            </w:r>
            <w:r>
              <w:rPr>
                <w:rFonts w:hint="eastAsia" w:ascii="宋体" w:hAnsi="宋体" w:cs="宋体"/>
                <w:kern w:val="0"/>
                <w:sz w:val="18"/>
                <w:szCs w:val="18"/>
                <w:highlight w:val="none"/>
                <w:lang w:val="en-US" w:eastAsia="zh-CN" w:bidi="ar"/>
              </w:rPr>
              <w:t>可以漂浮水面。</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w:t>
            </w:r>
            <w:r>
              <w:rPr>
                <w:rFonts w:hint="eastAsia" w:ascii="宋体" w:hAnsi="宋体" w:eastAsia="宋体" w:cs="宋体"/>
                <w:kern w:val="0"/>
                <w:sz w:val="18"/>
                <w:szCs w:val="18"/>
                <w:highlight w:val="none"/>
                <w:lang w:val="en-US" w:eastAsia="zh-CN" w:bidi="ar"/>
              </w:rPr>
              <w:t>须提供具备法定资质的</w:t>
            </w:r>
            <w:r>
              <w:rPr>
                <w:rFonts w:hint="eastAsia" w:ascii="宋体" w:hAnsi="宋体" w:cs="宋体"/>
                <w:kern w:val="0"/>
                <w:sz w:val="18"/>
                <w:szCs w:val="18"/>
                <w:highlight w:val="none"/>
                <w:lang w:val="en-US" w:eastAsia="zh-CN" w:bidi="ar"/>
              </w:rPr>
              <w:t>检测机构</w:t>
            </w:r>
            <w:r>
              <w:rPr>
                <w:rFonts w:hint="eastAsia" w:ascii="宋体" w:hAnsi="宋体" w:eastAsia="宋体" w:cs="宋体"/>
                <w:kern w:val="0"/>
                <w:sz w:val="18"/>
                <w:szCs w:val="18"/>
                <w:highlight w:val="none"/>
                <w:lang w:val="en-US" w:eastAsia="zh-CN" w:bidi="ar"/>
              </w:rPr>
              <w:t>出具的检测报告复印件</w:t>
            </w:r>
            <w:r>
              <w:rPr>
                <w:rFonts w:hint="eastAsia" w:ascii="宋体" w:hAnsi="宋体" w:cs="宋体"/>
                <w:kern w:val="0"/>
                <w:sz w:val="18"/>
                <w:szCs w:val="18"/>
                <w:highlight w:val="none"/>
                <w:lang w:bidi="ar"/>
              </w:rPr>
              <w:t>。</w:t>
            </w:r>
          </w:p>
        </w:tc>
      </w:tr>
      <w:tr>
        <w:tblPrEx>
          <w:tblCellMar>
            <w:top w:w="0" w:type="dxa"/>
            <w:left w:w="108" w:type="dxa"/>
            <w:bottom w:w="0" w:type="dxa"/>
            <w:right w:w="108" w:type="dxa"/>
          </w:tblCellMar>
        </w:tblPrEx>
        <w:trPr>
          <w:trHeight w:val="1387" w:hRule="atLeast"/>
        </w:trPr>
        <w:tc>
          <w:tcPr>
            <w:tcW w:w="60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53</w:t>
            </w:r>
          </w:p>
        </w:tc>
        <w:tc>
          <w:tcPr>
            <w:tcW w:w="75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01B054</w:t>
            </w:r>
          </w:p>
        </w:tc>
        <w:tc>
          <w:tcPr>
            <w:tcW w:w="101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折叠床</w:t>
            </w:r>
          </w:p>
        </w:tc>
        <w:tc>
          <w:tcPr>
            <w:tcW w:w="73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张</w:t>
            </w:r>
          </w:p>
        </w:tc>
        <w:tc>
          <w:tcPr>
            <w:tcW w:w="75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80</w:t>
            </w:r>
          </w:p>
        </w:tc>
        <w:tc>
          <w:tcPr>
            <w:tcW w:w="571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2、产品参数：尺寸（cm）：</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180*70*2</w:t>
            </w: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w:t>
            </w:r>
          </w:p>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br w:type="textWrapping"/>
            </w:r>
          </w:p>
        </w:tc>
      </w:tr>
      <w:tr>
        <w:tblPrEx>
          <w:tblCellMar>
            <w:top w:w="0" w:type="dxa"/>
            <w:left w:w="108" w:type="dxa"/>
            <w:bottom w:w="0" w:type="dxa"/>
            <w:right w:w="108" w:type="dxa"/>
          </w:tblCellMar>
        </w:tblPrEx>
        <w:trPr>
          <w:trHeight w:val="2246" w:hRule="atLeast"/>
        </w:trPr>
        <w:tc>
          <w:tcPr>
            <w:tcW w:w="60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54</w:t>
            </w:r>
          </w:p>
        </w:tc>
        <w:tc>
          <w:tcPr>
            <w:tcW w:w="7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01B055</w:t>
            </w:r>
          </w:p>
        </w:tc>
        <w:tc>
          <w:tcPr>
            <w:tcW w:w="10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折叠床</w:t>
            </w:r>
          </w:p>
        </w:tc>
        <w:tc>
          <w:tcPr>
            <w:tcW w:w="7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张</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31</w:t>
            </w:r>
          </w:p>
        </w:tc>
        <w:tc>
          <w:tcPr>
            <w:tcW w:w="5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1</w:t>
            </w:r>
            <w:r>
              <w:rPr>
                <w:rFonts w:hint="eastAsia" w:ascii="宋体" w:hAnsi="宋体" w:cs="宋体"/>
                <w:kern w:val="0"/>
                <w:sz w:val="18"/>
                <w:szCs w:val="18"/>
                <w:highlight w:val="none"/>
                <w:lang w:bidi="ar"/>
              </w:rPr>
              <w:t>、产品参数：尺寸：</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180*60*35；</w:t>
            </w:r>
          </w:p>
        </w:tc>
      </w:tr>
      <w:tr>
        <w:tblPrEx>
          <w:tblCellMar>
            <w:top w:w="0" w:type="dxa"/>
            <w:left w:w="108" w:type="dxa"/>
            <w:bottom w:w="0" w:type="dxa"/>
            <w:right w:w="108" w:type="dxa"/>
          </w:tblCellMar>
        </w:tblPrEx>
        <w:trPr>
          <w:trHeight w:val="1286" w:hRule="atLeast"/>
        </w:trPr>
        <w:tc>
          <w:tcPr>
            <w:tcW w:w="606" w:type="dxa"/>
            <w:tcBorders>
              <w:top w:val="single" w:color="auto"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55</w:t>
            </w:r>
          </w:p>
        </w:tc>
        <w:tc>
          <w:tcPr>
            <w:tcW w:w="758" w:type="dxa"/>
            <w:tcBorders>
              <w:top w:val="single" w:color="auto"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01B056</w:t>
            </w:r>
          </w:p>
        </w:tc>
        <w:tc>
          <w:tcPr>
            <w:tcW w:w="1016" w:type="dxa"/>
            <w:tcBorders>
              <w:top w:val="single" w:color="auto"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睡袋</w:t>
            </w:r>
          </w:p>
        </w:tc>
        <w:tc>
          <w:tcPr>
            <w:tcW w:w="733" w:type="dxa"/>
            <w:tcBorders>
              <w:top w:val="single" w:color="auto"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auto"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77</w:t>
            </w:r>
          </w:p>
        </w:tc>
        <w:tc>
          <w:tcPr>
            <w:tcW w:w="5712" w:type="dxa"/>
            <w:tcBorders>
              <w:top w:val="single" w:color="auto"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1</w:t>
            </w:r>
            <w:r>
              <w:rPr>
                <w:rFonts w:hint="eastAsia" w:ascii="宋体" w:hAnsi="宋体" w:cs="宋体"/>
                <w:kern w:val="0"/>
                <w:sz w:val="18"/>
                <w:szCs w:val="18"/>
                <w:highlight w:val="none"/>
                <w:lang w:bidi="ar"/>
              </w:rPr>
              <w:t>、产品参数：尺寸:(190+30) *75cm；</w:t>
            </w:r>
          </w:p>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、产品性能：优质中空棉；</w:t>
            </w:r>
          </w:p>
        </w:tc>
      </w:tr>
      <w:tr>
        <w:tblPrEx>
          <w:tblCellMar>
            <w:top w:w="0" w:type="dxa"/>
            <w:left w:w="108" w:type="dxa"/>
            <w:bottom w:w="0" w:type="dxa"/>
            <w:right w:w="108" w:type="dxa"/>
          </w:tblCellMar>
        </w:tblPrEx>
        <w:trPr>
          <w:trHeight w:val="1341"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56</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01B057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救灾防潮垫</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55</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1</w:t>
            </w:r>
            <w:r>
              <w:rPr>
                <w:rFonts w:hint="eastAsia" w:ascii="宋体" w:hAnsi="宋体" w:cs="宋体"/>
                <w:kern w:val="0"/>
                <w:sz w:val="18"/>
                <w:szCs w:val="18"/>
                <w:highlight w:val="none"/>
                <w:lang w:bidi="ar"/>
              </w:rPr>
              <w:t>、产品参数：尺寸（cm）：</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80*190*5；</w:t>
            </w:r>
          </w:p>
        </w:tc>
      </w:tr>
      <w:tr>
        <w:tblPrEx>
          <w:tblCellMar>
            <w:top w:w="0" w:type="dxa"/>
            <w:left w:w="108" w:type="dxa"/>
            <w:bottom w:w="0" w:type="dxa"/>
            <w:right w:w="108" w:type="dxa"/>
          </w:tblCellMar>
        </w:tblPrEx>
        <w:trPr>
          <w:trHeight w:val="1354"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57</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01B058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喊话器</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63</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sz w:val="18"/>
                <w:szCs w:val="18"/>
                <w:highlight w:val="none"/>
                <w:lang w:eastAsia="zh-CN"/>
              </w:rPr>
            </w:pPr>
            <w:r>
              <w:rPr>
                <w:rFonts w:hint="eastAsia" w:ascii="宋体" w:hAnsi="宋体" w:cs="宋体"/>
                <w:kern w:val="0"/>
                <w:sz w:val="18"/>
                <w:szCs w:val="18"/>
                <w:highlight w:val="none"/>
                <w:lang w:bidi="ar"/>
              </w:rPr>
              <w:t>1、产品材质：ABS工程塑料；</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2、产品参数：尺寸：总长</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220*底部直径</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60*口部直径</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138*手柄</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长110；快速充电</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t>待机时间</w:t>
            </w:r>
            <w:r>
              <w:rPr>
                <w:rFonts w:hint="eastAsia" w:ascii="宋体" w:hAnsi="宋体" w:cs="宋体"/>
                <w:kern w:val="0"/>
                <w:sz w:val="18"/>
                <w:szCs w:val="18"/>
                <w:highlight w:val="none"/>
                <w:lang w:val="en-US" w:eastAsia="zh-CN" w:bidi="ar"/>
              </w:rPr>
              <w:t>大于等于</w:t>
            </w:r>
            <w:r>
              <w:rPr>
                <w:rFonts w:hint="eastAsia" w:ascii="宋体" w:hAnsi="宋体" w:cs="宋体"/>
                <w:kern w:val="0"/>
                <w:sz w:val="18"/>
                <w:szCs w:val="18"/>
                <w:highlight w:val="none"/>
                <w:lang w:bidi="ar"/>
              </w:rPr>
              <w:t>24小时</w:t>
            </w:r>
            <w:r>
              <w:rPr>
                <w:rFonts w:hint="eastAsia" w:ascii="宋体" w:hAnsi="宋体" w:cs="宋体"/>
                <w:kern w:val="0"/>
                <w:sz w:val="18"/>
                <w:szCs w:val="18"/>
                <w:highlight w:val="none"/>
                <w:lang w:eastAsia="zh-CN" w:bidi="ar"/>
              </w:rPr>
              <w:t>。</w:t>
            </w:r>
          </w:p>
        </w:tc>
      </w:tr>
      <w:tr>
        <w:tblPrEx>
          <w:tblCellMar>
            <w:top w:w="0" w:type="dxa"/>
            <w:left w:w="108" w:type="dxa"/>
            <w:bottom w:w="0" w:type="dxa"/>
            <w:right w:w="108" w:type="dxa"/>
          </w:tblCellMar>
        </w:tblPrEx>
        <w:trPr>
          <w:trHeight w:val="1938"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58</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01B059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手摇报警器</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46</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1、产品材质：铝合金</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2、产品参数：尺寸：直径</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11cm；声压级: 110±2dB(A) @1m；音响频率: 550+20Hz(取决于手摇速度)；</w:t>
            </w:r>
          </w:p>
          <w:p>
            <w:pPr>
              <w:widowControl/>
              <w:jc w:val="left"/>
              <w:textAlignment w:val="center"/>
              <w:rPr>
                <w:rFonts w:hint="eastAsia" w:ascii="宋体" w:hAnsi="宋体" w:eastAsia="宋体" w:cs="宋体"/>
                <w:sz w:val="18"/>
                <w:szCs w:val="18"/>
                <w:highlight w:val="none"/>
                <w:lang w:eastAsia="zh-CN"/>
              </w:rPr>
            </w:pPr>
            <w:r>
              <w:rPr>
                <w:rFonts w:hint="eastAsia" w:ascii="宋体" w:hAnsi="宋体" w:cs="宋体"/>
                <w:kern w:val="0"/>
                <w:sz w:val="18"/>
                <w:szCs w:val="18"/>
                <w:highlight w:val="none"/>
                <w:lang w:bidi="ar"/>
              </w:rPr>
              <w:t>3、产品功能：手摇警报器无需电源</w:t>
            </w:r>
            <w:r>
              <w:rPr>
                <w:rFonts w:hint="eastAsia" w:ascii="宋体" w:hAnsi="宋体" w:cs="宋体"/>
                <w:kern w:val="0"/>
                <w:sz w:val="18"/>
                <w:szCs w:val="18"/>
                <w:highlight w:val="none"/>
                <w:lang w:eastAsia="zh-CN" w:bidi="ar"/>
              </w:rPr>
              <w:t>。</w:t>
            </w:r>
          </w:p>
        </w:tc>
      </w:tr>
      <w:tr>
        <w:tblPrEx>
          <w:tblCellMar>
            <w:top w:w="0" w:type="dxa"/>
            <w:left w:w="108" w:type="dxa"/>
            <w:bottom w:w="0" w:type="dxa"/>
            <w:right w:w="108" w:type="dxa"/>
          </w:tblCellMar>
        </w:tblPrEx>
        <w:trPr>
          <w:trHeight w:val="1281"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59</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01B060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铜锣42CM</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43</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1、产品材质：锣为合金材质+木质落锤；</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2、产品参数：直径</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 xml:space="preserve">42厘米 </w:t>
            </w:r>
            <w:r>
              <w:rPr>
                <w:rFonts w:hint="eastAsia" w:ascii="宋体" w:hAnsi="宋体" w:cs="宋体"/>
                <w:kern w:val="0"/>
                <w:sz w:val="18"/>
                <w:szCs w:val="18"/>
                <w:highlight w:val="none"/>
                <w:lang w:bidi="ar"/>
              </w:rPr>
              <w:br w:type="textWrapping"/>
            </w:r>
          </w:p>
        </w:tc>
      </w:tr>
      <w:tr>
        <w:tblPrEx>
          <w:tblCellMar>
            <w:top w:w="0" w:type="dxa"/>
            <w:left w:w="108" w:type="dxa"/>
            <w:bottom w:w="0" w:type="dxa"/>
            <w:right w:w="108" w:type="dxa"/>
          </w:tblCellMar>
        </w:tblPrEx>
        <w:trPr>
          <w:trHeight w:val="1441" w:hRule="atLeast"/>
        </w:trPr>
        <w:tc>
          <w:tcPr>
            <w:tcW w:w="60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60</w:t>
            </w:r>
          </w:p>
        </w:tc>
        <w:tc>
          <w:tcPr>
            <w:tcW w:w="75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01B061</w:t>
            </w:r>
          </w:p>
        </w:tc>
        <w:tc>
          <w:tcPr>
            <w:tcW w:w="1016"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铜锣22cm</w:t>
            </w:r>
          </w:p>
        </w:tc>
        <w:tc>
          <w:tcPr>
            <w:tcW w:w="733"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7</w:t>
            </w:r>
          </w:p>
        </w:tc>
        <w:tc>
          <w:tcPr>
            <w:tcW w:w="5712"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1、产品材质：锣为合金材质+木质落锤；</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2、产品参数：直径22厘米大铜锣。</w:t>
            </w:r>
          </w:p>
        </w:tc>
      </w:tr>
      <w:tr>
        <w:tblPrEx>
          <w:tblCellMar>
            <w:top w:w="0" w:type="dxa"/>
            <w:left w:w="108" w:type="dxa"/>
            <w:bottom w:w="0" w:type="dxa"/>
            <w:right w:w="108" w:type="dxa"/>
          </w:tblCellMar>
        </w:tblPrEx>
        <w:trPr>
          <w:trHeight w:val="1429"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61</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01B062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水域救援刀</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把</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20</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sz w:val="18"/>
                <w:szCs w:val="18"/>
                <w:highlight w:val="none"/>
                <w:lang w:eastAsia="zh-CN"/>
              </w:rPr>
            </w:pPr>
            <w:r>
              <w:rPr>
                <w:rFonts w:hint="eastAsia" w:ascii="宋体" w:hAnsi="宋体" w:cs="宋体"/>
                <w:kern w:val="0"/>
                <w:sz w:val="18"/>
                <w:szCs w:val="18"/>
                <w:highlight w:val="none"/>
                <w:lang w:bidi="ar"/>
              </w:rPr>
              <w:t>水域救援刀（割绳刀）</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t>产品</w:t>
            </w:r>
            <w:r>
              <w:rPr>
                <w:rFonts w:hint="eastAsia" w:ascii="宋体" w:hAnsi="宋体" w:cs="宋体"/>
                <w:kern w:val="0"/>
                <w:sz w:val="18"/>
                <w:szCs w:val="18"/>
                <w:highlight w:val="none"/>
                <w:lang w:val="en-US" w:eastAsia="zh-CN" w:bidi="ar"/>
              </w:rPr>
              <w:t>材质：</w:t>
            </w:r>
            <w:r>
              <w:rPr>
                <w:rFonts w:hint="eastAsia" w:ascii="宋体" w:hAnsi="宋体" w:cs="宋体"/>
                <w:kern w:val="0"/>
                <w:sz w:val="18"/>
                <w:szCs w:val="18"/>
                <w:highlight w:val="none"/>
                <w:lang w:bidi="ar"/>
              </w:rPr>
              <w:t>钛合金或不锈钢刀刃</w:t>
            </w:r>
            <w:r>
              <w:rPr>
                <w:rFonts w:hint="eastAsia" w:ascii="宋体" w:hAnsi="宋体" w:cs="宋体"/>
                <w:kern w:val="0"/>
                <w:sz w:val="18"/>
                <w:szCs w:val="18"/>
                <w:highlight w:val="none"/>
                <w:lang w:eastAsia="zh-CN" w:bidi="ar"/>
              </w:rPr>
              <w:t>。</w:t>
            </w:r>
          </w:p>
        </w:tc>
      </w:tr>
      <w:tr>
        <w:tblPrEx>
          <w:tblCellMar>
            <w:top w:w="0" w:type="dxa"/>
            <w:left w:w="108" w:type="dxa"/>
            <w:bottom w:w="0" w:type="dxa"/>
            <w:right w:w="108" w:type="dxa"/>
          </w:tblCellMar>
        </w:tblPrEx>
        <w:trPr>
          <w:trHeight w:val="1602"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62</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01B063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麻绳</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根</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25</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sz w:val="18"/>
                <w:szCs w:val="18"/>
                <w:highlight w:val="none"/>
                <w:lang w:eastAsia="zh-CN"/>
              </w:rPr>
            </w:pPr>
            <w:r>
              <w:rPr>
                <w:rFonts w:hint="eastAsia" w:ascii="宋体" w:hAnsi="宋体" w:cs="宋体"/>
                <w:kern w:val="0"/>
                <w:sz w:val="18"/>
                <w:szCs w:val="18"/>
                <w:highlight w:val="none"/>
                <w:lang w:bidi="ar"/>
              </w:rPr>
              <w:t>1、产品材质：黄麻</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2、产品参数：尺寸：直径</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30mm，长度50米</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t>优质麻绳</w:t>
            </w:r>
            <w:r>
              <w:rPr>
                <w:rFonts w:hint="eastAsia" w:ascii="宋体" w:hAnsi="宋体" w:cs="宋体"/>
                <w:kern w:val="0"/>
                <w:sz w:val="18"/>
                <w:szCs w:val="18"/>
                <w:highlight w:val="none"/>
                <w:lang w:eastAsia="zh-CN" w:bidi="ar"/>
              </w:rPr>
              <w:t>。</w:t>
            </w:r>
          </w:p>
        </w:tc>
      </w:tr>
      <w:tr>
        <w:tblPrEx>
          <w:tblCellMar>
            <w:top w:w="0" w:type="dxa"/>
            <w:left w:w="108" w:type="dxa"/>
            <w:bottom w:w="0" w:type="dxa"/>
            <w:right w:w="108" w:type="dxa"/>
          </w:tblCellMar>
        </w:tblPrEx>
        <w:trPr>
          <w:trHeight w:val="1314" w:hRule="atLeast"/>
        </w:trPr>
        <w:tc>
          <w:tcPr>
            <w:tcW w:w="606"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63</w:t>
            </w:r>
          </w:p>
        </w:tc>
        <w:tc>
          <w:tcPr>
            <w:tcW w:w="758"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01B064</w:t>
            </w:r>
          </w:p>
        </w:tc>
        <w:tc>
          <w:tcPr>
            <w:tcW w:w="1016"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防汛救生杆</w:t>
            </w:r>
          </w:p>
        </w:tc>
        <w:tc>
          <w:tcPr>
            <w:tcW w:w="733"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套</w:t>
            </w:r>
          </w:p>
        </w:tc>
        <w:tc>
          <w:tcPr>
            <w:tcW w:w="75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4</w:t>
            </w:r>
          </w:p>
        </w:tc>
        <w:tc>
          <w:tcPr>
            <w:tcW w:w="5712"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1、产品材质：杆身不锈钢+胶圈抗拉伸胶体；</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2、产品参数：长度</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3.5米含环，环</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50cm；</w:t>
            </w:r>
          </w:p>
        </w:tc>
      </w:tr>
      <w:tr>
        <w:tblPrEx>
          <w:tblCellMar>
            <w:top w:w="0" w:type="dxa"/>
            <w:left w:w="108" w:type="dxa"/>
            <w:bottom w:w="0" w:type="dxa"/>
            <w:right w:w="108" w:type="dxa"/>
          </w:tblCellMar>
        </w:tblPrEx>
        <w:trPr>
          <w:trHeight w:val="1266"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64</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01B065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防汛救生杆</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16</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sz w:val="18"/>
                <w:szCs w:val="18"/>
                <w:highlight w:val="none"/>
                <w:lang w:eastAsia="zh-CN"/>
              </w:rPr>
            </w:pPr>
            <w:r>
              <w:rPr>
                <w:rFonts w:hint="eastAsia" w:ascii="宋体" w:hAnsi="宋体" w:cs="宋体"/>
                <w:kern w:val="0"/>
                <w:sz w:val="18"/>
                <w:szCs w:val="18"/>
                <w:highlight w:val="none"/>
                <w:lang w:bidi="ar"/>
              </w:rPr>
              <w:t>1、产品材质：杆身不锈钢+胶圈抗拉伸胶体；</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2、产品参数：长度</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5.5米含环，环</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50cm</w:t>
            </w:r>
            <w:r>
              <w:rPr>
                <w:rFonts w:hint="eastAsia" w:ascii="宋体" w:hAnsi="宋体" w:cs="宋体"/>
                <w:kern w:val="0"/>
                <w:sz w:val="18"/>
                <w:szCs w:val="18"/>
                <w:highlight w:val="none"/>
                <w:lang w:eastAsia="zh-CN" w:bidi="ar"/>
              </w:rPr>
              <w:t>。</w:t>
            </w:r>
          </w:p>
        </w:tc>
      </w:tr>
      <w:tr>
        <w:tblPrEx>
          <w:tblCellMar>
            <w:top w:w="0" w:type="dxa"/>
            <w:left w:w="108" w:type="dxa"/>
            <w:bottom w:w="0" w:type="dxa"/>
            <w:right w:w="108" w:type="dxa"/>
          </w:tblCellMar>
        </w:tblPrEx>
        <w:trPr>
          <w:trHeight w:val="1450"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65</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01B066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多功能折叠梯</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29</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1、产品材质：铝合金</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br w:type="textWrapping"/>
            </w:r>
          </w:p>
        </w:tc>
      </w:tr>
      <w:tr>
        <w:tblPrEx>
          <w:tblCellMar>
            <w:top w:w="0" w:type="dxa"/>
            <w:left w:w="108" w:type="dxa"/>
            <w:bottom w:w="0" w:type="dxa"/>
            <w:right w:w="108" w:type="dxa"/>
          </w:tblCellMar>
        </w:tblPrEx>
        <w:trPr>
          <w:trHeight w:val="2668"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66</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01B067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工具箱98件套</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51</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共98件，</w:t>
            </w:r>
            <w:r>
              <w:rPr>
                <w:rFonts w:hint="eastAsia" w:ascii="宋体" w:hAnsi="宋体" w:cs="宋体"/>
                <w:kern w:val="0"/>
                <w:sz w:val="18"/>
                <w:szCs w:val="18"/>
                <w:highlight w:val="none"/>
                <w:lang w:val="en-US" w:eastAsia="zh-CN" w:bidi="ar"/>
              </w:rPr>
              <w:t>包含</w:t>
            </w:r>
            <w:r>
              <w:rPr>
                <w:rFonts w:hint="eastAsia" w:ascii="宋体" w:hAnsi="宋体" w:cs="宋体"/>
                <w:kern w:val="0"/>
                <w:sz w:val="18"/>
                <w:szCs w:val="18"/>
                <w:highlight w:val="none"/>
                <w:lang w:bidi="ar"/>
              </w:rPr>
              <w:t>：1.T型套简螺丝刀，2.自锁式尼龙扎带20PC，3.十字螺丝刀，4.钟表螺丝刀，5.钟表螺丝刀，6.一字螺丝刀，7.钟表螺丝刀，8.电工胶布，9.胀管套装，10.套筒接杆，11.刀片5P，12.内六角8PC，13.棘轮扳手 14.钟表螺丝刀，15.折叠刀，16.活动扳手，17.羊角锤，18.套简组11PC，19.斜嘴钳，20</w:t>
            </w:r>
            <w:r>
              <w:rPr>
                <w:rFonts w:hint="eastAsia" w:ascii="宋体" w:hAnsi="宋体" w:cs="宋体"/>
                <w:kern w:val="0"/>
                <w:sz w:val="18"/>
                <w:szCs w:val="18"/>
                <w:highlight w:val="none"/>
                <w:lang w:val="en-US" w:eastAsia="zh-CN" w:bidi="ar"/>
              </w:rPr>
              <w:t xml:space="preserve"> </w:t>
            </w:r>
            <w:r>
              <w:rPr>
                <w:rFonts w:hint="eastAsia" w:ascii="宋体" w:hAnsi="宋体" w:cs="宋体"/>
                <w:kern w:val="0"/>
                <w:sz w:val="18"/>
                <w:szCs w:val="18"/>
                <w:highlight w:val="none"/>
                <w:lang w:bidi="ar"/>
              </w:rPr>
              <w:t>.3M卷尺   21.迷你水平尺，22.钢丝钳，23.</w:t>
            </w:r>
            <w:r>
              <w:rPr>
                <w:rFonts w:hint="eastAsia" w:ascii="宋体" w:hAnsi="宋体" w:cs="宋体"/>
                <w:kern w:val="0"/>
                <w:sz w:val="18"/>
                <w:szCs w:val="18"/>
                <w:highlight w:val="none"/>
                <w:lang w:val="en-US" w:eastAsia="zh-CN" w:bidi="ar"/>
              </w:rPr>
              <w:t xml:space="preserve"> </w:t>
            </w:r>
            <w:r>
              <w:rPr>
                <w:rFonts w:hint="eastAsia" w:ascii="宋体" w:hAnsi="宋体" w:cs="宋体"/>
                <w:kern w:val="0"/>
                <w:sz w:val="18"/>
                <w:szCs w:val="18"/>
                <w:highlight w:val="none"/>
                <w:lang w:bidi="ar"/>
              </w:rPr>
              <w:t>25MM批头组3个</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br w:type="textWrapping"/>
            </w:r>
          </w:p>
        </w:tc>
      </w:tr>
      <w:tr>
        <w:tblPrEx>
          <w:tblCellMar>
            <w:top w:w="0" w:type="dxa"/>
            <w:left w:w="108" w:type="dxa"/>
            <w:bottom w:w="0" w:type="dxa"/>
            <w:right w:w="108" w:type="dxa"/>
          </w:tblCellMar>
        </w:tblPrEx>
        <w:trPr>
          <w:trHeight w:val="1613"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67</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01B068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救援镐</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把</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16</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w:t>
            </w:r>
            <w:r>
              <w:rPr>
                <w:rFonts w:hint="eastAsia" w:ascii="宋体" w:hAnsi="宋体" w:cs="宋体"/>
                <w:kern w:val="0"/>
                <w:sz w:val="18"/>
                <w:szCs w:val="18"/>
                <w:highlight w:val="none"/>
                <w:lang w:val="en-US" w:eastAsia="zh-CN" w:bidi="ar"/>
              </w:rPr>
              <w:t>钢</w:t>
            </w:r>
            <w:r>
              <w:rPr>
                <w:rFonts w:hint="eastAsia" w:ascii="宋体" w:hAnsi="宋体" w:cs="宋体"/>
                <w:kern w:val="0"/>
                <w:sz w:val="18"/>
                <w:szCs w:val="18"/>
                <w:highlight w:val="none"/>
                <w:lang w:bidi="ar"/>
              </w:rPr>
              <w:t>+实木材质</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2、产品参数：尺寸：</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60cm*</w:t>
            </w: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cm*3</w:t>
            </w: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cm；镐头一头扁，一头尖；</w:t>
            </w:r>
            <w:r>
              <w:rPr>
                <w:rFonts w:hint="eastAsia" w:ascii="宋体" w:hAnsi="宋体" w:cs="宋体"/>
                <w:kern w:val="0"/>
                <w:sz w:val="18"/>
                <w:szCs w:val="18"/>
                <w:highlight w:val="none"/>
                <w:lang w:bidi="ar"/>
              </w:rPr>
              <w:br w:type="textWrapping"/>
            </w:r>
          </w:p>
        </w:tc>
      </w:tr>
      <w:tr>
        <w:tblPrEx>
          <w:tblCellMar>
            <w:top w:w="0" w:type="dxa"/>
            <w:left w:w="108" w:type="dxa"/>
            <w:bottom w:w="0" w:type="dxa"/>
            <w:right w:w="108" w:type="dxa"/>
          </w:tblCellMar>
        </w:tblPrEx>
        <w:trPr>
          <w:trHeight w:val="1551"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68</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01B069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救援镐</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把</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33</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1、产品材质：钢+实木材质</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2、产品参数：尺寸：</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8</w:t>
            </w: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cm*</w:t>
            </w: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cm*</w:t>
            </w:r>
            <w:r>
              <w:rPr>
                <w:rFonts w:hint="eastAsia" w:ascii="宋体" w:hAnsi="宋体" w:cs="宋体"/>
                <w:kern w:val="0"/>
                <w:sz w:val="18"/>
                <w:szCs w:val="18"/>
                <w:highlight w:val="none"/>
                <w:lang w:val="en-US" w:eastAsia="zh-CN" w:bidi="ar"/>
              </w:rPr>
              <w:t>50</w:t>
            </w:r>
            <w:r>
              <w:rPr>
                <w:rFonts w:hint="eastAsia" w:ascii="宋体" w:hAnsi="宋体" w:cs="宋体"/>
                <w:kern w:val="0"/>
                <w:sz w:val="18"/>
                <w:szCs w:val="18"/>
                <w:highlight w:val="none"/>
                <w:lang w:bidi="ar"/>
              </w:rPr>
              <w:t>cm；镐头一头扁，一头尖；</w:t>
            </w:r>
            <w:r>
              <w:rPr>
                <w:rFonts w:hint="eastAsia" w:ascii="宋体" w:hAnsi="宋体" w:cs="宋体"/>
                <w:kern w:val="0"/>
                <w:sz w:val="18"/>
                <w:szCs w:val="18"/>
                <w:highlight w:val="none"/>
                <w:lang w:bidi="ar"/>
              </w:rPr>
              <w:br w:type="textWrapping"/>
            </w:r>
          </w:p>
        </w:tc>
      </w:tr>
      <w:tr>
        <w:tblPrEx>
          <w:tblCellMar>
            <w:top w:w="0" w:type="dxa"/>
            <w:left w:w="108" w:type="dxa"/>
            <w:bottom w:w="0" w:type="dxa"/>
            <w:right w:w="108" w:type="dxa"/>
          </w:tblCellMar>
        </w:tblPrEx>
        <w:trPr>
          <w:trHeight w:val="1250"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69</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01B070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尖头救援锹</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把</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15</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1、产品材质：钢+实木材质</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2、产品参数：尺寸：总长</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6</w:t>
            </w: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cm*锹头宽1</w:t>
            </w: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cm*锹头长2</w:t>
            </w: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cm；</w:t>
            </w:r>
          </w:p>
        </w:tc>
      </w:tr>
      <w:tr>
        <w:tblPrEx>
          <w:tblCellMar>
            <w:top w:w="0" w:type="dxa"/>
            <w:left w:w="108" w:type="dxa"/>
            <w:bottom w:w="0" w:type="dxa"/>
            <w:right w:w="108" w:type="dxa"/>
          </w:tblCellMar>
        </w:tblPrEx>
        <w:trPr>
          <w:trHeight w:val="1610" w:hRule="atLeast"/>
        </w:trPr>
        <w:tc>
          <w:tcPr>
            <w:tcW w:w="606"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70</w:t>
            </w:r>
          </w:p>
        </w:tc>
        <w:tc>
          <w:tcPr>
            <w:tcW w:w="758"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01B071</w:t>
            </w:r>
          </w:p>
        </w:tc>
        <w:tc>
          <w:tcPr>
            <w:tcW w:w="1016"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尖头救援锹</w:t>
            </w:r>
          </w:p>
        </w:tc>
        <w:tc>
          <w:tcPr>
            <w:tcW w:w="733"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把</w:t>
            </w:r>
          </w:p>
        </w:tc>
        <w:tc>
          <w:tcPr>
            <w:tcW w:w="751"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55</w:t>
            </w:r>
          </w:p>
        </w:tc>
        <w:tc>
          <w:tcPr>
            <w:tcW w:w="5712"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1、产品材质：钢+实木材质</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2、产品参数：尺寸：总长</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120cm*锹头宽2</w:t>
            </w: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cm*锹头长3</w:t>
            </w:r>
            <w:r>
              <w:rPr>
                <w:rFonts w:hint="eastAsia" w:ascii="宋体" w:hAnsi="宋体" w:cs="宋体"/>
                <w:kern w:val="0"/>
                <w:sz w:val="18"/>
                <w:szCs w:val="18"/>
                <w:highlight w:val="none"/>
                <w:lang w:val="en-US" w:eastAsia="zh-CN" w:bidi="ar"/>
              </w:rPr>
              <w:t>0</w:t>
            </w:r>
            <w:r>
              <w:rPr>
                <w:rFonts w:hint="eastAsia" w:ascii="宋体" w:hAnsi="宋体" w:cs="宋体"/>
                <w:kern w:val="0"/>
                <w:sz w:val="18"/>
                <w:szCs w:val="18"/>
                <w:highlight w:val="none"/>
                <w:lang w:bidi="ar"/>
              </w:rPr>
              <w:t>cm；</w:t>
            </w:r>
          </w:p>
        </w:tc>
      </w:tr>
      <w:tr>
        <w:tblPrEx>
          <w:tblCellMar>
            <w:top w:w="0" w:type="dxa"/>
            <w:left w:w="108" w:type="dxa"/>
            <w:bottom w:w="0" w:type="dxa"/>
            <w:right w:w="108" w:type="dxa"/>
          </w:tblCellMar>
        </w:tblPrEx>
        <w:trPr>
          <w:trHeight w:val="1313"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71</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01B072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方头救援锹</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把</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41</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1、产品材质：钢+实木材质</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2、产品参数尺寸：总长</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120cm*锹头宽2</w:t>
            </w: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cm*锹头长30cm；</w:t>
            </w:r>
          </w:p>
        </w:tc>
      </w:tr>
      <w:tr>
        <w:tblPrEx>
          <w:tblCellMar>
            <w:top w:w="0" w:type="dxa"/>
            <w:left w:w="108" w:type="dxa"/>
            <w:bottom w:w="0" w:type="dxa"/>
            <w:right w:w="108" w:type="dxa"/>
          </w:tblCellMar>
        </w:tblPrEx>
        <w:trPr>
          <w:trHeight w:val="2088"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72</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01B073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对讲机</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112</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eastAsia="宋体" w:cs="宋体"/>
                <w:sz w:val="18"/>
                <w:szCs w:val="18"/>
                <w:highlight w:val="none"/>
                <w:lang w:eastAsia="zh-CN"/>
              </w:rPr>
            </w:pPr>
            <w:r>
              <w:rPr>
                <w:rFonts w:hint="eastAsia" w:ascii="宋体" w:hAnsi="宋体" w:cs="宋体"/>
                <w:kern w:val="0"/>
                <w:sz w:val="18"/>
                <w:szCs w:val="18"/>
                <w:highlight w:val="none"/>
                <w:lang w:bidi="ar"/>
              </w:rPr>
              <w:t>1、产品参数：频率范围：430-440MHz；频率容限：≤7ppm；发射功率≤5w；占用宽带：≤16kHz；杂散发射限值：≤7.5uw；频输出功率：5W；信道数：128组；防水电池容</w:t>
            </w:r>
            <w:r>
              <w:rPr>
                <w:rFonts w:hint="eastAsia" w:ascii="宋体" w:hAnsi="宋体" w:cs="宋体"/>
                <w:kern w:val="0"/>
                <w:sz w:val="18"/>
                <w:szCs w:val="18"/>
                <w:highlight w:val="none"/>
                <w:lang w:val="en-US" w:eastAsia="zh-CN" w:bidi="ar"/>
              </w:rPr>
              <w:t>量</w:t>
            </w:r>
            <w:r>
              <w:rPr>
                <w:rFonts w:hint="eastAsia" w:ascii="宋体" w:hAnsi="宋体" w:cs="宋体"/>
                <w:kern w:val="0"/>
                <w:sz w:val="18"/>
                <w:szCs w:val="18"/>
                <w:highlight w:val="none"/>
                <w:lang w:bidi="ar"/>
              </w:rPr>
              <w:t>≥2800毫安；UV双段；</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2、液晶显示屏</w:t>
            </w:r>
            <w:r>
              <w:rPr>
                <w:rFonts w:hint="eastAsia" w:ascii="宋体" w:hAnsi="宋体" w:cs="宋体"/>
                <w:kern w:val="0"/>
                <w:sz w:val="18"/>
                <w:szCs w:val="18"/>
                <w:highlight w:val="none"/>
                <w:lang w:eastAsia="zh-CN" w:bidi="ar"/>
              </w:rPr>
              <w:t>。</w:t>
            </w:r>
          </w:p>
        </w:tc>
      </w:tr>
      <w:tr>
        <w:tblPrEx>
          <w:tblCellMar>
            <w:top w:w="0" w:type="dxa"/>
            <w:left w:w="108" w:type="dxa"/>
            <w:bottom w:w="0" w:type="dxa"/>
            <w:right w:w="108" w:type="dxa"/>
          </w:tblCellMar>
        </w:tblPrEx>
        <w:trPr>
          <w:trHeight w:val="4057"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73</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01B074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救灾帐篷</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9</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0"/>
              </w:numPr>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val="en-US" w:eastAsia="zh-CN" w:bidi="ar"/>
              </w:rPr>
              <w:t>1.</w:t>
            </w:r>
            <w:r>
              <w:rPr>
                <w:rFonts w:hint="eastAsia" w:ascii="宋体" w:hAnsi="宋体" w:cs="宋体"/>
                <w:kern w:val="0"/>
                <w:sz w:val="18"/>
                <w:szCs w:val="18"/>
                <w:highlight w:val="none"/>
                <w:lang w:bidi="ar"/>
              </w:rPr>
              <w:t>产品材质：面料为300D PVC加厚涂层布，</w:t>
            </w:r>
          </w:p>
          <w:p>
            <w:pPr>
              <w:widowControl/>
              <w:numPr>
                <w:ilvl w:val="0"/>
                <w:numId w:val="0"/>
              </w:numPr>
              <w:jc w:val="left"/>
              <w:textAlignment w:val="center"/>
              <w:rPr>
                <w:rFonts w:hint="eastAsia" w:ascii="宋体" w:hAnsi="宋体" w:eastAsia="宋体" w:cs="宋体"/>
                <w:sz w:val="18"/>
                <w:szCs w:val="18"/>
                <w:highlight w:val="none"/>
                <w:lang w:eastAsia="zh-CN"/>
              </w:rPr>
            </w:pP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产品参数：</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t>1</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bidi="ar"/>
              </w:rPr>
              <w:t>救灾专用12㎡单帐篷:长方形双坡面直墙建筑样式。开门山墙上开三角窗一个；开窗山墙开三角窗一个，方形窗一个，两侧墙各开方形窗户两个。侧墙可支起成阳篷，整体帐篷通过拉绳拉起，用三角桩加固。</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救灾专用12㎡单帐篷由篷体、框架及配件（含三角桩、拉绳）三部分组成。帐篷框架由立杆、斜梁杆、通用杆、端架地杆、端架三通、中架四通柱底四通及钢丝拉绳组成。</w:t>
            </w:r>
            <w:r>
              <w:rPr>
                <w:rFonts w:hint="eastAsia" w:ascii="宋体" w:hAnsi="宋体" w:cs="宋体"/>
                <w:kern w:val="0"/>
                <w:sz w:val="18"/>
                <w:szCs w:val="18"/>
                <w:highlight w:val="none"/>
                <w:lang w:eastAsia="zh-CN" w:bidi="ar"/>
              </w:rPr>
              <w:t>（</w:t>
            </w:r>
            <w:r>
              <w:rPr>
                <w:rFonts w:hint="eastAsia" w:ascii="宋体" w:hAnsi="宋体" w:cs="宋体"/>
                <w:kern w:val="0"/>
                <w:sz w:val="18"/>
                <w:szCs w:val="18"/>
                <w:highlight w:val="none"/>
                <w:lang w:val="en-US" w:eastAsia="zh-CN" w:bidi="ar"/>
              </w:rPr>
              <w:t>3）</w:t>
            </w:r>
            <w:r>
              <w:rPr>
                <w:rFonts w:hint="eastAsia" w:ascii="宋体" w:hAnsi="宋体" w:cs="宋体"/>
                <w:kern w:val="0"/>
                <w:sz w:val="18"/>
                <w:szCs w:val="18"/>
                <w:highlight w:val="none"/>
                <w:lang w:bidi="ar"/>
              </w:rPr>
              <w:t>帐篷外形尺寸（长、宽、侧墙高、脊顶高）</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为3700mm×3200mm×1750mm×2670mm</w:t>
            </w:r>
            <w:r>
              <w:rPr>
                <w:rFonts w:hint="eastAsia" w:ascii="宋体" w:hAnsi="宋体" w:cs="宋体"/>
                <w:kern w:val="0"/>
                <w:sz w:val="18"/>
                <w:szCs w:val="18"/>
                <w:highlight w:val="none"/>
                <w:lang w:eastAsia="zh-CN" w:bidi="ar"/>
              </w:rPr>
              <w:t>。</w:t>
            </w:r>
          </w:p>
        </w:tc>
      </w:tr>
      <w:tr>
        <w:tblPrEx>
          <w:tblCellMar>
            <w:top w:w="0" w:type="dxa"/>
            <w:left w:w="108" w:type="dxa"/>
            <w:bottom w:w="0" w:type="dxa"/>
            <w:right w:w="108" w:type="dxa"/>
          </w:tblCellMar>
        </w:tblPrEx>
        <w:trPr>
          <w:trHeight w:val="1389" w:hRule="atLeast"/>
        </w:trPr>
        <w:tc>
          <w:tcPr>
            <w:tcW w:w="60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74</w:t>
            </w:r>
          </w:p>
        </w:tc>
        <w:tc>
          <w:tcPr>
            <w:tcW w:w="75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01B075</w:t>
            </w:r>
          </w:p>
        </w:tc>
        <w:tc>
          <w:tcPr>
            <w:tcW w:w="101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防汛编织袋</w:t>
            </w:r>
          </w:p>
        </w:tc>
        <w:tc>
          <w:tcPr>
            <w:tcW w:w="73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个</w:t>
            </w:r>
          </w:p>
        </w:tc>
        <w:tc>
          <w:tcPr>
            <w:tcW w:w="75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300</w:t>
            </w:r>
          </w:p>
        </w:tc>
        <w:tc>
          <w:tcPr>
            <w:tcW w:w="571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1、产品材质：pp聚丙烯；</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2、产品参数：尺寸（cm）：</w:t>
            </w:r>
            <w:r>
              <w:rPr>
                <w:rFonts w:hint="eastAsia" w:ascii="宋体" w:hAnsi="宋体" w:cs="宋体"/>
                <w:kern w:val="0"/>
                <w:sz w:val="18"/>
                <w:szCs w:val="18"/>
                <w:highlight w:val="none"/>
                <w:lang w:val="en-US" w:eastAsia="zh-CN" w:bidi="ar"/>
              </w:rPr>
              <w:t>约60</w:t>
            </w:r>
            <w:r>
              <w:rPr>
                <w:rFonts w:hint="eastAsia" w:ascii="宋体" w:hAnsi="宋体" w:cs="宋体"/>
                <w:kern w:val="0"/>
                <w:sz w:val="18"/>
                <w:szCs w:val="18"/>
                <w:highlight w:val="none"/>
                <w:lang w:bidi="ar"/>
              </w:rPr>
              <w:t>*</w:t>
            </w:r>
            <w:r>
              <w:rPr>
                <w:rFonts w:hint="eastAsia" w:ascii="宋体" w:hAnsi="宋体" w:cs="宋体"/>
                <w:kern w:val="0"/>
                <w:sz w:val="18"/>
                <w:szCs w:val="18"/>
                <w:highlight w:val="none"/>
                <w:lang w:val="en-US" w:eastAsia="zh-CN" w:bidi="ar"/>
              </w:rPr>
              <w:t>100</w:t>
            </w:r>
            <w:r>
              <w:rPr>
                <w:rFonts w:hint="eastAsia" w:ascii="宋体" w:hAnsi="宋体" w:cs="宋体"/>
                <w:kern w:val="0"/>
                <w:sz w:val="18"/>
                <w:szCs w:val="18"/>
                <w:highlight w:val="none"/>
                <w:lang w:bidi="ar"/>
              </w:rPr>
              <w:t>；厚度：80克每平方左右；可承重≥50KG重量。</w:t>
            </w:r>
            <w:r>
              <w:rPr>
                <w:rFonts w:hint="eastAsia" w:ascii="宋体" w:hAnsi="宋体" w:cs="宋体"/>
                <w:kern w:val="0"/>
                <w:sz w:val="18"/>
                <w:szCs w:val="18"/>
                <w:highlight w:val="none"/>
                <w:lang w:bidi="ar"/>
              </w:rPr>
              <w:br w:type="textWrapping"/>
            </w:r>
          </w:p>
        </w:tc>
      </w:tr>
      <w:tr>
        <w:tblPrEx>
          <w:tblCellMar>
            <w:top w:w="0" w:type="dxa"/>
            <w:left w:w="108" w:type="dxa"/>
            <w:bottom w:w="0" w:type="dxa"/>
            <w:right w:w="108" w:type="dxa"/>
          </w:tblCellMar>
        </w:tblPrEx>
        <w:trPr>
          <w:trHeight w:val="1949" w:hRule="atLeast"/>
        </w:trPr>
        <w:tc>
          <w:tcPr>
            <w:tcW w:w="606"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75</w:t>
            </w:r>
          </w:p>
        </w:tc>
        <w:tc>
          <w:tcPr>
            <w:tcW w:w="758"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01B076</w:t>
            </w:r>
          </w:p>
        </w:tc>
        <w:tc>
          <w:tcPr>
            <w:tcW w:w="1016"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防汛彩条布</w:t>
            </w:r>
          </w:p>
        </w:tc>
        <w:tc>
          <w:tcPr>
            <w:tcW w:w="733"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张</w:t>
            </w:r>
          </w:p>
        </w:tc>
        <w:tc>
          <w:tcPr>
            <w:tcW w:w="751"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6</w:t>
            </w:r>
          </w:p>
        </w:tc>
        <w:tc>
          <w:tcPr>
            <w:tcW w:w="5712"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1、产品材质：聚乙烯；</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2、产品参数：尺寸（米）：2*25；</w:t>
            </w:r>
          </w:p>
        </w:tc>
      </w:tr>
      <w:tr>
        <w:tblPrEx>
          <w:tblCellMar>
            <w:top w:w="0" w:type="dxa"/>
            <w:left w:w="108" w:type="dxa"/>
            <w:bottom w:w="0" w:type="dxa"/>
            <w:right w:w="108" w:type="dxa"/>
          </w:tblCellMar>
        </w:tblPrEx>
        <w:trPr>
          <w:trHeight w:val="1694" w:hRule="atLeast"/>
        </w:trPr>
        <w:tc>
          <w:tcPr>
            <w:tcW w:w="60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76</w:t>
            </w:r>
          </w:p>
        </w:tc>
        <w:tc>
          <w:tcPr>
            <w:tcW w:w="75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01B077</w:t>
            </w:r>
          </w:p>
        </w:tc>
        <w:tc>
          <w:tcPr>
            <w:tcW w:w="1016"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5kw气油发电机</w:t>
            </w:r>
          </w:p>
        </w:tc>
        <w:tc>
          <w:tcPr>
            <w:tcW w:w="73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台</w:t>
            </w:r>
          </w:p>
        </w:tc>
        <w:tc>
          <w:tcPr>
            <w:tcW w:w="751"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3</w:t>
            </w:r>
          </w:p>
        </w:tc>
        <w:tc>
          <w:tcPr>
            <w:tcW w:w="5712"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一、产品参数：</w:t>
            </w:r>
          </w:p>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1、发动机型式：单缸四冲程风冷汽油机；</w:t>
            </w:r>
          </w:p>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2、★缸径×行程：≥90mm×66mm；</w:t>
            </w:r>
          </w:p>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3、发动机功率：≥8.2kW【需提供带“CMA”章和“CNAS”章的检测报告证明】；</w:t>
            </w:r>
          </w:p>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4、★启动方式：手启动、电启动（双模式）；</w:t>
            </w:r>
          </w:p>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、★发电机类型：单三相等功率【需提供带“CMA”章和“CNAS”章的检测报告证明】；</w:t>
            </w:r>
          </w:p>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val="en-US" w:eastAsia="zh-CN" w:bidi="ar"/>
              </w:rPr>
              <w:t>6</w:t>
            </w:r>
            <w:r>
              <w:rPr>
                <w:rFonts w:hint="eastAsia" w:ascii="宋体" w:hAnsi="宋体" w:cs="宋体"/>
                <w:kern w:val="0"/>
                <w:sz w:val="18"/>
                <w:szCs w:val="18"/>
                <w:highlight w:val="none"/>
                <w:lang w:bidi="ar"/>
              </w:rPr>
              <w:t>、输出相数：单相/三相；</w:t>
            </w:r>
          </w:p>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val="en-US" w:eastAsia="zh-CN" w:bidi="ar"/>
              </w:rPr>
              <w:t>7</w:t>
            </w:r>
            <w:r>
              <w:rPr>
                <w:rFonts w:hint="eastAsia" w:ascii="宋体" w:hAnsi="宋体" w:cs="宋体"/>
                <w:kern w:val="0"/>
                <w:sz w:val="18"/>
                <w:szCs w:val="18"/>
                <w:highlight w:val="none"/>
                <w:lang w:bidi="ar"/>
              </w:rPr>
              <w:t>、★发电输出额定功率：≥5kW【需提供带“CMA”章和“CNAS”章的检测报告证明】；</w:t>
            </w:r>
          </w:p>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val="en-US" w:eastAsia="zh-CN" w:bidi="ar"/>
              </w:rPr>
              <w:t>8</w:t>
            </w:r>
            <w:r>
              <w:rPr>
                <w:rFonts w:hint="eastAsia" w:ascii="宋体" w:hAnsi="宋体" w:cs="宋体"/>
                <w:kern w:val="0"/>
                <w:sz w:val="18"/>
                <w:szCs w:val="18"/>
                <w:highlight w:val="none"/>
                <w:lang w:bidi="ar"/>
              </w:rPr>
              <w:t>、发电输出最大功率：≥5.5kW；</w:t>
            </w:r>
          </w:p>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val="en-US" w:eastAsia="zh-CN" w:bidi="ar"/>
              </w:rPr>
              <w:t>9</w:t>
            </w:r>
            <w:r>
              <w:rPr>
                <w:rFonts w:hint="eastAsia" w:ascii="宋体" w:hAnsi="宋体" w:cs="宋体"/>
                <w:kern w:val="0"/>
                <w:sz w:val="18"/>
                <w:szCs w:val="18"/>
                <w:highlight w:val="none"/>
                <w:lang w:bidi="ar"/>
              </w:rPr>
              <w:t>、输出电压：单相230V/三相400V；</w:t>
            </w:r>
          </w:p>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1</w:t>
            </w:r>
            <w:r>
              <w:rPr>
                <w:rFonts w:hint="eastAsia" w:ascii="宋体" w:hAnsi="宋体" w:cs="宋体"/>
                <w:kern w:val="0"/>
                <w:sz w:val="18"/>
                <w:szCs w:val="18"/>
                <w:highlight w:val="none"/>
                <w:lang w:val="en-US" w:eastAsia="zh-CN" w:bidi="ar"/>
              </w:rPr>
              <w:t>0</w:t>
            </w:r>
            <w:r>
              <w:rPr>
                <w:rFonts w:hint="eastAsia" w:ascii="宋体" w:hAnsi="宋体" w:cs="宋体"/>
                <w:kern w:val="0"/>
                <w:sz w:val="18"/>
                <w:szCs w:val="18"/>
                <w:highlight w:val="none"/>
                <w:lang w:bidi="ar"/>
              </w:rPr>
              <w:t>、输出电流：单相21.7A/三相9A；</w:t>
            </w:r>
          </w:p>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1</w:t>
            </w:r>
            <w:r>
              <w:rPr>
                <w:rFonts w:hint="eastAsia" w:ascii="宋体" w:hAnsi="宋体" w:cs="宋体"/>
                <w:kern w:val="0"/>
                <w:sz w:val="18"/>
                <w:szCs w:val="18"/>
                <w:highlight w:val="none"/>
                <w:lang w:val="en-US" w:eastAsia="zh-CN" w:bidi="ar"/>
              </w:rPr>
              <w:t>1</w:t>
            </w:r>
            <w:r>
              <w:rPr>
                <w:rFonts w:hint="eastAsia" w:ascii="宋体" w:hAnsi="宋体" w:cs="宋体"/>
                <w:kern w:val="0"/>
                <w:sz w:val="18"/>
                <w:szCs w:val="18"/>
                <w:highlight w:val="none"/>
                <w:lang w:bidi="ar"/>
              </w:rPr>
              <w:t>、频率：50Hz；</w:t>
            </w:r>
          </w:p>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1</w:t>
            </w:r>
            <w:r>
              <w:rPr>
                <w:rFonts w:hint="eastAsia" w:ascii="宋体" w:hAnsi="宋体" w:cs="宋体"/>
                <w:kern w:val="0"/>
                <w:sz w:val="18"/>
                <w:szCs w:val="18"/>
                <w:highlight w:val="none"/>
                <w:lang w:val="en-US" w:eastAsia="zh-CN" w:bidi="ar"/>
              </w:rPr>
              <w:t>2</w:t>
            </w:r>
            <w:r>
              <w:rPr>
                <w:rFonts w:hint="eastAsia" w:ascii="宋体" w:hAnsi="宋体" w:cs="宋体"/>
                <w:kern w:val="0"/>
                <w:sz w:val="18"/>
                <w:szCs w:val="18"/>
                <w:highlight w:val="none"/>
                <w:lang w:bidi="ar"/>
              </w:rPr>
              <w:t>、★电气性能：电气间隙＞5.0mm，爬电距离＞10.0mm【需提供带“CMA”章和“CNAS”章的检测报告证明】；</w:t>
            </w:r>
          </w:p>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1</w:t>
            </w:r>
            <w:r>
              <w:rPr>
                <w:rFonts w:hint="eastAsia" w:ascii="宋体" w:hAnsi="宋体" w:cs="宋体"/>
                <w:kern w:val="0"/>
                <w:sz w:val="18"/>
                <w:szCs w:val="18"/>
                <w:highlight w:val="none"/>
                <w:lang w:val="en-US" w:eastAsia="zh-CN" w:bidi="ar"/>
              </w:rPr>
              <w:t>3</w:t>
            </w:r>
            <w:r>
              <w:rPr>
                <w:rFonts w:hint="eastAsia" w:ascii="宋体" w:hAnsi="宋体" w:cs="宋体"/>
                <w:kern w:val="0"/>
                <w:sz w:val="18"/>
                <w:szCs w:val="18"/>
                <w:highlight w:val="none"/>
                <w:lang w:bidi="ar"/>
              </w:rPr>
              <w:t>、仪表：数显表，可显示电压、频率、运行时间；</w:t>
            </w:r>
          </w:p>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1</w:t>
            </w:r>
            <w:r>
              <w:rPr>
                <w:rFonts w:hint="eastAsia" w:ascii="宋体" w:hAnsi="宋体" w:cs="宋体"/>
                <w:kern w:val="0"/>
                <w:sz w:val="18"/>
                <w:szCs w:val="18"/>
                <w:highlight w:val="none"/>
                <w:lang w:val="en-US" w:eastAsia="zh-CN" w:bidi="ar"/>
              </w:rPr>
              <w:t>4</w:t>
            </w:r>
            <w:r>
              <w:rPr>
                <w:rFonts w:hint="eastAsia" w:ascii="宋体" w:hAnsi="宋体" w:cs="宋体"/>
                <w:kern w:val="0"/>
                <w:sz w:val="18"/>
                <w:szCs w:val="18"/>
                <w:highlight w:val="none"/>
                <w:lang w:bidi="ar"/>
              </w:rPr>
              <w:t>、★功率输出性能：额定功率或最小允许功率在规定的功率因数下，频率降≤4.22％；稳态电压偏差≤±0.4%【需提供带“CMA”章和“CNAS”章的检测报告证明】；</w:t>
            </w:r>
          </w:p>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1</w:t>
            </w: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电气安全（介电强度）：【需提供带“CMA”章和“CNAS”章的检测报告证明】；耐电压：发电机组主回路及控制回路能承受1min，频率为50Hz，正弦波电压，施加电压为1800V，试验期间无击穿闪络现象；绝缘电阻：绕组与接地之间，施加电压500V d.c，测得的绝缘电阻值应≥1MΩ；</w:t>
            </w:r>
          </w:p>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1</w:t>
            </w:r>
            <w:r>
              <w:rPr>
                <w:rFonts w:hint="eastAsia" w:ascii="宋体" w:hAnsi="宋体" w:cs="宋体"/>
                <w:kern w:val="0"/>
                <w:sz w:val="18"/>
                <w:szCs w:val="18"/>
                <w:highlight w:val="none"/>
                <w:lang w:val="en-US" w:eastAsia="zh-CN" w:bidi="ar"/>
              </w:rPr>
              <w:t>6</w:t>
            </w:r>
            <w:r>
              <w:rPr>
                <w:rFonts w:hint="eastAsia" w:ascii="宋体" w:hAnsi="宋体" w:cs="宋体"/>
                <w:kern w:val="0"/>
                <w:sz w:val="18"/>
                <w:szCs w:val="18"/>
                <w:highlight w:val="none"/>
                <w:lang w:bidi="ar"/>
              </w:rPr>
              <w:t>、★安全保护：【需提供带“CMA”章和“CNAS”章的检测报告证明】；过载保护：发电机组应进行过载试验，试验过程不造成影响机组安全的任何损坏，试验时间为30min 或直到保护断路器跳闸；缺机油保护：缺少机油时，发动机自动熄火；短路保护：安装带过电流脱扣装置的电路断路器，并对短路加以保护；接地故障保护：配置接地保护，可通过防护装置预防发电机组接地故障；</w:t>
            </w:r>
          </w:p>
          <w:p>
            <w:pPr>
              <w:widowControl/>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1</w:t>
            </w:r>
            <w:r>
              <w:rPr>
                <w:rFonts w:hint="eastAsia" w:ascii="宋体" w:hAnsi="宋体" w:cs="宋体"/>
                <w:kern w:val="0"/>
                <w:sz w:val="18"/>
                <w:szCs w:val="18"/>
                <w:highlight w:val="none"/>
                <w:lang w:val="en-US" w:eastAsia="zh-CN" w:bidi="ar"/>
              </w:rPr>
              <w:t>7</w:t>
            </w:r>
            <w:r>
              <w:rPr>
                <w:rFonts w:hint="eastAsia" w:ascii="宋体" w:hAnsi="宋体" w:cs="宋体"/>
                <w:kern w:val="0"/>
                <w:sz w:val="18"/>
                <w:szCs w:val="18"/>
                <w:highlight w:val="none"/>
                <w:lang w:bidi="ar"/>
              </w:rPr>
              <w:t>、防护等级：IP23M；</w:t>
            </w:r>
          </w:p>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val="en-US" w:eastAsia="zh-CN" w:bidi="ar"/>
              </w:rPr>
              <w:t>18</w:t>
            </w:r>
            <w:r>
              <w:rPr>
                <w:rFonts w:hint="eastAsia" w:ascii="宋体" w:hAnsi="宋体" w:cs="宋体"/>
                <w:kern w:val="0"/>
                <w:sz w:val="18"/>
                <w:szCs w:val="18"/>
                <w:highlight w:val="none"/>
                <w:lang w:bidi="ar"/>
              </w:rPr>
              <w:t xml:space="preserve">、★投标产品制造商需通过ISO9001：2015质量管理体系认证(制造类)、ISO14001:2015 环境管理体系认证 (制造类)、ISO45001:2018职业健康安全管理体系认证 (制造类)，取得安全生产标准化企业三级或以上认证【以上需提供相应资料证明】；  </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二、产品主要特性：单相、三相同功率输出，满足不同工况条件使用，用于户外、户内应急供电。</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三、★产品符合GB/T 2820.4-2009《往复式内燃机驱动的交流发电机组 第 4 部分: 控制装置和开关装置》、GB/T 2820.5-2009《往复式内燃机驱动的交流发电机组 第5部分: 发电机组》、GBT 2820.8-2002《往复式内燃机驱动的交流发电机组 第8部分:对小功率发电机组的要求和试验》、GB/T 2820.10-2002《往复式内燃机驱动的交流发电机组 第 10 部分:噪声的测量 (包面法 )》、GB/T 755-2019《旋转电机 定额和性能》的检测标准，</w:t>
            </w:r>
            <w:r>
              <w:rPr>
                <w:rFonts w:hint="eastAsia" w:ascii="宋体" w:hAnsi="宋体" w:eastAsia="宋体" w:cs="宋体"/>
                <w:kern w:val="0"/>
                <w:sz w:val="18"/>
                <w:szCs w:val="18"/>
                <w:highlight w:val="none"/>
                <w:lang w:val="en-US" w:eastAsia="zh-CN" w:bidi="ar"/>
              </w:rPr>
              <w:t>须提供具备法定资质的</w:t>
            </w:r>
            <w:r>
              <w:rPr>
                <w:rFonts w:hint="eastAsia" w:ascii="宋体" w:hAnsi="宋体" w:cs="宋体"/>
                <w:kern w:val="0"/>
                <w:sz w:val="18"/>
                <w:szCs w:val="18"/>
                <w:highlight w:val="none"/>
                <w:lang w:val="en-US" w:eastAsia="zh-CN" w:bidi="ar"/>
              </w:rPr>
              <w:t>检测机构</w:t>
            </w:r>
            <w:r>
              <w:rPr>
                <w:rFonts w:hint="eastAsia" w:ascii="宋体" w:hAnsi="宋体" w:eastAsia="宋体" w:cs="宋体"/>
                <w:kern w:val="0"/>
                <w:sz w:val="18"/>
                <w:szCs w:val="18"/>
                <w:highlight w:val="none"/>
                <w:lang w:val="en-US" w:eastAsia="zh-CN" w:bidi="ar"/>
              </w:rPr>
              <w:t>出具的检测报告复印件</w:t>
            </w:r>
            <w:r>
              <w:rPr>
                <w:rFonts w:hint="eastAsia" w:ascii="宋体" w:hAnsi="宋体" w:cs="宋体"/>
                <w:kern w:val="0"/>
                <w:sz w:val="18"/>
                <w:szCs w:val="18"/>
                <w:highlight w:val="none"/>
                <w:lang w:bidi="ar"/>
              </w:rPr>
              <w:t>。</w:t>
            </w:r>
          </w:p>
        </w:tc>
      </w:tr>
      <w:tr>
        <w:tblPrEx>
          <w:tblCellMar>
            <w:top w:w="0" w:type="dxa"/>
            <w:left w:w="108" w:type="dxa"/>
            <w:bottom w:w="0" w:type="dxa"/>
            <w:right w:w="108" w:type="dxa"/>
          </w:tblCellMar>
        </w:tblPrEx>
        <w:trPr>
          <w:trHeight w:val="7170"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77</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01B078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抽水泵</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9</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0"/>
              </w:numPr>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产品参数：</w:t>
            </w:r>
          </w:p>
          <w:p>
            <w:pPr>
              <w:widowControl/>
              <w:numPr>
                <w:ilvl w:val="0"/>
                <w:numId w:val="22"/>
              </w:numPr>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发动机规格：≥186F；</w:t>
            </w:r>
          </w:p>
          <w:p>
            <w:pPr>
              <w:widowControl/>
              <w:numPr>
                <w:ilvl w:val="0"/>
                <w:numId w:val="22"/>
              </w:numPr>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燃油：柴油；</w:t>
            </w:r>
          </w:p>
          <w:p>
            <w:pPr>
              <w:widowControl/>
              <w:numPr>
                <w:ilvl w:val="0"/>
                <w:numId w:val="22"/>
              </w:numPr>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发动机型式：单缸、4冲程、风冷、直喷式；</w:t>
            </w:r>
          </w:p>
          <w:p>
            <w:pPr>
              <w:widowControl/>
              <w:numPr>
                <w:ilvl w:val="0"/>
                <w:numId w:val="22"/>
              </w:numPr>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★缸径×行程：≥86mm×72mm【需提供带“CMA”章和“CNAS”章的检测报告证明】</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bidi="ar"/>
              </w:rPr>
              <w:t>5、发动机排量：≥41</w:t>
            </w:r>
            <w:r>
              <w:rPr>
                <w:rFonts w:hint="eastAsia" w:ascii="宋体" w:hAnsi="宋体" w:cs="宋体"/>
                <w:kern w:val="0"/>
                <w:sz w:val="18"/>
                <w:szCs w:val="18"/>
                <w:highlight w:val="none"/>
                <w:lang w:val="en-US" w:eastAsia="zh-CN" w:bidi="ar"/>
              </w:rPr>
              <w:t>0</w:t>
            </w:r>
            <w:r>
              <w:rPr>
                <w:rFonts w:hint="eastAsia" w:ascii="宋体" w:hAnsi="宋体" w:cs="宋体"/>
                <w:kern w:val="0"/>
                <w:sz w:val="18"/>
                <w:szCs w:val="18"/>
                <w:highlight w:val="none"/>
                <w:lang w:bidi="ar"/>
              </w:rPr>
              <w:t>cc；</w:t>
            </w:r>
          </w:p>
          <w:p>
            <w:pPr>
              <w:widowControl/>
              <w:numPr>
                <w:ilvl w:val="0"/>
                <w:numId w:val="22"/>
              </w:numPr>
              <w:ind w:left="0" w:leftChars="0" w:firstLine="0" w:firstLineChars="0"/>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★启动方式：手拉启动、电启动；</w:t>
            </w:r>
          </w:p>
          <w:p>
            <w:pPr>
              <w:widowControl/>
              <w:numPr>
                <w:ilvl w:val="0"/>
                <w:numId w:val="22"/>
              </w:numPr>
              <w:ind w:left="0" w:leftChars="0" w:firstLine="0" w:firstLineChars="0"/>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★口径：进水口径≥100mm（4寸），出水口径≥100mm（4寸）【需提供带“CMA”章和“CNAS”章的检测报告证明】；</w:t>
            </w:r>
          </w:p>
          <w:p>
            <w:pPr>
              <w:widowControl/>
              <w:numPr>
                <w:ilvl w:val="0"/>
                <w:numId w:val="22"/>
              </w:numPr>
              <w:ind w:left="0" w:leftChars="0" w:firstLine="0" w:firstLineChars="0"/>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★最大流量：≥85m3/h；【需提供带“CMA”章和“CNAS”章的检测报告证明】</w:t>
            </w:r>
            <w:r>
              <w:rPr>
                <w:rFonts w:hint="eastAsia" w:ascii="宋体" w:hAnsi="宋体" w:cs="宋体"/>
                <w:kern w:val="0"/>
                <w:sz w:val="18"/>
                <w:szCs w:val="18"/>
                <w:highlight w:val="none"/>
                <w:lang w:eastAsia="zh-CN" w:bidi="ar"/>
              </w:rPr>
              <w:t>。</w:t>
            </w:r>
          </w:p>
          <w:p>
            <w:pPr>
              <w:widowControl/>
              <w:numPr>
                <w:ilvl w:val="0"/>
                <w:numId w:val="22"/>
              </w:numPr>
              <w:ind w:left="0" w:leftChars="0" w:firstLine="0" w:firstLineChars="0"/>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★最高扬程：≥30m；【需提供带“CMA”章和“CNAS”章的检测报告证明】；</w:t>
            </w:r>
          </w:p>
          <w:p>
            <w:pPr>
              <w:widowControl/>
              <w:numPr>
                <w:ilvl w:val="0"/>
                <w:numId w:val="22"/>
              </w:numPr>
              <w:ind w:left="0" w:leftChars="0" w:firstLine="0" w:firstLineChars="0"/>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★自吸高度：≥8m；【需提供带“CMA”章和“CNAS”章的检测报告证明】；</w:t>
            </w:r>
          </w:p>
          <w:p>
            <w:pPr>
              <w:widowControl/>
              <w:numPr>
                <w:ilvl w:val="0"/>
                <w:numId w:val="22"/>
              </w:numPr>
              <w:ind w:left="0" w:leftChars="0" w:firstLine="0" w:firstLineChars="0"/>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★提供泵性能扬程流量关系曲线图；【需提供带“CMA”章和“CNAS”章的检测报告证明】；</w:t>
            </w:r>
          </w:p>
          <w:p>
            <w:pPr>
              <w:widowControl/>
              <w:numPr>
                <w:ilvl w:val="0"/>
                <w:numId w:val="22"/>
              </w:numPr>
              <w:ind w:left="0" w:leftChars="0" w:firstLine="0" w:firstLineChars="0"/>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油箱容量：≥5L；</w:t>
            </w:r>
          </w:p>
          <w:p>
            <w:pPr>
              <w:widowControl/>
              <w:numPr>
                <w:ilvl w:val="0"/>
                <w:numId w:val="22"/>
              </w:numPr>
              <w:ind w:left="0" w:leftChars="0" w:firstLine="0" w:firstLineChars="0"/>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★投标产品制造商需通过ISO9001：2015质量管理体系认证(制造类)、ISO14001:2015 环境管理体系认证 (制造类)、ISO45001:2018职业健康安全管理体系认证 (制造类)，取得安全生产标准化企业三级或以上认证【以上需提供相应资料证明】；</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13</w:t>
            </w:r>
            <w:r>
              <w:rPr>
                <w:rFonts w:hint="eastAsia" w:ascii="宋体" w:hAnsi="宋体" w:cs="宋体"/>
                <w:kern w:val="0"/>
                <w:sz w:val="18"/>
                <w:szCs w:val="18"/>
                <w:highlight w:val="none"/>
                <w:lang w:bidi="ar"/>
              </w:rPr>
              <w:t>、★产品符合JB/T 6665-2018《轻小型柴油机-泵直联机组》、JB/T 6664-2017《自吸系》的检测要求，</w:t>
            </w:r>
            <w:r>
              <w:rPr>
                <w:rFonts w:hint="eastAsia" w:ascii="宋体" w:hAnsi="宋体" w:eastAsia="宋体" w:cs="宋体"/>
                <w:kern w:val="0"/>
                <w:sz w:val="18"/>
                <w:szCs w:val="18"/>
                <w:highlight w:val="none"/>
                <w:lang w:val="en-US" w:eastAsia="zh-CN" w:bidi="ar"/>
              </w:rPr>
              <w:t>须提供具备法定资质的</w:t>
            </w:r>
            <w:r>
              <w:rPr>
                <w:rFonts w:hint="eastAsia" w:ascii="宋体" w:hAnsi="宋体" w:cs="宋体"/>
                <w:kern w:val="0"/>
                <w:sz w:val="18"/>
                <w:szCs w:val="18"/>
                <w:highlight w:val="none"/>
                <w:lang w:val="en-US" w:eastAsia="zh-CN" w:bidi="ar"/>
              </w:rPr>
              <w:t>检测机构</w:t>
            </w:r>
            <w:r>
              <w:rPr>
                <w:rFonts w:hint="eastAsia" w:ascii="宋体" w:hAnsi="宋体" w:eastAsia="宋体" w:cs="宋体"/>
                <w:kern w:val="0"/>
                <w:sz w:val="18"/>
                <w:szCs w:val="18"/>
                <w:highlight w:val="none"/>
                <w:lang w:val="en-US" w:eastAsia="zh-CN" w:bidi="ar"/>
              </w:rPr>
              <w:t>出具的检测报告复印件</w:t>
            </w:r>
            <w:r>
              <w:rPr>
                <w:rFonts w:hint="eastAsia" w:ascii="宋体" w:hAnsi="宋体" w:cs="宋体"/>
                <w:kern w:val="0"/>
                <w:sz w:val="18"/>
                <w:szCs w:val="18"/>
                <w:highlight w:val="none"/>
                <w:lang w:bidi="ar"/>
              </w:rPr>
              <w:t>。</w:t>
            </w:r>
          </w:p>
        </w:tc>
      </w:tr>
      <w:tr>
        <w:tblPrEx>
          <w:tblCellMar>
            <w:top w:w="0" w:type="dxa"/>
            <w:left w:w="108" w:type="dxa"/>
            <w:bottom w:w="0" w:type="dxa"/>
            <w:right w:w="108" w:type="dxa"/>
          </w:tblCellMar>
        </w:tblPrEx>
        <w:trPr>
          <w:trHeight w:val="2673" w:hRule="atLeast"/>
        </w:trPr>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78</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t>01B079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sz w:val="20"/>
                <w:szCs w:val="20"/>
                <w:highlight w:val="none"/>
              </w:rPr>
            </w:pPr>
            <w:r>
              <w:rPr>
                <w:rFonts w:hint="eastAsia" w:ascii="宋体" w:hAnsi="宋体" w:cs="宋体"/>
                <w:kern w:val="0"/>
                <w:sz w:val="20"/>
                <w:szCs w:val="20"/>
                <w:highlight w:val="none"/>
                <w:lang w:bidi="ar"/>
              </w:rPr>
              <w:t>移动拖车式柴油机自吸水泵机组</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lang w:bidi="ar"/>
              </w:rPr>
              <w:t>台</w:t>
            </w:r>
          </w:p>
        </w:tc>
        <w:tc>
          <w:tcPr>
            <w:tcW w:w="7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lang w:bidi="ar"/>
              </w:rPr>
              <w:t>1</w:t>
            </w:r>
          </w:p>
        </w:tc>
        <w:tc>
          <w:tcPr>
            <w:tcW w:w="57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0"/>
              </w:numPr>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产品参数：</w:t>
            </w:r>
            <w:r>
              <w:rPr>
                <w:rFonts w:hint="eastAsia" w:ascii="宋体" w:hAnsi="宋体" w:cs="宋体"/>
                <w:kern w:val="0"/>
                <w:sz w:val="18"/>
                <w:szCs w:val="18"/>
                <w:highlight w:val="none"/>
                <w:lang w:bidi="ar"/>
              </w:rPr>
              <w:br w:type="textWrapping"/>
            </w:r>
            <w:r>
              <w:rPr>
                <w:rFonts w:hint="eastAsia" w:ascii="宋体" w:hAnsi="宋体" w:cs="宋体"/>
                <w:kern w:val="0"/>
                <w:sz w:val="18"/>
                <w:szCs w:val="18"/>
                <w:highlight w:val="none"/>
                <w:lang w:val="en-US" w:eastAsia="zh-CN" w:bidi="ar"/>
              </w:rPr>
              <w:t>1.</w:t>
            </w:r>
            <w:r>
              <w:rPr>
                <w:rFonts w:hint="eastAsia" w:ascii="宋体" w:hAnsi="宋体" w:cs="宋体"/>
                <w:kern w:val="0"/>
                <w:sz w:val="18"/>
                <w:szCs w:val="18"/>
                <w:highlight w:val="none"/>
                <w:lang w:bidi="ar"/>
              </w:rPr>
              <w:t>水泵机组参数：流量：</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300m3/h；扬程</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15</w:t>
            </w:r>
            <w:r>
              <w:rPr>
                <w:rFonts w:hint="eastAsia" w:ascii="宋体" w:hAnsi="宋体" w:cs="宋体"/>
                <w:kern w:val="0"/>
                <w:sz w:val="18"/>
                <w:szCs w:val="18"/>
                <w:highlight w:val="none"/>
                <w:lang w:val="en-US" w:eastAsia="zh-CN" w:bidi="ar"/>
              </w:rPr>
              <w:t>0</w:t>
            </w:r>
            <w:r>
              <w:rPr>
                <w:rFonts w:hint="eastAsia" w:ascii="宋体" w:hAnsi="宋体" w:cs="宋体"/>
                <w:kern w:val="0"/>
                <w:sz w:val="18"/>
                <w:szCs w:val="18"/>
                <w:highlight w:val="none"/>
                <w:lang w:bidi="ar"/>
              </w:rPr>
              <w:t>M；</w:t>
            </w:r>
          </w:p>
          <w:p>
            <w:pPr>
              <w:widowControl/>
              <w:numPr>
                <w:ilvl w:val="0"/>
                <w:numId w:val="18"/>
              </w:numPr>
              <w:ind w:left="0" w:leftChars="0" w:firstLine="0" w:firstLineChars="0"/>
              <w:jc w:val="left"/>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柴油机技术参数：额定电压：400V左右；额定电流</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2</w:t>
            </w:r>
            <w:r>
              <w:rPr>
                <w:rFonts w:hint="eastAsia" w:ascii="宋体" w:hAnsi="宋体" w:cs="宋体"/>
                <w:kern w:val="0"/>
                <w:sz w:val="18"/>
                <w:szCs w:val="18"/>
                <w:highlight w:val="none"/>
                <w:lang w:val="en-US" w:eastAsia="zh-CN" w:bidi="ar"/>
              </w:rPr>
              <w:t>10</w:t>
            </w:r>
            <w:r>
              <w:rPr>
                <w:rFonts w:hint="eastAsia" w:ascii="宋体" w:hAnsi="宋体" w:cs="宋体"/>
                <w:kern w:val="0"/>
                <w:sz w:val="18"/>
                <w:szCs w:val="18"/>
                <w:highlight w:val="none"/>
                <w:lang w:bidi="ar"/>
              </w:rPr>
              <w:t>A；功率</w:t>
            </w:r>
            <w:r>
              <w:rPr>
                <w:rFonts w:hint="eastAsia" w:ascii="宋体" w:hAnsi="宋体" w:cs="宋体"/>
                <w:kern w:val="0"/>
                <w:sz w:val="18"/>
                <w:szCs w:val="18"/>
                <w:highlight w:val="none"/>
                <w:lang w:val="en-US" w:eastAsia="zh-CN" w:bidi="ar"/>
              </w:rPr>
              <w:t>约</w:t>
            </w:r>
            <w:r>
              <w:rPr>
                <w:rFonts w:hint="eastAsia" w:ascii="宋体" w:hAnsi="宋体" w:cs="宋体"/>
                <w:kern w:val="0"/>
                <w:sz w:val="18"/>
                <w:szCs w:val="18"/>
                <w:highlight w:val="none"/>
                <w:lang w:bidi="ar"/>
              </w:rPr>
              <w:t>5</w:t>
            </w:r>
            <w:r>
              <w:rPr>
                <w:rFonts w:hint="eastAsia" w:ascii="宋体" w:hAnsi="宋体" w:cs="宋体"/>
                <w:kern w:val="0"/>
                <w:sz w:val="18"/>
                <w:szCs w:val="18"/>
                <w:highlight w:val="none"/>
                <w:lang w:val="en-US" w:eastAsia="zh-CN" w:bidi="ar"/>
              </w:rPr>
              <w:t>5</w:t>
            </w:r>
            <w:r>
              <w:rPr>
                <w:rFonts w:hint="eastAsia" w:ascii="宋体" w:hAnsi="宋体" w:cs="宋体"/>
                <w:kern w:val="0"/>
                <w:sz w:val="18"/>
                <w:szCs w:val="18"/>
                <w:highlight w:val="none"/>
                <w:lang w:bidi="ar"/>
              </w:rPr>
              <w:t>KW；吸气方式：涡轮增压；柴油机缸数：直列4缸；调速系统:机械调速；交流充电机：DC24V；启动方式：蓄电池；冷却方式：风扇水循环冷却；</w:t>
            </w:r>
          </w:p>
          <w:p>
            <w:pPr>
              <w:pStyle w:val="36"/>
              <w:numPr>
                <w:ilvl w:val="0"/>
                <w:numId w:val="18"/>
              </w:numPr>
              <w:ind w:left="0" w:leftChars="0" w:firstLine="0" w:firstLineChars="0"/>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★须提供具备法定资质的检测机构出具的检测报告</w:t>
            </w:r>
          </w:p>
          <w:p>
            <w:pPr>
              <w:widowControl/>
              <w:numPr>
                <w:ilvl w:val="0"/>
                <w:numId w:val="0"/>
              </w:numPr>
              <w:jc w:val="left"/>
              <w:textAlignment w:val="center"/>
              <w:rPr>
                <w:rFonts w:ascii="宋体" w:hAnsi="宋体" w:cs="宋体"/>
                <w:sz w:val="18"/>
                <w:szCs w:val="18"/>
                <w:highlight w:val="none"/>
              </w:rPr>
            </w:pPr>
            <w:r>
              <w:rPr>
                <w:rFonts w:hint="eastAsia" w:ascii="宋体" w:hAnsi="宋体" w:cs="宋体"/>
                <w:kern w:val="0"/>
                <w:sz w:val="18"/>
                <w:szCs w:val="18"/>
                <w:highlight w:val="none"/>
                <w:lang w:bidi="ar"/>
              </w:rPr>
              <w:br w:type="textWrapping"/>
            </w:r>
          </w:p>
        </w:tc>
      </w:tr>
    </w:tbl>
    <w:p>
      <w:pPr>
        <w:keepNext w:val="0"/>
        <w:keepLines w:val="0"/>
        <w:pageBreakBefore w:val="0"/>
        <w:widowControl w:val="0"/>
        <w:kinsoku/>
        <w:wordWrap/>
        <w:topLinePunct w:val="0"/>
        <w:bidi w:val="0"/>
        <w:snapToGrid w:val="0"/>
        <w:spacing w:line="360" w:lineRule="auto"/>
        <w:ind w:firstLine="422" w:firstLineChars="200"/>
        <w:rPr>
          <w:rFonts w:hint="eastAsia" w:ascii="宋体" w:hAnsi="宋体" w:eastAsia="宋体" w:cs="宋体"/>
          <w:b/>
          <w:color w:val="auto"/>
          <w:kern w:val="0"/>
          <w:sz w:val="21"/>
          <w:szCs w:val="21"/>
          <w:highlight w:val="none"/>
          <w:lang w:val="zh-CN"/>
        </w:rPr>
      </w:pPr>
    </w:p>
    <w:p>
      <w:pPr>
        <w:keepNext w:val="0"/>
        <w:keepLines w:val="0"/>
        <w:pageBreakBefore w:val="0"/>
        <w:widowControl w:val="0"/>
        <w:kinsoku/>
        <w:wordWrap/>
        <w:topLinePunct w:val="0"/>
        <w:bidi w:val="0"/>
        <w:snapToGrid w:val="0"/>
        <w:spacing w:line="36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color w:val="auto"/>
          <w:kern w:val="0"/>
          <w:sz w:val="21"/>
          <w:szCs w:val="21"/>
          <w:highlight w:val="none"/>
          <w:lang w:val="zh-CN"/>
        </w:rPr>
        <w:t>注：以上标准如有新的标准应采纳新标准。</w:t>
      </w:r>
    </w:p>
    <w:p>
      <w:pPr>
        <w:pStyle w:val="23"/>
        <w:ind w:left="0" w:leftChars="0"/>
      </w:pPr>
    </w:p>
    <w:p>
      <w:pPr>
        <w:widowControl/>
        <w:spacing w:line="480" w:lineRule="exact"/>
        <w:ind w:firstLine="211" w:firstLineChars="100"/>
        <w:outlineLvl w:val="1"/>
        <w:rPr>
          <w:rFonts w:ascii="宋体" w:hAnsi="宋体" w:cs="宋体"/>
          <w:b/>
          <w:szCs w:val="21"/>
        </w:rPr>
      </w:pPr>
      <w:r>
        <w:rPr>
          <w:rFonts w:hint="eastAsia" w:ascii="宋体" w:hAnsi="宋体" w:cs="宋体"/>
          <w:b/>
          <w:szCs w:val="21"/>
          <w:lang w:val="en-US" w:eastAsia="zh-CN"/>
        </w:rPr>
        <w:t>三</w:t>
      </w:r>
      <w:r>
        <w:rPr>
          <w:rFonts w:hint="eastAsia" w:ascii="宋体" w:hAnsi="宋体" w:cs="宋体"/>
          <w:b/>
          <w:szCs w:val="21"/>
        </w:rPr>
        <w:t>、商务要求</w:t>
      </w:r>
    </w:p>
    <w:p>
      <w:pPr>
        <w:spacing w:line="440" w:lineRule="exact"/>
        <w:ind w:firstLine="420" w:firstLineChars="200"/>
        <w:jc w:val="left"/>
        <w:rPr>
          <w:rFonts w:ascii="宋体" w:hAnsi="宋体" w:cs="宋体"/>
          <w:szCs w:val="21"/>
          <w:lang w:bidi="en-US"/>
        </w:rPr>
      </w:pPr>
      <w:r>
        <w:rPr>
          <w:rFonts w:hint="eastAsia" w:ascii="宋体" w:hAnsi="宋体" w:cs="宋体"/>
          <w:szCs w:val="21"/>
        </w:rPr>
        <w:t>▲</w:t>
      </w:r>
      <w:r>
        <w:rPr>
          <w:rFonts w:hint="eastAsia" w:ascii="宋体" w:hAnsi="宋体" w:cs="宋体"/>
          <w:szCs w:val="21"/>
          <w:lang w:bidi="en-US"/>
        </w:rPr>
        <w:t>1.成交供应商在成交公告发布后三个工作日内须按采购文件要求提供第三方检测报告原件交采购人审核，如未按时提供原件或者提供虚假伪造资料，一律按提供虚假材料处理，并上报监管部门取消中标资格。</w:t>
      </w:r>
    </w:p>
    <w:p>
      <w:pPr>
        <w:spacing w:line="480" w:lineRule="exact"/>
        <w:ind w:firstLine="420" w:firstLineChars="200"/>
        <w:rPr>
          <w:rFonts w:ascii="宋体" w:hAnsi="宋体" w:cs="宋体"/>
          <w:szCs w:val="21"/>
        </w:rPr>
      </w:pPr>
      <w:r>
        <w:rPr>
          <w:rFonts w:hint="eastAsia" w:ascii="宋体" w:hAnsi="宋体" w:cs="宋体"/>
          <w:szCs w:val="21"/>
        </w:rPr>
        <w:t>2.交货日期：合同签订后</w:t>
      </w:r>
      <w:r>
        <w:rPr>
          <w:rFonts w:hint="eastAsia" w:ascii="宋体" w:hAnsi="宋体" w:cs="宋体"/>
          <w:szCs w:val="21"/>
          <w:u w:val="single"/>
        </w:rPr>
        <w:t>20</w:t>
      </w:r>
      <w:r>
        <w:rPr>
          <w:rFonts w:hint="eastAsia" w:ascii="宋体" w:hAnsi="宋体" w:cs="宋体"/>
          <w:szCs w:val="21"/>
        </w:rPr>
        <w:t>日历天内按采购人要求完成供货、安装，验收合格、交付使用。</w:t>
      </w:r>
    </w:p>
    <w:p>
      <w:pPr>
        <w:spacing w:line="480" w:lineRule="exact"/>
        <w:ind w:firstLine="420" w:firstLineChars="200"/>
        <w:rPr>
          <w:rFonts w:ascii="宋体" w:hAnsi="宋体" w:cs="宋体"/>
          <w:szCs w:val="21"/>
        </w:rPr>
      </w:pPr>
      <w:r>
        <w:rPr>
          <w:rFonts w:hint="eastAsia" w:ascii="宋体" w:hAnsi="宋体" w:cs="宋体"/>
          <w:szCs w:val="21"/>
        </w:rPr>
        <w:t>3.交货地点：采购人指定地点</w:t>
      </w:r>
      <w:r>
        <w:rPr>
          <w:rFonts w:hint="eastAsia" w:ascii="宋体" w:hAnsi="宋体" w:cs="宋体"/>
          <w:szCs w:val="21"/>
          <w:lang w:bidi="en-US"/>
        </w:rPr>
        <w:t>。</w:t>
      </w:r>
    </w:p>
    <w:p>
      <w:pPr>
        <w:widowControl/>
        <w:spacing w:line="480" w:lineRule="exact"/>
        <w:ind w:firstLine="422" w:firstLineChars="200"/>
        <w:outlineLvl w:val="1"/>
        <w:rPr>
          <w:rFonts w:ascii="宋体" w:hAnsi="宋体" w:cs="宋体"/>
          <w:szCs w:val="21"/>
        </w:rPr>
      </w:pPr>
      <w:r>
        <w:rPr>
          <w:rFonts w:hint="eastAsia" w:ascii="宋体" w:hAnsi="宋体" w:cs="宋体"/>
          <w:b/>
          <w:szCs w:val="21"/>
        </w:rPr>
        <w:t>五、项目实施要求</w:t>
      </w:r>
    </w:p>
    <w:p>
      <w:pPr>
        <w:spacing w:line="440" w:lineRule="exact"/>
        <w:ind w:firstLine="422" w:firstLineChars="200"/>
        <w:rPr>
          <w:rFonts w:ascii="宋体" w:hAnsi="宋体" w:cs="宋体"/>
          <w:b/>
          <w:bCs/>
          <w:szCs w:val="21"/>
        </w:rPr>
      </w:pPr>
      <w:r>
        <w:rPr>
          <w:rFonts w:hint="eastAsia" w:ascii="宋体" w:hAnsi="宋体" w:cs="宋体"/>
          <w:b/>
          <w:bCs/>
          <w:szCs w:val="21"/>
        </w:rPr>
        <w:t>（一）运输</w:t>
      </w:r>
    </w:p>
    <w:p>
      <w:pPr>
        <w:spacing w:line="440" w:lineRule="exact"/>
        <w:ind w:firstLine="420" w:firstLineChars="200"/>
        <w:rPr>
          <w:rFonts w:ascii="宋体" w:hAnsi="宋体" w:cs="宋体"/>
          <w:szCs w:val="21"/>
        </w:rPr>
      </w:pPr>
      <w:r>
        <w:rPr>
          <w:rFonts w:hint="eastAsia" w:ascii="宋体" w:hAnsi="宋体" w:cs="宋体"/>
          <w:szCs w:val="21"/>
        </w:rPr>
        <w:t>运输过程中应避免雨淋、受潮、暴晒、剧烈碰撞，并采取能够保证产品在运输装卸过程中完好无损的防护措施；不得与有毒、有异味或影响产品质量的物品混装。</w:t>
      </w:r>
    </w:p>
    <w:p>
      <w:pPr>
        <w:spacing w:line="440" w:lineRule="exact"/>
        <w:ind w:firstLine="422" w:firstLineChars="200"/>
        <w:rPr>
          <w:rFonts w:ascii="宋体" w:hAnsi="宋体" w:cs="宋体"/>
          <w:b/>
          <w:bCs/>
          <w:szCs w:val="21"/>
        </w:rPr>
      </w:pPr>
      <w:r>
        <w:rPr>
          <w:rFonts w:hint="eastAsia" w:ascii="宋体" w:hAnsi="宋体" w:cs="宋体"/>
          <w:b/>
          <w:bCs/>
          <w:szCs w:val="21"/>
        </w:rPr>
        <w:t>（二）贮存</w:t>
      </w:r>
    </w:p>
    <w:p>
      <w:pPr>
        <w:spacing w:line="440" w:lineRule="exact"/>
        <w:ind w:firstLine="420" w:firstLineChars="200"/>
        <w:rPr>
          <w:rFonts w:ascii="宋体" w:hAnsi="宋体" w:cs="宋体"/>
          <w:szCs w:val="21"/>
        </w:rPr>
      </w:pPr>
      <w:r>
        <w:rPr>
          <w:rFonts w:hint="eastAsia" w:ascii="宋体" w:hAnsi="宋体" w:cs="宋体"/>
          <w:szCs w:val="21"/>
        </w:rPr>
        <w:t>应贮存在干燥、通风的环境中，应码放在货架上，货架距地面高度不得低于20cm。不得与有毒、有害、有腐蚀性、或影响产品质量的物品一起贮存。</w:t>
      </w:r>
    </w:p>
    <w:p>
      <w:pPr>
        <w:widowControl/>
        <w:spacing w:line="480" w:lineRule="exact"/>
        <w:ind w:firstLine="422" w:firstLineChars="200"/>
        <w:outlineLvl w:val="1"/>
        <w:rPr>
          <w:rFonts w:ascii="宋体" w:hAnsi="宋体" w:cs="宋体"/>
          <w:b/>
          <w:szCs w:val="21"/>
          <w:lang w:val="zh-CN"/>
        </w:rPr>
      </w:pPr>
      <w:r>
        <w:rPr>
          <w:rFonts w:hint="eastAsia" w:ascii="宋体" w:hAnsi="宋体" w:cs="宋体"/>
          <w:b/>
          <w:szCs w:val="21"/>
        </w:rPr>
        <w:t>六、</w:t>
      </w:r>
      <w:r>
        <w:rPr>
          <w:rFonts w:hint="eastAsia" w:ascii="宋体" w:hAnsi="宋体" w:cs="宋体"/>
          <w:b/>
          <w:szCs w:val="21"/>
          <w:lang w:val="zh-CN"/>
        </w:rPr>
        <w:t>售后服务要求</w:t>
      </w:r>
    </w:p>
    <w:p>
      <w:pPr>
        <w:spacing w:line="440" w:lineRule="exact"/>
        <w:ind w:firstLine="422" w:firstLineChars="200"/>
        <w:rPr>
          <w:rFonts w:ascii="宋体" w:hAnsi="宋体" w:cs="宋体"/>
          <w:szCs w:val="21"/>
        </w:rPr>
      </w:pPr>
      <w:r>
        <w:rPr>
          <w:rFonts w:hint="eastAsia" w:ascii="宋体" w:hAnsi="宋体" w:cs="宋体"/>
          <w:b/>
          <w:bCs/>
          <w:szCs w:val="21"/>
        </w:rPr>
        <w:t>（一）质保内：</w:t>
      </w:r>
      <w:r>
        <w:rPr>
          <w:rFonts w:hint="eastAsia" w:ascii="宋体" w:hAnsi="宋体" w:cs="宋体"/>
          <w:szCs w:val="21"/>
        </w:rPr>
        <w:t>包修、包换、包退，直至符合质量要求；因不能排除的故障而影响工作的情况每发生一次其质保期相</w:t>
      </w:r>
      <w:r>
        <w:rPr>
          <w:rFonts w:hint="eastAsia" w:ascii="宋体" w:hAnsi="宋体" w:cs="宋体"/>
          <w:b/>
          <w:bCs/>
          <w:szCs w:val="21"/>
        </w:rPr>
        <w:t>应延长90天</w:t>
      </w:r>
      <w:r>
        <w:rPr>
          <w:rFonts w:hint="eastAsia" w:ascii="宋体" w:hAnsi="宋体" w:cs="宋体"/>
          <w:szCs w:val="21"/>
        </w:rPr>
        <w:t>；因货物本身缺陷造成各种故障由中标人</w:t>
      </w:r>
      <w:r>
        <w:rPr>
          <w:rFonts w:hint="eastAsia" w:ascii="宋体" w:hAnsi="宋体" w:cs="宋体"/>
          <w:b/>
          <w:bCs/>
          <w:szCs w:val="21"/>
        </w:rPr>
        <w:t>免费</w:t>
      </w:r>
      <w:r>
        <w:rPr>
          <w:rFonts w:hint="eastAsia" w:ascii="宋体" w:hAnsi="宋体" w:cs="宋体"/>
          <w:szCs w:val="21"/>
        </w:rPr>
        <w:t>予以更换；每年</w:t>
      </w:r>
      <w:r>
        <w:rPr>
          <w:rFonts w:hint="eastAsia" w:ascii="宋体" w:hAnsi="宋体" w:cs="宋体"/>
          <w:b/>
          <w:bCs/>
          <w:szCs w:val="21"/>
        </w:rPr>
        <w:t>≥2次</w:t>
      </w:r>
      <w:r>
        <w:rPr>
          <w:rFonts w:hint="eastAsia" w:ascii="宋体" w:hAnsi="宋体" w:cs="宋体"/>
          <w:szCs w:val="21"/>
        </w:rPr>
        <w:t xml:space="preserve">定期上门维护保养。若问题、故障在检修 </w:t>
      </w:r>
      <w:r>
        <w:rPr>
          <w:rFonts w:hint="eastAsia" w:ascii="宋体" w:hAnsi="宋体" w:cs="宋体"/>
          <w:szCs w:val="21"/>
          <w:u w:val="single"/>
        </w:rPr>
        <w:t xml:space="preserve"> 1 </w:t>
      </w:r>
      <w:r>
        <w:rPr>
          <w:rFonts w:hint="eastAsia" w:ascii="宋体" w:hAnsi="宋体" w:cs="宋体"/>
          <w:szCs w:val="21"/>
        </w:rPr>
        <w:t>工作日后仍无法解决，乙方应在</w:t>
      </w:r>
      <w:r>
        <w:rPr>
          <w:rFonts w:hint="eastAsia" w:ascii="宋体" w:hAnsi="宋体" w:cs="宋体"/>
          <w:szCs w:val="21"/>
          <w:u w:val="single"/>
        </w:rPr>
        <w:t xml:space="preserve"> 1 </w:t>
      </w:r>
      <w:r>
        <w:rPr>
          <w:rFonts w:hint="eastAsia" w:ascii="宋体" w:hAnsi="宋体" w:cs="宋体"/>
          <w:szCs w:val="21"/>
        </w:rPr>
        <w:t>日内免费提供不低于故障货物规格型号档次的备用货物供甲方使用，直至故障货物修复。</w:t>
      </w:r>
    </w:p>
    <w:p>
      <w:pPr>
        <w:spacing w:line="440" w:lineRule="exact"/>
        <w:ind w:firstLine="422" w:firstLineChars="200"/>
        <w:rPr>
          <w:rFonts w:ascii="宋体" w:hAnsi="宋体" w:cs="宋体"/>
          <w:szCs w:val="21"/>
        </w:rPr>
      </w:pPr>
      <w:r>
        <w:rPr>
          <w:rFonts w:hint="eastAsia" w:ascii="宋体" w:hAnsi="宋体" w:cs="宋体"/>
          <w:b/>
          <w:bCs/>
          <w:szCs w:val="21"/>
        </w:rPr>
        <w:t>（二）质保外：</w:t>
      </w:r>
      <w:r>
        <w:rPr>
          <w:rFonts w:hint="eastAsia" w:ascii="宋体" w:hAnsi="宋体" w:cs="宋体"/>
          <w:szCs w:val="21"/>
        </w:rPr>
        <w:t>实行有偿服务，仅收取成本费（按一定折扣的优惠价格，注明折扣率），免人工费、差旅费。</w:t>
      </w:r>
    </w:p>
    <w:p>
      <w:pPr>
        <w:spacing w:line="440" w:lineRule="exact"/>
        <w:ind w:firstLine="422" w:firstLineChars="200"/>
        <w:rPr>
          <w:rFonts w:ascii="宋体" w:hAnsi="宋体" w:cs="宋体"/>
          <w:szCs w:val="21"/>
        </w:rPr>
      </w:pPr>
      <w:r>
        <w:rPr>
          <w:rFonts w:hint="eastAsia" w:ascii="宋体" w:hAnsi="宋体" w:cs="宋体"/>
          <w:b/>
          <w:bCs/>
          <w:szCs w:val="21"/>
        </w:rPr>
        <w:t>（三）备品备件：</w:t>
      </w:r>
      <w:r>
        <w:rPr>
          <w:rFonts w:hint="eastAsia" w:ascii="宋体" w:hAnsi="宋体" w:cs="宋体"/>
          <w:szCs w:val="21"/>
        </w:rPr>
        <w:t>投标人投标时应列出易损件清单，包括名称、安装部位、更换周期和价格。</w:t>
      </w:r>
    </w:p>
    <w:p>
      <w:pPr>
        <w:spacing w:line="440" w:lineRule="exact"/>
        <w:ind w:firstLine="422" w:firstLineChars="200"/>
        <w:rPr>
          <w:rFonts w:ascii="宋体" w:hAnsi="宋体" w:cs="宋体"/>
          <w:kern w:val="0"/>
          <w:szCs w:val="21"/>
        </w:rPr>
      </w:pPr>
      <w:r>
        <w:rPr>
          <w:rFonts w:hint="eastAsia" w:ascii="宋体" w:hAnsi="宋体" w:cs="宋体"/>
          <w:b/>
          <w:bCs/>
          <w:szCs w:val="21"/>
        </w:rPr>
        <w:t>（四）</w:t>
      </w:r>
      <w:r>
        <w:rPr>
          <w:rFonts w:hint="eastAsia" w:ascii="宋体" w:hAnsi="宋体" w:cs="宋体"/>
          <w:b/>
          <w:bCs/>
          <w:szCs w:val="21"/>
          <w:lang w:val="zh-CN"/>
        </w:rPr>
        <w:t>应急保障：</w:t>
      </w:r>
      <w:r>
        <w:rPr>
          <w:rFonts w:hint="eastAsia" w:ascii="宋体" w:hAnsi="宋体" w:cs="宋体"/>
          <w:kern w:val="0"/>
          <w:szCs w:val="21"/>
        </w:rPr>
        <w:t>针对突发事件（如发现货品质量问题、因不可抗力无法按时送货等），</w:t>
      </w:r>
      <w:r>
        <w:rPr>
          <w:rFonts w:hint="eastAsia" w:ascii="宋体" w:hAnsi="宋体" w:cs="宋体"/>
          <w:szCs w:val="21"/>
          <w:lang w:bidi="en-US"/>
        </w:rPr>
        <w:t>从接到通知时起，应急响应不超过1小时，2小时内提出解决方案，3小时内派维修人员到达现场维修。若在12小时内仍未能有效解决，中标人须免费提供同档次的设备予采购人临时使用。</w:t>
      </w:r>
    </w:p>
    <w:p>
      <w:pPr>
        <w:widowControl/>
        <w:spacing w:line="480" w:lineRule="exact"/>
        <w:ind w:firstLine="422" w:firstLineChars="200"/>
        <w:outlineLvl w:val="1"/>
        <w:rPr>
          <w:rFonts w:ascii="宋体" w:hAnsi="宋体" w:cs="宋体"/>
          <w:b/>
          <w:szCs w:val="21"/>
        </w:rPr>
      </w:pPr>
      <w:r>
        <w:rPr>
          <w:rFonts w:hint="eastAsia" w:ascii="宋体" w:hAnsi="宋体" w:cs="宋体"/>
          <w:b/>
          <w:szCs w:val="21"/>
        </w:rPr>
        <w:t>七、质保期</w:t>
      </w:r>
    </w:p>
    <w:p>
      <w:pPr>
        <w:spacing w:line="480" w:lineRule="exact"/>
        <w:ind w:firstLine="411" w:firstLineChars="196"/>
        <w:rPr>
          <w:rFonts w:ascii="宋体" w:hAnsi="宋体" w:cs="宋体"/>
          <w:kern w:val="0"/>
          <w:szCs w:val="21"/>
        </w:rPr>
      </w:pPr>
      <w:r>
        <w:rPr>
          <w:rFonts w:hint="eastAsia" w:ascii="宋体" w:hAnsi="宋体" w:cs="宋体"/>
          <w:kern w:val="0"/>
          <w:szCs w:val="21"/>
        </w:rPr>
        <w:t>所有设备以及项目整体免费质量保证期至少二年（24个月）。质量保证期从采购人验收通过之日起算。质保期内本次采购的货物出现非人为因素破坏造成的损坏、故障，均由供应商负责维修与更换，维修或更换后达到使用要求效果。</w:t>
      </w:r>
    </w:p>
    <w:p>
      <w:pPr>
        <w:widowControl/>
        <w:spacing w:line="480" w:lineRule="exact"/>
        <w:ind w:firstLine="422" w:firstLineChars="200"/>
        <w:outlineLvl w:val="1"/>
        <w:rPr>
          <w:rFonts w:ascii="宋体" w:hAnsi="宋体" w:cs="宋体"/>
          <w:b/>
          <w:szCs w:val="21"/>
          <w:lang w:eastAsia="en-US"/>
        </w:rPr>
      </w:pPr>
      <w:r>
        <w:rPr>
          <w:rFonts w:hint="eastAsia" w:ascii="宋体" w:hAnsi="宋体" w:cs="宋体"/>
          <w:b/>
          <w:bCs/>
          <w:kern w:val="0"/>
          <w:szCs w:val="21"/>
        </w:rPr>
        <w:t>八、</w:t>
      </w:r>
      <w:r>
        <w:rPr>
          <w:rFonts w:hint="eastAsia" w:ascii="宋体" w:hAnsi="宋体" w:cs="宋体"/>
          <w:b/>
          <w:szCs w:val="21"/>
        </w:rPr>
        <w:t>操作及</w:t>
      </w:r>
      <w:r>
        <w:rPr>
          <w:rFonts w:hint="eastAsia" w:ascii="宋体" w:hAnsi="宋体" w:cs="宋体"/>
          <w:b/>
          <w:szCs w:val="21"/>
          <w:lang w:eastAsia="en-US"/>
        </w:rPr>
        <w:t>培训</w:t>
      </w:r>
    </w:p>
    <w:p>
      <w:pPr>
        <w:spacing w:line="440" w:lineRule="exact"/>
        <w:ind w:firstLine="420" w:firstLineChars="200"/>
        <w:jc w:val="left"/>
        <w:rPr>
          <w:rFonts w:ascii="宋体" w:hAnsi="宋体" w:cs="宋体"/>
          <w:szCs w:val="21"/>
          <w:lang w:bidi="en-US"/>
        </w:rPr>
      </w:pPr>
      <w:r>
        <w:rPr>
          <w:rFonts w:hint="eastAsia" w:ascii="宋体" w:hAnsi="宋体" w:cs="宋体"/>
          <w:szCs w:val="21"/>
          <w:lang w:bidi="en-US"/>
        </w:rPr>
        <w:t>中标人应对采购人的相关人员免费进行培训，使其能对合同货物进行日常操作使用及日常维护、一般故障进行维修。</w:t>
      </w:r>
    </w:p>
    <w:p>
      <w:pPr>
        <w:widowControl/>
        <w:spacing w:line="480" w:lineRule="exact"/>
        <w:ind w:firstLine="422" w:firstLineChars="200"/>
        <w:outlineLvl w:val="1"/>
        <w:rPr>
          <w:rFonts w:ascii="宋体" w:hAnsi="宋体" w:cs="宋体"/>
          <w:b/>
          <w:szCs w:val="21"/>
        </w:rPr>
      </w:pPr>
      <w:r>
        <w:rPr>
          <w:rFonts w:hint="eastAsia" w:ascii="宋体" w:hAnsi="宋体" w:cs="宋体"/>
          <w:b/>
          <w:szCs w:val="21"/>
        </w:rPr>
        <w:t>九、付款方式</w:t>
      </w:r>
    </w:p>
    <w:p>
      <w:pPr>
        <w:spacing w:line="480" w:lineRule="exact"/>
        <w:ind w:firstLine="411" w:firstLineChars="196"/>
        <w:rPr>
          <w:rFonts w:ascii="宋体" w:hAnsi="宋体" w:cs="宋体"/>
          <w:kern w:val="0"/>
          <w:szCs w:val="21"/>
        </w:rPr>
      </w:pPr>
      <w:r>
        <w:rPr>
          <w:rFonts w:hint="eastAsia" w:ascii="宋体" w:hAnsi="宋体" w:cs="宋体"/>
          <w:kern w:val="0"/>
          <w:szCs w:val="21"/>
          <w:lang w:val="zh-CN"/>
        </w:rPr>
        <w:t>合同签</w:t>
      </w:r>
      <w:r>
        <w:rPr>
          <w:rFonts w:hint="eastAsia" w:ascii="宋体" w:hAnsi="宋体" w:cs="宋体"/>
          <w:szCs w:val="21"/>
          <w:lang w:val="zh-CN" w:bidi="en-US"/>
        </w:rPr>
        <w:t>订后</w:t>
      </w:r>
      <w:r>
        <w:rPr>
          <w:rFonts w:hint="eastAsia" w:ascii="宋体" w:hAnsi="宋体" w:cs="宋体"/>
          <w:szCs w:val="21"/>
          <w:lang w:bidi="en-US"/>
        </w:rPr>
        <w:t>20</w:t>
      </w:r>
      <w:r>
        <w:rPr>
          <w:rFonts w:hint="eastAsia" w:ascii="宋体" w:hAnsi="宋体" w:cs="宋体"/>
          <w:szCs w:val="21"/>
          <w:lang w:val="zh-CN" w:bidi="en-US"/>
        </w:rPr>
        <w:t>个工作日内</w:t>
      </w:r>
      <w:r>
        <w:rPr>
          <w:rFonts w:hint="eastAsia" w:ascii="宋体" w:hAnsi="宋体" w:cs="宋体"/>
          <w:szCs w:val="21"/>
          <w:lang w:bidi="en-US"/>
        </w:rPr>
        <w:t>支付合同总金额的40%作为预付款</w:t>
      </w:r>
      <w:r>
        <w:rPr>
          <w:rFonts w:hint="eastAsia" w:ascii="宋体" w:hAnsi="宋体" w:cs="宋体"/>
          <w:szCs w:val="21"/>
          <w:lang w:val="zh-CN" w:bidi="en-US"/>
        </w:rPr>
        <w:t>；项目验收合格后</w:t>
      </w:r>
      <w:r>
        <w:rPr>
          <w:rFonts w:hint="eastAsia" w:ascii="宋体" w:hAnsi="宋体" w:cs="宋体"/>
          <w:szCs w:val="21"/>
          <w:lang w:bidi="en-US"/>
        </w:rPr>
        <w:t>7</w:t>
      </w:r>
      <w:r>
        <w:rPr>
          <w:rFonts w:hint="eastAsia" w:ascii="宋体" w:hAnsi="宋体" w:cs="宋体"/>
          <w:szCs w:val="21"/>
          <w:lang w:val="zh-CN" w:bidi="en-US"/>
        </w:rPr>
        <w:t>个工作日内支付合同总金额的</w:t>
      </w:r>
      <w:r>
        <w:rPr>
          <w:rFonts w:hint="eastAsia" w:ascii="宋体" w:hAnsi="宋体" w:cs="宋体"/>
          <w:szCs w:val="21"/>
          <w:lang w:bidi="en-US"/>
        </w:rPr>
        <w:t>60</w:t>
      </w:r>
      <w:r>
        <w:rPr>
          <w:rFonts w:hint="eastAsia" w:ascii="宋体" w:hAnsi="宋体" w:cs="宋体"/>
          <w:szCs w:val="21"/>
          <w:lang w:val="zh-CN" w:bidi="en-US"/>
        </w:rPr>
        <w:t>%</w:t>
      </w:r>
      <w:r>
        <w:rPr>
          <w:rFonts w:hint="eastAsia" w:ascii="宋体" w:hAnsi="宋体" w:cs="宋体"/>
          <w:szCs w:val="21"/>
          <w:lang w:bidi="en-US"/>
        </w:rPr>
        <w:t>。供应商向采购人办理货款结算手续时须提供正式发票。</w:t>
      </w:r>
    </w:p>
    <w:p>
      <w:pPr>
        <w:pStyle w:val="26"/>
        <w:spacing w:beforeAutospacing="0" w:afterAutospacing="0" w:line="480" w:lineRule="exact"/>
        <w:ind w:firstLine="422" w:firstLineChars="200"/>
        <w:jc w:val="both"/>
        <w:outlineLvl w:val="0"/>
        <w:rPr>
          <w:rFonts w:cs="宋体"/>
          <w:b/>
          <w:sz w:val="21"/>
          <w:szCs w:val="21"/>
          <w:lang w:bidi="en-US"/>
        </w:rPr>
      </w:pPr>
      <w:r>
        <w:rPr>
          <w:rFonts w:hint="eastAsia" w:cs="宋体"/>
          <w:b/>
          <w:sz w:val="21"/>
          <w:szCs w:val="21"/>
          <w:lang w:bidi="en-US"/>
        </w:rPr>
        <w:t>十、验收</w:t>
      </w:r>
    </w:p>
    <w:p>
      <w:pPr>
        <w:spacing w:line="440" w:lineRule="exact"/>
        <w:ind w:firstLine="420" w:firstLineChars="200"/>
        <w:jc w:val="left"/>
        <w:rPr>
          <w:rFonts w:ascii="宋体" w:hAnsi="宋体" w:cs="宋体"/>
          <w:szCs w:val="21"/>
          <w:lang w:bidi="en-US"/>
        </w:rPr>
      </w:pPr>
      <w:r>
        <w:rPr>
          <w:rFonts w:hint="eastAsia" w:ascii="宋体" w:hAnsi="宋体" w:cs="宋体"/>
          <w:szCs w:val="21"/>
          <w:lang w:bidi="en-US"/>
        </w:rPr>
        <w:t>（1）中标人提供所有合同中规定的货物和材料是全新的，未曾使用过的。</w:t>
      </w:r>
    </w:p>
    <w:p>
      <w:pPr>
        <w:spacing w:line="440" w:lineRule="exact"/>
        <w:ind w:firstLine="420" w:firstLineChars="200"/>
        <w:jc w:val="left"/>
        <w:rPr>
          <w:rFonts w:ascii="宋体" w:hAnsi="宋体" w:cs="宋体"/>
          <w:szCs w:val="21"/>
          <w:lang w:bidi="en-US"/>
        </w:rPr>
      </w:pPr>
      <w:r>
        <w:rPr>
          <w:rFonts w:hint="eastAsia" w:ascii="宋体" w:hAnsi="宋体" w:cs="宋体"/>
          <w:szCs w:val="21"/>
          <w:lang w:bidi="en-US"/>
        </w:rPr>
        <w:t>（2）产品交付验收时，采购人对产品进行抽样检测，如采购人发现货物与投标时的承诺参数不符，采购方有权随机抽取1-3件作为样品送相关质量监督检验中心检测，检测费用及检测过程中造成的损失由中标人承担，产品技术性能指标检验检测不合格的，采购人将按国家相关法律法规对中标人进行违约处理，采购人并有权退货或拒收。</w:t>
      </w:r>
    </w:p>
    <w:p>
      <w:pPr>
        <w:spacing w:line="440" w:lineRule="exact"/>
        <w:ind w:firstLine="420" w:firstLineChars="200"/>
        <w:jc w:val="left"/>
        <w:rPr>
          <w:rFonts w:ascii="宋体" w:hAnsi="宋体" w:cs="宋体"/>
          <w:szCs w:val="21"/>
          <w:lang w:bidi="en-US"/>
        </w:rPr>
      </w:pPr>
      <w:r>
        <w:rPr>
          <w:rFonts w:hint="eastAsia" w:ascii="宋体" w:hAnsi="宋体" w:cs="宋体"/>
          <w:szCs w:val="21"/>
          <w:lang w:bidi="en-US"/>
        </w:rPr>
        <w:t>（3）验收合格条件：提供的产品必须符合现行最新国家、行业标准规范及其他普遍认可的标准规范要求；运行结果符合采购要求。</w:t>
      </w:r>
    </w:p>
    <w:p>
      <w:pPr>
        <w:spacing w:line="440" w:lineRule="exact"/>
        <w:ind w:firstLine="420" w:firstLineChars="200"/>
        <w:jc w:val="left"/>
        <w:rPr>
          <w:rFonts w:ascii="宋体" w:hAnsi="宋体" w:cs="宋体"/>
          <w:szCs w:val="21"/>
          <w:lang w:bidi="en-US"/>
        </w:rPr>
      </w:pPr>
      <w:r>
        <w:rPr>
          <w:rFonts w:hint="eastAsia" w:ascii="宋体" w:hAnsi="宋体" w:cs="宋体"/>
          <w:szCs w:val="21"/>
          <w:lang w:bidi="en-US"/>
        </w:rPr>
        <w:t>（4）在进行测试和验收运行中发生的故障已被消除并得到采购人的认可。</w:t>
      </w:r>
    </w:p>
    <w:p>
      <w:pPr>
        <w:spacing w:line="440" w:lineRule="exact"/>
        <w:ind w:firstLine="420" w:firstLineChars="200"/>
        <w:jc w:val="left"/>
        <w:rPr>
          <w:rFonts w:ascii="宋体" w:hAnsi="宋体" w:cs="宋体"/>
          <w:szCs w:val="21"/>
          <w:lang w:bidi="en-US"/>
        </w:rPr>
      </w:pPr>
      <w:r>
        <w:rPr>
          <w:rFonts w:hint="eastAsia" w:ascii="宋体" w:hAnsi="宋体" w:cs="宋体"/>
          <w:szCs w:val="21"/>
          <w:lang w:bidi="en-US"/>
        </w:rPr>
        <w:t>（5）设备在交由采购人使用前已通过质量管理部门的验收，并取得使用证书。</w:t>
      </w:r>
    </w:p>
    <w:p>
      <w:pPr>
        <w:spacing w:line="440" w:lineRule="exact"/>
        <w:ind w:firstLine="420" w:firstLineChars="200"/>
        <w:jc w:val="left"/>
        <w:rPr>
          <w:rFonts w:ascii="宋体" w:hAnsi="宋体" w:cs="宋体"/>
          <w:szCs w:val="21"/>
          <w:lang w:bidi="en-US"/>
        </w:rPr>
      </w:pPr>
      <w:r>
        <w:rPr>
          <w:rFonts w:hint="eastAsia" w:ascii="宋体" w:hAnsi="宋体" w:cs="宋体"/>
          <w:szCs w:val="21"/>
          <w:lang w:bidi="en-US"/>
        </w:rPr>
        <w:t>（6）产品保护：在安装过程中，如设备被损坏，中标人有责任修理或赔偿损失。</w:t>
      </w:r>
    </w:p>
    <w:p>
      <w:pPr>
        <w:rPr>
          <w:rFonts w:ascii="宋体" w:hAnsi="宋体" w:cs="宋体"/>
          <w:szCs w:val="21"/>
        </w:rPr>
      </w:pPr>
    </w:p>
    <w:p>
      <w:pPr>
        <w:pStyle w:val="27"/>
        <w:rPr>
          <w:color w:val="auto"/>
        </w:rPr>
      </w:pP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page"/>
      </w:r>
    </w:p>
    <w:p>
      <w:pPr>
        <w:numPr>
          <w:ilvl w:val="0"/>
          <w:numId w:val="6"/>
        </w:numPr>
        <w:spacing w:line="360" w:lineRule="auto"/>
        <w:jc w:val="center"/>
        <w:outlineLvl w:val="0"/>
        <w:rPr>
          <w:rFonts w:ascii="宋体" w:hAnsi="宋体"/>
          <w:b/>
          <w:sz w:val="36"/>
          <w:szCs w:val="36"/>
        </w:rPr>
      </w:pPr>
      <w:r>
        <w:rPr>
          <w:rFonts w:hint="eastAsia" w:ascii="宋体" w:hAnsi="宋体"/>
          <w:b/>
          <w:sz w:val="36"/>
          <w:szCs w:val="36"/>
        </w:rPr>
        <w:t>政府采购合同主要条款</w:t>
      </w:r>
    </w:p>
    <w:p>
      <w:pPr>
        <w:widowControl/>
        <w:shd w:val="clear" w:color="auto" w:fill="FFFFFF"/>
        <w:spacing w:after="150" w:line="375" w:lineRule="atLeast"/>
        <w:ind w:firstLine="480"/>
        <w:jc w:val="left"/>
        <w:rPr>
          <w:rFonts w:ascii="宋体" w:hAnsi="宋体" w:cs="宋体"/>
          <w:szCs w:val="21"/>
        </w:rPr>
      </w:pPr>
      <w:r>
        <w:rPr>
          <w:rFonts w:hint="eastAsia" w:ascii="宋体" w:hAnsi="宋体" w:cs="宋体"/>
          <w:szCs w:val="21"/>
        </w:rPr>
        <w:t>以下为成交后签定本项目合同的通用条款，成交供应商不得提出实质性的修改，关于专用条款将由采购人与成交供应商结合本项目具体情况协商后签订。</w:t>
      </w:r>
    </w:p>
    <w:p>
      <w:pPr>
        <w:widowControl/>
        <w:spacing w:line="480" w:lineRule="exact"/>
        <w:rPr>
          <w:rFonts w:ascii="宋体" w:hAnsi="宋体" w:cs="宋体"/>
          <w:szCs w:val="21"/>
          <w:u w:val="single"/>
        </w:rPr>
      </w:pPr>
      <w:r>
        <w:rPr>
          <w:rFonts w:hint="eastAsia" w:ascii="宋体" w:hAnsi="宋体" w:cs="宋体"/>
          <w:szCs w:val="21"/>
        </w:rPr>
        <w:t>合同编号：</w:t>
      </w:r>
      <w:r>
        <w:rPr>
          <w:rFonts w:hint="eastAsia" w:ascii="宋体" w:hAnsi="宋体" w:cs="宋体"/>
          <w:szCs w:val="21"/>
          <w:u w:val="single"/>
        </w:rPr>
        <w:t xml:space="preserve">              </w:t>
      </w:r>
    </w:p>
    <w:p>
      <w:pPr>
        <w:widowControl/>
        <w:spacing w:line="480" w:lineRule="exact"/>
        <w:rPr>
          <w:rFonts w:ascii="宋体" w:hAnsi="宋体" w:cs="宋体"/>
          <w:szCs w:val="21"/>
        </w:rPr>
      </w:pPr>
      <w:r>
        <w:rPr>
          <w:rFonts w:hint="eastAsia" w:ascii="宋体" w:hAnsi="宋体" w:cs="宋体"/>
          <w:szCs w:val="21"/>
        </w:rPr>
        <w:t xml:space="preserve">甲方（采购人）： </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80" w:lineRule="exact"/>
        <w:rPr>
          <w:rFonts w:ascii="宋体" w:hAnsi="宋体" w:cs="宋体"/>
          <w:szCs w:val="21"/>
        </w:rPr>
      </w:pPr>
      <w:r>
        <w:rPr>
          <w:rFonts w:hint="eastAsia" w:ascii="宋体" w:hAnsi="宋体" w:cs="宋体"/>
          <w:szCs w:val="21"/>
        </w:rPr>
        <w:t>乙方（中标人）：</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80" w:lineRule="exact"/>
        <w:ind w:firstLine="420" w:firstLineChars="200"/>
        <w:rPr>
          <w:rFonts w:ascii="宋体" w:hAnsi="宋体" w:cs="宋体"/>
          <w:szCs w:val="21"/>
        </w:rPr>
      </w:pPr>
      <w:r>
        <w:rPr>
          <w:rFonts w:hint="eastAsia" w:ascii="宋体" w:hAnsi="宋体" w:cs="宋体"/>
          <w:szCs w:val="21"/>
        </w:rPr>
        <w:t>甲乙双方依据《中华人民共和国民法典》、《中华人民共和国政府采购法》及其他有关法律、行政法规，并经双方协商一致，订立本合同。中标通知书、采购文件、投标文件、补充协议（若有）均构成本合同不可分割的部份。</w:t>
      </w:r>
    </w:p>
    <w:p>
      <w:pPr>
        <w:widowControl/>
        <w:spacing w:line="480" w:lineRule="exact"/>
        <w:ind w:firstLine="422" w:firstLineChars="200"/>
        <w:rPr>
          <w:rFonts w:ascii="宋体" w:hAnsi="宋体" w:cs="宋体"/>
          <w:b/>
          <w:szCs w:val="21"/>
        </w:rPr>
      </w:pPr>
      <w:r>
        <w:rPr>
          <w:rFonts w:hint="eastAsia" w:ascii="宋体" w:hAnsi="宋体" w:cs="宋体"/>
          <w:b/>
          <w:szCs w:val="21"/>
        </w:rPr>
        <w:t>一、采购清单</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622"/>
        <w:gridCol w:w="2648"/>
        <w:gridCol w:w="894"/>
        <w:gridCol w:w="1185"/>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33" w:type="pct"/>
            <w:vAlign w:val="center"/>
          </w:tcPr>
          <w:p>
            <w:pPr>
              <w:widowControl/>
              <w:snapToGrid w:val="0"/>
              <w:spacing w:line="480" w:lineRule="exact"/>
              <w:ind w:firstLine="240"/>
              <w:jc w:val="center"/>
              <w:rPr>
                <w:rFonts w:ascii="宋体" w:hAnsi="宋体" w:cs="宋体"/>
                <w:szCs w:val="21"/>
              </w:rPr>
            </w:pPr>
            <w:r>
              <w:rPr>
                <w:rFonts w:hint="eastAsia" w:ascii="宋体" w:hAnsi="宋体" w:cs="宋体"/>
                <w:szCs w:val="21"/>
              </w:rPr>
              <w:t>序号</w:t>
            </w:r>
          </w:p>
        </w:tc>
        <w:tc>
          <w:tcPr>
            <w:tcW w:w="951" w:type="pct"/>
            <w:vAlign w:val="center"/>
          </w:tcPr>
          <w:p>
            <w:pPr>
              <w:widowControl/>
              <w:snapToGrid w:val="0"/>
              <w:spacing w:line="480" w:lineRule="exact"/>
              <w:ind w:firstLine="240"/>
              <w:jc w:val="center"/>
              <w:rPr>
                <w:rFonts w:ascii="宋体" w:hAnsi="宋体" w:cs="宋体"/>
                <w:szCs w:val="21"/>
              </w:rPr>
            </w:pPr>
            <w:r>
              <w:rPr>
                <w:rFonts w:hint="eastAsia" w:ascii="宋体" w:hAnsi="宋体" w:cs="宋体"/>
                <w:szCs w:val="21"/>
              </w:rPr>
              <w:t>名称</w:t>
            </w:r>
          </w:p>
        </w:tc>
        <w:tc>
          <w:tcPr>
            <w:tcW w:w="1553" w:type="pct"/>
            <w:vAlign w:val="center"/>
          </w:tcPr>
          <w:p>
            <w:pPr>
              <w:widowControl/>
              <w:snapToGrid w:val="0"/>
              <w:spacing w:line="480" w:lineRule="exact"/>
              <w:jc w:val="center"/>
              <w:rPr>
                <w:rFonts w:ascii="宋体" w:hAnsi="宋体" w:cs="宋体"/>
                <w:szCs w:val="21"/>
              </w:rPr>
            </w:pPr>
            <w:r>
              <w:rPr>
                <w:rFonts w:hint="eastAsia" w:ascii="宋体" w:hAnsi="宋体" w:cs="宋体"/>
                <w:szCs w:val="21"/>
              </w:rPr>
              <w:t>型号规格和主要配置</w:t>
            </w:r>
          </w:p>
        </w:tc>
        <w:tc>
          <w:tcPr>
            <w:tcW w:w="524" w:type="pct"/>
            <w:vAlign w:val="center"/>
          </w:tcPr>
          <w:p>
            <w:pPr>
              <w:widowControl/>
              <w:snapToGrid w:val="0"/>
              <w:spacing w:line="480" w:lineRule="exact"/>
              <w:jc w:val="center"/>
              <w:rPr>
                <w:rFonts w:ascii="宋体" w:hAnsi="宋体" w:cs="宋体"/>
                <w:szCs w:val="21"/>
              </w:rPr>
            </w:pPr>
            <w:r>
              <w:rPr>
                <w:rFonts w:hint="eastAsia" w:ascii="宋体" w:hAnsi="宋体" w:cs="宋体"/>
                <w:szCs w:val="21"/>
              </w:rPr>
              <w:t>数量</w:t>
            </w:r>
          </w:p>
        </w:tc>
        <w:tc>
          <w:tcPr>
            <w:tcW w:w="695" w:type="pct"/>
            <w:vAlign w:val="center"/>
          </w:tcPr>
          <w:p>
            <w:pPr>
              <w:widowControl/>
              <w:snapToGrid w:val="0"/>
              <w:spacing w:line="480" w:lineRule="exact"/>
              <w:jc w:val="center"/>
              <w:rPr>
                <w:rFonts w:ascii="宋体" w:hAnsi="宋体" w:cs="宋体"/>
                <w:szCs w:val="21"/>
              </w:rPr>
            </w:pPr>
            <w:r>
              <w:rPr>
                <w:rFonts w:hint="eastAsia" w:ascii="宋体" w:hAnsi="宋体" w:cs="宋体"/>
                <w:szCs w:val="21"/>
              </w:rPr>
              <w:t>中标价</w:t>
            </w:r>
          </w:p>
        </w:tc>
        <w:tc>
          <w:tcPr>
            <w:tcW w:w="741" w:type="pct"/>
            <w:vAlign w:val="center"/>
          </w:tcPr>
          <w:p>
            <w:pPr>
              <w:widowControl/>
              <w:snapToGrid w:val="0"/>
              <w:spacing w:line="48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33" w:type="pct"/>
            <w:vAlign w:val="center"/>
          </w:tcPr>
          <w:p>
            <w:pPr>
              <w:widowControl/>
              <w:snapToGrid w:val="0"/>
              <w:spacing w:line="480" w:lineRule="exact"/>
              <w:jc w:val="center"/>
              <w:rPr>
                <w:rFonts w:ascii="宋体" w:hAnsi="宋体" w:cs="宋体"/>
                <w:szCs w:val="21"/>
              </w:rPr>
            </w:pPr>
            <w:r>
              <w:rPr>
                <w:rFonts w:hint="eastAsia" w:ascii="宋体" w:hAnsi="宋体" w:cs="宋体"/>
                <w:szCs w:val="21"/>
              </w:rPr>
              <w:t>1</w:t>
            </w:r>
          </w:p>
        </w:tc>
        <w:tc>
          <w:tcPr>
            <w:tcW w:w="951" w:type="pct"/>
            <w:vAlign w:val="center"/>
          </w:tcPr>
          <w:p>
            <w:pPr>
              <w:widowControl/>
              <w:snapToGrid w:val="0"/>
              <w:spacing w:line="480" w:lineRule="exact"/>
              <w:jc w:val="center"/>
              <w:rPr>
                <w:rFonts w:ascii="宋体" w:hAnsi="宋体" w:cs="宋体"/>
                <w:szCs w:val="21"/>
              </w:rPr>
            </w:pPr>
          </w:p>
        </w:tc>
        <w:tc>
          <w:tcPr>
            <w:tcW w:w="1553" w:type="pct"/>
            <w:vAlign w:val="center"/>
          </w:tcPr>
          <w:p>
            <w:pPr>
              <w:widowControl/>
              <w:snapToGrid w:val="0"/>
              <w:spacing w:line="480" w:lineRule="exact"/>
              <w:jc w:val="center"/>
              <w:rPr>
                <w:rFonts w:ascii="宋体" w:hAnsi="宋体" w:cs="宋体"/>
                <w:szCs w:val="21"/>
              </w:rPr>
            </w:pPr>
          </w:p>
        </w:tc>
        <w:tc>
          <w:tcPr>
            <w:tcW w:w="524" w:type="pct"/>
            <w:vAlign w:val="center"/>
          </w:tcPr>
          <w:p>
            <w:pPr>
              <w:widowControl/>
              <w:snapToGrid w:val="0"/>
              <w:spacing w:line="480" w:lineRule="exact"/>
              <w:jc w:val="center"/>
              <w:rPr>
                <w:rFonts w:ascii="宋体" w:hAnsi="宋体" w:cs="宋体"/>
                <w:szCs w:val="21"/>
              </w:rPr>
            </w:pPr>
          </w:p>
        </w:tc>
        <w:tc>
          <w:tcPr>
            <w:tcW w:w="695" w:type="pct"/>
            <w:vAlign w:val="center"/>
          </w:tcPr>
          <w:p>
            <w:pPr>
              <w:widowControl/>
              <w:snapToGrid w:val="0"/>
              <w:spacing w:line="480" w:lineRule="exact"/>
              <w:jc w:val="center"/>
              <w:rPr>
                <w:rFonts w:ascii="宋体" w:hAnsi="宋体" w:cs="宋体"/>
                <w:szCs w:val="21"/>
              </w:rPr>
            </w:pPr>
          </w:p>
        </w:tc>
        <w:tc>
          <w:tcPr>
            <w:tcW w:w="741" w:type="pct"/>
            <w:vAlign w:val="center"/>
          </w:tcPr>
          <w:p>
            <w:pPr>
              <w:widowControl/>
              <w:snapToGrid w:val="0"/>
              <w:spacing w:line="4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33" w:type="pct"/>
            <w:vAlign w:val="center"/>
          </w:tcPr>
          <w:p>
            <w:pPr>
              <w:widowControl/>
              <w:snapToGrid w:val="0"/>
              <w:spacing w:line="480" w:lineRule="exact"/>
              <w:jc w:val="center"/>
              <w:rPr>
                <w:rFonts w:ascii="宋体" w:hAnsi="宋体" w:cs="宋体"/>
                <w:szCs w:val="21"/>
              </w:rPr>
            </w:pPr>
            <w:r>
              <w:rPr>
                <w:rFonts w:hint="eastAsia" w:ascii="宋体" w:hAnsi="宋体" w:cs="宋体"/>
                <w:szCs w:val="21"/>
              </w:rPr>
              <w:t>2</w:t>
            </w:r>
          </w:p>
        </w:tc>
        <w:tc>
          <w:tcPr>
            <w:tcW w:w="951" w:type="pct"/>
            <w:vAlign w:val="center"/>
          </w:tcPr>
          <w:p>
            <w:pPr>
              <w:widowControl/>
              <w:snapToGrid w:val="0"/>
              <w:spacing w:line="480" w:lineRule="exact"/>
              <w:jc w:val="center"/>
              <w:rPr>
                <w:rFonts w:ascii="宋体" w:hAnsi="宋体" w:cs="宋体"/>
                <w:szCs w:val="21"/>
              </w:rPr>
            </w:pPr>
          </w:p>
        </w:tc>
        <w:tc>
          <w:tcPr>
            <w:tcW w:w="1553" w:type="pct"/>
            <w:vAlign w:val="center"/>
          </w:tcPr>
          <w:p>
            <w:pPr>
              <w:widowControl/>
              <w:snapToGrid w:val="0"/>
              <w:spacing w:line="480" w:lineRule="exact"/>
              <w:jc w:val="center"/>
              <w:rPr>
                <w:rFonts w:ascii="宋体" w:hAnsi="宋体" w:cs="宋体"/>
                <w:szCs w:val="21"/>
              </w:rPr>
            </w:pPr>
          </w:p>
        </w:tc>
        <w:tc>
          <w:tcPr>
            <w:tcW w:w="524" w:type="pct"/>
            <w:vAlign w:val="center"/>
          </w:tcPr>
          <w:p>
            <w:pPr>
              <w:widowControl/>
              <w:snapToGrid w:val="0"/>
              <w:spacing w:line="480" w:lineRule="exact"/>
              <w:jc w:val="center"/>
              <w:rPr>
                <w:rFonts w:ascii="宋体" w:hAnsi="宋体" w:cs="宋体"/>
                <w:szCs w:val="21"/>
              </w:rPr>
            </w:pPr>
          </w:p>
        </w:tc>
        <w:tc>
          <w:tcPr>
            <w:tcW w:w="695" w:type="pct"/>
            <w:vAlign w:val="center"/>
          </w:tcPr>
          <w:p>
            <w:pPr>
              <w:widowControl/>
              <w:snapToGrid w:val="0"/>
              <w:spacing w:line="480" w:lineRule="exact"/>
              <w:jc w:val="center"/>
              <w:rPr>
                <w:rFonts w:ascii="宋体" w:hAnsi="宋体" w:cs="宋体"/>
                <w:szCs w:val="21"/>
              </w:rPr>
            </w:pPr>
          </w:p>
        </w:tc>
        <w:tc>
          <w:tcPr>
            <w:tcW w:w="741" w:type="pct"/>
            <w:vAlign w:val="center"/>
          </w:tcPr>
          <w:p>
            <w:pPr>
              <w:widowControl/>
              <w:snapToGrid w:val="0"/>
              <w:spacing w:line="4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33" w:type="pct"/>
            <w:vAlign w:val="center"/>
          </w:tcPr>
          <w:p>
            <w:pPr>
              <w:widowControl/>
              <w:snapToGrid w:val="0"/>
              <w:spacing w:line="480" w:lineRule="exact"/>
              <w:jc w:val="center"/>
              <w:rPr>
                <w:rFonts w:ascii="宋体" w:hAnsi="宋体" w:cs="宋体"/>
                <w:szCs w:val="21"/>
              </w:rPr>
            </w:pPr>
            <w:r>
              <w:rPr>
                <w:rFonts w:hint="eastAsia" w:ascii="宋体" w:hAnsi="宋体" w:cs="宋体"/>
                <w:szCs w:val="21"/>
              </w:rPr>
              <w:t>……</w:t>
            </w:r>
          </w:p>
        </w:tc>
        <w:tc>
          <w:tcPr>
            <w:tcW w:w="951" w:type="pct"/>
            <w:vAlign w:val="center"/>
          </w:tcPr>
          <w:p>
            <w:pPr>
              <w:widowControl/>
              <w:snapToGrid w:val="0"/>
              <w:spacing w:line="480" w:lineRule="exact"/>
              <w:jc w:val="center"/>
              <w:rPr>
                <w:rFonts w:ascii="宋体" w:hAnsi="宋体" w:cs="宋体"/>
                <w:szCs w:val="21"/>
              </w:rPr>
            </w:pPr>
          </w:p>
        </w:tc>
        <w:tc>
          <w:tcPr>
            <w:tcW w:w="1553" w:type="pct"/>
            <w:vAlign w:val="center"/>
          </w:tcPr>
          <w:p>
            <w:pPr>
              <w:widowControl/>
              <w:snapToGrid w:val="0"/>
              <w:spacing w:line="480" w:lineRule="exact"/>
              <w:jc w:val="center"/>
              <w:rPr>
                <w:rFonts w:ascii="宋体" w:hAnsi="宋体" w:cs="宋体"/>
                <w:szCs w:val="21"/>
              </w:rPr>
            </w:pPr>
          </w:p>
        </w:tc>
        <w:tc>
          <w:tcPr>
            <w:tcW w:w="524" w:type="pct"/>
            <w:vAlign w:val="center"/>
          </w:tcPr>
          <w:p>
            <w:pPr>
              <w:widowControl/>
              <w:snapToGrid w:val="0"/>
              <w:spacing w:line="480" w:lineRule="exact"/>
              <w:jc w:val="center"/>
              <w:rPr>
                <w:rFonts w:ascii="宋体" w:hAnsi="宋体" w:cs="宋体"/>
                <w:szCs w:val="21"/>
              </w:rPr>
            </w:pPr>
          </w:p>
        </w:tc>
        <w:tc>
          <w:tcPr>
            <w:tcW w:w="695" w:type="pct"/>
            <w:vAlign w:val="center"/>
          </w:tcPr>
          <w:p>
            <w:pPr>
              <w:widowControl/>
              <w:snapToGrid w:val="0"/>
              <w:spacing w:line="480" w:lineRule="exact"/>
              <w:jc w:val="center"/>
              <w:rPr>
                <w:rFonts w:ascii="宋体" w:hAnsi="宋体" w:cs="宋体"/>
                <w:szCs w:val="21"/>
              </w:rPr>
            </w:pPr>
          </w:p>
        </w:tc>
        <w:tc>
          <w:tcPr>
            <w:tcW w:w="741" w:type="pct"/>
            <w:vAlign w:val="center"/>
          </w:tcPr>
          <w:p>
            <w:pPr>
              <w:widowControl/>
              <w:snapToGrid w:val="0"/>
              <w:spacing w:line="480" w:lineRule="exact"/>
              <w:jc w:val="center"/>
              <w:rPr>
                <w:rFonts w:ascii="宋体" w:hAnsi="宋体" w:cs="宋体"/>
                <w:szCs w:val="21"/>
              </w:rPr>
            </w:pPr>
          </w:p>
        </w:tc>
      </w:tr>
    </w:tbl>
    <w:p>
      <w:pPr>
        <w:widowControl/>
        <w:spacing w:line="480" w:lineRule="exact"/>
        <w:ind w:firstLine="422" w:firstLineChars="200"/>
        <w:rPr>
          <w:rFonts w:ascii="宋体" w:hAnsi="宋体" w:cs="宋体"/>
          <w:b/>
          <w:szCs w:val="21"/>
        </w:rPr>
      </w:pPr>
      <w:r>
        <w:rPr>
          <w:rFonts w:hint="eastAsia" w:ascii="宋体" w:hAnsi="宋体" w:cs="宋体"/>
          <w:b/>
          <w:szCs w:val="21"/>
        </w:rPr>
        <w:t>二、合同金额及结算规定</w:t>
      </w:r>
    </w:p>
    <w:p>
      <w:pPr>
        <w:widowControl/>
        <w:spacing w:line="480" w:lineRule="exact"/>
        <w:ind w:firstLine="420" w:firstLineChars="200"/>
        <w:rPr>
          <w:rFonts w:ascii="宋体" w:hAnsi="宋体" w:cs="宋体"/>
          <w:szCs w:val="21"/>
        </w:rPr>
      </w:pPr>
      <w:r>
        <w:rPr>
          <w:rFonts w:hint="eastAsia" w:ascii="宋体" w:hAnsi="宋体" w:cs="宋体"/>
          <w:szCs w:val="21"/>
        </w:rPr>
        <w:t>1.合同金额：人民币（大写）</w:t>
      </w:r>
      <w:r>
        <w:rPr>
          <w:rFonts w:hint="eastAsia" w:ascii="宋体" w:hAnsi="宋体" w:cs="宋体"/>
          <w:szCs w:val="21"/>
          <w:u w:val="single"/>
        </w:rPr>
        <w:t xml:space="preserve">            </w:t>
      </w:r>
      <w:r>
        <w:rPr>
          <w:rFonts w:hint="eastAsia" w:ascii="宋体" w:hAnsi="宋体" w:cs="宋体"/>
          <w:szCs w:val="21"/>
        </w:rPr>
        <w:t xml:space="preserve"> 元整(￥</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11" w:firstLineChars="196"/>
        <w:jc w:val="left"/>
        <w:rPr>
          <w:rFonts w:ascii="宋体" w:hAnsi="宋体" w:cs="宋体"/>
          <w:szCs w:val="21"/>
        </w:rPr>
      </w:pPr>
      <w:r>
        <w:rPr>
          <w:rFonts w:hint="eastAsia" w:ascii="宋体" w:hAnsi="宋体" w:cs="宋体"/>
          <w:szCs w:val="21"/>
        </w:rPr>
        <w:t>2.本合同为固定单价合同，价格为完税价。</w:t>
      </w:r>
      <w:r>
        <w:rPr>
          <w:rFonts w:hint="eastAsia" w:ascii="宋体" w:hAnsi="宋体" w:cs="宋体"/>
          <w:b/>
          <w:bCs/>
          <w:szCs w:val="21"/>
        </w:rPr>
        <w:t>实际结算价为：实际数量*投标人中标单价。</w:t>
      </w:r>
    </w:p>
    <w:p>
      <w:pPr>
        <w:widowControl/>
        <w:spacing w:line="480" w:lineRule="exact"/>
        <w:ind w:firstLine="422" w:firstLineChars="200"/>
        <w:rPr>
          <w:rFonts w:ascii="宋体" w:hAnsi="宋体" w:cs="宋体"/>
          <w:b/>
          <w:szCs w:val="21"/>
        </w:rPr>
      </w:pPr>
      <w:r>
        <w:rPr>
          <w:rFonts w:hint="eastAsia" w:ascii="宋体" w:hAnsi="宋体" w:cs="宋体"/>
          <w:b/>
          <w:szCs w:val="21"/>
        </w:rPr>
        <w:t>三、知识产权</w:t>
      </w:r>
    </w:p>
    <w:p>
      <w:pPr>
        <w:widowControl/>
        <w:spacing w:line="480" w:lineRule="exact"/>
        <w:ind w:firstLine="420" w:firstLineChars="200"/>
        <w:rPr>
          <w:rFonts w:ascii="宋体" w:hAnsi="宋体" w:cs="宋体"/>
          <w:szCs w:val="21"/>
        </w:rPr>
      </w:pPr>
      <w:r>
        <w:rPr>
          <w:rFonts w:hint="eastAsia" w:ascii="宋体" w:hAnsi="宋体" w:cs="宋体"/>
          <w:szCs w:val="21"/>
        </w:rPr>
        <w:t>1.乙方应保证甲方在使用该货物或其任何一部分时不受第三方提出侵犯其专利权、版权、商标权或其他权利的起诉。一旦出现侵权，索赔或诉讼，乙方应承担全部责任。</w:t>
      </w:r>
    </w:p>
    <w:p>
      <w:pPr>
        <w:widowControl/>
        <w:spacing w:line="480" w:lineRule="exact"/>
        <w:ind w:firstLine="420" w:firstLineChars="200"/>
        <w:rPr>
          <w:rFonts w:ascii="宋体" w:hAnsi="宋体" w:cs="宋体"/>
          <w:szCs w:val="21"/>
        </w:rPr>
      </w:pPr>
      <w:r>
        <w:rPr>
          <w:rFonts w:hint="eastAsia" w:ascii="宋体" w:hAnsi="宋体" w:cs="宋体"/>
          <w:szCs w:val="21"/>
        </w:rPr>
        <w:t>2.乙方必须按投标文件承诺的服务响应条款向甲方提供服务。</w:t>
      </w:r>
    </w:p>
    <w:p>
      <w:pPr>
        <w:widowControl/>
        <w:spacing w:line="480" w:lineRule="exact"/>
        <w:ind w:firstLine="422" w:firstLineChars="200"/>
        <w:rPr>
          <w:rFonts w:ascii="宋体" w:hAnsi="宋体" w:cs="宋体"/>
          <w:b/>
          <w:szCs w:val="21"/>
        </w:rPr>
      </w:pPr>
      <w:r>
        <w:rPr>
          <w:rFonts w:hint="eastAsia" w:ascii="宋体" w:hAnsi="宋体" w:cs="宋体"/>
          <w:b/>
          <w:szCs w:val="21"/>
        </w:rPr>
        <w:t>四、税费</w:t>
      </w:r>
    </w:p>
    <w:p>
      <w:pPr>
        <w:widowControl/>
        <w:spacing w:line="480" w:lineRule="exact"/>
        <w:ind w:firstLine="420" w:firstLineChars="200"/>
        <w:rPr>
          <w:rFonts w:ascii="宋体" w:hAnsi="宋体" w:cs="宋体"/>
          <w:szCs w:val="21"/>
        </w:rPr>
      </w:pPr>
      <w:r>
        <w:rPr>
          <w:rFonts w:hint="eastAsia" w:ascii="宋体" w:hAnsi="宋体" w:cs="宋体"/>
          <w:szCs w:val="21"/>
        </w:rPr>
        <w:t>本合同执行中相关的一切税费均由乙方负担。</w:t>
      </w:r>
    </w:p>
    <w:p>
      <w:pPr>
        <w:widowControl/>
        <w:spacing w:line="480" w:lineRule="exact"/>
        <w:ind w:firstLine="422" w:firstLineChars="200"/>
        <w:rPr>
          <w:rFonts w:ascii="宋体" w:hAnsi="宋体" w:cs="宋体"/>
          <w:b/>
          <w:szCs w:val="21"/>
        </w:rPr>
      </w:pPr>
      <w:r>
        <w:rPr>
          <w:rFonts w:hint="eastAsia" w:ascii="宋体" w:hAnsi="宋体" w:cs="宋体"/>
          <w:b/>
          <w:szCs w:val="21"/>
        </w:rPr>
        <w:t>五、转包或分包</w:t>
      </w:r>
    </w:p>
    <w:p>
      <w:pPr>
        <w:widowControl/>
        <w:spacing w:line="480" w:lineRule="exact"/>
        <w:ind w:firstLine="420" w:firstLineChars="200"/>
        <w:rPr>
          <w:rFonts w:ascii="宋体" w:hAnsi="宋体" w:cs="宋体"/>
          <w:szCs w:val="21"/>
        </w:rPr>
      </w:pPr>
      <w:r>
        <w:rPr>
          <w:rFonts w:hint="eastAsia" w:ascii="宋体" w:hAnsi="宋体" w:cs="宋体"/>
          <w:szCs w:val="21"/>
        </w:rPr>
        <w:t>1.本合同范围的服务，应由乙方直接供应，不得转让他人供应；</w:t>
      </w:r>
    </w:p>
    <w:p>
      <w:pPr>
        <w:widowControl/>
        <w:spacing w:line="480" w:lineRule="exact"/>
        <w:ind w:firstLine="420" w:firstLineChars="200"/>
        <w:rPr>
          <w:rFonts w:ascii="宋体" w:hAnsi="宋体" w:cs="宋体"/>
          <w:szCs w:val="21"/>
        </w:rPr>
      </w:pPr>
      <w:r>
        <w:rPr>
          <w:rFonts w:hint="eastAsia" w:ascii="宋体" w:hAnsi="宋体" w:cs="宋体"/>
          <w:szCs w:val="21"/>
        </w:rPr>
        <w:t>2.如有转让和未经甲方同意的分包行为，甲方有权解除合同，并追究乙方的违约责任。</w:t>
      </w:r>
    </w:p>
    <w:p>
      <w:pPr>
        <w:widowControl/>
        <w:spacing w:line="480" w:lineRule="exact"/>
        <w:ind w:left="482"/>
        <w:rPr>
          <w:rFonts w:ascii="宋体" w:hAnsi="宋体" w:cs="宋体"/>
          <w:b/>
          <w:szCs w:val="21"/>
        </w:rPr>
      </w:pPr>
      <w:r>
        <w:rPr>
          <w:rFonts w:hint="eastAsia" w:ascii="宋体" w:hAnsi="宋体" w:cs="宋体"/>
          <w:b/>
          <w:szCs w:val="21"/>
        </w:rPr>
        <w:t>六、付款方式</w:t>
      </w:r>
    </w:p>
    <w:p>
      <w:pPr>
        <w:widowControl/>
        <w:spacing w:line="480" w:lineRule="exact"/>
        <w:ind w:firstLine="411" w:firstLineChars="196"/>
        <w:rPr>
          <w:rFonts w:ascii="宋体" w:hAnsi="宋体" w:cs="宋体"/>
          <w:kern w:val="0"/>
          <w:szCs w:val="21"/>
        </w:rPr>
      </w:pPr>
      <w:r>
        <w:rPr>
          <w:rFonts w:hint="eastAsia" w:ascii="宋体" w:hAnsi="宋体" w:cs="宋体"/>
          <w:kern w:val="0"/>
          <w:szCs w:val="21"/>
          <w:lang w:val="zh-CN"/>
        </w:rPr>
        <w:t>合同签</w:t>
      </w:r>
      <w:r>
        <w:rPr>
          <w:rFonts w:hint="eastAsia" w:ascii="宋体" w:hAnsi="宋体" w:cs="宋体"/>
          <w:szCs w:val="21"/>
          <w:lang w:val="zh-CN" w:bidi="en-US"/>
        </w:rPr>
        <w:t>订后</w:t>
      </w:r>
      <w:r>
        <w:rPr>
          <w:rFonts w:hint="eastAsia" w:ascii="宋体" w:hAnsi="宋体" w:cs="宋体"/>
          <w:szCs w:val="21"/>
          <w:lang w:bidi="en-US"/>
        </w:rPr>
        <w:t>20</w:t>
      </w:r>
      <w:r>
        <w:rPr>
          <w:rFonts w:hint="eastAsia" w:ascii="宋体" w:hAnsi="宋体" w:cs="宋体"/>
          <w:szCs w:val="21"/>
          <w:lang w:val="zh-CN" w:bidi="en-US"/>
        </w:rPr>
        <w:t>个工作日内</w:t>
      </w:r>
      <w:r>
        <w:rPr>
          <w:rFonts w:hint="eastAsia" w:ascii="宋体" w:hAnsi="宋体" w:cs="宋体"/>
          <w:szCs w:val="21"/>
          <w:lang w:bidi="en-US"/>
        </w:rPr>
        <w:t>支付合同总金额的40%作为预付款</w:t>
      </w:r>
      <w:r>
        <w:rPr>
          <w:rFonts w:hint="eastAsia" w:ascii="宋体" w:hAnsi="宋体" w:cs="宋体"/>
          <w:szCs w:val="21"/>
          <w:lang w:val="zh-CN" w:bidi="en-US"/>
        </w:rPr>
        <w:t>；项目验收合格后</w:t>
      </w:r>
      <w:r>
        <w:rPr>
          <w:rFonts w:hint="eastAsia" w:ascii="宋体" w:hAnsi="宋体" w:cs="宋体"/>
          <w:szCs w:val="21"/>
          <w:lang w:bidi="en-US"/>
        </w:rPr>
        <w:t>7</w:t>
      </w:r>
      <w:r>
        <w:rPr>
          <w:rFonts w:hint="eastAsia" w:ascii="宋体" w:hAnsi="宋体" w:cs="宋体"/>
          <w:szCs w:val="21"/>
          <w:lang w:val="zh-CN" w:bidi="en-US"/>
        </w:rPr>
        <w:t>个工作日内支付合同总金额的</w:t>
      </w:r>
      <w:r>
        <w:rPr>
          <w:rFonts w:hint="eastAsia" w:ascii="宋体" w:hAnsi="宋体" w:cs="宋体"/>
          <w:szCs w:val="21"/>
          <w:lang w:bidi="en-US"/>
        </w:rPr>
        <w:t>60</w:t>
      </w:r>
      <w:r>
        <w:rPr>
          <w:rFonts w:hint="eastAsia" w:ascii="宋体" w:hAnsi="宋体" w:cs="宋体"/>
          <w:szCs w:val="21"/>
          <w:lang w:val="zh-CN" w:bidi="en-US"/>
        </w:rPr>
        <w:t>%</w:t>
      </w:r>
      <w:r>
        <w:rPr>
          <w:rFonts w:hint="eastAsia" w:ascii="宋体" w:hAnsi="宋体" w:cs="宋体"/>
          <w:szCs w:val="21"/>
          <w:lang w:bidi="en-US"/>
        </w:rPr>
        <w:t>。供应商向采购人办理货款结算手续时须提供正式发票。</w:t>
      </w:r>
    </w:p>
    <w:p>
      <w:pPr>
        <w:widowControl/>
        <w:spacing w:line="480" w:lineRule="exact"/>
        <w:ind w:firstLine="413" w:firstLineChars="196"/>
        <w:rPr>
          <w:rFonts w:ascii="宋体" w:hAnsi="宋体" w:cs="宋体"/>
          <w:b/>
          <w:bCs/>
          <w:szCs w:val="21"/>
        </w:rPr>
      </w:pPr>
      <w:r>
        <w:rPr>
          <w:rFonts w:hint="eastAsia" w:ascii="宋体" w:hAnsi="宋体" w:cs="宋体"/>
          <w:b/>
          <w:szCs w:val="21"/>
        </w:rPr>
        <w:t>七、</w:t>
      </w:r>
      <w:r>
        <w:rPr>
          <w:rFonts w:hint="eastAsia" w:ascii="宋体" w:hAnsi="宋体" w:cs="宋体"/>
          <w:b/>
          <w:bCs/>
          <w:szCs w:val="21"/>
        </w:rPr>
        <w:t>交货和验收</w:t>
      </w:r>
    </w:p>
    <w:p>
      <w:pPr>
        <w:widowControl/>
        <w:spacing w:line="480" w:lineRule="exact"/>
        <w:ind w:firstLine="420" w:firstLineChars="200"/>
        <w:rPr>
          <w:rFonts w:ascii="宋体" w:hAnsi="宋体" w:cs="宋体"/>
          <w:b/>
          <w:szCs w:val="21"/>
        </w:rPr>
      </w:pPr>
      <w:r>
        <w:rPr>
          <w:rFonts w:hint="eastAsia" w:ascii="宋体" w:hAnsi="宋体" w:cs="宋体"/>
          <w:szCs w:val="21"/>
        </w:rPr>
        <w:t>1.交货时间：合同签订后</w:t>
      </w:r>
      <w:r>
        <w:rPr>
          <w:rFonts w:hint="eastAsia" w:ascii="宋体" w:hAnsi="宋体" w:cs="宋体"/>
          <w:szCs w:val="21"/>
          <w:u w:val="single"/>
        </w:rPr>
        <w:t xml:space="preserve">  20  </w:t>
      </w:r>
      <w:r>
        <w:rPr>
          <w:rFonts w:hint="eastAsia" w:ascii="宋体" w:hAnsi="宋体" w:cs="宋体"/>
          <w:szCs w:val="21"/>
        </w:rPr>
        <w:t>日历天内按采购人要求完成供货、安装，验收合格、交付使用。</w:t>
      </w:r>
      <w:r>
        <w:rPr>
          <w:rFonts w:hint="eastAsia" w:ascii="宋体" w:hAnsi="宋体" w:cs="宋体"/>
          <w:b/>
          <w:szCs w:val="21"/>
        </w:rPr>
        <w:t>逾期按每天合同价0.5%支付违约金，最高不超过合同价的20%。</w:t>
      </w:r>
    </w:p>
    <w:p>
      <w:pPr>
        <w:widowControl/>
        <w:spacing w:line="480" w:lineRule="exact"/>
        <w:ind w:firstLine="420" w:firstLineChars="200"/>
        <w:rPr>
          <w:rFonts w:ascii="宋体" w:hAnsi="宋体" w:cs="宋体"/>
          <w:szCs w:val="21"/>
        </w:rPr>
      </w:pPr>
      <w:r>
        <w:rPr>
          <w:rFonts w:hint="eastAsia" w:ascii="宋体" w:hAnsi="宋体" w:cs="宋体"/>
          <w:szCs w:val="21"/>
        </w:rPr>
        <w:t>2.乙方应在货物发运前对其进行满足运输距离、防潮、防震、防锈和防破损装卸等要求包装，以保证货物安全运达。</w:t>
      </w:r>
    </w:p>
    <w:p>
      <w:pPr>
        <w:widowControl/>
        <w:spacing w:line="480" w:lineRule="exact"/>
        <w:ind w:firstLine="420" w:firstLineChars="200"/>
        <w:rPr>
          <w:rFonts w:ascii="宋体" w:hAnsi="宋体" w:cs="宋体"/>
          <w:szCs w:val="21"/>
        </w:rPr>
      </w:pPr>
      <w:r>
        <w:rPr>
          <w:rFonts w:hint="eastAsia" w:ascii="宋体" w:hAnsi="宋体" w:cs="宋体"/>
          <w:szCs w:val="21"/>
        </w:rPr>
        <w:t>3.乙方应保证到货设备是全新和完整的（包括所有零配件、专用工具、设备使用手册等），表面无划伤、碰伤。</w:t>
      </w:r>
    </w:p>
    <w:p>
      <w:pPr>
        <w:widowControl/>
        <w:spacing w:line="480" w:lineRule="exact"/>
        <w:ind w:firstLine="420" w:firstLineChars="200"/>
        <w:rPr>
          <w:rFonts w:ascii="宋体" w:hAnsi="宋体" w:cs="宋体"/>
          <w:szCs w:val="21"/>
        </w:rPr>
      </w:pPr>
      <w:r>
        <w:rPr>
          <w:rFonts w:hint="eastAsia" w:ascii="宋体" w:hAnsi="宋体" w:cs="宋体"/>
          <w:szCs w:val="21"/>
        </w:rPr>
        <w:t>4.供应商应在交货后15天内派遣专业工程师完成设备现场安装调试，如采购人有推迟需要时则根据采购人要求。</w:t>
      </w:r>
    </w:p>
    <w:p>
      <w:pPr>
        <w:widowControl/>
        <w:spacing w:line="480" w:lineRule="exact"/>
        <w:ind w:firstLine="420" w:firstLineChars="200"/>
        <w:rPr>
          <w:rFonts w:ascii="宋体" w:hAnsi="宋体" w:cs="宋体"/>
          <w:szCs w:val="21"/>
        </w:rPr>
      </w:pPr>
      <w:r>
        <w:rPr>
          <w:rFonts w:hint="eastAsia" w:ascii="宋体" w:hAnsi="宋体" w:cs="宋体"/>
          <w:szCs w:val="21"/>
        </w:rPr>
        <w:t>5.安装调试时，乙方应在采购人技术人员在场情况下，对设备关键性能指标进行验证，包括厂方验收指标和带▲指标，并出具验证结果；甲方有权对乙方投标文件中的其他指标提出验收要求；当设备的重要性能指标与投标文件不符时，甲方有权要求乙方及时更换或退货，造成的费用或损失由乙方承担。验收合格的，由双方共同签署《验收报告》。</w:t>
      </w:r>
    </w:p>
    <w:p>
      <w:pPr>
        <w:widowControl/>
        <w:spacing w:line="480" w:lineRule="exact"/>
        <w:ind w:firstLine="420" w:firstLineChars="200"/>
        <w:rPr>
          <w:rFonts w:ascii="宋体" w:hAnsi="宋体" w:cs="宋体"/>
          <w:szCs w:val="21"/>
        </w:rPr>
      </w:pPr>
      <w:r>
        <w:rPr>
          <w:rFonts w:hint="eastAsia" w:ascii="宋体" w:hAnsi="宋体" w:cs="宋体"/>
          <w:szCs w:val="21"/>
        </w:rPr>
        <w:t>6.设备安装调试时，为甲方免费提供现场培训，包括设备工作原理、操作应用和维护保养知识，保证用户掌握基本的操作技能，时间不少于2天。</w:t>
      </w:r>
    </w:p>
    <w:p>
      <w:pPr>
        <w:widowControl/>
        <w:spacing w:line="480" w:lineRule="exact"/>
        <w:ind w:firstLine="420" w:firstLineChars="200"/>
        <w:rPr>
          <w:rFonts w:ascii="宋体" w:hAnsi="宋体" w:cs="宋体"/>
          <w:szCs w:val="21"/>
        </w:rPr>
      </w:pPr>
      <w:r>
        <w:rPr>
          <w:rFonts w:hint="eastAsia" w:ascii="宋体" w:hAnsi="宋体" w:cs="宋体"/>
          <w:szCs w:val="21"/>
        </w:rPr>
        <w:t>7.如果合同双方对《验收报告》有分歧，双方须于出现分歧后 7 天内给对方书面声明，以陈述己方的理由及要求，并附有关证据。分歧应通过协商解决。</w:t>
      </w:r>
    </w:p>
    <w:p>
      <w:pPr>
        <w:widowControl/>
        <w:spacing w:line="480" w:lineRule="exact"/>
        <w:ind w:firstLine="422" w:firstLineChars="200"/>
        <w:rPr>
          <w:rFonts w:ascii="宋体" w:hAnsi="宋体" w:cs="宋体"/>
          <w:b/>
          <w:szCs w:val="21"/>
        </w:rPr>
      </w:pPr>
      <w:r>
        <w:rPr>
          <w:rFonts w:hint="eastAsia" w:ascii="宋体" w:hAnsi="宋体" w:cs="宋体"/>
          <w:b/>
          <w:szCs w:val="21"/>
        </w:rPr>
        <w:t>八、质量保证及售后</w:t>
      </w:r>
    </w:p>
    <w:p>
      <w:pPr>
        <w:widowControl/>
        <w:spacing w:line="480" w:lineRule="exact"/>
        <w:ind w:firstLine="420" w:firstLineChars="200"/>
        <w:rPr>
          <w:rFonts w:ascii="宋体" w:hAnsi="宋体" w:cs="宋体"/>
          <w:szCs w:val="21"/>
        </w:rPr>
      </w:pPr>
      <w:r>
        <w:rPr>
          <w:rFonts w:hint="eastAsia" w:ascii="宋体" w:hAnsi="宋体" w:cs="宋体"/>
          <w:szCs w:val="21"/>
        </w:rPr>
        <w:t>1.上述的货物乙方提供质保期____年，终身维修。所有货物维修服务方式均为乙方上门维修，即由乙方派员到货物使用现场维修，保修期内一切费用由乙方承担。</w:t>
      </w:r>
    </w:p>
    <w:p>
      <w:pPr>
        <w:widowControl/>
        <w:spacing w:line="480" w:lineRule="exact"/>
        <w:ind w:firstLine="420" w:firstLineChars="200"/>
        <w:rPr>
          <w:rFonts w:ascii="宋体" w:hAnsi="宋体" w:cs="宋体"/>
          <w:szCs w:val="21"/>
        </w:rPr>
      </w:pPr>
      <w:r>
        <w:rPr>
          <w:rFonts w:hint="eastAsia" w:ascii="宋体" w:hAnsi="宋体" w:cs="宋体"/>
          <w:szCs w:val="21"/>
        </w:rPr>
        <w:t xml:space="preserve">2.货物安装调试完成后，乙方应继续向甲方提供良好的技术支持。应当由专门队伍从事此项工作，并提供全天候的热线技术支持服务，应当对甲方所反映的任何问题在 </w:t>
      </w:r>
      <w:r>
        <w:rPr>
          <w:rFonts w:hint="eastAsia" w:ascii="宋体" w:hAnsi="宋体" w:cs="宋体"/>
          <w:szCs w:val="21"/>
          <w:u w:val="single"/>
        </w:rPr>
        <w:t xml:space="preserve">    </w:t>
      </w:r>
      <w:r>
        <w:rPr>
          <w:rFonts w:hint="eastAsia" w:ascii="宋体" w:hAnsi="宋体" w:cs="宋体"/>
          <w:szCs w:val="21"/>
        </w:rPr>
        <w:t xml:space="preserve">小时之内做出及时响应，在 </w:t>
      </w:r>
      <w:r>
        <w:rPr>
          <w:rFonts w:hint="eastAsia" w:ascii="宋体" w:hAnsi="宋体" w:cs="宋体"/>
          <w:szCs w:val="21"/>
          <w:u w:val="single"/>
        </w:rPr>
        <w:t xml:space="preserve">    </w:t>
      </w:r>
      <w:r>
        <w:rPr>
          <w:rFonts w:hint="eastAsia" w:ascii="宋体" w:hAnsi="宋体" w:cs="宋体"/>
          <w:szCs w:val="21"/>
        </w:rPr>
        <w:t xml:space="preserve">小时之内赶到现场实地解决问题。若问题、故障在检修 </w:t>
      </w:r>
      <w:r>
        <w:rPr>
          <w:rFonts w:hint="eastAsia" w:ascii="宋体" w:hAnsi="宋体" w:cs="宋体"/>
          <w:szCs w:val="21"/>
          <w:u w:val="single"/>
        </w:rPr>
        <w:t xml:space="preserve"> 1 </w:t>
      </w:r>
      <w:r>
        <w:rPr>
          <w:rFonts w:hint="eastAsia" w:ascii="宋体" w:hAnsi="宋体" w:cs="宋体"/>
          <w:szCs w:val="21"/>
        </w:rPr>
        <w:t>工作日后仍无法解决，乙方应在</w:t>
      </w:r>
      <w:r>
        <w:rPr>
          <w:rFonts w:hint="eastAsia" w:ascii="宋体" w:hAnsi="宋体" w:cs="宋体"/>
          <w:szCs w:val="21"/>
          <w:u w:val="single"/>
        </w:rPr>
        <w:t xml:space="preserve"> 1 </w:t>
      </w:r>
      <w:r>
        <w:rPr>
          <w:rFonts w:hint="eastAsia" w:ascii="宋体" w:hAnsi="宋体" w:cs="宋体"/>
          <w:szCs w:val="21"/>
        </w:rPr>
        <w:t>日内免费提供不低于故障货物规格型号档次的备用货物供甲方使用，直至故障货物修复。</w:t>
      </w:r>
    </w:p>
    <w:p>
      <w:pPr>
        <w:widowControl/>
        <w:spacing w:line="480" w:lineRule="exact"/>
        <w:ind w:firstLine="420" w:firstLineChars="200"/>
        <w:rPr>
          <w:rFonts w:ascii="宋体" w:hAnsi="宋体" w:cs="宋体"/>
          <w:szCs w:val="21"/>
        </w:rPr>
      </w:pPr>
      <w:r>
        <w:rPr>
          <w:rFonts w:hint="eastAsia" w:ascii="宋体" w:hAnsi="宋体" w:cs="宋体"/>
          <w:szCs w:val="21"/>
        </w:rPr>
        <w:t>3.乙方应当建立健全售后服务体系，确保货物正常运行。乙方应当遵守甲方的有关管理制度、操作规程。</w:t>
      </w:r>
    </w:p>
    <w:p>
      <w:pPr>
        <w:widowControl/>
        <w:spacing w:line="480" w:lineRule="exact"/>
        <w:ind w:firstLine="420" w:firstLineChars="200"/>
        <w:rPr>
          <w:rFonts w:ascii="宋体" w:hAnsi="宋体" w:cs="宋体"/>
          <w:szCs w:val="21"/>
        </w:rPr>
      </w:pPr>
      <w:r>
        <w:rPr>
          <w:rFonts w:hint="eastAsia" w:ascii="宋体" w:hAnsi="宋体" w:cs="宋体"/>
          <w:szCs w:val="21"/>
        </w:rPr>
        <w:t>4.乙方应负责货物及主要部件、配件维修更换。质保期内，乙方对货物（人为故意损坏除外）提供全免费保修或免费更换；质保期后，收取维修成本费。</w:t>
      </w:r>
    </w:p>
    <w:p>
      <w:pPr>
        <w:widowControl/>
        <w:spacing w:line="480" w:lineRule="exact"/>
        <w:ind w:firstLine="422" w:firstLineChars="200"/>
        <w:rPr>
          <w:rFonts w:ascii="宋体" w:hAnsi="宋体" w:cs="宋体"/>
          <w:b/>
          <w:szCs w:val="21"/>
        </w:rPr>
      </w:pPr>
      <w:r>
        <w:rPr>
          <w:rFonts w:hint="eastAsia" w:ascii="宋体" w:hAnsi="宋体" w:cs="宋体"/>
          <w:b/>
          <w:szCs w:val="21"/>
        </w:rPr>
        <w:t>九、违约责任</w:t>
      </w:r>
    </w:p>
    <w:p>
      <w:pPr>
        <w:widowControl/>
        <w:spacing w:line="48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kern w:val="0"/>
          <w:szCs w:val="21"/>
        </w:rPr>
        <w:t>乙方无正当理由逾期交付货物的，逾期按每天合同价的0.5%支付违约金，最高不超过合同价的20%。</w:t>
      </w:r>
    </w:p>
    <w:p>
      <w:pPr>
        <w:widowControl/>
        <w:spacing w:line="480" w:lineRule="exact"/>
        <w:ind w:firstLine="420" w:firstLineChars="200"/>
        <w:rPr>
          <w:rFonts w:ascii="宋体" w:hAnsi="宋体" w:cs="宋体"/>
          <w:szCs w:val="21"/>
        </w:rPr>
      </w:pPr>
      <w:r>
        <w:rPr>
          <w:rFonts w:hint="eastAsia" w:ascii="宋体" w:hAnsi="宋体" w:cs="宋体"/>
          <w:szCs w:val="21"/>
        </w:rPr>
        <w:t>2.乙方所交付的货物不符合本合同规定的，甲方有权拒收，乙方在得到甲方通知之日起2个工作日内采取补救措施，逾期仍未采取有效措施的，甲方有权要求乙方赔偿因此造成的损失。</w:t>
      </w:r>
    </w:p>
    <w:p>
      <w:pPr>
        <w:widowControl/>
        <w:spacing w:line="480" w:lineRule="exact"/>
        <w:ind w:firstLine="420" w:firstLineChars="200"/>
        <w:rPr>
          <w:rFonts w:ascii="宋体" w:hAnsi="宋体" w:cs="宋体"/>
          <w:szCs w:val="21"/>
        </w:rPr>
      </w:pPr>
      <w:r>
        <w:rPr>
          <w:rFonts w:hint="eastAsia" w:ascii="宋体" w:hAnsi="宋体" w:cs="宋体"/>
          <w:szCs w:val="21"/>
        </w:rPr>
        <w:t>3.甲方无正当理由拒收货物、拒付货款的，甲方应向乙方偿付拒付货款1％的违约金。</w:t>
      </w:r>
    </w:p>
    <w:p>
      <w:pPr>
        <w:widowControl/>
        <w:spacing w:line="480" w:lineRule="exact"/>
        <w:ind w:firstLine="420" w:firstLineChars="200"/>
        <w:rPr>
          <w:rFonts w:ascii="宋体" w:hAnsi="宋体" w:cs="宋体"/>
          <w:szCs w:val="21"/>
        </w:rPr>
      </w:pPr>
      <w:r>
        <w:rPr>
          <w:rFonts w:hint="eastAsia" w:ascii="宋体" w:hAnsi="宋体" w:cs="宋体"/>
          <w:szCs w:val="21"/>
        </w:rPr>
        <w:t>4.在乙方承诺的或国家规定的质量保证期内（取两者中最长的期限），如经乙方两次维修，货物仍不能达到合同约定的质量标准、运行效果的，乙方还须赔偿甲方因此遭受的损失。</w:t>
      </w:r>
    </w:p>
    <w:p>
      <w:pPr>
        <w:widowControl/>
        <w:spacing w:line="480" w:lineRule="exact"/>
        <w:ind w:firstLine="420" w:firstLineChars="200"/>
        <w:rPr>
          <w:rFonts w:ascii="宋体" w:hAnsi="宋体" w:cs="宋体"/>
          <w:szCs w:val="21"/>
        </w:rPr>
      </w:pPr>
      <w:r>
        <w:rPr>
          <w:rFonts w:hint="eastAsia" w:ascii="宋体" w:hAnsi="宋体" w:cs="宋体"/>
          <w:szCs w:val="21"/>
        </w:rPr>
        <w:t>5.其它未尽事宜，以《中华人民共和国民法典》和《中华人民共和国政府采购法》等有关法律法规规定为准，无相关规定的，双方协商解决。</w:t>
      </w:r>
    </w:p>
    <w:p>
      <w:pPr>
        <w:widowControl/>
        <w:spacing w:line="480" w:lineRule="exact"/>
        <w:ind w:firstLine="422" w:firstLineChars="200"/>
        <w:rPr>
          <w:rFonts w:ascii="宋体" w:hAnsi="宋体" w:cs="宋体"/>
          <w:b/>
          <w:szCs w:val="21"/>
        </w:rPr>
      </w:pPr>
      <w:r>
        <w:rPr>
          <w:rFonts w:hint="eastAsia" w:ascii="宋体" w:hAnsi="宋体" w:cs="宋体"/>
          <w:b/>
          <w:szCs w:val="21"/>
        </w:rPr>
        <w:t>十、不可抗力事件处理</w:t>
      </w:r>
    </w:p>
    <w:p>
      <w:pPr>
        <w:widowControl/>
        <w:spacing w:line="480" w:lineRule="exact"/>
        <w:ind w:firstLine="420" w:firstLineChars="200"/>
        <w:rPr>
          <w:rFonts w:ascii="宋体" w:hAnsi="宋体" w:cs="宋体"/>
          <w:szCs w:val="21"/>
        </w:rPr>
      </w:pPr>
      <w:r>
        <w:rPr>
          <w:rFonts w:hint="eastAsia" w:ascii="宋体" w:hAnsi="宋体" w:cs="宋体"/>
          <w:szCs w:val="21"/>
        </w:rPr>
        <w:t>1.在合同有效期限内，任何一方因不可抗力事件导致不能履行合同，则合同履行期可延长，其延长期与不可抗力影响期相同。</w:t>
      </w:r>
    </w:p>
    <w:p>
      <w:pPr>
        <w:widowControl/>
        <w:spacing w:line="480" w:lineRule="exact"/>
        <w:ind w:firstLine="420" w:firstLineChars="200"/>
        <w:rPr>
          <w:rFonts w:ascii="宋体" w:hAnsi="宋体" w:cs="宋体"/>
          <w:szCs w:val="21"/>
        </w:rPr>
      </w:pPr>
      <w:r>
        <w:rPr>
          <w:rFonts w:hint="eastAsia" w:ascii="宋体" w:hAnsi="宋体" w:cs="宋体"/>
          <w:szCs w:val="21"/>
        </w:rPr>
        <w:t>2.不可抗力事件发生后，应立即通知对方，并寄送有关权威机构出具的证明。</w:t>
      </w:r>
    </w:p>
    <w:p>
      <w:pPr>
        <w:widowControl/>
        <w:spacing w:line="480" w:lineRule="exact"/>
        <w:ind w:firstLine="420" w:firstLineChars="200"/>
        <w:rPr>
          <w:rFonts w:ascii="宋体" w:hAnsi="宋体" w:cs="宋体"/>
          <w:szCs w:val="21"/>
        </w:rPr>
      </w:pPr>
      <w:r>
        <w:rPr>
          <w:rFonts w:hint="eastAsia" w:ascii="宋体" w:hAnsi="宋体" w:cs="宋体"/>
          <w:szCs w:val="21"/>
        </w:rPr>
        <w:t>3.不可抗力事件延续120天以上，双方应通过友好协商，确定是否继续履行合同。</w:t>
      </w:r>
    </w:p>
    <w:p>
      <w:pPr>
        <w:widowControl/>
        <w:spacing w:line="480" w:lineRule="exact"/>
        <w:ind w:firstLine="422" w:firstLineChars="200"/>
        <w:rPr>
          <w:rFonts w:ascii="宋体" w:hAnsi="宋体" w:cs="宋体"/>
          <w:b/>
          <w:szCs w:val="21"/>
        </w:rPr>
      </w:pPr>
      <w:r>
        <w:rPr>
          <w:rFonts w:hint="eastAsia" w:ascii="宋体" w:hAnsi="宋体" w:cs="宋体"/>
          <w:b/>
          <w:szCs w:val="21"/>
        </w:rPr>
        <w:t>十一、争议的解决</w:t>
      </w:r>
    </w:p>
    <w:p>
      <w:pPr>
        <w:widowControl/>
        <w:spacing w:line="480" w:lineRule="exact"/>
        <w:ind w:firstLine="420" w:firstLineChars="200"/>
        <w:rPr>
          <w:rFonts w:ascii="宋体" w:hAnsi="宋体" w:cs="宋体"/>
          <w:szCs w:val="21"/>
        </w:rPr>
      </w:pPr>
      <w:r>
        <w:rPr>
          <w:rFonts w:hint="eastAsia" w:ascii="宋体" w:hAnsi="宋体" w:cs="宋体"/>
          <w:szCs w:val="21"/>
        </w:rPr>
        <w:t>1. 因货物的质量问题发生争议的，应当邀请国家认可的质量检测机构对货物质量进行鉴定。货物符合标准的，鉴定费由甲方承担；货物不符合质量标准的，鉴定费由乙方承担。</w:t>
      </w:r>
    </w:p>
    <w:p>
      <w:pPr>
        <w:widowControl/>
        <w:spacing w:line="480" w:lineRule="exact"/>
        <w:ind w:firstLine="420" w:firstLineChars="200"/>
        <w:rPr>
          <w:rFonts w:ascii="宋体" w:hAnsi="宋体" w:cs="宋体"/>
          <w:szCs w:val="21"/>
        </w:rPr>
      </w:pPr>
      <w:r>
        <w:rPr>
          <w:rFonts w:hint="eastAsia" w:ascii="宋体" w:hAnsi="宋体" w:cs="宋体"/>
          <w:szCs w:val="21"/>
        </w:rPr>
        <w:t>2.双方在履行合同过程中产生争议时：采取仲裁方式解决的,约定向合同签订所在地仲裁委员会提请仲裁,或直接向合同签订所在地人民法院提请诉讼。</w:t>
      </w:r>
    </w:p>
    <w:p>
      <w:pPr>
        <w:widowControl/>
        <w:spacing w:line="480" w:lineRule="exact"/>
        <w:ind w:firstLine="420" w:firstLineChars="200"/>
        <w:rPr>
          <w:rFonts w:ascii="宋体" w:hAnsi="宋体" w:cs="宋体"/>
          <w:szCs w:val="21"/>
        </w:rPr>
      </w:pPr>
      <w:r>
        <w:rPr>
          <w:rFonts w:hint="eastAsia" w:ascii="宋体" w:hAnsi="宋体" w:cs="宋体"/>
          <w:szCs w:val="21"/>
        </w:rPr>
        <w:t>3.在法院审理和仲裁期间，除有争议部分外，本合同其他部分可以履行的仍应按合同条款继续履行。</w:t>
      </w:r>
    </w:p>
    <w:p>
      <w:pPr>
        <w:widowControl/>
        <w:spacing w:line="480" w:lineRule="exact"/>
        <w:ind w:firstLine="422" w:firstLineChars="200"/>
        <w:rPr>
          <w:rFonts w:ascii="宋体" w:hAnsi="宋体" w:cs="宋体"/>
          <w:b/>
          <w:szCs w:val="21"/>
        </w:rPr>
      </w:pPr>
      <w:r>
        <w:rPr>
          <w:rFonts w:hint="eastAsia" w:ascii="宋体" w:hAnsi="宋体" w:cs="宋体"/>
          <w:b/>
          <w:szCs w:val="21"/>
        </w:rPr>
        <w:t>十二、合同生效</w:t>
      </w:r>
    </w:p>
    <w:p>
      <w:pPr>
        <w:widowControl/>
        <w:spacing w:line="480" w:lineRule="exact"/>
        <w:ind w:firstLine="420" w:firstLineChars="200"/>
        <w:rPr>
          <w:rFonts w:ascii="宋体" w:hAnsi="宋体" w:cs="宋体"/>
          <w:szCs w:val="21"/>
        </w:rPr>
      </w:pPr>
      <w:r>
        <w:rPr>
          <w:rFonts w:hint="eastAsia" w:ascii="宋体" w:hAnsi="宋体" w:cs="宋体"/>
          <w:szCs w:val="21"/>
        </w:rPr>
        <w:t>1.合同经双方法定代表人或授权委托人签字加盖单位公章后生效。</w:t>
      </w:r>
    </w:p>
    <w:p>
      <w:pPr>
        <w:widowControl/>
        <w:spacing w:line="480" w:lineRule="exact"/>
        <w:ind w:firstLine="420" w:firstLineChars="200"/>
        <w:rPr>
          <w:rFonts w:ascii="宋体" w:hAnsi="宋体" w:cs="宋体"/>
          <w:szCs w:val="21"/>
        </w:rPr>
      </w:pPr>
      <w:r>
        <w:rPr>
          <w:rFonts w:hint="eastAsia" w:ascii="宋体" w:hAnsi="宋体" w:cs="宋体"/>
          <w:szCs w:val="21"/>
        </w:rPr>
        <w:t>2.合同执行中涉及采购资金和采购内容修改或补充的，作为主合同不可分割的一部分。</w:t>
      </w:r>
    </w:p>
    <w:p>
      <w:pPr>
        <w:widowControl/>
        <w:spacing w:line="480" w:lineRule="exact"/>
        <w:ind w:firstLine="420" w:firstLineChars="200"/>
        <w:rPr>
          <w:rFonts w:ascii="宋体" w:hAnsi="宋体" w:cs="宋体"/>
          <w:bCs/>
          <w:szCs w:val="21"/>
        </w:rPr>
      </w:pPr>
      <w:r>
        <w:rPr>
          <w:rFonts w:hint="eastAsia" w:ascii="宋体" w:hAnsi="宋体" w:cs="宋体"/>
          <w:szCs w:val="21"/>
        </w:rPr>
        <w:t>3.本合同一式</w:t>
      </w:r>
      <w:r>
        <w:rPr>
          <w:rFonts w:hint="eastAsia" w:ascii="宋体" w:hAnsi="宋体" w:cs="宋体"/>
          <w:szCs w:val="21"/>
          <w:u w:val="single"/>
        </w:rPr>
        <w:t xml:space="preserve"> 陆 </w:t>
      </w:r>
      <w:r>
        <w:rPr>
          <w:rFonts w:hint="eastAsia" w:ascii="宋体" w:hAnsi="宋体" w:cs="宋体"/>
          <w:szCs w:val="21"/>
        </w:rPr>
        <w:t>份，甲、乙双方各</w:t>
      </w:r>
      <w:r>
        <w:rPr>
          <w:rFonts w:hint="eastAsia" w:ascii="宋体" w:hAnsi="宋体" w:cs="宋体"/>
          <w:szCs w:val="21"/>
          <w:u w:val="single"/>
        </w:rPr>
        <w:t xml:space="preserve"> 贰 </w:t>
      </w:r>
      <w:r>
        <w:rPr>
          <w:rFonts w:hint="eastAsia" w:ascii="宋体" w:hAnsi="宋体" w:cs="宋体"/>
          <w:szCs w:val="21"/>
        </w:rPr>
        <w:t>份，代理公司</w:t>
      </w:r>
      <w:r>
        <w:rPr>
          <w:rFonts w:hint="eastAsia" w:ascii="宋体" w:hAnsi="宋体" w:cs="宋体"/>
          <w:bCs/>
          <w:szCs w:val="21"/>
        </w:rPr>
        <w:t>执</w:t>
      </w:r>
      <w:r>
        <w:rPr>
          <w:rFonts w:hint="eastAsia" w:ascii="宋体" w:hAnsi="宋体" w:cs="宋体"/>
          <w:bCs/>
          <w:szCs w:val="21"/>
          <w:u w:val="single"/>
        </w:rPr>
        <w:t>贰</w:t>
      </w:r>
      <w:r>
        <w:rPr>
          <w:rFonts w:hint="eastAsia" w:ascii="宋体" w:hAnsi="宋体" w:cs="宋体"/>
          <w:bCs/>
          <w:szCs w:val="21"/>
        </w:rPr>
        <w:t>份，均具同等法律效力。</w:t>
      </w:r>
    </w:p>
    <w:p>
      <w:pPr>
        <w:widowControl/>
        <w:spacing w:line="480" w:lineRule="exact"/>
        <w:ind w:firstLine="420" w:firstLineChars="200"/>
        <w:rPr>
          <w:rFonts w:ascii="宋体" w:hAnsi="宋体" w:cs="宋体"/>
          <w:szCs w:val="21"/>
        </w:rPr>
      </w:pPr>
      <w:r>
        <w:rPr>
          <w:rFonts w:hint="eastAsia" w:ascii="宋体" w:hAnsi="宋体" w:cs="宋体"/>
          <w:bCs/>
          <w:szCs w:val="21"/>
        </w:rPr>
        <w:t>4.本合同未尽事宜，遵照《中华人民共和国民法典》有关条文执行。</w:t>
      </w:r>
    </w:p>
    <w:p>
      <w:pPr>
        <w:pStyle w:val="28"/>
        <w:widowControl/>
        <w:tabs>
          <w:tab w:val="left" w:pos="720"/>
          <w:tab w:val="left" w:pos="1260"/>
          <w:tab w:val="left" w:pos="2160"/>
          <w:tab w:val="left" w:pos="2880"/>
          <w:tab w:val="left" w:pos="3600"/>
          <w:tab w:val="left" w:pos="4320"/>
          <w:tab w:val="left" w:pos="5040"/>
          <w:tab w:val="left" w:pos="5760"/>
        </w:tabs>
        <w:spacing w:line="480" w:lineRule="exact"/>
        <w:rPr>
          <w:rFonts w:ascii="宋体" w:hAnsi="宋体" w:cs="宋体"/>
          <w:szCs w:val="21"/>
        </w:rPr>
      </w:pPr>
    </w:p>
    <w:p>
      <w:pPr>
        <w:widowControl/>
        <w:spacing w:line="480" w:lineRule="exact"/>
        <w:rPr>
          <w:rFonts w:ascii="宋体" w:hAnsi="宋体" w:cs="宋体"/>
          <w:szCs w:val="21"/>
        </w:rPr>
      </w:pPr>
      <w:r>
        <w:rPr>
          <w:rFonts w:hint="eastAsia" w:ascii="宋体" w:hAnsi="宋体" w:cs="宋体"/>
          <w:szCs w:val="21"/>
        </w:rPr>
        <w:t>甲方（盖公章）：                           乙方（盖公章）：</w:t>
      </w:r>
    </w:p>
    <w:p>
      <w:pPr>
        <w:widowControl/>
        <w:spacing w:line="480" w:lineRule="exact"/>
        <w:rPr>
          <w:rFonts w:ascii="宋体" w:hAnsi="宋体" w:cs="宋体"/>
          <w:szCs w:val="21"/>
        </w:rPr>
      </w:pPr>
      <w:r>
        <w:rPr>
          <w:rFonts w:hint="eastAsia" w:ascii="宋体" w:hAnsi="宋体" w:cs="宋体"/>
          <w:szCs w:val="21"/>
        </w:rPr>
        <w:t>地址：                                     地址：</w:t>
      </w:r>
    </w:p>
    <w:p>
      <w:pPr>
        <w:widowControl/>
        <w:spacing w:line="480" w:lineRule="exact"/>
        <w:rPr>
          <w:rFonts w:ascii="宋体" w:hAnsi="宋体" w:cs="宋体"/>
          <w:szCs w:val="21"/>
        </w:rPr>
      </w:pPr>
      <w:r>
        <w:rPr>
          <w:rFonts w:hint="eastAsia" w:ascii="宋体" w:hAnsi="宋体" w:cs="宋体"/>
          <w:szCs w:val="21"/>
        </w:rPr>
        <w:t xml:space="preserve">法定代表人或授权委托人：                   法定代表人或授权委托人：                   </w:t>
      </w:r>
    </w:p>
    <w:p>
      <w:pPr>
        <w:widowControl/>
        <w:spacing w:line="480" w:lineRule="exact"/>
        <w:rPr>
          <w:rFonts w:ascii="宋体" w:hAnsi="宋体" w:cs="宋体"/>
          <w:szCs w:val="21"/>
        </w:rPr>
      </w:pPr>
      <w:r>
        <w:rPr>
          <w:rFonts w:hint="eastAsia" w:ascii="宋体" w:hAnsi="宋体" w:cs="宋体"/>
          <w:szCs w:val="21"/>
        </w:rPr>
        <w:t>联系电话：                                 联系电话：</w:t>
      </w:r>
    </w:p>
    <w:p>
      <w:pPr>
        <w:widowControl/>
        <w:spacing w:line="480" w:lineRule="exact"/>
        <w:rPr>
          <w:rFonts w:ascii="宋体" w:hAnsi="宋体" w:cs="宋体"/>
          <w:szCs w:val="21"/>
        </w:rPr>
      </w:pPr>
      <w:r>
        <w:rPr>
          <w:rFonts w:hint="eastAsia" w:ascii="宋体" w:hAnsi="宋体" w:cs="宋体"/>
          <w:szCs w:val="21"/>
        </w:rPr>
        <w:t xml:space="preserve">开户银行：                                 开户银行：   </w:t>
      </w:r>
    </w:p>
    <w:p>
      <w:pPr>
        <w:widowControl/>
        <w:spacing w:line="480" w:lineRule="exact"/>
        <w:rPr>
          <w:rFonts w:ascii="宋体" w:hAnsi="宋体" w:cs="宋体"/>
          <w:szCs w:val="21"/>
        </w:rPr>
      </w:pPr>
      <w:r>
        <w:rPr>
          <w:rFonts w:hint="eastAsia" w:ascii="宋体" w:hAnsi="宋体" w:cs="宋体"/>
          <w:szCs w:val="21"/>
        </w:rPr>
        <w:t>银行账号：                                 银行账号：</w:t>
      </w:r>
    </w:p>
    <w:p>
      <w:pPr>
        <w:widowControl/>
        <w:spacing w:line="480" w:lineRule="exact"/>
        <w:rPr>
          <w:rFonts w:ascii="宋体" w:hAnsi="宋体" w:cs="宋体"/>
          <w:szCs w:val="21"/>
        </w:rPr>
      </w:pPr>
      <w:r>
        <w:rPr>
          <w:rFonts w:hint="eastAsia" w:ascii="宋体" w:hAnsi="宋体" w:cs="宋体"/>
          <w:szCs w:val="21"/>
        </w:rPr>
        <w:t>签约地址：</w:t>
      </w:r>
    </w:p>
    <w:p>
      <w:pPr>
        <w:rPr>
          <w:rFonts w:ascii="宋体" w:hAnsi="宋体" w:cs="宋体"/>
          <w:b/>
          <w:szCs w:val="21"/>
        </w:rPr>
      </w:pPr>
    </w:p>
    <w:p>
      <w:pPr>
        <w:widowControl/>
        <w:spacing w:line="480" w:lineRule="exact"/>
        <w:rPr>
          <w:rFonts w:ascii="宋体" w:hAnsi="宋体" w:cs="宋体"/>
          <w:szCs w:val="21"/>
        </w:rPr>
      </w:pPr>
      <w:r>
        <w:rPr>
          <w:rFonts w:hint="eastAsia" w:ascii="宋体" w:hAnsi="宋体" w:cs="宋体"/>
          <w:szCs w:val="21"/>
        </w:rPr>
        <w:t>见证方（盖章）：</w:t>
      </w:r>
    </w:p>
    <w:p>
      <w:pPr>
        <w:widowControl/>
        <w:spacing w:line="480" w:lineRule="exact"/>
        <w:rPr>
          <w:rFonts w:ascii="宋体" w:hAnsi="宋体" w:cs="宋体"/>
          <w:szCs w:val="21"/>
        </w:rPr>
      </w:pPr>
      <w:r>
        <w:rPr>
          <w:rFonts w:hint="eastAsia" w:ascii="宋体" w:hAnsi="宋体" w:cs="宋体"/>
          <w:szCs w:val="21"/>
        </w:rPr>
        <w:t>签约日期：   年  月  日</w:t>
      </w:r>
    </w:p>
    <w:p>
      <w:pPr>
        <w:rPr>
          <w:rFonts w:ascii="宋体" w:hAnsi="宋体" w:cs="宋体"/>
          <w:szCs w:val="21"/>
        </w:rPr>
      </w:pPr>
    </w:p>
    <w:p>
      <w:pPr>
        <w:pStyle w:val="27"/>
        <w:rPr>
          <w:rFonts w:ascii="宋体" w:hAnsi="宋体" w:cs="宋体"/>
          <w:color w:val="auto"/>
          <w:sz w:val="21"/>
          <w:szCs w:val="21"/>
        </w:rPr>
      </w:pPr>
    </w:p>
    <w:p>
      <w:pPr>
        <w:rPr>
          <w:rFonts w:ascii="宋体" w:hAnsi="宋体" w:cs="宋体"/>
          <w:szCs w:val="21"/>
        </w:rPr>
      </w:pPr>
    </w:p>
    <w:p>
      <w:pPr>
        <w:pStyle w:val="36"/>
        <w:rPr>
          <w:rFonts w:ascii="宋体" w:hAnsi="宋体" w:eastAsia="宋体" w:cs="宋体"/>
          <w:sz w:val="21"/>
          <w:szCs w:val="21"/>
        </w:rPr>
      </w:pPr>
    </w:p>
    <w:p>
      <w:pPr>
        <w:pStyle w:val="36"/>
        <w:rPr>
          <w:rFonts w:ascii="宋体" w:hAnsi="宋体" w:eastAsia="宋体" w:cs="宋体"/>
          <w:sz w:val="21"/>
          <w:szCs w:val="21"/>
        </w:rPr>
      </w:pPr>
    </w:p>
    <w:p>
      <w:pPr>
        <w:pStyle w:val="36"/>
        <w:rPr>
          <w:rFonts w:ascii="宋体" w:hAnsi="宋体" w:eastAsia="宋体" w:cs="宋体"/>
          <w:sz w:val="21"/>
          <w:szCs w:val="21"/>
        </w:rPr>
      </w:pPr>
    </w:p>
    <w:p>
      <w:pPr>
        <w:pStyle w:val="36"/>
        <w:rPr>
          <w:rFonts w:ascii="宋体" w:hAnsi="宋体" w:eastAsia="宋体" w:cs="宋体"/>
          <w:sz w:val="21"/>
          <w:szCs w:val="21"/>
        </w:rPr>
      </w:pPr>
    </w:p>
    <w:p>
      <w:pPr>
        <w:pStyle w:val="36"/>
        <w:rPr>
          <w:rFonts w:ascii="宋体" w:hAnsi="宋体" w:eastAsia="宋体" w:cs="宋体"/>
          <w:sz w:val="21"/>
          <w:szCs w:val="21"/>
        </w:rPr>
      </w:pPr>
    </w:p>
    <w:p>
      <w:pPr>
        <w:pStyle w:val="36"/>
        <w:rPr>
          <w:rFonts w:ascii="宋体" w:hAnsi="宋体" w:eastAsia="宋体" w:cs="宋体"/>
          <w:sz w:val="21"/>
          <w:szCs w:val="21"/>
        </w:rPr>
      </w:pPr>
    </w:p>
    <w:p>
      <w:pPr>
        <w:pStyle w:val="36"/>
        <w:rPr>
          <w:rFonts w:ascii="宋体" w:hAnsi="宋体" w:eastAsia="宋体" w:cs="宋体"/>
          <w:sz w:val="21"/>
          <w:szCs w:val="21"/>
        </w:rPr>
      </w:pPr>
    </w:p>
    <w:p>
      <w:pPr>
        <w:pStyle w:val="36"/>
        <w:rPr>
          <w:rFonts w:ascii="宋体" w:hAnsi="宋体" w:eastAsia="宋体" w:cs="宋体"/>
          <w:sz w:val="21"/>
          <w:szCs w:val="21"/>
        </w:rPr>
      </w:pPr>
    </w:p>
    <w:p>
      <w:pPr>
        <w:pStyle w:val="36"/>
        <w:rPr>
          <w:rFonts w:ascii="宋体" w:hAnsi="宋体" w:eastAsia="宋体" w:cs="宋体"/>
          <w:sz w:val="21"/>
          <w:szCs w:val="21"/>
        </w:rPr>
      </w:pPr>
    </w:p>
    <w:p>
      <w:pPr>
        <w:pStyle w:val="36"/>
        <w:rPr>
          <w:rFonts w:ascii="宋体" w:hAnsi="宋体" w:eastAsia="宋体" w:cs="宋体"/>
          <w:sz w:val="21"/>
          <w:szCs w:val="21"/>
        </w:rPr>
      </w:pPr>
    </w:p>
    <w:p>
      <w:pPr>
        <w:pStyle w:val="36"/>
        <w:rPr>
          <w:rFonts w:ascii="宋体" w:hAnsi="宋体" w:eastAsia="宋体" w:cs="宋体"/>
          <w:sz w:val="21"/>
          <w:szCs w:val="21"/>
        </w:rPr>
      </w:pPr>
    </w:p>
    <w:p>
      <w:pPr>
        <w:pStyle w:val="36"/>
        <w:rPr>
          <w:rFonts w:ascii="宋体" w:hAnsi="宋体" w:eastAsia="宋体" w:cs="宋体"/>
          <w:sz w:val="21"/>
          <w:szCs w:val="21"/>
        </w:rPr>
      </w:pPr>
    </w:p>
    <w:p>
      <w:pPr>
        <w:pStyle w:val="36"/>
        <w:rPr>
          <w:rFonts w:ascii="宋体" w:hAnsi="宋体" w:eastAsia="宋体" w:cs="宋体"/>
          <w:sz w:val="21"/>
          <w:szCs w:val="21"/>
        </w:rPr>
      </w:pPr>
    </w:p>
    <w:p>
      <w:pPr>
        <w:pStyle w:val="36"/>
        <w:rPr>
          <w:rFonts w:ascii="宋体" w:hAnsi="宋体" w:eastAsia="宋体" w:cs="宋体"/>
          <w:sz w:val="21"/>
          <w:szCs w:val="21"/>
        </w:rPr>
      </w:pPr>
    </w:p>
    <w:p>
      <w:pPr>
        <w:pStyle w:val="36"/>
        <w:rPr>
          <w:rFonts w:ascii="宋体" w:hAnsi="宋体" w:eastAsia="宋体" w:cs="宋体"/>
          <w:sz w:val="21"/>
          <w:szCs w:val="21"/>
        </w:rPr>
      </w:pPr>
    </w:p>
    <w:p>
      <w:pPr>
        <w:pStyle w:val="36"/>
        <w:rPr>
          <w:rFonts w:ascii="宋体" w:hAnsi="宋体" w:eastAsia="宋体" w:cs="宋体"/>
          <w:sz w:val="21"/>
          <w:szCs w:val="21"/>
        </w:rPr>
      </w:pPr>
    </w:p>
    <w:p>
      <w:pPr>
        <w:pStyle w:val="36"/>
        <w:rPr>
          <w:rFonts w:ascii="宋体" w:hAnsi="宋体" w:eastAsia="宋体" w:cs="宋体"/>
          <w:sz w:val="21"/>
          <w:szCs w:val="21"/>
        </w:rPr>
      </w:pPr>
    </w:p>
    <w:p>
      <w:pPr>
        <w:pStyle w:val="36"/>
        <w:rPr>
          <w:rFonts w:ascii="宋体" w:hAnsi="宋体" w:eastAsia="宋体" w:cs="宋体"/>
          <w:sz w:val="21"/>
          <w:szCs w:val="21"/>
        </w:rPr>
      </w:pPr>
    </w:p>
    <w:p>
      <w:pPr>
        <w:pStyle w:val="36"/>
        <w:rPr>
          <w:rFonts w:ascii="宋体" w:hAnsi="宋体" w:eastAsia="宋体" w:cs="宋体"/>
          <w:sz w:val="21"/>
          <w:szCs w:val="21"/>
        </w:rPr>
      </w:pPr>
    </w:p>
    <w:p>
      <w:pPr>
        <w:pStyle w:val="36"/>
        <w:rPr>
          <w:rFonts w:ascii="宋体" w:hAnsi="宋体" w:eastAsia="宋体" w:cs="宋体"/>
          <w:sz w:val="21"/>
          <w:szCs w:val="21"/>
        </w:rPr>
      </w:pPr>
    </w:p>
    <w:p>
      <w:pPr>
        <w:pStyle w:val="36"/>
        <w:rPr>
          <w:rFonts w:ascii="宋体" w:hAnsi="宋体" w:eastAsia="宋体" w:cs="宋体"/>
          <w:sz w:val="21"/>
          <w:szCs w:val="21"/>
        </w:rPr>
      </w:pPr>
    </w:p>
    <w:p>
      <w:pPr>
        <w:spacing w:line="360" w:lineRule="auto"/>
        <w:jc w:val="center"/>
        <w:outlineLvl w:val="0"/>
        <w:rPr>
          <w:rFonts w:ascii="宋体"/>
          <w:b/>
          <w:sz w:val="36"/>
          <w:szCs w:val="36"/>
        </w:rPr>
      </w:pPr>
      <w:r>
        <w:rPr>
          <w:rFonts w:hint="eastAsia" w:ascii="宋体" w:hAnsi="宋体"/>
          <w:b/>
          <w:sz w:val="36"/>
          <w:szCs w:val="36"/>
        </w:rPr>
        <w:t>第六章 投标文件格式附件</w:t>
      </w:r>
    </w:p>
    <w:p>
      <w:pPr>
        <w:spacing w:line="360" w:lineRule="auto"/>
        <w:rPr>
          <w:rFonts w:ascii="宋体"/>
          <w:b/>
          <w:kern w:val="0"/>
          <w:sz w:val="28"/>
          <w:szCs w:val="28"/>
        </w:rPr>
      </w:pPr>
      <w:r>
        <w:rPr>
          <w:rFonts w:hint="eastAsia" w:ascii="宋体" w:hAnsi="宋体"/>
          <w:b/>
          <w:kern w:val="0"/>
          <w:sz w:val="28"/>
          <w:szCs w:val="28"/>
        </w:rPr>
        <w:t>附件</w:t>
      </w:r>
      <w:r>
        <w:rPr>
          <w:rFonts w:ascii="宋体" w:hAnsi="宋体"/>
          <w:b/>
          <w:kern w:val="0"/>
          <w:sz w:val="28"/>
          <w:szCs w:val="28"/>
        </w:rPr>
        <w:t>1</w:t>
      </w:r>
      <w:r>
        <w:rPr>
          <w:rFonts w:hint="eastAsia" w:ascii="宋体" w:hAnsi="宋体"/>
          <w:sz w:val="30"/>
          <w:szCs w:val="30"/>
        </w:rPr>
        <w:t xml:space="preserve">　　                                      </w:t>
      </w:r>
      <w:r>
        <w:rPr>
          <w:rFonts w:hint="eastAsia" w:ascii="宋体" w:hAnsi="宋体"/>
          <w:b/>
          <w:sz w:val="28"/>
        </w:rPr>
        <w:t xml:space="preserve"> </w:t>
      </w:r>
      <w:r>
        <w:rPr>
          <w:rFonts w:hint="eastAsia" w:ascii="宋体" w:hAnsi="宋体"/>
          <w:b/>
          <w:sz w:val="28"/>
          <w:u w:val="single"/>
        </w:rPr>
        <w:t xml:space="preserve">     </w:t>
      </w:r>
      <w:r>
        <w:rPr>
          <w:rFonts w:hint="eastAsia" w:ascii="宋体" w:hAnsi="宋体"/>
          <w:bCs/>
          <w:sz w:val="24"/>
        </w:rPr>
        <w:t>本</w:t>
      </w:r>
      <w:r>
        <w:rPr>
          <w:rFonts w:hint="eastAsia" w:ascii="宋体" w:hAnsi="宋体"/>
          <w:sz w:val="30"/>
          <w:szCs w:val="30"/>
        </w:rPr>
        <w:t xml:space="preserve">                       　</w:t>
      </w:r>
    </w:p>
    <w:p>
      <w:pPr>
        <w:spacing w:line="360" w:lineRule="auto"/>
        <w:rPr>
          <w:rFonts w:asciiTheme="minorEastAsia" w:hAnsiTheme="minorEastAsia" w:eastAsiaTheme="minorEastAsia"/>
          <w:b/>
          <w:sz w:val="30"/>
          <w:szCs w:val="30"/>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firstLine="1800" w:firstLineChars="500"/>
        <w:rPr>
          <w:rFonts w:ascii="宋体" w:hAnsi="宋体"/>
          <w:sz w:val="36"/>
          <w:szCs w:val="36"/>
        </w:rPr>
      </w:pPr>
      <w:r>
        <w:rPr>
          <w:rFonts w:hint="eastAsia" w:ascii="宋体" w:hAnsi="宋体"/>
          <w:sz w:val="36"/>
          <w:szCs w:val="36"/>
        </w:rPr>
        <w:t>项目编号：</w:t>
      </w:r>
    </w:p>
    <w:p>
      <w:pPr>
        <w:pStyle w:val="36"/>
      </w:pP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pPr>
      <w:r>
        <w:rPr>
          <w:rFonts w:hint="eastAsia" w:ascii="宋体" w:hAnsi="宋体" w:cs="宋体"/>
          <w:sz w:val="28"/>
          <w:szCs w:val="28"/>
          <w:lang w:val="zh-CN"/>
        </w:rPr>
        <w:t>（</w:t>
      </w:r>
      <w:r>
        <w:rPr>
          <w:rFonts w:hint="eastAsia" w:ascii="宋体" w:hAnsi="宋体"/>
          <w:b/>
          <w:spacing w:val="40"/>
          <w:sz w:val="28"/>
          <w:szCs w:val="28"/>
        </w:rPr>
        <w:t>资格证明文件）</w:t>
      </w:r>
    </w:p>
    <w:p>
      <w:pPr>
        <w:spacing w:line="360" w:lineRule="auto"/>
        <w:ind w:right="532" w:firstLine="720" w:firstLineChars="200"/>
        <w:rPr>
          <w:rFonts w:ascii="宋体"/>
          <w:sz w:val="36"/>
          <w:szCs w:val="36"/>
        </w:rPr>
      </w:pPr>
      <w:r>
        <w:rPr>
          <w:rFonts w:hint="eastAsia" w:ascii="宋体" w:hAnsi="宋体"/>
          <w:sz w:val="36"/>
          <w:szCs w:val="36"/>
        </w:rPr>
        <w:t>投标人全称（公章或CA签章）：</w:t>
      </w:r>
    </w:p>
    <w:p>
      <w:pPr>
        <w:spacing w:line="360" w:lineRule="auto"/>
        <w:ind w:right="532" w:firstLine="720" w:firstLineChars="200"/>
        <w:rPr>
          <w:rFonts w:ascii="宋体"/>
          <w:sz w:val="36"/>
          <w:szCs w:val="36"/>
        </w:rPr>
      </w:pPr>
      <w:r>
        <w:rPr>
          <w:rFonts w:hint="eastAsia" w:ascii="宋体" w:hAnsi="宋体"/>
          <w:sz w:val="36"/>
          <w:szCs w:val="36"/>
        </w:rPr>
        <w:t>地址：</w:t>
      </w:r>
    </w:p>
    <w:p>
      <w:pPr>
        <w:spacing w:line="360" w:lineRule="auto"/>
        <w:ind w:right="532" w:firstLine="720" w:firstLineChars="200"/>
        <w:rPr>
          <w:rFonts w:ascii="仿宋_GB2312" w:hAnsi="宋体" w:eastAsia="仿宋_GB2312"/>
          <w:b/>
          <w:sz w:val="36"/>
          <w:szCs w:val="36"/>
        </w:rPr>
      </w:pPr>
      <w:r>
        <w:rPr>
          <w:rFonts w:hint="eastAsia" w:ascii="宋体" w:hAnsi="宋体"/>
          <w:sz w:val="36"/>
          <w:szCs w:val="36"/>
        </w:rPr>
        <w:t>时间：</w:t>
      </w:r>
    </w:p>
    <w:p>
      <w:pPr>
        <w:snapToGrid w:val="0"/>
        <w:spacing w:before="50" w:after="50" w:line="360" w:lineRule="auto"/>
        <w:jc w:val="center"/>
        <w:outlineLvl w:val="1"/>
        <w:rPr>
          <w:rFonts w:ascii="宋体" w:hAnsi="宋体"/>
          <w:b/>
          <w:bCs/>
          <w:sz w:val="36"/>
          <w:szCs w:val="36"/>
        </w:rPr>
      </w:pPr>
      <w:r>
        <w:rPr>
          <w:rFonts w:hint="eastAsia" w:ascii="宋体" w:hAnsi="宋体"/>
          <w:b/>
          <w:bCs/>
          <w:sz w:val="36"/>
          <w:szCs w:val="36"/>
        </w:rPr>
        <w:t>资格证明文件目录</w:t>
      </w:r>
    </w:p>
    <w:p>
      <w:pPr>
        <w:snapToGrid w:val="0"/>
        <w:spacing w:before="50" w:after="50" w:line="360" w:lineRule="auto"/>
        <w:jc w:val="center"/>
        <w:rPr>
          <w:rFonts w:ascii="仿宋_GB2312" w:hAnsi="宋体" w:eastAsia="仿宋_GB2312"/>
          <w:b/>
          <w:bCs/>
          <w:sz w:val="32"/>
          <w:szCs w:val="32"/>
        </w:rPr>
      </w:pPr>
    </w:p>
    <w:p>
      <w:pPr>
        <w:spacing w:line="360" w:lineRule="auto"/>
        <w:ind w:firstLine="420" w:firstLineChars="200"/>
        <w:rPr>
          <w:rFonts w:ascii="宋体" w:hAnsi="宋体" w:cs="宋体"/>
          <w:szCs w:val="21"/>
        </w:rPr>
      </w:pPr>
      <w:r>
        <w:rPr>
          <w:rFonts w:hint="eastAsia" w:ascii="宋体" w:hAnsi="宋体" w:cs="宋体"/>
          <w:szCs w:val="21"/>
        </w:rPr>
        <w:t>（1）投标声明书；</w:t>
      </w:r>
    </w:p>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法定代表人身份证明或法定代表人授权委托书</w:t>
      </w:r>
      <w:r>
        <w:rPr>
          <w:rFonts w:hint="eastAsia" w:ascii="宋体" w:hAnsi="宋体" w:cs="宋体"/>
          <w:szCs w:val="21"/>
        </w:rPr>
        <w:t>（格式见附件)；</w:t>
      </w:r>
    </w:p>
    <w:p>
      <w:pPr>
        <w:spacing w:line="360" w:lineRule="auto"/>
        <w:ind w:firstLine="420" w:firstLineChars="200"/>
        <w:rPr>
          <w:rFonts w:ascii="宋体" w:hAnsi="宋体" w:cs="宋体"/>
          <w:szCs w:val="21"/>
        </w:rPr>
      </w:pPr>
      <w:r>
        <w:rPr>
          <w:rFonts w:hint="eastAsia" w:ascii="宋体" w:hAnsi="宋体" w:cs="宋体"/>
          <w:szCs w:val="21"/>
        </w:rPr>
        <w:t>（3）法人或者其他组织的营业执照等证明文件，自然人的身份证明；</w:t>
      </w:r>
    </w:p>
    <w:p>
      <w:pPr>
        <w:spacing w:line="360" w:lineRule="auto"/>
        <w:ind w:firstLine="420" w:firstLineChars="200"/>
        <w:rPr>
          <w:rFonts w:ascii="宋体" w:hAnsi="宋体" w:cs="宋体"/>
          <w:szCs w:val="21"/>
        </w:rPr>
      </w:pPr>
      <w:r>
        <w:rPr>
          <w:rFonts w:hint="eastAsia" w:ascii="宋体" w:hAnsi="宋体" w:cs="宋体"/>
          <w:szCs w:val="21"/>
        </w:rPr>
        <w:t>（4）具有良好的商业信誉和健全的财务会计制度的承诺（格式见附件）；</w:t>
      </w:r>
    </w:p>
    <w:p>
      <w:pPr>
        <w:spacing w:line="360" w:lineRule="auto"/>
        <w:ind w:firstLine="420" w:firstLineChars="200"/>
        <w:rPr>
          <w:rFonts w:ascii="宋体" w:hAnsi="宋体" w:cs="宋体"/>
          <w:szCs w:val="21"/>
        </w:rPr>
      </w:pPr>
      <w:r>
        <w:rPr>
          <w:rFonts w:hint="eastAsia" w:ascii="宋体" w:hAnsi="宋体" w:cs="宋体"/>
          <w:szCs w:val="21"/>
        </w:rPr>
        <w:t>（5）投标人无税收缴纳、社会保障等方面的失信记录的承诺函（格式见附件）；</w:t>
      </w:r>
    </w:p>
    <w:p>
      <w:pPr>
        <w:spacing w:line="360" w:lineRule="auto"/>
        <w:ind w:firstLine="420" w:firstLineChars="200"/>
        <w:rPr>
          <w:rFonts w:ascii="宋体" w:hAnsi="宋体" w:cs="宋体"/>
          <w:szCs w:val="21"/>
        </w:rPr>
      </w:pPr>
      <w:r>
        <w:rPr>
          <w:rFonts w:hint="eastAsia" w:ascii="宋体" w:hAnsi="宋体" w:cs="宋体"/>
          <w:szCs w:val="21"/>
        </w:rPr>
        <w:t>（6）具备履行合同所必需的设备和专业技术能力的承诺函（格式见附件）；</w:t>
      </w:r>
    </w:p>
    <w:p>
      <w:pPr>
        <w:spacing w:line="360" w:lineRule="auto"/>
        <w:ind w:firstLine="420" w:firstLineChars="200"/>
        <w:rPr>
          <w:rFonts w:ascii="宋体" w:hAnsi="宋体" w:cs="宋体"/>
        </w:rPr>
      </w:pPr>
      <w:r>
        <w:rPr>
          <w:rFonts w:hint="eastAsia" w:ascii="宋体" w:hAnsi="宋体" w:cs="宋体"/>
          <w:szCs w:val="21"/>
        </w:rPr>
        <w:t>（7）参加政府采购活动前三年内，在经营活动中没有重大违法记录（格式见附件）；</w:t>
      </w:r>
    </w:p>
    <w:p>
      <w:pPr>
        <w:spacing w:line="360" w:lineRule="auto"/>
        <w:ind w:firstLine="420" w:firstLineChars="200"/>
        <w:rPr>
          <w:rFonts w:ascii="宋体" w:hAnsi="宋体" w:cs="宋体"/>
          <w:kern w:val="0"/>
          <w:szCs w:val="21"/>
        </w:rPr>
      </w:pPr>
      <w:r>
        <w:rPr>
          <w:rFonts w:hint="eastAsia" w:ascii="宋体" w:hAnsi="宋体" w:cs="宋体"/>
          <w:szCs w:val="21"/>
        </w:rPr>
        <w:t>（8）</w:t>
      </w:r>
      <w:r>
        <w:rPr>
          <w:rFonts w:hint="eastAsia" w:ascii="宋体" w:hAnsi="宋体" w:cs="宋体"/>
          <w:kern w:val="0"/>
          <w:szCs w:val="21"/>
        </w:rPr>
        <w:t>须提供中小企业声明函等政府优惠政策适用证明材料(格式见附件)；</w:t>
      </w:r>
    </w:p>
    <w:p>
      <w:pPr>
        <w:spacing w:line="360" w:lineRule="auto"/>
        <w:rPr>
          <w:rFonts w:ascii="宋体" w:hAnsi="宋体"/>
          <w:b/>
          <w:sz w:val="28"/>
        </w:rPr>
      </w:pPr>
    </w:p>
    <w:p>
      <w:pPr>
        <w:pStyle w:val="27"/>
        <w:rPr>
          <w:color w:val="auto"/>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36"/>
      </w:pPr>
    </w:p>
    <w:p>
      <w:pPr>
        <w:spacing w:line="360" w:lineRule="auto"/>
        <w:rPr>
          <w:rFonts w:ascii="宋体" w:hAnsi="宋体"/>
          <w:b/>
          <w:sz w:val="28"/>
        </w:rPr>
      </w:pPr>
      <w:r>
        <w:rPr>
          <w:rFonts w:hint="eastAsia" w:ascii="宋体" w:hAnsi="宋体"/>
          <w:b/>
          <w:sz w:val="28"/>
        </w:rPr>
        <w:t>附件</w:t>
      </w:r>
      <w:r>
        <w:rPr>
          <w:rFonts w:ascii="宋体" w:hAnsi="宋体"/>
          <w:b/>
          <w:sz w:val="28"/>
        </w:rPr>
        <w:t>2</w:t>
      </w:r>
    </w:p>
    <w:p>
      <w:pPr>
        <w:spacing w:line="360" w:lineRule="auto"/>
        <w:jc w:val="center"/>
        <w:rPr>
          <w:rFonts w:ascii="宋体"/>
          <w:b/>
          <w:kern w:val="0"/>
          <w:sz w:val="32"/>
          <w:szCs w:val="32"/>
          <w:lang w:val="zh-CN"/>
        </w:rPr>
      </w:pPr>
      <w:r>
        <w:rPr>
          <w:rFonts w:hint="eastAsia" w:ascii="宋体" w:hAnsi="宋体"/>
          <w:b/>
          <w:kern w:val="0"/>
          <w:sz w:val="32"/>
          <w:szCs w:val="32"/>
          <w:lang w:val="zh-CN"/>
        </w:rPr>
        <w:t>投标声明书</w:t>
      </w:r>
    </w:p>
    <w:p>
      <w:pPr>
        <w:spacing w:line="360" w:lineRule="auto"/>
        <w:rPr>
          <w:szCs w:val="21"/>
          <w:u w:val="single"/>
        </w:rPr>
      </w:pPr>
      <w:r>
        <w:rPr>
          <w:rFonts w:hint="eastAsia"/>
          <w:szCs w:val="21"/>
          <w:u w:val="single"/>
        </w:rPr>
        <w:t>台州市椒江区人民政府洪家街道办事处、浙江中竞管理服务有限公司：</w:t>
      </w:r>
    </w:p>
    <w:p>
      <w:pPr>
        <w:spacing w:line="360" w:lineRule="auto"/>
        <w:ind w:firstLine="420" w:firstLineChars="200"/>
        <w:rPr>
          <w:szCs w:val="21"/>
        </w:rPr>
      </w:pPr>
      <w:r>
        <w:rPr>
          <w:rFonts w:hint="eastAsia"/>
          <w:szCs w:val="21"/>
        </w:rPr>
        <w:t>（</w:t>
      </w:r>
      <w:r>
        <w:rPr>
          <w:rFonts w:hint="eastAsia"/>
          <w:szCs w:val="21"/>
          <w:u w:val="single"/>
        </w:rPr>
        <w:t xml:space="preserve"> 投标人名称 </w:t>
      </w:r>
      <w:r>
        <w:rPr>
          <w:rFonts w:hint="eastAsia"/>
          <w:szCs w:val="21"/>
        </w:rPr>
        <w:t>）系中华人民共和国合法企业，经营地址。</w:t>
      </w:r>
    </w:p>
    <w:p>
      <w:pPr>
        <w:spacing w:line="360" w:lineRule="auto"/>
        <w:ind w:firstLine="420" w:firstLineChars="200"/>
        <w:rPr>
          <w:szCs w:val="21"/>
        </w:rPr>
      </w:pPr>
      <w:r>
        <w:rPr>
          <w:rFonts w:hint="eastAsia"/>
          <w:szCs w:val="21"/>
        </w:rPr>
        <w:t>我（</w:t>
      </w:r>
      <w:r>
        <w:rPr>
          <w:rFonts w:hint="eastAsia" w:ascii="宋体" w:hAnsi="宋体" w:cs="宋体"/>
          <w:szCs w:val="21"/>
          <w:u w:val="single"/>
        </w:rPr>
        <w:t xml:space="preserve"> 姓名 </w:t>
      </w:r>
      <w:r>
        <w:rPr>
          <w:rFonts w:hint="eastAsia"/>
          <w:szCs w:val="21"/>
        </w:rPr>
        <w:t>）系（</w:t>
      </w:r>
      <w:r>
        <w:rPr>
          <w:rFonts w:hint="eastAsia" w:ascii="宋体" w:hAnsi="宋体" w:cs="宋体"/>
          <w:szCs w:val="21"/>
          <w:u w:val="single"/>
        </w:rPr>
        <w:t xml:space="preserve"> 投标人名称 </w:t>
      </w:r>
      <w:r>
        <w:rPr>
          <w:rFonts w:hint="eastAsia"/>
          <w:szCs w:val="21"/>
        </w:rPr>
        <w:t>）的法定代表人，我公司自愿参加贵方组织的</w:t>
      </w:r>
      <w:r>
        <w:rPr>
          <w:rFonts w:hint="eastAsia"/>
          <w:szCs w:val="21"/>
          <w:u w:val="single"/>
        </w:rPr>
        <w:t>洪家街道民生工程应急防汛设备采购项目(重新招标)</w:t>
      </w:r>
      <w:r>
        <w:rPr>
          <w:rFonts w:hint="eastAsia"/>
          <w:szCs w:val="21"/>
        </w:rPr>
        <w:t>（编号为</w:t>
      </w:r>
      <w:r>
        <w:rPr>
          <w:rFonts w:hint="eastAsia" w:ascii="宋体" w:hAnsi="宋体" w:cs="宋体"/>
          <w:szCs w:val="21"/>
          <w:u w:val="single"/>
        </w:rPr>
        <w:t>ZJZJ-2023-031(1)</w:t>
      </w:r>
      <w:r>
        <w:rPr>
          <w:rFonts w:hint="eastAsia"/>
          <w:szCs w:val="21"/>
        </w:rPr>
        <w:t>）的投标，为此，我公司就本次投标有关事项郑重声明如下：</w:t>
      </w:r>
    </w:p>
    <w:p>
      <w:pPr>
        <w:spacing w:line="360" w:lineRule="auto"/>
        <w:ind w:firstLine="420" w:firstLineChars="200"/>
        <w:rPr>
          <w:rFonts w:ascii="宋体" w:hAnsi="宋体" w:cs="宋体"/>
          <w:szCs w:val="21"/>
        </w:rPr>
      </w:pPr>
      <w:r>
        <w:rPr>
          <w:rFonts w:hint="eastAsia" w:ascii="宋体" w:hAnsi="宋体" w:cs="宋体"/>
          <w:szCs w:val="21"/>
        </w:rPr>
        <w:t>一、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360" w:lineRule="auto"/>
        <w:ind w:firstLine="420" w:firstLineChars="200"/>
        <w:rPr>
          <w:rFonts w:ascii="宋体" w:hAnsi="宋体" w:cs="宋体"/>
          <w:szCs w:val="21"/>
        </w:rPr>
      </w:pPr>
      <w:r>
        <w:rPr>
          <w:rFonts w:hint="eastAsia" w:ascii="宋体" w:hAnsi="宋体" w:cs="宋体"/>
          <w:szCs w:val="21"/>
        </w:rPr>
        <w:t>二、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pacing w:line="360" w:lineRule="auto"/>
        <w:ind w:firstLine="420" w:firstLineChars="200"/>
        <w:rPr>
          <w:rFonts w:ascii="宋体" w:hAnsi="宋体" w:cs="宋体"/>
          <w:szCs w:val="21"/>
        </w:rPr>
      </w:pPr>
      <w:r>
        <w:rPr>
          <w:rFonts w:hint="eastAsia" w:ascii="宋体" w:hAnsi="宋体" w:cs="宋体"/>
          <w:szCs w:val="21"/>
        </w:rPr>
        <w:t>三、我</w:t>
      </w:r>
      <w:r>
        <w:rPr>
          <w:rFonts w:hint="eastAsia" w:ascii="宋体" w:hAnsi="宋体" w:cs="宋体"/>
          <w:szCs w:val="21"/>
          <w:lang w:val="zh-CN"/>
        </w:rPr>
        <w:t>公司</w:t>
      </w:r>
      <w:r>
        <w:rPr>
          <w:rFonts w:hint="eastAsia" w:ascii="宋体" w:hAnsi="宋体" w:cs="宋体"/>
          <w:szCs w:val="21"/>
        </w:rPr>
        <w:t>不是采购人的附属机构；在获知本项目采购信息后，与采购人聘请的为此项目提供咨询服务的公司及其附属机构没有任何联系。</w:t>
      </w:r>
    </w:p>
    <w:p>
      <w:pPr>
        <w:spacing w:line="360" w:lineRule="auto"/>
        <w:ind w:firstLine="420" w:firstLineChars="200"/>
        <w:rPr>
          <w:rFonts w:ascii="宋体" w:hAnsi="宋体" w:cs="宋体"/>
          <w:szCs w:val="21"/>
          <w:lang w:val="af-ZA"/>
        </w:rPr>
      </w:pPr>
      <w:r>
        <w:rPr>
          <w:rFonts w:hint="eastAsia" w:ascii="宋体" w:hAnsi="宋体" w:cs="宋体"/>
          <w:szCs w:val="21"/>
        </w:rPr>
        <w:t>四、我</w:t>
      </w:r>
      <w:r>
        <w:rPr>
          <w:rFonts w:hint="eastAsia" w:ascii="宋体" w:hAnsi="宋体" w:cs="宋体"/>
          <w:szCs w:val="21"/>
          <w:lang w:val="zh-CN"/>
        </w:rPr>
        <w:t>公司</w:t>
      </w:r>
      <w:r>
        <w:rPr>
          <w:rFonts w:hint="eastAsia" w:ascii="宋体" w:hAnsi="宋体" w:cs="宋体"/>
          <w:szCs w:val="21"/>
        </w:rPr>
        <w:t>保证，</w:t>
      </w:r>
      <w:r>
        <w:rPr>
          <w:rFonts w:hint="eastAsia" w:ascii="宋体" w:hAnsi="宋体" w:cs="宋体"/>
          <w:szCs w:val="21"/>
          <w:lang w:val="af-ZA"/>
        </w:rPr>
        <w:t>采购人在中华人民共和国境内使用</w:t>
      </w:r>
      <w:r>
        <w:rPr>
          <w:rFonts w:hint="eastAsia" w:ascii="宋体" w:hAnsi="宋体" w:cs="宋体"/>
          <w:szCs w:val="21"/>
        </w:rPr>
        <w:t>我</w:t>
      </w:r>
      <w:r>
        <w:rPr>
          <w:rFonts w:hint="eastAsia" w:ascii="宋体" w:hAnsi="宋体" w:cs="宋体"/>
          <w:szCs w:val="21"/>
          <w:lang w:val="zh-CN"/>
        </w:rPr>
        <w:t>公司</w:t>
      </w:r>
      <w:r>
        <w:rPr>
          <w:rFonts w:hint="eastAsia" w:ascii="宋体" w:hAnsi="宋体" w:cs="宋体"/>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60" w:lineRule="auto"/>
        <w:ind w:firstLine="420" w:firstLineChars="200"/>
        <w:rPr>
          <w:rFonts w:ascii="宋体" w:hAnsi="宋体" w:cs="宋体"/>
          <w:szCs w:val="21"/>
        </w:rPr>
      </w:pPr>
      <w:r>
        <w:rPr>
          <w:rFonts w:hint="eastAsia" w:ascii="宋体" w:hAnsi="宋体" w:cs="宋体"/>
          <w:szCs w:val="21"/>
        </w:rPr>
        <w:t>五</w:t>
      </w:r>
      <w:r>
        <w:rPr>
          <w:rFonts w:hint="eastAsia" w:ascii="宋体" w:hAnsi="宋体" w:cs="宋体"/>
          <w:szCs w:val="21"/>
          <w:lang w:val="af-ZA"/>
        </w:rPr>
        <w:t>、我</w:t>
      </w:r>
      <w:r>
        <w:rPr>
          <w:rFonts w:hint="eastAsia" w:ascii="宋体" w:hAnsi="宋体" w:cs="宋体"/>
          <w:szCs w:val="21"/>
          <w:lang w:val="zh-CN"/>
        </w:rPr>
        <w:t>公司</w:t>
      </w:r>
      <w:r>
        <w:rPr>
          <w:rFonts w:hint="eastAsia" w:ascii="宋体" w:hAnsi="宋体" w:cs="宋体"/>
          <w:szCs w:val="21"/>
          <w:lang w:val="af-ZA"/>
        </w:rPr>
        <w:t>严格履行政府采购合同，</w:t>
      </w:r>
      <w:r>
        <w:rPr>
          <w:rFonts w:hint="eastAsia" w:ascii="宋体" w:hAnsi="宋体" w:cs="宋体"/>
          <w:kern w:val="0"/>
          <w:szCs w:val="21"/>
          <w:lang w:val="af-ZA"/>
        </w:rPr>
        <w:t>除在投标文件中明确拒绝之外，均接受招标文件中的全部条件，</w:t>
      </w:r>
      <w:r>
        <w:rPr>
          <w:rFonts w:hint="eastAsia" w:ascii="宋体" w:hAnsi="宋体" w:cs="宋体"/>
          <w:szCs w:val="21"/>
          <w:lang w:val="af-ZA"/>
        </w:rPr>
        <w:t>不降低合同约定的产品质量和服务，不擅自变更、中止、终止合同，或拒绝履行合同义务；</w:t>
      </w:r>
    </w:p>
    <w:p>
      <w:pPr>
        <w:spacing w:line="360" w:lineRule="auto"/>
        <w:ind w:firstLine="420" w:firstLineChars="200"/>
        <w:rPr>
          <w:rFonts w:ascii="宋体" w:hAnsi="宋体" w:cs="宋体"/>
          <w:szCs w:val="21"/>
        </w:rPr>
      </w:pPr>
      <w:r>
        <w:rPr>
          <w:rFonts w:hint="eastAsia" w:ascii="宋体" w:hAnsi="宋体" w:cs="宋体"/>
          <w:szCs w:val="21"/>
        </w:rPr>
        <w:t>六、以上事项如有虚假或隐瞒，我</w:t>
      </w:r>
      <w:r>
        <w:rPr>
          <w:rFonts w:hint="eastAsia" w:ascii="宋体" w:hAnsi="宋体" w:cs="宋体"/>
          <w:szCs w:val="21"/>
          <w:lang w:val="zh-CN"/>
        </w:rPr>
        <w:t>公司</w:t>
      </w:r>
      <w:r>
        <w:rPr>
          <w:rFonts w:hint="eastAsia" w:ascii="宋体" w:hAnsi="宋体" w:cs="宋体"/>
          <w:szCs w:val="21"/>
        </w:rPr>
        <w:t>愿意承担一切后果，并不再寻求任何旨在减轻或免除法律责任的辩解。</w:t>
      </w:r>
    </w:p>
    <w:p>
      <w:pPr>
        <w:spacing w:line="360" w:lineRule="auto"/>
        <w:ind w:firstLine="420" w:firstLineChars="200"/>
        <w:rPr>
          <w:rFonts w:ascii="宋体" w:hAnsi="宋体" w:cs="宋体"/>
          <w:szCs w:val="21"/>
        </w:rPr>
      </w:pPr>
      <w:r>
        <w:rPr>
          <w:rFonts w:hint="eastAsia" w:ascii="宋体" w:hAnsi="宋体" w:cs="宋体"/>
          <w:szCs w:val="21"/>
        </w:rPr>
        <w:t>本单位若违反以上承诺，将无条件接受项目主管部门和有关监督管理部门的调查，并愿意承担取消中标资格、没收履约保证金及限制在本地区参与投标等一切法律责任。</w:t>
      </w:r>
    </w:p>
    <w:p>
      <w:pPr>
        <w:spacing w:line="360" w:lineRule="auto"/>
        <w:ind w:firstLine="3360" w:firstLineChars="1600"/>
        <w:rPr>
          <w:rFonts w:ascii="宋体" w:hAnsi="宋体" w:cs="宋体"/>
          <w:szCs w:val="21"/>
          <w:lang w:val="zh-CN"/>
        </w:rPr>
      </w:pPr>
      <w:r>
        <w:rPr>
          <w:rFonts w:hint="eastAsia" w:ascii="宋体" w:hAnsi="宋体" w:cs="宋体"/>
          <w:szCs w:val="21"/>
          <w:lang w:val="zh-CN"/>
        </w:rPr>
        <w:t>投标人名称(公章或</w:t>
      </w:r>
      <w:r>
        <w:rPr>
          <w:rFonts w:hint="eastAsia" w:ascii="宋体" w:hAnsi="宋体" w:cs="宋体"/>
          <w:szCs w:val="21"/>
        </w:rPr>
        <w:t>CA签章</w:t>
      </w:r>
      <w:r>
        <w:rPr>
          <w:rFonts w:hint="eastAsia" w:ascii="宋体" w:hAnsi="宋体" w:cs="宋体"/>
          <w:szCs w:val="21"/>
          <w:lang w:val="zh-CN"/>
        </w:rPr>
        <w:t>)：</w:t>
      </w:r>
    </w:p>
    <w:p>
      <w:pPr>
        <w:spacing w:line="360" w:lineRule="auto"/>
        <w:ind w:firstLine="3360" w:firstLineChars="1600"/>
        <w:rPr>
          <w:rFonts w:ascii="宋体" w:hAnsi="宋体" w:cs="宋体"/>
          <w:szCs w:val="21"/>
        </w:rPr>
      </w:pPr>
      <w:r>
        <w:rPr>
          <w:rFonts w:hint="eastAsia" w:ascii="宋体" w:hAnsi="宋体" w:cs="宋体"/>
          <w:szCs w:val="21"/>
          <w:lang w:val="zh-CN"/>
        </w:rPr>
        <w:t>法定代表人或授权委托代理人（签字或盖章）：</w:t>
      </w:r>
    </w:p>
    <w:p>
      <w:pPr>
        <w:spacing w:line="360" w:lineRule="auto"/>
        <w:ind w:firstLine="420" w:firstLineChars="200"/>
        <w:jc w:val="center"/>
        <w:rPr>
          <w:rFonts w:ascii="宋体"/>
          <w:b/>
          <w:szCs w:val="21"/>
        </w:rPr>
      </w:pPr>
      <w:r>
        <w:rPr>
          <w:rFonts w:hint="eastAsia" w:ascii="宋体" w:hAnsi="宋体" w:cs="宋体"/>
          <w:szCs w:val="21"/>
        </w:rPr>
        <w:t xml:space="preserve">       </w:t>
      </w:r>
      <w:r>
        <w:rPr>
          <w:rFonts w:hint="eastAsia" w:ascii="宋体" w:hAnsi="宋体" w:cs="宋体"/>
          <w:szCs w:val="21"/>
          <w:lang w:val="zh-CN"/>
        </w:rPr>
        <w:t>日期：</w:t>
      </w:r>
      <w:r>
        <w:rPr>
          <w:rFonts w:hint="eastAsia" w:ascii="宋体" w:hAnsi="宋体" w:cs="宋体"/>
          <w:szCs w:val="21"/>
        </w:rPr>
        <w:t>年  月  日</w:t>
      </w:r>
    </w:p>
    <w:p>
      <w:pPr>
        <w:adjustRightInd w:val="0"/>
        <w:snapToGrid w:val="0"/>
        <w:spacing w:line="360" w:lineRule="auto"/>
        <w:ind w:right="480"/>
        <w:rPr>
          <w:rFonts w:ascii="宋体"/>
          <w:b/>
          <w:sz w:val="30"/>
          <w:szCs w:val="30"/>
        </w:rPr>
      </w:pPr>
      <w:r>
        <w:rPr>
          <w:rFonts w:hint="eastAsia" w:ascii="宋体" w:hAnsi="宋体"/>
          <w:b/>
          <w:sz w:val="28"/>
        </w:rPr>
        <w:t>附件</w:t>
      </w:r>
      <w:r>
        <w:rPr>
          <w:rFonts w:ascii="宋体" w:hAnsi="宋体"/>
          <w:b/>
          <w:sz w:val="28"/>
        </w:rPr>
        <w:t>3</w:t>
      </w:r>
      <w:r>
        <w:rPr>
          <w:rFonts w:hint="eastAsia" w:ascii="宋体" w:hAnsi="宋体"/>
          <w:b/>
          <w:sz w:val="28"/>
        </w:rPr>
        <w:t>-1</w:t>
      </w:r>
    </w:p>
    <w:p>
      <w:pPr>
        <w:spacing w:line="360" w:lineRule="auto"/>
        <w:ind w:firstLine="321" w:firstLineChars="100"/>
        <w:jc w:val="center"/>
        <w:rPr>
          <w:rFonts w:hAnsi="宋体"/>
          <w:b/>
          <w:sz w:val="32"/>
          <w:szCs w:val="32"/>
          <w:u w:val="single"/>
        </w:rPr>
      </w:pPr>
      <w:r>
        <w:rPr>
          <w:rFonts w:hint="eastAsia"/>
          <w:b/>
          <w:sz w:val="32"/>
          <w:szCs w:val="32"/>
        </w:rPr>
        <w:t>法定代表人授权委托书</w:t>
      </w:r>
    </w:p>
    <w:p>
      <w:pPr>
        <w:pStyle w:val="13"/>
        <w:spacing w:line="360" w:lineRule="auto"/>
        <w:ind w:left="210" w:hanging="210" w:hangingChars="100"/>
        <w:rPr>
          <w:rFonts w:hAnsi="宋体" w:cs="宋体"/>
          <w:kern w:val="0"/>
          <w:szCs w:val="21"/>
        </w:rPr>
      </w:pPr>
      <w:r>
        <w:rPr>
          <w:rFonts w:hint="eastAsia" w:hAnsi="宋体"/>
          <w:szCs w:val="21"/>
          <w:u w:val="single"/>
        </w:rPr>
        <w:t>台州市椒江区人民政府洪家街道办事处、浙江中竞管理服务有限公司</w:t>
      </w:r>
      <w:r>
        <w:rPr>
          <w:rFonts w:hint="eastAsia" w:hAnsi="宋体" w:cs="宋体"/>
          <w:kern w:val="0"/>
          <w:szCs w:val="21"/>
        </w:rPr>
        <w:t>：</w:t>
      </w:r>
    </w:p>
    <w:p>
      <w:pPr>
        <w:pStyle w:val="13"/>
        <w:spacing w:line="360" w:lineRule="auto"/>
        <w:ind w:left="210" w:hanging="210" w:hangingChars="100"/>
        <w:rPr>
          <w:rFonts w:hAnsi="宋体"/>
          <w:szCs w:val="21"/>
        </w:rPr>
      </w:pPr>
      <w:r>
        <w:rPr>
          <w:rFonts w:hint="eastAsia" w:hAnsi="宋体"/>
          <w:szCs w:val="21"/>
          <w:u w:val="single"/>
        </w:rPr>
        <w:t>（投标人全称）</w:t>
      </w:r>
      <w:r>
        <w:rPr>
          <w:rFonts w:hint="eastAsia" w:hAnsi="宋体"/>
          <w:szCs w:val="21"/>
        </w:rPr>
        <w:t>法定代表人</w:t>
      </w:r>
      <w:r>
        <w:rPr>
          <w:rFonts w:hint="eastAsia" w:ascii="Arial" w:hAnsi="Arial" w:cs="Arial"/>
          <w:szCs w:val="21"/>
        </w:rPr>
        <w:t>（或营业执照中单位负责人）</w:t>
      </w:r>
      <w:r>
        <w:rPr>
          <w:rFonts w:hAnsi="宋体"/>
          <w:szCs w:val="21"/>
          <w:u w:val="single"/>
        </w:rPr>
        <w:tab/>
      </w:r>
      <w:r>
        <w:rPr>
          <w:rFonts w:hint="eastAsia" w:hAnsi="宋体"/>
          <w:szCs w:val="21"/>
          <w:u w:val="single"/>
        </w:rPr>
        <w:t>（法定代表人</w:t>
      </w:r>
      <w:r>
        <w:rPr>
          <w:rFonts w:hint="eastAsia" w:ascii="Arial" w:hAnsi="Arial" w:cs="Arial"/>
          <w:szCs w:val="21"/>
          <w:u w:val="single"/>
        </w:rPr>
        <w:t>或营业执照中单位负责人</w:t>
      </w:r>
      <w:r>
        <w:rPr>
          <w:rFonts w:hint="eastAsia" w:hAnsi="宋体"/>
          <w:szCs w:val="21"/>
          <w:u w:val="single"/>
        </w:rPr>
        <w:t>姓名）</w:t>
      </w:r>
      <w:r>
        <w:rPr>
          <w:rFonts w:hint="eastAsia" w:hAnsi="宋体"/>
          <w:szCs w:val="21"/>
        </w:rPr>
        <w:t>授权</w:t>
      </w:r>
      <w:r>
        <w:rPr>
          <w:rFonts w:hint="eastAsia" w:hAnsi="宋体"/>
          <w:szCs w:val="21"/>
          <w:u w:val="single"/>
        </w:rPr>
        <w:t>（授权委托代理人姓名）</w:t>
      </w:r>
      <w:r>
        <w:rPr>
          <w:rFonts w:hint="eastAsia" w:hAnsi="宋体"/>
          <w:szCs w:val="21"/>
        </w:rPr>
        <w:t>为授权委托代理人，参加贵单位组织的</w:t>
      </w:r>
      <w:r>
        <w:rPr>
          <w:rFonts w:hint="eastAsia" w:hAnsi="Times New Roman"/>
          <w:kern w:val="0"/>
          <w:szCs w:val="21"/>
          <w:u w:val="single"/>
        </w:rPr>
        <w:t>洪家街道民生工程应急防汛设备采购项目(重新招标)</w:t>
      </w:r>
      <w:r>
        <w:rPr>
          <w:rFonts w:hint="eastAsia" w:hAnsi="宋体"/>
          <w:szCs w:val="21"/>
        </w:rPr>
        <w:t>的采购活动，并代表我方全权办理针对上述项目的投标、开标、评标、签约等具体事务和签署相关文件。我方对授权委托代理人的签字事项负全部责任。</w:t>
      </w:r>
    </w:p>
    <w:p>
      <w:pPr>
        <w:pStyle w:val="13"/>
        <w:spacing w:line="360" w:lineRule="auto"/>
        <w:ind w:left="139" w:leftChars="66" w:firstLine="420" w:firstLineChars="200"/>
        <w:rPr>
          <w:rFonts w:hAnsi="宋体"/>
          <w:szCs w:val="21"/>
        </w:rPr>
      </w:pPr>
      <w:r>
        <w:rPr>
          <w:rFonts w:hint="eastAsia" w:hAnsi="宋体"/>
          <w:szCs w:val="21"/>
        </w:rPr>
        <w:t>在撤销授权的书面通知以前，本授权书一直有效。授权委托代理人在授权委托书有效期内签署的所有文件不因授权的撤销而失效。</w:t>
      </w:r>
    </w:p>
    <w:p>
      <w:pPr>
        <w:pStyle w:val="13"/>
        <w:spacing w:line="360" w:lineRule="auto"/>
        <w:ind w:left="139" w:leftChars="66" w:firstLine="420" w:firstLineChars="200"/>
        <w:rPr>
          <w:rFonts w:hAnsi="宋体"/>
          <w:szCs w:val="21"/>
        </w:rPr>
      </w:pPr>
      <w:r>
        <w:rPr>
          <w:rFonts w:hint="eastAsia" w:hAnsi="宋体"/>
          <w:szCs w:val="21"/>
        </w:rPr>
        <w:t>授权委托代理人无转委托权，特此委托。</w:t>
      </w:r>
    </w:p>
    <w:p>
      <w:pPr>
        <w:spacing w:line="360" w:lineRule="auto"/>
        <w:rPr>
          <w:szCs w:val="21"/>
        </w:rPr>
      </w:pPr>
    </w:p>
    <w:p>
      <w:pPr>
        <w:spacing w:line="360" w:lineRule="auto"/>
        <w:rPr>
          <w:szCs w:val="21"/>
        </w:rPr>
      </w:pPr>
      <w:r>
        <w:rPr>
          <w:rFonts w:hint="eastAsia" w:ascii="宋体"/>
          <w:szCs w:val="21"/>
        </w:rPr>
        <w:t>法定代表人签字或盖章：</w:t>
      </w:r>
    </w:p>
    <w:p>
      <w:pPr>
        <w:spacing w:line="360" w:lineRule="auto"/>
        <w:rPr>
          <w:szCs w:val="21"/>
        </w:rPr>
      </w:pPr>
      <w:r>
        <w:rPr>
          <w:rFonts w:hint="eastAsia" w:ascii="宋体"/>
          <w:szCs w:val="21"/>
        </w:rPr>
        <w:t>投标人全称（公章或CA签章）：               日期：</w:t>
      </w:r>
      <w:r>
        <w:rPr>
          <w:rFonts w:hint="eastAsia" w:ascii="宋体"/>
          <w:szCs w:val="21"/>
          <w:u w:val="single"/>
        </w:rPr>
        <w:t xml:space="preserve">     </w:t>
      </w:r>
      <w:r>
        <w:rPr>
          <w:rFonts w:hint="eastAsia" w:ascii="宋体"/>
          <w:szCs w:val="21"/>
          <w:lang w:val="zh-CN"/>
        </w:rPr>
        <w:t>年</w:t>
      </w:r>
      <w:r>
        <w:rPr>
          <w:rFonts w:hint="eastAsia" w:ascii="宋体"/>
          <w:szCs w:val="21"/>
          <w:u w:val="single"/>
        </w:rPr>
        <w:t xml:space="preserve">    </w:t>
      </w:r>
      <w:r>
        <w:rPr>
          <w:rFonts w:hint="eastAsia" w:ascii="宋体"/>
          <w:szCs w:val="21"/>
          <w:lang w:val="zh-CN"/>
        </w:rPr>
        <w:t>月</w:t>
      </w:r>
      <w:r>
        <w:rPr>
          <w:rFonts w:hint="eastAsia" w:ascii="宋体"/>
          <w:szCs w:val="21"/>
          <w:u w:val="single"/>
        </w:rPr>
        <w:t xml:space="preserve">    </w:t>
      </w:r>
      <w:r>
        <w:rPr>
          <w:rFonts w:hint="eastAsia" w:ascii="宋体"/>
          <w:szCs w:val="21"/>
          <w:lang w:val="zh-CN"/>
        </w:rPr>
        <w:t>日</w:t>
      </w:r>
    </w:p>
    <w:p>
      <w:pPr>
        <w:spacing w:line="360" w:lineRule="auto"/>
        <w:rPr>
          <w:szCs w:val="21"/>
        </w:rPr>
      </w:pPr>
    </w:p>
    <w:p>
      <w:pPr>
        <w:spacing w:line="360" w:lineRule="auto"/>
        <w:rPr>
          <w:b/>
          <w:szCs w:val="21"/>
        </w:rPr>
      </w:pPr>
      <w:r>
        <w:rPr>
          <w:rFonts w:hint="eastAsia" w:ascii="宋体"/>
          <w:b/>
          <w:szCs w:val="21"/>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Cs w:val="21"/>
              </w:rPr>
            </w:pPr>
          </w:p>
          <w:p>
            <w:pPr>
              <w:spacing w:line="360" w:lineRule="auto"/>
              <w:ind w:firstLine="316" w:firstLineChars="150"/>
              <w:rPr>
                <w:rFonts w:ascii="宋体"/>
                <w:b/>
                <w:szCs w:val="21"/>
              </w:rPr>
            </w:pPr>
            <w:r>
              <w:rPr>
                <w:rFonts w:hint="eastAsia" w:ascii="宋体"/>
                <w:b/>
                <w:szCs w:val="21"/>
              </w:rPr>
              <w:t>法定代表身份证复印件粘帖处</w:t>
            </w:r>
          </w:p>
        </w:tc>
      </w:tr>
    </w:tbl>
    <w:p>
      <w:pPr>
        <w:spacing w:line="360" w:lineRule="auto"/>
        <w:rPr>
          <w:szCs w:val="21"/>
        </w:rPr>
      </w:pPr>
      <w:r>
        <w:rPr>
          <w:rFonts w:hint="eastAsia" w:ascii="宋体"/>
          <w:szCs w:val="21"/>
        </w:rPr>
        <w:t>法定代表人姓名：</w:t>
      </w:r>
    </w:p>
    <w:p>
      <w:pPr>
        <w:spacing w:line="360" w:lineRule="auto"/>
        <w:rPr>
          <w:szCs w:val="21"/>
        </w:rPr>
      </w:pPr>
      <w:r>
        <w:rPr>
          <w:rFonts w:hint="eastAsia" w:ascii="宋体"/>
          <w:szCs w:val="21"/>
        </w:rPr>
        <w:t>传真：</w:t>
      </w:r>
    </w:p>
    <w:p>
      <w:pPr>
        <w:spacing w:line="360" w:lineRule="auto"/>
        <w:rPr>
          <w:rFonts w:ascii="宋体"/>
          <w:szCs w:val="21"/>
        </w:rPr>
      </w:pPr>
      <w:r>
        <w:rPr>
          <w:rFonts w:hint="eastAsia" w:ascii="宋体"/>
          <w:szCs w:val="21"/>
        </w:rPr>
        <w:t>电话：</w:t>
      </w:r>
    </w:p>
    <w:p>
      <w:pPr>
        <w:spacing w:line="360" w:lineRule="auto"/>
        <w:rPr>
          <w:szCs w:val="21"/>
        </w:rPr>
      </w:pPr>
      <w:r>
        <w:rPr>
          <w:rFonts w:hint="eastAsia" w:ascii="宋体"/>
          <w:szCs w:val="21"/>
        </w:rPr>
        <w:t>详细通讯地址：</w:t>
      </w:r>
    </w:p>
    <w:p>
      <w:pPr>
        <w:spacing w:line="360" w:lineRule="auto"/>
        <w:rPr>
          <w:rFonts w:ascii="宋体"/>
          <w:szCs w:val="21"/>
        </w:rPr>
      </w:pPr>
      <w:r>
        <w:rPr>
          <w:rFonts w:hint="eastAsia" w:ascii="宋体"/>
          <w:szCs w:val="21"/>
        </w:rPr>
        <w:t>邮政编码：</w:t>
      </w:r>
    </w:p>
    <w:p>
      <w:pPr>
        <w:spacing w:line="360" w:lineRule="auto"/>
        <w:rPr>
          <w:b/>
          <w:szCs w:val="21"/>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Cs w:val="21"/>
              </w:rPr>
            </w:pPr>
          </w:p>
          <w:p>
            <w:pPr>
              <w:spacing w:line="360" w:lineRule="auto"/>
              <w:rPr>
                <w:rFonts w:ascii="宋体"/>
                <w:b/>
                <w:szCs w:val="21"/>
              </w:rPr>
            </w:pPr>
            <w:r>
              <w:rPr>
                <w:rFonts w:hint="eastAsia" w:ascii="宋体"/>
                <w:b/>
                <w:szCs w:val="21"/>
              </w:rPr>
              <w:t>授权委托代理人身份证复印件粘帖处</w:t>
            </w:r>
          </w:p>
        </w:tc>
      </w:tr>
    </w:tbl>
    <w:p>
      <w:pPr>
        <w:spacing w:line="360" w:lineRule="auto"/>
        <w:rPr>
          <w:rFonts w:ascii="宋体"/>
          <w:szCs w:val="21"/>
        </w:rPr>
      </w:pPr>
      <w:r>
        <w:rPr>
          <w:rFonts w:hint="eastAsia" w:ascii="宋体"/>
          <w:szCs w:val="21"/>
        </w:rPr>
        <w:t>授权委托代理人姓名：</w:t>
      </w:r>
    </w:p>
    <w:p>
      <w:pPr>
        <w:spacing w:line="360" w:lineRule="auto"/>
        <w:rPr>
          <w:szCs w:val="21"/>
        </w:rPr>
      </w:pPr>
      <w:r>
        <w:rPr>
          <w:rFonts w:hint="eastAsia" w:ascii="宋体"/>
          <w:szCs w:val="21"/>
        </w:rPr>
        <w:t>职务：</w:t>
      </w:r>
    </w:p>
    <w:p>
      <w:pPr>
        <w:spacing w:line="360" w:lineRule="auto"/>
        <w:rPr>
          <w:szCs w:val="21"/>
        </w:rPr>
      </w:pPr>
      <w:r>
        <w:rPr>
          <w:rFonts w:hint="eastAsia" w:ascii="宋体"/>
          <w:szCs w:val="21"/>
        </w:rPr>
        <w:t>传真：</w:t>
      </w:r>
    </w:p>
    <w:p>
      <w:pPr>
        <w:spacing w:line="360" w:lineRule="auto"/>
        <w:rPr>
          <w:rFonts w:ascii="宋体"/>
          <w:szCs w:val="21"/>
        </w:rPr>
      </w:pPr>
      <w:r>
        <w:rPr>
          <w:rFonts w:hint="eastAsia" w:ascii="宋体"/>
          <w:szCs w:val="21"/>
        </w:rPr>
        <w:t>电话：</w:t>
      </w:r>
    </w:p>
    <w:p>
      <w:pPr>
        <w:spacing w:line="360" w:lineRule="auto"/>
        <w:rPr>
          <w:szCs w:val="21"/>
        </w:rPr>
      </w:pPr>
      <w:r>
        <w:rPr>
          <w:rFonts w:hint="eastAsia" w:ascii="宋体"/>
          <w:szCs w:val="21"/>
        </w:rPr>
        <w:t>详细通讯地址：</w:t>
      </w:r>
    </w:p>
    <w:p>
      <w:pPr>
        <w:spacing w:line="360" w:lineRule="auto"/>
        <w:rPr>
          <w:rFonts w:ascii="宋体"/>
          <w:szCs w:val="21"/>
        </w:rPr>
      </w:pPr>
      <w:r>
        <w:rPr>
          <w:rFonts w:hint="eastAsia" w:ascii="宋体"/>
          <w:szCs w:val="21"/>
        </w:rPr>
        <w:t>邮政编码：</w:t>
      </w:r>
    </w:p>
    <w:p>
      <w:pPr>
        <w:pStyle w:val="63"/>
        <w:widowControl w:val="0"/>
        <w:snapToGrid w:val="0"/>
        <w:spacing w:line="360" w:lineRule="auto"/>
        <w:jc w:val="both"/>
        <w:rPr>
          <w:rFonts w:ascii="Times New Roman" w:hAnsi="Times New Roman"/>
          <w:b/>
          <w:kern w:val="2"/>
          <w:sz w:val="21"/>
          <w:szCs w:val="21"/>
        </w:rPr>
      </w:pPr>
    </w:p>
    <w:p>
      <w:pPr>
        <w:spacing w:line="340" w:lineRule="atLeast"/>
        <w:rPr>
          <w:rFonts w:ascii="仿宋" w:hAnsi="仿宋" w:eastAsia="仿宋" w:cs="仿宋"/>
          <w:b/>
          <w:sz w:val="28"/>
          <w:szCs w:val="28"/>
        </w:rPr>
      </w:pPr>
      <w:r>
        <w:rPr>
          <w:rFonts w:hint="eastAsia"/>
          <w:b/>
          <w:sz w:val="32"/>
          <w:szCs w:val="32"/>
        </w:rPr>
        <w:tab/>
      </w:r>
      <w:r>
        <w:rPr>
          <w:rFonts w:hint="eastAsia" w:ascii="仿宋" w:hAnsi="仿宋" w:eastAsia="仿宋" w:cs="仿宋"/>
          <w:b/>
          <w:sz w:val="28"/>
          <w:szCs w:val="28"/>
        </w:rPr>
        <w:t>附件3-2</w:t>
      </w:r>
    </w:p>
    <w:p>
      <w:pPr>
        <w:spacing w:line="340" w:lineRule="atLeast"/>
        <w:jc w:val="center"/>
        <w:rPr>
          <w:rFonts w:ascii="宋体" w:hAnsi="宋体" w:cs="宋体"/>
          <w:b/>
          <w:szCs w:val="21"/>
        </w:rPr>
      </w:pPr>
      <w:r>
        <w:rPr>
          <w:rFonts w:hint="eastAsia" w:ascii="宋体" w:hAnsi="宋体" w:cs="宋体"/>
          <w:b/>
          <w:szCs w:val="21"/>
        </w:rPr>
        <w:t>法定代表人身份证明书</w:t>
      </w:r>
    </w:p>
    <w:p>
      <w:pPr>
        <w:spacing w:line="340" w:lineRule="atLeast"/>
        <w:rPr>
          <w:rFonts w:ascii="宋体" w:hAnsi="宋体" w:cs="宋体"/>
          <w:szCs w:val="21"/>
        </w:rPr>
      </w:pPr>
    </w:p>
    <w:p>
      <w:pPr>
        <w:spacing w:line="340" w:lineRule="atLeast"/>
        <w:rPr>
          <w:rFonts w:ascii="宋体" w:hAnsi="宋体" w:cs="宋体"/>
          <w:szCs w:val="21"/>
          <w:u w:val="single"/>
        </w:rPr>
      </w:pPr>
      <w:r>
        <w:rPr>
          <w:rFonts w:hint="eastAsia" w:ascii="宋体" w:hAnsi="宋体" w:cs="宋体"/>
          <w:szCs w:val="21"/>
        </w:rPr>
        <w:t>单位名称：</w:t>
      </w:r>
      <w:r>
        <w:rPr>
          <w:rFonts w:hint="eastAsia" w:ascii="宋体" w:hAnsi="宋体" w:cs="宋体"/>
          <w:szCs w:val="21"/>
          <w:u w:val="single"/>
        </w:rPr>
        <w:t>　　　　　　　　　　　　　　　　　　　　　　　</w:t>
      </w:r>
    </w:p>
    <w:p>
      <w:pPr>
        <w:spacing w:line="340" w:lineRule="atLeast"/>
        <w:rPr>
          <w:rFonts w:ascii="宋体" w:hAnsi="宋体" w:cs="宋体"/>
          <w:szCs w:val="21"/>
          <w:u w:val="single"/>
        </w:rPr>
      </w:pPr>
      <w:r>
        <w:rPr>
          <w:rFonts w:hint="eastAsia" w:ascii="宋体" w:hAnsi="宋体" w:cs="宋体"/>
          <w:szCs w:val="21"/>
        </w:rPr>
        <w:t>单位性质：</w:t>
      </w:r>
      <w:r>
        <w:rPr>
          <w:rFonts w:hint="eastAsia" w:ascii="宋体" w:hAnsi="宋体" w:cs="宋体"/>
          <w:szCs w:val="21"/>
          <w:u w:val="single"/>
        </w:rPr>
        <w:t>　　　　　　　　　　　　　　　　　　　　　　　</w:t>
      </w:r>
    </w:p>
    <w:p>
      <w:pPr>
        <w:spacing w:line="340" w:lineRule="atLeast"/>
        <w:rPr>
          <w:rFonts w:ascii="宋体" w:hAnsi="宋体" w:cs="宋体"/>
          <w:szCs w:val="21"/>
          <w:u w:val="single"/>
        </w:rPr>
      </w:pPr>
      <w:r>
        <w:rPr>
          <w:rFonts w:hint="eastAsia" w:ascii="宋体" w:hAnsi="宋体" w:cs="宋体"/>
          <w:szCs w:val="21"/>
        </w:rPr>
        <w:t>地　　址：</w:t>
      </w:r>
      <w:r>
        <w:rPr>
          <w:rFonts w:hint="eastAsia" w:ascii="宋体" w:hAnsi="宋体" w:cs="宋体"/>
          <w:szCs w:val="21"/>
          <w:u w:val="single"/>
        </w:rPr>
        <w:t>　　　　　　　　　　　　　　　　　　　　　　　</w:t>
      </w:r>
    </w:p>
    <w:p>
      <w:pPr>
        <w:spacing w:line="340" w:lineRule="atLeast"/>
        <w:rPr>
          <w:rFonts w:ascii="宋体" w:hAnsi="宋体" w:cs="宋体"/>
          <w:szCs w:val="21"/>
          <w:u w:val="single"/>
        </w:rPr>
      </w:pPr>
      <w:r>
        <w:rPr>
          <w:rFonts w:hint="eastAsia" w:ascii="宋体" w:hAnsi="宋体" w:cs="宋体"/>
          <w:szCs w:val="21"/>
        </w:rPr>
        <w:t>电话号码：</w:t>
      </w:r>
      <w:r>
        <w:rPr>
          <w:rFonts w:hint="eastAsia" w:ascii="宋体" w:hAnsi="宋体" w:cs="宋体"/>
          <w:szCs w:val="21"/>
          <w:u w:val="single"/>
        </w:rPr>
        <w:t>　　　　　　　　　　　　　　　　　　　　　　　</w:t>
      </w:r>
    </w:p>
    <w:p>
      <w:pPr>
        <w:spacing w:line="340" w:lineRule="atLeast"/>
        <w:rPr>
          <w:rFonts w:ascii="宋体" w:hAnsi="宋体" w:cs="宋体"/>
          <w:szCs w:val="21"/>
        </w:rPr>
      </w:pPr>
      <w:r>
        <w:rPr>
          <w:rFonts w:hint="eastAsia" w:ascii="宋体" w:hAnsi="宋体" w:cs="宋体"/>
          <w:szCs w:val="21"/>
        </w:rPr>
        <w:t>成立时间：</w:t>
      </w: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p>
      <w:pPr>
        <w:spacing w:line="340" w:lineRule="atLeast"/>
        <w:rPr>
          <w:rFonts w:ascii="宋体" w:hAnsi="宋体" w:cs="宋体"/>
          <w:szCs w:val="21"/>
          <w:u w:val="single"/>
        </w:rPr>
      </w:pPr>
      <w:r>
        <w:rPr>
          <w:rFonts w:hint="eastAsia" w:ascii="宋体" w:hAnsi="宋体" w:cs="宋体"/>
          <w:szCs w:val="21"/>
        </w:rPr>
        <w:t>经营期限：</w:t>
      </w:r>
      <w:r>
        <w:rPr>
          <w:rFonts w:hint="eastAsia" w:ascii="宋体" w:hAnsi="宋体" w:cs="宋体"/>
          <w:szCs w:val="21"/>
          <w:u w:val="single"/>
        </w:rPr>
        <w:t>　　　　　　　　　　　　　　　　　　　　　　　</w:t>
      </w:r>
    </w:p>
    <w:p>
      <w:pPr>
        <w:spacing w:line="340" w:lineRule="atLeast"/>
        <w:rPr>
          <w:rFonts w:ascii="宋体" w:hAnsi="宋体" w:cs="宋体"/>
          <w:szCs w:val="21"/>
          <w:u w:val="single"/>
        </w:rPr>
      </w:pPr>
      <w:r>
        <w:rPr>
          <w:rFonts w:hint="eastAsia" w:ascii="宋体" w:hAnsi="宋体" w:cs="宋体"/>
          <w:szCs w:val="21"/>
        </w:rPr>
        <w:t>姓　　名：</w:t>
      </w:r>
      <w:r>
        <w:rPr>
          <w:rFonts w:hint="eastAsia" w:ascii="宋体" w:hAnsi="宋体" w:cs="宋体"/>
          <w:szCs w:val="21"/>
          <w:u w:val="single"/>
        </w:rPr>
        <w:t>　　　　　</w:t>
      </w:r>
      <w:r>
        <w:rPr>
          <w:rFonts w:hint="eastAsia" w:ascii="宋体" w:hAnsi="宋体" w:cs="宋体"/>
          <w:szCs w:val="21"/>
        </w:rPr>
        <w:t>性别：</w:t>
      </w:r>
      <w:r>
        <w:rPr>
          <w:rFonts w:hint="eastAsia" w:ascii="宋体" w:hAnsi="宋体" w:cs="宋体"/>
          <w:szCs w:val="21"/>
          <w:u w:val="single"/>
        </w:rPr>
        <w:t>　　　　　</w:t>
      </w:r>
      <w:r>
        <w:rPr>
          <w:rFonts w:hint="eastAsia" w:ascii="宋体" w:hAnsi="宋体" w:cs="宋体"/>
          <w:szCs w:val="21"/>
        </w:rPr>
        <w:t>年龄：</w:t>
      </w:r>
      <w:r>
        <w:rPr>
          <w:rFonts w:hint="eastAsia" w:ascii="宋体" w:hAnsi="宋体" w:cs="宋体"/>
          <w:szCs w:val="21"/>
          <w:u w:val="single"/>
        </w:rPr>
        <w:t>　　　　　</w:t>
      </w:r>
      <w:r>
        <w:rPr>
          <w:rFonts w:hint="eastAsia" w:ascii="宋体" w:hAnsi="宋体" w:cs="宋体"/>
          <w:szCs w:val="21"/>
        </w:rPr>
        <w:t>职务：</w:t>
      </w:r>
      <w:r>
        <w:rPr>
          <w:rFonts w:hint="eastAsia" w:ascii="宋体" w:hAnsi="宋体" w:cs="宋体"/>
          <w:szCs w:val="21"/>
          <w:u w:val="single"/>
        </w:rPr>
        <w:t>　　　　　</w:t>
      </w:r>
    </w:p>
    <w:p>
      <w:pPr>
        <w:spacing w:line="340" w:lineRule="atLeast"/>
        <w:rPr>
          <w:rFonts w:ascii="宋体" w:hAnsi="宋体" w:cs="宋体"/>
          <w:szCs w:val="21"/>
        </w:rPr>
      </w:pPr>
      <w:r>
        <w:rPr>
          <w:rFonts w:hint="eastAsia" w:ascii="宋体" w:hAnsi="宋体" w:cs="宋体"/>
          <w:szCs w:val="21"/>
        </w:rPr>
        <w:t>系</w:t>
      </w:r>
      <w:r>
        <w:rPr>
          <w:rFonts w:hint="eastAsia" w:ascii="宋体" w:hAnsi="宋体" w:cs="宋体"/>
          <w:szCs w:val="21"/>
          <w:u w:val="single"/>
        </w:rPr>
        <w:t>　　　　　         　（投标供应商）</w:t>
      </w:r>
      <w:r>
        <w:rPr>
          <w:rFonts w:hint="eastAsia" w:ascii="宋体" w:hAnsi="宋体" w:cs="宋体"/>
          <w:szCs w:val="21"/>
        </w:rPr>
        <w:t>的法定代表人。</w:t>
      </w:r>
    </w:p>
    <w:p>
      <w:pPr>
        <w:spacing w:line="340" w:lineRule="atLeast"/>
        <w:rPr>
          <w:rFonts w:ascii="宋体" w:hAnsi="宋体" w:cs="宋体"/>
          <w:szCs w:val="21"/>
        </w:rPr>
      </w:pPr>
    </w:p>
    <w:p>
      <w:pPr>
        <w:spacing w:line="340" w:lineRule="atLeast"/>
        <w:ind w:firstLine="420" w:firstLineChars="200"/>
        <w:rPr>
          <w:rFonts w:ascii="宋体" w:hAnsi="宋体" w:cs="宋体"/>
          <w:szCs w:val="21"/>
        </w:rPr>
      </w:pPr>
      <w:r>
        <w:rPr>
          <w:rFonts w:hint="eastAsia" w:ascii="宋体" w:hAnsi="宋体" w:cs="宋体"/>
          <w:szCs w:val="21"/>
        </w:rPr>
        <w:t>特此证明。</w:t>
      </w:r>
    </w:p>
    <w:p>
      <w:pPr>
        <w:spacing w:line="340" w:lineRule="atLeast"/>
        <w:rPr>
          <w:rFonts w:ascii="宋体" w:hAnsi="宋体" w:cs="宋体"/>
          <w:szCs w:val="21"/>
        </w:rPr>
      </w:pPr>
    </w:p>
    <w:p>
      <w:pPr>
        <w:spacing w:line="340" w:lineRule="atLeast"/>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1312" behindDoc="1" locked="0" layoutInCell="1" allowOverlap="1">
                <wp:simplePos x="0" y="0"/>
                <wp:positionH relativeFrom="column">
                  <wp:posOffset>530860</wp:posOffset>
                </wp:positionH>
                <wp:positionV relativeFrom="paragraph">
                  <wp:posOffset>51435</wp:posOffset>
                </wp:positionV>
                <wp:extent cx="4658995" cy="2278380"/>
                <wp:effectExtent l="4445" t="5080" r="22860" b="21590"/>
                <wp:wrapNone/>
                <wp:docPr id="13" name="组合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658995" cy="2278380"/>
                          <a:chOff x="0" y="0"/>
                          <a:chExt cx="4596" cy="3027"/>
                        </a:xfrm>
                        <a:effectLst/>
                      </wpg:grpSpPr>
                      <wps:wsp>
                        <wps:cNvPr id="10" name="矩形 10"/>
                        <wps:cNvSpPr>
                          <a:spLocks noChangeAspect="1" noTextEdit="1"/>
                        </wps:cNvSpPr>
                        <wps:spPr>
                          <a:xfrm>
                            <a:off x="0" y="0"/>
                            <a:ext cx="4596" cy="3027"/>
                          </a:xfrm>
                          <a:prstGeom prst="rect">
                            <a:avLst/>
                          </a:prstGeom>
                          <a:noFill/>
                          <a:ln w="9525" cap="flat" cmpd="sng">
                            <a:solidFill>
                              <a:srgbClr val="000000"/>
                            </a:solidFill>
                            <a:prstDash val="solid"/>
                            <a:miter/>
                            <a:headEnd type="none" w="med" len="med"/>
                            <a:tailEnd type="none" w="med" len="med"/>
                          </a:ln>
                          <a:effectLst/>
                        </wps:spPr>
                        <wps:bodyPr upright="1"/>
                      </wps:wsp>
                    </wpg:wgp>
                  </a:graphicData>
                </a:graphic>
              </wp:anchor>
            </w:drawing>
          </mc:Choice>
          <mc:Fallback>
            <w:pict>
              <v:group id="_x0000_s1026" o:spid="_x0000_s1026" o:spt="203" style="position:absolute;left:0pt;margin-left:41.8pt;margin-top:4.05pt;height:179.4pt;width:366.85pt;z-index:-251655168;mso-width-relative:page;mso-height-relative:page;" coordsize="4596,3027" o:gfxdata="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doszXZAAAACAEAAA8AAAAAAAAAAQAgAAAA&#10;IgAAAGRycy9kb3ducmV2LnhtbFBLAQIUABQAAAAIAIdO4kAD6JcffAIAAKgFAAAOAAAAAAAAAAEA&#10;IAAAACgBAABkcnMvZTJvRG9jLnhtbFBLBQYAAAAABgAGAFkBAAAWBgAAAAA=&#10;">
                <o:lock v:ext="edit" aspectratio="t"/>
                <v:rect id="_x0000_s1026" o:spid="_x0000_s1026" o:spt="1" style="position:absolute;left:0;top:0;height:3027;width:4596;" filled="f" stroked="t" coordsize="21600,21600" o:gfxdata="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Kl+8AAAA&#10;2wAAAA8AAAAAAAAAAQAgAAAAIgAAAGRycy9kb3ducmV2LnhtbFBLAQIUABQAAAAIAIdO4kAzLwWe&#10;OwAAADkAAAAQAAAAAAAAAAEAIAAAAAsBAABkcnMvc2hhcGV4bWwueG1sUEsFBgAAAAAGAAYAWwEA&#10;ALUDAAAAAA==&#10;">
                  <v:fill on="f" focussize="0,0"/>
                  <v:stroke color="#000000" joinstyle="miter"/>
                  <v:imagedata o:title=""/>
                  <o:lock v:ext="edit" text="t" aspectratio="t"/>
                </v:rect>
              </v:group>
            </w:pict>
          </mc:Fallback>
        </mc:AlternateContent>
      </w:r>
    </w:p>
    <w:p>
      <w:pPr>
        <w:spacing w:line="340" w:lineRule="atLeast"/>
        <w:rPr>
          <w:rFonts w:ascii="宋体" w:hAnsi="宋体" w:cs="宋体"/>
          <w:szCs w:val="21"/>
        </w:rPr>
      </w:pPr>
    </w:p>
    <w:p>
      <w:pPr>
        <w:spacing w:line="340" w:lineRule="atLeast"/>
        <w:rPr>
          <w:rFonts w:ascii="宋体" w:hAnsi="宋体" w:cs="宋体"/>
          <w:szCs w:val="21"/>
        </w:rPr>
      </w:pPr>
    </w:p>
    <w:p>
      <w:pPr>
        <w:spacing w:line="340" w:lineRule="atLeast"/>
        <w:ind w:firstLine="3780" w:firstLineChars="1800"/>
        <w:rPr>
          <w:rFonts w:ascii="宋体" w:hAnsi="宋体" w:cs="宋体"/>
          <w:szCs w:val="21"/>
        </w:rPr>
      </w:pPr>
    </w:p>
    <w:p>
      <w:pPr>
        <w:spacing w:line="340" w:lineRule="atLeast"/>
        <w:ind w:firstLine="3780" w:firstLineChars="1800"/>
        <w:rPr>
          <w:rFonts w:ascii="宋体" w:hAnsi="宋体" w:cs="宋体"/>
          <w:szCs w:val="21"/>
        </w:rPr>
      </w:pPr>
      <w:r>
        <w:rPr>
          <w:rFonts w:hint="eastAsia" w:ascii="宋体" w:hAnsi="宋体" w:cs="宋体"/>
          <w:szCs w:val="21"/>
        </w:rPr>
        <w:t>法定代表人身份证复印件</w:t>
      </w:r>
    </w:p>
    <w:p>
      <w:pPr>
        <w:spacing w:line="340" w:lineRule="atLeast"/>
        <w:rPr>
          <w:rFonts w:ascii="宋体" w:hAnsi="宋体" w:cs="宋体"/>
          <w:szCs w:val="21"/>
        </w:rPr>
      </w:pPr>
    </w:p>
    <w:p>
      <w:pPr>
        <w:spacing w:line="340" w:lineRule="atLeast"/>
        <w:ind w:firstLine="3150" w:firstLineChars="1500"/>
        <w:rPr>
          <w:rFonts w:ascii="宋体" w:hAnsi="宋体" w:cs="宋体"/>
          <w:szCs w:val="21"/>
        </w:rPr>
      </w:pPr>
    </w:p>
    <w:p>
      <w:pPr>
        <w:spacing w:line="340" w:lineRule="atLeast"/>
        <w:ind w:firstLine="3150" w:firstLineChars="1500"/>
        <w:rPr>
          <w:rFonts w:ascii="宋体" w:hAnsi="宋体" w:cs="宋体"/>
          <w:szCs w:val="21"/>
        </w:rPr>
      </w:pPr>
    </w:p>
    <w:p>
      <w:pPr>
        <w:spacing w:line="340" w:lineRule="atLeast"/>
        <w:ind w:firstLine="3150" w:firstLineChars="1500"/>
        <w:rPr>
          <w:rFonts w:ascii="宋体" w:hAnsi="宋体" w:cs="宋体"/>
          <w:szCs w:val="21"/>
        </w:rPr>
      </w:pPr>
    </w:p>
    <w:p>
      <w:pPr>
        <w:spacing w:line="340" w:lineRule="atLeast"/>
        <w:ind w:firstLine="3150" w:firstLineChars="1500"/>
        <w:rPr>
          <w:rFonts w:ascii="宋体" w:hAnsi="宋体" w:cs="宋体"/>
          <w:szCs w:val="21"/>
        </w:rPr>
      </w:pPr>
    </w:p>
    <w:p>
      <w:pPr>
        <w:spacing w:line="340" w:lineRule="atLeast"/>
        <w:ind w:firstLine="3150" w:firstLineChars="1500"/>
        <w:rPr>
          <w:rFonts w:ascii="宋体" w:hAnsi="宋体" w:cs="宋体"/>
          <w:szCs w:val="21"/>
        </w:rPr>
      </w:pPr>
    </w:p>
    <w:p>
      <w:pPr>
        <w:spacing w:line="340" w:lineRule="atLeast"/>
        <w:jc w:val="center"/>
        <w:rPr>
          <w:rFonts w:ascii="宋体" w:hAnsi="宋体" w:cs="宋体"/>
          <w:szCs w:val="21"/>
          <w:u w:val="single"/>
        </w:rPr>
      </w:pPr>
      <w:r>
        <w:rPr>
          <w:rFonts w:hint="eastAsia" w:ascii="宋体" w:hAnsi="宋体" w:cs="宋体"/>
          <w:szCs w:val="21"/>
        </w:rPr>
        <w:t>供应商名称（盖章）：</w:t>
      </w:r>
      <w:r>
        <w:rPr>
          <w:rFonts w:hint="eastAsia" w:ascii="宋体" w:hAnsi="宋体" w:cs="宋体"/>
          <w:szCs w:val="21"/>
          <w:u w:val="single"/>
        </w:rPr>
        <w:t xml:space="preserve">　　　　　　　　     </w:t>
      </w:r>
    </w:p>
    <w:p>
      <w:pPr>
        <w:spacing w:line="340" w:lineRule="atLeast"/>
        <w:jc w:val="center"/>
        <w:rPr>
          <w:rFonts w:ascii="宋体" w:hAnsi="宋体" w:cs="宋体"/>
          <w:szCs w:val="21"/>
          <w:u w:val="single"/>
        </w:rPr>
      </w:pPr>
    </w:p>
    <w:p>
      <w:pPr>
        <w:spacing w:line="340" w:lineRule="atLeast"/>
        <w:jc w:val="center"/>
        <w:rPr>
          <w:rFonts w:ascii="宋体" w:hAnsi="宋体" w:cs="宋体"/>
          <w:szCs w:val="21"/>
        </w:rPr>
      </w:pPr>
      <w:r>
        <w:rPr>
          <w:rFonts w:hint="eastAsia" w:ascii="宋体" w:hAnsi="宋体" w:cs="宋体"/>
          <w:szCs w:val="21"/>
        </w:rPr>
        <w:t>法定代表人签字或盖章：</w:t>
      </w:r>
      <w:r>
        <w:rPr>
          <w:rFonts w:hint="eastAsia" w:ascii="宋体" w:hAnsi="宋体" w:cs="宋体"/>
          <w:szCs w:val="21"/>
          <w:u w:val="single"/>
        </w:rPr>
        <w:t>　　　　　　　  　　</w:t>
      </w:r>
    </w:p>
    <w:p>
      <w:pPr>
        <w:spacing w:line="340" w:lineRule="atLeast"/>
        <w:jc w:val="center"/>
        <w:rPr>
          <w:rFonts w:ascii="宋体" w:hAnsi="宋体" w:cs="宋体"/>
          <w:szCs w:val="21"/>
          <w:u w:val="single"/>
        </w:rPr>
      </w:pPr>
    </w:p>
    <w:p>
      <w:pPr>
        <w:spacing w:line="340" w:lineRule="atLeast"/>
        <w:ind w:firstLine="3150" w:firstLineChars="1500"/>
        <w:rPr>
          <w:rFonts w:ascii="宋体" w:hAnsi="宋体" w:cs="宋体"/>
          <w:szCs w:val="21"/>
        </w:rPr>
      </w:pPr>
      <w:r>
        <w:rPr>
          <w:rFonts w:hint="eastAsia" w:ascii="宋体" w:hAnsi="宋体" w:cs="宋体"/>
          <w:szCs w:val="21"/>
        </w:rPr>
        <w:t>日　期：</w:t>
      </w: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p>
      <w:pPr>
        <w:pStyle w:val="63"/>
        <w:widowControl w:val="0"/>
        <w:tabs>
          <w:tab w:val="left" w:pos="426"/>
        </w:tabs>
        <w:snapToGrid w:val="0"/>
        <w:spacing w:line="360" w:lineRule="auto"/>
        <w:rPr>
          <w:rFonts w:hAnsi="宋体" w:cs="宋体"/>
          <w:b/>
          <w:kern w:val="2"/>
          <w:sz w:val="21"/>
          <w:szCs w:val="21"/>
        </w:rPr>
      </w:pPr>
    </w:p>
    <w:p>
      <w:pPr>
        <w:pStyle w:val="63"/>
        <w:widowControl w:val="0"/>
        <w:snapToGrid w:val="0"/>
        <w:spacing w:line="360" w:lineRule="auto"/>
        <w:jc w:val="center"/>
        <w:rPr>
          <w:rFonts w:hAnsi="宋体" w:cs="宋体"/>
          <w:b/>
          <w:kern w:val="2"/>
          <w:sz w:val="21"/>
          <w:szCs w:val="21"/>
        </w:rPr>
      </w:pPr>
    </w:p>
    <w:p>
      <w:pPr>
        <w:pStyle w:val="63"/>
        <w:widowControl w:val="0"/>
        <w:snapToGrid w:val="0"/>
        <w:spacing w:line="360" w:lineRule="auto"/>
        <w:jc w:val="center"/>
        <w:rPr>
          <w:rFonts w:hAnsi="宋体" w:cs="宋体"/>
          <w:b/>
          <w:kern w:val="2"/>
          <w:sz w:val="21"/>
          <w:szCs w:val="21"/>
        </w:rPr>
      </w:pPr>
    </w:p>
    <w:p>
      <w:pPr>
        <w:pStyle w:val="63"/>
        <w:widowControl w:val="0"/>
        <w:snapToGrid w:val="0"/>
        <w:spacing w:line="360" w:lineRule="auto"/>
        <w:jc w:val="center"/>
        <w:rPr>
          <w:rFonts w:hAnsi="宋体" w:cs="宋体"/>
          <w:b/>
          <w:kern w:val="2"/>
          <w:sz w:val="21"/>
          <w:szCs w:val="21"/>
        </w:rPr>
      </w:pPr>
    </w:p>
    <w:p>
      <w:pPr>
        <w:pStyle w:val="63"/>
        <w:widowControl w:val="0"/>
        <w:snapToGrid w:val="0"/>
        <w:spacing w:line="360" w:lineRule="auto"/>
        <w:jc w:val="center"/>
        <w:rPr>
          <w:rFonts w:hAnsi="宋体" w:cs="宋体"/>
          <w:b/>
          <w:kern w:val="2"/>
          <w:sz w:val="21"/>
          <w:szCs w:val="21"/>
        </w:rPr>
      </w:pPr>
    </w:p>
    <w:p>
      <w:pPr>
        <w:pStyle w:val="63"/>
        <w:widowControl w:val="0"/>
        <w:snapToGrid w:val="0"/>
        <w:spacing w:line="360" w:lineRule="auto"/>
        <w:jc w:val="center"/>
        <w:rPr>
          <w:rFonts w:hAnsi="宋体" w:cs="宋体"/>
          <w:b/>
          <w:kern w:val="2"/>
          <w:sz w:val="21"/>
          <w:szCs w:val="21"/>
        </w:rPr>
      </w:pPr>
    </w:p>
    <w:p>
      <w:pPr>
        <w:pStyle w:val="63"/>
        <w:widowControl w:val="0"/>
        <w:snapToGrid w:val="0"/>
        <w:spacing w:line="360" w:lineRule="auto"/>
        <w:jc w:val="center"/>
        <w:rPr>
          <w:rFonts w:ascii="Times New Roman" w:hAnsi="Times New Roman"/>
          <w:b/>
          <w:kern w:val="2"/>
          <w:sz w:val="32"/>
          <w:szCs w:val="32"/>
        </w:rPr>
      </w:pPr>
    </w:p>
    <w:p>
      <w:pPr>
        <w:rPr>
          <w:rFonts w:ascii="宋体" w:hAnsi="宋体"/>
          <w:b/>
          <w:sz w:val="32"/>
          <w:szCs w:val="32"/>
        </w:rPr>
      </w:pPr>
      <w:r>
        <w:rPr>
          <w:rFonts w:hint="eastAsia" w:ascii="宋体" w:hAnsi="宋体" w:cs="宋体"/>
          <w:b/>
          <w:kern w:val="0"/>
          <w:sz w:val="28"/>
          <w:szCs w:val="28"/>
        </w:rPr>
        <w:t>附件4</w:t>
      </w:r>
    </w:p>
    <w:p>
      <w:pPr>
        <w:spacing w:after="312" w:afterLines="100" w:line="480" w:lineRule="auto"/>
        <w:ind w:firstLine="482"/>
        <w:jc w:val="center"/>
        <w:rPr>
          <w:rFonts w:ascii="宋体" w:hAnsi="宋体" w:cs="宋体"/>
          <w:sz w:val="28"/>
          <w:szCs w:val="36"/>
        </w:rPr>
      </w:pPr>
      <w:r>
        <w:rPr>
          <w:rFonts w:hint="eastAsia" w:ascii="宋体" w:hAnsi="宋体" w:cs="宋体"/>
          <w:b/>
          <w:bCs/>
          <w:kern w:val="0"/>
          <w:sz w:val="28"/>
          <w:szCs w:val="36"/>
          <w:lang w:val="zh-CN"/>
        </w:rPr>
        <w:t>具备</w:t>
      </w:r>
      <w:r>
        <w:rPr>
          <w:rFonts w:hint="eastAsia" w:ascii="宋体" w:hAnsi="宋体" w:cs="宋体"/>
          <w:b/>
          <w:bCs/>
          <w:kern w:val="0"/>
          <w:sz w:val="28"/>
          <w:szCs w:val="36"/>
        </w:rPr>
        <w:t>良好的商业信誉和</w:t>
      </w:r>
      <w:r>
        <w:rPr>
          <w:rFonts w:hint="eastAsia" w:ascii="宋体" w:hAnsi="宋体" w:cs="宋体"/>
          <w:b/>
          <w:bCs/>
          <w:kern w:val="0"/>
          <w:sz w:val="28"/>
          <w:szCs w:val="36"/>
          <w:lang w:val="zh-CN"/>
        </w:rPr>
        <w:t>健全的财务会计制度的承诺函</w:t>
      </w:r>
    </w:p>
    <w:p>
      <w:pPr>
        <w:widowControl/>
        <w:spacing w:line="600" w:lineRule="exact"/>
        <w:ind w:firstLine="480"/>
        <w:rPr>
          <w:rFonts w:ascii="宋体" w:hAnsi="宋体" w:cs="宋体"/>
          <w:kern w:val="0"/>
        </w:rPr>
      </w:pPr>
    </w:p>
    <w:p>
      <w:pPr>
        <w:widowControl/>
        <w:spacing w:line="600" w:lineRule="exact"/>
        <w:ind w:firstLine="480"/>
        <w:rPr>
          <w:rFonts w:ascii="宋体" w:hAnsi="宋体" w:cs="宋体"/>
          <w:szCs w:val="21"/>
        </w:rPr>
      </w:pPr>
      <w:r>
        <w:rPr>
          <w:rFonts w:hint="eastAsia" w:ascii="宋体" w:hAnsi="宋体" w:cs="宋体"/>
          <w:kern w:val="0"/>
          <w:szCs w:val="21"/>
        </w:rPr>
        <w:t>致：</w:t>
      </w:r>
      <w:r>
        <w:rPr>
          <w:rFonts w:hint="eastAsia" w:hAnsi="宋体"/>
          <w:szCs w:val="21"/>
          <w:u w:val="single"/>
        </w:rPr>
        <w:t>台州市椒江区人民政府洪家街道办事处、</w:t>
      </w:r>
      <w:r>
        <w:rPr>
          <w:rFonts w:hint="eastAsia" w:ascii="宋体" w:hAnsi="宋体" w:cs="宋体"/>
          <w:szCs w:val="21"/>
          <w:u w:val="single"/>
        </w:rPr>
        <w:t>浙江中竞管理服务有限公司</w:t>
      </w:r>
    </w:p>
    <w:p>
      <w:pPr>
        <w:pStyle w:val="9"/>
        <w:spacing w:line="600" w:lineRule="exact"/>
        <w:ind w:firstLine="480"/>
        <w:rPr>
          <w:rFonts w:ascii="宋体" w:hAnsi="宋体" w:cs="宋体"/>
          <w:szCs w:val="21"/>
        </w:rPr>
      </w:pPr>
      <w:r>
        <w:rPr>
          <w:rFonts w:hint="eastAsia" w:ascii="宋体" w:hAnsi="宋体" w:cs="宋体"/>
          <w:szCs w:val="21"/>
        </w:rPr>
        <w:t>我公司参加</w:t>
      </w:r>
      <w:r>
        <w:rPr>
          <w:rFonts w:hint="eastAsia" w:ascii="宋体" w:hAnsi="宋体" w:cs="宋体"/>
          <w:szCs w:val="21"/>
          <w:u w:val="single"/>
        </w:rPr>
        <w:t>洪家街道民生工程应急防汛设备采购项目(重新招标)（项目编号：ZJZJ-2023-031(1)）</w:t>
      </w:r>
      <w:r>
        <w:rPr>
          <w:rFonts w:hint="eastAsia" w:ascii="宋体" w:hAnsi="宋体" w:cs="宋体"/>
          <w:szCs w:val="21"/>
        </w:rPr>
        <w:t>的投标活动，作如下承诺：</w:t>
      </w:r>
    </w:p>
    <w:p>
      <w:pPr>
        <w:pStyle w:val="9"/>
        <w:spacing w:line="600" w:lineRule="exact"/>
        <w:ind w:firstLine="480"/>
        <w:rPr>
          <w:rFonts w:ascii="宋体" w:hAnsi="宋体" w:cs="宋体"/>
          <w:szCs w:val="21"/>
        </w:rPr>
      </w:pPr>
      <w:r>
        <w:rPr>
          <w:rFonts w:hint="eastAsia" w:ascii="宋体" w:hAnsi="宋体" w:cs="宋体"/>
          <w:szCs w:val="21"/>
        </w:rPr>
        <w:t>我公司在参加本项目政府采购活动前，</w:t>
      </w:r>
      <w:r>
        <w:rPr>
          <w:rFonts w:hint="eastAsia" w:ascii="宋体" w:hAnsi="宋体" w:cs="宋体"/>
          <w:kern w:val="0"/>
          <w:szCs w:val="21"/>
        </w:rPr>
        <w:t>没有处于被责令停产、财产被接管、冻结或破产状态，具有足够的流动资金，有能力履行合同；我公司</w:t>
      </w:r>
      <w:r>
        <w:rPr>
          <w:rFonts w:hint="eastAsia" w:ascii="宋体" w:hAnsi="宋体" w:cs="宋体"/>
          <w:szCs w:val="21"/>
        </w:rPr>
        <w:t>具有良好的商业信誉和健全的财务会计制度。</w:t>
      </w:r>
    </w:p>
    <w:p>
      <w:pPr>
        <w:spacing w:line="600" w:lineRule="exact"/>
        <w:ind w:firstLine="480"/>
        <w:jc w:val="left"/>
        <w:rPr>
          <w:rFonts w:ascii="宋体" w:hAnsi="宋体" w:cs="宋体"/>
          <w:szCs w:val="21"/>
        </w:rPr>
      </w:pPr>
      <w:r>
        <w:rPr>
          <w:rFonts w:hint="eastAsia" w:ascii="宋体" w:hAnsi="宋体" w:cs="宋体"/>
          <w:szCs w:val="21"/>
        </w:rPr>
        <w:t>如违反以上承诺，本公司愿承担一切法律责任。</w:t>
      </w:r>
    </w:p>
    <w:p>
      <w:pPr>
        <w:ind w:firstLine="480"/>
        <w:rPr>
          <w:rFonts w:ascii="宋体" w:hAnsi="宋体" w:cs="宋体"/>
          <w:szCs w:val="21"/>
          <w:lang w:val="zh-CN"/>
        </w:rPr>
      </w:pPr>
    </w:p>
    <w:p>
      <w:pPr>
        <w:pStyle w:val="9"/>
        <w:ind w:firstLine="480"/>
        <w:rPr>
          <w:rFonts w:ascii="宋体" w:hAnsi="宋体" w:cs="宋体"/>
          <w:szCs w:val="21"/>
          <w:lang w:val="zh-CN"/>
        </w:rPr>
      </w:pPr>
    </w:p>
    <w:p>
      <w:pPr>
        <w:pStyle w:val="9"/>
        <w:ind w:firstLine="480"/>
        <w:rPr>
          <w:rFonts w:ascii="宋体" w:hAnsi="宋体" w:cs="宋体"/>
          <w:szCs w:val="21"/>
          <w:lang w:val="zh-CN"/>
        </w:rPr>
      </w:pPr>
    </w:p>
    <w:p>
      <w:pPr>
        <w:pStyle w:val="9"/>
        <w:ind w:firstLine="480"/>
        <w:rPr>
          <w:rFonts w:ascii="宋体" w:hAnsi="宋体" w:cs="宋体"/>
          <w:szCs w:val="21"/>
          <w:lang w:val="zh-CN"/>
        </w:rPr>
      </w:pPr>
    </w:p>
    <w:p>
      <w:pPr>
        <w:widowControl/>
        <w:wordWrap w:val="0"/>
        <w:ind w:firstLine="480"/>
        <w:jc w:val="right"/>
        <w:rPr>
          <w:rFonts w:ascii="宋体" w:hAnsi="宋体" w:cs="宋体"/>
          <w:kern w:val="0"/>
          <w:szCs w:val="21"/>
        </w:rPr>
      </w:pPr>
      <w:r>
        <w:rPr>
          <w:rFonts w:hint="eastAsia" w:ascii="宋体" w:hAnsi="宋体" w:cs="宋体"/>
          <w:szCs w:val="21"/>
        </w:rPr>
        <w:t>投标人名称</w:t>
      </w:r>
      <w:r>
        <w:rPr>
          <w:rFonts w:hint="eastAsia" w:ascii="宋体" w:hAnsi="宋体" w:cs="宋体"/>
          <w:kern w:val="0"/>
          <w:szCs w:val="21"/>
        </w:rPr>
        <w:t>(</w:t>
      </w:r>
      <w:r>
        <w:rPr>
          <w:rFonts w:hint="eastAsia" w:ascii="宋体" w:hAnsi="宋体" w:cs="宋体"/>
          <w:szCs w:val="21"/>
        </w:rPr>
        <w:t xml:space="preserve">公章或CA签章)： </w:t>
      </w:r>
    </w:p>
    <w:p>
      <w:pPr>
        <w:widowControl/>
        <w:ind w:firstLine="480"/>
        <w:jc w:val="left"/>
        <w:rPr>
          <w:rFonts w:ascii="宋体" w:hAnsi="宋体" w:cs="宋体"/>
          <w:kern w:val="0"/>
          <w:szCs w:val="21"/>
        </w:rPr>
      </w:pPr>
    </w:p>
    <w:p>
      <w:pPr>
        <w:widowControl/>
        <w:ind w:firstLine="480"/>
        <w:jc w:val="right"/>
        <w:rPr>
          <w:rFonts w:ascii="宋体" w:hAnsi="宋体" w:cs="宋体"/>
          <w:kern w:val="0"/>
          <w:szCs w:val="21"/>
        </w:rPr>
      </w:pPr>
      <w:r>
        <w:rPr>
          <w:rFonts w:hint="eastAsia" w:ascii="宋体" w:hAnsi="宋体" w:cs="宋体"/>
          <w:kern w:val="0"/>
          <w:szCs w:val="21"/>
        </w:rPr>
        <w:t>法定代表人(签字或盖章)或授权委托代理人(签字)：</w:t>
      </w:r>
    </w:p>
    <w:p>
      <w:pPr>
        <w:widowControl/>
        <w:ind w:firstLine="480"/>
        <w:jc w:val="left"/>
        <w:rPr>
          <w:rFonts w:ascii="宋体" w:hAnsi="宋体" w:cs="宋体"/>
          <w:kern w:val="0"/>
          <w:szCs w:val="21"/>
        </w:rPr>
      </w:pPr>
    </w:p>
    <w:p>
      <w:pPr>
        <w:ind w:firstLine="480"/>
        <w:jc w:val="right"/>
        <w:rPr>
          <w:rFonts w:ascii="宋体" w:hAnsi="宋体" w:cs="宋体"/>
          <w:szCs w:val="21"/>
        </w:rPr>
      </w:pPr>
      <w:r>
        <w:rPr>
          <w:rFonts w:hint="eastAsia" w:ascii="宋体" w:hAnsi="宋体" w:cs="宋体"/>
          <w:kern w:val="0"/>
          <w:szCs w:val="21"/>
        </w:rPr>
        <w:t xml:space="preserve">日期：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ind w:firstLine="562"/>
        <w:rPr>
          <w:b/>
          <w:bCs/>
          <w:szCs w:val="21"/>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pStyle w:val="36"/>
        <w:rPr>
          <w:b/>
          <w:bCs/>
          <w:sz w:val="28"/>
          <w:szCs w:val="28"/>
        </w:rPr>
      </w:pPr>
    </w:p>
    <w:p>
      <w:pPr>
        <w:pStyle w:val="36"/>
        <w:rPr>
          <w:b/>
          <w:bCs/>
          <w:sz w:val="28"/>
          <w:szCs w:val="28"/>
        </w:rPr>
      </w:pPr>
    </w:p>
    <w:p>
      <w:pPr>
        <w:rPr>
          <w:rFonts w:ascii="宋体" w:hAnsi="宋体" w:cs="宋体"/>
          <w:b/>
          <w:kern w:val="0"/>
          <w:sz w:val="28"/>
          <w:szCs w:val="28"/>
        </w:rPr>
      </w:pPr>
      <w:r>
        <w:rPr>
          <w:rFonts w:hint="eastAsia" w:ascii="宋体" w:hAnsi="宋体" w:cs="宋体"/>
          <w:b/>
          <w:kern w:val="0"/>
          <w:sz w:val="28"/>
          <w:szCs w:val="28"/>
        </w:rPr>
        <w:t>附件5</w:t>
      </w:r>
    </w:p>
    <w:p>
      <w:pPr>
        <w:spacing w:after="312" w:afterLines="100" w:line="480" w:lineRule="auto"/>
        <w:ind w:firstLine="482"/>
        <w:jc w:val="center"/>
        <w:rPr>
          <w:rFonts w:ascii="宋体" w:hAnsi="宋体" w:cs="宋体"/>
          <w:sz w:val="28"/>
          <w:szCs w:val="36"/>
        </w:rPr>
      </w:pPr>
      <w:r>
        <w:rPr>
          <w:rFonts w:hint="eastAsia" w:ascii="宋体" w:hAnsi="宋体" w:cs="宋体"/>
          <w:b/>
          <w:bCs/>
          <w:kern w:val="0"/>
          <w:sz w:val="28"/>
          <w:szCs w:val="36"/>
          <w:lang w:val="zh-CN"/>
        </w:rPr>
        <w:t>无税收缴纳、社会保障等方面的失信记录的承诺函</w:t>
      </w:r>
    </w:p>
    <w:p>
      <w:pPr>
        <w:widowControl/>
        <w:spacing w:line="600" w:lineRule="exact"/>
        <w:ind w:firstLine="480"/>
        <w:rPr>
          <w:rFonts w:ascii="宋体" w:hAnsi="宋体" w:cs="宋体"/>
          <w:kern w:val="0"/>
        </w:rPr>
      </w:pPr>
    </w:p>
    <w:p>
      <w:pPr>
        <w:widowControl/>
        <w:spacing w:line="480" w:lineRule="auto"/>
        <w:rPr>
          <w:rFonts w:ascii="宋体" w:hAnsi="宋体" w:cs="宋体"/>
          <w:szCs w:val="21"/>
        </w:rPr>
      </w:pPr>
      <w:r>
        <w:rPr>
          <w:rFonts w:hint="eastAsia" w:ascii="宋体" w:hAnsi="宋体" w:cs="宋体"/>
          <w:kern w:val="0"/>
          <w:szCs w:val="21"/>
        </w:rPr>
        <w:t>致：</w:t>
      </w:r>
      <w:r>
        <w:rPr>
          <w:rFonts w:hint="eastAsia" w:hAnsi="宋体"/>
          <w:szCs w:val="21"/>
          <w:u w:val="single"/>
        </w:rPr>
        <w:t>台州市椒江区人民政府洪家街道办事处、浙江中竞管理服务有限公司</w:t>
      </w:r>
    </w:p>
    <w:p>
      <w:pPr>
        <w:pStyle w:val="9"/>
        <w:spacing w:line="480" w:lineRule="auto"/>
        <w:ind w:firstLine="480"/>
        <w:rPr>
          <w:rFonts w:ascii="宋体" w:hAnsi="宋体" w:cs="宋体"/>
          <w:szCs w:val="21"/>
        </w:rPr>
      </w:pPr>
      <w:r>
        <w:rPr>
          <w:rFonts w:hint="eastAsia" w:ascii="宋体" w:hAnsi="宋体" w:cs="宋体"/>
          <w:szCs w:val="21"/>
        </w:rPr>
        <w:t>我公司参加</w:t>
      </w:r>
      <w:r>
        <w:rPr>
          <w:rFonts w:hint="eastAsia" w:ascii="宋体" w:hAnsi="宋体" w:cs="宋体"/>
          <w:szCs w:val="21"/>
          <w:u w:val="single"/>
        </w:rPr>
        <w:t>洪家街道民生工程应急防汛设备采购项目(重新招标)（项目编号：ZJZJ-2023-031(1)）</w:t>
      </w:r>
      <w:r>
        <w:rPr>
          <w:rFonts w:hint="eastAsia" w:ascii="宋体" w:hAnsi="宋体" w:cs="宋体"/>
          <w:szCs w:val="21"/>
        </w:rPr>
        <w:t>的投标活动，作如下承诺：</w:t>
      </w:r>
    </w:p>
    <w:p>
      <w:pPr>
        <w:pStyle w:val="9"/>
        <w:spacing w:line="480" w:lineRule="auto"/>
        <w:ind w:firstLine="480"/>
        <w:rPr>
          <w:rFonts w:ascii="宋体" w:hAnsi="宋体" w:cs="宋体"/>
          <w:szCs w:val="21"/>
        </w:rPr>
      </w:pPr>
      <w:r>
        <w:rPr>
          <w:rFonts w:hint="eastAsia" w:ascii="宋体" w:hAnsi="宋体" w:cs="宋体"/>
          <w:szCs w:val="21"/>
        </w:rPr>
        <w:t>我公司在参加本项目政府采购活动前，符合参与政府采购活动的资格条件，有依法缴纳税收（享受免税政策的则无欠税）和社会保障资金的良好记录，不存在税收缴纳、社会保障等方面的失信记录。</w:t>
      </w:r>
    </w:p>
    <w:p>
      <w:pPr>
        <w:pStyle w:val="9"/>
        <w:spacing w:line="480" w:lineRule="auto"/>
        <w:ind w:firstLine="480"/>
        <w:rPr>
          <w:rFonts w:ascii="宋体" w:hAnsi="宋体" w:cs="宋体"/>
          <w:szCs w:val="21"/>
        </w:rPr>
      </w:pPr>
      <w:r>
        <w:rPr>
          <w:rFonts w:hint="eastAsia" w:ascii="宋体" w:hAnsi="宋体" w:cs="宋体"/>
          <w:szCs w:val="21"/>
        </w:rPr>
        <w:t>如违反以上承诺，本公司愿承担一切法律责任。</w:t>
      </w:r>
    </w:p>
    <w:p>
      <w:pPr>
        <w:ind w:firstLine="480"/>
        <w:rPr>
          <w:rFonts w:ascii="宋体" w:hAnsi="宋体" w:cs="宋体"/>
          <w:szCs w:val="21"/>
          <w:lang w:val="zh-CN"/>
        </w:rPr>
      </w:pPr>
    </w:p>
    <w:p>
      <w:pPr>
        <w:pStyle w:val="9"/>
        <w:ind w:firstLine="480"/>
        <w:rPr>
          <w:rFonts w:ascii="宋体" w:hAnsi="宋体" w:cs="宋体"/>
          <w:szCs w:val="21"/>
          <w:lang w:val="zh-CN"/>
        </w:rPr>
      </w:pPr>
    </w:p>
    <w:p>
      <w:pPr>
        <w:pStyle w:val="9"/>
        <w:ind w:firstLine="480"/>
        <w:rPr>
          <w:rFonts w:ascii="宋体" w:hAnsi="宋体" w:cs="宋体"/>
          <w:szCs w:val="21"/>
          <w:lang w:val="zh-CN"/>
        </w:rPr>
      </w:pPr>
    </w:p>
    <w:p>
      <w:pPr>
        <w:widowControl/>
        <w:wordWrap w:val="0"/>
        <w:ind w:firstLine="480"/>
        <w:jc w:val="right"/>
        <w:rPr>
          <w:rFonts w:ascii="宋体" w:hAnsi="宋体" w:cs="宋体"/>
          <w:kern w:val="0"/>
          <w:szCs w:val="21"/>
        </w:rPr>
      </w:pPr>
      <w:r>
        <w:rPr>
          <w:rFonts w:hint="eastAsia" w:ascii="宋体" w:hAnsi="宋体" w:cs="宋体"/>
          <w:szCs w:val="21"/>
        </w:rPr>
        <w:t xml:space="preserve">投标人名称(公章或CA签章)： </w:t>
      </w:r>
    </w:p>
    <w:p>
      <w:pPr>
        <w:widowControl/>
        <w:ind w:firstLine="480"/>
        <w:jc w:val="left"/>
        <w:rPr>
          <w:rFonts w:ascii="宋体" w:hAnsi="宋体" w:cs="宋体"/>
          <w:kern w:val="0"/>
          <w:szCs w:val="21"/>
        </w:rPr>
      </w:pPr>
    </w:p>
    <w:p>
      <w:pPr>
        <w:widowControl/>
        <w:ind w:firstLine="480"/>
        <w:jc w:val="right"/>
        <w:rPr>
          <w:rFonts w:ascii="宋体" w:hAnsi="宋体" w:cs="宋体"/>
          <w:kern w:val="0"/>
          <w:szCs w:val="21"/>
        </w:rPr>
      </w:pPr>
      <w:r>
        <w:rPr>
          <w:rFonts w:hint="eastAsia" w:ascii="宋体" w:hAnsi="宋体" w:cs="宋体"/>
          <w:kern w:val="0"/>
          <w:szCs w:val="21"/>
        </w:rPr>
        <w:t>法定代表人(签字或盖章)或授权委托代理人(签字)：</w:t>
      </w:r>
    </w:p>
    <w:p>
      <w:pPr>
        <w:widowControl/>
        <w:ind w:firstLine="480"/>
        <w:jc w:val="left"/>
        <w:rPr>
          <w:rFonts w:ascii="宋体" w:hAnsi="宋体" w:cs="宋体"/>
          <w:kern w:val="0"/>
          <w:szCs w:val="21"/>
        </w:rPr>
      </w:pPr>
    </w:p>
    <w:p>
      <w:pPr>
        <w:ind w:firstLine="480"/>
        <w:jc w:val="right"/>
        <w:rPr>
          <w:rFonts w:ascii="宋体" w:hAnsi="宋体" w:cs="宋体"/>
          <w:szCs w:val="21"/>
        </w:rPr>
      </w:pPr>
      <w:r>
        <w:rPr>
          <w:rFonts w:hint="eastAsia" w:ascii="宋体" w:hAnsi="宋体" w:cs="宋体"/>
          <w:kern w:val="0"/>
          <w:szCs w:val="21"/>
        </w:rPr>
        <w:t xml:space="preserve">日期：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ind w:firstLine="562"/>
        <w:rPr>
          <w:b/>
          <w:bCs/>
          <w:szCs w:val="21"/>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ind w:firstLine="562"/>
        <w:rPr>
          <w:b/>
          <w:bCs/>
          <w:sz w:val="28"/>
          <w:szCs w:val="28"/>
        </w:rPr>
      </w:pPr>
    </w:p>
    <w:p>
      <w:pPr>
        <w:spacing w:line="360" w:lineRule="auto"/>
        <w:ind w:right="-110"/>
        <w:rPr>
          <w:rFonts w:ascii="宋体" w:hAnsi="宋体"/>
          <w:b/>
          <w:sz w:val="32"/>
          <w:szCs w:val="32"/>
        </w:rPr>
      </w:pPr>
    </w:p>
    <w:p>
      <w:pPr>
        <w:spacing w:after="312" w:afterLines="100"/>
        <w:rPr>
          <w:rFonts w:ascii="宋体" w:hAnsi="宋体" w:cs="仿宋_GB2312"/>
          <w:b/>
          <w:bCs/>
          <w:kern w:val="0"/>
          <w:sz w:val="24"/>
        </w:rPr>
      </w:pPr>
      <w:r>
        <w:rPr>
          <w:rFonts w:hint="eastAsia" w:ascii="宋体" w:hAnsi="宋体" w:cs="仿宋_GB2312"/>
          <w:b/>
          <w:bCs/>
          <w:kern w:val="0"/>
          <w:sz w:val="24"/>
        </w:rPr>
        <w:t>附件6</w:t>
      </w:r>
    </w:p>
    <w:p>
      <w:pPr>
        <w:spacing w:after="312" w:afterLines="100"/>
        <w:jc w:val="center"/>
        <w:rPr>
          <w:rFonts w:ascii="宋体" w:hAnsi="宋体" w:cs="仿宋_GB2312"/>
          <w:b/>
          <w:bCs/>
          <w:kern w:val="0"/>
          <w:sz w:val="24"/>
          <w:lang w:val="zh-CN"/>
        </w:rPr>
      </w:pPr>
      <w:r>
        <w:rPr>
          <w:rFonts w:hint="eastAsia" w:ascii="宋体" w:hAnsi="宋体" w:cs="仿宋_GB2312"/>
          <w:b/>
          <w:bCs/>
          <w:kern w:val="0"/>
          <w:sz w:val="24"/>
          <w:lang w:val="zh-CN"/>
        </w:rPr>
        <w:t>具备履行合同所必需的设备和专业技术能力的承诺函</w:t>
      </w:r>
    </w:p>
    <w:p>
      <w:pPr>
        <w:spacing w:after="312" w:afterLines="100" w:line="360" w:lineRule="auto"/>
        <w:jc w:val="left"/>
        <w:rPr>
          <w:rFonts w:ascii="宋体" w:hAnsi="宋体" w:cs="仿宋_GB2312"/>
          <w:bCs/>
          <w:kern w:val="0"/>
          <w:sz w:val="24"/>
          <w:lang w:val="zh-CN"/>
        </w:rPr>
      </w:pPr>
      <w:r>
        <w:rPr>
          <w:rFonts w:hint="eastAsia" w:ascii="宋体" w:hAnsi="宋体" w:cs="仿宋_GB2312"/>
          <w:bCs/>
          <w:kern w:val="0"/>
          <w:sz w:val="24"/>
          <w:lang w:val="zh-CN"/>
        </w:rPr>
        <w:t>致：</w:t>
      </w:r>
      <w:r>
        <w:rPr>
          <w:rFonts w:hint="eastAsia" w:hAnsi="宋体"/>
          <w:szCs w:val="21"/>
          <w:u w:val="single"/>
        </w:rPr>
        <w:t>台州市椒江区人民政府洪家街道办事处、浙江中竞管理服务有限公司</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我方</w:t>
      </w:r>
      <w:r>
        <w:rPr>
          <w:rFonts w:hint="eastAsia" w:ascii="宋体" w:hAnsi="宋体" w:cs="宋体"/>
          <w:kern w:val="0"/>
          <w:sz w:val="24"/>
          <w:u w:val="single"/>
        </w:rPr>
        <w:t xml:space="preserve"> （供应商）    </w:t>
      </w:r>
      <w:r>
        <w:rPr>
          <w:rFonts w:hint="eastAsia" w:ascii="宋体" w:hAnsi="宋体" w:cs="宋体"/>
          <w:kern w:val="0"/>
          <w:sz w:val="24"/>
        </w:rPr>
        <w:t>承诺具有履行合同所必需的场地、设备和专业技术能力。如有虚假，采购人可取消我方任何资格（投标/中标/签订合同），我方对此无任何异议。</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特此承诺！</w:t>
      </w:r>
    </w:p>
    <w:p>
      <w:pPr>
        <w:widowControl/>
        <w:snapToGrid w:val="0"/>
        <w:spacing w:line="360" w:lineRule="auto"/>
        <w:ind w:firstLine="480" w:firstLineChars="200"/>
        <w:jc w:val="left"/>
        <w:rPr>
          <w:rFonts w:ascii="宋体" w:hAnsi="宋体" w:cs="宋体"/>
          <w:kern w:val="0"/>
          <w:sz w:val="24"/>
        </w:rPr>
      </w:pPr>
    </w:p>
    <w:p>
      <w:pPr>
        <w:pStyle w:val="28"/>
      </w:pPr>
    </w:p>
    <w:p>
      <w:pPr>
        <w:pStyle w:val="85"/>
        <w:ind w:firstLine="480"/>
      </w:pPr>
    </w:p>
    <w:p>
      <w:pPr>
        <w:widowControl/>
        <w:wordWrap w:val="0"/>
        <w:ind w:firstLine="480"/>
        <w:jc w:val="right"/>
        <w:rPr>
          <w:rFonts w:ascii="宋体" w:hAnsi="宋体" w:cs="宋体"/>
          <w:kern w:val="0"/>
          <w:szCs w:val="21"/>
        </w:rPr>
      </w:pPr>
      <w:r>
        <w:rPr>
          <w:rFonts w:hint="eastAsia" w:ascii="宋体" w:hAnsi="宋体" w:cs="仿宋_GB2312"/>
          <w:kern w:val="0"/>
          <w:sz w:val="24"/>
        </w:rPr>
        <w:t xml:space="preserve">            </w:t>
      </w:r>
      <w:r>
        <w:rPr>
          <w:rFonts w:hint="eastAsia" w:ascii="宋体" w:hAnsi="宋体" w:cs="宋体"/>
          <w:szCs w:val="21"/>
        </w:rPr>
        <w:t xml:space="preserve">投标人名称(公章或CA签章)： </w:t>
      </w:r>
    </w:p>
    <w:p>
      <w:pPr>
        <w:widowControl/>
        <w:ind w:firstLine="480"/>
        <w:jc w:val="left"/>
        <w:rPr>
          <w:rFonts w:ascii="宋体" w:hAnsi="宋体" w:cs="宋体"/>
          <w:kern w:val="0"/>
          <w:szCs w:val="21"/>
        </w:rPr>
      </w:pPr>
    </w:p>
    <w:p>
      <w:pPr>
        <w:widowControl/>
        <w:ind w:firstLine="480"/>
        <w:jc w:val="right"/>
        <w:rPr>
          <w:rFonts w:ascii="宋体" w:hAnsi="宋体" w:cs="宋体"/>
          <w:kern w:val="0"/>
          <w:szCs w:val="21"/>
        </w:rPr>
      </w:pPr>
      <w:r>
        <w:rPr>
          <w:rFonts w:hint="eastAsia" w:ascii="宋体" w:hAnsi="宋体" w:cs="宋体"/>
          <w:kern w:val="0"/>
          <w:szCs w:val="21"/>
        </w:rPr>
        <w:t>法定代表人(签字或盖章)或授权委托代理人(签字)：</w:t>
      </w:r>
    </w:p>
    <w:p>
      <w:pPr>
        <w:adjustRightInd w:val="0"/>
        <w:snapToGrid w:val="0"/>
        <w:spacing w:line="360" w:lineRule="auto"/>
        <w:ind w:firstLine="240" w:firstLineChars="100"/>
        <w:jc w:val="right"/>
        <w:rPr>
          <w:rFonts w:ascii="宋体" w:hAnsi="宋体" w:cs="仿宋_GB2312"/>
          <w:kern w:val="0"/>
          <w:sz w:val="24"/>
          <w:lang w:val="zh-CN"/>
        </w:rPr>
      </w:pPr>
    </w:p>
    <w:p>
      <w:pPr>
        <w:wordWrap w:val="0"/>
        <w:spacing w:line="360" w:lineRule="auto"/>
        <w:ind w:firstLine="240" w:firstLineChars="100"/>
        <w:contextualSpacing/>
        <w:jc w:val="right"/>
        <w:rPr>
          <w:rFonts w:ascii="宋体" w:hAnsi="宋体"/>
          <w:sz w:val="24"/>
        </w:rPr>
      </w:pPr>
      <w:r>
        <w:rPr>
          <w:rFonts w:hint="eastAsia" w:ascii="宋体" w:hAnsi="宋体" w:cs="仿宋_GB2312"/>
          <w:kern w:val="0"/>
          <w:sz w:val="24"/>
          <w:lang w:val="zh-CN"/>
        </w:rPr>
        <w:t>日期：</w:t>
      </w:r>
      <w:r>
        <w:rPr>
          <w:rFonts w:hint="eastAsia" w:ascii="宋体" w:hAnsi="宋体"/>
          <w:sz w:val="24"/>
        </w:rPr>
        <w:t xml:space="preserve">   </w:t>
      </w:r>
      <w:r>
        <w:rPr>
          <w:rFonts w:hint="eastAsia" w:ascii="宋体" w:hAnsi="宋体" w:cs="仿宋_GB2312"/>
          <w:kern w:val="0"/>
          <w:sz w:val="24"/>
          <w:lang w:val="zh-CN"/>
        </w:rPr>
        <w:t xml:space="preserve">年 </w:t>
      </w:r>
      <w:r>
        <w:rPr>
          <w:rFonts w:hint="eastAsia" w:ascii="宋体" w:hAnsi="宋体"/>
          <w:sz w:val="24"/>
        </w:rPr>
        <w:t xml:space="preserve">  </w:t>
      </w:r>
      <w:r>
        <w:rPr>
          <w:rFonts w:hint="eastAsia" w:ascii="宋体" w:hAnsi="宋体" w:cs="仿宋_GB2312"/>
          <w:kern w:val="0"/>
          <w:sz w:val="24"/>
          <w:lang w:val="zh-CN"/>
        </w:rPr>
        <w:t xml:space="preserve">月 </w:t>
      </w:r>
      <w:r>
        <w:rPr>
          <w:rFonts w:hint="eastAsia" w:ascii="宋体" w:hAnsi="宋体"/>
          <w:sz w:val="24"/>
        </w:rPr>
        <w:t xml:space="preserve">  </w:t>
      </w:r>
      <w:r>
        <w:rPr>
          <w:rFonts w:hint="eastAsia" w:ascii="宋体" w:hAnsi="宋体" w:cs="仿宋_GB2312"/>
          <w:kern w:val="0"/>
          <w:sz w:val="24"/>
          <w:lang w:val="zh-CN"/>
        </w:rPr>
        <w:t>日</w:t>
      </w:r>
    </w:p>
    <w:p>
      <w:pPr>
        <w:jc w:val="right"/>
      </w:pPr>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Pr>
        <w:rPr>
          <w:rFonts w:ascii="宋体" w:hAnsi="宋体" w:cs="宋体"/>
          <w:b/>
          <w:kern w:val="0"/>
          <w:sz w:val="28"/>
          <w:szCs w:val="28"/>
        </w:rPr>
      </w:pPr>
      <w:r>
        <w:rPr>
          <w:rFonts w:hint="eastAsia" w:ascii="宋体" w:hAnsi="宋体" w:cs="宋体"/>
          <w:b/>
          <w:kern w:val="0"/>
          <w:sz w:val="28"/>
          <w:szCs w:val="28"/>
        </w:rPr>
        <w:t>附件7</w:t>
      </w:r>
    </w:p>
    <w:p>
      <w:pPr>
        <w:widowControl/>
        <w:spacing w:line="360" w:lineRule="auto"/>
        <w:ind w:firstLine="458"/>
        <w:jc w:val="center"/>
        <w:outlineLvl w:val="2"/>
        <w:rPr>
          <w:rFonts w:ascii="宋体" w:hAnsi="宋体" w:cs="宋体"/>
          <w:b/>
          <w:spacing w:val="-6"/>
          <w:sz w:val="24"/>
          <w:szCs w:val="32"/>
        </w:rPr>
      </w:pPr>
      <w:r>
        <w:rPr>
          <w:rFonts w:hint="eastAsia" w:ascii="宋体" w:hAnsi="宋体" w:cs="宋体"/>
          <w:b/>
          <w:spacing w:val="-6"/>
          <w:sz w:val="24"/>
          <w:szCs w:val="32"/>
        </w:rPr>
        <w:t>参加政府采购活动前3年内在经营活动中没有重大违法记录的书面声明</w:t>
      </w:r>
    </w:p>
    <w:p>
      <w:pPr>
        <w:pStyle w:val="21"/>
        <w:spacing w:line="360" w:lineRule="auto"/>
        <w:ind w:left="199" w:hanging="199" w:hangingChars="74"/>
        <w:jc w:val="center"/>
        <w:rPr>
          <w:rFonts w:ascii="宋体" w:hAnsi="宋体" w:cs="宋体"/>
          <w:b/>
          <w:spacing w:val="-6"/>
          <w:sz w:val="28"/>
          <w:szCs w:val="36"/>
        </w:rPr>
      </w:pPr>
      <w:r>
        <w:rPr>
          <w:rFonts w:hint="eastAsia" w:ascii="宋体" w:hAnsi="宋体" w:cs="宋体"/>
          <w:b/>
          <w:spacing w:val="-6"/>
          <w:sz w:val="28"/>
          <w:szCs w:val="36"/>
        </w:rPr>
        <w:t>声明函</w:t>
      </w:r>
    </w:p>
    <w:p>
      <w:pPr>
        <w:spacing w:line="480" w:lineRule="auto"/>
        <w:ind w:firstLine="456"/>
        <w:rPr>
          <w:rFonts w:ascii="宋体" w:hAnsi="宋体" w:cs="宋体"/>
          <w:spacing w:val="-6"/>
          <w:szCs w:val="21"/>
        </w:rPr>
      </w:pPr>
      <w:r>
        <w:rPr>
          <w:rFonts w:hint="eastAsia" w:ascii="宋体" w:hAnsi="宋体" w:cs="宋体"/>
          <w:spacing w:val="-6"/>
          <w:szCs w:val="21"/>
        </w:rPr>
        <w:t>致：</w:t>
      </w:r>
      <w:r>
        <w:rPr>
          <w:rFonts w:hint="eastAsia" w:hAnsi="宋体"/>
          <w:szCs w:val="21"/>
          <w:u w:val="single"/>
        </w:rPr>
        <w:t>台州市椒江区人民政府洪家街道办事处、浙江中竞管理服务有限公司</w:t>
      </w:r>
    </w:p>
    <w:p>
      <w:pPr>
        <w:spacing w:line="480" w:lineRule="auto"/>
        <w:ind w:firstLine="456"/>
        <w:rPr>
          <w:rFonts w:ascii="宋体" w:hAnsi="宋体" w:cs="宋体"/>
          <w:spacing w:val="-6"/>
          <w:szCs w:val="21"/>
        </w:rPr>
      </w:pPr>
      <w:r>
        <w:rPr>
          <w:rFonts w:hint="eastAsia" w:ascii="宋体" w:hAnsi="宋体" w:cs="宋体"/>
          <w:spacing w:val="-6"/>
          <w:szCs w:val="21"/>
        </w:rPr>
        <w:t>我公司郑重承诺在参加本项目政府采购活动前三年内，在经营活动中</w:t>
      </w:r>
      <w:r>
        <w:rPr>
          <w:rFonts w:hint="eastAsia" w:ascii="宋体" w:hAnsi="宋体" w:cs="宋体"/>
          <w:spacing w:val="-6"/>
          <w:szCs w:val="21"/>
          <w:u w:val="single"/>
        </w:rPr>
        <w:t xml:space="preserve">    </w:t>
      </w:r>
      <w:r>
        <w:rPr>
          <w:rFonts w:hint="eastAsia" w:ascii="宋体" w:hAnsi="宋体" w:cs="宋体"/>
          <w:b/>
          <w:spacing w:val="-6"/>
          <w:szCs w:val="21"/>
        </w:rPr>
        <w:t>（填写“有”或“没有”，如实填写，如不填写视同未提供本声明函）</w:t>
      </w:r>
      <w:r>
        <w:rPr>
          <w:rFonts w:hint="eastAsia" w:ascii="宋体" w:hAnsi="宋体" w:cs="宋体"/>
          <w:spacing w:val="-6"/>
          <w:szCs w:val="21"/>
        </w:rPr>
        <w:t>重大违法记录，重大违法记录是指供应商因违法经营受到刑事处罚或者责令停产停业、吊销许可证或者执照、较大数额罚款等行政处罚。</w:t>
      </w:r>
    </w:p>
    <w:p>
      <w:pPr>
        <w:spacing w:line="480" w:lineRule="auto"/>
        <w:ind w:firstLine="456"/>
        <w:rPr>
          <w:rFonts w:ascii="宋体" w:hAnsi="宋体" w:cs="宋体"/>
          <w:spacing w:val="-6"/>
          <w:szCs w:val="21"/>
        </w:rPr>
      </w:pPr>
      <w:r>
        <w:rPr>
          <w:rFonts w:hint="eastAsia" w:ascii="宋体" w:hAnsi="宋体" w:cs="宋体"/>
          <w:spacing w:val="-6"/>
          <w:szCs w:val="21"/>
        </w:rPr>
        <w:t>以上事项如有虚假或隐瞒，我方愿意承担一切后果和责任。</w:t>
      </w:r>
    </w:p>
    <w:p>
      <w:pPr>
        <w:spacing w:line="480" w:lineRule="auto"/>
        <w:ind w:firstLine="456"/>
        <w:rPr>
          <w:rFonts w:ascii="宋体" w:hAnsi="宋体" w:cs="宋体"/>
          <w:spacing w:val="-6"/>
          <w:szCs w:val="21"/>
        </w:rPr>
      </w:pPr>
      <w:r>
        <w:rPr>
          <w:rFonts w:hint="eastAsia" w:ascii="宋体" w:hAnsi="宋体" w:cs="宋体"/>
          <w:spacing w:val="-6"/>
          <w:szCs w:val="21"/>
        </w:rPr>
        <w:t>特此声明。</w:t>
      </w:r>
    </w:p>
    <w:p>
      <w:pPr>
        <w:spacing w:line="480" w:lineRule="auto"/>
        <w:ind w:firstLine="456"/>
        <w:rPr>
          <w:rFonts w:ascii="宋体" w:hAnsi="宋体" w:cs="宋体"/>
          <w:spacing w:val="-6"/>
          <w:szCs w:val="21"/>
        </w:rPr>
      </w:pPr>
    </w:p>
    <w:p>
      <w:pPr>
        <w:pStyle w:val="73"/>
        <w:spacing w:line="480" w:lineRule="auto"/>
        <w:rPr>
          <w:rFonts w:ascii="宋体" w:hAnsi="宋体" w:cs="宋体"/>
          <w:color w:val="auto"/>
          <w:spacing w:val="-6"/>
          <w:sz w:val="21"/>
          <w:szCs w:val="21"/>
        </w:rPr>
      </w:pPr>
    </w:p>
    <w:p>
      <w:pPr>
        <w:pStyle w:val="74"/>
        <w:spacing w:line="480" w:lineRule="auto"/>
        <w:ind w:left="0"/>
        <w:rPr>
          <w:rFonts w:ascii="宋体" w:hAnsi="宋体" w:cs="宋体"/>
          <w:szCs w:val="21"/>
        </w:rPr>
      </w:pPr>
    </w:p>
    <w:p>
      <w:pPr>
        <w:spacing w:line="480" w:lineRule="auto"/>
        <w:ind w:firstLine="456"/>
        <w:rPr>
          <w:rFonts w:ascii="宋体" w:hAnsi="宋体" w:cs="宋体"/>
          <w:spacing w:val="-6"/>
          <w:szCs w:val="21"/>
        </w:rPr>
      </w:pPr>
      <w:r>
        <w:rPr>
          <w:rFonts w:hint="eastAsia" w:ascii="宋体" w:hAnsi="宋体" w:cs="宋体"/>
          <w:spacing w:val="-6"/>
          <w:szCs w:val="21"/>
        </w:rPr>
        <w:t>供应商名称（</w:t>
      </w:r>
      <w:r>
        <w:rPr>
          <w:rFonts w:hint="eastAsia" w:ascii="宋体" w:hAnsi="宋体" w:cs="宋体"/>
          <w:szCs w:val="21"/>
        </w:rPr>
        <w:t>公章或CA签章</w:t>
      </w:r>
      <w:r>
        <w:rPr>
          <w:rFonts w:hint="eastAsia" w:ascii="宋体" w:hAnsi="宋体" w:cs="宋体"/>
          <w:spacing w:val="-6"/>
          <w:szCs w:val="21"/>
        </w:rPr>
        <w:t>）：</w:t>
      </w:r>
    </w:p>
    <w:p>
      <w:pPr>
        <w:spacing w:line="480" w:lineRule="auto"/>
        <w:ind w:firstLine="480"/>
        <w:rPr>
          <w:rFonts w:ascii="宋体" w:hAnsi="宋体" w:cs="宋体"/>
          <w:spacing w:val="-6"/>
          <w:szCs w:val="21"/>
        </w:rPr>
      </w:pPr>
      <w:r>
        <w:rPr>
          <w:rFonts w:hint="eastAsia" w:ascii="宋体" w:hAnsi="宋体" w:cs="宋体"/>
          <w:kern w:val="0"/>
          <w:szCs w:val="21"/>
        </w:rPr>
        <w:t>法定代表人(签字或盖章)或授权委托代理人(签字)</w:t>
      </w:r>
      <w:r>
        <w:rPr>
          <w:rFonts w:hint="eastAsia" w:ascii="宋体" w:hAnsi="宋体" w:cs="宋体"/>
          <w:spacing w:val="-6"/>
          <w:szCs w:val="21"/>
        </w:rPr>
        <w:t>：</w:t>
      </w:r>
    </w:p>
    <w:p>
      <w:pPr>
        <w:widowControl/>
        <w:tabs>
          <w:tab w:val="left" w:pos="3225"/>
        </w:tabs>
        <w:spacing w:line="480" w:lineRule="auto"/>
        <w:ind w:firstLine="456"/>
        <w:rPr>
          <w:rFonts w:ascii="宋体" w:hAnsi="宋体" w:cs="宋体"/>
          <w:spacing w:val="-6"/>
          <w:szCs w:val="21"/>
        </w:rPr>
      </w:pPr>
      <w:r>
        <w:rPr>
          <w:rFonts w:hint="eastAsia" w:ascii="宋体" w:hAnsi="宋体" w:cs="宋体"/>
          <w:spacing w:val="-6"/>
          <w:szCs w:val="21"/>
        </w:rPr>
        <w:t>日期：     年   月   日</w:t>
      </w:r>
    </w:p>
    <w:p>
      <w:pPr>
        <w:spacing w:line="300" w:lineRule="auto"/>
        <w:rPr>
          <w:rFonts w:ascii="宋体" w:hAnsi="宋体" w:cs="宋体"/>
          <w:b/>
          <w:bCs/>
          <w:sz w:val="28"/>
          <w:szCs w:val="36"/>
        </w:rPr>
      </w:pPr>
    </w:p>
    <w:p>
      <w:pPr>
        <w:spacing w:line="300" w:lineRule="auto"/>
        <w:rPr>
          <w:rFonts w:ascii="宋体" w:hAnsi="宋体" w:cs="宋体"/>
          <w:b/>
          <w:bCs/>
          <w:sz w:val="28"/>
          <w:szCs w:val="36"/>
        </w:rPr>
      </w:pPr>
    </w:p>
    <w:p>
      <w:pPr>
        <w:spacing w:line="300" w:lineRule="auto"/>
        <w:rPr>
          <w:rFonts w:ascii="宋体" w:hAnsi="宋体" w:cs="宋体"/>
          <w:b/>
          <w:bCs/>
          <w:sz w:val="28"/>
          <w:szCs w:val="36"/>
        </w:rPr>
      </w:pPr>
    </w:p>
    <w:p>
      <w:pPr>
        <w:pStyle w:val="63"/>
        <w:widowControl w:val="0"/>
        <w:snapToGrid w:val="0"/>
        <w:spacing w:line="360" w:lineRule="auto"/>
        <w:jc w:val="center"/>
        <w:rPr>
          <w:rFonts w:ascii="Times New Roman" w:hAnsi="Times New Roman"/>
          <w:b/>
          <w:kern w:val="2"/>
          <w:sz w:val="32"/>
          <w:szCs w:val="32"/>
        </w:rPr>
      </w:pPr>
    </w:p>
    <w:p>
      <w:pPr>
        <w:pStyle w:val="63"/>
        <w:widowControl w:val="0"/>
        <w:snapToGrid w:val="0"/>
        <w:spacing w:line="360" w:lineRule="auto"/>
        <w:jc w:val="center"/>
        <w:rPr>
          <w:rFonts w:ascii="Times New Roman" w:hAnsi="Times New Roman"/>
          <w:b/>
          <w:kern w:val="2"/>
          <w:sz w:val="32"/>
          <w:szCs w:val="32"/>
        </w:rPr>
      </w:pPr>
    </w:p>
    <w:p>
      <w:pPr>
        <w:pStyle w:val="63"/>
        <w:widowControl w:val="0"/>
        <w:snapToGrid w:val="0"/>
        <w:spacing w:line="360" w:lineRule="auto"/>
        <w:jc w:val="center"/>
        <w:rPr>
          <w:rFonts w:ascii="Times New Roman" w:hAnsi="Times New Roman"/>
          <w:b/>
          <w:kern w:val="2"/>
          <w:sz w:val="32"/>
          <w:szCs w:val="32"/>
        </w:rPr>
      </w:pPr>
    </w:p>
    <w:p>
      <w:pPr>
        <w:pStyle w:val="63"/>
        <w:widowControl w:val="0"/>
        <w:snapToGrid w:val="0"/>
        <w:spacing w:line="360" w:lineRule="auto"/>
        <w:jc w:val="both"/>
        <w:rPr>
          <w:rFonts w:ascii="Times New Roman" w:hAnsi="Times New Roman"/>
          <w:b/>
          <w:kern w:val="2"/>
          <w:sz w:val="32"/>
          <w:szCs w:val="32"/>
        </w:rPr>
      </w:pPr>
    </w:p>
    <w:p>
      <w:pPr>
        <w:tabs>
          <w:tab w:val="left" w:pos="2460"/>
        </w:tabs>
        <w:spacing w:line="300" w:lineRule="auto"/>
        <w:rPr>
          <w:rFonts w:ascii="宋体" w:hAnsi="宋体"/>
          <w:b/>
          <w:sz w:val="28"/>
        </w:rPr>
      </w:pPr>
      <w:r>
        <w:rPr>
          <w:rFonts w:hint="eastAsia" w:ascii="宋体" w:hAnsi="宋体"/>
          <w:b/>
          <w:sz w:val="28"/>
        </w:rPr>
        <w:t>附件8</w:t>
      </w:r>
    </w:p>
    <w:p>
      <w:pPr>
        <w:widowControl/>
        <w:jc w:val="center"/>
        <w:rPr>
          <w:rFonts w:ascii="宋体" w:hAnsi="宋体" w:cs="宋体"/>
          <w:b/>
          <w:bCs/>
          <w:kern w:val="0"/>
          <w:sz w:val="36"/>
          <w:szCs w:val="36"/>
        </w:rPr>
      </w:pPr>
      <w:r>
        <w:rPr>
          <w:rFonts w:hint="eastAsia" w:ascii="宋体" w:hAnsi="宋体" w:cs="宋体"/>
          <w:b/>
          <w:bCs/>
          <w:kern w:val="0"/>
          <w:sz w:val="36"/>
          <w:szCs w:val="36"/>
        </w:rPr>
        <w:t>中小企业声明函（货物）</w:t>
      </w:r>
    </w:p>
    <w:p>
      <w:pPr>
        <w:pStyle w:val="7"/>
        <w:spacing w:after="156"/>
        <w:rPr>
          <w:rFonts w:ascii="宋体" w:hAnsi="宋体" w:cs="宋体"/>
        </w:rPr>
      </w:pPr>
    </w:p>
    <w:p>
      <w:pPr>
        <w:widowControl/>
        <w:spacing w:line="360" w:lineRule="auto"/>
        <w:ind w:firstLine="420" w:firstLineChars="200"/>
        <w:jc w:val="left"/>
        <w:rPr>
          <w:rFonts w:ascii="宋体" w:hAnsi="宋体" w:cs="宋体"/>
          <w:szCs w:val="21"/>
        </w:rPr>
      </w:pPr>
      <w:r>
        <w:rPr>
          <w:rFonts w:hint="eastAsia" w:ascii="宋体" w:hAnsi="宋体" w:cs="宋体"/>
          <w:kern w:val="0"/>
          <w:szCs w:val="21"/>
        </w:rPr>
        <w:t>本公司郑重声明，根据《政府采购促进中小企业发展管理办法》（财库﹝2020﹞46 号）的规定，本公司参加</w:t>
      </w:r>
      <w:r>
        <w:rPr>
          <w:rFonts w:hint="eastAsia" w:ascii="宋体" w:hAnsi="宋体" w:cs="宋体"/>
          <w:szCs w:val="21"/>
          <w:u w:val="single"/>
        </w:rPr>
        <w:t xml:space="preserve"> </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采购活动，提供的货物全部由符合政策要求的中小企业制造。相关企业（含联合体中的中小企业、签订分包意向协议的中小企业）的具体情 况如下：</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1. </w:t>
      </w:r>
      <w:r>
        <w:rPr>
          <w:rFonts w:hint="eastAsia" w:ascii="宋体" w:hAnsi="宋体" w:cs="宋体"/>
          <w:kern w:val="0"/>
          <w:szCs w:val="21"/>
          <w:u w:val="single"/>
        </w:rPr>
        <w:t xml:space="preserve">（标的名称） </w:t>
      </w:r>
      <w:r>
        <w:rPr>
          <w:rFonts w:hint="eastAsia" w:ascii="宋体" w:hAnsi="宋体" w:cs="宋体"/>
          <w:kern w:val="0"/>
          <w:szCs w:val="21"/>
        </w:rPr>
        <w:t>，属于</w:t>
      </w:r>
      <w:r>
        <w:rPr>
          <w:rFonts w:hint="eastAsia" w:ascii="宋体" w:hAnsi="宋体" w:cs="宋体"/>
          <w:kern w:val="0"/>
          <w:szCs w:val="21"/>
          <w:u w:val="single"/>
        </w:rPr>
        <w:t>（采购文件中明确的所属行业）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（中型企业、 小型企业、微型企业）</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2. </w:t>
      </w:r>
      <w:r>
        <w:rPr>
          <w:rFonts w:hint="eastAsia" w:ascii="宋体" w:hAnsi="宋体" w:cs="宋体"/>
          <w:kern w:val="0"/>
          <w:szCs w:val="21"/>
          <w:u w:val="single"/>
        </w:rPr>
        <w:t xml:space="preserve">（标的名称） </w:t>
      </w:r>
      <w:r>
        <w:rPr>
          <w:rFonts w:hint="eastAsia" w:ascii="宋体" w:hAnsi="宋体" w:cs="宋体"/>
          <w:kern w:val="0"/>
          <w:szCs w:val="21"/>
        </w:rPr>
        <w:t>，属于</w:t>
      </w:r>
      <w:r>
        <w:rPr>
          <w:rFonts w:hint="eastAsia" w:ascii="宋体" w:hAnsi="宋体" w:cs="宋体"/>
          <w:kern w:val="0"/>
          <w:szCs w:val="21"/>
          <w:u w:val="single"/>
        </w:rPr>
        <w:t>（采购文件中明确的所属行业）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（中型企业、 小型企业、微型企业）</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3. </w:t>
      </w:r>
      <w:r>
        <w:rPr>
          <w:rFonts w:hint="eastAsia" w:ascii="宋体" w:hAnsi="宋体" w:cs="宋体"/>
          <w:kern w:val="0"/>
          <w:szCs w:val="21"/>
          <w:u w:val="single"/>
        </w:rPr>
        <w:t xml:space="preserve">（标的名称） </w:t>
      </w:r>
      <w:r>
        <w:rPr>
          <w:rFonts w:hint="eastAsia" w:ascii="宋体" w:hAnsi="宋体" w:cs="宋体"/>
          <w:kern w:val="0"/>
          <w:szCs w:val="21"/>
        </w:rPr>
        <w:t>，属于</w:t>
      </w:r>
      <w:r>
        <w:rPr>
          <w:rFonts w:hint="eastAsia" w:ascii="宋体" w:hAnsi="宋体" w:cs="宋体"/>
          <w:kern w:val="0"/>
          <w:szCs w:val="21"/>
          <w:u w:val="single"/>
        </w:rPr>
        <w:t>（采购文件中明确的所属行业）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（中型企业、 小型企业、微型企业）</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4. </w:t>
      </w:r>
      <w:r>
        <w:rPr>
          <w:rFonts w:hint="eastAsia" w:ascii="宋体" w:hAnsi="宋体" w:cs="宋体"/>
          <w:kern w:val="0"/>
          <w:szCs w:val="21"/>
          <w:u w:val="single"/>
        </w:rPr>
        <w:t xml:space="preserve">（标的名称） </w:t>
      </w:r>
      <w:r>
        <w:rPr>
          <w:rFonts w:hint="eastAsia" w:ascii="宋体" w:hAnsi="宋体" w:cs="宋体"/>
          <w:kern w:val="0"/>
          <w:szCs w:val="21"/>
        </w:rPr>
        <w:t>，属于</w:t>
      </w:r>
      <w:r>
        <w:rPr>
          <w:rFonts w:hint="eastAsia" w:ascii="宋体" w:hAnsi="宋体" w:cs="宋体"/>
          <w:kern w:val="0"/>
          <w:szCs w:val="21"/>
          <w:u w:val="single"/>
        </w:rPr>
        <w:t>（采购文件中明确的所属行业）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（中型企业、 小型企业、微型企业）</w:t>
      </w:r>
      <w:r>
        <w:rPr>
          <w:rFonts w:hint="eastAsia" w:ascii="宋体" w:hAnsi="宋体" w:cs="宋体"/>
          <w:kern w:val="0"/>
          <w:szCs w:val="21"/>
        </w:rPr>
        <w:t>；</w:t>
      </w:r>
    </w:p>
    <w:p>
      <w:pPr>
        <w:widowControl/>
        <w:spacing w:line="360" w:lineRule="auto"/>
        <w:ind w:firstLine="420" w:firstLineChars="200"/>
        <w:jc w:val="left"/>
        <w:rPr>
          <w:b/>
          <w:szCs w:val="21"/>
        </w:rPr>
      </w:pPr>
      <w:r>
        <w:rPr>
          <w:rFonts w:hint="eastAsia" w:ascii="宋体" w:hAnsi="宋体" w:cs="宋体"/>
          <w:kern w:val="0"/>
          <w:szCs w:val="21"/>
        </w:rPr>
        <w:t>……</w:t>
      </w:r>
    </w:p>
    <w:p>
      <w:pPr>
        <w:pStyle w:val="28"/>
        <w:tabs>
          <w:tab w:val="left" w:pos="720"/>
          <w:tab w:val="left" w:pos="1260"/>
          <w:tab w:val="left" w:pos="2160"/>
          <w:tab w:val="left" w:pos="2880"/>
          <w:tab w:val="left" w:pos="3600"/>
          <w:tab w:val="left" w:pos="4320"/>
          <w:tab w:val="left" w:pos="5040"/>
          <w:tab w:val="left" w:pos="5760"/>
        </w:tabs>
        <w:ind w:left="0" w:leftChars="0" w:firstLine="0"/>
        <w:rPr>
          <w:rFonts w:ascii="宋体" w:hAnsi="宋体" w:cs="宋体"/>
          <w:b/>
          <w:szCs w:val="21"/>
        </w:rPr>
      </w:pPr>
      <w:r>
        <w:rPr>
          <w:rFonts w:hint="eastAsia"/>
          <w:b/>
          <w:szCs w:val="21"/>
        </w:rPr>
        <w:t>注：根据技术需求中标的物名称全面、如实填写。所有的货物都要明确制造商是否为中小企业</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pPr>
        <w:widowControl/>
        <w:spacing w:line="360" w:lineRule="auto"/>
        <w:jc w:val="center"/>
        <w:rPr>
          <w:rFonts w:ascii="宋体" w:hAnsi="宋体" w:cs="宋体"/>
          <w:kern w:val="0"/>
          <w:szCs w:val="21"/>
        </w:rPr>
      </w:pPr>
      <w:r>
        <w:rPr>
          <w:rFonts w:hint="eastAsia" w:ascii="宋体" w:hAnsi="宋体" w:cs="宋体"/>
          <w:kern w:val="0"/>
          <w:szCs w:val="21"/>
        </w:rPr>
        <w:t xml:space="preserve">                                企业名称（盖章）： </w:t>
      </w:r>
    </w:p>
    <w:p>
      <w:pPr>
        <w:widowControl/>
        <w:spacing w:line="360" w:lineRule="auto"/>
        <w:jc w:val="center"/>
        <w:rPr>
          <w:rFonts w:ascii="宋体" w:hAnsi="宋体" w:cs="宋体"/>
          <w:kern w:val="0"/>
          <w:szCs w:val="21"/>
        </w:rPr>
      </w:pPr>
      <w:r>
        <w:rPr>
          <w:rFonts w:hint="eastAsia" w:ascii="宋体" w:hAnsi="宋体" w:cs="宋体"/>
          <w:kern w:val="0"/>
          <w:szCs w:val="21"/>
        </w:rPr>
        <w:t xml:space="preserve">                             日期：</w:t>
      </w:r>
    </w:p>
    <w:p>
      <w:pPr>
        <w:spacing w:line="360" w:lineRule="auto"/>
        <w:jc w:val="left"/>
        <w:rPr>
          <w:rFonts w:ascii="宋体" w:hAnsi="宋体"/>
          <w:szCs w:val="21"/>
          <w:u w:val="single"/>
        </w:rPr>
      </w:pPr>
      <w:r>
        <w:rPr>
          <w:rFonts w:hint="eastAsia" w:ascii="宋体" w:hAnsi="宋体"/>
          <w:bCs/>
          <w:szCs w:val="21"/>
        </w:rPr>
        <w:t>从业人员、营业收入、资产总额填报上一年度数据，无上一年度数据的新成立企业可不填报。</w:t>
      </w:r>
    </w:p>
    <w:p>
      <w:pPr>
        <w:widowControl/>
        <w:overflowPunct w:val="0"/>
        <w:autoSpaceDE w:val="0"/>
        <w:autoSpaceDN w:val="0"/>
        <w:adjustRightInd w:val="0"/>
        <w:snapToGrid w:val="0"/>
        <w:spacing w:line="360" w:lineRule="auto"/>
        <w:jc w:val="left"/>
        <w:textAlignment w:val="baseline"/>
        <w:rPr>
          <w:rFonts w:ascii="宋体" w:hAnsi="宋体"/>
        </w:rPr>
      </w:pPr>
      <w:r>
        <w:rPr>
          <w:rFonts w:ascii="宋体" w:hAnsi="宋体"/>
          <w:szCs w:val="21"/>
          <w:u w:val="single"/>
        </w:rPr>
        <w:br w:type="page"/>
      </w:r>
      <w:r>
        <w:rPr>
          <w:rFonts w:hint="eastAsia" w:ascii="宋体" w:hAnsi="宋体"/>
        </w:rPr>
        <w:t>附件9</w:t>
      </w:r>
    </w:p>
    <w:p>
      <w:pPr>
        <w:spacing w:line="360" w:lineRule="auto"/>
        <w:jc w:val="center"/>
        <w:outlineLvl w:val="1"/>
        <w:rPr>
          <w:rFonts w:ascii="宋体" w:hAnsi="宋体" w:cs="宋体"/>
          <w:b/>
          <w:sz w:val="32"/>
          <w:szCs w:val="32"/>
          <w:lang w:val="en-GB"/>
        </w:rPr>
      </w:pPr>
      <w:r>
        <w:rPr>
          <w:rFonts w:hint="eastAsia" w:ascii="宋体" w:hAnsi="宋体" w:cs="宋体"/>
          <w:b/>
          <w:sz w:val="32"/>
          <w:szCs w:val="32"/>
          <w:lang w:val="en-GB"/>
        </w:rPr>
        <w:t>残疾人福利性单位声明函（如有）</w:t>
      </w:r>
    </w:p>
    <w:p>
      <w:pPr>
        <w:spacing w:line="588" w:lineRule="exact"/>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141号）的规定，本单位为符合条件的残疾人福利性单位，且本单位参加本项目采购活动提供本单位的服务。</w:t>
      </w:r>
    </w:p>
    <w:p>
      <w:pPr>
        <w:spacing w:line="588" w:lineRule="exact"/>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tabs>
          <w:tab w:val="left" w:pos="4860"/>
        </w:tabs>
        <w:spacing w:line="588" w:lineRule="exact"/>
        <w:ind w:right="1560" w:firstLine="420" w:firstLineChars="200"/>
        <w:jc w:val="center"/>
        <w:rPr>
          <w:rFonts w:ascii="宋体" w:hAnsi="宋体" w:cs="宋体"/>
          <w:szCs w:val="21"/>
        </w:rPr>
      </w:pPr>
    </w:p>
    <w:p>
      <w:pPr>
        <w:spacing w:line="360" w:lineRule="auto"/>
        <w:ind w:left="4788" w:leftChars="2280"/>
        <w:rPr>
          <w:rFonts w:ascii="宋体" w:hAnsi="宋体"/>
          <w:szCs w:val="21"/>
        </w:rPr>
      </w:pPr>
      <w:r>
        <w:rPr>
          <w:rFonts w:hint="eastAsia" w:ascii="宋体" w:hAnsi="宋体"/>
          <w:szCs w:val="21"/>
        </w:rPr>
        <w:t>单位名称（盖章）：</w:t>
      </w:r>
    </w:p>
    <w:p>
      <w:pPr>
        <w:spacing w:line="360" w:lineRule="auto"/>
        <w:ind w:left="3591" w:leftChars="1710" w:firstLine="1260" w:firstLineChars="600"/>
        <w:rPr>
          <w:rFonts w:ascii="宋体" w:hAnsi="宋体"/>
          <w:szCs w:val="21"/>
        </w:rPr>
      </w:pPr>
      <w:r>
        <w:rPr>
          <w:rFonts w:hint="eastAsia" w:ascii="宋体" w:hAnsi="宋体"/>
          <w:szCs w:val="21"/>
        </w:rPr>
        <w:t>日  期  ：</w:t>
      </w:r>
    </w:p>
    <w:p>
      <w:pPr>
        <w:pStyle w:val="5"/>
        <w:ind w:firstLine="241"/>
        <w:jc w:val="center"/>
        <w:rPr>
          <w:rFonts w:ascii="宋体" w:hAnsi="宋体"/>
          <w:lang w:val="en-GB"/>
        </w:rPr>
      </w:pPr>
      <w:r>
        <w:rPr>
          <w:rFonts w:hint="eastAsia" w:ascii="宋体" w:hAnsi="宋体"/>
          <w:lang w:val="en-GB"/>
        </w:rPr>
        <w:t>监狱企业资格证明材料</w:t>
      </w:r>
    </w:p>
    <w:p>
      <w:pPr>
        <w:ind w:firstLine="480"/>
        <w:rPr>
          <w:rFonts w:ascii="宋体" w:hAnsi="宋体" w:cs="宋体"/>
          <w:szCs w:val="21"/>
        </w:rPr>
      </w:pPr>
      <w:r>
        <w:rPr>
          <w:rFonts w:hint="eastAsia" w:ascii="宋体" w:hAnsi="宋体" w:cs="宋体"/>
          <w:szCs w:val="21"/>
        </w:rPr>
        <w:t>（省级以上监狱管理局、戒毒管理局（含新疆生产建设兵团）出具的属于监狱企业的证明文件）</w:t>
      </w:r>
    </w:p>
    <w:p>
      <w:pPr>
        <w:ind w:firstLine="480"/>
        <w:rPr>
          <w:rFonts w:ascii="宋体" w:hAnsi="宋体" w:cs="宋体"/>
          <w:szCs w:val="21"/>
        </w:rPr>
      </w:pPr>
    </w:p>
    <w:p>
      <w:pPr>
        <w:ind w:firstLine="480"/>
        <w:rPr>
          <w:rFonts w:ascii="宋体" w:hAnsi="宋体" w:cs="宋体"/>
          <w:szCs w:val="21"/>
        </w:rPr>
      </w:pPr>
      <w:r>
        <w:rPr>
          <w:rFonts w:hint="eastAsia" w:ascii="宋体" w:hAnsi="宋体" w:cs="宋体"/>
          <w:szCs w:val="21"/>
        </w:rPr>
        <w:t>说明：监狱企业视同小型、微型企业。</w:t>
      </w:r>
    </w:p>
    <w:p>
      <w:pPr>
        <w:pStyle w:val="13"/>
        <w:spacing w:line="312" w:lineRule="auto"/>
        <w:jc w:val="center"/>
        <w:outlineLvl w:val="1"/>
        <w:rPr>
          <w:rFonts w:hAnsi="宋体"/>
          <w:b/>
          <w:szCs w:val="21"/>
        </w:rPr>
      </w:pPr>
    </w:p>
    <w:p>
      <w:pPr>
        <w:spacing w:line="360" w:lineRule="auto"/>
        <w:ind w:firstLine="5250" w:firstLineChars="2500"/>
        <w:rPr>
          <w:szCs w:val="21"/>
        </w:rPr>
      </w:pPr>
      <w:r>
        <w:rPr>
          <w:rFonts w:hint="eastAsia"/>
          <w:szCs w:val="21"/>
        </w:rPr>
        <w:t>单位名称（单位公章）：</w:t>
      </w:r>
    </w:p>
    <w:p>
      <w:pPr>
        <w:pStyle w:val="58"/>
        <w:spacing w:line="360" w:lineRule="auto"/>
        <w:ind w:left="4253" w:leftChars="2025" w:right="360"/>
        <w:jc w:val="right"/>
        <w:rPr>
          <w:rFonts w:ascii="宋体" w:hAnsi="宋体" w:cs="宋体"/>
          <w:szCs w:val="21"/>
        </w:rPr>
      </w:pPr>
      <w:r>
        <w:rPr>
          <w:rFonts w:hint="eastAsia"/>
          <w:szCs w:val="21"/>
        </w:rPr>
        <w:t>日期：</w:t>
      </w:r>
      <w:r>
        <w:rPr>
          <w:rFonts w:hint="eastAsia" w:ascii="宋体" w:hAnsi="宋体" w:cs="宋体"/>
          <w:szCs w:val="21"/>
          <w:u w:val="single"/>
        </w:rPr>
        <w:t xml:space="preserve">      </w:t>
      </w:r>
      <w:r>
        <w:rPr>
          <w:rFonts w:hint="eastAsia" w:ascii="宋体" w:hAnsi="宋体" w:cs="Arial"/>
          <w:szCs w:val="21"/>
        </w:rPr>
        <w:t>年</w:t>
      </w:r>
      <w:r>
        <w:rPr>
          <w:rFonts w:hint="eastAsia" w:ascii="宋体" w:hAnsi="宋体" w:cs="宋体"/>
          <w:szCs w:val="21"/>
          <w:u w:val="single"/>
        </w:rPr>
        <w:t xml:space="preserve">    </w:t>
      </w:r>
      <w:r>
        <w:rPr>
          <w:rFonts w:hint="eastAsia" w:ascii="宋体" w:hAnsi="宋体" w:cs="Arial"/>
          <w:szCs w:val="21"/>
        </w:rPr>
        <w:t>月</w:t>
      </w:r>
      <w:r>
        <w:rPr>
          <w:rFonts w:hint="eastAsia" w:ascii="宋体" w:hAnsi="宋体" w:cs="宋体"/>
          <w:szCs w:val="21"/>
          <w:u w:val="single"/>
        </w:rPr>
        <w:t xml:space="preserve">    </w:t>
      </w:r>
      <w:r>
        <w:rPr>
          <w:rFonts w:hint="eastAsia" w:ascii="宋体" w:hAnsi="宋体" w:cs="Arial"/>
          <w:szCs w:val="21"/>
        </w:rPr>
        <w:t>日</w:t>
      </w:r>
    </w:p>
    <w:p>
      <w:pPr>
        <w:widowControl/>
        <w:spacing w:line="360" w:lineRule="auto"/>
        <w:jc w:val="center"/>
        <w:rPr>
          <w:rFonts w:ascii="宋体" w:hAnsi="宋体" w:cs="宋体"/>
          <w:kern w:val="0"/>
          <w:sz w:val="24"/>
        </w:rPr>
      </w:pPr>
      <w:r>
        <w:rPr>
          <w:rFonts w:hint="eastAsia" w:cs="宋体"/>
          <w:b/>
          <w:spacing w:val="6"/>
        </w:rPr>
        <w:t>投标人不属于中小企业、残疾人福利性单位、监狱企业的，无需提供此声明函，如提供所引起的后果由投标人承担。</w:t>
      </w:r>
    </w:p>
    <w:p>
      <w:pPr>
        <w:spacing w:line="300" w:lineRule="auto"/>
        <w:rPr>
          <w:rFonts w:ascii="宋体" w:hAnsi="宋体" w:cs="宋体"/>
          <w:b/>
          <w:bCs/>
          <w:sz w:val="28"/>
          <w:szCs w:val="36"/>
        </w:rPr>
      </w:pPr>
    </w:p>
    <w:p>
      <w:pPr>
        <w:spacing w:line="300" w:lineRule="auto"/>
        <w:rPr>
          <w:rFonts w:ascii="宋体" w:hAnsi="宋体" w:cs="宋体"/>
          <w:b/>
          <w:bCs/>
          <w:sz w:val="28"/>
          <w:szCs w:val="36"/>
        </w:rPr>
      </w:pPr>
    </w:p>
    <w:p>
      <w:pPr>
        <w:spacing w:line="300" w:lineRule="auto"/>
        <w:rPr>
          <w:rFonts w:ascii="宋体" w:hAnsi="宋体" w:cs="宋体"/>
          <w:b/>
          <w:bCs/>
          <w:sz w:val="28"/>
          <w:szCs w:val="36"/>
        </w:rPr>
      </w:pPr>
    </w:p>
    <w:p>
      <w:pPr>
        <w:spacing w:line="300" w:lineRule="auto"/>
        <w:rPr>
          <w:rFonts w:ascii="宋体" w:hAnsi="宋体" w:cs="宋体"/>
          <w:b/>
          <w:bCs/>
          <w:sz w:val="28"/>
          <w:szCs w:val="36"/>
        </w:rPr>
      </w:pPr>
    </w:p>
    <w:p>
      <w:pPr>
        <w:spacing w:line="300" w:lineRule="auto"/>
        <w:rPr>
          <w:rFonts w:ascii="宋体" w:hAnsi="宋体" w:cs="宋体"/>
          <w:b/>
          <w:bCs/>
          <w:sz w:val="28"/>
          <w:szCs w:val="36"/>
        </w:rPr>
      </w:pPr>
    </w:p>
    <w:p>
      <w:pPr>
        <w:spacing w:line="300" w:lineRule="auto"/>
        <w:rPr>
          <w:rFonts w:ascii="宋体" w:hAnsi="宋体" w:cs="宋体"/>
          <w:b/>
          <w:bCs/>
          <w:sz w:val="28"/>
          <w:szCs w:val="36"/>
        </w:rPr>
      </w:pPr>
    </w:p>
    <w:p>
      <w:pPr>
        <w:pStyle w:val="36"/>
      </w:pPr>
    </w:p>
    <w:p>
      <w:pPr>
        <w:spacing w:line="300" w:lineRule="auto"/>
        <w:rPr>
          <w:rFonts w:ascii="宋体" w:hAnsi="宋体" w:cs="宋体"/>
          <w:b/>
          <w:bCs/>
          <w:sz w:val="28"/>
          <w:szCs w:val="36"/>
        </w:rPr>
      </w:pPr>
    </w:p>
    <w:p>
      <w:pPr>
        <w:spacing w:line="360" w:lineRule="auto"/>
        <w:ind w:right="-110"/>
        <w:rPr>
          <w:rFonts w:ascii="宋体" w:hAnsi="宋体"/>
          <w:b/>
          <w:sz w:val="28"/>
        </w:rPr>
      </w:pPr>
      <w:r>
        <w:rPr>
          <w:rFonts w:hint="eastAsia" w:ascii="宋体" w:hAnsi="宋体"/>
          <w:b/>
          <w:sz w:val="28"/>
        </w:rPr>
        <w:t>附件10</w:t>
      </w:r>
    </w:p>
    <w:p>
      <w:pPr>
        <w:spacing w:line="360" w:lineRule="auto"/>
        <w:ind w:right="-110"/>
        <w:rPr>
          <w:rFonts w:ascii="宋体" w:hAnsi="宋体"/>
          <w:b/>
          <w:sz w:val="28"/>
        </w:rPr>
      </w:pPr>
      <w:r>
        <w:rPr>
          <w:rFonts w:hint="eastAsia" w:ascii="宋体" w:hAnsi="宋体"/>
          <w:b/>
          <w:sz w:val="28"/>
        </w:rPr>
        <w:t xml:space="preserve">                                               </w:t>
      </w:r>
      <w:r>
        <w:rPr>
          <w:rFonts w:hint="eastAsia" w:ascii="宋体" w:hAnsi="宋体"/>
          <w:b/>
          <w:sz w:val="28"/>
          <w:u w:val="single"/>
        </w:rPr>
        <w:t xml:space="preserve">     </w:t>
      </w:r>
      <w:r>
        <w:rPr>
          <w:rFonts w:hint="eastAsia" w:ascii="宋体" w:hAnsi="宋体"/>
          <w:bCs/>
          <w:sz w:val="24"/>
        </w:rPr>
        <w:t>本</w:t>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pacing w:val="40"/>
          <w:sz w:val="28"/>
          <w:szCs w:val="28"/>
        </w:rPr>
        <w:t>）</w:t>
      </w:r>
    </w:p>
    <w:p>
      <w:pPr>
        <w:spacing w:line="360" w:lineRule="auto"/>
        <w:ind w:right="532" w:firstLine="720" w:firstLineChars="200"/>
        <w:rPr>
          <w:rFonts w:ascii="宋体" w:hAnsi="宋体"/>
          <w:sz w:val="36"/>
          <w:szCs w:val="36"/>
        </w:rPr>
      </w:pPr>
      <w:r>
        <w:rPr>
          <w:rFonts w:hint="eastAsia" w:ascii="宋体" w:hAnsi="宋体"/>
          <w:sz w:val="36"/>
          <w:szCs w:val="36"/>
        </w:rPr>
        <w:t>投标人全称（公章或CA签章）：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pacing w:line="360" w:lineRule="auto"/>
        <w:ind w:right="532" w:firstLine="720" w:firstLineChars="200"/>
        <w:rPr>
          <w:rFonts w:ascii="宋体" w:hAnsi="宋体"/>
          <w:sz w:val="36"/>
          <w:szCs w:val="36"/>
        </w:rPr>
      </w:pPr>
    </w:p>
    <w:p>
      <w:pPr>
        <w:snapToGrid w:val="0"/>
        <w:spacing w:before="50" w:after="50" w:line="360" w:lineRule="auto"/>
        <w:jc w:val="center"/>
        <w:rPr>
          <w:rFonts w:ascii="宋体" w:hAnsi="宋体"/>
          <w:b/>
          <w:bCs/>
          <w:sz w:val="32"/>
          <w:szCs w:val="32"/>
          <w:lang w:val="zh-CN"/>
        </w:rPr>
      </w:pPr>
    </w:p>
    <w:p>
      <w:pPr>
        <w:snapToGrid w:val="0"/>
        <w:spacing w:before="50" w:after="50" w:line="360" w:lineRule="auto"/>
        <w:rPr>
          <w:rFonts w:ascii="宋体" w:hAnsi="宋体"/>
          <w:b/>
          <w:bCs/>
          <w:sz w:val="32"/>
          <w:szCs w:val="32"/>
          <w:lang w:val="zh-CN"/>
        </w:rPr>
      </w:pPr>
    </w:p>
    <w:p>
      <w:pPr>
        <w:snapToGrid w:val="0"/>
        <w:spacing w:before="50" w:after="50" w:line="360" w:lineRule="auto"/>
        <w:jc w:val="center"/>
        <w:outlineLvl w:val="1"/>
        <w:rPr>
          <w:rFonts w:ascii="宋体"/>
          <w:b/>
          <w:bCs/>
          <w:sz w:val="32"/>
          <w:szCs w:val="32"/>
        </w:rPr>
      </w:pPr>
      <w:r>
        <w:rPr>
          <w:rFonts w:hint="eastAsia" w:ascii="宋体" w:hAnsi="宋体"/>
          <w:b/>
          <w:bCs/>
          <w:sz w:val="32"/>
          <w:szCs w:val="32"/>
        </w:rPr>
        <w:t>资信与</w:t>
      </w:r>
      <w:r>
        <w:rPr>
          <w:rFonts w:hint="eastAsia" w:ascii="宋体" w:hAnsi="宋体"/>
          <w:b/>
          <w:bCs/>
          <w:sz w:val="32"/>
          <w:szCs w:val="32"/>
          <w:lang w:val="zh-CN"/>
        </w:rPr>
        <w:t>商务技术文件</w:t>
      </w:r>
      <w:r>
        <w:rPr>
          <w:rFonts w:hint="eastAsia" w:ascii="宋体" w:hAnsi="宋体"/>
          <w:b/>
          <w:bCs/>
          <w:sz w:val="32"/>
          <w:szCs w:val="32"/>
        </w:rPr>
        <w:t>目录</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（1）资信与商务技术文件评分索引表（</w:t>
      </w:r>
      <w:r>
        <w:rPr>
          <w:rFonts w:hint="eastAsia" w:asciiTheme="minorEastAsia" w:hAnsiTheme="minorEastAsia" w:eastAsiaTheme="minorEastAsia" w:cstheme="minorEastAsia"/>
          <w:szCs w:val="21"/>
          <w:lang w:val="en-US" w:eastAsia="zh-CN"/>
        </w:rPr>
        <w:t>格式见附件</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（2）投标人企业情况介绍（</w:t>
      </w:r>
      <w:r>
        <w:rPr>
          <w:rFonts w:hint="eastAsia" w:asciiTheme="minorEastAsia" w:hAnsiTheme="minorEastAsia" w:eastAsiaTheme="minorEastAsia" w:cstheme="minorEastAsia"/>
          <w:szCs w:val="21"/>
          <w:lang w:val="en-US" w:eastAsia="zh-CN"/>
        </w:rPr>
        <w:t>格式见附件</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（3）类似业绩（</w:t>
      </w:r>
      <w:r>
        <w:rPr>
          <w:rFonts w:hint="eastAsia" w:asciiTheme="minorEastAsia" w:hAnsiTheme="minorEastAsia" w:eastAsiaTheme="minorEastAsia" w:cstheme="minorEastAsia"/>
          <w:szCs w:val="21"/>
          <w:lang w:val="en-US" w:eastAsia="zh-CN"/>
        </w:rPr>
        <w:t>格式见附件</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（4）技术参数；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（5）应急响应；</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（6）供货配送方案；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（7）质量保障方案；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（8）售后服务；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（9）投标人认为需要的其他文件和说明。</w:t>
      </w:r>
    </w:p>
    <w:p>
      <w:pPr>
        <w:snapToGrid w:val="0"/>
        <w:spacing w:line="360" w:lineRule="auto"/>
        <w:ind w:firstLine="411" w:firstLineChars="196"/>
        <w:rPr>
          <w:rFonts w:ascii="宋体"/>
          <w:szCs w:val="21"/>
        </w:rPr>
      </w:pPr>
    </w:p>
    <w:p>
      <w:pPr>
        <w:snapToGrid w:val="0"/>
        <w:spacing w:before="50" w:after="50" w:line="360" w:lineRule="auto"/>
        <w:rPr>
          <w:rFonts w:ascii="仿宋_GB2312" w:hAnsi="宋体" w:eastAsia="仿宋_GB2312"/>
          <w:b/>
          <w:sz w:val="36"/>
          <w:szCs w:val="36"/>
        </w:rPr>
      </w:pPr>
    </w:p>
    <w:p>
      <w:pPr>
        <w:pStyle w:val="48"/>
        <w:shd w:val="clear" w:color="auto" w:fill="FFFFFF"/>
        <w:spacing w:before="0" w:beforeAutospacing="0" w:after="0" w:afterAutospacing="0" w:line="360" w:lineRule="auto"/>
        <w:rPr>
          <w:b/>
          <w:sz w:val="28"/>
        </w:rPr>
      </w:pPr>
    </w:p>
    <w:p>
      <w:pPr>
        <w:pStyle w:val="48"/>
        <w:shd w:val="clear" w:color="auto" w:fill="FFFFFF"/>
        <w:spacing w:before="0" w:beforeAutospacing="0" w:after="0" w:afterAutospacing="0" w:line="360" w:lineRule="auto"/>
        <w:rPr>
          <w:b/>
          <w:sz w:val="28"/>
        </w:rPr>
      </w:pPr>
    </w:p>
    <w:p>
      <w:pPr>
        <w:pStyle w:val="48"/>
        <w:shd w:val="clear" w:color="auto" w:fill="FFFFFF"/>
        <w:spacing w:before="0" w:beforeAutospacing="0" w:after="0" w:afterAutospacing="0" w:line="360" w:lineRule="auto"/>
        <w:rPr>
          <w:b/>
          <w:sz w:val="28"/>
        </w:rPr>
      </w:pPr>
    </w:p>
    <w:p>
      <w:pPr>
        <w:pStyle w:val="48"/>
        <w:shd w:val="clear" w:color="auto" w:fill="FFFFFF"/>
        <w:spacing w:before="0" w:beforeAutospacing="0" w:after="0" w:afterAutospacing="0" w:line="360" w:lineRule="auto"/>
        <w:rPr>
          <w:b/>
          <w:sz w:val="28"/>
        </w:rPr>
      </w:pPr>
    </w:p>
    <w:p>
      <w:pPr>
        <w:pStyle w:val="48"/>
        <w:shd w:val="clear" w:color="auto" w:fill="FFFFFF"/>
        <w:spacing w:before="0" w:beforeAutospacing="0" w:after="0" w:afterAutospacing="0" w:line="360" w:lineRule="auto"/>
        <w:rPr>
          <w:b/>
          <w:sz w:val="28"/>
        </w:rPr>
      </w:pPr>
    </w:p>
    <w:p>
      <w:pPr>
        <w:pStyle w:val="48"/>
        <w:shd w:val="clear" w:color="auto" w:fill="FFFFFF"/>
        <w:spacing w:before="0" w:beforeAutospacing="0" w:after="0" w:afterAutospacing="0" w:line="360" w:lineRule="auto"/>
        <w:rPr>
          <w:b/>
          <w:sz w:val="28"/>
        </w:rPr>
      </w:pPr>
    </w:p>
    <w:p>
      <w:pPr>
        <w:pStyle w:val="48"/>
        <w:shd w:val="clear" w:color="auto" w:fill="FFFFFF"/>
        <w:spacing w:before="0" w:beforeAutospacing="0" w:after="0" w:afterAutospacing="0"/>
        <w:rPr>
          <w:b/>
          <w:sz w:val="28"/>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widowControl/>
        <w:spacing w:line="520" w:lineRule="exact"/>
        <w:outlineLvl w:val="2"/>
        <w:rPr>
          <w:rFonts w:ascii="仿宋" w:hAnsi="仿宋" w:eastAsia="仿宋" w:cs="仿宋"/>
          <w:b/>
          <w:sz w:val="30"/>
          <w:szCs w:val="30"/>
        </w:rPr>
      </w:pPr>
      <w:bookmarkStart w:id="9" w:name="_Toc8725"/>
      <w:bookmarkStart w:id="10" w:name="_Toc13765"/>
      <w:r>
        <w:rPr>
          <w:rFonts w:hint="eastAsia" w:ascii="仿宋" w:hAnsi="仿宋" w:eastAsia="仿宋" w:cs="仿宋"/>
          <w:b/>
          <w:sz w:val="30"/>
          <w:szCs w:val="30"/>
        </w:rPr>
        <w:t>附件</w:t>
      </w:r>
      <w:r>
        <w:rPr>
          <w:rFonts w:hint="eastAsia" w:ascii="仿宋" w:hAnsi="仿宋" w:eastAsia="仿宋" w:cs="仿宋"/>
          <w:b/>
          <w:sz w:val="30"/>
          <w:szCs w:val="30"/>
          <w:lang w:val="en-US" w:eastAsia="zh-CN"/>
        </w:rPr>
        <w:t>11</w:t>
      </w:r>
      <w:r>
        <w:rPr>
          <w:rFonts w:hint="eastAsia" w:ascii="仿宋" w:hAnsi="仿宋" w:eastAsia="仿宋" w:cs="仿宋"/>
          <w:b/>
          <w:sz w:val="30"/>
          <w:szCs w:val="30"/>
        </w:rPr>
        <w:t xml:space="preserve"> ：     资信与商务技术文件评分索引表</w:t>
      </w:r>
      <w:bookmarkEnd w:id="9"/>
      <w:bookmarkEnd w:id="10"/>
    </w:p>
    <w:p>
      <w:pPr>
        <w:pStyle w:val="11"/>
        <w:ind w:left="0" w:leftChars="0"/>
        <w:rPr>
          <w:sz w:val="28"/>
          <w:szCs w:val="28"/>
        </w:rPr>
      </w:pPr>
      <w:r>
        <w:rPr>
          <w:rFonts w:hint="eastAsia" w:ascii="仿宋" w:hAnsi="仿宋" w:eastAsia="仿宋" w:cs="仿宋"/>
          <w:sz w:val="28"/>
          <w:szCs w:val="28"/>
        </w:rPr>
        <w:t xml:space="preserve">投标人全称：   </w:t>
      </w:r>
    </w:p>
    <w:tbl>
      <w:tblPr>
        <w:tblStyle w:val="29"/>
        <w:tblpPr w:leftFromText="180" w:rightFromText="180" w:vertAnchor="text" w:horzAnchor="page" w:tblpX="1131" w:tblpY="518"/>
        <w:tblOverlap w:val="never"/>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742"/>
        <w:gridCol w:w="1283"/>
        <w:gridCol w:w="163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 w:hAnsi="仿宋" w:eastAsia="仿宋" w:cs="仿宋"/>
                <w:b/>
                <w:bCs/>
                <w:sz w:val="24"/>
              </w:rPr>
            </w:pPr>
            <w:bookmarkStart w:id="11" w:name="_Toc6230"/>
            <w:bookmarkStart w:id="12" w:name="_Toc29273"/>
            <w:r>
              <w:rPr>
                <w:rFonts w:hint="eastAsia" w:ascii="仿宋" w:hAnsi="仿宋" w:eastAsia="仿宋" w:cs="仿宋"/>
                <w:b/>
                <w:bCs/>
                <w:spacing w:val="-10"/>
                <w:sz w:val="24"/>
              </w:rPr>
              <w:t>序号</w:t>
            </w:r>
          </w:p>
        </w:tc>
        <w:tc>
          <w:tcPr>
            <w:tcW w:w="3742"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s="仿宋"/>
                <w:b/>
                <w:bCs/>
                <w:spacing w:val="-10"/>
                <w:sz w:val="24"/>
              </w:rPr>
            </w:pPr>
            <w:r>
              <w:rPr>
                <w:rFonts w:hint="eastAsia" w:ascii="仿宋" w:hAnsi="仿宋" w:eastAsia="仿宋" w:cs="仿宋"/>
                <w:b/>
                <w:bCs/>
                <w:sz w:val="24"/>
              </w:rPr>
              <w:t>评审内容</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s="仿宋"/>
                <w:b/>
                <w:bCs/>
                <w:sz w:val="24"/>
              </w:rPr>
            </w:pPr>
            <w:r>
              <w:rPr>
                <w:rFonts w:hint="eastAsia" w:ascii="仿宋" w:hAnsi="仿宋" w:eastAsia="仿宋" w:cs="仿宋"/>
                <w:b/>
                <w:bCs/>
                <w:sz w:val="24"/>
              </w:rPr>
              <w:t>分值</w:t>
            </w:r>
          </w:p>
        </w:tc>
        <w:tc>
          <w:tcPr>
            <w:tcW w:w="163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s="仿宋"/>
                <w:b/>
                <w:bCs/>
                <w:sz w:val="24"/>
              </w:rPr>
            </w:pPr>
            <w:r>
              <w:rPr>
                <w:rFonts w:hint="eastAsia" w:ascii="仿宋" w:hAnsi="仿宋" w:eastAsia="仿宋" w:cs="仿宋"/>
                <w:b/>
                <w:bCs/>
                <w:sz w:val="24"/>
              </w:rPr>
              <w:t>自评分</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s="仿宋"/>
                <w:b/>
                <w:bCs/>
                <w:sz w:val="24"/>
              </w:rPr>
            </w:pPr>
            <w:r>
              <w:rPr>
                <w:rFonts w:hint="eastAsia" w:ascii="仿宋" w:hAnsi="仿宋" w:eastAsia="仿宋" w:cs="仿宋"/>
                <w:b/>
                <w:bCs/>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106" w:type="dxa"/>
            <w:tcBorders>
              <w:left w:val="single" w:color="auto" w:sz="4" w:space="0"/>
              <w:right w:val="single" w:color="auto" w:sz="4" w:space="0"/>
            </w:tcBorders>
            <w:vAlign w:val="center"/>
          </w:tcPr>
          <w:p>
            <w:pPr>
              <w:widowControl/>
              <w:spacing w:line="520" w:lineRule="exact"/>
              <w:jc w:val="center"/>
              <w:rPr>
                <w:rFonts w:ascii="仿宋" w:hAnsi="仿宋" w:eastAsia="仿宋" w:cs="仿宋"/>
                <w:sz w:val="24"/>
              </w:rPr>
            </w:pPr>
            <w:r>
              <w:rPr>
                <w:rFonts w:hint="eastAsia" w:ascii="仿宋" w:hAnsi="仿宋" w:eastAsia="仿宋" w:cs="仿宋"/>
                <w:sz w:val="24"/>
              </w:rPr>
              <w:t>1</w:t>
            </w:r>
          </w:p>
        </w:tc>
        <w:tc>
          <w:tcPr>
            <w:tcW w:w="3742" w:type="dxa"/>
            <w:tcBorders>
              <w:left w:val="single" w:color="auto" w:sz="4" w:space="0"/>
              <w:right w:val="single" w:color="auto" w:sz="4" w:space="0"/>
            </w:tcBorders>
            <w:vAlign w:val="center"/>
          </w:tcPr>
          <w:p>
            <w:pPr>
              <w:widowControl/>
              <w:spacing w:line="440" w:lineRule="exact"/>
              <w:jc w:val="center"/>
              <w:rPr>
                <w:rFonts w:ascii="仿宋" w:hAnsi="仿宋" w:eastAsia="仿宋" w:cs="仿宋"/>
                <w:sz w:val="24"/>
              </w:rPr>
            </w:pPr>
            <w:r>
              <w:rPr>
                <w:rFonts w:hint="eastAsia" w:ascii="仿宋" w:hAnsi="仿宋" w:eastAsia="仿宋" w:cs="仿宋"/>
                <w:sz w:val="24"/>
              </w:rPr>
              <w:t>类似业绩</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sz w:val="24"/>
              </w:rPr>
            </w:pPr>
            <w:r>
              <w:rPr>
                <w:rFonts w:hint="eastAsia" w:ascii="仿宋" w:hAnsi="仿宋" w:eastAsia="仿宋" w:cs="仿宋"/>
                <w:sz w:val="24"/>
              </w:rPr>
              <w:t>0-2分</w:t>
            </w:r>
          </w:p>
        </w:tc>
        <w:tc>
          <w:tcPr>
            <w:tcW w:w="163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 w:hAnsi="仿宋" w:eastAsia="仿宋" w:cs="仿宋"/>
                <w:b/>
                <w:bCs/>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06" w:type="dxa"/>
            <w:tcBorders>
              <w:left w:val="single" w:color="auto" w:sz="4" w:space="0"/>
              <w:right w:val="single" w:color="auto" w:sz="4" w:space="0"/>
            </w:tcBorders>
            <w:vAlign w:val="center"/>
          </w:tcPr>
          <w:p>
            <w:pPr>
              <w:widowControl/>
              <w:spacing w:line="520" w:lineRule="exact"/>
              <w:jc w:val="center"/>
              <w:rPr>
                <w:rFonts w:ascii="仿宋" w:hAnsi="仿宋" w:eastAsia="仿宋" w:cs="仿宋"/>
                <w:sz w:val="24"/>
                <w:lang w:bidi="en-US"/>
              </w:rPr>
            </w:pPr>
            <w:r>
              <w:rPr>
                <w:rFonts w:hint="eastAsia" w:ascii="仿宋" w:hAnsi="仿宋" w:eastAsia="仿宋" w:cs="仿宋"/>
                <w:sz w:val="24"/>
              </w:rPr>
              <w:t>2</w:t>
            </w:r>
          </w:p>
        </w:tc>
        <w:tc>
          <w:tcPr>
            <w:tcW w:w="3742" w:type="dxa"/>
            <w:tcBorders>
              <w:left w:val="single" w:color="auto" w:sz="4" w:space="0"/>
              <w:right w:val="single" w:color="auto" w:sz="4" w:space="0"/>
            </w:tcBorders>
            <w:vAlign w:val="center"/>
          </w:tcPr>
          <w:p>
            <w:pPr>
              <w:widowControl/>
              <w:spacing w:line="440" w:lineRule="exact"/>
              <w:jc w:val="center"/>
              <w:rPr>
                <w:rFonts w:ascii="仿宋" w:hAnsi="仿宋" w:eastAsia="仿宋" w:cs="仿宋"/>
                <w:sz w:val="24"/>
                <w:lang w:bidi="en-US"/>
              </w:rPr>
            </w:pPr>
            <w:r>
              <w:rPr>
                <w:rFonts w:hint="eastAsia" w:ascii="仿宋" w:hAnsi="仿宋" w:eastAsia="仿宋" w:cs="仿宋"/>
                <w:kern w:val="0"/>
                <w:sz w:val="24"/>
              </w:rPr>
              <w:t>技术参数</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sz w:val="24"/>
                <w:lang w:bidi="en-US"/>
              </w:rPr>
            </w:pPr>
            <w:r>
              <w:rPr>
                <w:rFonts w:hint="eastAsia" w:ascii="仿宋" w:hAnsi="仿宋" w:eastAsia="仿宋" w:cs="仿宋"/>
              </w:rPr>
              <w:t>0-30分</w:t>
            </w:r>
          </w:p>
        </w:tc>
        <w:tc>
          <w:tcPr>
            <w:tcW w:w="163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 w:hAnsi="仿宋" w:eastAsia="仿宋" w:cs="仿宋"/>
                <w:b/>
                <w:bCs/>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06" w:type="dxa"/>
            <w:tcBorders>
              <w:left w:val="single" w:color="auto" w:sz="4" w:space="0"/>
              <w:right w:val="single" w:color="auto" w:sz="4" w:space="0"/>
            </w:tcBorders>
            <w:vAlign w:val="center"/>
          </w:tcPr>
          <w:p>
            <w:pPr>
              <w:widowControl/>
              <w:spacing w:line="520" w:lineRule="exact"/>
              <w:jc w:val="center"/>
              <w:rPr>
                <w:rFonts w:ascii="仿宋" w:hAnsi="仿宋" w:eastAsia="仿宋" w:cs="仿宋"/>
                <w:sz w:val="24"/>
                <w:lang w:bidi="en-US"/>
              </w:rPr>
            </w:pPr>
            <w:r>
              <w:rPr>
                <w:rFonts w:hint="eastAsia" w:ascii="仿宋" w:hAnsi="仿宋" w:eastAsia="仿宋" w:cs="仿宋"/>
                <w:sz w:val="24"/>
              </w:rPr>
              <w:t>3</w:t>
            </w:r>
          </w:p>
        </w:tc>
        <w:tc>
          <w:tcPr>
            <w:tcW w:w="3742" w:type="dxa"/>
            <w:tcBorders>
              <w:left w:val="single" w:color="auto" w:sz="4" w:space="0"/>
              <w:right w:val="single" w:color="auto" w:sz="4" w:space="0"/>
            </w:tcBorders>
            <w:vAlign w:val="center"/>
          </w:tcPr>
          <w:p>
            <w:pPr>
              <w:widowControl/>
              <w:spacing w:line="440" w:lineRule="exact"/>
              <w:jc w:val="center"/>
              <w:textAlignment w:val="center"/>
              <w:rPr>
                <w:rFonts w:ascii="仿宋" w:hAnsi="仿宋" w:eastAsia="仿宋" w:cs="仿宋"/>
                <w:sz w:val="24"/>
                <w:lang w:bidi="en-US"/>
              </w:rPr>
            </w:pPr>
            <w:r>
              <w:rPr>
                <w:rFonts w:hint="eastAsia" w:ascii="仿宋" w:hAnsi="仿宋" w:eastAsia="仿宋" w:cs="仿宋"/>
                <w:kern w:val="0"/>
                <w:sz w:val="24"/>
              </w:rPr>
              <w:t>应急响应</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仿宋" w:hAnsi="仿宋" w:eastAsia="仿宋" w:cs="仿宋"/>
                <w:sz w:val="24"/>
                <w:lang w:bidi="en-US"/>
              </w:rPr>
            </w:pPr>
            <w:r>
              <w:rPr>
                <w:rFonts w:hint="eastAsia" w:ascii="仿宋" w:hAnsi="仿宋" w:eastAsia="仿宋" w:cs="仿宋"/>
                <w:kern w:val="0"/>
                <w:sz w:val="24"/>
              </w:rPr>
              <w:t>0-3分</w:t>
            </w:r>
          </w:p>
        </w:tc>
        <w:tc>
          <w:tcPr>
            <w:tcW w:w="163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 w:hAnsi="仿宋" w:eastAsia="仿宋" w:cs="仿宋"/>
                <w:b/>
                <w:bCs/>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106" w:type="dxa"/>
            <w:tcBorders>
              <w:left w:val="single" w:color="auto" w:sz="4" w:space="0"/>
              <w:right w:val="single" w:color="auto" w:sz="4" w:space="0"/>
            </w:tcBorders>
            <w:vAlign w:val="center"/>
          </w:tcPr>
          <w:p>
            <w:pPr>
              <w:widowControl/>
              <w:spacing w:line="520" w:lineRule="exact"/>
              <w:jc w:val="center"/>
              <w:rPr>
                <w:rFonts w:ascii="仿宋" w:hAnsi="仿宋" w:eastAsia="仿宋" w:cs="仿宋"/>
                <w:sz w:val="24"/>
                <w:lang w:bidi="en-US"/>
              </w:rPr>
            </w:pPr>
            <w:r>
              <w:rPr>
                <w:rFonts w:hint="eastAsia" w:ascii="仿宋" w:hAnsi="仿宋" w:eastAsia="仿宋" w:cs="仿宋"/>
                <w:sz w:val="24"/>
              </w:rPr>
              <w:t>4</w:t>
            </w:r>
          </w:p>
        </w:tc>
        <w:tc>
          <w:tcPr>
            <w:tcW w:w="3742" w:type="dxa"/>
            <w:tcBorders>
              <w:left w:val="single" w:color="auto" w:sz="4" w:space="0"/>
              <w:right w:val="single" w:color="auto" w:sz="4" w:space="0"/>
            </w:tcBorders>
            <w:vAlign w:val="center"/>
          </w:tcPr>
          <w:p>
            <w:pPr>
              <w:widowControl/>
              <w:spacing w:line="440" w:lineRule="exact"/>
              <w:jc w:val="center"/>
              <w:textAlignment w:val="center"/>
              <w:rPr>
                <w:rFonts w:ascii="仿宋" w:hAnsi="仿宋" w:eastAsia="仿宋" w:cs="仿宋"/>
                <w:kern w:val="0"/>
                <w:sz w:val="24"/>
                <w:lang w:bidi="en-US"/>
              </w:rPr>
            </w:pPr>
            <w:r>
              <w:rPr>
                <w:rFonts w:hint="eastAsia" w:ascii="仿宋" w:hAnsi="仿宋" w:eastAsia="仿宋" w:cs="仿宋"/>
                <w:kern w:val="0"/>
                <w:sz w:val="24"/>
              </w:rPr>
              <w:t>供货配送方案</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仿宋" w:hAnsi="仿宋" w:eastAsia="仿宋" w:cs="仿宋"/>
                <w:sz w:val="24"/>
                <w:lang w:bidi="en-US"/>
              </w:rPr>
            </w:pPr>
            <w:r>
              <w:rPr>
                <w:rFonts w:hint="eastAsia" w:ascii="仿宋" w:hAnsi="仿宋" w:eastAsia="仿宋" w:cs="仿宋"/>
                <w:sz w:val="24"/>
                <w:lang w:bidi="en-US"/>
              </w:rPr>
              <w:t>0-6分</w:t>
            </w:r>
          </w:p>
        </w:tc>
        <w:tc>
          <w:tcPr>
            <w:tcW w:w="163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 w:hAnsi="仿宋" w:eastAsia="仿宋" w:cs="仿宋"/>
                <w:b/>
                <w:bCs/>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106" w:type="dxa"/>
            <w:tcBorders>
              <w:left w:val="single" w:color="auto" w:sz="4" w:space="0"/>
              <w:right w:val="single" w:color="auto" w:sz="4" w:space="0"/>
            </w:tcBorders>
            <w:vAlign w:val="center"/>
          </w:tcPr>
          <w:p>
            <w:pPr>
              <w:widowControl/>
              <w:spacing w:line="520" w:lineRule="exact"/>
              <w:jc w:val="center"/>
              <w:rPr>
                <w:rFonts w:ascii="仿宋" w:hAnsi="仿宋" w:eastAsia="仿宋" w:cs="仿宋"/>
                <w:sz w:val="24"/>
              </w:rPr>
            </w:pPr>
            <w:r>
              <w:rPr>
                <w:rFonts w:hint="eastAsia" w:ascii="仿宋" w:hAnsi="仿宋" w:eastAsia="仿宋" w:cs="仿宋"/>
                <w:sz w:val="24"/>
              </w:rPr>
              <w:t>5</w:t>
            </w:r>
          </w:p>
        </w:tc>
        <w:tc>
          <w:tcPr>
            <w:tcW w:w="3742" w:type="dxa"/>
            <w:tcBorders>
              <w:left w:val="single" w:color="auto" w:sz="4" w:space="0"/>
              <w:right w:val="single" w:color="auto" w:sz="4" w:space="0"/>
            </w:tcBorders>
            <w:vAlign w:val="center"/>
          </w:tcPr>
          <w:p>
            <w:pPr>
              <w:widowControl/>
              <w:spacing w:line="440" w:lineRule="exact"/>
              <w:jc w:val="center"/>
              <w:textAlignment w:val="center"/>
              <w:rPr>
                <w:rFonts w:ascii="仿宋" w:hAnsi="仿宋" w:eastAsia="仿宋" w:cs="仿宋"/>
                <w:kern w:val="0"/>
                <w:sz w:val="24"/>
                <w:lang w:bidi="en-US"/>
              </w:rPr>
            </w:pPr>
            <w:r>
              <w:rPr>
                <w:rFonts w:hint="eastAsia" w:ascii="仿宋" w:hAnsi="仿宋" w:eastAsia="仿宋" w:cs="仿宋"/>
                <w:kern w:val="0"/>
                <w:sz w:val="24"/>
              </w:rPr>
              <w:t>质量保障方案</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仿宋" w:hAnsi="仿宋" w:eastAsia="仿宋" w:cs="仿宋"/>
                <w:kern w:val="0"/>
                <w:sz w:val="24"/>
                <w:lang w:bidi="en-US"/>
              </w:rPr>
            </w:pPr>
            <w:r>
              <w:rPr>
                <w:rFonts w:hint="eastAsia" w:ascii="仿宋" w:hAnsi="仿宋" w:eastAsia="仿宋" w:cs="仿宋"/>
                <w:sz w:val="24"/>
                <w:lang w:bidi="en-US"/>
              </w:rPr>
              <w:t>0-10分</w:t>
            </w:r>
          </w:p>
        </w:tc>
        <w:tc>
          <w:tcPr>
            <w:tcW w:w="163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 w:hAnsi="仿宋" w:eastAsia="仿宋" w:cs="仿宋"/>
                <w:b/>
                <w:bCs/>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106" w:type="dxa"/>
            <w:tcBorders>
              <w:left w:val="single" w:color="auto" w:sz="4" w:space="0"/>
              <w:right w:val="single" w:color="auto" w:sz="4" w:space="0"/>
            </w:tcBorders>
            <w:vAlign w:val="center"/>
          </w:tcPr>
          <w:p>
            <w:pPr>
              <w:widowControl/>
              <w:spacing w:line="520" w:lineRule="exact"/>
              <w:jc w:val="center"/>
              <w:rPr>
                <w:rFonts w:ascii="仿宋" w:hAnsi="仿宋" w:eastAsia="仿宋" w:cs="仿宋"/>
                <w:sz w:val="24"/>
                <w:lang w:bidi="en-US"/>
              </w:rPr>
            </w:pPr>
            <w:r>
              <w:rPr>
                <w:rFonts w:hint="eastAsia" w:ascii="仿宋" w:hAnsi="仿宋" w:eastAsia="仿宋" w:cs="仿宋"/>
                <w:sz w:val="24"/>
              </w:rPr>
              <w:t>6</w:t>
            </w:r>
          </w:p>
        </w:tc>
        <w:tc>
          <w:tcPr>
            <w:tcW w:w="3742" w:type="dxa"/>
            <w:tcBorders>
              <w:left w:val="single" w:color="auto" w:sz="4" w:space="0"/>
              <w:right w:val="single" w:color="auto" w:sz="4" w:space="0"/>
            </w:tcBorders>
            <w:vAlign w:val="center"/>
          </w:tcPr>
          <w:p>
            <w:pPr>
              <w:widowControl/>
              <w:spacing w:line="440" w:lineRule="exact"/>
              <w:jc w:val="center"/>
              <w:textAlignment w:val="center"/>
              <w:rPr>
                <w:rFonts w:ascii="仿宋" w:hAnsi="仿宋" w:eastAsia="仿宋" w:cs="仿宋"/>
                <w:bCs/>
                <w:kern w:val="0"/>
                <w:sz w:val="24"/>
              </w:rPr>
            </w:pPr>
            <w:r>
              <w:rPr>
                <w:rFonts w:hint="eastAsia" w:ascii="仿宋" w:hAnsi="仿宋" w:eastAsia="仿宋" w:cs="仿宋"/>
                <w:kern w:val="0"/>
                <w:sz w:val="24"/>
              </w:rPr>
              <w:t>售后服务</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仿宋" w:hAnsi="仿宋" w:eastAsia="仿宋" w:cs="仿宋"/>
                <w:sz w:val="24"/>
                <w:lang w:bidi="en-US"/>
              </w:rPr>
            </w:pPr>
            <w:r>
              <w:rPr>
                <w:rFonts w:hint="eastAsia" w:ascii="仿宋" w:hAnsi="仿宋" w:eastAsia="仿宋" w:cs="仿宋"/>
                <w:kern w:val="0"/>
                <w:sz w:val="24"/>
              </w:rPr>
              <w:t>0-9分</w:t>
            </w:r>
          </w:p>
        </w:tc>
        <w:tc>
          <w:tcPr>
            <w:tcW w:w="163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 w:hAnsi="仿宋" w:eastAsia="仿宋" w:cs="仿宋"/>
                <w:b/>
                <w:bCs/>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4" w:hRule="atLeast"/>
        </w:trPr>
        <w:tc>
          <w:tcPr>
            <w:tcW w:w="1106" w:type="dxa"/>
            <w:tcBorders>
              <w:left w:val="single" w:color="auto" w:sz="4" w:space="0"/>
              <w:right w:val="single" w:color="auto" w:sz="4" w:space="0"/>
            </w:tcBorders>
            <w:vAlign w:val="center"/>
          </w:tcPr>
          <w:p>
            <w:pPr>
              <w:widowControl/>
              <w:spacing w:line="520" w:lineRule="exact"/>
              <w:jc w:val="center"/>
              <w:rPr>
                <w:rFonts w:ascii="仿宋" w:hAnsi="仿宋" w:eastAsia="仿宋" w:cs="仿宋"/>
                <w:sz w:val="24"/>
                <w:lang w:bidi="en-US"/>
              </w:rPr>
            </w:pPr>
            <w:r>
              <w:rPr>
                <w:rFonts w:hint="eastAsia" w:ascii="仿宋" w:hAnsi="仿宋" w:eastAsia="仿宋" w:cs="仿宋"/>
                <w:sz w:val="24"/>
              </w:rPr>
              <w:t>7</w:t>
            </w:r>
          </w:p>
        </w:tc>
        <w:tc>
          <w:tcPr>
            <w:tcW w:w="3742" w:type="dxa"/>
            <w:tcBorders>
              <w:left w:val="single" w:color="auto" w:sz="4" w:space="0"/>
              <w:right w:val="single" w:color="auto" w:sz="4" w:space="0"/>
            </w:tcBorders>
            <w:vAlign w:val="center"/>
          </w:tcPr>
          <w:p>
            <w:pPr>
              <w:widowControl/>
              <w:spacing w:line="440" w:lineRule="exact"/>
              <w:jc w:val="center"/>
              <w:textAlignment w:val="center"/>
              <w:rPr>
                <w:rFonts w:ascii="仿宋" w:hAnsi="仿宋" w:eastAsia="仿宋" w:cs="仿宋"/>
                <w:bCs/>
                <w:kern w:val="0"/>
                <w:sz w:val="24"/>
              </w:rPr>
            </w:pPr>
            <w:r>
              <w:rPr>
                <w:rFonts w:hint="eastAsia" w:ascii="仿宋" w:hAnsi="仿宋" w:eastAsia="仿宋" w:cs="仿宋"/>
                <w:kern w:val="0"/>
                <w:sz w:val="24"/>
              </w:rPr>
              <w:t>合理化建议</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仿宋" w:hAnsi="仿宋" w:eastAsia="仿宋" w:cs="仿宋"/>
                <w:sz w:val="24"/>
                <w:lang w:bidi="en-US"/>
              </w:rPr>
            </w:pPr>
            <w:r>
              <w:rPr>
                <w:rFonts w:hint="eastAsia" w:ascii="仿宋" w:hAnsi="仿宋" w:eastAsia="仿宋" w:cs="仿宋"/>
                <w:sz w:val="24"/>
                <w:lang w:bidi="en-US"/>
              </w:rPr>
              <w:t>0-5分</w:t>
            </w:r>
          </w:p>
        </w:tc>
        <w:tc>
          <w:tcPr>
            <w:tcW w:w="163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 w:hAnsi="仿宋" w:eastAsia="仿宋" w:cs="仿宋"/>
                <w:b/>
                <w:bCs/>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106" w:type="dxa"/>
            <w:tcBorders>
              <w:left w:val="single" w:color="auto" w:sz="4" w:space="0"/>
              <w:right w:val="single" w:color="auto" w:sz="4" w:space="0"/>
            </w:tcBorders>
            <w:vAlign w:val="center"/>
          </w:tcPr>
          <w:p>
            <w:pPr>
              <w:widowControl/>
              <w:spacing w:line="520" w:lineRule="exact"/>
              <w:jc w:val="center"/>
              <w:rPr>
                <w:rFonts w:ascii="仿宋" w:hAnsi="仿宋" w:eastAsia="仿宋" w:cs="仿宋"/>
                <w:sz w:val="24"/>
              </w:rPr>
            </w:pPr>
            <w:r>
              <w:rPr>
                <w:rFonts w:hint="eastAsia" w:ascii="仿宋" w:hAnsi="仿宋" w:eastAsia="仿宋" w:cs="仿宋"/>
                <w:sz w:val="24"/>
              </w:rPr>
              <w:t>8</w:t>
            </w:r>
          </w:p>
        </w:tc>
        <w:tc>
          <w:tcPr>
            <w:tcW w:w="3742" w:type="dxa"/>
            <w:tcBorders>
              <w:left w:val="single" w:color="auto" w:sz="4" w:space="0"/>
              <w:right w:val="single" w:color="auto" w:sz="4" w:space="0"/>
            </w:tcBorders>
            <w:vAlign w:val="center"/>
          </w:tcPr>
          <w:p>
            <w:pPr>
              <w:widowControl/>
              <w:spacing w:line="440" w:lineRule="exact"/>
              <w:jc w:val="center"/>
              <w:textAlignment w:val="center"/>
              <w:rPr>
                <w:rFonts w:ascii="仿宋" w:hAnsi="仿宋" w:eastAsia="仿宋" w:cs="仿宋"/>
                <w:bCs/>
                <w:kern w:val="0"/>
                <w:sz w:val="24"/>
              </w:rPr>
            </w:pPr>
            <w:r>
              <w:rPr>
                <w:rFonts w:hint="eastAsia" w:ascii="仿宋" w:hAnsi="仿宋" w:eastAsia="仿宋" w:cs="仿宋"/>
                <w:kern w:val="0"/>
                <w:sz w:val="24"/>
              </w:rPr>
              <w:t>安装、验收方案</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仿宋" w:hAnsi="仿宋" w:eastAsia="仿宋" w:cs="仿宋"/>
                <w:sz w:val="24"/>
                <w:lang w:bidi="en-US"/>
              </w:rPr>
            </w:pPr>
            <w:r>
              <w:rPr>
                <w:rFonts w:hint="eastAsia" w:ascii="仿宋" w:hAnsi="仿宋" w:eastAsia="仿宋" w:cs="仿宋"/>
                <w:sz w:val="24"/>
                <w:lang w:bidi="en-US"/>
              </w:rPr>
              <w:t>0-5分</w:t>
            </w:r>
          </w:p>
        </w:tc>
        <w:tc>
          <w:tcPr>
            <w:tcW w:w="163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 w:hAnsi="仿宋" w:eastAsia="仿宋" w:cs="仿宋"/>
                <w:b/>
                <w:bCs/>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48" w:type="dxa"/>
            <w:gridSpan w:val="2"/>
            <w:tcBorders>
              <w:left w:val="single" w:color="auto" w:sz="4" w:space="0"/>
              <w:right w:val="single" w:color="auto" w:sz="4" w:space="0"/>
            </w:tcBorders>
            <w:vAlign w:val="center"/>
          </w:tcPr>
          <w:p>
            <w:pPr>
              <w:widowControl/>
              <w:spacing w:line="440" w:lineRule="exact"/>
              <w:jc w:val="center"/>
              <w:textAlignment w:val="center"/>
              <w:rPr>
                <w:rFonts w:ascii="仿宋" w:hAnsi="仿宋" w:eastAsia="仿宋" w:cs="仿宋"/>
                <w:bCs/>
                <w:kern w:val="0"/>
                <w:sz w:val="24"/>
              </w:rPr>
            </w:pPr>
            <w:r>
              <w:rPr>
                <w:rFonts w:hint="eastAsia" w:ascii="仿宋" w:hAnsi="仿宋" w:eastAsia="仿宋" w:cs="仿宋"/>
                <w:bCs/>
                <w:kern w:val="0"/>
                <w:sz w:val="24"/>
              </w:rPr>
              <w:t>合计</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仿宋" w:hAnsi="仿宋" w:eastAsia="仿宋" w:cs="仿宋"/>
                <w:sz w:val="24"/>
                <w:lang w:bidi="en-US"/>
              </w:rPr>
            </w:pPr>
            <w:r>
              <w:rPr>
                <w:rFonts w:hint="eastAsia" w:ascii="仿宋" w:hAnsi="仿宋" w:eastAsia="仿宋" w:cs="仿宋"/>
                <w:sz w:val="24"/>
                <w:lang w:bidi="en-US"/>
              </w:rPr>
              <w:t>70分</w:t>
            </w:r>
          </w:p>
        </w:tc>
        <w:tc>
          <w:tcPr>
            <w:tcW w:w="163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 w:hAnsi="仿宋" w:eastAsia="仿宋" w:cs="仿宋"/>
                <w:b/>
                <w:bCs/>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 w:hAnsi="仿宋" w:eastAsia="仿宋" w:cs="仿宋"/>
                <w:b/>
                <w:bCs/>
                <w:sz w:val="24"/>
              </w:rPr>
            </w:pPr>
          </w:p>
        </w:tc>
      </w:tr>
      <w:bookmarkEnd w:id="11"/>
      <w:bookmarkEnd w:id="12"/>
    </w:tbl>
    <w:p>
      <w:pPr>
        <w:widowControl/>
        <w:spacing w:line="520" w:lineRule="exact"/>
        <w:outlineLvl w:val="2"/>
        <w:rPr>
          <w:rFonts w:ascii="仿宋" w:hAnsi="仿宋" w:eastAsia="仿宋" w:cs="仿宋"/>
        </w:rPr>
      </w:pPr>
      <w:r>
        <w:rPr>
          <w:rFonts w:hint="eastAsia" w:ascii="仿宋" w:hAnsi="仿宋" w:eastAsia="仿宋" w:cs="仿宋"/>
        </w:rPr>
        <w:t xml:space="preserve"> </w:t>
      </w:r>
    </w:p>
    <w:p>
      <w:pPr>
        <w:pStyle w:val="10"/>
        <w:ind w:firstLine="210"/>
        <w:rPr>
          <w:rFonts w:ascii="仿宋" w:hAnsi="仿宋" w:eastAsia="仿宋" w:cs="仿宋"/>
        </w:rPr>
      </w:pPr>
    </w:p>
    <w:p>
      <w:pPr>
        <w:pStyle w:val="23"/>
      </w:pPr>
    </w:p>
    <w:p>
      <w:pPr>
        <w:widowControl/>
        <w:spacing w:line="520" w:lineRule="exact"/>
        <w:outlineLvl w:val="2"/>
        <w:rPr>
          <w:rFonts w:ascii="仿宋" w:hAnsi="仿宋" w:eastAsia="仿宋" w:cs="仿宋"/>
        </w:rPr>
      </w:pPr>
      <w:r>
        <w:rPr>
          <w:rFonts w:hint="eastAsia" w:ascii="仿宋" w:hAnsi="仿宋" w:eastAsia="仿宋" w:cs="仿宋"/>
        </w:rPr>
        <w:t xml:space="preserve">                                   </w:t>
      </w:r>
    </w:p>
    <w:p>
      <w:pPr>
        <w:rPr>
          <w:rFonts w:ascii="仿宋" w:hAnsi="仿宋" w:eastAsia="仿宋" w:cs="仿宋"/>
        </w:rPr>
      </w:pPr>
    </w:p>
    <w:p>
      <w:pPr>
        <w:pStyle w:val="48"/>
        <w:shd w:val="clear" w:color="auto" w:fill="FFFFFF"/>
        <w:spacing w:before="0" w:beforeAutospacing="0" w:after="0" w:afterAutospacing="0"/>
        <w:jc w:val="both"/>
        <w:rPr>
          <w:rFonts w:hint="eastAsia" w:eastAsia="宋体"/>
          <w:b/>
          <w:sz w:val="32"/>
          <w:szCs w:val="32"/>
          <w:lang w:val="en-US" w:eastAsia="zh-CN"/>
        </w:rPr>
      </w:pPr>
      <w:r>
        <w:rPr>
          <w:rFonts w:hint="eastAsia"/>
          <w:b/>
          <w:sz w:val="32"/>
          <w:szCs w:val="32"/>
        </w:rPr>
        <w:t>附件1</w:t>
      </w:r>
      <w:r>
        <w:rPr>
          <w:rFonts w:hint="eastAsia"/>
          <w:b/>
          <w:sz w:val="32"/>
          <w:szCs w:val="32"/>
          <w:lang w:val="en-US" w:eastAsia="zh-CN"/>
        </w:rPr>
        <w:t>2</w:t>
      </w:r>
    </w:p>
    <w:p>
      <w:pPr>
        <w:pStyle w:val="48"/>
        <w:shd w:val="clear" w:color="auto" w:fill="FFFFFF"/>
        <w:spacing w:before="0" w:beforeAutospacing="0" w:after="0" w:afterAutospacing="0"/>
        <w:jc w:val="center"/>
        <w:rPr>
          <w:rFonts w:eastAsia="微软雅黑"/>
          <w:sz w:val="36"/>
          <w:szCs w:val="36"/>
        </w:rPr>
      </w:pPr>
      <w:r>
        <w:rPr>
          <w:rFonts w:hint="eastAsia"/>
          <w:b/>
          <w:sz w:val="32"/>
          <w:szCs w:val="32"/>
        </w:rPr>
        <w:t>投标</w:t>
      </w:r>
      <w:r>
        <w:rPr>
          <w:rFonts w:hint="eastAsia"/>
          <w:b/>
          <w:bCs/>
          <w:spacing w:val="21"/>
          <w:sz w:val="32"/>
          <w:szCs w:val="32"/>
        </w:rPr>
        <w:t>人基本情况表</w:t>
      </w:r>
    </w:p>
    <w:tbl>
      <w:tblPr>
        <w:tblStyle w:val="29"/>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pPr>
              <w:pStyle w:val="48"/>
              <w:shd w:val="clear" w:color="auto" w:fill="FFFFFF"/>
              <w:rPr>
                <w:bCs/>
                <w:sz w:val="21"/>
                <w:szCs w:val="21"/>
              </w:rPr>
            </w:pPr>
            <w:r>
              <w:rPr>
                <w:rFonts w:hint="eastAsia"/>
                <w:bCs/>
                <w:spacing w:val="27"/>
                <w:sz w:val="21"/>
                <w:szCs w:val="21"/>
              </w:rPr>
              <w:t>企业名称</w:t>
            </w:r>
          </w:p>
        </w:tc>
        <w:tc>
          <w:tcPr>
            <w:tcW w:w="3911" w:type="dxa"/>
            <w:gridSpan w:val="6"/>
          </w:tcPr>
          <w:p>
            <w:pPr>
              <w:pStyle w:val="48"/>
              <w:shd w:val="clear" w:color="auto" w:fill="FFFFFF"/>
              <w:rPr>
                <w:bCs/>
                <w:sz w:val="21"/>
                <w:szCs w:val="21"/>
              </w:rPr>
            </w:pPr>
          </w:p>
        </w:tc>
        <w:tc>
          <w:tcPr>
            <w:tcW w:w="2001" w:type="dxa"/>
            <w:gridSpan w:val="3"/>
          </w:tcPr>
          <w:p>
            <w:pPr>
              <w:pStyle w:val="48"/>
              <w:shd w:val="clear" w:color="auto" w:fill="FFFFFF"/>
              <w:rPr>
                <w:bCs/>
                <w:sz w:val="21"/>
                <w:szCs w:val="21"/>
              </w:rPr>
            </w:pPr>
            <w:r>
              <w:rPr>
                <w:rFonts w:hint="eastAsia"/>
                <w:bCs/>
                <w:spacing w:val="16"/>
                <w:sz w:val="21"/>
                <w:szCs w:val="21"/>
              </w:rPr>
              <w:t>法定代表人</w:t>
            </w:r>
          </w:p>
        </w:tc>
        <w:tc>
          <w:tcPr>
            <w:tcW w:w="2151" w:type="dxa"/>
            <w:gridSpan w:val="2"/>
          </w:tcPr>
          <w:p>
            <w:pPr>
              <w:pStyle w:val="48"/>
              <w:shd w:val="clear" w:color="auto" w:fill="FFFFFF"/>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pPr>
              <w:pStyle w:val="48"/>
              <w:shd w:val="clear" w:color="auto" w:fill="FFFFFF"/>
              <w:rPr>
                <w:bCs/>
                <w:spacing w:val="16"/>
                <w:sz w:val="21"/>
                <w:szCs w:val="21"/>
              </w:rPr>
            </w:pPr>
            <w:r>
              <w:rPr>
                <w:rFonts w:hint="eastAsia"/>
                <w:bCs/>
                <w:spacing w:val="27"/>
                <w:sz w:val="21"/>
                <w:szCs w:val="21"/>
              </w:rPr>
              <w:t>地址</w:t>
            </w:r>
          </w:p>
        </w:tc>
        <w:tc>
          <w:tcPr>
            <w:tcW w:w="3911" w:type="dxa"/>
            <w:gridSpan w:val="6"/>
          </w:tcPr>
          <w:p>
            <w:pPr>
              <w:pStyle w:val="48"/>
              <w:shd w:val="clear" w:color="auto" w:fill="FFFFFF"/>
              <w:rPr>
                <w:bCs/>
                <w:spacing w:val="16"/>
                <w:sz w:val="21"/>
                <w:szCs w:val="21"/>
              </w:rPr>
            </w:pPr>
          </w:p>
        </w:tc>
        <w:tc>
          <w:tcPr>
            <w:tcW w:w="2001" w:type="dxa"/>
            <w:gridSpan w:val="3"/>
          </w:tcPr>
          <w:p>
            <w:pPr>
              <w:pStyle w:val="48"/>
              <w:shd w:val="clear" w:color="auto" w:fill="FFFFFF"/>
              <w:rPr>
                <w:bCs/>
                <w:spacing w:val="16"/>
                <w:sz w:val="21"/>
                <w:szCs w:val="21"/>
              </w:rPr>
            </w:pPr>
            <w:r>
              <w:rPr>
                <w:rFonts w:hint="eastAsia"/>
                <w:bCs/>
                <w:spacing w:val="16"/>
                <w:sz w:val="21"/>
                <w:szCs w:val="21"/>
              </w:rPr>
              <w:t>企业性质</w:t>
            </w:r>
          </w:p>
        </w:tc>
        <w:tc>
          <w:tcPr>
            <w:tcW w:w="2151" w:type="dxa"/>
            <w:gridSpan w:val="2"/>
          </w:tcPr>
          <w:p>
            <w:pPr>
              <w:pStyle w:val="48"/>
              <w:shd w:val="clear" w:color="auto" w:fill="FFFFFF"/>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pPr>
              <w:pStyle w:val="48"/>
              <w:shd w:val="clear" w:color="auto" w:fill="FFFFFF"/>
              <w:rPr>
                <w:bCs/>
                <w:spacing w:val="16"/>
                <w:sz w:val="21"/>
                <w:szCs w:val="21"/>
              </w:rPr>
            </w:pPr>
            <w:r>
              <w:rPr>
                <w:rFonts w:hint="eastAsia"/>
                <w:bCs/>
                <w:spacing w:val="27"/>
                <w:sz w:val="21"/>
                <w:szCs w:val="21"/>
              </w:rPr>
              <w:t>股东姓名</w:t>
            </w:r>
          </w:p>
        </w:tc>
        <w:tc>
          <w:tcPr>
            <w:tcW w:w="633" w:type="dxa"/>
          </w:tcPr>
          <w:p>
            <w:pPr>
              <w:pStyle w:val="48"/>
              <w:shd w:val="clear" w:color="auto" w:fill="FFFFFF"/>
              <w:spacing w:before="0" w:beforeAutospacing="0" w:after="0" w:afterAutospacing="0"/>
              <w:rPr>
                <w:bCs/>
                <w:spacing w:val="16"/>
                <w:sz w:val="21"/>
                <w:szCs w:val="21"/>
              </w:rPr>
            </w:pPr>
          </w:p>
        </w:tc>
        <w:tc>
          <w:tcPr>
            <w:tcW w:w="910" w:type="dxa"/>
          </w:tcPr>
          <w:p>
            <w:pPr>
              <w:pStyle w:val="48"/>
              <w:shd w:val="clear" w:color="auto" w:fill="FFFFFF"/>
              <w:rPr>
                <w:bCs/>
                <w:spacing w:val="16"/>
                <w:sz w:val="21"/>
                <w:szCs w:val="21"/>
              </w:rPr>
            </w:pPr>
            <w:r>
              <w:rPr>
                <w:rFonts w:hint="eastAsia"/>
                <w:bCs/>
                <w:spacing w:val="16"/>
                <w:sz w:val="21"/>
                <w:szCs w:val="21"/>
              </w:rPr>
              <w:t>股权结构（</w:t>
            </w:r>
            <w:r>
              <w:rPr>
                <w:bCs/>
                <w:spacing w:val="16"/>
                <w:sz w:val="21"/>
                <w:szCs w:val="21"/>
              </w:rPr>
              <w:t>%</w:t>
            </w:r>
            <w:r>
              <w:rPr>
                <w:rFonts w:hint="eastAsia"/>
                <w:bCs/>
                <w:spacing w:val="16"/>
                <w:sz w:val="21"/>
                <w:szCs w:val="21"/>
              </w:rPr>
              <w:t>）</w:t>
            </w:r>
          </w:p>
        </w:tc>
        <w:tc>
          <w:tcPr>
            <w:tcW w:w="2368" w:type="dxa"/>
            <w:gridSpan w:val="4"/>
          </w:tcPr>
          <w:p>
            <w:pPr>
              <w:widowControl/>
              <w:jc w:val="left"/>
              <w:rPr>
                <w:rFonts w:ascii="宋体" w:cs="宋体"/>
                <w:bCs/>
                <w:spacing w:val="16"/>
                <w:kern w:val="0"/>
                <w:szCs w:val="21"/>
              </w:rPr>
            </w:pPr>
          </w:p>
          <w:p>
            <w:pPr>
              <w:pStyle w:val="48"/>
              <w:shd w:val="clear" w:color="auto" w:fill="FFFFFF"/>
              <w:rPr>
                <w:bCs/>
                <w:spacing w:val="16"/>
                <w:sz w:val="21"/>
                <w:szCs w:val="21"/>
              </w:rPr>
            </w:pPr>
          </w:p>
        </w:tc>
        <w:tc>
          <w:tcPr>
            <w:tcW w:w="2001" w:type="dxa"/>
            <w:gridSpan w:val="3"/>
          </w:tcPr>
          <w:p>
            <w:pPr>
              <w:pStyle w:val="48"/>
              <w:shd w:val="clear" w:color="auto" w:fill="FFFFFF"/>
              <w:ind w:left="107"/>
              <w:rPr>
                <w:bCs/>
                <w:spacing w:val="16"/>
                <w:sz w:val="21"/>
                <w:szCs w:val="21"/>
              </w:rPr>
            </w:pPr>
            <w:r>
              <w:rPr>
                <w:rFonts w:hint="eastAsia"/>
                <w:bCs/>
                <w:spacing w:val="16"/>
                <w:sz w:val="21"/>
                <w:szCs w:val="21"/>
              </w:rPr>
              <w:t>股东关系</w:t>
            </w:r>
          </w:p>
        </w:tc>
        <w:tc>
          <w:tcPr>
            <w:tcW w:w="2151" w:type="dxa"/>
            <w:gridSpan w:val="2"/>
          </w:tcPr>
          <w:p>
            <w:pPr>
              <w:pStyle w:val="48"/>
              <w:shd w:val="clear" w:color="auto" w:fill="FFFFFF"/>
              <w:ind w:left="107"/>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pPr>
              <w:pStyle w:val="48"/>
              <w:shd w:val="clear" w:color="auto" w:fill="FFFFFF"/>
              <w:rPr>
                <w:bCs/>
                <w:spacing w:val="16"/>
                <w:sz w:val="21"/>
                <w:szCs w:val="21"/>
              </w:rPr>
            </w:pPr>
            <w:r>
              <w:rPr>
                <w:rFonts w:hint="eastAsia"/>
                <w:bCs/>
                <w:spacing w:val="12"/>
                <w:sz w:val="21"/>
                <w:szCs w:val="21"/>
              </w:rPr>
              <w:t>联系人</w:t>
            </w:r>
            <w:r>
              <w:rPr>
                <w:rFonts w:hint="eastAsia"/>
                <w:bCs/>
                <w:spacing w:val="27"/>
                <w:sz w:val="21"/>
                <w:szCs w:val="21"/>
              </w:rPr>
              <w:t>姓名</w:t>
            </w:r>
          </w:p>
        </w:tc>
        <w:tc>
          <w:tcPr>
            <w:tcW w:w="633" w:type="dxa"/>
            <w:vMerge w:val="restart"/>
            <w:tcBorders>
              <w:top w:val="nil"/>
            </w:tcBorders>
          </w:tcPr>
          <w:p>
            <w:pPr>
              <w:pStyle w:val="48"/>
              <w:shd w:val="clear" w:color="auto" w:fill="FFFFFF"/>
              <w:rPr>
                <w:bCs/>
                <w:spacing w:val="16"/>
                <w:sz w:val="21"/>
                <w:szCs w:val="21"/>
              </w:rPr>
            </w:pPr>
          </w:p>
        </w:tc>
        <w:tc>
          <w:tcPr>
            <w:tcW w:w="910" w:type="dxa"/>
            <w:tcBorders>
              <w:top w:val="nil"/>
            </w:tcBorders>
          </w:tcPr>
          <w:p>
            <w:pPr>
              <w:pStyle w:val="48"/>
              <w:shd w:val="clear" w:color="auto" w:fill="FFFFFF"/>
              <w:rPr>
                <w:bCs/>
                <w:spacing w:val="16"/>
                <w:sz w:val="21"/>
                <w:szCs w:val="21"/>
              </w:rPr>
            </w:pPr>
            <w:r>
              <w:rPr>
                <w:rFonts w:hint="eastAsia"/>
                <w:bCs/>
                <w:spacing w:val="16"/>
                <w:sz w:val="21"/>
                <w:szCs w:val="21"/>
              </w:rPr>
              <w:t>固定电话</w:t>
            </w:r>
          </w:p>
        </w:tc>
        <w:tc>
          <w:tcPr>
            <w:tcW w:w="2368" w:type="dxa"/>
            <w:gridSpan w:val="4"/>
            <w:tcBorders>
              <w:top w:val="nil"/>
            </w:tcBorders>
          </w:tcPr>
          <w:p>
            <w:pPr>
              <w:widowControl/>
              <w:jc w:val="left"/>
              <w:rPr>
                <w:rFonts w:ascii="宋体" w:cs="宋体"/>
                <w:bCs/>
                <w:spacing w:val="16"/>
                <w:kern w:val="0"/>
                <w:szCs w:val="21"/>
              </w:rPr>
            </w:pPr>
          </w:p>
          <w:p>
            <w:pPr>
              <w:pStyle w:val="48"/>
              <w:shd w:val="clear" w:color="auto" w:fill="FFFFFF"/>
              <w:rPr>
                <w:bCs/>
                <w:spacing w:val="16"/>
                <w:sz w:val="21"/>
                <w:szCs w:val="21"/>
              </w:rPr>
            </w:pPr>
          </w:p>
        </w:tc>
        <w:tc>
          <w:tcPr>
            <w:tcW w:w="2001" w:type="dxa"/>
            <w:gridSpan w:val="3"/>
            <w:vMerge w:val="restart"/>
          </w:tcPr>
          <w:p>
            <w:pPr>
              <w:pStyle w:val="48"/>
              <w:shd w:val="clear" w:color="auto" w:fill="FFFFFF"/>
              <w:spacing w:before="0" w:beforeAutospacing="0" w:after="0" w:afterAutospacing="0"/>
              <w:rPr>
                <w:bCs/>
                <w:spacing w:val="16"/>
                <w:sz w:val="21"/>
                <w:szCs w:val="21"/>
              </w:rPr>
            </w:pPr>
            <w:r>
              <w:rPr>
                <w:rFonts w:hint="eastAsia"/>
                <w:bCs/>
                <w:spacing w:val="16"/>
                <w:sz w:val="21"/>
                <w:szCs w:val="21"/>
              </w:rPr>
              <w:t>传真</w:t>
            </w:r>
          </w:p>
        </w:tc>
        <w:tc>
          <w:tcPr>
            <w:tcW w:w="2151" w:type="dxa"/>
            <w:gridSpan w:val="2"/>
            <w:vMerge w:val="restart"/>
          </w:tcPr>
          <w:p>
            <w:pPr>
              <w:pStyle w:val="48"/>
              <w:shd w:val="clear" w:color="auto" w:fill="FFFFFF"/>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pPr>
              <w:pStyle w:val="48"/>
              <w:shd w:val="clear" w:color="auto" w:fill="FFFFFF"/>
              <w:ind w:left="107"/>
              <w:rPr>
                <w:bCs/>
                <w:sz w:val="21"/>
                <w:szCs w:val="21"/>
              </w:rPr>
            </w:pPr>
          </w:p>
        </w:tc>
        <w:tc>
          <w:tcPr>
            <w:tcW w:w="633" w:type="dxa"/>
            <w:vMerge w:val="continue"/>
          </w:tcPr>
          <w:p>
            <w:pPr>
              <w:pStyle w:val="48"/>
              <w:shd w:val="clear" w:color="auto" w:fill="FFFFFF"/>
              <w:rPr>
                <w:bCs/>
                <w:spacing w:val="16"/>
                <w:sz w:val="21"/>
                <w:szCs w:val="21"/>
              </w:rPr>
            </w:pPr>
          </w:p>
        </w:tc>
        <w:tc>
          <w:tcPr>
            <w:tcW w:w="910" w:type="dxa"/>
          </w:tcPr>
          <w:p>
            <w:pPr>
              <w:pStyle w:val="48"/>
              <w:shd w:val="clear" w:color="auto" w:fill="FFFFFF"/>
              <w:rPr>
                <w:bCs/>
                <w:spacing w:val="16"/>
                <w:sz w:val="21"/>
                <w:szCs w:val="21"/>
              </w:rPr>
            </w:pPr>
            <w:r>
              <w:rPr>
                <w:rFonts w:hint="eastAsia"/>
                <w:bCs/>
                <w:spacing w:val="27"/>
                <w:sz w:val="21"/>
                <w:szCs w:val="21"/>
              </w:rPr>
              <w:t>手机</w:t>
            </w:r>
          </w:p>
        </w:tc>
        <w:tc>
          <w:tcPr>
            <w:tcW w:w="2368" w:type="dxa"/>
            <w:gridSpan w:val="4"/>
          </w:tcPr>
          <w:p>
            <w:pPr>
              <w:pStyle w:val="48"/>
              <w:shd w:val="clear" w:color="auto" w:fill="FFFFFF"/>
              <w:rPr>
                <w:bCs/>
                <w:spacing w:val="16"/>
                <w:sz w:val="21"/>
                <w:szCs w:val="21"/>
              </w:rPr>
            </w:pPr>
          </w:p>
        </w:tc>
        <w:tc>
          <w:tcPr>
            <w:tcW w:w="2001" w:type="dxa"/>
            <w:gridSpan w:val="3"/>
            <w:vMerge w:val="continue"/>
          </w:tcPr>
          <w:p>
            <w:pPr>
              <w:pStyle w:val="48"/>
              <w:shd w:val="clear" w:color="auto" w:fill="FFFFFF"/>
              <w:rPr>
                <w:bCs/>
                <w:spacing w:val="16"/>
                <w:sz w:val="21"/>
                <w:szCs w:val="21"/>
              </w:rPr>
            </w:pPr>
          </w:p>
        </w:tc>
        <w:tc>
          <w:tcPr>
            <w:tcW w:w="2151" w:type="dxa"/>
            <w:gridSpan w:val="2"/>
            <w:vMerge w:val="continue"/>
          </w:tcPr>
          <w:p>
            <w:pPr>
              <w:pStyle w:val="48"/>
              <w:shd w:val="clear" w:color="auto" w:fill="FFFFFF"/>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pPr>
              <w:pStyle w:val="48"/>
              <w:shd w:val="clear" w:color="auto" w:fill="FFFFFF"/>
              <w:ind w:left="107"/>
              <w:rPr>
                <w:bCs/>
                <w:sz w:val="21"/>
                <w:szCs w:val="21"/>
              </w:rPr>
            </w:pPr>
            <w:r>
              <w:rPr>
                <w:rFonts w:hint="eastAsia"/>
                <w:bCs/>
                <w:sz w:val="21"/>
                <w:szCs w:val="21"/>
              </w:rPr>
              <w:t>一、</w:t>
            </w:r>
          </w:p>
          <w:p>
            <w:pPr>
              <w:pStyle w:val="48"/>
              <w:shd w:val="clear" w:color="auto" w:fill="FFFFFF"/>
              <w:ind w:left="107"/>
              <w:rPr>
                <w:bCs/>
                <w:sz w:val="21"/>
                <w:szCs w:val="21"/>
              </w:rPr>
            </w:pPr>
            <w:r>
              <w:rPr>
                <w:rFonts w:hint="eastAsia"/>
                <w:bCs/>
                <w:sz w:val="21"/>
                <w:szCs w:val="21"/>
              </w:rPr>
              <w:t>企</w:t>
            </w:r>
          </w:p>
          <w:p>
            <w:pPr>
              <w:pStyle w:val="48"/>
              <w:shd w:val="clear" w:color="auto" w:fill="FFFFFF"/>
              <w:ind w:left="107"/>
              <w:rPr>
                <w:bCs/>
                <w:sz w:val="21"/>
                <w:szCs w:val="21"/>
              </w:rPr>
            </w:pPr>
            <w:r>
              <w:rPr>
                <w:rFonts w:hint="eastAsia"/>
                <w:bCs/>
                <w:sz w:val="21"/>
                <w:szCs w:val="21"/>
              </w:rPr>
              <w:t>业</w:t>
            </w:r>
          </w:p>
          <w:p>
            <w:pPr>
              <w:pStyle w:val="48"/>
              <w:shd w:val="clear" w:color="auto" w:fill="FFFFFF"/>
              <w:ind w:left="107"/>
              <w:rPr>
                <w:bCs/>
                <w:spacing w:val="27"/>
                <w:sz w:val="21"/>
                <w:szCs w:val="21"/>
              </w:rPr>
            </w:pPr>
            <w:r>
              <w:rPr>
                <w:rFonts w:hint="eastAsia"/>
                <w:bCs/>
                <w:spacing w:val="27"/>
                <w:sz w:val="21"/>
                <w:szCs w:val="21"/>
              </w:rPr>
              <w:t>概</w:t>
            </w:r>
          </w:p>
          <w:p>
            <w:pPr>
              <w:pStyle w:val="48"/>
              <w:shd w:val="clear" w:color="auto" w:fill="FFFFFF"/>
              <w:ind w:left="107"/>
              <w:rPr>
                <w:bCs/>
                <w:sz w:val="21"/>
                <w:szCs w:val="21"/>
              </w:rPr>
            </w:pPr>
            <w:r>
              <w:rPr>
                <w:rFonts w:hint="eastAsia"/>
                <w:bCs/>
                <w:spacing w:val="27"/>
                <w:sz w:val="21"/>
                <w:szCs w:val="21"/>
              </w:rPr>
              <w:t>况</w:t>
            </w:r>
          </w:p>
        </w:tc>
        <w:tc>
          <w:tcPr>
            <w:tcW w:w="633" w:type="dxa"/>
            <w:tcBorders>
              <w:top w:val="nil"/>
            </w:tcBorders>
          </w:tcPr>
          <w:p>
            <w:pPr>
              <w:pStyle w:val="48"/>
              <w:shd w:val="clear" w:color="auto" w:fill="FFFFFF"/>
              <w:rPr>
                <w:bCs/>
                <w:spacing w:val="16"/>
                <w:sz w:val="21"/>
                <w:szCs w:val="21"/>
              </w:rPr>
            </w:pPr>
            <w:r>
              <w:rPr>
                <w:rFonts w:hint="eastAsia"/>
                <w:bCs/>
                <w:spacing w:val="16"/>
                <w:sz w:val="21"/>
                <w:szCs w:val="21"/>
              </w:rPr>
              <w:t>职工人数</w:t>
            </w:r>
          </w:p>
        </w:tc>
        <w:tc>
          <w:tcPr>
            <w:tcW w:w="910" w:type="dxa"/>
            <w:tcBorders>
              <w:top w:val="nil"/>
            </w:tcBorders>
          </w:tcPr>
          <w:p>
            <w:pPr>
              <w:pStyle w:val="48"/>
              <w:shd w:val="clear" w:color="auto" w:fill="FFFFFF"/>
              <w:rPr>
                <w:bCs/>
                <w:spacing w:val="16"/>
                <w:sz w:val="21"/>
                <w:szCs w:val="21"/>
              </w:rPr>
            </w:pPr>
          </w:p>
        </w:tc>
        <w:tc>
          <w:tcPr>
            <w:tcW w:w="1163" w:type="dxa"/>
            <w:gridSpan w:val="2"/>
            <w:tcBorders>
              <w:top w:val="nil"/>
            </w:tcBorders>
          </w:tcPr>
          <w:p>
            <w:pPr>
              <w:pStyle w:val="48"/>
              <w:shd w:val="clear" w:color="auto" w:fill="FFFFFF"/>
              <w:spacing w:before="0" w:beforeAutospacing="0" w:after="0" w:afterAutospacing="0"/>
              <w:rPr>
                <w:bCs/>
                <w:sz w:val="21"/>
                <w:szCs w:val="21"/>
              </w:rPr>
            </w:pPr>
            <w:r>
              <w:rPr>
                <w:rFonts w:hint="eastAsia"/>
                <w:bCs/>
                <w:spacing w:val="18"/>
                <w:sz w:val="21"/>
                <w:szCs w:val="21"/>
              </w:rPr>
              <w:t>具备大专以</w:t>
            </w:r>
            <w:r>
              <w:rPr>
                <w:rFonts w:hint="eastAsia"/>
                <w:bCs/>
                <w:spacing w:val="12"/>
                <w:sz w:val="21"/>
                <w:szCs w:val="21"/>
              </w:rPr>
              <w:t>上学历人数</w:t>
            </w:r>
          </w:p>
        </w:tc>
        <w:tc>
          <w:tcPr>
            <w:tcW w:w="1205" w:type="dxa"/>
            <w:gridSpan w:val="2"/>
            <w:tcBorders>
              <w:top w:val="nil"/>
            </w:tcBorders>
          </w:tcPr>
          <w:p>
            <w:pPr>
              <w:widowControl/>
              <w:jc w:val="left"/>
              <w:rPr>
                <w:rFonts w:ascii="宋体" w:cs="宋体"/>
                <w:bCs/>
                <w:spacing w:val="16"/>
                <w:kern w:val="0"/>
                <w:szCs w:val="21"/>
              </w:rPr>
            </w:pPr>
          </w:p>
          <w:p>
            <w:pPr>
              <w:widowControl/>
              <w:jc w:val="left"/>
              <w:rPr>
                <w:rFonts w:ascii="宋体" w:cs="宋体"/>
                <w:bCs/>
                <w:spacing w:val="16"/>
                <w:kern w:val="0"/>
                <w:szCs w:val="21"/>
              </w:rPr>
            </w:pPr>
          </w:p>
          <w:p>
            <w:pPr>
              <w:pStyle w:val="48"/>
              <w:shd w:val="clear" w:color="auto" w:fill="FFFFFF"/>
              <w:rPr>
                <w:bCs/>
                <w:spacing w:val="16"/>
                <w:sz w:val="21"/>
                <w:szCs w:val="21"/>
              </w:rPr>
            </w:pPr>
          </w:p>
        </w:tc>
        <w:tc>
          <w:tcPr>
            <w:tcW w:w="2001" w:type="dxa"/>
            <w:gridSpan w:val="3"/>
          </w:tcPr>
          <w:p>
            <w:pPr>
              <w:pStyle w:val="48"/>
              <w:shd w:val="clear" w:color="auto" w:fill="FFFFFF"/>
              <w:rPr>
                <w:bCs/>
                <w:spacing w:val="16"/>
                <w:sz w:val="21"/>
                <w:szCs w:val="21"/>
              </w:rPr>
            </w:pPr>
            <w:r>
              <w:rPr>
                <w:rFonts w:hint="eastAsia"/>
                <w:bCs/>
                <w:spacing w:val="65"/>
                <w:sz w:val="21"/>
                <w:szCs w:val="21"/>
              </w:rPr>
              <w:t>国家授予技</w:t>
            </w:r>
            <w:r>
              <w:rPr>
                <w:rFonts w:hint="eastAsia"/>
                <w:bCs/>
                <w:spacing w:val="12"/>
                <w:sz w:val="21"/>
                <w:szCs w:val="21"/>
              </w:rPr>
              <w:t>术职称人数</w:t>
            </w:r>
          </w:p>
        </w:tc>
        <w:tc>
          <w:tcPr>
            <w:tcW w:w="2151" w:type="dxa"/>
            <w:gridSpan w:val="2"/>
          </w:tcPr>
          <w:p>
            <w:pPr>
              <w:widowControl/>
              <w:jc w:val="left"/>
              <w:rPr>
                <w:rFonts w:ascii="宋体" w:cs="宋体"/>
                <w:bCs/>
                <w:spacing w:val="16"/>
                <w:kern w:val="0"/>
                <w:szCs w:val="21"/>
              </w:rPr>
            </w:pPr>
          </w:p>
          <w:p>
            <w:pPr>
              <w:pStyle w:val="48"/>
              <w:shd w:val="clear" w:color="auto" w:fill="FFFFFF"/>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pPr>
              <w:pStyle w:val="48"/>
              <w:shd w:val="clear" w:color="auto" w:fill="FFFFFF"/>
              <w:ind w:left="107"/>
              <w:rPr>
                <w:bCs/>
                <w:sz w:val="21"/>
                <w:szCs w:val="21"/>
              </w:rPr>
            </w:pPr>
          </w:p>
        </w:tc>
        <w:tc>
          <w:tcPr>
            <w:tcW w:w="633" w:type="dxa"/>
          </w:tcPr>
          <w:p>
            <w:pPr>
              <w:pStyle w:val="48"/>
              <w:shd w:val="clear" w:color="auto" w:fill="FFFFFF"/>
              <w:rPr>
                <w:bCs/>
                <w:sz w:val="21"/>
                <w:szCs w:val="21"/>
              </w:rPr>
            </w:pPr>
            <w:r>
              <w:rPr>
                <w:rFonts w:hint="eastAsia"/>
                <w:bCs/>
                <w:spacing w:val="16"/>
                <w:sz w:val="21"/>
                <w:szCs w:val="21"/>
              </w:rPr>
              <w:t>占地面积</w:t>
            </w:r>
          </w:p>
        </w:tc>
        <w:tc>
          <w:tcPr>
            <w:tcW w:w="910" w:type="dxa"/>
          </w:tcPr>
          <w:p>
            <w:pPr>
              <w:pStyle w:val="48"/>
              <w:shd w:val="clear" w:color="auto" w:fill="FFFFFF"/>
              <w:rPr>
                <w:bCs/>
                <w:sz w:val="21"/>
                <w:szCs w:val="21"/>
              </w:rPr>
            </w:pPr>
          </w:p>
        </w:tc>
        <w:tc>
          <w:tcPr>
            <w:tcW w:w="1163" w:type="dxa"/>
            <w:gridSpan w:val="2"/>
          </w:tcPr>
          <w:p>
            <w:pPr>
              <w:pStyle w:val="48"/>
              <w:shd w:val="clear" w:color="auto" w:fill="FFFFFF"/>
              <w:rPr>
                <w:bCs/>
                <w:sz w:val="21"/>
                <w:szCs w:val="21"/>
              </w:rPr>
            </w:pPr>
            <w:r>
              <w:rPr>
                <w:rFonts w:hint="eastAsia"/>
                <w:bCs/>
                <w:spacing w:val="16"/>
                <w:sz w:val="21"/>
                <w:szCs w:val="21"/>
              </w:rPr>
              <w:t>建筑面积</w:t>
            </w:r>
          </w:p>
        </w:tc>
        <w:tc>
          <w:tcPr>
            <w:tcW w:w="1205" w:type="dxa"/>
            <w:gridSpan w:val="2"/>
          </w:tcPr>
          <w:p>
            <w:pPr>
              <w:pStyle w:val="48"/>
              <w:shd w:val="clear" w:color="auto" w:fill="FFFFFF"/>
              <w:rPr>
                <w:bCs/>
                <w:sz w:val="21"/>
                <w:szCs w:val="21"/>
              </w:rPr>
            </w:pPr>
            <w:r>
              <w:rPr>
                <w:rFonts w:hint="eastAsia"/>
                <w:bCs/>
                <w:sz w:val="21"/>
                <w:szCs w:val="21"/>
              </w:rPr>
              <w:t>平方米</w:t>
            </w:r>
          </w:p>
          <w:p>
            <w:pPr>
              <w:pStyle w:val="48"/>
              <w:shd w:val="clear" w:color="auto" w:fill="FFFFFF"/>
              <w:rPr>
                <w:bCs/>
                <w:sz w:val="21"/>
                <w:szCs w:val="21"/>
              </w:rPr>
            </w:pPr>
            <w:r>
              <w:rPr>
                <w:rFonts w:hint="eastAsia"/>
                <w:bCs/>
                <w:spacing w:val="16"/>
                <w:sz w:val="21"/>
                <w:szCs w:val="21"/>
              </w:rPr>
              <w:t>□自有□租賃</w:t>
            </w:r>
          </w:p>
        </w:tc>
        <w:tc>
          <w:tcPr>
            <w:tcW w:w="2001" w:type="dxa"/>
            <w:gridSpan w:val="3"/>
          </w:tcPr>
          <w:p>
            <w:pPr>
              <w:pStyle w:val="48"/>
              <w:shd w:val="clear" w:color="auto" w:fill="FFFFFF"/>
              <w:rPr>
                <w:bCs/>
                <w:sz w:val="21"/>
                <w:szCs w:val="21"/>
              </w:rPr>
            </w:pPr>
            <w:r>
              <w:rPr>
                <w:rFonts w:hint="eastAsia"/>
                <w:bCs/>
                <w:spacing w:val="16"/>
                <w:sz w:val="21"/>
                <w:szCs w:val="21"/>
              </w:rPr>
              <w:t>生产经营场所及场所的设施与设备</w:t>
            </w:r>
          </w:p>
        </w:tc>
        <w:tc>
          <w:tcPr>
            <w:tcW w:w="2151" w:type="dxa"/>
            <w:gridSpan w:val="2"/>
          </w:tcPr>
          <w:p>
            <w:pPr>
              <w:pStyle w:val="48"/>
              <w:shd w:val="clear" w:color="auto" w:fill="FFFFFF"/>
              <w:spacing w:before="0" w:beforeAutospacing="0" w:after="0" w:afterAutospacing="0"/>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pPr>
              <w:pStyle w:val="48"/>
              <w:shd w:val="clear" w:color="auto" w:fill="FFFFFF"/>
              <w:ind w:left="107"/>
              <w:rPr>
                <w:bCs/>
                <w:sz w:val="21"/>
                <w:szCs w:val="21"/>
              </w:rPr>
            </w:pPr>
          </w:p>
        </w:tc>
        <w:tc>
          <w:tcPr>
            <w:tcW w:w="633" w:type="dxa"/>
          </w:tcPr>
          <w:p>
            <w:pPr>
              <w:pStyle w:val="48"/>
              <w:shd w:val="clear" w:color="auto" w:fill="FFFFFF"/>
              <w:ind w:left="2"/>
              <w:rPr>
                <w:bCs/>
                <w:spacing w:val="16"/>
                <w:sz w:val="21"/>
                <w:szCs w:val="21"/>
              </w:rPr>
            </w:pPr>
            <w:r>
              <w:rPr>
                <w:rFonts w:hint="eastAsia"/>
                <w:bCs/>
                <w:spacing w:val="16"/>
                <w:sz w:val="21"/>
                <w:szCs w:val="21"/>
              </w:rPr>
              <w:t>注册资金</w:t>
            </w:r>
          </w:p>
        </w:tc>
        <w:tc>
          <w:tcPr>
            <w:tcW w:w="910" w:type="dxa"/>
          </w:tcPr>
          <w:p>
            <w:pPr>
              <w:pStyle w:val="48"/>
              <w:shd w:val="clear" w:color="auto" w:fill="FFFFFF"/>
              <w:ind w:left="2"/>
              <w:rPr>
                <w:bCs/>
                <w:sz w:val="21"/>
                <w:szCs w:val="21"/>
              </w:rPr>
            </w:pPr>
          </w:p>
        </w:tc>
        <w:tc>
          <w:tcPr>
            <w:tcW w:w="1163" w:type="dxa"/>
            <w:gridSpan w:val="2"/>
          </w:tcPr>
          <w:p>
            <w:pPr>
              <w:pStyle w:val="48"/>
              <w:shd w:val="clear" w:color="auto" w:fill="FFFFFF"/>
              <w:ind w:left="107"/>
              <w:rPr>
                <w:bCs/>
                <w:sz w:val="21"/>
                <w:szCs w:val="21"/>
              </w:rPr>
            </w:pPr>
            <w:r>
              <w:rPr>
                <w:rFonts w:hint="eastAsia"/>
                <w:bCs/>
                <w:spacing w:val="16"/>
                <w:sz w:val="21"/>
                <w:szCs w:val="21"/>
              </w:rPr>
              <w:t>注册发证</w:t>
            </w:r>
            <w:r>
              <w:rPr>
                <w:rFonts w:hint="eastAsia"/>
                <w:bCs/>
                <w:spacing w:val="27"/>
                <w:sz w:val="21"/>
                <w:szCs w:val="21"/>
              </w:rPr>
              <w:t>机关</w:t>
            </w:r>
          </w:p>
        </w:tc>
        <w:tc>
          <w:tcPr>
            <w:tcW w:w="3206" w:type="dxa"/>
            <w:gridSpan w:val="5"/>
          </w:tcPr>
          <w:p>
            <w:pPr>
              <w:widowControl/>
              <w:jc w:val="left"/>
              <w:rPr>
                <w:rFonts w:ascii="宋体" w:cs="宋体"/>
                <w:bCs/>
                <w:kern w:val="0"/>
                <w:szCs w:val="21"/>
              </w:rPr>
            </w:pPr>
          </w:p>
          <w:p>
            <w:pPr>
              <w:pStyle w:val="48"/>
              <w:shd w:val="clear" w:color="auto" w:fill="FFFFFF"/>
              <w:ind w:left="107"/>
              <w:rPr>
                <w:bCs/>
                <w:sz w:val="21"/>
                <w:szCs w:val="21"/>
              </w:rPr>
            </w:pPr>
          </w:p>
        </w:tc>
        <w:tc>
          <w:tcPr>
            <w:tcW w:w="1218" w:type="dxa"/>
          </w:tcPr>
          <w:p>
            <w:pPr>
              <w:pStyle w:val="48"/>
              <w:shd w:val="clear" w:color="auto" w:fill="FFFFFF"/>
              <w:ind w:left="107"/>
              <w:rPr>
                <w:bCs/>
                <w:sz w:val="21"/>
                <w:szCs w:val="21"/>
              </w:rPr>
            </w:pPr>
            <w:r>
              <w:rPr>
                <w:rFonts w:hint="eastAsia"/>
                <w:bCs/>
                <w:sz w:val="21"/>
                <w:szCs w:val="21"/>
              </w:rPr>
              <w:t>公司成</w:t>
            </w:r>
            <w:r>
              <w:rPr>
                <w:rFonts w:hint="eastAsia"/>
                <w:bCs/>
                <w:spacing w:val="12"/>
                <w:sz w:val="21"/>
                <w:szCs w:val="21"/>
              </w:rPr>
              <w:t>立时间</w:t>
            </w:r>
          </w:p>
        </w:tc>
        <w:tc>
          <w:tcPr>
            <w:tcW w:w="933" w:type="dxa"/>
          </w:tcPr>
          <w:p>
            <w:pPr>
              <w:pStyle w:val="48"/>
              <w:shd w:val="clear" w:color="auto" w:fill="FFFFFF"/>
              <w:ind w:left="107"/>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pPr>
              <w:pStyle w:val="48"/>
              <w:shd w:val="clear" w:color="auto" w:fill="FFFFFF"/>
              <w:ind w:left="107"/>
              <w:rPr>
                <w:bCs/>
                <w:sz w:val="21"/>
                <w:szCs w:val="21"/>
              </w:rPr>
            </w:pPr>
          </w:p>
        </w:tc>
        <w:tc>
          <w:tcPr>
            <w:tcW w:w="633" w:type="dxa"/>
          </w:tcPr>
          <w:p>
            <w:pPr>
              <w:pStyle w:val="48"/>
              <w:shd w:val="clear" w:color="auto" w:fill="FFFFFF"/>
              <w:ind w:left="2"/>
              <w:rPr>
                <w:bCs/>
                <w:sz w:val="21"/>
                <w:szCs w:val="21"/>
              </w:rPr>
            </w:pPr>
            <w:r>
              <w:rPr>
                <w:rFonts w:hint="eastAsia"/>
                <w:bCs/>
                <w:sz w:val="21"/>
                <w:szCs w:val="21"/>
              </w:rPr>
              <w:t>核准经营范围</w:t>
            </w:r>
          </w:p>
        </w:tc>
        <w:tc>
          <w:tcPr>
            <w:tcW w:w="7430" w:type="dxa"/>
            <w:gridSpan w:val="10"/>
          </w:tcPr>
          <w:p>
            <w:pPr>
              <w:pStyle w:val="48"/>
              <w:shd w:val="clear" w:color="auto" w:fill="FFFFFF"/>
              <w:ind w:left="107"/>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pPr>
              <w:pStyle w:val="48"/>
              <w:shd w:val="clear" w:color="auto" w:fill="FFFFFF"/>
              <w:ind w:left="107"/>
              <w:rPr>
                <w:bCs/>
                <w:sz w:val="21"/>
                <w:szCs w:val="21"/>
              </w:rPr>
            </w:pPr>
          </w:p>
        </w:tc>
        <w:tc>
          <w:tcPr>
            <w:tcW w:w="8063" w:type="dxa"/>
            <w:gridSpan w:val="11"/>
          </w:tcPr>
          <w:p>
            <w:pPr>
              <w:pStyle w:val="48"/>
              <w:shd w:val="clear" w:color="auto" w:fill="FFFFFF"/>
              <w:rPr>
                <w:bCs/>
                <w:spacing w:val="13"/>
                <w:sz w:val="21"/>
                <w:szCs w:val="21"/>
              </w:rPr>
            </w:pPr>
            <w:r>
              <w:rPr>
                <w:rFonts w:hint="eastAsia"/>
                <w:bCs/>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pPr>
              <w:pStyle w:val="48"/>
              <w:shd w:val="clear" w:color="auto" w:fill="FFFFFF"/>
              <w:ind w:left="107"/>
              <w:rPr>
                <w:bCs/>
                <w:sz w:val="21"/>
                <w:szCs w:val="21"/>
              </w:rPr>
            </w:pPr>
            <w:r>
              <w:rPr>
                <w:rFonts w:hint="eastAsia"/>
                <w:bCs/>
                <w:sz w:val="21"/>
                <w:szCs w:val="21"/>
              </w:rPr>
              <w:t>二、</w:t>
            </w:r>
          </w:p>
          <w:p>
            <w:pPr>
              <w:pStyle w:val="48"/>
              <w:shd w:val="clear" w:color="auto" w:fill="FFFFFF"/>
              <w:ind w:left="107"/>
              <w:rPr>
                <w:bCs/>
                <w:spacing w:val="16"/>
                <w:sz w:val="21"/>
                <w:szCs w:val="21"/>
              </w:rPr>
            </w:pPr>
            <w:r>
              <w:rPr>
                <w:rFonts w:hint="eastAsia"/>
                <w:bCs/>
                <w:sz w:val="21"/>
                <w:szCs w:val="21"/>
              </w:rPr>
              <w:t>企</w:t>
            </w:r>
            <w:r>
              <w:rPr>
                <w:rFonts w:hint="eastAsia"/>
                <w:bCs/>
                <w:spacing w:val="12"/>
                <w:sz w:val="21"/>
                <w:szCs w:val="21"/>
              </w:rPr>
              <w:t>业有关资质获证情况</w:t>
            </w:r>
          </w:p>
        </w:tc>
        <w:tc>
          <w:tcPr>
            <w:tcW w:w="1854" w:type="dxa"/>
            <w:gridSpan w:val="3"/>
            <w:vMerge w:val="restart"/>
          </w:tcPr>
          <w:p>
            <w:pPr>
              <w:pStyle w:val="48"/>
              <w:shd w:val="clear" w:color="auto" w:fill="FFFFFF"/>
              <w:spacing w:before="0" w:beforeAutospacing="0" w:after="0" w:afterAutospacing="0"/>
              <w:rPr>
                <w:bCs/>
                <w:spacing w:val="16"/>
                <w:sz w:val="21"/>
                <w:szCs w:val="21"/>
              </w:rPr>
            </w:pPr>
            <w:r>
              <w:rPr>
                <w:rFonts w:hint="eastAsia"/>
                <w:bCs/>
                <w:spacing w:val="12"/>
                <w:sz w:val="21"/>
                <w:szCs w:val="21"/>
              </w:rPr>
              <w:t>产品生产许可证情况</w:t>
            </w:r>
            <w:r>
              <w:rPr>
                <w:rFonts w:hint="eastAsia"/>
                <w:bCs/>
                <w:spacing w:val="41"/>
                <w:sz w:val="21"/>
                <w:szCs w:val="21"/>
              </w:rPr>
              <w:t>（对需获得生产许可证的</w:t>
            </w:r>
            <w:r>
              <w:rPr>
                <w:rFonts w:hint="eastAsia"/>
                <w:bCs/>
                <w:spacing w:val="11"/>
                <w:sz w:val="21"/>
                <w:szCs w:val="21"/>
              </w:rPr>
              <w:t>产品要填写此栏）</w:t>
            </w:r>
          </w:p>
        </w:tc>
        <w:tc>
          <w:tcPr>
            <w:tcW w:w="964" w:type="dxa"/>
            <w:gridSpan w:val="2"/>
          </w:tcPr>
          <w:p>
            <w:pPr>
              <w:pStyle w:val="48"/>
              <w:shd w:val="clear" w:color="auto" w:fill="FFFFFF"/>
              <w:ind w:right="-78" w:rightChars="-37"/>
              <w:rPr>
                <w:bCs/>
                <w:spacing w:val="16"/>
                <w:sz w:val="21"/>
                <w:szCs w:val="21"/>
              </w:rPr>
            </w:pPr>
            <w:r>
              <w:rPr>
                <w:rFonts w:hint="eastAsia"/>
                <w:bCs/>
                <w:spacing w:val="16"/>
                <w:sz w:val="21"/>
                <w:szCs w:val="21"/>
              </w:rPr>
              <w:t>产品名称</w:t>
            </w:r>
          </w:p>
        </w:tc>
        <w:tc>
          <w:tcPr>
            <w:tcW w:w="1418" w:type="dxa"/>
            <w:gridSpan w:val="2"/>
          </w:tcPr>
          <w:p>
            <w:pPr>
              <w:pStyle w:val="48"/>
              <w:shd w:val="clear" w:color="auto" w:fill="FFFFFF"/>
              <w:spacing w:before="0" w:beforeAutospacing="0" w:after="0" w:afterAutospacing="0"/>
              <w:rPr>
                <w:bCs/>
                <w:sz w:val="21"/>
                <w:szCs w:val="21"/>
              </w:rPr>
            </w:pPr>
            <w:r>
              <w:rPr>
                <w:rFonts w:hint="eastAsia"/>
                <w:bCs/>
                <w:spacing w:val="16"/>
                <w:sz w:val="21"/>
                <w:szCs w:val="21"/>
              </w:rPr>
              <w:t>发证机关</w:t>
            </w:r>
          </w:p>
        </w:tc>
        <w:tc>
          <w:tcPr>
            <w:tcW w:w="1276" w:type="dxa"/>
          </w:tcPr>
          <w:p>
            <w:pPr>
              <w:pStyle w:val="48"/>
              <w:shd w:val="clear" w:color="auto" w:fill="FFFFFF"/>
              <w:jc w:val="center"/>
              <w:rPr>
                <w:bCs/>
                <w:sz w:val="21"/>
                <w:szCs w:val="21"/>
              </w:rPr>
            </w:pPr>
            <w:r>
              <w:rPr>
                <w:rFonts w:hint="eastAsia"/>
                <w:bCs/>
                <w:spacing w:val="27"/>
                <w:sz w:val="21"/>
                <w:szCs w:val="21"/>
              </w:rPr>
              <w:t>编号</w:t>
            </w:r>
          </w:p>
        </w:tc>
        <w:tc>
          <w:tcPr>
            <w:tcW w:w="1618" w:type="dxa"/>
            <w:gridSpan w:val="2"/>
          </w:tcPr>
          <w:p>
            <w:pPr>
              <w:pStyle w:val="48"/>
              <w:shd w:val="clear" w:color="auto" w:fill="FFFFFF"/>
              <w:jc w:val="center"/>
              <w:rPr>
                <w:bCs/>
                <w:sz w:val="21"/>
                <w:szCs w:val="21"/>
              </w:rPr>
            </w:pPr>
            <w:r>
              <w:rPr>
                <w:rFonts w:hint="eastAsia"/>
                <w:bCs/>
                <w:spacing w:val="16"/>
                <w:sz w:val="21"/>
                <w:szCs w:val="21"/>
              </w:rPr>
              <w:t>发证时间</w:t>
            </w:r>
          </w:p>
        </w:tc>
        <w:tc>
          <w:tcPr>
            <w:tcW w:w="933" w:type="dxa"/>
          </w:tcPr>
          <w:p>
            <w:pPr>
              <w:pStyle w:val="48"/>
              <w:shd w:val="clear" w:color="auto" w:fill="FFFFFF"/>
              <w:spacing w:before="0" w:beforeAutospacing="0" w:after="0" w:afterAutospacing="0"/>
              <w:jc w:val="center"/>
              <w:rPr>
                <w:bCs/>
                <w:sz w:val="21"/>
                <w:szCs w:val="21"/>
              </w:rPr>
            </w:pPr>
            <w:r>
              <w:rPr>
                <w:rFonts w:hint="eastAsia"/>
                <w:bCs/>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pPr>
              <w:pStyle w:val="48"/>
              <w:shd w:val="clear" w:color="auto" w:fill="FFFFFF"/>
              <w:ind w:left="107"/>
              <w:rPr>
                <w:bCs/>
                <w:sz w:val="21"/>
                <w:szCs w:val="21"/>
              </w:rPr>
            </w:pPr>
          </w:p>
        </w:tc>
        <w:tc>
          <w:tcPr>
            <w:tcW w:w="1854" w:type="dxa"/>
            <w:gridSpan w:val="3"/>
            <w:vMerge w:val="continue"/>
          </w:tcPr>
          <w:p>
            <w:pPr>
              <w:pStyle w:val="48"/>
              <w:shd w:val="clear" w:color="auto" w:fill="FFFFFF"/>
              <w:rPr>
                <w:bCs/>
                <w:sz w:val="21"/>
                <w:szCs w:val="21"/>
              </w:rPr>
            </w:pPr>
          </w:p>
        </w:tc>
        <w:tc>
          <w:tcPr>
            <w:tcW w:w="964" w:type="dxa"/>
            <w:gridSpan w:val="2"/>
          </w:tcPr>
          <w:p>
            <w:pPr>
              <w:pStyle w:val="48"/>
              <w:shd w:val="clear" w:color="auto" w:fill="FFFFFF"/>
              <w:rPr>
                <w:bCs/>
                <w:sz w:val="21"/>
                <w:szCs w:val="21"/>
              </w:rPr>
            </w:pPr>
          </w:p>
        </w:tc>
        <w:tc>
          <w:tcPr>
            <w:tcW w:w="1418" w:type="dxa"/>
            <w:gridSpan w:val="2"/>
          </w:tcPr>
          <w:p>
            <w:pPr>
              <w:pStyle w:val="48"/>
              <w:shd w:val="clear" w:color="auto" w:fill="FFFFFF"/>
              <w:rPr>
                <w:bCs/>
                <w:sz w:val="21"/>
                <w:szCs w:val="21"/>
              </w:rPr>
            </w:pPr>
          </w:p>
        </w:tc>
        <w:tc>
          <w:tcPr>
            <w:tcW w:w="1276" w:type="dxa"/>
          </w:tcPr>
          <w:p>
            <w:pPr>
              <w:pStyle w:val="48"/>
              <w:shd w:val="clear" w:color="auto" w:fill="FFFFFF"/>
              <w:rPr>
                <w:bCs/>
                <w:sz w:val="21"/>
                <w:szCs w:val="21"/>
              </w:rPr>
            </w:pPr>
          </w:p>
        </w:tc>
        <w:tc>
          <w:tcPr>
            <w:tcW w:w="2551" w:type="dxa"/>
            <w:gridSpan w:val="3"/>
          </w:tcPr>
          <w:p>
            <w:pPr>
              <w:pStyle w:val="48"/>
              <w:shd w:val="clear" w:color="auto" w:fill="FFFFFF"/>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pPr>
              <w:pStyle w:val="48"/>
              <w:shd w:val="clear" w:color="auto" w:fill="FFFFFF"/>
              <w:ind w:left="107"/>
              <w:rPr>
                <w:bCs/>
                <w:spacing w:val="16"/>
                <w:sz w:val="21"/>
                <w:szCs w:val="21"/>
              </w:rPr>
            </w:pPr>
          </w:p>
        </w:tc>
        <w:tc>
          <w:tcPr>
            <w:tcW w:w="1854" w:type="dxa"/>
            <w:gridSpan w:val="3"/>
          </w:tcPr>
          <w:p>
            <w:pPr>
              <w:pStyle w:val="48"/>
              <w:shd w:val="clear" w:color="auto" w:fill="FFFFFF"/>
              <w:spacing w:before="0" w:beforeAutospacing="0" w:after="0" w:afterAutospacing="0"/>
              <w:ind w:right="-107" w:rightChars="-51"/>
              <w:rPr>
                <w:bCs/>
                <w:spacing w:val="41"/>
                <w:sz w:val="21"/>
                <w:szCs w:val="21"/>
              </w:rPr>
            </w:pPr>
            <w:r>
              <w:rPr>
                <w:rFonts w:hint="eastAsia"/>
                <w:bCs/>
                <w:spacing w:val="41"/>
                <w:sz w:val="21"/>
                <w:szCs w:val="21"/>
              </w:rPr>
              <w:t>企业通过质量体系、环保</w:t>
            </w:r>
            <w:r>
              <w:rPr>
                <w:rFonts w:hint="eastAsia"/>
                <w:bCs/>
                <w:spacing w:val="11"/>
                <w:sz w:val="21"/>
                <w:szCs w:val="21"/>
              </w:rPr>
              <w:t>体系、计量等认证情况</w:t>
            </w:r>
          </w:p>
        </w:tc>
        <w:tc>
          <w:tcPr>
            <w:tcW w:w="6209" w:type="dxa"/>
            <w:gridSpan w:val="8"/>
          </w:tcPr>
          <w:p>
            <w:pPr>
              <w:pStyle w:val="48"/>
              <w:shd w:val="clear" w:color="auto" w:fill="FFFFFF"/>
              <w:rPr>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pPr>
              <w:pStyle w:val="48"/>
              <w:shd w:val="clear" w:color="auto" w:fill="FFFFFF"/>
              <w:ind w:left="107"/>
              <w:rPr>
                <w:bCs/>
                <w:spacing w:val="27"/>
                <w:sz w:val="21"/>
                <w:szCs w:val="21"/>
              </w:rPr>
            </w:pPr>
          </w:p>
        </w:tc>
        <w:tc>
          <w:tcPr>
            <w:tcW w:w="1854" w:type="dxa"/>
            <w:gridSpan w:val="3"/>
          </w:tcPr>
          <w:p>
            <w:pPr>
              <w:pStyle w:val="48"/>
              <w:shd w:val="clear" w:color="auto" w:fill="FFFFFF"/>
              <w:rPr>
                <w:bCs/>
                <w:spacing w:val="16"/>
                <w:sz w:val="21"/>
                <w:szCs w:val="21"/>
              </w:rPr>
            </w:pPr>
            <w:r>
              <w:rPr>
                <w:rFonts w:hint="eastAsia"/>
                <w:bCs/>
                <w:spacing w:val="10"/>
                <w:sz w:val="21"/>
                <w:szCs w:val="21"/>
              </w:rPr>
              <w:t>企业获得专利情况</w:t>
            </w:r>
          </w:p>
        </w:tc>
        <w:tc>
          <w:tcPr>
            <w:tcW w:w="6209" w:type="dxa"/>
            <w:gridSpan w:val="8"/>
          </w:tcPr>
          <w:p>
            <w:pPr>
              <w:pStyle w:val="48"/>
              <w:shd w:val="clear" w:color="auto" w:fill="FFFFFF"/>
              <w:rPr>
                <w:bCs/>
                <w:spacing w:val="16"/>
                <w:sz w:val="21"/>
                <w:szCs w:val="21"/>
              </w:rPr>
            </w:pPr>
          </w:p>
        </w:tc>
      </w:tr>
    </w:tbl>
    <w:p>
      <w:pPr>
        <w:pStyle w:val="48"/>
        <w:shd w:val="clear" w:color="auto" w:fill="FFFFFF"/>
        <w:spacing w:before="0" w:beforeAutospacing="0" w:after="0" w:afterAutospacing="0" w:line="360" w:lineRule="auto"/>
        <w:rPr>
          <w:rFonts w:ascii="仿宋_GB2312" w:eastAsia="仿宋_GB2312"/>
        </w:rPr>
      </w:pPr>
    </w:p>
    <w:p>
      <w:pPr>
        <w:pStyle w:val="48"/>
        <w:shd w:val="clear" w:color="auto" w:fill="FFFFFF"/>
        <w:spacing w:before="0" w:beforeAutospacing="0" w:after="0" w:afterAutospacing="0" w:line="360" w:lineRule="auto"/>
        <w:rPr>
          <w:b/>
          <w:sz w:val="21"/>
          <w:szCs w:val="21"/>
        </w:rPr>
      </w:pPr>
      <w:r>
        <w:rPr>
          <w:rFonts w:hint="eastAsia"/>
          <w:b/>
          <w:sz w:val="21"/>
          <w:szCs w:val="21"/>
        </w:rPr>
        <w:t>要求：</w:t>
      </w:r>
    </w:p>
    <w:p>
      <w:pPr>
        <w:pStyle w:val="48"/>
        <w:shd w:val="clear" w:color="auto" w:fill="FFFFFF"/>
        <w:spacing w:before="0" w:beforeAutospacing="0" w:after="0" w:afterAutospacing="0" w:line="360" w:lineRule="auto"/>
        <w:ind w:firstLine="424" w:firstLineChars="202"/>
        <w:rPr>
          <w:sz w:val="21"/>
          <w:szCs w:val="21"/>
        </w:rPr>
      </w:pPr>
      <w:r>
        <w:rPr>
          <w:sz w:val="21"/>
          <w:szCs w:val="21"/>
        </w:rPr>
        <w:t>1.</w:t>
      </w:r>
      <w:r>
        <w:rPr>
          <w:rFonts w:hint="eastAsia"/>
          <w:sz w:val="21"/>
          <w:szCs w:val="21"/>
        </w:rPr>
        <w:t>姓名栏必须将所有股东都统计在内，若非股份公司此行（第三行）无需填写；</w:t>
      </w:r>
    </w:p>
    <w:p>
      <w:pPr>
        <w:spacing w:line="360" w:lineRule="auto"/>
        <w:rPr>
          <w:rFonts w:ascii="宋体"/>
          <w:szCs w:val="21"/>
        </w:rPr>
      </w:pPr>
    </w:p>
    <w:p>
      <w:pPr>
        <w:spacing w:line="360" w:lineRule="auto"/>
        <w:rPr>
          <w:rFonts w:ascii="宋体"/>
          <w:szCs w:val="21"/>
        </w:rPr>
      </w:pPr>
    </w:p>
    <w:p>
      <w:pPr>
        <w:spacing w:line="360" w:lineRule="auto"/>
        <w:ind w:firstLine="371" w:firstLineChars="177"/>
        <w:rPr>
          <w:rFonts w:ascii="宋体"/>
          <w:szCs w:val="21"/>
          <w:u w:val="single"/>
        </w:rPr>
      </w:pPr>
      <w:r>
        <w:rPr>
          <w:rFonts w:hint="eastAsia" w:ascii="宋体" w:hAnsi="宋体"/>
          <w:szCs w:val="21"/>
        </w:rPr>
        <w:t>投标人名称（盖章或CA签章）：</w:t>
      </w:r>
    </w:p>
    <w:p>
      <w:pPr>
        <w:spacing w:line="360" w:lineRule="auto"/>
        <w:ind w:left="420"/>
        <w:rPr>
          <w:rFonts w:ascii="宋体"/>
          <w:szCs w:val="21"/>
        </w:rPr>
      </w:pPr>
    </w:p>
    <w:p>
      <w:pPr>
        <w:spacing w:line="360" w:lineRule="auto"/>
        <w:ind w:firstLine="371" w:firstLineChars="177"/>
        <w:rPr>
          <w:rFonts w:ascii="宋体"/>
          <w:szCs w:val="21"/>
        </w:rPr>
      </w:pPr>
      <w:r>
        <w:rPr>
          <w:rFonts w:hint="eastAsia" w:ascii="宋体" w:hAnsi="宋体"/>
          <w:szCs w:val="21"/>
        </w:rPr>
        <w:t>法定代表人或授权委托代理人（签字或盖章）：</w:t>
      </w:r>
    </w:p>
    <w:p>
      <w:pPr>
        <w:spacing w:line="360" w:lineRule="auto"/>
        <w:rPr>
          <w:rFonts w:ascii="宋体"/>
          <w:szCs w:val="21"/>
        </w:rPr>
      </w:pPr>
    </w:p>
    <w:p>
      <w:pPr>
        <w:pStyle w:val="48"/>
        <w:shd w:val="clear" w:color="auto" w:fill="FFFFFF"/>
        <w:spacing w:before="0" w:beforeAutospacing="0" w:after="0" w:afterAutospacing="0" w:line="360" w:lineRule="auto"/>
        <w:ind w:firstLine="371" w:firstLineChars="177"/>
        <w:rPr>
          <w:sz w:val="21"/>
          <w:szCs w:val="21"/>
        </w:rPr>
      </w:pPr>
      <w:r>
        <w:rPr>
          <w:rFonts w:hint="eastAsia"/>
          <w:sz w:val="21"/>
          <w:szCs w:val="21"/>
        </w:rPr>
        <w:t>日期：</w:t>
      </w:r>
    </w:p>
    <w:p>
      <w:pPr>
        <w:pStyle w:val="48"/>
        <w:shd w:val="clear" w:color="auto" w:fill="FFFFFF"/>
        <w:spacing w:before="0" w:beforeAutospacing="0" w:after="0" w:afterAutospacing="0" w:line="360" w:lineRule="auto"/>
        <w:ind w:firstLine="498" w:firstLineChars="177"/>
        <w:rPr>
          <w:b/>
          <w:sz w:val="28"/>
        </w:rPr>
      </w:pPr>
    </w:p>
    <w:p>
      <w:pPr>
        <w:pStyle w:val="48"/>
        <w:shd w:val="clear" w:color="auto" w:fill="FFFFFF"/>
        <w:spacing w:before="0" w:beforeAutospacing="0" w:after="0" w:afterAutospacing="0" w:line="360" w:lineRule="auto"/>
        <w:ind w:firstLine="498" w:firstLineChars="177"/>
        <w:rPr>
          <w:b/>
          <w:sz w:val="28"/>
        </w:rPr>
      </w:pPr>
    </w:p>
    <w:p>
      <w:pPr>
        <w:pStyle w:val="48"/>
        <w:shd w:val="clear" w:color="auto" w:fill="FFFFFF"/>
        <w:spacing w:before="0" w:beforeAutospacing="0" w:after="0" w:afterAutospacing="0" w:line="360" w:lineRule="auto"/>
        <w:ind w:firstLine="498" w:firstLineChars="177"/>
        <w:rPr>
          <w:b/>
          <w:sz w:val="28"/>
        </w:rPr>
      </w:pPr>
    </w:p>
    <w:p>
      <w:pPr>
        <w:pStyle w:val="48"/>
        <w:shd w:val="clear" w:color="auto" w:fill="FFFFFF"/>
        <w:spacing w:before="0" w:beforeAutospacing="0" w:after="0" w:afterAutospacing="0" w:line="360" w:lineRule="auto"/>
        <w:ind w:firstLine="498" w:firstLineChars="177"/>
        <w:rPr>
          <w:b/>
          <w:sz w:val="28"/>
        </w:rPr>
      </w:pPr>
    </w:p>
    <w:p>
      <w:pPr>
        <w:pStyle w:val="48"/>
        <w:shd w:val="clear" w:color="auto" w:fill="FFFFFF"/>
        <w:spacing w:before="0" w:beforeAutospacing="0" w:after="0" w:afterAutospacing="0" w:line="360" w:lineRule="auto"/>
        <w:ind w:firstLine="498" w:firstLineChars="177"/>
        <w:rPr>
          <w:b/>
          <w:sz w:val="28"/>
        </w:rPr>
      </w:pPr>
    </w:p>
    <w:p>
      <w:pPr>
        <w:pStyle w:val="48"/>
        <w:shd w:val="clear" w:color="auto" w:fill="FFFFFF"/>
        <w:spacing w:before="0" w:beforeAutospacing="0" w:after="0" w:afterAutospacing="0" w:line="360" w:lineRule="auto"/>
        <w:ind w:firstLine="498" w:firstLineChars="177"/>
        <w:rPr>
          <w:b/>
          <w:sz w:val="28"/>
        </w:rPr>
      </w:pPr>
    </w:p>
    <w:p>
      <w:pPr>
        <w:pStyle w:val="48"/>
        <w:shd w:val="clear" w:color="auto" w:fill="FFFFFF"/>
        <w:spacing w:before="0" w:beforeAutospacing="0" w:after="0" w:afterAutospacing="0" w:line="360" w:lineRule="auto"/>
        <w:ind w:firstLine="498" w:firstLineChars="177"/>
        <w:rPr>
          <w:b/>
          <w:sz w:val="28"/>
        </w:rPr>
      </w:pPr>
    </w:p>
    <w:p>
      <w:pPr>
        <w:pStyle w:val="48"/>
        <w:shd w:val="clear" w:color="auto" w:fill="FFFFFF"/>
        <w:spacing w:before="0" w:beforeAutospacing="0" w:after="0" w:afterAutospacing="0" w:line="360" w:lineRule="auto"/>
        <w:ind w:firstLine="498" w:firstLineChars="177"/>
        <w:rPr>
          <w:b/>
          <w:sz w:val="28"/>
        </w:rPr>
      </w:pPr>
    </w:p>
    <w:p>
      <w:pPr>
        <w:pStyle w:val="48"/>
        <w:shd w:val="clear" w:color="auto" w:fill="FFFFFF"/>
        <w:spacing w:before="0" w:beforeAutospacing="0" w:after="0" w:afterAutospacing="0" w:line="360" w:lineRule="auto"/>
        <w:ind w:firstLine="498" w:firstLineChars="177"/>
        <w:rPr>
          <w:b/>
          <w:sz w:val="28"/>
        </w:rPr>
      </w:pPr>
    </w:p>
    <w:p>
      <w:pPr>
        <w:pStyle w:val="48"/>
        <w:shd w:val="clear" w:color="auto" w:fill="FFFFFF"/>
        <w:spacing w:before="0" w:beforeAutospacing="0" w:after="0" w:afterAutospacing="0" w:line="360" w:lineRule="auto"/>
        <w:ind w:firstLine="498" w:firstLineChars="177"/>
        <w:rPr>
          <w:b/>
          <w:sz w:val="28"/>
        </w:rPr>
      </w:pPr>
    </w:p>
    <w:p>
      <w:pPr>
        <w:pStyle w:val="48"/>
        <w:shd w:val="clear" w:color="auto" w:fill="FFFFFF"/>
        <w:spacing w:before="0" w:beforeAutospacing="0" w:after="0" w:afterAutospacing="0" w:line="360" w:lineRule="auto"/>
        <w:ind w:firstLine="498" w:firstLineChars="177"/>
        <w:rPr>
          <w:b/>
          <w:sz w:val="28"/>
        </w:rPr>
      </w:pPr>
    </w:p>
    <w:p>
      <w:pPr>
        <w:pStyle w:val="48"/>
        <w:shd w:val="clear" w:color="auto" w:fill="FFFFFF"/>
        <w:spacing w:before="0" w:beforeAutospacing="0" w:after="0" w:afterAutospacing="0" w:line="360" w:lineRule="auto"/>
        <w:rPr>
          <w:b/>
          <w:sz w:val="28"/>
        </w:rPr>
        <w:sectPr>
          <w:pgSz w:w="11906" w:h="16838"/>
          <w:pgMar w:top="1440" w:right="1800" w:bottom="1440" w:left="1800" w:header="851" w:footer="992" w:gutter="0"/>
          <w:cols w:space="425" w:num="1"/>
          <w:docGrid w:type="lines" w:linePitch="312" w:charSpace="0"/>
        </w:sectPr>
      </w:pPr>
    </w:p>
    <w:p>
      <w:pPr>
        <w:ind w:right="-296" w:rightChars="-141"/>
        <w:rPr>
          <w:rFonts w:ascii="宋体" w:hAnsi="宋体"/>
          <w:bCs/>
          <w:sz w:val="32"/>
          <w:szCs w:val="32"/>
        </w:rPr>
      </w:pPr>
      <w:r>
        <w:rPr>
          <w:rFonts w:hint="eastAsia" w:ascii="宋体" w:hAnsi="宋体"/>
          <w:bCs/>
          <w:sz w:val="32"/>
          <w:szCs w:val="32"/>
        </w:rPr>
        <w:t>附件：1</w:t>
      </w:r>
      <w:r>
        <w:rPr>
          <w:rFonts w:hint="eastAsia" w:ascii="宋体" w:hAnsi="宋体"/>
          <w:bCs/>
          <w:sz w:val="32"/>
          <w:szCs w:val="32"/>
          <w:lang w:val="en-US" w:eastAsia="zh-CN"/>
        </w:rPr>
        <w:t>3</w:t>
      </w:r>
      <w:r>
        <w:rPr>
          <w:rFonts w:hint="eastAsia" w:ascii="宋体" w:hAnsi="宋体"/>
          <w:bCs/>
          <w:sz w:val="32"/>
          <w:szCs w:val="32"/>
        </w:rPr>
        <w:t xml:space="preserve">          类似项目业绩情况一览表</w:t>
      </w:r>
    </w:p>
    <w:tbl>
      <w:tblPr>
        <w:tblStyle w:val="29"/>
        <w:tblW w:w="88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6"/>
        <w:gridCol w:w="1403"/>
        <w:gridCol w:w="1708"/>
        <w:gridCol w:w="1367"/>
        <w:gridCol w:w="2438"/>
        <w:gridCol w:w="13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b/>
                <w:bCs/>
                <w:sz w:val="24"/>
              </w:rPr>
            </w:pPr>
            <w:r>
              <w:rPr>
                <w:rFonts w:hint="eastAsia" w:ascii="宋体" w:hAnsi="宋体" w:cs="Tahoma"/>
                <w:b/>
                <w:bCs/>
                <w:sz w:val="24"/>
              </w:rPr>
              <w:t>序号</w:t>
            </w:r>
          </w:p>
        </w:tc>
        <w:tc>
          <w:tcPr>
            <w:tcW w:w="1403"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b/>
                <w:bCs/>
                <w:sz w:val="24"/>
              </w:rPr>
            </w:pPr>
            <w:r>
              <w:rPr>
                <w:rFonts w:hint="eastAsia" w:ascii="宋体" w:hAnsi="宋体" w:cs="Tahoma"/>
                <w:b/>
                <w:bCs/>
                <w:sz w:val="24"/>
              </w:rPr>
              <w:t>项目名称</w:t>
            </w:r>
          </w:p>
        </w:tc>
        <w:tc>
          <w:tcPr>
            <w:tcW w:w="1708"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b/>
                <w:bCs/>
                <w:sz w:val="24"/>
              </w:rPr>
            </w:pPr>
            <w:r>
              <w:rPr>
                <w:rFonts w:hint="eastAsia" w:ascii="宋体" w:hAnsi="宋体" w:cs="Tahoma"/>
                <w:b/>
                <w:bCs/>
                <w:sz w:val="24"/>
              </w:rPr>
              <w:t>甲方名称</w:t>
            </w:r>
          </w:p>
        </w:tc>
        <w:tc>
          <w:tcPr>
            <w:tcW w:w="1367"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b/>
                <w:bCs/>
                <w:sz w:val="24"/>
              </w:rPr>
            </w:pPr>
            <w:r>
              <w:rPr>
                <w:rFonts w:hint="eastAsia" w:ascii="宋体" w:hAnsi="宋体" w:cs="Tahoma"/>
                <w:b/>
                <w:bCs/>
                <w:sz w:val="24"/>
              </w:rPr>
              <w:t>合同签订时间</w:t>
            </w:r>
          </w:p>
        </w:tc>
        <w:tc>
          <w:tcPr>
            <w:tcW w:w="2438"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b/>
                <w:bCs/>
                <w:sz w:val="24"/>
              </w:rPr>
            </w:pPr>
            <w:r>
              <w:rPr>
                <w:rFonts w:hint="eastAsia" w:ascii="宋体" w:hAnsi="宋体" w:cs="Tahoma"/>
                <w:b/>
                <w:bCs/>
                <w:sz w:val="24"/>
              </w:rPr>
              <w:t>甲方单位名称及其联系人电话</w:t>
            </w:r>
          </w:p>
        </w:tc>
        <w:tc>
          <w:tcPr>
            <w:tcW w:w="1347"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b/>
                <w:bCs/>
                <w:sz w:val="24"/>
              </w:rPr>
            </w:pPr>
            <w:r>
              <w:rPr>
                <w:rFonts w:hint="eastAsia" w:ascii="宋体" w:hAnsi="宋体" w:cs="Tahoma"/>
                <w:b/>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r>
              <w:rPr>
                <w:rFonts w:hint="eastAsia" w:ascii="宋体" w:hAnsi="宋体" w:cs="Tahoma"/>
                <w:sz w:val="24"/>
              </w:rPr>
              <w:t>1</w:t>
            </w:r>
          </w:p>
        </w:tc>
        <w:tc>
          <w:tcPr>
            <w:tcW w:w="1403"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708"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367"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2438"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347"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r>
              <w:rPr>
                <w:rFonts w:hint="eastAsia" w:ascii="宋体" w:hAnsi="宋体" w:cs="Tahoma"/>
                <w:sz w:val="24"/>
              </w:rPr>
              <w:t>2</w:t>
            </w:r>
          </w:p>
        </w:tc>
        <w:tc>
          <w:tcPr>
            <w:tcW w:w="1403"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708"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367"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2438"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347"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r>
              <w:rPr>
                <w:rFonts w:hint="eastAsia" w:ascii="宋体" w:hAnsi="宋体" w:cs="Tahoma"/>
                <w:sz w:val="24"/>
              </w:rPr>
              <w:t>3</w:t>
            </w:r>
          </w:p>
        </w:tc>
        <w:tc>
          <w:tcPr>
            <w:tcW w:w="1403"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708"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367"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2438"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347"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r>
              <w:rPr>
                <w:rFonts w:hint="eastAsia" w:ascii="宋体" w:hAnsi="宋体" w:cs="Tahoma"/>
                <w:sz w:val="24"/>
              </w:rPr>
              <w:t>…</w:t>
            </w:r>
          </w:p>
        </w:tc>
        <w:tc>
          <w:tcPr>
            <w:tcW w:w="1403"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708"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367"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2438"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347"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403"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708"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367"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2438"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347"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403"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708"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367"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2438"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347"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86"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403"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708"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367"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2438"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c>
          <w:tcPr>
            <w:tcW w:w="1347" w:type="dxa"/>
            <w:tcBorders>
              <w:top w:val="single" w:color="auto" w:sz="6" w:space="0"/>
              <w:left w:val="single" w:color="auto" w:sz="6" w:space="0"/>
              <w:bottom w:val="single" w:color="auto" w:sz="6" w:space="0"/>
              <w:right w:val="single" w:color="auto" w:sz="6" w:space="0"/>
            </w:tcBorders>
            <w:vAlign w:val="center"/>
          </w:tcPr>
          <w:p>
            <w:pPr>
              <w:pStyle w:val="51"/>
              <w:spacing w:line="360" w:lineRule="auto"/>
              <w:jc w:val="center"/>
              <w:rPr>
                <w:rFonts w:ascii="宋体" w:hAnsi="宋体" w:cs="Tahoma"/>
                <w:sz w:val="24"/>
              </w:rPr>
            </w:pPr>
          </w:p>
        </w:tc>
      </w:tr>
    </w:tbl>
    <w:p>
      <w:pPr>
        <w:rPr>
          <w:rFonts w:ascii="宋体" w:hAnsi="宋体"/>
          <w:szCs w:val="21"/>
        </w:rPr>
      </w:pPr>
      <w:r>
        <w:rPr>
          <w:rFonts w:hint="eastAsia" w:ascii="宋体" w:hAnsi="宋体"/>
          <w:szCs w:val="21"/>
        </w:rPr>
        <w:t>注：（1）以上内容填写必须完整、真实。</w:t>
      </w:r>
    </w:p>
    <w:p>
      <w:pPr>
        <w:ind w:firstLine="420" w:firstLineChars="200"/>
        <w:rPr>
          <w:rFonts w:ascii="宋体" w:hAnsi="宋体"/>
          <w:szCs w:val="21"/>
        </w:rPr>
      </w:pPr>
      <w:r>
        <w:rPr>
          <w:rFonts w:hint="eastAsia" w:ascii="宋体" w:hAnsi="宋体"/>
          <w:szCs w:val="21"/>
        </w:rPr>
        <w:t>（2）评分以评标办法约定的合格证明材料为准。业绩材料若太多，可提供关键页，例：扉页、首页、签章页、合同签订时间页等，但必须能够证明为有效业绩方可。</w:t>
      </w:r>
    </w:p>
    <w:p>
      <w:pPr>
        <w:jc w:val="left"/>
        <w:rPr>
          <w:rFonts w:ascii="宋体" w:hAnsi="宋体"/>
          <w:sz w:val="22"/>
        </w:rPr>
      </w:pPr>
    </w:p>
    <w:p>
      <w:pPr>
        <w:spacing w:line="320" w:lineRule="exact"/>
        <w:rPr>
          <w:rFonts w:ascii="宋体" w:hAnsi="宋体"/>
          <w:sz w:val="24"/>
        </w:rPr>
      </w:pPr>
    </w:p>
    <w:p>
      <w:pPr>
        <w:spacing w:line="320" w:lineRule="exact"/>
        <w:ind w:left="420"/>
        <w:rPr>
          <w:rFonts w:ascii="宋体" w:hAnsi="宋体"/>
          <w:sz w:val="24"/>
          <w:u w:val="single"/>
        </w:rPr>
      </w:pPr>
      <w:r>
        <w:rPr>
          <w:rFonts w:hint="eastAsia" w:ascii="宋体" w:hAnsi="宋体"/>
          <w:sz w:val="24"/>
        </w:rPr>
        <w:t>投标供应商名称（盖章）：</w:t>
      </w:r>
      <w:r>
        <w:rPr>
          <w:rFonts w:hint="eastAsia" w:ascii="宋体" w:hAnsi="宋体"/>
          <w:sz w:val="24"/>
          <w:u w:val="single"/>
        </w:rPr>
        <w:t xml:space="preserve">                     </w:t>
      </w:r>
    </w:p>
    <w:p>
      <w:pPr>
        <w:spacing w:line="320" w:lineRule="exact"/>
        <w:ind w:left="420"/>
        <w:rPr>
          <w:rFonts w:ascii="宋体" w:hAnsi="宋体"/>
          <w:sz w:val="24"/>
        </w:rPr>
      </w:pPr>
    </w:p>
    <w:p>
      <w:pPr>
        <w:spacing w:line="320" w:lineRule="exact"/>
        <w:ind w:firstLine="435"/>
        <w:rPr>
          <w:rFonts w:ascii="宋体" w:hAnsi="宋体"/>
          <w:sz w:val="24"/>
        </w:rPr>
      </w:pPr>
      <w:r>
        <w:rPr>
          <w:rFonts w:hint="eastAsia" w:ascii="宋体" w:hAnsi="宋体"/>
          <w:sz w:val="24"/>
        </w:rPr>
        <w:t>法定代表人或授权代表（签字或盖章）：</w:t>
      </w:r>
      <w:r>
        <w:rPr>
          <w:rFonts w:hint="eastAsia" w:ascii="宋体" w:hAnsi="宋体"/>
          <w:sz w:val="24"/>
          <w:u w:val="single"/>
        </w:rPr>
        <w:t xml:space="preserve">             </w:t>
      </w:r>
    </w:p>
    <w:p>
      <w:pPr>
        <w:spacing w:line="320" w:lineRule="exact"/>
        <w:ind w:firstLine="435"/>
        <w:rPr>
          <w:rFonts w:ascii="宋体" w:hAnsi="宋体"/>
          <w:sz w:val="24"/>
        </w:rPr>
      </w:pPr>
    </w:p>
    <w:p>
      <w:pPr>
        <w:spacing w:line="320" w:lineRule="exact"/>
        <w:ind w:firstLine="435"/>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60" w:lineRule="auto"/>
        <w:ind w:right="-110"/>
        <w:jc w:val="left"/>
        <w:rPr>
          <w:rFonts w:ascii="宋体" w:hAnsi="宋体"/>
          <w:b/>
          <w:sz w:val="28"/>
        </w:rPr>
      </w:pPr>
    </w:p>
    <w:p>
      <w:pPr>
        <w:spacing w:line="360" w:lineRule="auto"/>
        <w:ind w:right="-110"/>
        <w:jc w:val="left"/>
        <w:rPr>
          <w:rFonts w:ascii="宋体" w:hAnsi="宋体" w:cs="宋体"/>
          <w:b/>
          <w:bCs/>
          <w:sz w:val="28"/>
          <w:szCs w:val="36"/>
        </w:rPr>
      </w:pPr>
    </w:p>
    <w:p>
      <w:pPr>
        <w:spacing w:line="360" w:lineRule="auto"/>
        <w:ind w:right="-110"/>
        <w:jc w:val="left"/>
        <w:rPr>
          <w:rFonts w:ascii="宋体" w:hAnsi="宋体" w:cs="宋体"/>
          <w:b/>
          <w:bCs/>
          <w:sz w:val="28"/>
          <w:szCs w:val="36"/>
        </w:rPr>
      </w:pPr>
    </w:p>
    <w:p>
      <w:pPr>
        <w:spacing w:line="360" w:lineRule="auto"/>
        <w:ind w:right="-110"/>
        <w:jc w:val="left"/>
        <w:rPr>
          <w:rFonts w:ascii="宋体" w:hAnsi="宋体" w:cs="宋体"/>
          <w:b/>
          <w:bCs/>
          <w:sz w:val="28"/>
          <w:szCs w:val="36"/>
        </w:rPr>
      </w:pPr>
    </w:p>
    <w:p>
      <w:pPr>
        <w:spacing w:line="360" w:lineRule="auto"/>
        <w:ind w:right="-110"/>
        <w:jc w:val="left"/>
        <w:rPr>
          <w:rFonts w:ascii="宋体" w:hAnsi="宋体" w:cs="宋体"/>
          <w:b/>
          <w:bCs/>
          <w:sz w:val="28"/>
          <w:szCs w:val="36"/>
        </w:rPr>
      </w:pPr>
    </w:p>
    <w:p>
      <w:pPr>
        <w:spacing w:line="360" w:lineRule="auto"/>
        <w:ind w:right="-110"/>
        <w:jc w:val="left"/>
        <w:rPr>
          <w:rFonts w:ascii="宋体" w:hAnsi="宋体" w:cs="宋体"/>
          <w:b/>
          <w:bCs/>
          <w:sz w:val="28"/>
          <w:szCs w:val="36"/>
        </w:rPr>
      </w:pPr>
    </w:p>
    <w:p>
      <w:pPr>
        <w:spacing w:line="360" w:lineRule="auto"/>
        <w:ind w:right="-110"/>
        <w:jc w:val="left"/>
        <w:rPr>
          <w:rFonts w:ascii="宋体" w:hAnsi="宋体" w:cs="宋体"/>
          <w:b/>
          <w:bCs/>
          <w:sz w:val="28"/>
          <w:szCs w:val="36"/>
        </w:rPr>
      </w:pPr>
    </w:p>
    <w:p>
      <w:pPr>
        <w:spacing w:line="360" w:lineRule="auto"/>
        <w:ind w:right="-110"/>
        <w:jc w:val="left"/>
        <w:rPr>
          <w:rFonts w:ascii="宋体" w:hAnsi="宋体" w:cs="宋体"/>
          <w:b/>
          <w:bCs/>
          <w:sz w:val="28"/>
          <w:szCs w:val="36"/>
        </w:rPr>
      </w:pPr>
    </w:p>
    <w:p>
      <w:pPr>
        <w:spacing w:line="360" w:lineRule="auto"/>
        <w:ind w:right="-110"/>
        <w:jc w:val="left"/>
        <w:rPr>
          <w:rFonts w:ascii="宋体" w:hAnsi="宋体" w:cs="宋体"/>
          <w:b/>
          <w:bCs/>
          <w:sz w:val="28"/>
          <w:szCs w:val="36"/>
        </w:rPr>
      </w:pPr>
    </w:p>
    <w:p>
      <w:pPr>
        <w:spacing w:line="360" w:lineRule="auto"/>
        <w:ind w:right="-110"/>
        <w:jc w:val="left"/>
        <w:rPr>
          <w:rFonts w:ascii="宋体"/>
          <w:spacing w:val="40"/>
          <w:sz w:val="52"/>
          <w:szCs w:val="52"/>
        </w:rPr>
      </w:pPr>
      <w:r>
        <w:rPr>
          <w:rFonts w:hint="eastAsia" w:ascii="宋体" w:hAnsi="宋体" w:cs="宋体"/>
          <w:b/>
          <w:bCs/>
          <w:sz w:val="28"/>
          <w:szCs w:val="36"/>
        </w:rPr>
        <w:t>附件1</w:t>
      </w:r>
      <w:r>
        <w:rPr>
          <w:rFonts w:hint="eastAsia" w:ascii="宋体" w:hAnsi="宋体" w:cs="宋体"/>
          <w:b/>
          <w:bCs/>
          <w:sz w:val="28"/>
          <w:szCs w:val="36"/>
          <w:lang w:val="en-US" w:eastAsia="zh-CN"/>
        </w:rPr>
        <w:t>4</w:t>
      </w:r>
      <w:r>
        <w:rPr>
          <w:rFonts w:hint="eastAsia" w:ascii="宋体" w:hAnsi="宋体"/>
          <w:b/>
          <w:sz w:val="28"/>
        </w:rPr>
        <w:t xml:space="preserve">                                           </w:t>
      </w:r>
      <w:r>
        <w:rPr>
          <w:rFonts w:hint="eastAsia" w:ascii="宋体" w:hAnsi="宋体"/>
          <w:b/>
          <w:sz w:val="28"/>
          <w:u w:val="single"/>
        </w:rPr>
        <w:t xml:space="preserve">     </w:t>
      </w:r>
      <w:r>
        <w:rPr>
          <w:rFonts w:hint="eastAsia" w:ascii="宋体" w:hAnsi="宋体"/>
          <w:bCs/>
          <w:sz w:val="24"/>
        </w:rPr>
        <w:t>本</w:t>
      </w:r>
    </w:p>
    <w:p>
      <w:pPr>
        <w:spacing w:line="360" w:lineRule="auto"/>
        <w:ind w:right="-110"/>
        <w:jc w:val="center"/>
        <w:rPr>
          <w:rFonts w:asci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sz w:val="36"/>
          <w:szCs w:val="36"/>
        </w:rPr>
      </w:pPr>
      <w:r>
        <w:rPr>
          <w:rFonts w:hint="eastAsia" w:ascii="宋体" w:hAnsi="宋体"/>
          <w:sz w:val="36"/>
          <w:szCs w:val="36"/>
        </w:rPr>
        <w:t>项目编号：（标段）</w:t>
      </w:r>
    </w:p>
    <w:p>
      <w:pPr>
        <w:spacing w:after="100" w:afterAutospacing="1" w:line="360" w:lineRule="auto"/>
        <w:ind w:right="-108"/>
        <w:jc w:val="center"/>
        <w:rPr>
          <w:rFonts w:ascii="宋体"/>
          <w:b/>
          <w:spacing w:val="40"/>
          <w:sz w:val="84"/>
          <w:szCs w:val="84"/>
        </w:rPr>
      </w:pPr>
    </w:p>
    <w:p>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b/>
          <w:spacing w:val="40"/>
          <w:sz w:val="84"/>
          <w:szCs w:val="84"/>
        </w:rPr>
      </w:pPr>
      <w:r>
        <w:rPr>
          <w:rFonts w:hint="eastAsia" w:ascii="宋体" w:hAnsi="宋体"/>
          <w:b/>
          <w:spacing w:val="40"/>
          <w:sz w:val="84"/>
          <w:szCs w:val="84"/>
        </w:rPr>
        <w:t>件</w:t>
      </w:r>
    </w:p>
    <w:p>
      <w:pPr>
        <w:spacing w:line="360" w:lineRule="auto"/>
        <w:ind w:right="532"/>
        <w:jc w:val="center"/>
        <w:rPr>
          <w:rFonts w:ascii="宋体"/>
          <w:sz w:val="36"/>
          <w:szCs w:val="36"/>
        </w:rPr>
      </w:pPr>
    </w:p>
    <w:p>
      <w:pPr>
        <w:spacing w:line="360" w:lineRule="auto"/>
        <w:ind w:right="532"/>
        <w:rPr>
          <w:rFonts w:ascii="宋体"/>
          <w:sz w:val="36"/>
          <w:szCs w:val="36"/>
        </w:rPr>
      </w:pPr>
    </w:p>
    <w:p>
      <w:pPr>
        <w:spacing w:line="360" w:lineRule="auto"/>
        <w:ind w:right="532" w:firstLine="720" w:firstLineChars="200"/>
        <w:rPr>
          <w:rFonts w:ascii="宋体"/>
          <w:sz w:val="36"/>
          <w:szCs w:val="36"/>
        </w:rPr>
      </w:pPr>
      <w:r>
        <w:rPr>
          <w:rFonts w:hint="eastAsia" w:ascii="宋体" w:hAnsi="宋体"/>
          <w:sz w:val="36"/>
          <w:szCs w:val="36"/>
        </w:rPr>
        <w:t>供应商全称（公章或CA签章）：</w:t>
      </w:r>
    </w:p>
    <w:p>
      <w:pPr>
        <w:spacing w:line="360" w:lineRule="auto"/>
        <w:ind w:right="-108" w:firstLine="720" w:firstLineChars="200"/>
        <w:rPr>
          <w:rFonts w:ascii="宋体"/>
          <w:sz w:val="36"/>
          <w:szCs w:val="36"/>
        </w:rPr>
      </w:pPr>
      <w:r>
        <w:rPr>
          <w:rFonts w:hint="eastAsia" w:ascii="宋体" w:hAnsi="宋体"/>
          <w:sz w:val="36"/>
          <w:szCs w:val="36"/>
        </w:rPr>
        <w:t>地址：</w:t>
      </w:r>
    </w:p>
    <w:p>
      <w:pPr>
        <w:spacing w:line="360" w:lineRule="auto"/>
        <w:ind w:right="-108" w:firstLine="720" w:firstLineChars="200"/>
        <w:rPr>
          <w:rFonts w:ascii="宋体"/>
          <w:sz w:val="36"/>
          <w:szCs w:val="36"/>
        </w:rPr>
      </w:pPr>
      <w:r>
        <w:rPr>
          <w:rFonts w:hint="eastAsia" w:ascii="宋体" w:hAnsi="宋体"/>
          <w:sz w:val="36"/>
          <w:szCs w:val="36"/>
        </w:rPr>
        <w:t>时间：</w:t>
      </w:r>
    </w:p>
    <w:p>
      <w:pPr>
        <w:spacing w:line="360" w:lineRule="auto"/>
        <w:ind w:right="-108"/>
        <w:jc w:val="center"/>
        <w:rPr>
          <w:rFonts w:ascii="宋体" w:hAnsi="宋体"/>
          <w:b/>
          <w:sz w:val="36"/>
          <w:szCs w:val="32"/>
        </w:rPr>
      </w:pPr>
    </w:p>
    <w:p>
      <w:pPr>
        <w:spacing w:line="360" w:lineRule="auto"/>
        <w:ind w:right="-108"/>
        <w:jc w:val="center"/>
        <w:outlineLvl w:val="1"/>
        <w:rPr>
          <w:rFonts w:ascii="宋体"/>
          <w:b/>
          <w:sz w:val="36"/>
          <w:szCs w:val="32"/>
        </w:rPr>
      </w:pPr>
      <w:r>
        <w:rPr>
          <w:rFonts w:hint="eastAsia" w:ascii="宋体" w:hAnsi="宋体"/>
          <w:b/>
          <w:sz w:val="36"/>
          <w:szCs w:val="32"/>
        </w:rPr>
        <w:t>报价文件目录</w:t>
      </w:r>
    </w:p>
    <w:p>
      <w:pPr>
        <w:snapToGrid w:val="0"/>
        <w:spacing w:line="360" w:lineRule="auto"/>
        <w:rPr>
          <w:rFonts w:ascii="宋体" w:cs="宋体"/>
          <w:sz w:val="24"/>
        </w:rPr>
      </w:pPr>
    </w:p>
    <w:p>
      <w:pPr>
        <w:snapToGrid w:val="0"/>
        <w:spacing w:line="360" w:lineRule="auto"/>
        <w:rPr>
          <w:rFonts w:ascii="宋体" w:cs="宋体"/>
          <w:szCs w:val="21"/>
        </w:rPr>
      </w:pPr>
      <w:r>
        <w:rPr>
          <w:rFonts w:ascii="宋体" w:hAnsi="宋体" w:cs="宋体"/>
          <w:szCs w:val="21"/>
        </w:rPr>
        <w:t>1</w:t>
      </w:r>
      <w:r>
        <w:rPr>
          <w:rFonts w:hint="eastAsia" w:ascii="宋体" w:hAnsi="宋体" w:cs="宋体"/>
          <w:szCs w:val="21"/>
        </w:rPr>
        <w:t>、开标一览表</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格式见附件</w:t>
      </w:r>
      <w:r>
        <w:rPr>
          <w:rFonts w:hint="eastAsia" w:asciiTheme="minorEastAsia" w:hAnsiTheme="minorEastAsia" w:eastAsiaTheme="minorEastAsia" w:cstheme="minorEastAsia"/>
          <w:szCs w:val="21"/>
        </w:rPr>
        <w:t>）</w:t>
      </w:r>
      <w:r>
        <w:rPr>
          <w:rFonts w:hint="eastAsia" w:ascii="宋体" w:hAnsi="宋体" w:cs="宋体"/>
          <w:szCs w:val="21"/>
        </w:rPr>
        <w:t>；</w:t>
      </w:r>
    </w:p>
    <w:p>
      <w:pPr>
        <w:pStyle w:val="14"/>
        <w:snapToGrid w:val="0"/>
        <w:spacing w:line="360" w:lineRule="auto"/>
        <w:ind w:left="0" w:leftChars="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、报价明细表</w:t>
      </w:r>
      <w:r>
        <w:rPr>
          <w:rFonts w:hint="eastAsia" w:asciiTheme="minorEastAsia" w:hAnsiTheme="minorEastAsia" w:eastAsiaTheme="minorEastAsia" w:cstheme="minorEastAsia"/>
          <w:kern w:val="2"/>
          <w:sz w:val="21"/>
          <w:szCs w:val="21"/>
          <w:lang w:val="en-US" w:eastAsia="zh-CN" w:bidi="ar-SA"/>
        </w:rPr>
        <w:t>（格式见附件）</w:t>
      </w:r>
      <w:r>
        <w:rPr>
          <w:rFonts w:hint="eastAsia" w:ascii="宋体" w:hAnsi="宋体" w:eastAsia="宋体" w:cs="宋体"/>
          <w:sz w:val="21"/>
          <w:szCs w:val="21"/>
        </w:rPr>
        <w:t>；</w:t>
      </w:r>
    </w:p>
    <w:p>
      <w:pPr>
        <w:snapToGrid w:val="0"/>
        <w:spacing w:line="360" w:lineRule="auto"/>
        <w:rPr>
          <w:rFonts w:ascii="宋体" w:hAnsi="宋体" w:cs="宋体"/>
          <w:szCs w:val="21"/>
        </w:rPr>
      </w:pPr>
      <w:r>
        <w:rPr>
          <w:rFonts w:ascii="宋体" w:hAnsi="宋体" w:cs="宋体"/>
          <w:szCs w:val="21"/>
        </w:rPr>
        <w:t>3</w:t>
      </w:r>
      <w:r>
        <w:rPr>
          <w:rFonts w:hint="eastAsia" w:ascii="宋体" w:hAnsi="宋体" w:cs="宋体"/>
          <w:szCs w:val="21"/>
        </w:rPr>
        <w:t>、针对报价投标人认为其他需要说明的；</w:t>
      </w:r>
    </w:p>
    <w:p>
      <w:pPr>
        <w:spacing w:line="360" w:lineRule="auto"/>
        <w:rPr>
          <w:rFonts w:ascii="宋体"/>
          <w:b/>
          <w:szCs w:val="21"/>
        </w:rPr>
      </w:pPr>
    </w:p>
    <w:p>
      <w:pPr>
        <w:spacing w:line="360" w:lineRule="auto"/>
        <w:ind w:left="480"/>
        <w:rPr>
          <w:rFonts w:ascii="宋体"/>
          <w:b/>
          <w:szCs w:val="21"/>
        </w:rPr>
      </w:pP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spacing w:line="360" w:lineRule="auto"/>
        <w:ind w:left="480"/>
        <w:rPr>
          <w:rFonts w:ascii="宋体"/>
          <w:b/>
          <w:sz w:val="28"/>
        </w:rPr>
      </w:pPr>
    </w:p>
    <w:p>
      <w:pPr>
        <w:pStyle w:val="9"/>
      </w:pPr>
    </w:p>
    <w:p>
      <w:pPr>
        <w:spacing w:line="360" w:lineRule="auto"/>
        <w:ind w:left="480"/>
        <w:rPr>
          <w:rFonts w:ascii="宋体"/>
          <w:b/>
          <w:sz w:val="28"/>
        </w:rPr>
      </w:pPr>
    </w:p>
    <w:p>
      <w:pPr>
        <w:spacing w:line="360" w:lineRule="auto"/>
        <w:ind w:left="480"/>
        <w:rPr>
          <w:rFonts w:ascii="宋体"/>
          <w:b/>
          <w:sz w:val="28"/>
        </w:rPr>
      </w:pPr>
    </w:p>
    <w:p>
      <w:pPr>
        <w:pStyle w:val="9"/>
      </w:pPr>
    </w:p>
    <w:p>
      <w:pPr>
        <w:spacing w:line="360" w:lineRule="auto"/>
        <w:rPr>
          <w:rFonts w:ascii="宋体" w:hAnsi="宋体"/>
          <w:b/>
          <w:sz w:val="28"/>
        </w:rPr>
        <w:sectPr>
          <w:pgSz w:w="11906" w:h="16838"/>
          <w:pgMar w:top="1440" w:right="1800" w:bottom="1440" w:left="1800" w:header="851" w:footer="992" w:gutter="0"/>
          <w:cols w:space="425" w:num="1"/>
          <w:docGrid w:type="lines" w:linePitch="312" w:charSpace="0"/>
        </w:sectPr>
      </w:pPr>
    </w:p>
    <w:p>
      <w:pPr>
        <w:spacing w:line="360" w:lineRule="auto"/>
        <w:rPr>
          <w:rFonts w:hint="eastAsia" w:ascii="宋体" w:eastAsia="宋体"/>
          <w:b/>
          <w:sz w:val="28"/>
          <w:lang w:val="en-US" w:eastAsia="zh-CN"/>
        </w:rPr>
      </w:pPr>
      <w:r>
        <w:rPr>
          <w:rFonts w:hint="eastAsia" w:ascii="宋体" w:hAnsi="宋体"/>
          <w:b/>
          <w:sz w:val="28"/>
        </w:rPr>
        <w:t>附件1</w:t>
      </w:r>
      <w:r>
        <w:rPr>
          <w:rFonts w:hint="eastAsia" w:ascii="宋体" w:hAnsi="宋体"/>
          <w:b/>
          <w:sz w:val="28"/>
          <w:lang w:val="en-US" w:eastAsia="zh-CN"/>
        </w:rPr>
        <w:t>5</w:t>
      </w:r>
    </w:p>
    <w:p>
      <w:pPr>
        <w:spacing w:line="440" w:lineRule="exact"/>
        <w:jc w:val="center"/>
        <w:outlineLvl w:val="2"/>
        <w:rPr>
          <w:rFonts w:ascii="仿宋" w:hAnsi="仿宋" w:eastAsia="仿宋" w:cs="仿宋"/>
          <w:b/>
          <w:sz w:val="30"/>
          <w:szCs w:val="30"/>
        </w:rPr>
      </w:pPr>
      <w:bookmarkStart w:id="13" w:name="_Toc489861873"/>
      <w:bookmarkStart w:id="14" w:name="_Toc495411277"/>
      <w:bookmarkStart w:id="15" w:name="_Toc495566570"/>
      <w:bookmarkStart w:id="16" w:name="_Toc32415"/>
      <w:bookmarkStart w:id="17" w:name="_Toc26849"/>
      <w:r>
        <w:rPr>
          <w:rFonts w:hint="eastAsia" w:ascii="仿宋" w:hAnsi="仿宋" w:eastAsia="仿宋" w:cs="仿宋"/>
          <w:b/>
          <w:sz w:val="30"/>
          <w:szCs w:val="30"/>
        </w:rPr>
        <w:t>一、开标一览表</w:t>
      </w:r>
      <w:bookmarkEnd w:id="13"/>
      <w:bookmarkEnd w:id="14"/>
      <w:bookmarkEnd w:id="15"/>
      <w:bookmarkEnd w:id="16"/>
      <w:bookmarkEnd w:id="17"/>
    </w:p>
    <w:p>
      <w:pPr>
        <w:pStyle w:val="10"/>
        <w:ind w:firstLine="0" w:firstLineChars="0"/>
      </w:pPr>
    </w:p>
    <w:p>
      <w:pPr>
        <w:pStyle w:val="26"/>
        <w:widowControl w:val="0"/>
        <w:spacing w:before="0" w:beforeAutospacing="0" w:after="0" w:afterAutospacing="0" w:line="320" w:lineRule="exact"/>
        <w:jc w:val="both"/>
        <w:rPr>
          <w:rFonts w:eastAsia="楷体_GB2312" w:cs="宋体"/>
          <w:b/>
        </w:rPr>
      </w:pPr>
      <w:r>
        <w:rPr>
          <w:rFonts w:cs="Arial"/>
          <w:b/>
          <w:kern w:val="2"/>
          <w:lang w:bidi="ar"/>
        </w:rPr>
        <w:t>项目名称：</w:t>
      </w:r>
    </w:p>
    <w:p>
      <w:pPr>
        <w:pStyle w:val="26"/>
        <w:widowControl w:val="0"/>
        <w:spacing w:before="0" w:beforeAutospacing="0" w:after="0" w:afterAutospacing="0" w:line="320" w:lineRule="exact"/>
        <w:rPr>
          <w:rFonts w:cs="宋体"/>
          <w:b/>
        </w:rPr>
      </w:pPr>
      <w:r>
        <w:rPr>
          <w:rFonts w:cs="宋体"/>
          <w:b/>
          <w:kern w:val="2"/>
          <w:lang w:bidi="ar"/>
        </w:rPr>
        <w:t>项目编号：</w:t>
      </w:r>
      <w:r>
        <w:rPr>
          <w:rFonts w:cs="宋体"/>
          <w:kern w:val="2"/>
          <w:lang w:bidi="ar"/>
        </w:rPr>
        <w:t xml:space="preserve">                                         [货币单位：人民币元]</w:t>
      </w:r>
    </w:p>
    <w:p>
      <w:pPr>
        <w:pStyle w:val="26"/>
        <w:widowControl w:val="0"/>
        <w:spacing w:before="0" w:beforeAutospacing="0" w:after="0" w:afterAutospacing="0" w:line="360" w:lineRule="auto"/>
        <w:ind w:right="480"/>
        <w:rPr>
          <w:rFonts w:cs="宋体"/>
        </w:rPr>
      </w:pPr>
      <w:r>
        <w:rPr>
          <w:rFonts w:cs="宋体"/>
          <w:kern w:val="2"/>
          <w:lang w:bidi="ar"/>
        </w:rPr>
        <w:t xml:space="preserve">                                         </w:t>
      </w:r>
    </w:p>
    <w:tbl>
      <w:tblPr>
        <w:tblStyle w:val="29"/>
        <w:tblW w:w="8670"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0" w:type="dxa"/>
          <w:bottom w:w="0" w:type="dxa"/>
          <w:right w:w="0" w:type="dxa"/>
        </w:tblCellMar>
      </w:tblPr>
      <w:tblGrid>
        <w:gridCol w:w="2693"/>
        <w:gridCol w:w="1349"/>
        <w:gridCol w:w="4628"/>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s="宋体"/>
                <w:sz w:val="24"/>
                <w:szCs w:val="22"/>
              </w:rPr>
            </w:pPr>
            <w:r>
              <w:rPr>
                <w:rFonts w:hint="eastAsia" w:ascii="宋体" w:hAnsi="宋体" w:cs="宋体"/>
                <w:sz w:val="24"/>
                <w:szCs w:val="22"/>
                <w:lang w:bidi="ar"/>
              </w:rPr>
              <w:t>投标报价(元)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s="宋体"/>
                <w:sz w:val="24"/>
                <w:szCs w:val="22"/>
              </w:rPr>
            </w:pPr>
            <w:r>
              <w:rPr>
                <w:rFonts w:hint="eastAsia" w:ascii="宋体" w:hAnsi="宋体" w:cs="宋体"/>
                <w:sz w:val="24"/>
                <w:szCs w:val="22"/>
                <w:lang w:bidi="ar"/>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360" w:lineRule="auto"/>
              <w:jc w:val="center"/>
              <w:textAlignment w:val="bottom"/>
              <w:rPr>
                <w:rFonts w:ascii="宋体" w:hAnsi="宋体" w:cs="宋体"/>
                <w:sz w:val="24"/>
                <w:szCs w:val="22"/>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s="宋体"/>
                <w:sz w:val="24"/>
                <w:szCs w:val="22"/>
              </w:rPr>
            </w:pPr>
            <w:r>
              <w:rPr>
                <w:rFonts w:hint="eastAsia" w:ascii="宋体" w:hAnsi="宋体" w:cs="宋体"/>
                <w:sz w:val="24"/>
                <w:szCs w:val="22"/>
                <w:lang w:bidi="ar"/>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360" w:lineRule="auto"/>
              <w:jc w:val="center"/>
              <w:textAlignment w:val="bottom"/>
              <w:rPr>
                <w:rFonts w:ascii="宋体" w:hAnsi="宋体" w:cs="宋体"/>
                <w:sz w:val="24"/>
                <w:szCs w:val="22"/>
              </w:rPr>
            </w:pPr>
          </w:p>
        </w:tc>
      </w:tr>
    </w:tbl>
    <w:p/>
    <w:p>
      <w:pPr>
        <w:snapToGrid w:val="0"/>
        <w:spacing w:before="50" w:after="50" w:line="440" w:lineRule="exact"/>
        <w:ind w:firstLine="420" w:firstLineChars="200"/>
        <w:rPr>
          <w:rFonts w:ascii="宋体" w:hAnsi="宋体" w:cs="宋体"/>
          <w:szCs w:val="21"/>
        </w:rPr>
      </w:pPr>
      <w:r>
        <w:rPr>
          <w:rFonts w:hint="eastAsia" w:ascii="宋体" w:hAnsi="宋体" w:cs="宋体"/>
          <w:szCs w:val="21"/>
        </w:rPr>
        <w:t>1.报价一经涂改，应在涂改处加盖单位公章或者由法定代表人或授权委托人签字或盖章，否则其投标作无效标处理。</w:t>
      </w:r>
    </w:p>
    <w:p>
      <w:pPr>
        <w:snapToGrid w:val="0"/>
        <w:spacing w:line="460" w:lineRule="exact"/>
        <w:ind w:firstLine="420" w:firstLineChars="200"/>
        <w:jc w:val="left"/>
        <w:rPr>
          <w:rFonts w:ascii="宋体" w:hAnsi="宋体" w:cs="宋体"/>
          <w:szCs w:val="21"/>
        </w:rPr>
      </w:pPr>
      <w:bookmarkStart w:id="18" w:name="_Toc3452"/>
      <w:bookmarkStart w:id="19" w:name="_Toc12998"/>
      <w:r>
        <w:rPr>
          <w:rFonts w:hint="eastAsia" w:ascii="宋体" w:hAnsi="宋体" w:cs="宋体"/>
          <w:szCs w:val="21"/>
        </w:rPr>
        <w:t>2.</w:t>
      </w:r>
      <w:bookmarkEnd w:id="18"/>
      <w:bookmarkEnd w:id="19"/>
      <w:r>
        <w:rPr>
          <w:rFonts w:hint="eastAsia" w:ascii="宋体" w:hAnsi="宋体" w:cs="宋体"/>
          <w:szCs w:val="21"/>
        </w:rPr>
        <w:t>采用全费用综合单价报价，其全费用综合单价包括的投标范围内全部内容的所有费用，其应包括产品设计、加工制作、运输费、装卸费、人工费、材料费、保险费、售后服务、利润、税金、招标代理服务费及合同包含的所有风险、责任等可能发生的一切费用。投标人应根据上述因素自行综合考虑，采购人可根据实际情况调整工程量，中标人不得以此为要求调整综合单价。结算时，中标人在综合单价不变的前提下，根据实际数量按实调整，综合单价一次性报死，日后不作调整。</w:t>
      </w:r>
    </w:p>
    <w:p>
      <w:pPr>
        <w:pStyle w:val="10"/>
        <w:ind w:firstLine="241"/>
        <w:rPr>
          <w:rFonts w:ascii="仿宋" w:hAnsi="仿宋" w:eastAsia="仿宋" w:cs="仿宋"/>
          <w:b/>
          <w:bCs/>
          <w:kern w:val="0"/>
          <w:sz w:val="24"/>
          <w:lang w:bidi="en-US"/>
        </w:rPr>
      </w:pPr>
      <w:r>
        <w:rPr>
          <w:rFonts w:hint="eastAsia" w:ascii="仿宋" w:hAnsi="仿宋" w:eastAsia="仿宋" w:cs="仿宋"/>
          <w:b/>
          <w:bCs/>
          <w:kern w:val="0"/>
          <w:sz w:val="24"/>
          <w:lang w:bidi="en-US"/>
        </w:rPr>
        <w:t>3.本项目最高投标限价为</w:t>
      </w:r>
      <w:r>
        <w:rPr>
          <w:rFonts w:hint="eastAsia" w:ascii="仿宋" w:hAnsi="仿宋" w:eastAsia="仿宋" w:cs="仿宋"/>
          <w:b/>
          <w:bCs/>
          <w:kern w:val="0"/>
          <w:sz w:val="24"/>
          <w:u w:val="single"/>
          <w:lang w:bidi="en-US"/>
        </w:rPr>
        <w:t>838178</w:t>
      </w:r>
      <w:r>
        <w:rPr>
          <w:rFonts w:hint="eastAsia" w:ascii="仿宋" w:hAnsi="仿宋" w:eastAsia="仿宋" w:cs="仿宋"/>
          <w:b/>
          <w:bCs/>
          <w:kern w:val="0"/>
          <w:sz w:val="24"/>
          <w:lang w:bidi="en-US"/>
        </w:rPr>
        <w:t>元，超过投标限价作无效标处理。</w:t>
      </w:r>
    </w:p>
    <w:p>
      <w:pPr>
        <w:spacing w:line="500" w:lineRule="exact"/>
        <w:ind w:firstLine="3360" w:firstLineChars="1600"/>
        <w:rPr>
          <w:rFonts w:ascii="仿宋" w:hAnsi="仿宋" w:eastAsia="仿宋" w:cs="仿宋"/>
        </w:rPr>
      </w:pPr>
    </w:p>
    <w:p>
      <w:pPr>
        <w:spacing w:line="276" w:lineRule="auto"/>
        <w:ind w:left="420"/>
        <w:jc w:val="center"/>
        <w:rPr>
          <w:rFonts w:ascii="宋体" w:hAnsi="宋体" w:cs="宋体"/>
          <w:sz w:val="24"/>
          <w:szCs w:val="22"/>
          <w:u w:val="single"/>
        </w:rPr>
      </w:pPr>
      <w:r>
        <w:rPr>
          <w:rFonts w:hint="eastAsia" w:ascii="宋体" w:hAnsi="宋体" w:cs="宋体"/>
          <w:sz w:val="24"/>
          <w:szCs w:val="22"/>
          <w:lang w:bidi="ar"/>
        </w:rPr>
        <w:t>投标人名称（盖章）：</w:t>
      </w:r>
    </w:p>
    <w:p>
      <w:pPr>
        <w:spacing w:line="276" w:lineRule="auto"/>
        <w:ind w:firstLine="435"/>
        <w:jc w:val="center"/>
        <w:rPr>
          <w:rFonts w:ascii="宋体" w:hAnsi="宋体" w:cs="宋体"/>
          <w:sz w:val="24"/>
          <w:szCs w:val="22"/>
          <w:lang w:bidi="ar"/>
        </w:rPr>
      </w:pPr>
    </w:p>
    <w:p>
      <w:pPr>
        <w:spacing w:line="276" w:lineRule="auto"/>
        <w:ind w:firstLine="435"/>
        <w:jc w:val="center"/>
        <w:rPr>
          <w:rFonts w:ascii="宋体" w:hAnsi="宋体" w:cs="宋体"/>
          <w:sz w:val="24"/>
          <w:szCs w:val="22"/>
        </w:rPr>
      </w:pPr>
      <w:r>
        <w:rPr>
          <w:rFonts w:hint="eastAsia" w:ascii="宋体" w:hAnsi="宋体" w:cs="宋体"/>
          <w:sz w:val="24"/>
          <w:szCs w:val="22"/>
          <w:lang w:bidi="ar"/>
        </w:rPr>
        <w:t xml:space="preserve"> 投标人代表签字或盖章：</w:t>
      </w:r>
    </w:p>
    <w:p>
      <w:pPr>
        <w:spacing w:line="276" w:lineRule="auto"/>
        <w:ind w:firstLine="435"/>
        <w:jc w:val="center"/>
        <w:rPr>
          <w:rFonts w:ascii="宋体" w:hAnsi="宋体" w:cs="宋体"/>
          <w:sz w:val="24"/>
          <w:szCs w:val="22"/>
        </w:rPr>
      </w:pPr>
    </w:p>
    <w:p>
      <w:pPr>
        <w:spacing w:line="276" w:lineRule="auto"/>
        <w:ind w:firstLine="3312" w:firstLineChars="1380"/>
        <w:rPr>
          <w:rFonts w:ascii="宋体" w:hAnsi="宋体" w:cs="宋体"/>
          <w:sz w:val="24"/>
          <w:szCs w:val="22"/>
        </w:rPr>
      </w:pPr>
      <w:r>
        <w:rPr>
          <w:rFonts w:hint="eastAsia" w:ascii="宋体" w:hAnsi="宋体" w:cs="宋体"/>
          <w:sz w:val="24"/>
          <w:szCs w:val="22"/>
          <w:lang w:bidi="ar"/>
        </w:rPr>
        <w:t>职        务：</w:t>
      </w:r>
    </w:p>
    <w:p>
      <w:pPr>
        <w:spacing w:line="276" w:lineRule="auto"/>
        <w:ind w:firstLine="435"/>
        <w:jc w:val="center"/>
        <w:rPr>
          <w:rFonts w:ascii="宋体" w:hAnsi="宋体" w:cs="宋体"/>
          <w:sz w:val="24"/>
          <w:szCs w:val="22"/>
        </w:rPr>
      </w:pPr>
    </w:p>
    <w:p>
      <w:pPr>
        <w:spacing w:line="276" w:lineRule="auto"/>
        <w:ind w:firstLine="3312" w:firstLineChars="1380"/>
        <w:rPr>
          <w:rFonts w:ascii="宋体" w:hAnsi="宋体" w:cs="宋体"/>
          <w:sz w:val="24"/>
          <w:szCs w:val="22"/>
        </w:rPr>
      </w:pPr>
      <w:r>
        <w:rPr>
          <w:rFonts w:hint="eastAsia" w:ascii="宋体" w:hAnsi="宋体" w:cs="宋体"/>
          <w:sz w:val="24"/>
          <w:szCs w:val="22"/>
          <w:lang w:bidi="ar"/>
        </w:rPr>
        <w:t>日        期：</w:t>
      </w:r>
    </w:p>
    <w:p>
      <w:pPr>
        <w:pStyle w:val="23"/>
      </w:pPr>
    </w:p>
    <w:p>
      <w:pPr>
        <w:pStyle w:val="10"/>
        <w:ind w:firstLine="0" w:firstLineChars="0"/>
      </w:pP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6</w:t>
      </w:r>
    </w:p>
    <w:p>
      <w:pPr>
        <w:pStyle w:val="26"/>
        <w:widowControl w:val="0"/>
        <w:spacing w:before="0" w:beforeAutospacing="0" w:after="120" w:afterAutospacing="0"/>
        <w:jc w:val="center"/>
      </w:pPr>
      <w:r>
        <w:rPr>
          <w:rFonts w:hint="eastAsia" w:cs="宋体"/>
          <w:b/>
          <w:kern w:val="2"/>
          <w:sz w:val="30"/>
          <w:szCs w:val="22"/>
          <w:lang w:bidi="ar"/>
        </w:rPr>
        <w:t>二、</w:t>
      </w:r>
      <w:r>
        <w:rPr>
          <w:rFonts w:cs="宋体"/>
          <w:b/>
          <w:kern w:val="2"/>
          <w:sz w:val="30"/>
          <w:szCs w:val="22"/>
          <w:lang w:bidi="ar"/>
        </w:rPr>
        <w:t>投标报价明细清单</w:t>
      </w:r>
    </w:p>
    <w:p>
      <w:pPr>
        <w:snapToGrid w:val="0"/>
        <w:spacing w:before="50" w:after="50" w:line="440" w:lineRule="exact"/>
        <w:rPr>
          <w:rFonts w:ascii="宋体" w:hAnsi="宋体" w:cs="宋体"/>
          <w:szCs w:val="21"/>
        </w:rPr>
      </w:pPr>
      <w:r>
        <w:rPr>
          <w:rFonts w:hint="eastAsia" w:ascii="宋体" w:hAnsi="宋体" w:cs="宋体"/>
          <w:szCs w:val="21"/>
        </w:rPr>
        <w:t>项目名称：</w:t>
      </w:r>
    </w:p>
    <w:p>
      <w:pPr>
        <w:snapToGrid w:val="0"/>
        <w:spacing w:before="50" w:after="50" w:line="440" w:lineRule="exact"/>
        <w:rPr>
          <w:rFonts w:ascii="宋体" w:hAnsi="宋体" w:cs="宋体"/>
          <w:szCs w:val="21"/>
        </w:rPr>
      </w:pPr>
      <w:r>
        <w:rPr>
          <w:rFonts w:hint="eastAsia" w:ascii="宋体" w:hAnsi="宋体" w:cs="宋体"/>
          <w:szCs w:val="21"/>
        </w:rPr>
        <w:t>项目编号：                                                  金额单位：元</w:t>
      </w:r>
    </w:p>
    <w:tbl>
      <w:tblPr>
        <w:tblStyle w:val="29"/>
        <w:tblpPr w:leftFromText="180" w:rightFromText="180" w:vertAnchor="text" w:horzAnchor="page" w:tblpX="1595" w:tblpY="400"/>
        <w:tblOverlap w:val="never"/>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874"/>
        <w:gridCol w:w="1335"/>
        <w:gridCol w:w="1484"/>
        <w:gridCol w:w="1336"/>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02" w:type="dxa"/>
            <w:vAlign w:val="center"/>
          </w:tcPr>
          <w:p>
            <w:pPr>
              <w:pStyle w:val="80"/>
              <w:snapToGrid w:val="0"/>
              <w:spacing w:line="540" w:lineRule="exact"/>
              <w:ind w:firstLine="0" w:firstLineChars="0"/>
              <w:jc w:val="center"/>
              <w:rPr>
                <w:rFonts w:ascii="宋体" w:eastAsia="宋体" w:cs="宋体"/>
                <w:sz w:val="21"/>
                <w:szCs w:val="21"/>
              </w:rPr>
            </w:pPr>
            <w:r>
              <w:rPr>
                <w:rFonts w:hint="eastAsia" w:ascii="宋体" w:eastAsia="宋体" w:cs="宋体"/>
                <w:b/>
                <w:sz w:val="21"/>
                <w:szCs w:val="21"/>
              </w:rPr>
              <w:t>序号</w:t>
            </w:r>
          </w:p>
        </w:tc>
        <w:tc>
          <w:tcPr>
            <w:tcW w:w="1874" w:type="dxa"/>
            <w:vAlign w:val="center"/>
          </w:tcPr>
          <w:p>
            <w:pPr>
              <w:pStyle w:val="80"/>
              <w:snapToGrid w:val="0"/>
              <w:spacing w:line="540" w:lineRule="exact"/>
              <w:ind w:firstLine="0" w:firstLineChars="0"/>
              <w:jc w:val="center"/>
              <w:rPr>
                <w:rFonts w:ascii="宋体" w:eastAsia="宋体" w:cs="宋体"/>
                <w:b/>
                <w:sz w:val="21"/>
                <w:szCs w:val="21"/>
              </w:rPr>
            </w:pPr>
            <w:r>
              <w:rPr>
                <w:rFonts w:hint="eastAsia" w:ascii="宋体" w:eastAsia="宋体" w:cs="宋体"/>
                <w:b/>
                <w:sz w:val="21"/>
                <w:szCs w:val="21"/>
              </w:rPr>
              <w:t>货物名称</w:t>
            </w:r>
          </w:p>
        </w:tc>
        <w:tc>
          <w:tcPr>
            <w:tcW w:w="1335" w:type="dxa"/>
            <w:vAlign w:val="center"/>
          </w:tcPr>
          <w:p>
            <w:pPr>
              <w:pStyle w:val="80"/>
              <w:snapToGrid w:val="0"/>
              <w:spacing w:line="540" w:lineRule="exact"/>
              <w:ind w:firstLine="0" w:firstLineChars="0"/>
              <w:jc w:val="center"/>
              <w:rPr>
                <w:rFonts w:ascii="宋体" w:eastAsia="宋体" w:cs="宋体"/>
                <w:b/>
                <w:sz w:val="21"/>
                <w:szCs w:val="21"/>
              </w:rPr>
            </w:pPr>
            <w:r>
              <w:rPr>
                <w:rFonts w:hint="eastAsia" w:ascii="宋体" w:eastAsia="宋体" w:cs="宋体"/>
                <w:b/>
                <w:sz w:val="21"/>
                <w:szCs w:val="21"/>
              </w:rPr>
              <w:t>品牌型号</w:t>
            </w:r>
          </w:p>
        </w:tc>
        <w:tc>
          <w:tcPr>
            <w:tcW w:w="1484" w:type="dxa"/>
            <w:vAlign w:val="center"/>
          </w:tcPr>
          <w:p>
            <w:pPr>
              <w:pStyle w:val="80"/>
              <w:snapToGrid w:val="0"/>
              <w:spacing w:line="540" w:lineRule="exact"/>
              <w:ind w:firstLine="0" w:firstLineChars="0"/>
              <w:jc w:val="center"/>
              <w:rPr>
                <w:rFonts w:ascii="宋体" w:eastAsia="宋体" w:cs="宋体"/>
                <w:b/>
                <w:sz w:val="21"/>
                <w:szCs w:val="21"/>
              </w:rPr>
            </w:pPr>
            <w:r>
              <w:rPr>
                <w:rFonts w:hint="eastAsia" w:ascii="宋体" w:eastAsia="宋体" w:cs="宋体"/>
                <w:b/>
                <w:sz w:val="21"/>
                <w:szCs w:val="21"/>
              </w:rPr>
              <w:t>数量及单位</w:t>
            </w:r>
          </w:p>
        </w:tc>
        <w:tc>
          <w:tcPr>
            <w:tcW w:w="1336" w:type="dxa"/>
            <w:vAlign w:val="center"/>
          </w:tcPr>
          <w:p>
            <w:pPr>
              <w:pStyle w:val="80"/>
              <w:snapToGrid w:val="0"/>
              <w:spacing w:line="540" w:lineRule="exact"/>
              <w:ind w:firstLine="0" w:firstLineChars="0"/>
              <w:jc w:val="center"/>
              <w:rPr>
                <w:rFonts w:ascii="宋体" w:eastAsia="宋体" w:cs="宋体"/>
                <w:b/>
                <w:bCs/>
                <w:sz w:val="21"/>
                <w:szCs w:val="21"/>
              </w:rPr>
            </w:pPr>
            <w:r>
              <w:rPr>
                <w:rFonts w:hint="eastAsia" w:ascii="宋体" w:eastAsia="宋体" w:cs="宋体"/>
                <w:b/>
                <w:bCs/>
                <w:sz w:val="21"/>
                <w:szCs w:val="21"/>
              </w:rPr>
              <w:t>单价（元）</w:t>
            </w:r>
          </w:p>
        </w:tc>
        <w:tc>
          <w:tcPr>
            <w:tcW w:w="1786" w:type="dxa"/>
            <w:vAlign w:val="center"/>
          </w:tcPr>
          <w:p>
            <w:pPr>
              <w:pStyle w:val="80"/>
              <w:snapToGrid w:val="0"/>
              <w:spacing w:line="540" w:lineRule="exact"/>
              <w:ind w:firstLine="0" w:firstLineChars="0"/>
              <w:jc w:val="center"/>
              <w:rPr>
                <w:rFonts w:ascii="宋体" w:eastAsia="宋体" w:cs="宋体"/>
                <w:sz w:val="21"/>
                <w:szCs w:val="21"/>
              </w:rPr>
            </w:pPr>
            <w:r>
              <w:rPr>
                <w:rFonts w:hint="eastAsia" w:ascii="宋体" w:eastAsia="宋体" w:cs="宋体"/>
                <w:b/>
                <w:bCs/>
                <w:sz w:val="21"/>
                <w:szCs w:val="21"/>
              </w:rPr>
              <w:t>单项总价（元）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02" w:type="dxa"/>
            <w:vAlign w:val="center"/>
          </w:tcPr>
          <w:p>
            <w:pPr>
              <w:snapToGrid w:val="0"/>
              <w:spacing w:line="360" w:lineRule="exact"/>
              <w:jc w:val="center"/>
              <w:rPr>
                <w:rFonts w:ascii="宋体" w:hAnsi="宋体" w:cs="宋体"/>
                <w:szCs w:val="21"/>
              </w:rPr>
            </w:pPr>
            <w:r>
              <w:rPr>
                <w:rFonts w:hint="eastAsia" w:ascii="宋体" w:hAnsi="宋体" w:cs="宋体"/>
                <w:szCs w:val="21"/>
              </w:rPr>
              <w:t>1</w:t>
            </w:r>
          </w:p>
        </w:tc>
        <w:tc>
          <w:tcPr>
            <w:tcW w:w="1874" w:type="dxa"/>
            <w:vAlign w:val="center"/>
          </w:tcPr>
          <w:p>
            <w:pPr>
              <w:snapToGrid w:val="0"/>
              <w:spacing w:line="360" w:lineRule="exact"/>
              <w:jc w:val="center"/>
              <w:rPr>
                <w:rFonts w:ascii="宋体" w:hAnsi="宋体" w:cs="宋体"/>
                <w:szCs w:val="21"/>
              </w:rPr>
            </w:pPr>
          </w:p>
        </w:tc>
        <w:tc>
          <w:tcPr>
            <w:tcW w:w="1335" w:type="dxa"/>
            <w:vAlign w:val="center"/>
          </w:tcPr>
          <w:p>
            <w:pPr>
              <w:snapToGrid w:val="0"/>
              <w:spacing w:line="360" w:lineRule="exact"/>
              <w:jc w:val="center"/>
              <w:rPr>
                <w:rFonts w:ascii="宋体" w:hAnsi="宋体" w:cs="宋体"/>
                <w:szCs w:val="21"/>
              </w:rPr>
            </w:pPr>
          </w:p>
        </w:tc>
        <w:tc>
          <w:tcPr>
            <w:tcW w:w="1484" w:type="dxa"/>
            <w:vAlign w:val="center"/>
          </w:tcPr>
          <w:p>
            <w:pPr>
              <w:snapToGrid w:val="0"/>
              <w:spacing w:line="360" w:lineRule="exact"/>
              <w:jc w:val="center"/>
              <w:rPr>
                <w:rFonts w:ascii="宋体" w:hAnsi="宋体" w:cs="宋体"/>
                <w:szCs w:val="21"/>
              </w:rPr>
            </w:pPr>
          </w:p>
        </w:tc>
        <w:tc>
          <w:tcPr>
            <w:tcW w:w="1336" w:type="dxa"/>
            <w:vAlign w:val="center"/>
          </w:tcPr>
          <w:p>
            <w:pPr>
              <w:snapToGrid w:val="0"/>
              <w:spacing w:line="360" w:lineRule="exact"/>
              <w:rPr>
                <w:rFonts w:ascii="宋体" w:hAnsi="宋体" w:cs="宋体"/>
                <w:szCs w:val="21"/>
              </w:rPr>
            </w:pPr>
          </w:p>
        </w:tc>
        <w:tc>
          <w:tcPr>
            <w:tcW w:w="1786" w:type="dxa"/>
            <w:vAlign w:val="center"/>
          </w:tcPr>
          <w:p>
            <w:pPr>
              <w:snapToGrid w:val="0"/>
              <w:spacing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02" w:type="dxa"/>
            <w:vAlign w:val="center"/>
          </w:tcPr>
          <w:p>
            <w:pPr>
              <w:snapToGrid w:val="0"/>
              <w:spacing w:line="360" w:lineRule="exact"/>
              <w:jc w:val="center"/>
              <w:rPr>
                <w:rFonts w:ascii="宋体" w:hAnsi="宋体" w:cs="宋体"/>
                <w:szCs w:val="21"/>
              </w:rPr>
            </w:pPr>
            <w:r>
              <w:rPr>
                <w:rFonts w:hint="eastAsia" w:ascii="宋体" w:hAnsi="宋体" w:cs="宋体"/>
                <w:szCs w:val="21"/>
              </w:rPr>
              <w:t>2</w:t>
            </w:r>
          </w:p>
        </w:tc>
        <w:tc>
          <w:tcPr>
            <w:tcW w:w="1874" w:type="dxa"/>
            <w:vAlign w:val="center"/>
          </w:tcPr>
          <w:p>
            <w:pPr>
              <w:snapToGrid w:val="0"/>
              <w:spacing w:line="360" w:lineRule="exact"/>
              <w:jc w:val="center"/>
              <w:rPr>
                <w:rFonts w:ascii="宋体" w:hAnsi="宋体" w:cs="宋体"/>
                <w:szCs w:val="21"/>
              </w:rPr>
            </w:pPr>
          </w:p>
        </w:tc>
        <w:tc>
          <w:tcPr>
            <w:tcW w:w="1335" w:type="dxa"/>
            <w:vAlign w:val="center"/>
          </w:tcPr>
          <w:p>
            <w:pPr>
              <w:snapToGrid w:val="0"/>
              <w:spacing w:line="360" w:lineRule="exact"/>
              <w:jc w:val="center"/>
              <w:rPr>
                <w:rFonts w:ascii="宋体" w:hAnsi="宋体" w:cs="宋体"/>
                <w:szCs w:val="21"/>
              </w:rPr>
            </w:pPr>
          </w:p>
        </w:tc>
        <w:tc>
          <w:tcPr>
            <w:tcW w:w="1484" w:type="dxa"/>
            <w:vAlign w:val="center"/>
          </w:tcPr>
          <w:p>
            <w:pPr>
              <w:snapToGrid w:val="0"/>
              <w:spacing w:line="360" w:lineRule="exact"/>
              <w:jc w:val="center"/>
              <w:rPr>
                <w:rFonts w:ascii="宋体" w:hAnsi="宋体" w:cs="宋体"/>
                <w:szCs w:val="21"/>
              </w:rPr>
            </w:pPr>
          </w:p>
        </w:tc>
        <w:tc>
          <w:tcPr>
            <w:tcW w:w="1336" w:type="dxa"/>
            <w:vAlign w:val="center"/>
          </w:tcPr>
          <w:p>
            <w:pPr>
              <w:snapToGrid w:val="0"/>
              <w:spacing w:line="360" w:lineRule="exact"/>
              <w:rPr>
                <w:rFonts w:ascii="宋体" w:hAnsi="宋体" w:cs="宋体"/>
                <w:szCs w:val="21"/>
              </w:rPr>
            </w:pPr>
          </w:p>
        </w:tc>
        <w:tc>
          <w:tcPr>
            <w:tcW w:w="1786" w:type="dxa"/>
            <w:vAlign w:val="center"/>
          </w:tcPr>
          <w:p>
            <w:pPr>
              <w:snapToGrid w:val="0"/>
              <w:spacing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02" w:type="dxa"/>
            <w:vAlign w:val="center"/>
          </w:tcPr>
          <w:p>
            <w:pPr>
              <w:snapToGrid w:val="0"/>
              <w:spacing w:line="360" w:lineRule="exact"/>
              <w:jc w:val="center"/>
              <w:rPr>
                <w:rFonts w:ascii="宋体" w:hAnsi="宋体" w:cs="宋体"/>
                <w:szCs w:val="21"/>
              </w:rPr>
            </w:pPr>
            <w:r>
              <w:rPr>
                <w:rFonts w:hint="eastAsia" w:ascii="宋体" w:hAnsi="宋体" w:cs="宋体"/>
                <w:szCs w:val="21"/>
              </w:rPr>
              <w:t>3</w:t>
            </w:r>
          </w:p>
        </w:tc>
        <w:tc>
          <w:tcPr>
            <w:tcW w:w="1874" w:type="dxa"/>
            <w:vAlign w:val="center"/>
          </w:tcPr>
          <w:p>
            <w:pPr>
              <w:snapToGrid w:val="0"/>
              <w:spacing w:line="360" w:lineRule="exact"/>
              <w:jc w:val="center"/>
              <w:rPr>
                <w:rFonts w:ascii="宋体" w:hAnsi="宋体" w:cs="宋体"/>
                <w:szCs w:val="21"/>
              </w:rPr>
            </w:pPr>
          </w:p>
        </w:tc>
        <w:tc>
          <w:tcPr>
            <w:tcW w:w="1335" w:type="dxa"/>
            <w:vAlign w:val="center"/>
          </w:tcPr>
          <w:p>
            <w:pPr>
              <w:snapToGrid w:val="0"/>
              <w:spacing w:line="360" w:lineRule="exact"/>
              <w:jc w:val="center"/>
              <w:rPr>
                <w:rFonts w:ascii="宋体" w:hAnsi="宋体" w:cs="宋体"/>
                <w:szCs w:val="21"/>
              </w:rPr>
            </w:pPr>
          </w:p>
        </w:tc>
        <w:tc>
          <w:tcPr>
            <w:tcW w:w="1484" w:type="dxa"/>
            <w:vAlign w:val="center"/>
          </w:tcPr>
          <w:p>
            <w:pPr>
              <w:snapToGrid w:val="0"/>
              <w:spacing w:line="360" w:lineRule="exact"/>
              <w:jc w:val="center"/>
              <w:rPr>
                <w:rFonts w:ascii="宋体" w:hAnsi="宋体" w:cs="宋体"/>
                <w:szCs w:val="21"/>
              </w:rPr>
            </w:pPr>
          </w:p>
        </w:tc>
        <w:tc>
          <w:tcPr>
            <w:tcW w:w="1336" w:type="dxa"/>
            <w:vAlign w:val="center"/>
          </w:tcPr>
          <w:p>
            <w:pPr>
              <w:snapToGrid w:val="0"/>
              <w:spacing w:line="360" w:lineRule="exact"/>
              <w:rPr>
                <w:rFonts w:ascii="宋体" w:hAnsi="宋体" w:cs="宋体"/>
                <w:szCs w:val="21"/>
              </w:rPr>
            </w:pPr>
          </w:p>
        </w:tc>
        <w:tc>
          <w:tcPr>
            <w:tcW w:w="1786" w:type="dxa"/>
            <w:vAlign w:val="center"/>
          </w:tcPr>
          <w:p>
            <w:pPr>
              <w:snapToGrid w:val="0"/>
              <w:spacing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02" w:type="dxa"/>
            <w:vAlign w:val="center"/>
          </w:tcPr>
          <w:p>
            <w:pPr>
              <w:snapToGrid w:val="0"/>
              <w:spacing w:line="360" w:lineRule="exact"/>
              <w:jc w:val="center"/>
              <w:rPr>
                <w:rFonts w:ascii="宋体" w:hAnsi="宋体" w:cs="宋体"/>
                <w:szCs w:val="21"/>
              </w:rPr>
            </w:pPr>
            <w:r>
              <w:rPr>
                <w:rFonts w:hint="eastAsia" w:ascii="宋体" w:hAnsi="宋体" w:cs="宋体"/>
                <w:szCs w:val="21"/>
              </w:rPr>
              <w:t>4</w:t>
            </w:r>
          </w:p>
        </w:tc>
        <w:tc>
          <w:tcPr>
            <w:tcW w:w="1874" w:type="dxa"/>
            <w:vAlign w:val="center"/>
          </w:tcPr>
          <w:p>
            <w:pPr>
              <w:snapToGrid w:val="0"/>
              <w:spacing w:line="360" w:lineRule="exact"/>
              <w:jc w:val="center"/>
              <w:rPr>
                <w:rFonts w:ascii="宋体" w:hAnsi="宋体" w:cs="宋体"/>
                <w:szCs w:val="21"/>
              </w:rPr>
            </w:pPr>
          </w:p>
        </w:tc>
        <w:tc>
          <w:tcPr>
            <w:tcW w:w="1335" w:type="dxa"/>
            <w:vAlign w:val="center"/>
          </w:tcPr>
          <w:p>
            <w:pPr>
              <w:snapToGrid w:val="0"/>
              <w:spacing w:line="360" w:lineRule="exact"/>
              <w:jc w:val="center"/>
              <w:rPr>
                <w:rFonts w:ascii="宋体" w:hAnsi="宋体" w:cs="宋体"/>
                <w:szCs w:val="21"/>
              </w:rPr>
            </w:pPr>
          </w:p>
        </w:tc>
        <w:tc>
          <w:tcPr>
            <w:tcW w:w="1484" w:type="dxa"/>
            <w:vAlign w:val="center"/>
          </w:tcPr>
          <w:p>
            <w:pPr>
              <w:snapToGrid w:val="0"/>
              <w:spacing w:line="360" w:lineRule="exact"/>
              <w:jc w:val="center"/>
              <w:rPr>
                <w:rFonts w:ascii="宋体" w:hAnsi="宋体" w:cs="宋体"/>
                <w:szCs w:val="21"/>
              </w:rPr>
            </w:pPr>
          </w:p>
        </w:tc>
        <w:tc>
          <w:tcPr>
            <w:tcW w:w="1336" w:type="dxa"/>
            <w:vAlign w:val="center"/>
          </w:tcPr>
          <w:p>
            <w:pPr>
              <w:snapToGrid w:val="0"/>
              <w:spacing w:line="360" w:lineRule="exact"/>
              <w:rPr>
                <w:rFonts w:ascii="宋体" w:hAnsi="宋体" w:cs="宋体"/>
                <w:szCs w:val="21"/>
              </w:rPr>
            </w:pPr>
          </w:p>
        </w:tc>
        <w:tc>
          <w:tcPr>
            <w:tcW w:w="1786" w:type="dxa"/>
            <w:vAlign w:val="center"/>
          </w:tcPr>
          <w:p>
            <w:pPr>
              <w:snapToGrid w:val="0"/>
              <w:spacing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02" w:type="dxa"/>
            <w:vAlign w:val="center"/>
          </w:tcPr>
          <w:p>
            <w:pPr>
              <w:snapToGrid w:val="0"/>
              <w:spacing w:line="360" w:lineRule="exact"/>
              <w:jc w:val="center"/>
              <w:rPr>
                <w:rFonts w:ascii="宋体" w:hAnsi="宋体" w:cs="宋体"/>
                <w:szCs w:val="21"/>
              </w:rPr>
            </w:pPr>
            <w:r>
              <w:rPr>
                <w:rFonts w:hint="eastAsia" w:ascii="宋体" w:hAnsi="宋体" w:cs="宋体"/>
                <w:szCs w:val="21"/>
              </w:rPr>
              <w:t>......</w:t>
            </w:r>
          </w:p>
        </w:tc>
        <w:tc>
          <w:tcPr>
            <w:tcW w:w="1874" w:type="dxa"/>
            <w:vAlign w:val="center"/>
          </w:tcPr>
          <w:p>
            <w:pPr>
              <w:snapToGrid w:val="0"/>
              <w:spacing w:line="360" w:lineRule="exact"/>
              <w:jc w:val="center"/>
              <w:rPr>
                <w:rFonts w:ascii="宋体" w:hAnsi="宋体" w:cs="宋体"/>
                <w:szCs w:val="21"/>
              </w:rPr>
            </w:pPr>
          </w:p>
        </w:tc>
        <w:tc>
          <w:tcPr>
            <w:tcW w:w="1335" w:type="dxa"/>
            <w:vAlign w:val="center"/>
          </w:tcPr>
          <w:p>
            <w:pPr>
              <w:snapToGrid w:val="0"/>
              <w:spacing w:line="360" w:lineRule="exact"/>
              <w:jc w:val="center"/>
              <w:rPr>
                <w:rFonts w:ascii="宋体" w:hAnsi="宋体" w:cs="宋体"/>
                <w:szCs w:val="21"/>
              </w:rPr>
            </w:pPr>
          </w:p>
        </w:tc>
        <w:tc>
          <w:tcPr>
            <w:tcW w:w="1484" w:type="dxa"/>
            <w:vAlign w:val="center"/>
          </w:tcPr>
          <w:p>
            <w:pPr>
              <w:snapToGrid w:val="0"/>
              <w:spacing w:line="360" w:lineRule="exact"/>
              <w:jc w:val="center"/>
              <w:rPr>
                <w:rFonts w:ascii="宋体" w:hAnsi="宋体" w:cs="宋体"/>
                <w:szCs w:val="21"/>
              </w:rPr>
            </w:pPr>
          </w:p>
        </w:tc>
        <w:tc>
          <w:tcPr>
            <w:tcW w:w="1336" w:type="dxa"/>
            <w:vAlign w:val="center"/>
          </w:tcPr>
          <w:p>
            <w:pPr>
              <w:snapToGrid w:val="0"/>
              <w:spacing w:line="360" w:lineRule="exact"/>
              <w:rPr>
                <w:rFonts w:ascii="宋体" w:hAnsi="宋体" w:cs="宋体"/>
                <w:szCs w:val="21"/>
              </w:rPr>
            </w:pPr>
          </w:p>
        </w:tc>
        <w:tc>
          <w:tcPr>
            <w:tcW w:w="1786" w:type="dxa"/>
            <w:vAlign w:val="center"/>
          </w:tcPr>
          <w:p>
            <w:pPr>
              <w:snapToGrid w:val="0"/>
              <w:spacing w:line="3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902" w:type="dxa"/>
            <w:vAlign w:val="center"/>
          </w:tcPr>
          <w:p>
            <w:pPr>
              <w:snapToGrid w:val="0"/>
              <w:spacing w:line="360" w:lineRule="exact"/>
              <w:jc w:val="center"/>
              <w:rPr>
                <w:rFonts w:ascii="宋体" w:hAnsi="宋体" w:cs="宋体"/>
                <w:szCs w:val="21"/>
              </w:rPr>
            </w:pPr>
            <w:r>
              <w:rPr>
                <w:rFonts w:hint="eastAsia" w:ascii="宋体" w:hAnsi="宋体" w:cs="宋体"/>
                <w:szCs w:val="21"/>
              </w:rPr>
              <w:t>投标总价</w:t>
            </w:r>
          </w:p>
        </w:tc>
        <w:tc>
          <w:tcPr>
            <w:tcW w:w="7815" w:type="dxa"/>
            <w:gridSpan w:val="5"/>
            <w:vAlign w:val="center"/>
          </w:tcPr>
          <w:p>
            <w:pPr>
              <w:spacing w:line="360" w:lineRule="auto"/>
              <w:ind w:firstLine="126" w:firstLineChars="60"/>
              <w:rPr>
                <w:rFonts w:ascii="宋体" w:hAnsi="宋体" w:cs="宋体"/>
                <w:szCs w:val="21"/>
              </w:rPr>
            </w:pPr>
            <w:r>
              <w:rPr>
                <w:rFonts w:hint="eastAsia" w:ascii="宋体" w:hAnsi="宋体" w:cs="宋体"/>
                <w:szCs w:val="21"/>
              </w:rPr>
              <w:t>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p>
        </w:tc>
      </w:tr>
    </w:tbl>
    <w:p>
      <w:pPr>
        <w:snapToGrid w:val="0"/>
        <w:spacing w:line="400" w:lineRule="exact"/>
        <w:jc w:val="center"/>
        <w:outlineLvl w:val="1"/>
        <w:rPr>
          <w:rFonts w:ascii="宋体" w:hAnsi="宋体" w:cs="宋体"/>
          <w:b/>
          <w:szCs w:val="21"/>
        </w:rPr>
      </w:pPr>
    </w:p>
    <w:p>
      <w:pPr>
        <w:pStyle w:val="26"/>
        <w:widowControl w:val="0"/>
        <w:spacing w:before="0" w:beforeAutospacing="0" w:after="0" w:afterAutospacing="0" w:line="400" w:lineRule="exact"/>
        <w:ind w:firstLine="420" w:firstLineChars="200"/>
        <w:jc w:val="both"/>
        <w:rPr>
          <w:rFonts w:cs="宋体"/>
          <w:sz w:val="21"/>
          <w:szCs w:val="21"/>
        </w:rPr>
      </w:pPr>
      <w:r>
        <w:rPr>
          <w:rFonts w:hint="eastAsia" w:cs="宋体"/>
          <w:sz w:val="21"/>
          <w:szCs w:val="21"/>
        </w:rPr>
        <w:t xml:space="preserve">注: </w:t>
      </w:r>
    </w:p>
    <w:p>
      <w:pPr>
        <w:pStyle w:val="26"/>
        <w:widowControl w:val="0"/>
        <w:spacing w:before="0" w:beforeAutospacing="0" w:after="0" w:afterAutospacing="0" w:line="400" w:lineRule="exact"/>
        <w:ind w:firstLine="420" w:firstLineChars="200"/>
        <w:jc w:val="both"/>
        <w:rPr>
          <w:rFonts w:cs="宋体"/>
          <w:sz w:val="21"/>
          <w:szCs w:val="21"/>
          <w:lang w:bidi="ar"/>
        </w:rPr>
      </w:pPr>
      <w:r>
        <w:rPr>
          <w:rFonts w:hint="eastAsia" w:cs="宋体"/>
          <w:sz w:val="21"/>
          <w:szCs w:val="21"/>
          <w:lang w:bidi="ar"/>
        </w:rPr>
        <w:t>1. 本表为《开标一览表》的报价明细表，如有缺项、漏项，视为投标报价中已包含相关费用，采购人无需另外支付任何费用。</w:t>
      </w:r>
    </w:p>
    <w:p>
      <w:pPr>
        <w:pStyle w:val="26"/>
        <w:widowControl w:val="0"/>
        <w:spacing w:before="0" w:beforeAutospacing="0" w:after="0" w:afterAutospacing="0" w:line="400" w:lineRule="exact"/>
        <w:ind w:firstLine="420" w:firstLineChars="200"/>
        <w:jc w:val="both"/>
        <w:rPr>
          <w:rFonts w:cs="宋体"/>
          <w:sz w:val="21"/>
          <w:szCs w:val="21"/>
          <w:lang w:val="zh-CN" w:bidi="ar"/>
        </w:rPr>
      </w:pPr>
      <w:r>
        <w:rPr>
          <w:rFonts w:hint="eastAsia" w:cs="宋体"/>
          <w:sz w:val="21"/>
          <w:szCs w:val="21"/>
          <w:lang w:bidi="ar"/>
        </w:rPr>
        <w:t>2.</w:t>
      </w:r>
      <w:r>
        <w:rPr>
          <w:rFonts w:hint="eastAsia" w:cs="宋体"/>
          <w:sz w:val="21"/>
          <w:szCs w:val="21"/>
          <w:lang w:val="zh-CN" w:bidi="ar"/>
        </w:rPr>
        <w:t>“报价明细表”中的报价合计应与“开标一览表”中的投标总报价相一致，不一致时，以开标一览表为准。</w:t>
      </w:r>
    </w:p>
    <w:p>
      <w:pPr>
        <w:pStyle w:val="26"/>
        <w:widowControl w:val="0"/>
        <w:spacing w:before="0" w:beforeAutospacing="0" w:after="0" w:afterAutospacing="0" w:line="400" w:lineRule="exact"/>
        <w:ind w:firstLine="420" w:firstLineChars="200"/>
        <w:jc w:val="both"/>
        <w:rPr>
          <w:rFonts w:cs="宋体"/>
          <w:sz w:val="21"/>
          <w:szCs w:val="21"/>
          <w:lang w:val="zh-CN"/>
        </w:rPr>
      </w:pPr>
      <w:r>
        <w:rPr>
          <w:rFonts w:hint="eastAsia" w:cs="宋体"/>
          <w:sz w:val="21"/>
          <w:szCs w:val="21"/>
          <w:lang w:bidi="ar"/>
        </w:rPr>
        <w:t>3.</w:t>
      </w:r>
      <w:r>
        <w:rPr>
          <w:rFonts w:hint="eastAsia" w:cs="宋体"/>
          <w:sz w:val="21"/>
          <w:szCs w:val="21"/>
          <w:lang w:val="zh-CN" w:bidi="ar"/>
        </w:rPr>
        <w:t>投标报价明细表所填内容按招标文件采购设备清单要求为准。如有漏报的，视同已包含在投标总价内或已作优惠处理。有重大缺项的将作无效标处理。</w:t>
      </w:r>
    </w:p>
    <w:p>
      <w:pPr>
        <w:spacing w:line="360" w:lineRule="auto"/>
        <w:ind w:firstLine="420" w:firstLineChars="200"/>
        <w:rPr>
          <w:rFonts w:ascii="宋体" w:hAnsi="宋体" w:cs="宋体"/>
          <w:szCs w:val="21"/>
          <w:u w:val="single"/>
        </w:rPr>
      </w:pPr>
      <w:r>
        <w:rPr>
          <w:rFonts w:hint="eastAsia" w:ascii="宋体" w:hAnsi="宋体" w:cs="宋体"/>
          <w:szCs w:val="21"/>
          <w:lang w:bidi="ar"/>
        </w:rPr>
        <w:t>投标人名称（盖章）：</w:t>
      </w:r>
    </w:p>
    <w:p>
      <w:pPr>
        <w:spacing w:line="360" w:lineRule="auto"/>
        <w:ind w:firstLine="435"/>
        <w:rPr>
          <w:rFonts w:ascii="宋体" w:hAnsi="宋体" w:cs="宋体"/>
          <w:szCs w:val="21"/>
        </w:rPr>
      </w:pPr>
      <w:r>
        <w:rPr>
          <w:rFonts w:hint="eastAsia" w:ascii="宋体" w:hAnsi="宋体" w:cs="宋体"/>
          <w:szCs w:val="21"/>
          <w:lang w:bidi="ar"/>
        </w:rPr>
        <w:t>投标人代表签字或盖章：</w:t>
      </w:r>
    </w:p>
    <w:p>
      <w:pPr>
        <w:spacing w:line="360" w:lineRule="auto"/>
        <w:ind w:firstLine="435"/>
        <w:rPr>
          <w:rFonts w:ascii="宋体" w:hAnsi="宋体" w:cs="宋体"/>
          <w:szCs w:val="21"/>
        </w:rPr>
      </w:pPr>
      <w:r>
        <w:rPr>
          <w:rFonts w:hint="eastAsia" w:ascii="宋体" w:hAnsi="宋体" w:cs="宋体"/>
          <w:szCs w:val="21"/>
          <w:lang w:bidi="ar"/>
        </w:rPr>
        <w:t>职        务：</w:t>
      </w:r>
    </w:p>
    <w:p>
      <w:pPr>
        <w:spacing w:line="360" w:lineRule="auto"/>
        <w:ind w:firstLine="435"/>
        <w:rPr>
          <w:rFonts w:ascii="宋体" w:hAnsi="宋体" w:cs="宋体"/>
          <w:b/>
          <w:szCs w:val="21"/>
        </w:rPr>
      </w:pPr>
      <w:r>
        <w:rPr>
          <w:rFonts w:hint="eastAsia" w:ascii="宋体" w:hAnsi="宋体" w:cs="宋体"/>
          <w:szCs w:val="21"/>
          <w:lang w:bidi="ar"/>
        </w:rPr>
        <w:t>日        期：</w:t>
      </w:r>
    </w:p>
    <w:p>
      <w:pPr>
        <w:spacing w:line="312" w:lineRule="auto"/>
        <w:rPr>
          <w:rFonts w:ascii="宋体" w:hAnsi="宋体" w:cs="宋体"/>
          <w:b/>
          <w:szCs w:val="21"/>
        </w:rPr>
      </w:pPr>
    </w:p>
    <w:p>
      <w:pPr>
        <w:pStyle w:val="75"/>
        <w:widowControl w:val="0"/>
        <w:snapToGrid w:val="0"/>
        <w:spacing w:line="360" w:lineRule="auto"/>
        <w:rPr>
          <w:rFonts w:hint="default" w:ascii="方正小标宋简体" w:hAnsi="方正小标宋简体" w:eastAsia="方正小标宋简体" w:cs="方正小标宋简体"/>
          <w:sz w:val="32"/>
          <w:szCs w:val="32"/>
        </w:rPr>
      </w:pPr>
      <w:r>
        <w:rPr>
          <w:rFonts w:hAnsi="宋体" w:cs="宋体"/>
          <w:b/>
          <w:bCs/>
          <w:sz w:val="28"/>
          <w:szCs w:val="36"/>
        </w:rPr>
        <w:t xml:space="preserve"> 附件15：      </w:t>
      </w:r>
      <w:r>
        <w:rPr>
          <w:rFonts w:hAnsi="宋体"/>
          <w:b/>
          <w:sz w:val="28"/>
          <w:szCs w:val="28"/>
        </w:rPr>
        <w:t xml:space="preserve">  </w:t>
      </w:r>
      <w:r>
        <w:rPr>
          <w:rFonts w:ascii="方正小标宋简体" w:hAnsi="方正小标宋简体" w:eastAsia="方正小标宋简体" w:cs="方正小标宋简体"/>
          <w:sz w:val="32"/>
          <w:szCs w:val="32"/>
        </w:rPr>
        <w:t>政府采购活动现场确认声明书</w:t>
      </w:r>
    </w:p>
    <w:p>
      <w:pPr>
        <w:pStyle w:val="75"/>
        <w:widowControl w:val="0"/>
        <w:snapToGrid w:val="0"/>
        <w:spacing w:line="500" w:lineRule="exact"/>
        <w:jc w:val="both"/>
        <w:rPr>
          <w:rFonts w:hint="default" w:ascii="仿宋" w:hAnsi="仿宋"/>
          <w:kern w:val="0"/>
          <w:sz w:val="28"/>
        </w:rPr>
      </w:pPr>
    </w:p>
    <w:p>
      <w:pPr>
        <w:pStyle w:val="75"/>
        <w:widowControl w:val="0"/>
        <w:snapToGrid w:val="0"/>
        <w:spacing w:line="420" w:lineRule="exact"/>
        <w:jc w:val="both"/>
        <w:rPr>
          <w:rFonts w:hint="default" w:hAnsi="宋体"/>
          <w:b/>
          <w:szCs w:val="21"/>
        </w:rPr>
      </w:pPr>
      <w:r>
        <w:rPr>
          <w:rFonts w:hAnsi="宋体"/>
          <w:kern w:val="0"/>
          <w:szCs w:val="21"/>
          <w:u w:val="single"/>
        </w:rPr>
        <w:t>浙江中竞管理服务有限公司（采购组织机构名称）</w:t>
      </w:r>
      <w:r>
        <w:rPr>
          <w:rFonts w:hAnsi="宋体"/>
          <w:kern w:val="0"/>
          <w:szCs w:val="21"/>
        </w:rPr>
        <w:t>：</w:t>
      </w:r>
    </w:p>
    <w:p>
      <w:pPr>
        <w:pStyle w:val="75"/>
        <w:widowControl w:val="0"/>
        <w:snapToGrid w:val="0"/>
        <w:spacing w:line="420" w:lineRule="exact"/>
        <w:ind w:firstLine="444" w:firstLineChars="200"/>
        <w:jc w:val="both"/>
        <w:rPr>
          <w:rFonts w:hint="default" w:hAnsi="宋体"/>
          <w:spacing w:val="6"/>
          <w:szCs w:val="21"/>
        </w:rPr>
      </w:pPr>
      <w:r>
        <w:rPr>
          <w:rFonts w:hAnsi="宋体"/>
          <w:spacing w:val="6"/>
          <w:szCs w:val="21"/>
        </w:rPr>
        <w:t>本人经由</w:t>
      </w:r>
      <w:r>
        <w:rPr>
          <w:rFonts w:hAnsi="宋体"/>
          <w:spacing w:val="6"/>
          <w:szCs w:val="21"/>
          <w:u w:val="single"/>
        </w:rPr>
        <w:t xml:space="preserve">                                </w:t>
      </w:r>
      <w:r>
        <w:rPr>
          <w:rFonts w:hAnsi="宋体"/>
          <w:spacing w:val="6"/>
          <w:szCs w:val="21"/>
        </w:rPr>
        <w:t>负责人</w:t>
      </w:r>
      <w:r>
        <w:rPr>
          <w:rFonts w:hAnsi="宋体"/>
          <w:spacing w:val="6"/>
          <w:szCs w:val="21"/>
          <w:u w:val="single"/>
        </w:rPr>
        <w:t xml:space="preserve">           </w:t>
      </w:r>
      <w:r>
        <w:rPr>
          <w:rFonts w:hAnsi="宋体"/>
          <w:spacing w:val="6"/>
          <w:szCs w:val="21"/>
        </w:rPr>
        <w:t>合法授权参加</w:t>
      </w:r>
      <w:r>
        <w:rPr>
          <w:rFonts w:hAnsi="宋体"/>
          <w:spacing w:val="6"/>
          <w:szCs w:val="21"/>
          <w:u w:val="single"/>
        </w:rPr>
        <w:t>洪家街道民生工程应急防汛设备采购项目(重新招标)</w:t>
      </w:r>
      <w:r>
        <w:rPr>
          <w:rFonts w:hAnsi="宋体"/>
          <w:spacing w:val="6"/>
          <w:szCs w:val="21"/>
        </w:rPr>
        <w:t xml:space="preserve">政府采购活动，经与本单位法人代表（负责人）联系确认，现就有关公平竞争事项郑重声明如下： </w:t>
      </w:r>
    </w:p>
    <w:p>
      <w:pPr>
        <w:pStyle w:val="76"/>
        <w:widowControl/>
        <w:numPr>
          <w:ilvl w:val="0"/>
          <w:numId w:val="23"/>
        </w:numPr>
        <w:snapToGrid w:val="0"/>
        <w:spacing w:line="420" w:lineRule="exact"/>
        <w:rPr>
          <w:rFonts w:hint="default" w:ascii="宋体" w:hAnsi="宋体"/>
          <w:kern w:val="0"/>
          <w:szCs w:val="21"/>
        </w:rPr>
      </w:pPr>
      <w:r>
        <w:rPr>
          <w:rFonts w:ascii="宋体" w:hAnsi="宋体"/>
          <w:kern w:val="0"/>
          <w:szCs w:val="21"/>
        </w:rPr>
        <w:t xml:space="preserve">本单位与采购人之间 </w:t>
      </w:r>
      <w:r>
        <w:rPr>
          <w:rFonts w:ascii="宋体" w:hAnsi="宋体" w:cs="宋体"/>
          <w:kern w:val="0"/>
          <w:szCs w:val="21"/>
        </w:rPr>
        <w:t>□</w:t>
      </w:r>
      <w:r>
        <w:rPr>
          <w:rFonts w:ascii="宋体" w:hAnsi="宋体"/>
          <w:kern w:val="0"/>
          <w:szCs w:val="21"/>
        </w:rPr>
        <w:t xml:space="preserve">不存在利害关系 </w:t>
      </w:r>
      <w:r>
        <w:rPr>
          <w:rFonts w:ascii="宋体" w:hAnsi="宋体" w:cs="宋体"/>
          <w:kern w:val="0"/>
          <w:szCs w:val="21"/>
        </w:rPr>
        <w:t>□</w:t>
      </w:r>
      <w:r>
        <w:rPr>
          <w:rFonts w:ascii="宋体" w:hAnsi="宋体"/>
          <w:kern w:val="0"/>
          <w:szCs w:val="21"/>
        </w:rPr>
        <w:t>存在下列利害关系</w:t>
      </w:r>
      <w:r>
        <w:rPr>
          <w:rFonts w:ascii="宋体" w:hAnsi="宋体"/>
          <w:kern w:val="0"/>
          <w:szCs w:val="21"/>
          <w:u w:val="single"/>
        </w:rPr>
        <w:t xml:space="preserve">           </w:t>
      </w:r>
      <w:r>
        <w:rPr>
          <w:rFonts w:ascii="宋体" w:hAnsi="宋体"/>
          <w:kern w:val="0"/>
          <w:szCs w:val="21"/>
        </w:rPr>
        <w:t>：</w:t>
      </w:r>
    </w:p>
    <w:p>
      <w:pPr>
        <w:pStyle w:val="76"/>
        <w:widowControl/>
        <w:snapToGrid w:val="0"/>
        <w:spacing w:line="420" w:lineRule="exact"/>
        <w:rPr>
          <w:rFonts w:hint="default" w:ascii="宋体" w:hAnsi="宋体"/>
          <w:kern w:val="0"/>
          <w:szCs w:val="21"/>
        </w:rPr>
      </w:pPr>
      <w:r>
        <w:rPr>
          <w:rFonts w:ascii="宋体" w:hAnsi="宋体"/>
          <w:kern w:val="0"/>
          <w:szCs w:val="21"/>
        </w:rPr>
        <w:t xml:space="preserve">  A.投资关系    B.行政隶属关系    C.业务指导关系</w:t>
      </w:r>
    </w:p>
    <w:p>
      <w:pPr>
        <w:pStyle w:val="76"/>
        <w:widowControl/>
        <w:snapToGrid w:val="0"/>
        <w:spacing w:line="420" w:lineRule="exact"/>
        <w:rPr>
          <w:rFonts w:hint="default" w:ascii="宋体" w:hAnsi="宋体"/>
          <w:kern w:val="0"/>
          <w:szCs w:val="21"/>
        </w:rPr>
      </w:pPr>
      <w:r>
        <w:rPr>
          <w:rFonts w:ascii="宋体" w:hAnsi="宋体"/>
          <w:kern w:val="0"/>
          <w:szCs w:val="21"/>
        </w:rPr>
        <w:t xml:space="preserve">  D.其他可能</w:t>
      </w:r>
      <w:r>
        <w:rPr>
          <w:rFonts w:ascii="宋体" w:hAnsi="宋体"/>
          <w:szCs w:val="21"/>
        </w:rPr>
        <w:t>影响采购公正的</w:t>
      </w:r>
      <w:r>
        <w:rPr>
          <w:rFonts w:ascii="宋体" w:hAnsi="宋体"/>
          <w:kern w:val="0"/>
          <w:szCs w:val="21"/>
        </w:rPr>
        <w:t>利害关系</w:t>
      </w:r>
      <w:r>
        <w:rPr>
          <w:rFonts w:ascii="宋体" w:hAnsi="宋体"/>
          <w:kern w:val="0"/>
          <w:szCs w:val="21"/>
          <w:u w:val="single"/>
        </w:rPr>
        <w:t xml:space="preserve">（如有，请如实说明）                 </w:t>
      </w:r>
      <w:r>
        <w:rPr>
          <w:rFonts w:ascii="宋体" w:hAnsi="宋体"/>
          <w:kern w:val="0"/>
          <w:szCs w:val="21"/>
        </w:rPr>
        <w:t>。</w:t>
      </w:r>
    </w:p>
    <w:p>
      <w:pPr>
        <w:pStyle w:val="76"/>
        <w:widowControl/>
        <w:snapToGrid w:val="0"/>
        <w:spacing w:line="420" w:lineRule="exact"/>
        <w:ind w:firstLine="222" w:firstLineChars="100"/>
        <w:rPr>
          <w:rFonts w:hint="default" w:ascii="宋体" w:hAnsi="宋体"/>
          <w:kern w:val="0"/>
          <w:szCs w:val="21"/>
        </w:rPr>
      </w:pPr>
      <w:r>
        <w:rPr>
          <w:rFonts w:ascii="宋体" w:hAnsi="宋体"/>
          <w:spacing w:val="6"/>
          <w:szCs w:val="21"/>
        </w:rPr>
        <w:t>二、</w:t>
      </w:r>
      <w:r>
        <w:rPr>
          <w:rFonts w:ascii="宋体" w:hAnsi="宋体"/>
          <w:kern w:val="0"/>
          <w:szCs w:val="21"/>
        </w:rPr>
        <w:t xml:space="preserve">现已清楚知道参加本项目采购活动的其他所有供应商名称，本单位 </w:t>
      </w:r>
      <w:r>
        <w:rPr>
          <w:rFonts w:ascii="宋体" w:hAnsi="宋体" w:cs="宋体"/>
          <w:kern w:val="0"/>
          <w:szCs w:val="21"/>
        </w:rPr>
        <w:t>□与其他所有供应商之间均</w:t>
      </w:r>
      <w:r>
        <w:rPr>
          <w:rFonts w:ascii="宋体" w:hAnsi="宋体"/>
          <w:kern w:val="0"/>
          <w:szCs w:val="21"/>
        </w:rPr>
        <w:t xml:space="preserve">不存在利害关系 </w:t>
      </w:r>
      <w:r>
        <w:rPr>
          <w:rFonts w:ascii="宋体" w:hAnsi="宋体" w:cs="宋体"/>
          <w:kern w:val="0"/>
          <w:szCs w:val="21"/>
        </w:rPr>
        <w:t>□与</w:t>
      </w:r>
      <w:r>
        <w:rPr>
          <w:rFonts w:ascii="宋体" w:hAnsi="宋体" w:cs="宋体"/>
          <w:kern w:val="0"/>
          <w:szCs w:val="21"/>
          <w:u w:val="single"/>
        </w:rPr>
        <w:t xml:space="preserve">           （供应商名称）</w:t>
      </w:r>
      <w:r>
        <w:rPr>
          <w:rFonts w:ascii="宋体" w:hAnsi="宋体" w:cs="宋体"/>
          <w:kern w:val="0"/>
          <w:szCs w:val="21"/>
        </w:rPr>
        <w:t>之间</w:t>
      </w:r>
      <w:r>
        <w:rPr>
          <w:rFonts w:ascii="宋体" w:hAnsi="宋体"/>
          <w:kern w:val="0"/>
          <w:szCs w:val="21"/>
        </w:rPr>
        <w:t>存在下列利害关系</w:t>
      </w:r>
      <w:r>
        <w:rPr>
          <w:rFonts w:ascii="宋体" w:hAnsi="宋体"/>
          <w:kern w:val="0"/>
          <w:szCs w:val="21"/>
          <w:u w:val="single"/>
        </w:rPr>
        <w:t xml:space="preserve">          </w:t>
      </w:r>
      <w:r>
        <w:rPr>
          <w:rFonts w:ascii="宋体" w:hAnsi="宋体"/>
          <w:kern w:val="0"/>
          <w:szCs w:val="21"/>
        </w:rPr>
        <w:t>：</w:t>
      </w:r>
    </w:p>
    <w:p>
      <w:pPr>
        <w:pStyle w:val="75"/>
        <w:widowControl w:val="0"/>
        <w:snapToGrid w:val="0"/>
        <w:spacing w:line="420" w:lineRule="exact"/>
        <w:jc w:val="both"/>
        <w:rPr>
          <w:rFonts w:hint="default" w:hAnsi="宋体"/>
          <w:kern w:val="0"/>
          <w:szCs w:val="21"/>
        </w:rPr>
      </w:pPr>
      <w:r>
        <w:rPr>
          <w:rFonts w:hAnsi="宋体"/>
          <w:kern w:val="0"/>
          <w:szCs w:val="21"/>
        </w:rPr>
        <w:t xml:space="preserve">  A.法定代表人或负责人或实际控制人是同一人</w:t>
      </w:r>
    </w:p>
    <w:p>
      <w:pPr>
        <w:pStyle w:val="75"/>
        <w:widowControl w:val="0"/>
        <w:snapToGrid w:val="0"/>
        <w:spacing w:line="420" w:lineRule="exact"/>
        <w:jc w:val="both"/>
        <w:rPr>
          <w:rFonts w:hint="default" w:hAnsi="宋体"/>
          <w:spacing w:val="6"/>
          <w:szCs w:val="21"/>
        </w:rPr>
      </w:pPr>
      <w:r>
        <w:rPr>
          <w:rFonts w:hAnsi="宋体"/>
          <w:kern w:val="0"/>
          <w:szCs w:val="21"/>
        </w:rPr>
        <w:t xml:space="preserve">  B.法定代表人或负责人或实际控制人是夫妻关系</w:t>
      </w:r>
    </w:p>
    <w:p>
      <w:pPr>
        <w:pStyle w:val="75"/>
        <w:widowControl w:val="0"/>
        <w:snapToGrid w:val="0"/>
        <w:spacing w:line="420" w:lineRule="exact"/>
        <w:jc w:val="both"/>
        <w:rPr>
          <w:rFonts w:hint="default" w:hAnsi="宋体"/>
          <w:spacing w:val="6"/>
          <w:szCs w:val="21"/>
        </w:rPr>
      </w:pPr>
      <w:r>
        <w:rPr>
          <w:rFonts w:hAnsi="宋体"/>
          <w:kern w:val="0"/>
          <w:szCs w:val="21"/>
        </w:rPr>
        <w:t xml:space="preserve">  C.法定代表人或负责人或实际控制人是直系血亲关系</w:t>
      </w:r>
    </w:p>
    <w:p>
      <w:pPr>
        <w:pStyle w:val="75"/>
        <w:widowControl w:val="0"/>
        <w:snapToGrid w:val="0"/>
        <w:spacing w:line="420" w:lineRule="exact"/>
        <w:jc w:val="both"/>
        <w:rPr>
          <w:rFonts w:hint="default" w:hAnsi="宋体"/>
          <w:spacing w:val="6"/>
          <w:szCs w:val="21"/>
        </w:rPr>
      </w:pPr>
      <w:r>
        <w:rPr>
          <w:rFonts w:hAnsi="宋体"/>
          <w:kern w:val="0"/>
          <w:szCs w:val="21"/>
        </w:rPr>
        <w:t xml:space="preserve">  D.法定代表人或负责人或实际控制人存在三代以内旁系血亲关系</w:t>
      </w:r>
    </w:p>
    <w:p>
      <w:pPr>
        <w:pStyle w:val="75"/>
        <w:widowControl w:val="0"/>
        <w:snapToGrid w:val="0"/>
        <w:spacing w:line="420" w:lineRule="exact"/>
        <w:jc w:val="both"/>
        <w:rPr>
          <w:rFonts w:hint="default" w:hAnsi="宋体"/>
          <w:kern w:val="0"/>
          <w:szCs w:val="21"/>
        </w:rPr>
      </w:pPr>
      <w:r>
        <w:rPr>
          <w:rFonts w:hAnsi="宋体"/>
          <w:kern w:val="0"/>
          <w:szCs w:val="21"/>
        </w:rPr>
        <w:t xml:space="preserve">  E.法定代表人或负责人或实际控制人存在近姻亲关系</w:t>
      </w:r>
    </w:p>
    <w:p>
      <w:pPr>
        <w:pStyle w:val="75"/>
        <w:widowControl w:val="0"/>
        <w:snapToGrid w:val="0"/>
        <w:spacing w:line="420" w:lineRule="exact"/>
        <w:jc w:val="both"/>
        <w:rPr>
          <w:rFonts w:hint="default" w:hAnsi="宋体"/>
          <w:kern w:val="0"/>
          <w:szCs w:val="21"/>
        </w:rPr>
      </w:pPr>
      <w:r>
        <w:rPr>
          <w:rFonts w:hAnsi="宋体"/>
          <w:kern w:val="0"/>
          <w:szCs w:val="21"/>
        </w:rPr>
        <w:t xml:space="preserve">  F.法定代表人或负责人或实际控制人存在股份控制或实际控制关系</w:t>
      </w:r>
    </w:p>
    <w:p>
      <w:pPr>
        <w:pStyle w:val="75"/>
        <w:widowControl w:val="0"/>
        <w:snapToGrid w:val="0"/>
        <w:spacing w:line="420" w:lineRule="exact"/>
        <w:jc w:val="both"/>
        <w:outlineLvl w:val="0"/>
        <w:rPr>
          <w:rFonts w:hint="default" w:hAnsi="宋体"/>
          <w:kern w:val="0"/>
          <w:szCs w:val="21"/>
        </w:rPr>
      </w:pPr>
      <w:r>
        <w:rPr>
          <w:rFonts w:hAnsi="宋体"/>
          <w:kern w:val="0"/>
          <w:szCs w:val="21"/>
        </w:rPr>
        <w:t xml:space="preserve">  G.存在共同直接或间接投资设立子公司、联营企业和合营企业情况</w:t>
      </w:r>
    </w:p>
    <w:p>
      <w:pPr>
        <w:pStyle w:val="75"/>
        <w:widowControl w:val="0"/>
        <w:snapToGrid w:val="0"/>
        <w:spacing w:line="420" w:lineRule="exact"/>
        <w:jc w:val="both"/>
        <w:rPr>
          <w:rFonts w:hint="default" w:hAnsi="宋体"/>
          <w:szCs w:val="21"/>
        </w:rPr>
      </w:pPr>
      <w:r>
        <w:rPr>
          <w:rFonts w:hAnsi="宋体"/>
          <w:kern w:val="0"/>
          <w:szCs w:val="21"/>
        </w:rPr>
        <w:t xml:space="preserve">  H.存在分级代理或代销关系、同一生产制造商关系、</w:t>
      </w:r>
      <w:r>
        <w:rPr>
          <w:rFonts w:hAnsi="宋体"/>
          <w:szCs w:val="21"/>
        </w:rPr>
        <w:t>管理关系、重要业务（占主营业务收入50%以上）或重要财务往来关系（如融资）等其他实质性控制关系</w:t>
      </w:r>
    </w:p>
    <w:p>
      <w:pPr>
        <w:pStyle w:val="75"/>
        <w:widowControl w:val="0"/>
        <w:snapToGrid w:val="0"/>
        <w:spacing w:line="420" w:lineRule="exact"/>
        <w:jc w:val="both"/>
        <w:rPr>
          <w:rFonts w:hint="default" w:hAnsi="宋体"/>
          <w:spacing w:val="6"/>
          <w:szCs w:val="21"/>
        </w:rPr>
      </w:pPr>
      <w:r>
        <w:rPr>
          <w:rFonts w:hAnsi="宋体"/>
          <w:szCs w:val="21"/>
        </w:rPr>
        <w:t xml:space="preserve">    I</w:t>
      </w:r>
      <w:r>
        <w:rPr>
          <w:rFonts w:hAnsi="宋体"/>
          <w:kern w:val="0"/>
          <w:szCs w:val="21"/>
        </w:rPr>
        <w:t>.</w:t>
      </w:r>
      <w:r>
        <w:rPr>
          <w:rFonts w:hAnsi="宋体"/>
          <w:szCs w:val="21"/>
        </w:rPr>
        <w:t>其他利害关系情况</w:t>
      </w:r>
      <w:r>
        <w:rPr>
          <w:rFonts w:hAnsi="宋体"/>
          <w:szCs w:val="21"/>
          <w:u w:val="single"/>
        </w:rPr>
        <w:t xml:space="preserve">                              </w:t>
      </w:r>
      <w:r>
        <w:rPr>
          <w:rFonts w:hAnsi="宋体"/>
          <w:kern w:val="0"/>
          <w:szCs w:val="21"/>
        </w:rPr>
        <w:t>。</w:t>
      </w:r>
    </w:p>
    <w:p>
      <w:pPr>
        <w:pStyle w:val="76"/>
        <w:widowControl/>
        <w:numPr>
          <w:ilvl w:val="0"/>
          <w:numId w:val="24"/>
        </w:numPr>
        <w:snapToGrid w:val="0"/>
        <w:spacing w:line="420" w:lineRule="exact"/>
        <w:ind w:firstLine="396" w:firstLineChars="189"/>
        <w:rPr>
          <w:rFonts w:hint="default" w:ascii="宋体" w:hAnsi="宋体"/>
          <w:kern w:val="0"/>
          <w:szCs w:val="21"/>
        </w:rPr>
      </w:pPr>
      <w:r>
        <w:rPr>
          <w:rFonts w:ascii="宋体" w:hAnsi="宋体"/>
          <w:szCs w:val="21"/>
        </w:rPr>
        <w:t>现已清楚知道并</w:t>
      </w:r>
      <w:r>
        <w:rPr>
          <w:rFonts w:ascii="宋体" w:hAnsi="宋体"/>
          <w:kern w:val="0"/>
          <w:szCs w:val="21"/>
        </w:rPr>
        <w:t>严格遵守政府采购法律法规和现场纪律。</w:t>
      </w:r>
    </w:p>
    <w:p>
      <w:pPr>
        <w:pStyle w:val="76"/>
        <w:widowControl/>
        <w:numPr>
          <w:ilvl w:val="0"/>
          <w:numId w:val="24"/>
        </w:numPr>
        <w:snapToGrid w:val="0"/>
        <w:spacing w:line="420" w:lineRule="exact"/>
        <w:ind w:firstLine="396" w:firstLineChars="189"/>
        <w:rPr>
          <w:rFonts w:hint="default" w:ascii="宋体" w:hAnsi="宋体"/>
          <w:kern w:val="0"/>
          <w:szCs w:val="21"/>
        </w:rPr>
      </w:pPr>
      <w:r>
        <w:rPr>
          <w:kern w:val="0"/>
        </w:rPr>
        <w:t>我发现</w:t>
      </w:r>
      <w:r>
        <w:rPr>
          <w:kern w:val="0"/>
          <w:u w:val="single"/>
        </w:rPr>
        <w:t xml:space="preserve">                    </w:t>
      </w:r>
      <w:r>
        <w:rPr>
          <w:kern w:val="0"/>
        </w:rPr>
        <w:t>供应商之间存在或可能存在上述第二条第</w:t>
      </w:r>
      <w:r>
        <w:rPr>
          <w:kern w:val="0"/>
          <w:u w:val="single"/>
        </w:rPr>
        <w:t xml:space="preserve">      </w:t>
      </w:r>
      <w:r>
        <w:rPr>
          <w:rFonts w:hint="default"/>
          <w:kern w:val="0"/>
          <w:u w:val="single"/>
        </w:rPr>
        <w:t xml:space="preserve">  </w:t>
      </w:r>
      <w:r>
        <w:rPr>
          <w:kern w:val="0"/>
        </w:rPr>
        <w:t>项利害关系。</w:t>
      </w:r>
    </w:p>
    <w:p>
      <w:pPr>
        <w:pStyle w:val="76"/>
        <w:widowControl/>
        <w:numPr>
          <w:ilvl w:val="0"/>
          <w:numId w:val="24"/>
        </w:numPr>
        <w:snapToGrid w:val="0"/>
        <w:spacing w:line="420" w:lineRule="exact"/>
        <w:ind w:firstLine="396" w:firstLineChars="189"/>
        <w:rPr>
          <w:rFonts w:hint="default" w:ascii="宋体" w:hAnsi="宋体"/>
          <w:kern w:val="0"/>
          <w:szCs w:val="21"/>
        </w:rPr>
      </w:pPr>
      <w:r>
        <w:rPr>
          <w:kern w:val="0"/>
        </w:rPr>
        <w:t>本单位若有违反诚信投标、采购法律法规等行为，愿意按照招标文件规定接受投标担保的处理。如已中标，自动放弃中标资格；给招标人造成损失的，依法承担赔偿责任。</w:t>
      </w:r>
    </w:p>
    <w:p>
      <w:pPr>
        <w:pStyle w:val="76"/>
        <w:widowControl/>
        <w:snapToGrid w:val="0"/>
        <w:spacing w:line="500" w:lineRule="exact"/>
        <w:rPr>
          <w:rFonts w:hint="default" w:ascii="宋体" w:hAnsi="宋体"/>
          <w:kern w:val="0"/>
          <w:szCs w:val="21"/>
        </w:rPr>
      </w:pPr>
    </w:p>
    <w:p>
      <w:pPr>
        <w:pStyle w:val="75"/>
        <w:widowControl w:val="0"/>
        <w:snapToGrid w:val="0"/>
        <w:spacing w:line="500" w:lineRule="exact"/>
        <w:ind w:firstLine="420" w:firstLineChars="200"/>
        <w:jc w:val="both"/>
        <w:rPr>
          <w:rFonts w:hint="default" w:hAnsi="宋体"/>
          <w:szCs w:val="21"/>
        </w:rPr>
      </w:pPr>
      <w:r>
        <w:rPr>
          <w:rFonts w:hAnsi="宋体"/>
          <w:szCs w:val="21"/>
        </w:rPr>
        <w:t xml:space="preserve">                                （供应商代表签名）</w:t>
      </w:r>
    </w:p>
    <w:p>
      <w:pP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    月    日</w:t>
      </w:r>
    </w:p>
    <w:p>
      <w:pPr>
        <w:pStyle w:val="75"/>
        <w:widowControl w:val="0"/>
        <w:snapToGrid w:val="0"/>
        <w:spacing w:line="360" w:lineRule="auto"/>
        <w:rPr>
          <w:rFonts w:hint="default" w:hAnsi="宋体"/>
          <w:b/>
          <w:sz w:val="24"/>
          <w:szCs w:val="24"/>
        </w:rPr>
      </w:pPr>
      <w:r>
        <w:rPr>
          <w:rFonts w:ascii="仿宋" w:hAnsi="仿宋"/>
          <w:b/>
          <w:szCs w:val="24"/>
        </w:rPr>
        <w:t>(参加本项目采购活动的供应商须填写“政府采购活动现场确认声明书”，并在开标后填写完成，将扫描件发送至邮箱343188680@qq.com)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00E6A1C-2998-4585-9EF1-43E3A68065B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embedRegular r:id="rId2" w:fontKey="{11221FAC-9318-4785-B483-23342A1AEDD2}"/>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embedRegular r:id="rId3" w:fontKey="{6AD462D1-34F3-4662-8513-A9503A586DBA}"/>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embedRegular r:id="rId4" w:fontKey="{7B161C5D-A7EA-4384-A74B-70CFB17E457A}"/>
  </w:font>
  <w:font w:name="songti sc">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embedRegular r:id="rId5" w:fontKey="{FE553839-0496-4A3E-98FF-90EC92B44483}"/>
  </w:font>
  <w:font w:name="仿宋">
    <w:panose1 w:val="02010609060101010101"/>
    <w:charset w:val="86"/>
    <w:family w:val="modern"/>
    <w:pitch w:val="default"/>
    <w:sig w:usb0="800002BF" w:usb1="38CF7CFA" w:usb2="00000016" w:usb3="00000000" w:csb0="00040001" w:csb1="00000000"/>
    <w:embedRegular r:id="rId6" w:fontKey="{1719AEE8-C6D9-4F45-8636-1DC53BFD2AAD}"/>
  </w:font>
  <w:font w:name="微软雅黑">
    <w:panose1 w:val="020B0503020204020204"/>
    <w:charset w:val="86"/>
    <w:family w:val="swiss"/>
    <w:pitch w:val="default"/>
    <w:sig w:usb0="80000287" w:usb1="2ACF3C50" w:usb2="00000016" w:usb3="00000000" w:csb0="0004001F" w:csb1="00000000"/>
    <w:embedRegular r:id="rId7" w:fontKey="{90A8E559-9465-48A1-B47F-9ACB7A7FD964}"/>
  </w:font>
  <w:font w:name="方正小标宋简体">
    <w:altName w:val="黑体"/>
    <w:panose1 w:val="00000000000000000000"/>
    <w:charset w:val="86"/>
    <w:family w:val="auto"/>
    <w:pitch w:val="default"/>
    <w:sig w:usb0="00000000" w:usb1="00000000" w:usb2="00000000" w:usb3="00000000" w:csb0="00040000" w:csb1="00000000"/>
    <w:embedRegular r:id="rId8" w:fontKey="{67261163-E473-4DBD-8328-DF9AA64747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A7eU9DICAABj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MHmW&#10;hY1+sDxCR3m8Xe4D5EwqR1F6JdCdeMDspT6d9yQO95/nFPX43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DF8ZnSAAAABAEAAA8AAAAAAAAAAQAgAAAAIgAAAGRycy9kb3ducmV2LnhtbFBLAQIU&#10;ABQAAAAIAIdO4kADt5T0MgIAAGMEAAAOAAAAAAAAAAEAIAAAACEBAABkcnMvZTJvRG9jLnhtbFBL&#10;BQYAAAAABgAGAFkBAADFBQ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eastAsia="宋体"/>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7"/>
                      <w:rPr>
                        <w:rFonts w:eastAsia="宋体"/>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Cs/>
      </w:rPr>
    </w:pPr>
    <w:r>
      <w:rPr>
        <w:rFonts w:hint="eastAsia"/>
        <w:b/>
        <w:iCs/>
        <w:color w:val="000000"/>
        <w:kern w:val="0"/>
        <w:sz w:val="18"/>
        <w:u w:val="single"/>
      </w:rPr>
      <w:t>政府采购招标文件</w:t>
    </w:r>
    <w:r>
      <w:rPr>
        <w:b/>
        <w:iCs/>
        <w:color w:val="000000"/>
        <w:kern w:val="0"/>
        <w:sz w:val="18"/>
        <w:u w:val="single"/>
      </w:rPr>
      <w:t>--</w:t>
    </w:r>
    <w:r>
      <w:rPr>
        <w:rFonts w:hint="eastAsia"/>
        <w:b/>
        <w:iCs/>
        <w:color w:val="000000"/>
        <w:kern w:val="0"/>
        <w:sz w:val="18"/>
        <w:u w:val="single"/>
      </w:rPr>
      <w:t>洪家街道民生工程应急防汛设备采购项目(重新招标)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b/>
        <w:iCs/>
        <w:color w:val="000000"/>
        <w:kern w:val="0"/>
        <w:sz w:val="18"/>
        <w:u w:val="single"/>
      </w:rPr>
      <w:t>政府采购招标文件</w:t>
    </w:r>
    <w:r>
      <w:rPr>
        <w:b/>
        <w:iCs/>
        <w:color w:val="000000"/>
        <w:kern w:val="0"/>
        <w:sz w:val="18"/>
        <w:u w:val="single"/>
      </w:rPr>
      <w:t>--</w:t>
    </w:r>
    <w:r>
      <w:rPr>
        <w:rFonts w:hint="eastAsia"/>
        <w:b/>
        <w:iCs/>
        <w:color w:val="000000"/>
        <w:kern w:val="0"/>
        <w:sz w:val="18"/>
        <w:u w:val="single"/>
      </w:rPr>
      <w:t>洪家街道民生工程应急防汛设备采购项目(重新招标)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21D16"/>
    <w:multiLevelType w:val="singleLevel"/>
    <w:tmpl w:val="80A21D16"/>
    <w:lvl w:ilvl="0" w:tentative="0">
      <w:start w:val="1"/>
      <w:numFmt w:val="decimal"/>
      <w:suff w:val="nothing"/>
      <w:lvlText w:val="%1、"/>
      <w:lvlJc w:val="left"/>
    </w:lvl>
  </w:abstractNum>
  <w:abstractNum w:abstractNumId="1">
    <w:nsid w:val="85FB3CE7"/>
    <w:multiLevelType w:val="singleLevel"/>
    <w:tmpl w:val="85FB3CE7"/>
    <w:lvl w:ilvl="0" w:tentative="0">
      <w:start w:val="1"/>
      <w:numFmt w:val="decimal"/>
      <w:suff w:val="nothing"/>
      <w:lvlText w:val="%1、"/>
      <w:lvlJc w:val="left"/>
    </w:lvl>
  </w:abstractNum>
  <w:abstractNum w:abstractNumId="2">
    <w:nsid w:val="ACED9A6F"/>
    <w:multiLevelType w:val="singleLevel"/>
    <w:tmpl w:val="ACED9A6F"/>
    <w:lvl w:ilvl="0" w:tentative="0">
      <w:start w:val="1"/>
      <w:numFmt w:val="decimal"/>
      <w:suff w:val="nothing"/>
      <w:lvlText w:val="%1、"/>
      <w:lvlJc w:val="left"/>
    </w:lvl>
  </w:abstractNum>
  <w:abstractNum w:abstractNumId="3">
    <w:nsid w:val="B8EE822D"/>
    <w:multiLevelType w:val="singleLevel"/>
    <w:tmpl w:val="B8EE822D"/>
    <w:lvl w:ilvl="0" w:tentative="0">
      <w:start w:val="1"/>
      <w:numFmt w:val="decimal"/>
      <w:suff w:val="nothing"/>
      <w:lvlText w:val="%1、"/>
      <w:lvlJc w:val="left"/>
    </w:lvl>
  </w:abstractNum>
  <w:abstractNum w:abstractNumId="4">
    <w:nsid w:val="C7931D65"/>
    <w:multiLevelType w:val="singleLevel"/>
    <w:tmpl w:val="C7931D65"/>
    <w:lvl w:ilvl="0" w:tentative="0">
      <w:start w:val="1"/>
      <w:numFmt w:val="decimal"/>
      <w:suff w:val="nothing"/>
      <w:lvlText w:val="%1、"/>
      <w:lvlJc w:val="left"/>
    </w:lvl>
  </w:abstractNum>
  <w:abstractNum w:abstractNumId="5">
    <w:nsid w:val="DFB8C0EC"/>
    <w:multiLevelType w:val="singleLevel"/>
    <w:tmpl w:val="DFB8C0EC"/>
    <w:lvl w:ilvl="0" w:tentative="0">
      <w:start w:val="1"/>
      <w:numFmt w:val="decimal"/>
      <w:suff w:val="nothing"/>
      <w:lvlText w:val="%1、"/>
      <w:lvlJc w:val="left"/>
    </w:lvl>
  </w:abstractNum>
  <w:abstractNum w:abstractNumId="6">
    <w:nsid w:val="EAF431F0"/>
    <w:multiLevelType w:val="singleLevel"/>
    <w:tmpl w:val="EAF431F0"/>
    <w:lvl w:ilvl="0" w:tentative="0">
      <w:start w:val="1"/>
      <w:numFmt w:val="decimal"/>
      <w:suff w:val="space"/>
      <w:lvlText w:val="%1."/>
      <w:lvlJc w:val="left"/>
    </w:lvl>
  </w:abstractNum>
  <w:abstractNum w:abstractNumId="7">
    <w:nsid w:val="F63FBE81"/>
    <w:multiLevelType w:val="singleLevel"/>
    <w:tmpl w:val="F63FBE81"/>
    <w:lvl w:ilvl="0" w:tentative="0">
      <w:start w:val="1"/>
      <w:numFmt w:val="chineseCounting"/>
      <w:suff w:val="nothing"/>
      <w:lvlText w:val="%1、"/>
      <w:lvlJc w:val="left"/>
      <w:rPr>
        <w:rFonts w:hint="eastAsia"/>
      </w:rPr>
    </w:lvl>
  </w:abstractNum>
  <w:abstractNum w:abstractNumId="8">
    <w:nsid w:val="F6701810"/>
    <w:multiLevelType w:val="singleLevel"/>
    <w:tmpl w:val="F6701810"/>
    <w:lvl w:ilvl="0" w:tentative="0">
      <w:start w:val="1"/>
      <w:numFmt w:val="decimal"/>
      <w:suff w:val="nothing"/>
      <w:lvlText w:val="%1、"/>
      <w:lvlJc w:val="left"/>
    </w:lvl>
  </w:abstractNum>
  <w:abstractNum w:abstractNumId="9">
    <w:nsid w:val="00000001"/>
    <w:multiLevelType w:val="singleLevel"/>
    <w:tmpl w:val="00000001"/>
    <w:lvl w:ilvl="0" w:tentative="0">
      <w:start w:val="5"/>
      <w:numFmt w:val="chineseCounting"/>
      <w:suff w:val="nothing"/>
      <w:lvlText w:val="（%1）"/>
      <w:lvlJc w:val="left"/>
      <w:rPr>
        <w:rFonts w:hint="eastAsia"/>
      </w:rPr>
    </w:lvl>
  </w:abstractNum>
  <w:abstractNum w:abstractNumId="10">
    <w:nsid w:val="00000006"/>
    <w:multiLevelType w:val="multilevel"/>
    <w:tmpl w:val="00000006"/>
    <w:lvl w:ilvl="0" w:tentative="0">
      <w:start w:val="1"/>
      <w:numFmt w:val="decimal"/>
      <w:pStyle w:val="7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A9C21A"/>
    <w:multiLevelType w:val="singleLevel"/>
    <w:tmpl w:val="00A9C21A"/>
    <w:lvl w:ilvl="0" w:tentative="0">
      <w:start w:val="4"/>
      <w:numFmt w:val="chineseCounting"/>
      <w:suff w:val="space"/>
      <w:lvlText w:val="第%1章"/>
      <w:lvlJc w:val="left"/>
      <w:rPr>
        <w:rFonts w:hint="eastAsia"/>
      </w:rPr>
    </w:lvl>
  </w:abstractNum>
  <w:abstractNum w:abstractNumId="12">
    <w:nsid w:val="01C3A0DF"/>
    <w:multiLevelType w:val="singleLevel"/>
    <w:tmpl w:val="01C3A0DF"/>
    <w:lvl w:ilvl="0" w:tentative="0">
      <w:start w:val="1"/>
      <w:numFmt w:val="decimal"/>
      <w:suff w:val="nothing"/>
      <w:lvlText w:val="%1、"/>
      <w:lvlJc w:val="left"/>
    </w:lvl>
  </w:abstractNum>
  <w:abstractNum w:abstractNumId="13">
    <w:nsid w:val="0B852B57"/>
    <w:multiLevelType w:val="multilevel"/>
    <w:tmpl w:val="0B852B57"/>
    <w:lvl w:ilvl="0" w:tentative="0">
      <w:start w:val="1"/>
      <w:numFmt w:val="japaneseCounting"/>
      <w:lvlText w:val="%1、"/>
      <w:lvlJc w:val="left"/>
      <w:pPr>
        <w:tabs>
          <w:tab w:val="left" w:pos="630"/>
        </w:tabs>
        <w:ind w:left="630" w:hanging="42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4">
    <w:nsid w:val="0B8C612B"/>
    <w:multiLevelType w:val="singleLevel"/>
    <w:tmpl w:val="0B8C612B"/>
    <w:lvl w:ilvl="0" w:tentative="0">
      <w:start w:val="1"/>
      <w:numFmt w:val="decimal"/>
      <w:suff w:val="nothing"/>
      <w:lvlText w:val="%1、"/>
      <w:lvlJc w:val="left"/>
    </w:lvl>
  </w:abstractNum>
  <w:abstractNum w:abstractNumId="15">
    <w:nsid w:val="26FC7C7B"/>
    <w:multiLevelType w:val="singleLevel"/>
    <w:tmpl w:val="26FC7C7B"/>
    <w:lvl w:ilvl="0" w:tentative="0">
      <w:start w:val="1"/>
      <w:numFmt w:val="decimal"/>
      <w:suff w:val="nothing"/>
      <w:lvlText w:val="%1、"/>
      <w:lvlJc w:val="left"/>
    </w:lvl>
  </w:abstractNum>
  <w:abstractNum w:abstractNumId="16">
    <w:nsid w:val="28178EB7"/>
    <w:multiLevelType w:val="singleLevel"/>
    <w:tmpl w:val="28178EB7"/>
    <w:lvl w:ilvl="0" w:tentative="0">
      <w:start w:val="1"/>
      <w:numFmt w:val="decimal"/>
      <w:lvlText w:val="%1."/>
      <w:lvlJc w:val="left"/>
      <w:pPr>
        <w:tabs>
          <w:tab w:val="left" w:pos="312"/>
        </w:tabs>
      </w:pPr>
    </w:lvl>
  </w:abstractNum>
  <w:abstractNum w:abstractNumId="17">
    <w:nsid w:val="39F42F7A"/>
    <w:multiLevelType w:val="singleLevel"/>
    <w:tmpl w:val="39F42F7A"/>
    <w:lvl w:ilvl="0" w:tentative="0">
      <w:start w:val="4"/>
      <w:numFmt w:val="chineseCounting"/>
      <w:suff w:val="nothing"/>
      <w:lvlText w:val="%1、"/>
      <w:lvlJc w:val="left"/>
      <w:rPr>
        <w:rFonts w:hint="eastAsia"/>
      </w:rPr>
    </w:lvl>
  </w:abstractNum>
  <w:abstractNum w:abstractNumId="18">
    <w:nsid w:val="3A371F0F"/>
    <w:multiLevelType w:val="singleLevel"/>
    <w:tmpl w:val="3A371F0F"/>
    <w:lvl w:ilvl="0" w:tentative="0">
      <w:start w:val="1"/>
      <w:numFmt w:val="decimal"/>
      <w:suff w:val="nothing"/>
      <w:lvlText w:val="%1、"/>
      <w:lvlJc w:val="left"/>
    </w:lvl>
  </w:abstractNum>
  <w:abstractNum w:abstractNumId="19">
    <w:nsid w:val="3E47511E"/>
    <w:multiLevelType w:val="singleLevel"/>
    <w:tmpl w:val="3E47511E"/>
    <w:lvl w:ilvl="0" w:tentative="0">
      <w:start w:val="1"/>
      <w:numFmt w:val="decimal"/>
      <w:suff w:val="nothing"/>
      <w:lvlText w:val="%1、"/>
      <w:lvlJc w:val="left"/>
    </w:lvl>
  </w:abstractNum>
  <w:abstractNum w:abstractNumId="20">
    <w:nsid w:val="3FD2DDE0"/>
    <w:multiLevelType w:val="singleLevel"/>
    <w:tmpl w:val="3FD2DDE0"/>
    <w:lvl w:ilvl="0" w:tentative="0">
      <w:start w:val="1"/>
      <w:numFmt w:val="decimal"/>
      <w:suff w:val="nothing"/>
      <w:lvlText w:val="%1、"/>
      <w:lvlJc w:val="left"/>
    </w:lvl>
  </w:abstractNum>
  <w:abstractNum w:abstractNumId="2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2">
    <w:nsid w:val="557FD3DA"/>
    <w:multiLevelType w:val="singleLevel"/>
    <w:tmpl w:val="557FD3DA"/>
    <w:lvl w:ilvl="0" w:tentative="0">
      <w:start w:val="3"/>
      <w:numFmt w:val="chineseCounting"/>
      <w:suff w:val="nothing"/>
      <w:lvlText w:val="%1、"/>
      <w:lvlJc w:val="left"/>
    </w:lvl>
  </w:abstractNum>
  <w:abstractNum w:abstractNumId="23">
    <w:nsid w:val="61F98CF8"/>
    <w:multiLevelType w:val="singleLevel"/>
    <w:tmpl w:val="61F98CF8"/>
    <w:lvl w:ilvl="0" w:tentative="0">
      <w:start w:val="1"/>
      <w:numFmt w:val="decimal"/>
      <w:suff w:val="nothing"/>
      <w:lvlText w:val="%1、"/>
      <w:lvlJc w:val="left"/>
    </w:lvl>
  </w:abstractNum>
  <w:num w:numId="1">
    <w:abstractNumId w:val="10"/>
  </w:num>
  <w:num w:numId="2">
    <w:abstractNumId w:val="21"/>
  </w:num>
  <w:num w:numId="3">
    <w:abstractNumId w:val="7"/>
  </w:num>
  <w:num w:numId="4">
    <w:abstractNumId w:val="17"/>
  </w:num>
  <w:num w:numId="5">
    <w:abstractNumId w:val="9"/>
  </w:num>
  <w:num w:numId="6">
    <w:abstractNumId w:val="11"/>
  </w:num>
  <w:num w:numId="7">
    <w:abstractNumId w:val="12"/>
  </w:num>
  <w:num w:numId="8">
    <w:abstractNumId w:val="20"/>
  </w:num>
  <w:num w:numId="9">
    <w:abstractNumId w:val="8"/>
  </w:num>
  <w:num w:numId="10">
    <w:abstractNumId w:val="15"/>
  </w:num>
  <w:num w:numId="11">
    <w:abstractNumId w:val="18"/>
  </w:num>
  <w:num w:numId="12">
    <w:abstractNumId w:val="19"/>
  </w:num>
  <w:num w:numId="13">
    <w:abstractNumId w:val="5"/>
  </w:num>
  <w:num w:numId="14">
    <w:abstractNumId w:val="3"/>
  </w:num>
  <w:num w:numId="15">
    <w:abstractNumId w:val="2"/>
  </w:num>
  <w:num w:numId="16">
    <w:abstractNumId w:val="0"/>
  </w:num>
  <w:num w:numId="17">
    <w:abstractNumId w:val="16"/>
  </w:num>
  <w:num w:numId="18">
    <w:abstractNumId w:val="6"/>
  </w:num>
  <w:num w:numId="19">
    <w:abstractNumId w:val="1"/>
  </w:num>
  <w:num w:numId="20">
    <w:abstractNumId w:val="4"/>
  </w:num>
  <w:num w:numId="21">
    <w:abstractNumId w:val="14"/>
  </w:num>
  <w:num w:numId="22">
    <w:abstractNumId w:val="23"/>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ZTlmYWZhMDgzMWEyMTIxYmI1OTJjNjQzMTQ4NWYifQ=="/>
  </w:docVars>
  <w:rsids>
    <w:rsidRoot w:val="00BE3149"/>
    <w:rsid w:val="0008396C"/>
    <w:rsid w:val="002B2FEA"/>
    <w:rsid w:val="003C6577"/>
    <w:rsid w:val="00444C47"/>
    <w:rsid w:val="00532108"/>
    <w:rsid w:val="009C6908"/>
    <w:rsid w:val="009E7B9B"/>
    <w:rsid w:val="00B71F65"/>
    <w:rsid w:val="00BD60F7"/>
    <w:rsid w:val="00BE3149"/>
    <w:rsid w:val="00C51F9C"/>
    <w:rsid w:val="00D27694"/>
    <w:rsid w:val="00E04ED8"/>
    <w:rsid w:val="00E52F76"/>
    <w:rsid w:val="00FF74E6"/>
    <w:rsid w:val="014337F8"/>
    <w:rsid w:val="016D4C32"/>
    <w:rsid w:val="017C3457"/>
    <w:rsid w:val="017D4F5C"/>
    <w:rsid w:val="01A324E9"/>
    <w:rsid w:val="01A74FC8"/>
    <w:rsid w:val="01E50D53"/>
    <w:rsid w:val="02145195"/>
    <w:rsid w:val="02380D19"/>
    <w:rsid w:val="023F593E"/>
    <w:rsid w:val="024A69D2"/>
    <w:rsid w:val="024B5F91"/>
    <w:rsid w:val="024E161E"/>
    <w:rsid w:val="025F0B06"/>
    <w:rsid w:val="025F4662"/>
    <w:rsid w:val="0263032B"/>
    <w:rsid w:val="02640231"/>
    <w:rsid w:val="02661EE7"/>
    <w:rsid w:val="027C0E59"/>
    <w:rsid w:val="02832A46"/>
    <w:rsid w:val="02900CBF"/>
    <w:rsid w:val="02A37D34"/>
    <w:rsid w:val="02B726F0"/>
    <w:rsid w:val="02C72207"/>
    <w:rsid w:val="02CE17E8"/>
    <w:rsid w:val="02E54899"/>
    <w:rsid w:val="02F70D3E"/>
    <w:rsid w:val="03074F92"/>
    <w:rsid w:val="033C2BF5"/>
    <w:rsid w:val="03535D3F"/>
    <w:rsid w:val="03830082"/>
    <w:rsid w:val="03A07798"/>
    <w:rsid w:val="03E272F9"/>
    <w:rsid w:val="043F7F1A"/>
    <w:rsid w:val="043F7FC4"/>
    <w:rsid w:val="045126D0"/>
    <w:rsid w:val="0455001D"/>
    <w:rsid w:val="04956A61"/>
    <w:rsid w:val="04F562F9"/>
    <w:rsid w:val="051F495D"/>
    <w:rsid w:val="05421D93"/>
    <w:rsid w:val="05860158"/>
    <w:rsid w:val="058A5E9A"/>
    <w:rsid w:val="05AF5900"/>
    <w:rsid w:val="05BE78F1"/>
    <w:rsid w:val="06021ED4"/>
    <w:rsid w:val="060B5CE6"/>
    <w:rsid w:val="062F58C1"/>
    <w:rsid w:val="06383B48"/>
    <w:rsid w:val="067526A6"/>
    <w:rsid w:val="06AC0092"/>
    <w:rsid w:val="06B75848"/>
    <w:rsid w:val="06C24DF7"/>
    <w:rsid w:val="06FD269B"/>
    <w:rsid w:val="07233EAB"/>
    <w:rsid w:val="07350087"/>
    <w:rsid w:val="073A3E1D"/>
    <w:rsid w:val="07CD4764"/>
    <w:rsid w:val="07DE24CD"/>
    <w:rsid w:val="07E61381"/>
    <w:rsid w:val="07EF0236"/>
    <w:rsid w:val="07F7533D"/>
    <w:rsid w:val="081E4FBF"/>
    <w:rsid w:val="082A7958"/>
    <w:rsid w:val="0830022B"/>
    <w:rsid w:val="0831371C"/>
    <w:rsid w:val="08390248"/>
    <w:rsid w:val="084A3762"/>
    <w:rsid w:val="085D7896"/>
    <w:rsid w:val="086302C4"/>
    <w:rsid w:val="08822F00"/>
    <w:rsid w:val="088C3E4F"/>
    <w:rsid w:val="08CE2541"/>
    <w:rsid w:val="08EE3C25"/>
    <w:rsid w:val="09063A89"/>
    <w:rsid w:val="090C4E18"/>
    <w:rsid w:val="09114A79"/>
    <w:rsid w:val="09125675"/>
    <w:rsid w:val="0922463B"/>
    <w:rsid w:val="09376339"/>
    <w:rsid w:val="093B4E63"/>
    <w:rsid w:val="093F6F9B"/>
    <w:rsid w:val="094B2DCA"/>
    <w:rsid w:val="098219B3"/>
    <w:rsid w:val="09A46E94"/>
    <w:rsid w:val="09CF47C3"/>
    <w:rsid w:val="09E03F7D"/>
    <w:rsid w:val="09EC0632"/>
    <w:rsid w:val="09F33DD0"/>
    <w:rsid w:val="0A0D1F84"/>
    <w:rsid w:val="0A1D38F5"/>
    <w:rsid w:val="0A20501F"/>
    <w:rsid w:val="0A2166A1"/>
    <w:rsid w:val="0A432ABB"/>
    <w:rsid w:val="0A6C74A2"/>
    <w:rsid w:val="0A8A693C"/>
    <w:rsid w:val="0A904634"/>
    <w:rsid w:val="0AC7549A"/>
    <w:rsid w:val="0AE47E6C"/>
    <w:rsid w:val="0AF64F0D"/>
    <w:rsid w:val="0B212DFC"/>
    <w:rsid w:val="0B316DB7"/>
    <w:rsid w:val="0B41349E"/>
    <w:rsid w:val="0B52270F"/>
    <w:rsid w:val="0B5605CC"/>
    <w:rsid w:val="0B61769D"/>
    <w:rsid w:val="0B6C3D24"/>
    <w:rsid w:val="0BC35C62"/>
    <w:rsid w:val="0BC63E04"/>
    <w:rsid w:val="0BFC5617"/>
    <w:rsid w:val="0C0753B5"/>
    <w:rsid w:val="0C112E71"/>
    <w:rsid w:val="0C2C0E53"/>
    <w:rsid w:val="0C46436D"/>
    <w:rsid w:val="0C743400"/>
    <w:rsid w:val="0C760F26"/>
    <w:rsid w:val="0CA644D6"/>
    <w:rsid w:val="0CF40646"/>
    <w:rsid w:val="0D076022"/>
    <w:rsid w:val="0D1F4CD0"/>
    <w:rsid w:val="0D2F131C"/>
    <w:rsid w:val="0D3D7ED6"/>
    <w:rsid w:val="0D434630"/>
    <w:rsid w:val="0D4542A8"/>
    <w:rsid w:val="0D5464F5"/>
    <w:rsid w:val="0D8E229F"/>
    <w:rsid w:val="0DB2277C"/>
    <w:rsid w:val="0DBF4B4E"/>
    <w:rsid w:val="0DEB5944"/>
    <w:rsid w:val="0DEE3668"/>
    <w:rsid w:val="0E010CC3"/>
    <w:rsid w:val="0E0407B3"/>
    <w:rsid w:val="0E0B72CF"/>
    <w:rsid w:val="0E2A646C"/>
    <w:rsid w:val="0E2F3A82"/>
    <w:rsid w:val="0E4806A0"/>
    <w:rsid w:val="0E4A5A38"/>
    <w:rsid w:val="0E501D2F"/>
    <w:rsid w:val="0E600804"/>
    <w:rsid w:val="0E9B2B58"/>
    <w:rsid w:val="0EAE0E4B"/>
    <w:rsid w:val="0EAF071F"/>
    <w:rsid w:val="0EB078F0"/>
    <w:rsid w:val="0EBE0962"/>
    <w:rsid w:val="0F362BEE"/>
    <w:rsid w:val="0F670FFA"/>
    <w:rsid w:val="0F6E2388"/>
    <w:rsid w:val="0F7E6199"/>
    <w:rsid w:val="0F87169C"/>
    <w:rsid w:val="0F8E1E38"/>
    <w:rsid w:val="0F9242C9"/>
    <w:rsid w:val="0FB26719"/>
    <w:rsid w:val="0FBF66B5"/>
    <w:rsid w:val="0FC24BDA"/>
    <w:rsid w:val="0FE74D1C"/>
    <w:rsid w:val="100F5919"/>
    <w:rsid w:val="101A606C"/>
    <w:rsid w:val="103C5090"/>
    <w:rsid w:val="1045133B"/>
    <w:rsid w:val="10452B67"/>
    <w:rsid w:val="10525806"/>
    <w:rsid w:val="10667FE4"/>
    <w:rsid w:val="106C2D6C"/>
    <w:rsid w:val="1078558D"/>
    <w:rsid w:val="10903C41"/>
    <w:rsid w:val="109F2C30"/>
    <w:rsid w:val="10E11121"/>
    <w:rsid w:val="10E16B8A"/>
    <w:rsid w:val="10EC085B"/>
    <w:rsid w:val="11032FA4"/>
    <w:rsid w:val="111B11A3"/>
    <w:rsid w:val="111B6540"/>
    <w:rsid w:val="11691059"/>
    <w:rsid w:val="116E4B19"/>
    <w:rsid w:val="11844D14"/>
    <w:rsid w:val="11876127"/>
    <w:rsid w:val="118B0F65"/>
    <w:rsid w:val="11A976A8"/>
    <w:rsid w:val="11BC0884"/>
    <w:rsid w:val="11C12C43"/>
    <w:rsid w:val="11D84431"/>
    <w:rsid w:val="11EC57E6"/>
    <w:rsid w:val="1202325C"/>
    <w:rsid w:val="121665CB"/>
    <w:rsid w:val="12217B86"/>
    <w:rsid w:val="1262442D"/>
    <w:rsid w:val="127C0A42"/>
    <w:rsid w:val="127E013D"/>
    <w:rsid w:val="127E0B34"/>
    <w:rsid w:val="128924DC"/>
    <w:rsid w:val="128B4FFF"/>
    <w:rsid w:val="12C0114D"/>
    <w:rsid w:val="12D86F4B"/>
    <w:rsid w:val="12EC03CE"/>
    <w:rsid w:val="13382A3D"/>
    <w:rsid w:val="134E6759"/>
    <w:rsid w:val="13530976"/>
    <w:rsid w:val="136E0C91"/>
    <w:rsid w:val="136F4921"/>
    <w:rsid w:val="13877EBC"/>
    <w:rsid w:val="138D01AB"/>
    <w:rsid w:val="138E2FF9"/>
    <w:rsid w:val="13A02BB6"/>
    <w:rsid w:val="13EC5F71"/>
    <w:rsid w:val="13F866C4"/>
    <w:rsid w:val="13FA068E"/>
    <w:rsid w:val="140034B3"/>
    <w:rsid w:val="1437543F"/>
    <w:rsid w:val="143A618A"/>
    <w:rsid w:val="14411E19"/>
    <w:rsid w:val="145E56A4"/>
    <w:rsid w:val="148836A9"/>
    <w:rsid w:val="14902DA1"/>
    <w:rsid w:val="14991C55"/>
    <w:rsid w:val="14C30A80"/>
    <w:rsid w:val="14E07884"/>
    <w:rsid w:val="150D619F"/>
    <w:rsid w:val="15280A08"/>
    <w:rsid w:val="153A0A52"/>
    <w:rsid w:val="15474F0A"/>
    <w:rsid w:val="154B4663"/>
    <w:rsid w:val="154D0C92"/>
    <w:rsid w:val="154E5DFD"/>
    <w:rsid w:val="155362A8"/>
    <w:rsid w:val="15537AC9"/>
    <w:rsid w:val="155572BB"/>
    <w:rsid w:val="155A5690"/>
    <w:rsid w:val="15782F5D"/>
    <w:rsid w:val="15970E8A"/>
    <w:rsid w:val="15AE730C"/>
    <w:rsid w:val="15CF16A7"/>
    <w:rsid w:val="15D11224"/>
    <w:rsid w:val="15FA2BC8"/>
    <w:rsid w:val="160B0931"/>
    <w:rsid w:val="16403DB7"/>
    <w:rsid w:val="16526560"/>
    <w:rsid w:val="16571DC8"/>
    <w:rsid w:val="1662737A"/>
    <w:rsid w:val="16826719"/>
    <w:rsid w:val="168325D9"/>
    <w:rsid w:val="168339D9"/>
    <w:rsid w:val="168F2EB1"/>
    <w:rsid w:val="16922E00"/>
    <w:rsid w:val="16924078"/>
    <w:rsid w:val="169326D4"/>
    <w:rsid w:val="169F7B22"/>
    <w:rsid w:val="16A762D3"/>
    <w:rsid w:val="16B40FC8"/>
    <w:rsid w:val="16B802E7"/>
    <w:rsid w:val="16EF0253"/>
    <w:rsid w:val="171D6CDD"/>
    <w:rsid w:val="17231CAA"/>
    <w:rsid w:val="173D7210"/>
    <w:rsid w:val="17461D47"/>
    <w:rsid w:val="178A3AD7"/>
    <w:rsid w:val="17B96D57"/>
    <w:rsid w:val="17BB03E4"/>
    <w:rsid w:val="17D2330C"/>
    <w:rsid w:val="17EE4066"/>
    <w:rsid w:val="17F3167D"/>
    <w:rsid w:val="17F43647"/>
    <w:rsid w:val="180939C1"/>
    <w:rsid w:val="180B3A22"/>
    <w:rsid w:val="180E2A72"/>
    <w:rsid w:val="18156985"/>
    <w:rsid w:val="183D3240"/>
    <w:rsid w:val="1876405C"/>
    <w:rsid w:val="1890336F"/>
    <w:rsid w:val="18C01026"/>
    <w:rsid w:val="18C5169A"/>
    <w:rsid w:val="18C64FE3"/>
    <w:rsid w:val="18D05E62"/>
    <w:rsid w:val="18EB2C9C"/>
    <w:rsid w:val="18EE62E8"/>
    <w:rsid w:val="19306328"/>
    <w:rsid w:val="198253AE"/>
    <w:rsid w:val="19CE3838"/>
    <w:rsid w:val="19E91112"/>
    <w:rsid w:val="19EC29CA"/>
    <w:rsid w:val="1A09162B"/>
    <w:rsid w:val="1A1D34F0"/>
    <w:rsid w:val="1A4408B5"/>
    <w:rsid w:val="1A5B79AD"/>
    <w:rsid w:val="1A7E3A29"/>
    <w:rsid w:val="1A7E4FED"/>
    <w:rsid w:val="1ACC3AB1"/>
    <w:rsid w:val="1AF51BB0"/>
    <w:rsid w:val="1B0F2F7A"/>
    <w:rsid w:val="1B3501FE"/>
    <w:rsid w:val="1B4B6626"/>
    <w:rsid w:val="1B55264E"/>
    <w:rsid w:val="1B561DD8"/>
    <w:rsid w:val="1B8847D2"/>
    <w:rsid w:val="1BD16179"/>
    <w:rsid w:val="1BD87507"/>
    <w:rsid w:val="1BF9122C"/>
    <w:rsid w:val="1C13053F"/>
    <w:rsid w:val="1C146065"/>
    <w:rsid w:val="1C1E0C92"/>
    <w:rsid w:val="1C2A5889"/>
    <w:rsid w:val="1C3352C4"/>
    <w:rsid w:val="1C4050AC"/>
    <w:rsid w:val="1C6A4A0F"/>
    <w:rsid w:val="1C6D212E"/>
    <w:rsid w:val="1C7E5C21"/>
    <w:rsid w:val="1C8A6328"/>
    <w:rsid w:val="1C8B6390"/>
    <w:rsid w:val="1CB1108B"/>
    <w:rsid w:val="1CC25AC1"/>
    <w:rsid w:val="1CC61F19"/>
    <w:rsid w:val="1CCC7197"/>
    <w:rsid w:val="1CD0546D"/>
    <w:rsid w:val="1CDC4DD5"/>
    <w:rsid w:val="1CE74F29"/>
    <w:rsid w:val="1D045FBE"/>
    <w:rsid w:val="1D061E52"/>
    <w:rsid w:val="1D2178FE"/>
    <w:rsid w:val="1D3E10E8"/>
    <w:rsid w:val="1D465475"/>
    <w:rsid w:val="1D8A4831"/>
    <w:rsid w:val="1DA358F3"/>
    <w:rsid w:val="1DB00010"/>
    <w:rsid w:val="1DC064A5"/>
    <w:rsid w:val="1DDD0CC6"/>
    <w:rsid w:val="1DE008F5"/>
    <w:rsid w:val="1DF83E91"/>
    <w:rsid w:val="1E0C16EA"/>
    <w:rsid w:val="1E692122"/>
    <w:rsid w:val="1E851A71"/>
    <w:rsid w:val="1E917E41"/>
    <w:rsid w:val="1EAC4C7B"/>
    <w:rsid w:val="1EB51D82"/>
    <w:rsid w:val="1EB63606"/>
    <w:rsid w:val="1EC65D3D"/>
    <w:rsid w:val="1ECE002B"/>
    <w:rsid w:val="1EDB10BC"/>
    <w:rsid w:val="1EFC2612"/>
    <w:rsid w:val="1F010B23"/>
    <w:rsid w:val="1F087D34"/>
    <w:rsid w:val="1F162724"/>
    <w:rsid w:val="1F51312D"/>
    <w:rsid w:val="1F9A0F77"/>
    <w:rsid w:val="1F9D3444"/>
    <w:rsid w:val="1FCA2072"/>
    <w:rsid w:val="1FD77AD6"/>
    <w:rsid w:val="1FDD773D"/>
    <w:rsid w:val="1FF04E90"/>
    <w:rsid w:val="1FF33471"/>
    <w:rsid w:val="201C7B31"/>
    <w:rsid w:val="20382140"/>
    <w:rsid w:val="206C021E"/>
    <w:rsid w:val="20914375"/>
    <w:rsid w:val="20980A0B"/>
    <w:rsid w:val="20AE01DC"/>
    <w:rsid w:val="20B00EF1"/>
    <w:rsid w:val="20B247A2"/>
    <w:rsid w:val="20B74641"/>
    <w:rsid w:val="20BC7FE5"/>
    <w:rsid w:val="20C10471"/>
    <w:rsid w:val="20ED3C16"/>
    <w:rsid w:val="20F66153"/>
    <w:rsid w:val="20FC2BAF"/>
    <w:rsid w:val="211B3BA2"/>
    <w:rsid w:val="212D6CFD"/>
    <w:rsid w:val="217C49BB"/>
    <w:rsid w:val="218642E0"/>
    <w:rsid w:val="2190618E"/>
    <w:rsid w:val="219A0539"/>
    <w:rsid w:val="219A700D"/>
    <w:rsid w:val="21A460DD"/>
    <w:rsid w:val="21AB2FC8"/>
    <w:rsid w:val="21C47209"/>
    <w:rsid w:val="21C83B7A"/>
    <w:rsid w:val="21D23AB1"/>
    <w:rsid w:val="21D4251F"/>
    <w:rsid w:val="21E604A4"/>
    <w:rsid w:val="21E81795"/>
    <w:rsid w:val="21FC73AE"/>
    <w:rsid w:val="22123047"/>
    <w:rsid w:val="224700DF"/>
    <w:rsid w:val="22476287"/>
    <w:rsid w:val="22500B0D"/>
    <w:rsid w:val="226118D9"/>
    <w:rsid w:val="22762EA9"/>
    <w:rsid w:val="229677D4"/>
    <w:rsid w:val="22A16179"/>
    <w:rsid w:val="22AD05A0"/>
    <w:rsid w:val="22DD62F0"/>
    <w:rsid w:val="22E36792"/>
    <w:rsid w:val="22F664C5"/>
    <w:rsid w:val="23AE1649"/>
    <w:rsid w:val="23AE6D9F"/>
    <w:rsid w:val="23B944B9"/>
    <w:rsid w:val="23BF2D5B"/>
    <w:rsid w:val="23D5257E"/>
    <w:rsid w:val="23D6517B"/>
    <w:rsid w:val="23D87A45"/>
    <w:rsid w:val="23EA32F3"/>
    <w:rsid w:val="23ED1676"/>
    <w:rsid w:val="24062738"/>
    <w:rsid w:val="2412732E"/>
    <w:rsid w:val="241E5CD3"/>
    <w:rsid w:val="242B382A"/>
    <w:rsid w:val="243279D1"/>
    <w:rsid w:val="244D0DE2"/>
    <w:rsid w:val="247A2010"/>
    <w:rsid w:val="24840C00"/>
    <w:rsid w:val="24A668CE"/>
    <w:rsid w:val="24AF1021"/>
    <w:rsid w:val="24DB6334"/>
    <w:rsid w:val="24E26007"/>
    <w:rsid w:val="24EC7B7F"/>
    <w:rsid w:val="250E3F9A"/>
    <w:rsid w:val="252A68FA"/>
    <w:rsid w:val="25513E86"/>
    <w:rsid w:val="25537BFE"/>
    <w:rsid w:val="256A4F48"/>
    <w:rsid w:val="259C15A5"/>
    <w:rsid w:val="25A663F8"/>
    <w:rsid w:val="25B20DC9"/>
    <w:rsid w:val="25C5310A"/>
    <w:rsid w:val="25F57137"/>
    <w:rsid w:val="26121868"/>
    <w:rsid w:val="26151D6C"/>
    <w:rsid w:val="261D0E0F"/>
    <w:rsid w:val="264B6B28"/>
    <w:rsid w:val="26591245"/>
    <w:rsid w:val="2661459D"/>
    <w:rsid w:val="266B518D"/>
    <w:rsid w:val="266C3097"/>
    <w:rsid w:val="268806E8"/>
    <w:rsid w:val="26CD578F"/>
    <w:rsid w:val="26DB2A07"/>
    <w:rsid w:val="26E86A6C"/>
    <w:rsid w:val="26EE19AF"/>
    <w:rsid w:val="26FB22FC"/>
    <w:rsid w:val="26FD42C6"/>
    <w:rsid w:val="27084A19"/>
    <w:rsid w:val="27131AA3"/>
    <w:rsid w:val="271558AD"/>
    <w:rsid w:val="2726597F"/>
    <w:rsid w:val="27313F6F"/>
    <w:rsid w:val="27453C23"/>
    <w:rsid w:val="27475541"/>
    <w:rsid w:val="275D2813"/>
    <w:rsid w:val="278042A9"/>
    <w:rsid w:val="27983FEE"/>
    <w:rsid w:val="27A91D58"/>
    <w:rsid w:val="27BF3329"/>
    <w:rsid w:val="27D112AE"/>
    <w:rsid w:val="27EC60E8"/>
    <w:rsid w:val="27FD02F5"/>
    <w:rsid w:val="28463A4A"/>
    <w:rsid w:val="286E3A97"/>
    <w:rsid w:val="2886653D"/>
    <w:rsid w:val="28C952AD"/>
    <w:rsid w:val="28CF4AA8"/>
    <w:rsid w:val="28DF5DEA"/>
    <w:rsid w:val="29051210"/>
    <w:rsid w:val="290B259E"/>
    <w:rsid w:val="29233D8C"/>
    <w:rsid w:val="293D309F"/>
    <w:rsid w:val="297D1482"/>
    <w:rsid w:val="29A578AF"/>
    <w:rsid w:val="29F305DD"/>
    <w:rsid w:val="29F70A2C"/>
    <w:rsid w:val="29FD638B"/>
    <w:rsid w:val="29FF45A0"/>
    <w:rsid w:val="2A1C442B"/>
    <w:rsid w:val="2A297E40"/>
    <w:rsid w:val="2A5728D1"/>
    <w:rsid w:val="2AA669D3"/>
    <w:rsid w:val="2ACB547D"/>
    <w:rsid w:val="2B31220E"/>
    <w:rsid w:val="2BA47CAC"/>
    <w:rsid w:val="2BBB02AC"/>
    <w:rsid w:val="2BD27A22"/>
    <w:rsid w:val="2BDD6474"/>
    <w:rsid w:val="2C1D34DB"/>
    <w:rsid w:val="2C212804"/>
    <w:rsid w:val="2C2E0A7D"/>
    <w:rsid w:val="2C4604BD"/>
    <w:rsid w:val="2C610E53"/>
    <w:rsid w:val="2C712D36"/>
    <w:rsid w:val="2C81312E"/>
    <w:rsid w:val="2CAE7E10"/>
    <w:rsid w:val="2CBE62A5"/>
    <w:rsid w:val="2CDD2C0B"/>
    <w:rsid w:val="2CE66931"/>
    <w:rsid w:val="2CEE4AB3"/>
    <w:rsid w:val="2CFA3055"/>
    <w:rsid w:val="2D0473BC"/>
    <w:rsid w:val="2D0D4B37"/>
    <w:rsid w:val="2D1B36F8"/>
    <w:rsid w:val="2D1C4D7A"/>
    <w:rsid w:val="2D202ABC"/>
    <w:rsid w:val="2D236108"/>
    <w:rsid w:val="2D450775"/>
    <w:rsid w:val="2D580808"/>
    <w:rsid w:val="2D636E4D"/>
    <w:rsid w:val="2D727090"/>
    <w:rsid w:val="2D917516"/>
    <w:rsid w:val="2D9D235F"/>
    <w:rsid w:val="2DAD00C8"/>
    <w:rsid w:val="2E1B56E5"/>
    <w:rsid w:val="2E1D524D"/>
    <w:rsid w:val="2E1D6FFC"/>
    <w:rsid w:val="2E262354"/>
    <w:rsid w:val="2E2C36E3"/>
    <w:rsid w:val="2E426A62"/>
    <w:rsid w:val="2E784109"/>
    <w:rsid w:val="2E971320"/>
    <w:rsid w:val="2EA80FBB"/>
    <w:rsid w:val="2EAE222B"/>
    <w:rsid w:val="2EB07E70"/>
    <w:rsid w:val="2EF22236"/>
    <w:rsid w:val="2EFA2366"/>
    <w:rsid w:val="2EFF13DB"/>
    <w:rsid w:val="2F603644"/>
    <w:rsid w:val="2F713AA3"/>
    <w:rsid w:val="2F7B1BB4"/>
    <w:rsid w:val="2F837332"/>
    <w:rsid w:val="2FA22267"/>
    <w:rsid w:val="2FA774C5"/>
    <w:rsid w:val="2FBC4D4D"/>
    <w:rsid w:val="2FC35FE9"/>
    <w:rsid w:val="2FF26756"/>
    <w:rsid w:val="300B58F6"/>
    <w:rsid w:val="301D32E3"/>
    <w:rsid w:val="30230E9C"/>
    <w:rsid w:val="306D13CD"/>
    <w:rsid w:val="309A6FA7"/>
    <w:rsid w:val="309B3595"/>
    <w:rsid w:val="30A9101A"/>
    <w:rsid w:val="30C7781C"/>
    <w:rsid w:val="30EB3632"/>
    <w:rsid w:val="30EB799A"/>
    <w:rsid w:val="31181CFC"/>
    <w:rsid w:val="31200E86"/>
    <w:rsid w:val="31400EAF"/>
    <w:rsid w:val="31423060"/>
    <w:rsid w:val="31603DCF"/>
    <w:rsid w:val="318B0720"/>
    <w:rsid w:val="31A33CBC"/>
    <w:rsid w:val="31C012DC"/>
    <w:rsid w:val="321E1594"/>
    <w:rsid w:val="32263D5F"/>
    <w:rsid w:val="323740AF"/>
    <w:rsid w:val="326351F9"/>
    <w:rsid w:val="32674CE9"/>
    <w:rsid w:val="32821B23"/>
    <w:rsid w:val="3289460C"/>
    <w:rsid w:val="32903E5E"/>
    <w:rsid w:val="32A45F3D"/>
    <w:rsid w:val="32A70188"/>
    <w:rsid w:val="32E75CE4"/>
    <w:rsid w:val="33323549"/>
    <w:rsid w:val="33356B95"/>
    <w:rsid w:val="3337290D"/>
    <w:rsid w:val="33413EC8"/>
    <w:rsid w:val="33443098"/>
    <w:rsid w:val="3346731B"/>
    <w:rsid w:val="334C40D6"/>
    <w:rsid w:val="33745910"/>
    <w:rsid w:val="338B4E4B"/>
    <w:rsid w:val="338D69D1"/>
    <w:rsid w:val="33CD3272"/>
    <w:rsid w:val="33D22636"/>
    <w:rsid w:val="33DB24AC"/>
    <w:rsid w:val="33F407FF"/>
    <w:rsid w:val="34261578"/>
    <w:rsid w:val="342C7F98"/>
    <w:rsid w:val="346924F4"/>
    <w:rsid w:val="34772ADD"/>
    <w:rsid w:val="347C367B"/>
    <w:rsid w:val="34A1504B"/>
    <w:rsid w:val="34B561E0"/>
    <w:rsid w:val="34C507EF"/>
    <w:rsid w:val="34D523DE"/>
    <w:rsid w:val="34DB19BE"/>
    <w:rsid w:val="34FA3BF3"/>
    <w:rsid w:val="354B08F2"/>
    <w:rsid w:val="355170B4"/>
    <w:rsid w:val="357716E7"/>
    <w:rsid w:val="35867B7C"/>
    <w:rsid w:val="358931C8"/>
    <w:rsid w:val="35B75F88"/>
    <w:rsid w:val="35EA1EB9"/>
    <w:rsid w:val="361C5DEB"/>
    <w:rsid w:val="36365E7F"/>
    <w:rsid w:val="363C23CD"/>
    <w:rsid w:val="363D46DF"/>
    <w:rsid w:val="365732C7"/>
    <w:rsid w:val="366B615C"/>
    <w:rsid w:val="3676199F"/>
    <w:rsid w:val="36991E67"/>
    <w:rsid w:val="36C24BE4"/>
    <w:rsid w:val="36CA4549"/>
    <w:rsid w:val="36CC15BF"/>
    <w:rsid w:val="36D6068F"/>
    <w:rsid w:val="36D706BD"/>
    <w:rsid w:val="36F25C43"/>
    <w:rsid w:val="36F43FCA"/>
    <w:rsid w:val="36FB100E"/>
    <w:rsid w:val="37054569"/>
    <w:rsid w:val="371A057C"/>
    <w:rsid w:val="372721A3"/>
    <w:rsid w:val="373B350A"/>
    <w:rsid w:val="375A24EA"/>
    <w:rsid w:val="37704640"/>
    <w:rsid w:val="37804506"/>
    <w:rsid w:val="37841E99"/>
    <w:rsid w:val="379C71E3"/>
    <w:rsid w:val="38481119"/>
    <w:rsid w:val="385E26EA"/>
    <w:rsid w:val="38765C86"/>
    <w:rsid w:val="38832151"/>
    <w:rsid w:val="389654BC"/>
    <w:rsid w:val="389C3651"/>
    <w:rsid w:val="389E6F8B"/>
    <w:rsid w:val="38A5656B"/>
    <w:rsid w:val="38B63026"/>
    <w:rsid w:val="38B6612D"/>
    <w:rsid w:val="38C509BB"/>
    <w:rsid w:val="38CA7D80"/>
    <w:rsid w:val="38F265F2"/>
    <w:rsid w:val="38FB4FF9"/>
    <w:rsid w:val="3939759D"/>
    <w:rsid w:val="395522EA"/>
    <w:rsid w:val="39B178B1"/>
    <w:rsid w:val="39BD04F5"/>
    <w:rsid w:val="39FF0C01"/>
    <w:rsid w:val="3A316D41"/>
    <w:rsid w:val="3A666E97"/>
    <w:rsid w:val="3A7A6F1E"/>
    <w:rsid w:val="3AC3717D"/>
    <w:rsid w:val="3ADE5D64"/>
    <w:rsid w:val="3ADE5E41"/>
    <w:rsid w:val="3AEC0481"/>
    <w:rsid w:val="3AF92B9E"/>
    <w:rsid w:val="3B1B7D88"/>
    <w:rsid w:val="3B23141D"/>
    <w:rsid w:val="3BC62A80"/>
    <w:rsid w:val="3BD3789A"/>
    <w:rsid w:val="3BDC04F6"/>
    <w:rsid w:val="3BFC64A2"/>
    <w:rsid w:val="3C0A2960"/>
    <w:rsid w:val="3C0D06AF"/>
    <w:rsid w:val="3C2D2B00"/>
    <w:rsid w:val="3C6368F8"/>
    <w:rsid w:val="3C662A48"/>
    <w:rsid w:val="3C7D0D3C"/>
    <w:rsid w:val="3CCC056A"/>
    <w:rsid w:val="3CD4741F"/>
    <w:rsid w:val="3CE5162C"/>
    <w:rsid w:val="3D0D14F5"/>
    <w:rsid w:val="3D0D1E62"/>
    <w:rsid w:val="3D4514FF"/>
    <w:rsid w:val="3D475D0C"/>
    <w:rsid w:val="3D4E5423"/>
    <w:rsid w:val="3DA212CB"/>
    <w:rsid w:val="3DAA0180"/>
    <w:rsid w:val="3DCB0822"/>
    <w:rsid w:val="3E0B50C2"/>
    <w:rsid w:val="3E171CB9"/>
    <w:rsid w:val="3E41042A"/>
    <w:rsid w:val="3E432AAE"/>
    <w:rsid w:val="3E6972FC"/>
    <w:rsid w:val="3E7476E2"/>
    <w:rsid w:val="3E774506"/>
    <w:rsid w:val="3EA3354D"/>
    <w:rsid w:val="3EA8197D"/>
    <w:rsid w:val="3EB43064"/>
    <w:rsid w:val="3EBB0897"/>
    <w:rsid w:val="3ED96F6F"/>
    <w:rsid w:val="3F3316C4"/>
    <w:rsid w:val="3F385050"/>
    <w:rsid w:val="3F4A39C9"/>
    <w:rsid w:val="3F7E3672"/>
    <w:rsid w:val="3F95513E"/>
    <w:rsid w:val="3FA94B93"/>
    <w:rsid w:val="3FFF0C57"/>
    <w:rsid w:val="402406BD"/>
    <w:rsid w:val="40291830"/>
    <w:rsid w:val="4033575D"/>
    <w:rsid w:val="405E53B0"/>
    <w:rsid w:val="40615AF9"/>
    <w:rsid w:val="407C5B21"/>
    <w:rsid w:val="40AB493B"/>
    <w:rsid w:val="40B27A77"/>
    <w:rsid w:val="40C357E1"/>
    <w:rsid w:val="40CD253B"/>
    <w:rsid w:val="4101455B"/>
    <w:rsid w:val="411A74C4"/>
    <w:rsid w:val="41B2577E"/>
    <w:rsid w:val="41D32AAF"/>
    <w:rsid w:val="41D57EC1"/>
    <w:rsid w:val="41EC0D67"/>
    <w:rsid w:val="41FD11C6"/>
    <w:rsid w:val="423050F8"/>
    <w:rsid w:val="42333392"/>
    <w:rsid w:val="42347530"/>
    <w:rsid w:val="429A2A36"/>
    <w:rsid w:val="42A47894"/>
    <w:rsid w:val="42BD5202"/>
    <w:rsid w:val="42F11B77"/>
    <w:rsid w:val="430F1E49"/>
    <w:rsid w:val="43193DDE"/>
    <w:rsid w:val="431E5B9D"/>
    <w:rsid w:val="432307B8"/>
    <w:rsid w:val="43356A94"/>
    <w:rsid w:val="43370D9F"/>
    <w:rsid w:val="433E3844"/>
    <w:rsid w:val="4344655F"/>
    <w:rsid w:val="434C2833"/>
    <w:rsid w:val="4364349F"/>
    <w:rsid w:val="43670FED"/>
    <w:rsid w:val="43D45F57"/>
    <w:rsid w:val="43EA39CC"/>
    <w:rsid w:val="44157670"/>
    <w:rsid w:val="441F3676"/>
    <w:rsid w:val="443B7D84"/>
    <w:rsid w:val="444C01E3"/>
    <w:rsid w:val="446472DA"/>
    <w:rsid w:val="448B0D0B"/>
    <w:rsid w:val="44923FD3"/>
    <w:rsid w:val="44A77D40"/>
    <w:rsid w:val="44B244EA"/>
    <w:rsid w:val="44C10289"/>
    <w:rsid w:val="44DE708D"/>
    <w:rsid w:val="44ED5522"/>
    <w:rsid w:val="44F06DC0"/>
    <w:rsid w:val="451C3037"/>
    <w:rsid w:val="453018B3"/>
    <w:rsid w:val="45701CAF"/>
    <w:rsid w:val="45B147A1"/>
    <w:rsid w:val="45CC5137"/>
    <w:rsid w:val="45DE4E6B"/>
    <w:rsid w:val="45E22BAD"/>
    <w:rsid w:val="45EF7078"/>
    <w:rsid w:val="460A3EB2"/>
    <w:rsid w:val="46113492"/>
    <w:rsid w:val="461E795D"/>
    <w:rsid w:val="46201C07"/>
    <w:rsid w:val="46307118"/>
    <w:rsid w:val="46401681"/>
    <w:rsid w:val="46567B97"/>
    <w:rsid w:val="465A4D7A"/>
    <w:rsid w:val="46615B41"/>
    <w:rsid w:val="466F58E6"/>
    <w:rsid w:val="46717A8D"/>
    <w:rsid w:val="46971BE9"/>
    <w:rsid w:val="46A165C4"/>
    <w:rsid w:val="46E82445"/>
    <w:rsid w:val="470703F1"/>
    <w:rsid w:val="473867FC"/>
    <w:rsid w:val="4746716B"/>
    <w:rsid w:val="474F5CEF"/>
    <w:rsid w:val="477C0DDF"/>
    <w:rsid w:val="479B1265"/>
    <w:rsid w:val="47A41B54"/>
    <w:rsid w:val="47C11F07"/>
    <w:rsid w:val="47CA1B4A"/>
    <w:rsid w:val="47DF7A24"/>
    <w:rsid w:val="47E6400B"/>
    <w:rsid w:val="480F17F3"/>
    <w:rsid w:val="48111527"/>
    <w:rsid w:val="481334F1"/>
    <w:rsid w:val="48174664"/>
    <w:rsid w:val="48223734"/>
    <w:rsid w:val="48353EFD"/>
    <w:rsid w:val="48391D37"/>
    <w:rsid w:val="483B0352"/>
    <w:rsid w:val="48677399"/>
    <w:rsid w:val="489535DE"/>
    <w:rsid w:val="48967C7F"/>
    <w:rsid w:val="489A776F"/>
    <w:rsid w:val="48AC6345"/>
    <w:rsid w:val="48EC307F"/>
    <w:rsid w:val="48F21359"/>
    <w:rsid w:val="491A440C"/>
    <w:rsid w:val="49374FBE"/>
    <w:rsid w:val="496C6243"/>
    <w:rsid w:val="496D4E83"/>
    <w:rsid w:val="496F3A60"/>
    <w:rsid w:val="497A134E"/>
    <w:rsid w:val="49B42429"/>
    <w:rsid w:val="49B4660E"/>
    <w:rsid w:val="49DA528B"/>
    <w:rsid w:val="49DB73EF"/>
    <w:rsid w:val="49E60792"/>
    <w:rsid w:val="4A362F02"/>
    <w:rsid w:val="4A3E56FF"/>
    <w:rsid w:val="4A3F6E59"/>
    <w:rsid w:val="4A4275CD"/>
    <w:rsid w:val="4A71188D"/>
    <w:rsid w:val="4A7453FF"/>
    <w:rsid w:val="4A800938"/>
    <w:rsid w:val="4A866BA4"/>
    <w:rsid w:val="4AAE052D"/>
    <w:rsid w:val="4AAE12AF"/>
    <w:rsid w:val="4AAE347D"/>
    <w:rsid w:val="4AE47C47"/>
    <w:rsid w:val="4AE80A03"/>
    <w:rsid w:val="4AF64ED9"/>
    <w:rsid w:val="4B071077"/>
    <w:rsid w:val="4B115BF0"/>
    <w:rsid w:val="4B261513"/>
    <w:rsid w:val="4B386DCB"/>
    <w:rsid w:val="4B4B6AFE"/>
    <w:rsid w:val="4B700C5B"/>
    <w:rsid w:val="4B8A1D1C"/>
    <w:rsid w:val="4B94275C"/>
    <w:rsid w:val="4BB24DCF"/>
    <w:rsid w:val="4BBC17AA"/>
    <w:rsid w:val="4BEA27BB"/>
    <w:rsid w:val="4C25217C"/>
    <w:rsid w:val="4C2F641A"/>
    <w:rsid w:val="4C4243A5"/>
    <w:rsid w:val="4C4277CB"/>
    <w:rsid w:val="4C5916EF"/>
    <w:rsid w:val="4C655395"/>
    <w:rsid w:val="4C71121A"/>
    <w:rsid w:val="4C9B362A"/>
    <w:rsid w:val="4CBE77A4"/>
    <w:rsid w:val="4CF5766A"/>
    <w:rsid w:val="4CF72E0A"/>
    <w:rsid w:val="4D0258E3"/>
    <w:rsid w:val="4D1675E0"/>
    <w:rsid w:val="4D186EB4"/>
    <w:rsid w:val="4D510618"/>
    <w:rsid w:val="4D716E3C"/>
    <w:rsid w:val="4D7C5695"/>
    <w:rsid w:val="4D826A23"/>
    <w:rsid w:val="4D875DE8"/>
    <w:rsid w:val="4DFA74A7"/>
    <w:rsid w:val="4E164181"/>
    <w:rsid w:val="4E345F70"/>
    <w:rsid w:val="4E3623E0"/>
    <w:rsid w:val="4E514D0D"/>
    <w:rsid w:val="4E953CC2"/>
    <w:rsid w:val="4E9573E5"/>
    <w:rsid w:val="4E975183"/>
    <w:rsid w:val="4EAC3D58"/>
    <w:rsid w:val="4EDF237F"/>
    <w:rsid w:val="4EE80B08"/>
    <w:rsid w:val="4EF61477"/>
    <w:rsid w:val="4F174E94"/>
    <w:rsid w:val="4F437C01"/>
    <w:rsid w:val="4F5166AD"/>
    <w:rsid w:val="4F5368C9"/>
    <w:rsid w:val="4F6603AB"/>
    <w:rsid w:val="4F6B3C13"/>
    <w:rsid w:val="4F751FDB"/>
    <w:rsid w:val="4F7C5E20"/>
    <w:rsid w:val="4F80507E"/>
    <w:rsid w:val="4F9F1B0F"/>
    <w:rsid w:val="4FA64C4B"/>
    <w:rsid w:val="4FB05ACA"/>
    <w:rsid w:val="4FCF0F45"/>
    <w:rsid w:val="4FE6337E"/>
    <w:rsid w:val="4FF754A7"/>
    <w:rsid w:val="502B6EFE"/>
    <w:rsid w:val="50305F10"/>
    <w:rsid w:val="50681F00"/>
    <w:rsid w:val="5069032D"/>
    <w:rsid w:val="506B3660"/>
    <w:rsid w:val="506F14E1"/>
    <w:rsid w:val="50722D7F"/>
    <w:rsid w:val="50A103B0"/>
    <w:rsid w:val="50CA4969"/>
    <w:rsid w:val="510D2AA8"/>
    <w:rsid w:val="512027DB"/>
    <w:rsid w:val="512C73D2"/>
    <w:rsid w:val="51376036"/>
    <w:rsid w:val="51422C97"/>
    <w:rsid w:val="514A2722"/>
    <w:rsid w:val="51627F6E"/>
    <w:rsid w:val="517B25FD"/>
    <w:rsid w:val="51956303"/>
    <w:rsid w:val="51A60F32"/>
    <w:rsid w:val="51AC5C98"/>
    <w:rsid w:val="51B42C71"/>
    <w:rsid w:val="51F438E6"/>
    <w:rsid w:val="52035ACC"/>
    <w:rsid w:val="52102850"/>
    <w:rsid w:val="52103381"/>
    <w:rsid w:val="521340EE"/>
    <w:rsid w:val="52652653"/>
    <w:rsid w:val="53083527"/>
    <w:rsid w:val="532F4F57"/>
    <w:rsid w:val="53325B90"/>
    <w:rsid w:val="5371731E"/>
    <w:rsid w:val="539063B7"/>
    <w:rsid w:val="53933738"/>
    <w:rsid w:val="53A21BCD"/>
    <w:rsid w:val="53B84F4D"/>
    <w:rsid w:val="53B86CFB"/>
    <w:rsid w:val="53BC2FF3"/>
    <w:rsid w:val="53E421E6"/>
    <w:rsid w:val="53F65A75"/>
    <w:rsid w:val="53FC2EA8"/>
    <w:rsid w:val="54093AD5"/>
    <w:rsid w:val="541F6D7A"/>
    <w:rsid w:val="543D36A4"/>
    <w:rsid w:val="544524B7"/>
    <w:rsid w:val="544B6A31"/>
    <w:rsid w:val="547C41CC"/>
    <w:rsid w:val="54912B72"/>
    <w:rsid w:val="54AB4AB2"/>
    <w:rsid w:val="54C811C0"/>
    <w:rsid w:val="54CF56D2"/>
    <w:rsid w:val="54FB1595"/>
    <w:rsid w:val="55083CB2"/>
    <w:rsid w:val="550A2325"/>
    <w:rsid w:val="5511309A"/>
    <w:rsid w:val="5513545D"/>
    <w:rsid w:val="551408A9"/>
    <w:rsid w:val="55175CA3"/>
    <w:rsid w:val="551E5284"/>
    <w:rsid w:val="55236D3E"/>
    <w:rsid w:val="5542113A"/>
    <w:rsid w:val="55450A62"/>
    <w:rsid w:val="55537C9D"/>
    <w:rsid w:val="555B0286"/>
    <w:rsid w:val="556F788D"/>
    <w:rsid w:val="55780E38"/>
    <w:rsid w:val="557E7D0C"/>
    <w:rsid w:val="55872E29"/>
    <w:rsid w:val="55933792"/>
    <w:rsid w:val="55CE0A58"/>
    <w:rsid w:val="55E95892"/>
    <w:rsid w:val="55EB1E66"/>
    <w:rsid w:val="55EB5432"/>
    <w:rsid w:val="55FD133D"/>
    <w:rsid w:val="56044479"/>
    <w:rsid w:val="5632548A"/>
    <w:rsid w:val="5647442E"/>
    <w:rsid w:val="566118CC"/>
    <w:rsid w:val="566A1031"/>
    <w:rsid w:val="56707D61"/>
    <w:rsid w:val="56847368"/>
    <w:rsid w:val="56B5444B"/>
    <w:rsid w:val="56C02A79"/>
    <w:rsid w:val="57032983"/>
    <w:rsid w:val="5704203A"/>
    <w:rsid w:val="570D3802"/>
    <w:rsid w:val="571046EE"/>
    <w:rsid w:val="5717642E"/>
    <w:rsid w:val="571E5A0F"/>
    <w:rsid w:val="572052E3"/>
    <w:rsid w:val="57223C58"/>
    <w:rsid w:val="57365649"/>
    <w:rsid w:val="57521214"/>
    <w:rsid w:val="575431DF"/>
    <w:rsid w:val="57593B7A"/>
    <w:rsid w:val="576854F7"/>
    <w:rsid w:val="5780494E"/>
    <w:rsid w:val="578F4217"/>
    <w:rsid w:val="5798756F"/>
    <w:rsid w:val="57A4224B"/>
    <w:rsid w:val="57B343A9"/>
    <w:rsid w:val="57BE4AFC"/>
    <w:rsid w:val="57D31E82"/>
    <w:rsid w:val="5801790F"/>
    <w:rsid w:val="580736EB"/>
    <w:rsid w:val="580B08CE"/>
    <w:rsid w:val="581B3040"/>
    <w:rsid w:val="58366D88"/>
    <w:rsid w:val="586456A3"/>
    <w:rsid w:val="58692CBA"/>
    <w:rsid w:val="587442AD"/>
    <w:rsid w:val="58A67A6A"/>
    <w:rsid w:val="58B73A25"/>
    <w:rsid w:val="58BF5B9C"/>
    <w:rsid w:val="58C42B4B"/>
    <w:rsid w:val="58EF7663"/>
    <w:rsid w:val="58FB2E63"/>
    <w:rsid w:val="591D1285"/>
    <w:rsid w:val="59446805"/>
    <w:rsid w:val="59484FC5"/>
    <w:rsid w:val="59501659"/>
    <w:rsid w:val="595C7952"/>
    <w:rsid w:val="596361DB"/>
    <w:rsid w:val="5988716F"/>
    <w:rsid w:val="598C4EB2"/>
    <w:rsid w:val="59967ADE"/>
    <w:rsid w:val="59995821"/>
    <w:rsid w:val="599C0E6D"/>
    <w:rsid w:val="59BD2FCE"/>
    <w:rsid w:val="59C00238"/>
    <w:rsid w:val="59C84BC9"/>
    <w:rsid w:val="5A0043D9"/>
    <w:rsid w:val="5A1B7FE4"/>
    <w:rsid w:val="5A382944"/>
    <w:rsid w:val="5A8B6F17"/>
    <w:rsid w:val="5A8D7133"/>
    <w:rsid w:val="5AA61FA3"/>
    <w:rsid w:val="5ABA5A4E"/>
    <w:rsid w:val="5ABB5323"/>
    <w:rsid w:val="5AD703AE"/>
    <w:rsid w:val="5B1F3B03"/>
    <w:rsid w:val="5B353327"/>
    <w:rsid w:val="5B4F07E4"/>
    <w:rsid w:val="5B610AC1"/>
    <w:rsid w:val="5B7B5AF5"/>
    <w:rsid w:val="5BC56459"/>
    <w:rsid w:val="5BE56AFB"/>
    <w:rsid w:val="5C245875"/>
    <w:rsid w:val="5C477ED9"/>
    <w:rsid w:val="5C8C341B"/>
    <w:rsid w:val="5C9E4DCB"/>
    <w:rsid w:val="5CAE15E3"/>
    <w:rsid w:val="5CAE553B"/>
    <w:rsid w:val="5CC35C70"/>
    <w:rsid w:val="5CF12068"/>
    <w:rsid w:val="5CFD21A5"/>
    <w:rsid w:val="5D071531"/>
    <w:rsid w:val="5D0E5BDE"/>
    <w:rsid w:val="5D327B1E"/>
    <w:rsid w:val="5D6837FA"/>
    <w:rsid w:val="5DB6074F"/>
    <w:rsid w:val="5DCD3CEB"/>
    <w:rsid w:val="5DDC3F2E"/>
    <w:rsid w:val="5DF81DDE"/>
    <w:rsid w:val="5DFA47E8"/>
    <w:rsid w:val="5E0D2339"/>
    <w:rsid w:val="5E802598"/>
    <w:rsid w:val="5E834133"/>
    <w:rsid w:val="5E8C7702"/>
    <w:rsid w:val="5E9860A7"/>
    <w:rsid w:val="5EBF176B"/>
    <w:rsid w:val="5ED06AD4"/>
    <w:rsid w:val="5EE17A4E"/>
    <w:rsid w:val="5F0059FA"/>
    <w:rsid w:val="5F074FDA"/>
    <w:rsid w:val="5F1A70AD"/>
    <w:rsid w:val="5F2142EE"/>
    <w:rsid w:val="5F304531"/>
    <w:rsid w:val="5F677827"/>
    <w:rsid w:val="5FBC4017"/>
    <w:rsid w:val="5FCC621C"/>
    <w:rsid w:val="5FD56E87"/>
    <w:rsid w:val="5FE071C5"/>
    <w:rsid w:val="5FF53085"/>
    <w:rsid w:val="601B6DA8"/>
    <w:rsid w:val="60306A6C"/>
    <w:rsid w:val="604B6FB7"/>
    <w:rsid w:val="60651E4E"/>
    <w:rsid w:val="606D5311"/>
    <w:rsid w:val="608E03E0"/>
    <w:rsid w:val="609A4BEC"/>
    <w:rsid w:val="60A527D8"/>
    <w:rsid w:val="60CC2038"/>
    <w:rsid w:val="60D4713E"/>
    <w:rsid w:val="60F17CF0"/>
    <w:rsid w:val="60F872D1"/>
    <w:rsid w:val="611B33E5"/>
    <w:rsid w:val="6126799A"/>
    <w:rsid w:val="61347EB7"/>
    <w:rsid w:val="614918DA"/>
    <w:rsid w:val="614E7AEE"/>
    <w:rsid w:val="61700C15"/>
    <w:rsid w:val="618B5A4F"/>
    <w:rsid w:val="61967195"/>
    <w:rsid w:val="61A3598A"/>
    <w:rsid w:val="61AE798F"/>
    <w:rsid w:val="61BF22B1"/>
    <w:rsid w:val="61CC6311"/>
    <w:rsid w:val="61FB4D8E"/>
    <w:rsid w:val="62165B5A"/>
    <w:rsid w:val="62481B92"/>
    <w:rsid w:val="624B51DE"/>
    <w:rsid w:val="627057BC"/>
    <w:rsid w:val="62902BCA"/>
    <w:rsid w:val="62A12DC9"/>
    <w:rsid w:val="62B17737"/>
    <w:rsid w:val="62DE42A4"/>
    <w:rsid w:val="630004CD"/>
    <w:rsid w:val="63091F6E"/>
    <w:rsid w:val="633F11E7"/>
    <w:rsid w:val="634C3904"/>
    <w:rsid w:val="63710DF7"/>
    <w:rsid w:val="63971026"/>
    <w:rsid w:val="63AD43A2"/>
    <w:rsid w:val="63AD6150"/>
    <w:rsid w:val="63CC234F"/>
    <w:rsid w:val="63DD630A"/>
    <w:rsid w:val="6402276C"/>
    <w:rsid w:val="64267CB1"/>
    <w:rsid w:val="642E6B65"/>
    <w:rsid w:val="646D3B32"/>
    <w:rsid w:val="64760C38"/>
    <w:rsid w:val="64A05CB5"/>
    <w:rsid w:val="64A11290"/>
    <w:rsid w:val="64B057DE"/>
    <w:rsid w:val="64C03C61"/>
    <w:rsid w:val="64DF335C"/>
    <w:rsid w:val="651E4E2C"/>
    <w:rsid w:val="652B6918"/>
    <w:rsid w:val="653603C7"/>
    <w:rsid w:val="655D3BA6"/>
    <w:rsid w:val="65644F35"/>
    <w:rsid w:val="65746977"/>
    <w:rsid w:val="65764C68"/>
    <w:rsid w:val="65A96DEB"/>
    <w:rsid w:val="65AA2D4D"/>
    <w:rsid w:val="65BA4B55"/>
    <w:rsid w:val="65EA56BD"/>
    <w:rsid w:val="66236B9E"/>
    <w:rsid w:val="66282447"/>
    <w:rsid w:val="66666A8A"/>
    <w:rsid w:val="66676D2D"/>
    <w:rsid w:val="666A657B"/>
    <w:rsid w:val="666B40A1"/>
    <w:rsid w:val="66950943"/>
    <w:rsid w:val="66966875"/>
    <w:rsid w:val="669E6224"/>
    <w:rsid w:val="66A01F9C"/>
    <w:rsid w:val="66A575B3"/>
    <w:rsid w:val="66DE4873"/>
    <w:rsid w:val="66E62AEE"/>
    <w:rsid w:val="6712276E"/>
    <w:rsid w:val="67256946"/>
    <w:rsid w:val="673F15A4"/>
    <w:rsid w:val="67550FD9"/>
    <w:rsid w:val="677451B8"/>
    <w:rsid w:val="67790995"/>
    <w:rsid w:val="677E1BB2"/>
    <w:rsid w:val="678E0047"/>
    <w:rsid w:val="67CE326A"/>
    <w:rsid w:val="67FF7DC7"/>
    <w:rsid w:val="68030A35"/>
    <w:rsid w:val="68133DB3"/>
    <w:rsid w:val="68490412"/>
    <w:rsid w:val="685B04DA"/>
    <w:rsid w:val="68652A1D"/>
    <w:rsid w:val="68B13343"/>
    <w:rsid w:val="68CB7079"/>
    <w:rsid w:val="68EE62BF"/>
    <w:rsid w:val="691C78D4"/>
    <w:rsid w:val="692530C4"/>
    <w:rsid w:val="694C7DDC"/>
    <w:rsid w:val="69630391"/>
    <w:rsid w:val="696C260A"/>
    <w:rsid w:val="696D3FD3"/>
    <w:rsid w:val="69703D8E"/>
    <w:rsid w:val="69735746"/>
    <w:rsid w:val="69912070"/>
    <w:rsid w:val="69A27DD9"/>
    <w:rsid w:val="69AA3132"/>
    <w:rsid w:val="69B30239"/>
    <w:rsid w:val="69C02956"/>
    <w:rsid w:val="69D73B5E"/>
    <w:rsid w:val="69DB32EB"/>
    <w:rsid w:val="69E14DA6"/>
    <w:rsid w:val="69F36887"/>
    <w:rsid w:val="6A0000E9"/>
    <w:rsid w:val="6A0445F0"/>
    <w:rsid w:val="6A1A2066"/>
    <w:rsid w:val="6A222CC8"/>
    <w:rsid w:val="6A4A5E64"/>
    <w:rsid w:val="6A6E4160"/>
    <w:rsid w:val="6A704CE3"/>
    <w:rsid w:val="6A7B2CCA"/>
    <w:rsid w:val="6A955B90"/>
    <w:rsid w:val="6AD211AF"/>
    <w:rsid w:val="6AF72044"/>
    <w:rsid w:val="6AFE7291"/>
    <w:rsid w:val="6B0242A5"/>
    <w:rsid w:val="6B0E4ACC"/>
    <w:rsid w:val="6B2C02A3"/>
    <w:rsid w:val="6B4078AA"/>
    <w:rsid w:val="6B623CC4"/>
    <w:rsid w:val="6B6A0DCB"/>
    <w:rsid w:val="6B7C6124"/>
    <w:rsid w:val="6BB05477"/>
    <w:rsid w:val="6BC05610"/>
    <w:rsid w:val="6BC229B5"/>
    <w:rsid w:val="6BC93D43"/>
    <w:rsid w:val="6BCE3108"/>
    <w:rsid w:val="6BF91346"/>
    <w:rsid w:val="6C134FBF"/>
    <w:rsid w:val="6C1F5711"/>
    <w:rsid w:val="6C5437BD"/>
    <w:rsid w:val="6C8046E1"/>
    <w:rsid w:val="6C837317"/>
    <w:rsid w:val="6C924135"/>
    <w:rsid w:val="6D022270"/>
    <w:rsid w:val="6D053B07"/>
    <w:rsid w:val="6D0A63C2"/>
    <w:rsid w:val="6D196605"/>
    <w:rsid w:val="6D3C22F3"/>
    <w:rsid w:val="6D48513C"/>
    <w:rsid w:val="6D497B71"/>
    <w:rsid w:val="6D5D432A"/>
    <w:rsid w:val="6D643BB1"/>
    <w:rsid w:val="6D652C4B"/>
    <w:rsid w:val="6D765805"/>
    <w:rsid w:val="6DA724FC"/>
    <w:rsid w:val="6DDA15E5"/>
    <w:rsid w:val="6DF332FA"/>
    <w:rsid w:val="6DFD19F2"/>
    <w:rsid w:val="6E0B1041"/>
    <w:rsid w:val="6E0B27E6"/>
    <w:rsid w:val="6E22773B"/>
    <w:rsid w:val="6E3263AE"/>
    <w:rsid w:val="6E376CDD"/>
    <w:rsid w:val="6E600263"/>
    <w:rsid w:val="6E6E7873"/>
    <w:rsid w:val="6EA14B04"/>
    <w:rsid w:val="6EAD34A8"/>
    <w:rsid w:val="6EB22A9E"/>
    <w:rsid w:val="6EC407F2"/>
    <w:rsid w:val="6EE20EBC"/>
    <w:rsid w:val="6EF03395"/>
    <w:rsid w:val="6F03131A"/>
    <w:rsid w:val="6F1352D6"/>
    <w:rsid w:val="6F2B0871"/>
    <w:rsid w:val="6F52577A"/>
    <w:rsid w:val="6F543924"/>
    <w:rsid w:val="6F6A75EB"/>
    <w:rsid w:val="6F6D7844"/>
    <w:rsid w:val="6F8A7E10"/>
    <w:rsid w:val="6FB47993"/>
    <w:rsid w:val="6FBE3493"/>
    <w:rsid w:val="6FC36CFC"/>
    <w:rsid w:val="6FC62348"/>
    <w:rsid w:val="700C6158"/>
    <w:rsid w:val="705A3CD3"/>
    <w:rsid w:val="707324D0"/>
    <w:rsid w:val="70763D6E"/>
    <w:rsid w:val="708C3591"/>
    <w:rsid w:val="70905FDB"/>
    <w:rsid w:val="70A72179"/>
    <w:rsid w:val="70C17769"/>
    <w:rsid w:val="70C3769A"/>
    <w:rsid w:val="70C90342"/>
    <w:rsid w:val="70CE7706"/>
    <w:rsid w:val="710B760D"/>
    <w:rsid w:val="711E5CBC"/>
    <w:rsid w:val="71267AAB"/>
    <w:rsid w:val="713175D4"/>
    <w:rsid w:val="71325EE7"/>
    <w:rsid w:val="715E4F2E"/>
    <w:rsid w:val="719B1CDE"/>
    <w:rsid w:val="71E76CD1"/>
    <w:rsid w:val="71FB452B"/>
    <w:rsid w:val="72013F3D"/>
    <w:rsid w:val="720C7DC2"/>
    <w:rsid w:val="72225F5B"/>
    <w:rsid w:val="722C2936"/>
    <w:rsid w:val="723810D8"/>
    <w:rsid w:val="72451C4A"/>
    <w:rsid w:val="7247475D"/>
    <w:rsid w:val="7249173A"/>
    <w:rsid w:val="724C4072"/>
    <w:rsid w:val="728602AC"/>
    <w:rsid w:val="72907369"/>
    <w:rsid w:val="72A663F7"/>
    <w:rsid w:val="72BA6194"/>
    <w:rsid w:val="72CE7E91"/>
    <w:rsid w:val="72F1592E"/>
    <w:rsid w:val="72F773E8"/>
    <w:rsid w:val="73552361"/>
    <w:rsid w:val="738B7B30"/>
    <w:rsid w:val="73AB108A"/>
    <w:rsid w:val="73D94CFF"/>
    <w:rsid w:val="74076485"/>
    <w:rsid w:val="74082F2F"/>
    <w:rsid w:val="742D2858"/>
    <w:rsid w:val="742E508B"/>
    <w:rsid w:val="74387CB8"/>
    <w:rsid w:val="744B29DF"/>
    <w:rsid w:val="74640AAD"/>
    <w:rsid w:val="748266FC"/>
    <w:rsid w:val="749D11AE"/>
    <w:rsid w:val="74E474F8"/>
    <w:rsid w:val="74E62DA2"/>
    <w:rsid w:val="74E7523A"/>
    <w:rsid w:val="750B717B"/>
    <w:rsid w:val="75241FEA"/>
    <w:rsid w:val="753F6E24"/>
    <w:rsid w:val="754601B3"/>
    <w:rsid w:val="754C32EF"/>
    <w:rsid w:val="755A5A0C"/>
    <w:rsid w:val="757E794D"/>
    <w:rsid w:val="758141FF"/>
    <w:rsid w:val="75D44605"/>
    <w:rsid w:val="75D45844"/>
    <w:rsid w:val="75D532E5"/>
    <w:rsid w:val="75E71BBB"/>
    <w:rsid w:val="75F92AF3"/>
    <w:rsid w:val="76263B40"/>
    <w:rsid w:val="764E22FC"/>
    <w:rsid w:val="76545B7E"/>
    <w:rsid w:val="767D593D"/>
    <w:rsid w:val="76860F96"/>
    <w:rsid w:val="769B4432"/>
    <w:rsid w:val="76C0086F"/>
    <w:rsid w:val="76C21ABB"/>
    <w:rsid w:val="76DB0DCF"/>
    <w:rsid w:val="76DD4B47"/>
    <w:rsid w:val="76DF3965"/>
    <w:rsid w:val="76E605BF"/>
    <w:rsid w:val="76E71522"/>
    <w:rsid w:val="77083F74"/>
    <w:rsid w:val="770A7D21"/>
    <w:rsid w:val="771A18F7"/>
    <w:rsid w:val="771D6B9E"/>
    <w:rsid w:val="77246F70"/>
    <w:rsid w:val="772557BC"/>
    <w:rsid w:val="77665EEC"/>
    <w:rsid w:val="777803CC"/>
    <w:rsid w:val="777C0FE5"/>
    <w:rsid w:val="77DE0B76"/>
    <w:rsid w:val="77F52527"/>
    <w:rsid w:val="77FF6E0C"/>
    <w:rsid w:val="78000AED"/>
    <w:rsid w:val="783469E8"/>
    <w:rsid w:val="784529A4"/>
    <w:rsid w:val="784B547B"/>
    <w:rsid w:val="785B5D23"/>
    <w:rsid w:val="78672B0C"/>
    <w:rsid w:val="78715547"/>
    <w:rsid w:val="78744FA5"/>
    <w:rsid w:val="78B813C8"/>
    <w:rsid w:val="78D301E3"/>
    <w:rsid w:val="78E41C51"/>
    <w:rsid w:val="78F56340"/>
    <w:rsid w:val="78FC056F"/>
    <w:rsid w:val="79336CA0"/>
    <w:rsid w:val="79487D4D"/>
    <w:rsid w:val="795A0C9B"/>
    <w:rsid w:val="79845717"/>
    <w:rsid w:val="79856DD0"/>
    <w:rsid w:val="799534B7"/>
    <w:rsid w:val="79A11E5C"/>
    <w:rsid w:val="79B969C0"/>
    <w:rsid w:val="79D924DA"/>
    <w:rsid w:val="79E635AB"/>
    <w:rsid w:val="7A067429"/>
    <w:rsid w:val="7A097A01"/>
    <w:rsid w:val="7A195E96"/>
    <w:rsid w:val="7A262641"/>
    <w:rsid w:val="7A2F1845"/>
    <w:rsid w:val="7A336DCE"/>
    <w:rsid w:val="7A6146D4"/>
    <w:rsid w:val="7A74131E"/>
    <w:rsid w:val="7AF84CF7"/>
    <w:rsid w:val="7B1D1782"/>
    <w:rsid w:val="7B1D19B6"/>
    <w:rsid w:val="7B234AF2"/>
    <w:rsid w:val="7B2A2F59"/>
    <w:rsid w:val="7B360B25"/>
    <w:rsid w:val="7B376CA9"/>
    <w:rsid w:val="7B3B1E3C"/>
    <w:rsid w:val="7B447CBA"/>
    <w:rsid w:val="7BA14395"/>
    <w:rsid w:val="7BC52D7B"/>
    <w:rsid w:val="7BE129E3"/>
    <w:rsid w:val="7BEB0099"/>
    <w:rsid w:val="7BFC670E"/>
    <w:rsid w:val="7C39281F"/>
    <w:rsid w:val="7C4C0BD8"/>
    <w:rsid w:val="7C4F57E3"/>
    <w:rsid w:val="7C6255BF"/>
    <w:rsid w:val="7C6B49A3"/>
    <w:rsid w:val="7C776EA4"/>
    <w:rsid w:val="7C980DA7"/>
    <w:rsid w:val="7CA51C63"/>
    <w:rsid w:val="7CF6129E"/>
    <w:rsid w:val="7D0C3A90"/>
    <w:rsid w:val="7D21425A"/>
    <w:rsid w:val="7D3354C1"/>
    <w:rsid w:val="7D39684F"/>
    <w:rsid w:val="7D40551F"/>
    <w:rsid w:val="7D484972"/>
    <w:rsid w:val="7D494CE4"/>
    <w:rsid w:val="7D4C6582"/>
    <w:rsid w:val="7D4E40A8"/>
    <w:rsid w:val="7D7A4E9D"/>
    <w:rsid w:val="7DAB151E"/>
    <w:rsid w:val="7DBD0412"/>
    <w:rsid w:val="7DD345AE"/>
    <w:rsid w:val="7DD50326"/>
    <w:rsid w:val="7DEB4928"/>
    <w:rsid w:val="7DEB4B90"/>
    <w:rsid w:val="7E2131B9"/>
    <w:rsid w:val="7E221091"/>
    <w:rsid w:val="7E4B683A"/>
    <w:rsid w:val="7E4E7602"/>
    <w:rsid w:val="7E85268C"/>
    <w:rsid w:val="7E955D07"/>
    <w:rsid w:val="7EBA68FB"/>
    <w:rsid w:val="7EC33D20"/>
    <w:rsid w:val="7EE54599"/>
    <w:rsid w:val="7EF03E39"/>
    <w:rsid w:val="7EF50554"/>
    <w:rsid w:val="7F1B412C"/>
    <w:rsid w:val="7F24563E"/>
    <w:rsid w:val="7F401BED"/>
    <w:rsid w:val="7F586564"/>
    <w:rsid w:val="7F73429A"/>
    <w:rsid w:val="7F896D7A"/>
    <w:rsid w:val="7F8A15E4"/>
    <w:rsid w:val="7F906EDC"/>
    <w:rsid w:val="7F9935D5"/>
    <w:rsid w:val="7FB54FC7"/>
    <w:rsid w:val="7FCB0858"/>
    <w:rsid w:val="7FD12D6F"/>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link w:val="77"/>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5">
    <w:name w:val="heading 3"/>
    <w:basedOn w:val="1"/>
    <w:next w:val="1"/>
    <w:autoRedefine/>
    <w:qFormat/>
    <w:uiPriority w:val="0"/>
    <w:pPr>
      <w:keepNext/>
      <w:keepLines/>
      <w:adjustRightInd w:val="0"/>
      <w:spacing w:before="120" w:after="120"/>
      <w:jc w:val="left"/>
      <w:textAlignment w:val="baseline"/>
      <w:outlineLvl w:val="2"/>
    </w:pPr>
    <w:rPr>
      <w:rFonts w:ascii="黑体" w:eastAsia="黑体"/>
      <w:b/>
      <w:kern w:val="0"/>
      <w:sz w:val="24"/>
      <w:szCs w:val="20"/>
    </w:rPr>
  </w:style>
  <w:style w:type="paragraph" w:styleId="6">
    <w:name w:val="heading 4"/>
    <w:basedOn w:val="1"/>
    <w:next w:val="1"/>
    <w:autoRedefine/>
    <w:qFormat/>
    <w:uiPriority w:val="0"/>
    <w:pPr>
      <w:keepNext/>
      <w:keepLines/>
      <w:spacing w:before="280" w:after="290" w:line="372" w:lineRule="auto"/>
      <w:outlineLvl w:val="3"/>
    </w:pPr>
    <w:rPr>
      <w:rFonts w:ascii="Arial" w:hAnsi="Arial"/>
      <w:b/>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7">
    <w:name w:val="Normal Indent"/>
    <w:basedOn w:val="1"/>
    <w:next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next w:val="10"/>
    <w:link w:val="41"/>
    <w:autoRedefine/>
    <w:semiHidden/>
    <w:unhideWhenUsed/>
    <w:qFormat/>
    <w:uiPriority w:val="99"/>
    <w:pPr>
      <w:spacing w:after="120"/>
    </w:pPr>
  </w:style>
  <w:style w:type="paragraph" w:styleId="10">
    <w:name w:val="Body Text First Indent"/>
    <w:basedOn w:val="9"/>
    <w:next w:val="1"/>
    <w:link w:val="78"/>
    <w:autoRedefine/>
    <w:qFormat/>
    <w:uiPriority w:val="0"/>
    <w:pPr>
      <w:ind w:firstLine="420" w:firstLineChars="100"/>
    </w:pPr>
  </w:style>
  <w:style w:type="paragraph" w:styleId="11">
    <w:name w:val="Body Text Indent"/>
    <w:basedOn w:val="1"/>
    <w:next w:val="1"/>
    <w:link w:val="42"/>
    <w:autoRedefine/>
    <w:qFormat/>
    <w:uiPriority w:val="99"/>
    <w:pPr>
      <w:spacing w:after="120"/>
      <w:ind w:left="420" w:leftChars="200"/>
    </w:pPr>
  </w:style>
  <w:style w:type="paragraph" w:styleId="12">
    <w:name w:val="Block Text"/>
    <w:basedOn w:val="1"/>
    <w:autoRedefine/>
    <w:qFormat/>
    <w:uiPriority w:val="0"/>
    <w:pPr>
      <w:adjustRightInd w:val="0"/>
      <w:snapToGrid w:val="0"/>
      <w:spacing w:line="360" w:lineRule="auto"/>
      <w:ind w:left="567" w:leftChars="270" w:right="-150" w:rightChars="-150" w:firstLine="480" w:firstLineChars="200"/>
    </w:pPr>
    <w:rPr>
      <w:rFonts w:ascii="宋体"/>
      <w:sz w:val="24"/>
    </w:rPr>
  </w:style>
  <w:style w:type="paragraph" w:styleId="13">
    <w:name w:val="Plain Text"/>
    <w:basedOn w:val="1"/>
    <w:next w:val="14"/>
    <w:autoRedefine/>
    <w:qFormat/>
    <w:uiPriority w:val="0"/>
    <w:rPr>
      <w:rFonts w:ascii="宋体" w:hAnsi="Courier New" w:cstheme="minorBidi"/>
    </w:rPr>
  </w:style>
  <w:style w:type="paragraph" w:styleId="14">
    <w:name w:val="Date"/>
    <w:basedOn w:val="1"/>
    <w:next w:val="1"/>
    <w:autoRedefine/>
    <w:qFormat/>
    <w:uiPriority w:val="99"/>
    <w:pPr>
      <w:ind w:left="2500" w:leftChars="2500"/>
    </w:pPr>
    <w:rPr>
      <w:rFonts w:ascii="Calibri" w:hAnsi="Calibri" w:eastAsia="楷体_GB2312"/>
      <w:sz w:val="32"/>
      <w:szCs w:val="22"/>
    </w:rPr>
  </w:style>
  <w:style w:type="paragraph" w:styleId="15">
    <w:name w:val="Body Text Indent 2"/>
    <w:basedOn w:val="1"/>
    <w:link w:val="79"/>
    <w:autoRedefine/>
    <w:qFormat/>
    <w:uiPriority w:val="0"/>
    <w:pPr>
      <w:tabs>
        <w:tab w:val="left" w:pos="0"/>
        <w:tab w:val="left" w:pos="2140"/>
      </w:tabs>
      <w:spacing w:line="540" w:lineRule="exact"/>
      <w:ind w:firstLine="560" w:firstLineChars="200"/>
      <w:jc w:val="left"/>
    </w:pPr>
    <w:rPr>
      <w:sz w:val="28"/>
    </w:rPr>
  </w:style>
  <w:style w:type="paragraph" w:styleId="16">
    <w:name w:val="Balloon Text"/>
    <w:basedOn w:val="1"/>
    <w:link w:val="43"/>
    <w:autoRedefine/>
    <w:semiHidden/>
    <w:unhideWhenUsed/>
    <w:qFormat/>
    <w:uiPriority w:val="99"/>
    <w:rPr>
      <w:sz w:val="18"/>
      <w:szCs w:val="18"/>
    </w:rPr>
  </w:style>
  <w:style w:type="paragraph" w:styleId="17">
    <w:name w:val="footer"/>
    <w:basedOn w:val="1"/>
    <w:next w:val="1"/>
    <w:link w:val="40"/>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envelope return"/>
    <w:basedOn w:val="1"/>
    <w:autoRedefine/>
    <w:qFormat/>
    <w:uiPriority w:val="0"/>
    <w:pPr>
      <w:snapToGrid w:val="0"/>
    </w:pPr>
    <w:rPr>
      <w:rFonts w:ascii="Arial" w:hAnsi="Arial"/>
    </w:rPr>
  </w:style>
  <w:style w:type="paragraph" w:styleId="19">
    <w:name w:val="header"/>
    <w:basedOn w:val="1"/>
    <w:link w:val="3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0">
    <w:name w:val="toc 1"/>
    <w:basedOn w:val="1"/>
    <w:next w:val="1"/>
    <w:autoRedefine/>
    <w:qFormat/>
    <w:uiPriority w:val="39"/>
    <w:pPr>
      <w:widowControl/>
      <w:tabs>
        <w:tab w:val="right" w:leader="dot" w:pos="9060"/>
      </w:tabs>
      <w:spacing w:before="120" w:after="120"/>
      <w:jc w:val="left"/>
    </w:pPr>
    <w:rPr>
      <w:b/>
      <w:bCs/>
      <w:caps/>
      <w:kern w:val="0"/>
      <w:sz w:val="24"/>
      <w:lang w:eastAsia="en-US" w:bidi="en-US"/>
    </w:rPr>
  </w:style>
  <w:style w:type="paragraph" w:styleId="21">
    <w:name w:val="List"/>
    <w:basedOn w:val="1"/>
    <w:autoRedefine/>
    <w:unhideWhenUsed/>
    <w:qFormat/>
    <w:uiPriority w:val="99"/>
    <w:pPr>
      <w:ind w:left="200" w:hanging="200" w:hangingChars="200"/>
      <w:contextualSpacing/>
    </w:pPr>
  </w:style>
  <w:style w:type="paragraph" w:styleId="22">
    <w:name w:val="footnote text"/>
    <w:basedOn w:val="1"/>
    <w:autoRedefine/>
    <w:unhideWhenUsed/>
    <w:qFormat/>
    <w:uiPriority w:val="99"/>
    <w:pPr>
      <w:snapToGrid w:val="0"/>
      <w:jc w:val="left"/>
    </w:pPr>
    <w:rPr>
      <w:sz w:val="18"/>
    </w:rPr>
  </w:style>
  <w:style w:type="paragraph" w:styleId="23">
    <w:name w:val="toc 6"/>
    <w:basedOn w:val="1"/>
    <w:next w:val="1"/>
    <w:autoRedefine/>
    <w:qFormat/>
    <w:uiPriority w:val="39"/>
    <w:pPr>
      <w:ind w:left="2100" w:leftChars="1000"/>
    </w:pPr>
  </w:style>
  <w:style w:type="paragraph" w:styleId="24">
    <w:name w:val="toc 2"/>
    <w:basedOn w:val="1"/>
    <w:next w:val="1"/>
    <w:autoRedefine/>
    <w:qFormat/>
    <w:uiPriority w:val="0"/>
    <w:pPr>
      <w:spacing w:line="360" w:lineRule="auto"/>
      <w:ind w:left="210" w:leftChars="100" w:firstLine="472" w:firstLineChars="196"/>
      <w:jc w:val="left"/>
    </w:pPr>
    <w:rPr>
      <w:rFonts w:ascii="宋体" w:hAnsi="宋体"/>
      <w:b/>
      <w:sz w:val="24"/>
    </w:r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next w:val="24"/>
    <w:autoRedefine/>
    <w:qFormat/>
    <w:uiPriority w:val="99"/>
    <w:pPr>
      <w:widowControl/>
      <w:spacing w:before="100" w:beforeAutospacing="1" w:after="100" w:afterAutospacing="1"/>
      <w:jc w:val="left"/>
    </w:pPr>
    <w:rPr>
      <w:rFonts w:ascii="宋体" w:hAnsi="宋体"/>
      <w:kern w:val="0"/>
      <w:sz w:val="24"/>
    </w:rPr>
  </w:style>
  <w:style w:type="paragraph" w:styleId="27">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8">
    <w:name w:val="Body Text First Indent 2"/>
    <w:basedOn w:val="11"/>
    <w:next w:val="1"/>
    <w:autoRedefine/>
    <w:qFormat/>
    <w:uiPriority w:val="0"/>
    <w:pPr>
      <w:ind w:firstLine="420"/>
    </w:p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0"/>
    <w:rPr>
      <w:rFonts w:ascii="Tahoma" w:hAnsi="Tahoma" w:cs="Tahoma"/>
      <w:b/>
      <w:sz w:val="24"/>
    </w:rPr>
  </w:style>
  <w:style w:type="character" w:styleId="33">
    <w:name w:val="page number"/>
    <w:basedOn w:val="31"/>
    <w:autoRedefine/>
    <w:qFormat/>
    <w:uiPriority w:val="0"/>
  </w:style>
  <w:style w:type="character" w:styleId="34">
    <w:name w:val="Hyperlink"/>
    <w:basedOn w:val="31"/>
    <w:autoRedefine/>
    <w:unhideWhenUsed/>
    <w:qFormat/>
    <w:uiPriority w:val="0"/>
    <w:rPr>
      <w:color w:val="0000FF"/>
      <w:u w:val="single"/>
    </w:rPr>
  </w:style>
  <w:style w:type="character" w:styleId="35">
    <w:name w:val="footnote reference"/>
    <w:basedOn w:val="31"/>
    <w:autoRedefine/>
    <w:unhideWhenUsed/>
    <w:qFormat/>
    <w:uiPriority w:val="99"/>
    <w:rPr>
      <w:vertAlign w:val="superscript"/>
    </w:rPr>
  </w:style>
  <w:style w:type="paragraph" w:customStyle="1" w:styleId="36">
    <w:name w:val="签发人"/>
    <w:basedOn w:val="1"/>
    <w:autoRedefine/>
    <w:qFormat/>
    <w:uiPriority w:val="0"/>
    <w:rPr>
      <w:rFonts w:eastAsia="楷体"/>
      <w:sz w:val="32"/>
    </w:rPr>
  </w:style>
  <w:style w:type="paragraph" w:customStyle="1" w:styleId="37">
    <w:name w:val="[Normal]"/>
    <w:autoRedefine/>
    <w:qFormat/>
    <w:uiPriority w:val="0"/>
    <w:rPr>
      <w:rFonts w:ascii="宋体" w:hAnsi="宋体" w:eastAsia="宋体" w:cs="Times New Roman"/>
      <w:sz w:val="24"/>
      <w:szCs w:val="22"/>
      <w:lang w:val="zh-CN" w:eastAsia="zh-CN" w:bidi="ar-SA"/>
    </w:rPr>
  </w:style>
  <w:style w:type="paragraph" w:customStyle="1" w:styleId="38">
    <w:name w:val="正文首行缩进1"/>
    <w:basedOn w:val="9"/>
    <w:autoRedefine/>
    <w:qFormat/>
    <w:uiPriority w:val="0"/>
    <w:pPr>
      <w:ind w:firstLine="420" w:firstLineChars="100"/>
    </w:pPr>
  </w:style>
  <w:style w:type="character" w:customStyle="1" w:styleId="39">
    <w:name w:val="页眉 Char"/>
    <w:basedOn w:val="31"/>
    <w:link w:val="19"/>
    <w:autoRedefine/>
    <w:semiHidden/>
    <w:qFormat/>
    <w:uiPriority w:val="99"/>
    <w:rPr>
      <w:sz w:val="18"/>
      <w:szCs w:val="18"/>
    </w:rPr>
  </w:style>
  <w:style w:type="character" w:customStyle="1" w:styleId="40">
    <w:name w:val="页脚 Char"/>
    <w:basedOn w:val="31"/>
    <w:link w:val="17"/>
    <w:autoRedefine/>
    <w:semiHidden/>
    <w:qFormat/>
    <w:uiPriority w:val="99"/>
    <w:rPr>
      <w:sz w:val="18"/>
      <w:szCs w:val="18"/>
    </w:rPr>
  </w:style>
  <w:style w:type="character" w:customStyle="1" w:styleId="41">
    <w:name w:val="正文文本 Char"/>
    <w:basedOn w:val="31"/>
    <w:link w:val="9"/>
    <w:autoRedefine/>
    <w:semiHidden/>
    <w:qFormat/>
    <w:uiPriority w:val="99"/>
    <w:rPr>
      <w:rFonts w:ascii="Times New Roman" w:hAnsi="Times New Roman" w:eastAsia="宋体" w:cs="Times New Roman"/>
      <w:szCs w:val="24"/>
    </w:rPr>
  </w:style>
  <w:style w:type="character" w:customStyle="1" w:styleId="42">
    <w:name w:val="正文文本缩进 Char"/>
    <w:basedOn w:val="31"/>
    <w:link w:val="11"/>
    <w:autoRedefine/>
    <w:qFormat/>
    <w:uiPriority w:val="99"/>
    <w:rPr>
      <w:rFonts w:ascii="Times New Roman" w:hAnsi="Times New Roman" w:eastAsia="宋体" w:cs="Times New Roman"/>
      <w:szCs w:val="24"/>
    </w:rPr>
  </w:style>
  <w:style w:type="character" w:customStyle="1" w:styleId="43">
    <w:name w:val="批注框文本 Char"/>
    <w:basedOn w:val="31"/>
    <w:link w:val="16"/>
    <w:autoRedefine/>
    <w:semiHidden/>
    <w:qFormat/>
    <w:uiPriority w:val="99"/>
    <w:rPr>
      <w:rFonts w:ascii="Times New Roman" w:hAnsi="Times New Roman" w:eastAsia="宋体" w:cs="Times New Roman"/>
      <w:sz w:val="18"/>
      <w:szCs w:val="18"/>
    </w:rPr>
  </w:style>
  <w:style w:type="character" w:customStyle="1" w:styleId="44">
    <w:name w:val="无"/>
    <w:autoRedefine/>
    <w:qFormat/>
    <w:uiPriority w:val="99"/>
  </w:style>
  <w:style w:type="paragraph" w:customStyle="1" w:styleId="45">
    <w:name w:val="表格文字"/>
    <w:basedOn w:val="1"/>
    <w:next w:val="9"/>
    <w:autoRedefine/>
    <w:qFormat/>
    <w:uiPriority w:val="99"/>
    <w:pPr>
      <w:adjustRightInd w:val="0"/>
      <w:spacing w:line="420" w:lineRule="atLeast"/>
      <w:jc w:val="left"/>
      <w:textAlignment w:val="baseline"/>
    </w:pPr>
    <w:rPr>
      <w:kern w:val="0"/>
    </w:rPr>
  </w:style>
  <w:style w:type="paragraph" w:customStyle="1" w:styleId="46">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7">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9">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4"/>
    <w:autoRedefine/>
    <w:qFormat/>
    <w:uiPriority w:val="99"/>
    <w:rPr>
      <w:rFonts w:ascii="Times New Roman" w:hAnsi="Times New Roman" w:eastAsia="宋体" w:cs="Times New Roman"/>
      <w:sz w:val="21"/>
      <w:szCs w:val="22"/>
      <w:lang w:val="en-US" w:eastAsia="zh-CN" w:bidi="ar-SA"/>
    </w:rPr>
  </w:style>
  <w:style w:type="paragraph" w:customStyle="1" w:styleId="51">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纯文本_3"/>
    <w:basedOn w:val="53"/>
    <w:autoRedefine/>
    <w:qFormat/>
    <w:uiPriority w:val="99"/>
    <w:pPr>
      <w:widowControl/>
      <w:jc w:val="left"/>
    </w:pPr>
    <w:rPr>
      <w:rFonts w:ascii="宋体" w:hAnsi="Courier New"/>
      <w:szCs w:val="21"/>
    </w:rPr>
  </w:style>
  <w:style w:type="paragraph" w:customStyle="1" w:styleId="55">
    <w:name w:val="纯文本_0_1"/>
    <w:basedOn w:val="1"/>
    <w:autoRedefine/>
    <w:qFormat/>
    <w:uiPriority w:val="99"/>
    <w:pPr>
      <w:widowControl/>
      <w:jc w:val="left"/>
    </w:pPr>
    <w:rPr>
      <w:rFonts w:ascii="宋体" w:hAnsi="Courier New"/>
      <w:szCs w:val="21"/>
    </w:rPr>
  </w:style>
  <w:style w:type="paragraph" w:customStyle="1" w:styleId="56">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61">
    <w:name w:val="p0"/>
    <w:basedOn w:val="1"/>
    <w:autoRedefine/>
    <w:qFormat/>
    <w:uiPriority w:val="0"/>
    <w:pPr>
      <w:widowControl/>
    </w:pPr>
    <w:rPr>
      <w:rFonts w:ascii="Calibri" w:hAnsi="Calibri" w:cs="宋体"/>
      <w:kern w:val="0"/>
      <w:szCs w:val="21"/>
    </w:rPr>
  </w:style>
  <w:style w:type="paragraph" w:styleId="62">
    <w:name w:val="List Paragraph"/>
    <w:basedOn w:val="1"/>
    <w:autoRedefine/>
    <w:qFormat/>
    <w:uiPriority w:val="0"/>
    <w:pPr>
      <w:ind w:firstLine="420" w:firstLineChars="200"/>
    </w:pPr>
  </w:style>
  <w:style w:type="paragraph" w:customStyle="1" w:styleId="63">
    <w:name w:val="纯文本1"/>
    <w:basedOn w:val="60"/>
    <w:autoRedefine/>
    <w:qFormat/>
    <w:uiPriority w:val="0"/>
    <w:pPr>
      <w:widowControl/>
      <w:jc w:val="left"/>
    </w:pPr>
    <w:rPr>
      <w:rFonts w:hAnsi="Courier New"/>
    </w:rPr>
  </w:style>
  <w:style w:type="paragraph" w:customStyle="1" w:styleId="64">
    <w:name w:val="正文（首行缩进2字符）"/>
    <w:basedOn w:val="1"/>
    <w:autoRedefine/>
    <w:qFormat/>
    <w:uiPriority w:val="0"/>
    <w:pPr>
      <w:ind w:firstLine="480" w:firstLineChars="200"/>
    </w:pPr>
    <w:rPr>
      <w:sz w:val="24"/>
      <w:szCs w:val="20"/>
    </w:rPr>
  </w:style>
  <w:style w:type="character" w:customStyle="1" w:styleId="65">
    <w:name w:val="NormalCharacter"/>
    <w:autoRedefine/>
    <w:semiHidden/>
    <w:qFormat/>
    <w:uiPriority w:val="0"/>
  </w:style>
  <w:style w:type="paragraph" w:customStyle="1" w:styleId="66">
    <w:name w:val="正文2"/>
    <w:basedOn w:val="1"/>
    <w:autoRedefine/>
    <w:qFormat/>
    <w:uiPriority w:val="0"/>
    <w:pPr>
      <w:spacing w:before="156" w:line="360" w:lineRule="auto"/>
      <w:ind w:firstLine="510" w:firstLineChars="200"/>
    </w:pPr>
    <w:rPr>
      <w:sz w:val="24"/>
      <w:szCs w:val="20"/>
    </w:rPr>
  </w:style>
  <w:style w:type="character" w:customStyle="1" w:styleId="67">
    <w:name w:val="fontstyle01"/>
    <w:autoRedefine/>
    <w:qFormat/>
    <w:uiPriority w:val="0"/>
    <w:rPr>
      <w:rFonts w:ascii="宋体" w:hAnsi="宋体" w:eastAsia="宋体" w:cs="宋体"/>
      <w:color w:val="000000"/>
      <w:sz w:val="22"/>
      <w:szCs w:val="22"/>
    </w:rPr>
  </w:style>
  <w:style w:type="character" w:customStyle="1" w:styleId="68">
    <w:name w:val="font01"/>
    <w:autoRedefine/>
    <w:qFormat/>
    <w:uiPriority w:val="0"/>
    <w:rPr>
      <w:rFonts w:hint="eastAsia" w:ascii="宋体" w:hAnsi="宋体" w:eastAsia="宋体" w:cs="宋体"/>
      <w:color w:val="000000"/>
      <w:sz w:val="21"/>
      <w:szCs w:val="21"/>
      <w:u w:val="none"/>
    </w:rPr>
  </w:style>
  <w:style w:type="paragraph" w:customStyle="1" w:styleId="69">
    <w:name w:val="新正文"/>
    <w:basedOn w:val="1"/>
    <w:next w:val="1"/>
    <w:autoRedefine/>
    <w:qFormat/>
    <w:uiPriority w:val="0"/>
    <w:pPr>
      <w:adjustRightInd w:val="0"/>
      <w:snapToGrid w:val="0"/>
      <w:spacing w:line="440" w:lineRule="atLeast"/>
    </w:pPr>
    <w:rPr>
      <w:rFonts w:ascii="宋体" w:hAnsi="宋体"/>
      <w:snapToGrid w:val="0"/>
      <w:color w:val="000000"/>
      <w:sz w:val="24"/>
    </w:rPr>
  </w:style>
  <w:style w:type="paragraph" w:customStyle="1" w:styleId="70">
    <w:name w:val="正文表标题"/>
    <w:next w:val="71"/>
    <w:autoRedefine/>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71">
    <w:name w:val="段"/>
    <w:autoRedefine/>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72">
    <w:name w:val="xl4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73">
    <w:name w:val="Default"/>
    <w:autoRedefine/>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7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5">
    <w:name w:val="纯文本2"/>
    <w:basedOn w:val="76"/>
    <w:autoRedefine/>
    <w:qFormat/>
    <w:uiPriority w:val="0"/>
    <w:pPr>
      <w:widowControl/>
      <w:jc w:val="left"/>
    </w:pPr>
    <w:rPr>
      <w:rFonts w:ascii="宋体" w:hAnsi="Courier New"/>
    </w:rPr>
  </w:style>
  <w:style w:type="paragraph" w:customStyle="1" w:styleId="76">
    <w:name w:val="正文3"/>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77">
    <w:name w:val="标题 2 Char"/>
    <w:basedOn w:val="31"/>
    <w:link w:val="4"/>
    <w:autoRedefine/>
    <w:qFormat/>
    <w:uiPriority w:val="0"/>
    <w:rPr>
      <w:rFonts w:ascii="Cambria" w:hAnsi="Cambria" w:eastAsia="宋体" w:cs="Times New Roman"/>
      <w:b/>
      <w:bCs/>
      <w:kern w:val="2"/>
      <w:sz w:val="32"/>
      <w:szCs w:val="32"/>
    </w:rPr>
  </w:style>
  <w:style w:type="character" w:customStyle="1" w:styleId="78">
    <w:name w:val="正文首行缩进 Char"/>
    <w:link w:val="10"/>
    <w:autoRedefine/>
    <w:qFormat/>
    <w:uiPriority w:val="0"/>
    <w:rPr>
      <w:rFonts w:hint="default" w:ascii="Times New Roman" w:hAnsi="Times New Roman" w:cs="Times New Roman"/>
      <w:kern w:val="2"/>
      <w:sz w:val="21"/>
      <w:szCs w:val="24"/>
    </w:rPr>
  </w:style>
  <w:style w:type="character" w:customStyle="1" w:styleId="79">
    <w:name w:val="正文文本缩进 2 Char"/>
    <w:basedOn w:val="31"/>
    <w:link w:val="15"/>
    <w:autoRedefine/>
    <w:qFormat/>
    <w:uiPriority w:val="0"/>
    <w:rPr>
      <w:rFonts w:hint="default" w:ascii="Times New Roman" w:hAnsi="Times New Roman" w:cs="Times New Roman"/>
      <w:kern w:val="2"/>
      <w:sz w:val="21"/>
      <w:szCs w:val="24"/>
    </w:rPr>
  </w:style>
  <w:style w:type="paragraph" w:customStyle="1" w:styleId="8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81">
    <w:name w:val="p2"/>
    <w:basedOn w:val="1"/>
    <w:autoRedefine/>
    <w:qFormat/>
    <w:uiPriority w:val="0"/>
    <w:pPr>
      <w:spacing w:after="214"/>
      <w:jc w:val="left"/>
    </w:pPr>
    <w:rPr>
      <w:rFonts w:ascii="songti sc" w:hAnsi="songti sc" w:eastAsia="songti sc"/>
      <w:color w:val="0000FF"/>
      <w:kern w:val="0"/>
      <w:sz w:val="28"/>
      <w:szCs w:val="28"/>
    </w:rPr>
  </w:style>
  <w:style w:type="character" w:customStyle="1" w:styleId="82">
    <w:name w:val="s1"/>
    <w:basedOn w:val="31"/>
    <w:autoRedefine/>
    <w:qFormat/>
    <w:uiPriority w:val="0"/>
    <w:rPr>
      <w:color w:val="000000"/>
    </w:rPr>
  </w:style>
  <w:style w:type="paragraph" w:customStyle="1" w:styleId="83">
    <w:name w:val="p1"/>
    <w:basedOn w:val="1"/>
    <w:autoRedefine/>
    <w:qFormat/>
    <w:uiPriority w:val="0"/>
    <w:pPr>
      <w:spacing w:after="214"/>
      <w:jc w:val="left"/>
    </w:pPr>
    <w:rPr>
      <w:rFonts w:hint="eastAsia" w:ascii="songti sc" w:hAnsi="songti sc" w:eastAsia="songti sc"/>
      <w:color w:val="000000"/>
      <w:kern w:val="0"/>
      <w:sz w:val="28"/>
      <w:szCs w:val="28"/>
    </w:rPr>
  </w:style>
  <w:style w:type="paragraph" w:customStyle="1" w:styleId="84">
    <w:name w:val="样式1"/>
    <w:basedOn w:val="4"/>
    <w:autoRedefine/>
    <w:qFormat/>
    <w:uiPriority w:val="0"/>
    <w:pPr>
      <w:tabs>
        <w:tab w:val="left" w:pos="8280"/>
      </w:tabs>
    </w:pPr>
    <w:rPr>
      <w:rFonts w:ascii="宋体" w:hAnsi="宋体"/>
      <w:szCs w:val="36"/>
    </w:rPr>
  </w:style>
  <w:style w:type="paragraph" w:customStyle="1" w:styleId="85">
    <w:name w:val="文章正文"/>
    <w:basedOn w:val="1"/>
    <w:autoRedefine/>
    <w:qFormat/>
    <w:uiPriority w:val="0"/>
    <w:pPr>
      <w:spacing w:line="360" w:lineRule="auto"/>
      <w:ind w:firstLine="200" w:firstLineChars="200"/>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9701</Words>
  <Characters>55301</Characters>
  <Lines>460</Lines>
  <Paragraphs>129</Paragraphs>
  <TotalTime>4</TotalTime>
  <ScaleCrop>false</ScaleCrop>
  <LinksUpToDate>false</LinksUpToDate>
  <CharactersWithSpaces>64873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项海芳</cp:lastModifiedBy>
  <cp:lastPrinted>2023-12-28T00:47:00Z</cp:lastPrinted>
  <dcterms:modified xsi:type="dcterms:W3CDTF">2024-01-16T08:25:16Z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C39F2DD54F2F456E9A6F74CE1A442AD0</vt:lpwstr>
  </property>
  <property fmtid="{D5CDD505-2E9C-101B-9397-08002B2CF9AE}" pid="4" name="commondata">
    <vt:lpwstr>eyJoZGlkIjoiNmNiNWQzMTIyZDkyNWQ5MzYxMmQ5MTE1ZmU3YjE0M2QifQ==</vt:lpwstr>
  </property>
</Properties>
</file>