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r>
        <w:rPr>
          <w:rFonts w:hint="eastAsia" w:ascii="宋体" w:hAnsi="宋体" w:cs="宋体"/>
          <w:b/>
          <w:kern w:val="0"/>
          <w:sz w:val="56"/>
          <w:szCs w:val="56"/>
        </w:rPr>
        <w:drawing>
          <wp:anchor distT="0" distB="0" distL="114300" distR="114300" simplePos="0" relativeHeight="251660288" behindDoc="0" locked="0" layoutInCell="1" allowOverlap="1">
            <wp:simplePos x="0" y="0"/>
            <wp:positionH relativeFrom="column">
              <wp:posOffset>2228850</wp:posOffset>
            </wp:positionH>
            <wp:positionV relativeFrom="page">
              <wp:posOffset>1257935</wp:posOffset>
            </wp:positionV>
            <wp:extent cx="1325880" cy="1518920"/>
            <wp:effectExtent l="0" t="0" r="7620" b="5080"/>
            <wp:wrapNone/>
            <wp:docPr id="6" name="图片 2" descr="9564c5715693a00b8f9a68627ff8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9564c5715693a00b8f9a68627ff84f7"/>
                    <pic:cNvPicPr>
                      <a:picLocks noChangeAspect="1"/>
                    </pic:cNvPicPr>
                  </pic:nvPicPr>
                  <pic:blipFill>
                    <a:blip r:embed="rId8"/>
                    <a:stretch>
                      <a:fillRect/>
                    </a:stretch>
                  </pic:blipFill>
                  <pic:spPr>
                    <a:xfrm>
                      <a:off x="0" y="0"/>
                      <a:ext cx="1325880" cy="1518920"/>
                    </a:xfrm>
                    <a:prstGeom prst="rect">
                      <a:avLst/>
                    </a:prstGeom>
                    <a:noFill/>
                    <a:ln>
                      <a:noFill/>
                    </a:ln>
                  </pic:spPr>
                </pic:pic>
              </a:graphicData>
            </a:graphic>
          </wp:anchor>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hAnsi="宋体" w:cs="宋体"/>
          <w:b/>
          <w:bCs/>
          <w:sz w:val="56"/>
          <w:szCs w:val="52"/>
        </w:rPr>
        <w:t>政府采购电子招标文件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djustRightInd w:val="0"/>
        <w:snapToGrid w:val="0"/>
        <w:spacing w:line="360" w:lineRule="auto"/>
        <w:ind w:firstLine="1446" w:firstLineChars="400"/>
        <w:rPr>
          <w:rFonts w:hint="eastAsia" w:ascii="宋体" w:hAnsi="宋体" w:eastAsia="宋体"/>
          <w:b/>
          <w:bCs/>
          <w:color w:val="FF0000"/>
          <w:sz w:val="36"/>
          <w:szCs w:val="36"/>
          <w:lang w:eastAsia="zh-CN"/>
        </w:rPr>
      </w:pPr>
      <w:r>
        <w:rPr>
          <w:rFonts w:hint="eastAsia" w:ascii="宋体" w:hAnsi="宋体"/>
          <w:b/>
          <w:bCs/>
          <w:color w:val="000000"/>
          <w:sz w:val="36"/>
          <w:szCs w:val="36"/>
        </w:rPr>
        <w:t>项目名称：</w:t>
      </w:r>
      <w:r>
        <w:rPr>
          <w:rFonts w:hint="eastAsia" w:ascii="宋体" w:hAnsi="宋体"/>
          <w:b/>
          <w:bCs/>
          <w:color w:val="FF0000"/>
          <w:sz w:val="36"/>
          <w:szCs w:val="36"/>
          <w:lang w:eastAsia="zh-CN"/>
        </w:rPr>
        <w:t>医用气体成套设备采购项目</w:t>
      </w:r>
    </w:p>
    <w:p>
      <w:pPr>
        <w:adjustRightInd w:val="0"/>
        <w:snapToGrid w:val="0"/>
        <w:spacing w:line="360" w:lineRule="auto"/>
        <w:ind w:firstLine="643" w:firstLineChars="200"/>
        <w:jc w:val="center"/>
        <w:rPr>
          <w:rFonts w:ascii="宋体" w:hAnsi="宋体"/>
          <w:b/>
          <w:bCs/>
          <w:color w:val="FF0000"/>
          <w:sz w:val="32"/>
          <w:szCs w:val="32"/>
        </w:rPr>
      </w:pPr>
      <w:r>
        <w:rPr>
          <w:rFonts w:hint="eastAsia" w:ascii="宋体" w:hAnsi="宋体"/>
          <w:b/>
          <w:bCs/>
          <w:color w:val="FF0000"/>
          <w:sz w:val="32"/>
          <w:szCs w:val="32"/>
        </w:rPr>
        <w:t>项目编号：</w:t>
      </w:r>
      <w:r>
        <w:rPr>
          <w:rFonts w:hint="eastAsia" w:ascii="宋体" w:hAnsi="宋体"/>
          <w:b/>
          <w:bCs/>
          <w:color w:val="FF0000"/>
          <w:sz w:val="32"/>
          <w:szCs w:val="32"/>
          <w:lang w:val="en-US" w:eastAsia="zh-CN"/>
        </w:rPr>
        <w:t>临【2022】574号</w:t>
      </w:r>
    </w:p>
    <w:p>
      <w:pPr>
        <w:rPr>
          <w:rFonts w:ascii="宋体" w:hAnsi="宋体"/>
          <w:color w:val="000000"/>
          <w:sz w:val="28"/>
        </w:rPr>
      </w:pPr>
    </w:p>
    <w:p>
      <w:pPr>
        <w:rPr>
          <w:rFonts w:ascii="宋体" w:hAnsi="宋体"/>
          <w:color w:val="000000"/>
          <w:sz w:val="28"/>
        </w:rPr>
      </w:pPr>
    </w:p>
    <w:p>
      <w:pPr>
        <w:adjustRightInd w:val="0"/>
        <w:snapToGrid w:val="0"/>
        <w:spacing w:line="360" w:lineRule="auto"/>
        <w:rPr>
          <w:rFonts w:ascii="宋体" w:hAnsi="宋体"/>
          <w:b/>
          <w:bCs/>
          <w:color w:val="000000"/>
          <w:sz w:val="32"/>
          <w:szCs w:val="28"/>
        </w:rPr>
      </w:pPr>
    </w:p>
    <w:p>
      <w:pPr>
        <w:adjustRightInd w:val="0"/>
        <w:snapToGrid w:val="0"/>
        <w:spacing w:line="360" w:lineRule="auto"/>
        <w:ind w:firstLine="643" w:firstLineChars="200"/>
        <w:rPr>
          <w:rFonts w:ascii="宋体" w:hAnsi="宋体"/>
          <w:b/>
          <w:bCs/>
          <w:sz w:val="32"/>
          <w:szCs w:val="28"/>
        </w:rPr>
      </w:pPr>
      <w:r>
        <w:rPr>
          <w:rFonts w:hint="eastAsia" w:ascii="宋体" w:hAnsi="宋体"/>
          <w:b/>
          <w:bCs/>
          <w:sz w:val="32"/>
          <w:szCs w:val="28"/>
        </w:rPr>
        <w:t>采</w:t>
      </w:r>
      <w:r>
        <w:rPr>
          <w:rFonts w:hint="eastAsia" w:ascii="宋体" w:hAnsi="宋体"/>
          <w:b/>
          <w:bCs/>
          <w:color w:val="000000"/>
          <w:sz w:val="32"/>
          <w:szCs w:val="28"/>
        </w:rPr>
        <w:t xml:space="preserve">购单位：台州市黄岩区中医院（盖章） </w:t>
      </w:r>
    </w:p>
    <w:p>
      <w:pPr>
        <w:adjustRightInd w:val="0"/>
        <w:snapToGrid w:val="0"/>
        <w:spacing w:line="360" w:lineRule="auto"/>
        <w:ind w:firstLine="643" w:firstLineChars="200"/>
        <w:rPr>
          <w:rFonts w:ascii="宋体" w:hAnsi="宋体"/>
          <w:b/>
          <w:bCs/>
          <w:color w:val="000000"/>
          <w:sz w:val="32"/>
          <w:szCs w:val="28"/>
        </w:rPr>
      </w:pPr>
    </w:p>
    <w:p>
      <w:pPr>
        <w:pStyle w:val="31"/>
        <w:ind w:firstLine="560"/>
        <w:rPr>
          <w:sz w:val="28"/>
          <w:lang w:bidi="en-US"/>
        </w:rPr>
      </w:pPr>
    </w:p>
    <w:p>
      <w:pPr>
        <w:adjustRightInd w:val="0"/>
        <w:snapToGrid w:val="0"/>
        <w:spacing w:line="360" w:lineRule="auto"/>
        <w:ind w:firstLine="643" w:firstLineChars="200"/>
        <w:rPr>
          <w:rFonts w:ascii="宋体" w:hAnsi="宋体"/>
          <w:b/>
          <w:bCs/>
          <w:color w:val="000000"/>
          <w:sz w:val="32"/>
          <w:szCs w:val="28"/>
        </w:rPr>
      </w:pPr>
      <w:r>
        <w:rPr>
          <w:rFonts w:hint="eastAsia" w:ascii="宋体" w:hAnsi="宋体"/>
          <w:b/>
          <w:bCs/>
          <w:color w:val="000000"/>
          <w:sz w:val="32"/>
          <w:szCs w:val="28"/>
        </w:rPr>
        <w:t>代理机构：台州市建设咨询有限公司（盖章）</w:t>
      </w:r>
    </w:p>
    <w:p>
      <w:pPr>
        <w:spacing w:line="500" w:lineRule="atLeast"/>
        <w:jc w:val="center"/>
        <w:rPr>
          <w:rFonts w:ascii="宋体" w:hAnsi="宋体"/>
          <w:b/>
          <w:bCs/>
          <w:color w:val="000000"/>
          <w:sz w:val="30"/>
        </w:rPr>
      </w:pPr>
    </w:p>
    <w:p>
      <w:pPr>
        <w:autoSpaceDE w:val="0"/>
        <w:autoSpaceDN w:val="0"/>
        <w:adjustRightInd w:val="0"/>
        <w:spacing w:line="360" w:lineRule="auto"/>
        <w:jc w:val="center"/>
        <w:rPr>
          <w:rFonts w:ascii="宋体" w:hAnsi="宋体"/>
          <w:b/>
          <w:bCs/>
          <w:color w:val="000000"/>
          <w:sz w:val="36"/>
          <w:szCs w:val="28"/>
        </w:rPr>
      </w:pPr>
    </w:p>
    <w:p>
      <w:pPr>
        <w:autoSpaceDE w:val="0"/>
        <w:autoSpaceDN w:val="0"/>
        <w:adjustRightInd w:val="0"/>
        <w:spacing w:line="360" w:lineRule="auto"/>
        <w:jc w:val="center"/>
        <w:rPr>
          <w:rFonts w:ascii="宋体"/>
          <w:kern w:val="0"/>
          <w:sz w:val="36"/>
        </w:rPr>
      </w:pPr>
      <w:r>
        <w:rPr>
          <w:rFonts w:hint="eastAsia" w:ascii="宋体" w:hAnsi="宋体"/>
          <w:b/>
          <w:bCs/>
          <w:color w:val="000000"/>
          <w:sz w:val="36"/>
          <w:szCs w:val="28"/>
        </w:rPr>
        <w:t>2022年</w:t>
      </w:r>
      <w:r>
        <w:rPr>
          <w:rFonts w:hint="eastAsia" w:ascii="宋体" w:hAnsi="宋体"/>
          <w:b/>
          <w:bCs/>
          <w:color w:val="000000"/>
          <w:sz w:val="36"/>
          <w:szCs w:val="28"/>
          <w:lang w:val="en-US" w:eastAsia="zh-CN"/>
        </w:rPr>
        <w:t>8</w:t>
      </w:r>
      <w:r>
        <w:rPr>
          <w:rFonts w:hint="eastAsia" w:ascii="宋体" w:hAnsi="宋体"/>
          <w:b/>
          <w:bCs/>
          <w:color w:val="000000"/>
          <w:sz w:val="36"/>
          <w:szCs w:val="28"/>
        </w:rPr>
        <w:t>月</w:t>
      </w: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sdt>
      <w:sdtPr>
        <w:rPr>
          <w:rFonts w:ascii="宋体" w:hAnsi="宋体"/>
          <w:kern w:val="0"/>
          <w:sz w:val="20"/>
          <w:szCs w:val="20"/>
        </w:rPr>
        <w:id w:val="-1035815583"/>
        <w:docPartObj>
          <w:docPartGallery w:val="Table of Contents"/>
          <w:docPartUnique/>
        </w:docPartObj>
      </w:sdtPr>
      <w:sdtEndPr>
        <w:rPr>
          <w:rFonts w:ascii="Times New Roman" w:hAnsi="Times New Roman"/>
          <w:kern w:val="0"/>
          <w:sz w:val="20"/>
          <w:szCs w:val="20"/>
        </w:rPr>
      </w:sdtEndPr>
      <w:sdtContent>
        <w:p>
          <w:pPr>
            <w:spacing w:line="480" w:lineRule="auto"/>
            <w:jc w:val="center"/>
          </w:pPr>
          <w:bookmarkStart w:id="0" w:name="_Toc19515_WPSOffice_Type1"/>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54"/>
            <w:tabs>
              <w:tab w:val="right" w:leader="dot" w:pos="9070"/>
            </w:tabs>
            <w:spacing w:line="480" w:lineRule="auto"/>
            <w:ind w:firstLine="400" w:firstLineChars="200"/>
            <w:rPr>
              <w:rFonts w:asciiTheme="majorEastAsia" w:hAnsiTheme="majorEastAsia" w:eastAsiaTheme="majorEastAsia" w:cstheme="majorEastAsia"/>
              <w:b/>
              <w:bCs/>
              <w:sz w:val="32"/>
              <w:szCs w:val="32"/>
            </w:rPr>
          </w:pPr>
          <w:r>
            <w:fldChar w:fldCharType="begin"/>
          </w:r>
          <w:r>
            <w:instrText xml:space="preserve"> HYPERLINK \l "_Toc27063_WPSOffice_Level1" </w:instrText>
          </w:r>
          <w:r>
            <w:fldChar w:fldCharType="separate"/>
          </w:r>
          <w:sdt>
            <w:sdtPr>
              <w:rPr>
                <w:rFonts w:hint="eastAsia" w:asciiTheme="majorEastAsia" w:hAnsiTheme="majorEastAsia" w:eastAsiaTheme="majorEastAsia" w:cstheme="majorEastAsia"/>
                <w:b/>
                <w:bCs/>
                <w:sz w:val="32"/>
                <w:szCs w:val="32"/>
              </w:rPr>
              <w:id w:val="147468258"/>
              <w:placeholder>
                <w:docPart w:val="{15c5bee4-aff0-405e-8baf-e1474ab6aef2}"/>
              </w:placeholder>
            </w:sdtPr>
            <w:sdtEndPr>
              <w:rPr>
                <w:rFonts w:hint="eastAsia" w:asciiTheme="majorEastAsia" w:hAnsiTheme="majorEastAsia" w:eastAsiaTheme="majorEastAsia" w:cstheme="majorEastAsia"/>
                <w:b/>
                <w:bCs/>
                <w:sz w:val="32"/>
                <w:szCs w:val="32"/>
              </w:rPr>
            </w:sdtEndPr>
            <w:sdtContent>
              <w:r>
                <w:rPr>
                  <w:rFonts w:hint="eastAsia" w:asciiTheme="majorEastAsia" w:hAnsiTheme="majorEastAsia" w:eastAsiaTheme="majorEastAsia" w:cstheme="majorEastAsia"/>
                  <w:b/>
                  <w:bCs/>
                  <w:sz w:val="32"/>
                  <w:szCs w:val="32"/>
                </w:rPr>
                <w:t>第一章 招标公告</w:t>
              </w:r>
            </w:sdtContent>
          </w:sdt>
          <w:r>
            <w:fldChar w:fldCharType="end"/>
          </w:r>
        </w:p>
        <w:p>
          <w:pPr>
            <w:pStyle w:val="54"/>
            <w:tabs>
              <w:tab w:val="right" w:leader="dot" w:pos="9070"/>
            </w:tabs>
            <w:spacing w:line="480" w:lineRule="auto"/>
            <w:ind w:firstLine="400" w:firstLineChars="200"/>
            <w:rPr>
              <w:rFonts w:asciiTheme="majorEastAsia" w:hAnsiTheme="majorEastAsia" w:eastAsiaTheme="majorEastAsia" w:cstheme="majorEastAsia"/>
              <w:b/>
              <w:bCs/>
              <w:sz w:val="32"/>
              <w:szCs w:val="32"/>
            </w:rPr>
          </w:pPr>
          <w:r>
            <w:fldChar w:fldCharType="begin"/>
          </w:r>
          <w:r>
            <w:instrText xml:space="preserve"> HYPERLINK \l "_Toc19515_WPSOffice_Level1" </w:instrText>
          </w:r>
          <w:r>
            <w:fldChar w:fldCharType="separate"/>
          </w:r>
          <w:sdt>
            <w:sdtPr>
              <w:rPr>
                <w:rFonts w:hint="eastAsia" w:asciiTheme="majorEastAsia" w:hAnsiTheme="majorEastAsia" w:eastAsiaTheme="majorEastAsia" w:cstheme="majorEastAsia"/>
                <w:b/>
                <w:bCs/>
                <w:sz w:val="32"/>
                <w:szCs w:val="32"/>
              </w:rPr>
              <w:id w:val="-1439525333"/>
              <w:placeholder>
                <w:docPart w:val="{d1008825-9349-424a-bfd1-2a8e42ee5854}"/>
              </w:placeholder>
            </w:sdtPr>
            <w:sdtEndPr>
              <w:rPr>
                <w:rFonts w:hint="eastAsia" w:asciiTheme="majorEastAsia" w:hAnsiTheme="majorEastAsia" w:eastAsiaTheme="majorEastAsia" w:cstheme="majorEastAsia"/>
                <w:b/>
                <w:bCs/>
                <w:sz w:val="32"/>
                <w:szCs w:val="32"/>
              </w:rPr>
            </w:sdtEndPr>
            <w:sdtContent>
              <w:r>
                <w:rPr>
                  <w:rFonts w:hint="eastAsia" w:asciiTheme="majorEastAsia" w:hAnsiTheme="majorEastAsia" w:eastAsiaTheme="majorEastAsia" w:cstheme="majorEastAsia"/>
                  <w:b/>
                  <w:bCs/>
                  <w:sz w:val="32"/>
                  <w:szCs w:val="32"/>
                </w:rPr>
                <w:t xml:space="preserve">第二章 </w:t>
              </w:r>
              <w:r>
                <w:rPr>
                  <w:rFonts w:hint="eastAsia" w:asciiTheme="majorEastAsia" w:hAnsiTheme="majorEastAsia" w:eastAsiaTheme="majorEastAsia" w:cstheme="majorEastAsia"/>
                  <w:b/>
                  <w:bCs/>
                  <w:sz w:val="32"/>
                  <w:szCs w:val="32"/>
                  <w:lang w:eastAsia="zh-CN"/>
                </w:rPr>
                <w:t>供应商</w:t>
              </w:r>
              <w:r>
                <w:rPr>
                  <w:rFonts w:hint="eastAsia" w:asciiTheme="majorEastAsia" w:hAnsiTheme="majorEastAsia" w:eastAsiaTheme="majorEastAsia" w:cstheme="majorEastAsia"/>
                  <w:b/>
                  <w:bCs/>
                  <w:sz w:val="32"/>
                  <w:szCs w:val="32"/>
                </w:rPr>
                <w:t>须知</w:t>
              </w:r>
            </w:sdtContent>
          </w:sdt>
          <w:r>
            <w:fldChar w:fldCharType="end"/>
          </w:r>
        </w:p>
        <w:p>
          <w:pPr>
            <w:pStyle w:val="54"/>
            <w:tabs>
              <w:tab w:val="right" w:leader="dot" w:pos="9070"/>
            </w:tabs>
            <w:spacing w:line="480" w:lineRule="auto"/>
            <w:ind w:firstLine="400" w:firstLineChars="200"/>
            <w:rPr>
              <w:rFonts w:asciiTheme="majorEastAsia" w:hAnsiTheme="majorEastAsia" w:eastAsiaTheme="majorEastAsia" w:cstheme="majorEastAsia"/>
              <w:b/>
              <w:bCs/>
              <w:sz w:val="32"/>
              <w:szCs w:val="32"/>
            </w:rPr>
          </w:pPr>
          <w:r>
            <w:fldChar w:fldCharType="begin"/>
          </w:r>
          <w:r>
            <w:instrText xml:space="preserve"> HYPERLINK \l "_Toc13440_WPSOffice_Level1" </w:instrText>
          </w:r>
          <w:r>
            <w:fldChar w:fldCharType="separate"/>
          </w:r>
          <w:sdt>
            <w:sdtPr>
              <w:rPr>
                <w:rFonts w:hint="eastAsia" w:asciiTheme="majorEastAsia" w:hAnsiTheme="majorEastAsia" w:eastAsiaTheme="majorEastAsia" w:cstheme="majorEastAsia"/>
                <w:b/>
                <w:bCs/>
                <w:sz w:val="32"/>
                <w:szCs w:val="32"/>
              </w:rPr>
              <w:id w:val="1387152187"/>
              <w:placeholder>
                <w:docPart w:val="{938f4846-6c85-4e9c-81e4-0ea290204e18}"/>
              </w:placeholder>
            </w:sdtPr>
            <w:sdtEndPr>
              <w:rPr>
                <w:rFonts w:hint="eastAsia" w:asciiTheme="majorEastAsia" w:hAnsiTheme="majorEastAsia" w:eastAsiaTheme="majorEastAsia" w:cstheme="majorEastAsia"/>
                <w:b/>
                <w:bCs/>
                <w:sz w:val="32"/>
                <w:szCs w:val="32"/>
              </w:rPr>
            </w:sdtEndPr>
            <w:sdtContent>
              <w:r>
                <w:rPr>
                  <w:rFonts w:hint="eastAsia" w:asciiTheme="majorEastAsia" w:hAnsiTheme="majorEastAsia" w:eastAsiaTheme="majorEastAsia" w:cstheme="majorEastAsia"/>
                  <w:b/>
                  <w:bCs/>
                  <w:sz w:val="32"/>
                  <w:szCs w:val="32"/>
                </w:rPr>
                <w:t>第三章 评标办法及评分标准</w:t>
              </w:r>
            </w:sdtContent>
          </w:sdt>
          <w:r>
            <w:fldChar w:fldCharType="end"/>
          </w:r>
        </w:p>
        <w:p>
          <w:pPr>
            <w:pStyle w:val="54"/>
            <w:tabs>
              <w:tab w:val="right" w:leader="dot" w:pos="9070"/>
            </w:tabs>
            <w:spacing w:line="480" w:lineRule="auto"/>
            <w:ind w:firstLine="400" w:firstLineChars="200"/>
            <w:rPr>
              <w:rFonts w:asciiTheme="majorEastAsia" w:hAnsiTheme="majorEastAsia" w:eastAsiaTheme="majorEastAsia" w:cstheme="majorEastAsia"/>
              <w:b/>
              <w:bCs/>
              <w:sz w:val="32"/>
              <w:szCs w:val="32"/>
            </w:rPr>
          </w:pPr>
          <w:r>
            <w:fldChar w:fldCharType="begin"/>
          </w:r>
          <w:r>
            <w:instrText xml:space="preserve"> HYPERLINK \l "_Toc11396_WPSOffice_Level1" </w:instrText>
          </w:r>
          <w:r>
            <w:fldChar w:fldCharType="separate"/>
          </w:r>
          <w:sdt>
            <w:sdtPr>
              <w:rPr>
                <w:rFonts w:hint="eastAsia" w:asciiTheme="majorEastAsia" w:hAnsiTheme="majorEastAsia" w:eastAsiaTheme="majorEastAsia" w:cstheme="majorEastAsia"/>
                <w:b/>
                <w:bCs/>
                <w:sz w:val="32"/>
                <w:szCs w:val="32"/>
              </w:rPr>
              <w:id w:val="-1906984127"/>
              <w:placeholder>
                <w:docPart w:val="{87445479-ce5c-480e-930a-de095333bcde}"/>
              </w:placeholder>
            </w:sdtPr>
            <w:sdtEndPr>
              <w:rPr>
                <w:rFonts w:hint="eastAsia" w:asciiTheme="majorEastAsia" w:hAnsiTheme="majorEastAsia" w:eastAsiaTheme="majorEastAsia" w:cstheme="majorEastAsia"/>
                <w:b/>
                <w:bCs/>
                <w:sz w:val="32"/>
                <w:szCs w:val="32"/>
              </w:rPr>
            </w:sdtEndPr>
            <w:sdtContent>
              <w:r>
                <w:rPr>
                  <w:rFonts w:hint="eastAsia" w:asciiTheme="majorEastAsia" w:hAnsiTheme="majorEastAsia" w:eastAsiaTheme="majorEastAsia" w:cstheme="majorEastAsia"/>
                  <w:b/>
                  <w:bCs/>
                  <w:sz w:val="32"/>
                  <w:szCs w:val="32"/>
                </w:rPr>
                <w:t xml:space="preserve">第四章 </w:t>
              </w:r>
              <w:r>
                <w:rPr>
                  <w:rFonts w:hint="eastAsia" w:asciiTheme="majorEastAsia" w:hAnsiTheme="majorEastAsia" w:eastAsiaTheme="majorEastAsia" w:cstheme="majorEastAsia"/>
                  <w:b/>
                  <w:bCs/>
                  <w:sz w:val="32"/>
                  <w:szCs w:val="32"/>
                  <w:lang w:eastAsia="zh-CN"/>
                </w:rPr>
                <w:t>采购需求</w:t>
              </w:r>
            </w:sdtContent>
          </w:sdt>
          <w:r>
            <w:fldChar w:fldCharType="end"/>
          </w:r>
        </w:p>
        <w:p>
          <w:pPr>
            <w:pStyle w:val="54"/>
            <w:tabs>
              <w:tab w:val="right" w:leader="dot" w:pos="9070"/>
            </w:tabs>
            <w:spacing w:line="480" w:lineRule="auto"/>
            <w:ind w:firstLine="400" w:firstLineChars="200"/>
            <w:rPr>
              <w:rFonts w:asciiTheme="majorEastAsia" w:hAnsiTheme="majorEastAsia" w:eastAsiaTheme="majorEastAsia" w:cstheme="majorEastAsia"/>
              <w:b/>
              <w:bCs/>
              <w:sz w:val="32"/>
              <w:szCs w:val="32"/>
            </w:rPr>
          </w:pPr>
          <w:r>
            <w:fldChar w:fldCharType="begin"/>
          </w:r>
          <w:r>
            <w:instrText xml:space="preserve"> HYPERLINK \l "_Toc496_WPSOffice_Level1" </w:instrText>
          </w:r>
          <w:r>
            <w:fldChar w:fldCharType="separate"/>
          </w:r>
          <w:sdt>
            <w:sdtPr>
              <w:rPr>
                <w:rFonts w:hint="eastAsia" w:asciiTheme="majorEastAsia" w:hAnsiTheme="majorEastAsia" w:eastAsiaTheme="majorEastAsia" w:cstheme="majorEastAsia"/>
                <w:b/>
                <w:bCs/>
                <w:sz w:val="32"/>
                <w:szCs w:val="32"/>
              </w:rPr>
              <w:id w:val="32546278"/>
              <w:placeholder>
                <w:docPart w:val="{b7f3a178-3605-4e62-8cc8-da812fdfcade}"/>
              </w:placeholder>
            </w:sdtPr>
            <w:sdtEndPr>
              <w:rPr>
                <w:rFonts w:hint="eastAsia" w:asciiTheme="majorEastAsia" w:hAnsiTheme="majorEastAsia" w:eastAsiaTheme="majorEastAsia" w:cstheme="majorEastAsia"/>
                <w:b/>
                <w:bCs/>
                <w:sz w:val="32"/>
                <w:szCs w:val="32"/>
              </w:rPr>
            </w:sdtEndPr>
            <w:sdtContent>
              <w:r>
                <w:rPr>
                  <w:rFonts w:hint="eastAsia" w:asciiTheme="majorEastAsia" w:hAnsiTheme="majorEastAsia" w:eastAsiaTheme="majorEastAsia" w:cstheme="majorEastAsia"/>
                  <w:b/>
                  <w:bCs/>
                  <w:sz w:val="32"/>
                  <w:szCs w:val="32"/>
                </w:rPr>
                <w:t>第五章 政府采购合同主要条款</w:t>
              </w:r>
            </w:sdtContent>
          </w:sdt>
          <w:r>
            <w:fldChar w:fldCharType="end"/>
          </w:r>
        </w:p>
        <w:p>
          <w:pPr>
            <w:pStyle w:val="54"/>
            <w:tabs>
              <w:tab w:val="right" w:leader="dot" w:pos="9070"/>
            </w:tabs>
            <w:spacing w:line="480" w:lineRule="auto"/>
            <w:ind w:firstLine="400" w:firstLineChars="200"/>
          </w:pPr>
          <w:r>
            <w:fldChar w:fldCharType="begin"/>
          </w:r>
          <w:r>
            <w:instrText xml:space="preserve"> HYPERLINK \l "_Toc6521_WPSOffice_Level1" </w:instrText>
          </w:r>
          <w:r>
            <w:fldChar w:fldCharType="separate"/>
          </w:r>
          <w:sdt>
            <w:sdtPr>
              <w:rPr>
                <w:rFonts w:hint="eastAsia" w:asciiTheme="majorEastAsia" w:hAnsiTheme="majorEastAsia" w:eastAsiaTheme="majorEastAsia" w:cstheme="majorEastAsia"/>
                <w:b/>
                <w:bCs/>
                <w:sz w:val="32"/>
                <w:szCs w:val="32"/>
              </w:rPr>
              <w:id w:val="-610892463"/>
            </w:sdtPr>
            <w:sdtEndPr>
              <w:rPr>
                <w:rFonts w:hint="eastAsia" w:asciiTheme="majorEastAsia" w:hAnsiTheme="majorEastAsia" w:eastAsiaTheme="majorEastAsia" w:cstheme="majorEastAsia"/>
                <w:b/>
                <w:bCs/>
                <w:sz w:val="32"/>
                <w:szCs w:val="32"/>
              </w:rPr>
            </w:sdtEndPr>
            <w:sdtContent>
              <w:r>
                <w:rPr>
                  <w:rFonts w:hint="eastAsia" w:asciiTheme="majorEastAsia" w:hAnsiTheme="majorEastAsia" w:eastAsiaTheme="majorEastAsia" w:cstheme="majorEastAsia"/>
                  <w:b/>
                  <w:bCs/>
                  <w:sz w:val="32"/>
                  <w:szCs w:val="32"/>
                </w:rPr>
                <w:t>第六章 投标文件格式</w:t>
              </w:r>
            </w:sdtContent>
          </w:sdt>
          <w:r>
            <w:fldChar w:fldCharType="end"/>
          </w:r>
        </w:p>
        <w:p>
          <w:pPr>
            <w:pStyle w:val="54"/>
            <w:tabs>
              <w:tab w:val="right" w:leader="dot" w:pos="9070"/>
            </w:tabs>
          </w:pPr>
        </w:p>
      </w:sdtContent>
    </w:sdt>
    <w:bookmarkEnd w:id="0"/>
    <w:p>
      <w:pPr>
        <w:pStyle w:val="54"/>
        <w:tabs>
          <w:tab w:val="right" w:leader="dot" w:pos="9070"/>
        </w:tabs>
        <w:rPr>
          <w:rFonts w:ascii="宋体" w:hAnsi="宋体"/>
          <w:sz w:val="21"/>
        </w:rPr>
      </w:pPr>
    </w:p>
    <w:p>
      <w:pPr>
        <w:pStyle w:val="54"/>
        <w:tabs>
          <w:tab w:val="right" w:leader="dot" w:pos="9070"/>
        </w:tabs>
      </w:pPr>
      <w:bookmarkStart w:id="1" w:name="_Toc26655_WPSOffice_Type1"/>
    </w:p>
    <w:bookmarkEnd w:id="1"/>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sectPr>
          <w:pgSz w:w="11906" w:h="16838"/>
          <w:pgMar w:top="1701" w:right="1418" w:bottom="1588" w:left="1418" w:header="851" w:footer="851" w:gutter="0"/>
          <w:pgNumType w:start="1"/>
          <w:cols w:space="720" w:num="1"/>
          <w:docGrid w:linePitch="312" w:charSpace="0"/>
        </w:sectPr>
      </w:pP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2" w:name="_Toc27063_WPSOffice_Level1"/>
      <w:bookmarkStart w:id="3" w:name="_Toc8333_WPSOffice_Level1"/>
      <w:r>
        <w:rPr>
          <w:rFonts w:hint="eastAsia" w:ascii="宋体" w:hAnsi="宋体" w:cs="宋体"/>
          <w:b/>
          <w:kern w:val="0"/>
          <w:sz w:val="36"/>
          <w:szCs w:val="36"/>
        </w:rPr>
        <w:t>招标公告</w:t>
      </w:r>
      <w:bookmarkEnd w:id="2"/>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bookmarkStart w:id="4" w:name="_Toc28359010"/>
      <w:bookmarkStart w:id="5" w:name="_Toc28359087"/>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color w:val="auto"/>
          <w:szCs w:val="21"/>
          <w:highlight w:val="none"/>
        </w:rPr>
      </w:pPr>
      <w:r>
        <w:rPr>
          <w:rFonts w:hint="eastAsia" w:ascii="宋体" w:hAnsi="宋体" w:cs="宋体"/>
          <w:color w:val="000000"/>
          <w:szCs w:val="21"/>
          <w:lang w:eastAsia="zh-CN"/>
        </w:rPr>
        <w:t>医用气体成套设备采</w:t>
      </w:r>
      <w:r>
        <w:rPr>
          <w:rFonts w:hint="eastAsia" w:ascii="宋体" w:hAnsi="宋体" w:cs="宋体"/>
          <w:color w:val="auto"/>
          <w:szCs w:val="21"/>
          <w:highlight w:val="none"/>
          <w:lang w:eastAsia="zh-CN"/>
        </w:rPr>
        <w:t>购项目</w:t>
      </w:r>
      <w:r>
        <w:rPr>
          <w:rFonts w:hint="eastAsia" w:ascii="宋体" w:hAnsi="宋体" w:cs="宋体"/>
          <w:color w:val="auto"/>
          <w:szCs w:val="21"/>
          <w:highlight w:val="none"/>
        </w:rPr>
        <w:t>的潜在供应商应在浙江政府采购网（http://zfcg.czt.zj.gov.cn）获取（下载）采购文件，并于</w:t>
      </w:r>
      <w:r>
        <w:rPr>
          <w:rFonts w:hint="eastAsia" w:ascii="宋体" w:hAnsi="宋体" w:cs="宋体"/>
          <w:color w:val="auto"/>
          <w:szCs w:val="21"/>
          <w:highlight w:val="none"/>
          <w:shd w:val="clear" w:color="auto"/>
        </w:rPr>
        <w:t xml:space="preserve">2022年 </w:t>
      </w:r>
      <w:r>
        <w:rPr>
          <w:rFonts w:hint="eastAsia" w:ascii="宋体" w:hAnsi="宋体" w:cs="宋体"/>
          <w:color w:val="auto"/>
          <w:szCs w:val="21"/>
          <w:highlight w:val="none"/>
          <w:shd w:val="clear" w:color="auto"/>
          <w:lang w:val="en-US" w:eastAsia="zh-CN"/>
        </w:rPr>
        <w:t>8</w:t>
      </w:r>
      <w:r>
        <w:rPr>
          <w:rFonts w:hint="eastAsia" w:ascii="宋体" w:hAnsi="宋体" w:cs="宋体"/>
          <w:color w:val="auto"/>
          <w:szCs w:val="21"/>
          <w:highlight w:val="none"/>
          <w:shd w:val="clear" w:color="auto"/>
        </w:rPr>
        <w:t xml:space="preserve"> 月 </w:t>
      </w:r>
      <w:r>
        <w:rPr>
          <w:rFonts w:hint="eastAsia" w:ascii="宋体" w:hAnsi="宋体" w:cs="宋体"/>
          <w:color w:val="auto"/>
          <w:szCs w:val="21"/>
          <w:highlight w:val="none"/>
          <w:shd w:val="clear" w:color="auto"/>
          <w:lang w:val="en-US" w:eastAsia="zh-CN"/>
        </w:rPr>
        <w:t>25</w:t>
      </w:r>
      <w:r>
        <w:rPr>
          <w:rFonts w:hint="eastAsia" w:ascii="宋体" w:hAnsi="宋体" w:cs="宋体"/>
          <w:color w:val="auto"/>
          <w:szCs w:val="21"/>
          <w:highlight w:val="none"/>
          <w:shd w:val="clear" w:color="auto"/>
        </w:rPr>
        <w:t xml:space="preserve">  日14:30(北京时间)前提交（上传）投标文件。                  </w:t>
      </w:r>
      <w:r>
        <w:rPr>
          <w:rFonts w:hint="eastAsia" w:ascii="宋体" w:hAnsi="宋体" w:cs="宋体"/>
          <w:color w:val="auto"/>
          <w:szCs w:val="21"/>
          <w:highlight w:val="none"/>
        </w:rPr>
        <w:t>          </w:t>
      </w:r>
    </w:p>
    <w:p>
      <w:pPr>
        <w:pStyle w:val="21"/>
        <w:spacing w:before="0" w:beforeAutospacing="0" w:after="0" w:afterAutospacing="0" w:line="360" w:lineRule="auto"/>
        <w:jc w:val="both"/>
        <w:rPr>
          <w:rFonts w:hint="default" w:cs="宋体"/>
          <w:color w:val="auto"/>
          <w:sz w:val="21"/>
          <w:szCs w:val="21"/>
          <w:highlight w:val="none"/>
        </w:rPr>
      </w:pPr>
      <w:r>
        <w:rPr>
          <w:rStyle w:val="24"/>
          <w:rFonts w:cs="宋体"/>
          <w:color w:val="auto"/>
          <w:sz w:val="21"/>
          <w:szCs w:val="21"/>
          <w:highlight w:val="none"/>
        </w:rPr>
        <w:t>一、项目基本情况</w:t>
      </w:r>
    </w:p>
    <w:p>
      <w:pPr>
        <w:adjustRightInd w:val="0"/>
        <w:snapToGrid w:val="0"/>
        <w:spacing w:line="360" w:lineRule="auto"/>
        <w:ind w:firstLine="420" w:firstLineChars="200"/>
        <w:jc w:val="both"/>
        <w:rPr>
          <w:rFonts w:hint="eastAsia" w:ascii="宋体" w:hAnsi="宋体" w:eastAsia="宋体" w:cs="宋体"/>
          <w:color w:val="auto"/>
          <w:kern w:val="0"/>
          <w:sz w:val="21"/>
          <w:szCs w:val="21"/>
          <w:highlight w:val="none"/>
          <w:lang w:val="en-US" w:eastAsia="zh-CN" w:bidi="ar-SA"/>
        </w:rPr>
      </w:pPr>
      <w:r>
        <w:rPr>
          <w:rFonts w:cs="宋体"/>
          <w:color w:val="auto"/>
          <w:sz w:val="21"/>
          <w:szCs w:val="21"/>
          <w:highlight w:val="none"/>
        </w:rPr>
        <w:t>项目编号：</w:t>
      </w:r>
      <w:r>
        <w:rPr>
          <w:rFonts w:hint="eastAsia" w:ascii="宋体" w:hAnsi="宋体" w:eastAsia="宋体" w:cs="宋体"/>
          <w:color w:val="auto"/>
          <w:kern w:val="0"/>
          <w:sz w:val="21"/>
          <w:szCs w:val="21"/>
          <w:highlight w:val="none"/>
          <w:lang w:val="en-US" w:eastAsia="zh-CN" w:bidi="ar-SA"/>
        </w:rPr>
        <w:t>临【2022】574号</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项目名称：</w:t>
      </w:r>
      <w:r>
        <w:rPr>
          <w:rFonts w:hint="eastAsia" w:cs="宋体"/>
          <w:color w:val="auto"/>
          <w:sz w:val="21"/>
          <w:szCs w:val="21"/>
          <w:highlight w:val="none"/>
          <w:lang w:eastAsia="zh-CN"/>
        </w:rPr>
        <w:t>医用气体成套设备采购项目</w:t>
      </w:r>
      <w:r>
        <w:rPr>
          <w:rFonts w:cs="宋体"/>
          <w:color w:val="auto"/>
          <w:sz w:val="21"/>
          <w:szCs w:val="21"/>
          <w:highlight w:val="none"/>
        </w:rPr>
        <w:t> </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采购方式：公开招标 </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预算金额（元）：5500000  </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最高限价（元）：5500000  </w:t>
      </w:r>
    </w:p>
    <w:p>
      <w:pPr>
        <w:pStyle w:val="21"/>
        <w:spacing w:before="0" w:beforeAutospacing="0" w:after="0" w:afterAutospacing="0" w:line="360" w:lineRule="auto"/>
        <w:ind w:firstLine="420" w:firstLineChars="200"/>
        <w:rPr>
          <w:rFonts w:hint="default" w:cs="宋体"/>
          <w:color w:val="auto"/>
          <w:sz w:val="21"/>
          <w:szCs w:val="21"/>
          <w:highlight w:val="none"/>
          <w:lang w:bidi="ar"/>
        </w:rPr>
      </w:pPr>
      <w:r>
        <w:rPr>
          <w:rFonts w:cs="宋体"/>
          <w:color w:val="auto"/>
          <w:sz w:val="21"/>
          <w:szCs w:val="21"/>
          <w:highlight w:val="none"/>
        </w:rPr>
        <w:t>采购需求：</w:t>
      </w:r>
      <w:r>
        <w:rPr>
          <w:rFonts w:cs="宋体"/>
          <w:color w:val="auto"/>
          <w:sz w:val="21"/>
          <w:szCs w:val="21"/>
          <w:highlight w:val="none"/>
          <w:lang w:bidi="ar"/>
        </w:rPr>
        <w:t xml:space="preserve">      </w:t>
      </w:r>
    </w:p>
    <w:p>
      <w:pPr>
        <w:pStyle w:val="21"/>
        <w:spacing w:before="0" w:beforeAutospacing="0" w:after="0" w:afterAutospacing="0" w:line="360" w:lineRule="auto"/>
        <w:ind w:firstLine="420" w:firstLineChars="200"/>
        <w:rPr>
          <w:rFonts w:hint="default" w:cs="宋体"/>
          <w:color w:val="auto"/>
          <w:sz w:val="21"/>
          <w:szCs w:val="21"/>
          <w:highlight w:val="none"/>
        </w:rPr>
      </w:pPr>
    </w:p>
    <w:p>
      <w:pPr>
        <w:pStyle w:val="21"/>
        <w:spacing w:before="0" w:beforeAutospacing="0" w:after="0" w:afterAutospacing="0" w:line="360" w:lineRule="auto"/>
        <w:ind w:firstLine="420" w:firstLineChars="200"/>
        <w:rPr>
          <w:rFonts w:hint="eastAsia" w:eastAsia="宋体" w:cs="宋体"/>
          <w:color w:val="auto"/>
          <w:sz w:val="21"/>
          <w:szCs w:val="21"/>
          <w:highlight w:val="none"/>
          <w:lang w:eastAsia="zh-CN"/>
        </w:rPr>
      </w:pPr>
      <w:r>
        <w:rPr>
          <w:rFonts w:cs="宋体"/>
          <w:color w:val="auto"/>
          <w:sz w:val="21"/>
          <w:szCs w:val="21"/>
          <w:highlight w:val="none"/>
        </w:rPr>
        <w:t xml:space="preserve">标项名称: </w:t>
      </w:r>
      <w:r>
        <w:rPr>
          <w:rFonts w:hint="eastAsia" w:cs="宋体"/>
          <w:color w:val="auto"/>
          <w:sz w:val="21"/>
          <w:szCs w:val="21"/>
          <w:highlight w:val="none"/>
          <w:lang w:eastAsia="zh-CN"/>
        </w:rPr>
        <w:t>医用气体成套设备采购项目</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数量</w:t>
      </w:r>
      <w:r>
        <w:rPr>
          <w:rFonts w:cs="宋体"/>
          <w:color w:val="auto"/>
          <w:sz w:val="21"/>
          <w:szCs w:val="21"/>
          <w:highlight w:val="none"/>
          <w:lang w:bidi="ar"/>
        </w:rPr>
        <w:t>：1           </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预算金额（元）：5500000 </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单位：项 </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简要规格描述：</w:t>
      </w:r>
      <w:r>
        <w:rPr>
          <w:rFonts w:hint="eastAsia" w:cs="宋体"/>
          <w:color w:val="auto"/>
          <w:sz w:val="21"/>
          <w:szCs w:val="21"/>
          <w:highlight w:val="none"/>
          <w:lang w:eastAsia="zh-CN"/>
        </w:rPr>
        <w:t>包括医用气体设备的采购，运输装卸、就位、安装、调试、试运行、验收、抽样检测、培训及售后服务等工作。</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备注： </w:t>
      </w:r>
    </w:p>
    <w:p>
      <w:pPr>
        <w:keepNext w:val="0"/>
        <w:keepLines w:val="0"/>
        <w:pageBreakBefore w:val="0"/>
        <w:kinsoku/>
        <w:wordWrap/>
        <w:overflowPunct/>
        <w:topLinePunct w:val="0"/>
        <w:bidi w:val="0"/>
        <w:snapToGrid w:val="0"/>
        <w:spacing w:line="300" w:lineRule="exact"/>
        <w:ind w:firstLine="422" w:firstLineChars="200"/>
        <w:textAlignment w:val="auto"/>
        <w:rPr>
          <w:rFonts w:hint="default" w:cs="宋体"/>
          <w:b/>
          <w:bCs/>
          <w:color w:val="FF0000"/>
          <w:sz w:val="21"/>
          <w:szCs w:val="21"/>
          <w:highlight w:val="none"/>
          <w:lang w:eastAsia="zh-CN"/>
        </w:rPr>
      </w:pPr>
      <w:r>
        <w:rPr>
          <w:rFonts w:hint="eastAsia" w:cs="宋体"/>
          <w:b/>
          <w:bCs/>
          <w:color w:val="FF0000"/>
          <w:sz w:val="21"/>
          <w:szCs w:val="21"/>
          <w:highlight w:val="none"/>
          <w:lang w:eastAsia="zh-CN"/>
        </w:rPr>
        <w:t>合同履约期限：</w:t>
      </w:r>
      <w:r>
        <w:rPr>
          <w:rFonts w:hint="eastAsia" w:cs="宋体"/>
          <w:b/>
          <w:bCs/>
          <w:color w:val="FF0000"/>
          <w:sz w:val="21"/>
          <w:szCs w:val="21"/>
          <w:highlight w:val="none"/>
          <w:lang w:val="en-US" w:eastAsia="zh-CN"/>
        </w:rPr>
        <w:t>自合同签订之日起180日历天内</w:t>
      </w:r>
      <w:r>
        <w:rPr>
          <w:rFonts w:hint="eastAsia" w:cs="宋体" w:asciiTheme="minorEastAsia" w:hAnsiTheme="minorEastAsia" w:eastAsiaTheme="minorEastAsia"/>
          <w:b/>
          <w:bCs/>
          <w:color w:val="FF0000"/>
          <w:kern w:val="24"/>
          <w:sz w:val="21"/>
          <w:szCs w:val="21"/>
          <w:lang w:val="en-US" w:eastAsia="zh-CN" w:bidi="ar-SA"/>
        </w:rPr>
        <w:t>系统的就位、安装、调试结束并</w:t>
      </w:r>
      <w:r>
        <w:rPr>
          <w:rFonts w:hint="eastAsia" w:cs="宋体"/>
          <w:b/>
          <w:bCs/>
          <w:color w:val="FF0000"/>
          <w:sz w:val="21"/>
          <w:szCs w:val="21"/>
          <w:highlight w:val="none"/>
          <w:lang w:val="en-US" w:eastAsia="zh-CN"/>
        </w:rPr>
        <w:t xml:space="preserve">经有关部门检验合格（注：需要配合装修工程的施工），在医院正式投入使用后需试运行二个月。   </w:t>
      </w:r>
      <w:r>
        <w:rPr>
          <w:rFonts w:hint="eastAsia" w:cs="宋体"/>
          <w:b/>
          <w:bCs/>
          <w:color w:val="FF0000"/>
          <w:sz w:val="21"/>
          <w:szCs w:val="21"/>
          <w:highlight w:val="none"/>
          <w:lang w:eastAsia="zh-CN"/>
        </w:rPr>
        <w:t> </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本项目（否）接受联合体投标。</w:t>
      </w:r>
    </w:p>
    <w:p>
      <w:pPr>
        <w:pStyle w:val="21"/>
        <w:spacing w:before="0" w:beforeAutospacing="0" w:after="0" w:afterAutospacing="0" w:line="360" w:lineRule="auto"/>
        <w:jc w:val="both"/>
        <w:rPr>
          <w:rFonts w:hint="default" w:cs="宋体"/>
          <w:color w:val="auto"/>
          <w:sz w:val="21"/>
          <w:szCs w:val="21"/>
          <w:highlight w:val="none"/>
        </w:rPr>
      </w:pPr>
      <w:r>
        <w:rPr>
          <w:rFonts w:cs="宋体"/>
          <w:color w:val="auto"/>
          <w:sz w:val="21"/>
          <w:szCs w:val="21"/>
          <w:highlight w:val="none"/>
        </w:rPr>
        <w:t>  </w:t>
      </w:r>
      <w:r>
        <w:rPr>
          <w:rStyle w:val="24"/>
          <w:rFonts w:cs="宋体"/>
          <w:color w:val="auto"/>
          <w:sz w:val="21"/>
          <w:szCs w:val="21"/>
          <w:highlight w:val="none"/>
        </w:rPr>
        <w:t>二、申请人的资格要求：</w:t>
      </w:r>
    </w:p>
    <w:p>
      <w:pPr>
        <w:pStyle w:val="21"/>
        <w:spacing w:before="0" w:beforeAutospacing="0" w:after="0" w:afterAutospacing="0" w:line="360" w:lineRule="auto"/>
        <w:ind w:firstLine="630"/>
        <w:rPr>
          <w:rFonts w:hint="default" w:cs="宋体"/>
          <w:color w:val="auto"/>
          <w:sz w:val="21"/>
          <w:szCs w:val="21"/>
          <w:highlight w:val="none"/>
        </w:rPr>
      </w:pPr>
      <w:r>
        <w:rPr>
          <w:rFonts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1"/>
        <w:spacing w:before="0" w:beforeAutospacing="0" w:after="0" w:afterAutospacing="0" w:line="360" w:lineRule="auto"/>
        <w:ind w:firstLine="630"/>
        <w:rPr>
          <w:rFonts w:hint="default" w:cs="宋体"/>
          <w:color w:val="auto"/>
          <w:sz w:val="21"/>
          <w:szCs w:val="21"/>
          <w:highlight w:val="none"/>
        </w:rPr>
      </w:pPr>
      <w:r>
        <w:rPr>
          <w:rFonts w:cs="宋体"/>
          <w:color w:val="auto"/>
          <w:sz w:val="21"/>
          <w:szCs w:val="21"/>
          <w:highlight w:val="none"/>
        </w:rPr>
        <w:t>2.落实政府采购政策需满足的资格要求：本项目为专门面向中小企业采购的项目，供应商应为中小微企业（监狱企业及残疾人福利性单位视同小型、微型企业）。 </w:t>
      </w:r>
    </w:p>
    <w:p>
      <w:pPr>
        <w:pStyle w:val="21"/>
        <w:spacing w:before="0" w:beforeAutospacing="0" w:after="0" w:afterAutospacing="0" w:line="360" w:lineRule="auto"/>
        <w:ind w:firstLine="630"/>
        <w:rPr>
          <w:rFonts w:hint="default" w:cs="宋体"/>
          <w:color w:val="auto"/>
          <w:sz w:val="21"/>
          <w:szCs w:val="21"/>
          <w:highlight w:val="none"/>
        </w:rPr>
      </w:pPr>
      <w:r>
        <w:rPr>
          <w:rFonts w:cs="宋体"/>
          <w:color w:val="auto"/>
          <w:sz w:val="21"/>
          <w:szCs w:val="21"/>
          <w:highlight w:val="none"/>
        </w:rPr>
        <w:t>3.本项目的特定资格要求：</w:t>
      </w:r>
    </w:p>
    <w:p>
      <w:pPr>
        <w:adjustRightInd w:val="0"/>
        <w:snapToGrid w:val="0"/>
        <w:spacing w:line="360" w:lineRule="auto"/>
        <w:rPr>
          <w:rFonts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lang w:eastAsia="zh-CN"/>
        </w:rPr>
        <w:t>（</w:t>
      </w:r>
      <w:r>
        <w:rPr>
          <w:rFonts w:hint="eastAsia" w:ascii="Times New Roman" w:hAnsi="Times New Roman" w:eastAsia="宋体" w:cs="宋体"/>
          <w:b/>
          <w:bCs/>
          <w:color w:val="auto"/>
          <w:sz w:val="21"/>
          <w:szCs w:val="21"/>
          <w:highlight w:val="none"/>
          <w:lang w:val="en-US" w:eastAsia="zh-CN"/>
        </w:rPr>
        <w:t>1</w:t>
      </w:r>
      <w:r>
        <w:rPr>
          <w:rFonts w:hint="eastAsia" w:ascii="Times New Roman" w:hAnsi="Times New Roman" w:eastAsia="宋体" w:cs="宋体"/>
          <w:b/>
          <w:bCs/>
          <w:color w:val="auto"/>
          <w:sz w:val="21"/>
          <w:szCs w:val="21"/>
          <w:highlight w:val="none"/>
          <w:lang w:eastAsia="zh-CN"/>
        </w:rPr>
        <w:t>）</w:t>
      </w:r>
      <w:r>
        <w:rPr>
          <w:rFonts w:ascii="Times New Roman" w:hAnsi="Times New Roman" w:eastAsia="宋体" w:cs="宋体"/>
          <w:b/>
          <w:bCs/>
          <w:color w:val="auto"/>
          <w:sz w:val="21"/>
          <w:szCs w:val="21"/>
          <w:highlight w:val="none"/>
        </w:rPr>
        <w:t>具有</w:t>
      </w:r>
      <w:r>
        <w:rPr>
          <w:rFonts w:hint="eastAsia" w:ascii="宋体" w:hAnsi="宋体" w:cs="宋体"/>
          <w:b/>
          <w:color w:val="auto"/>
          <w:szCs w:val="21"/>
          <w:highlight w:val="none"/>
          <w:lang w:bidi="ar"/>
        </w:rPr>
        <w:t>建筑机电安装工程专业承包</w:t>
      </w:r>
      <w:r>
        <w:rPr>
          <w:rFonts w:hint="eastAsia" w:ascii="宋体" w:hAnsi="宋体" w:cs="宋体"/>
          <w:b/>
          <w:color w:val="auto"/>
          <w:szCs w:val="21"/>
          <w:highlight w:val="none"/>
          <w:lang w:val="en-US" w:eastAsia="zh-CN" w:bidi="ar"/>
        </w:rPr>
        <w:t>叁</w:t>
      </w:r>
      <w:r>
        <w:rPr>
          <w:rFonts w:hint="eastAsia" w:ascii="宋体" w:hAnsi="宋体" w:cs="宋体"/>
          <w:b/>
          <w:color w:val="auto"/>
          <w:szCs w:val="21"/>
          <w:highlight w:val="none"/>
          <w:lang w:bidi="ar"/>
        </w:rPr>
        <w:t>级及以上资质或者机电工程施工总承包</w:t>
      </w:r>
      <w:r>
        <w:rPr>
          <w:rFonts w:hint="eastAsia" w:ascii="宋体" w:hAnsi="宋体" w:cs="宋体"/>
          <w:b/>
          <w:color w:val="auto"/>
          <w:szCs w:val="21"/>
          <w:highlight w:val="none"/>
          <w:lang w:val="en-US" w:eastAsia="zh-CN" w:bidi="ar"/>
        </w:rPr>
        <w:t>叁</w:t>
      </w:r>
      <w:r>
        <w:rPr>
          <w:rFonts w:hint="eastAsia" w:ascii="宋体" w:hAnsi="宋体" w:cs="宋体"/>
          <w:b/>
          <w:color w:val="auto"/>
          <w:szCs w:val="21"/>
          <w:highlight w:val="none"/>
          <w:lang w:bidi="ar"/>
        </w:rPr>
        <w:t>级及以上资质</w:t>
      </w:r>
      <w:r>
        <w:rPr>
          <w:rFonts w:hint="eastAsia" w:ascii="Times New Roman" w:hAnsi="Times New Roman" w:eastAsia="宋体" w:cs="宋体"/>
          <w:b/>
          <w:bCs/>
          <w:color w:val="auto"/>
          <w:sz w:val="21"/>
          <w:szCs w:val="21"/>
          <w:highlight w:val="none"/>
          <w:lang w:eastAsia="zh-CN"/>
        </w:rPr>
        <w:t>，</w:t>
      </w:r>
      <w:r>
        <w:rPr>
          <w:rFonts w:hint="eastAsia" w:ascii="Times New Roman" w:hAnsi="Times New Roman" w:eastAsia="宋体" w:cs="宋体"/>
          <w:b/>
          <w:bCs/>
          <w:color w:val="auto"/>
          <w:sz w:val="21"/>
          <w:szCs w:val="21"/>
          <w:highlight w:val="none"/>
          <w:lang w:val="en-US" w:eastAsia="zh-CN"/>
        </w:rPr>
        <w:t>同时</w:t>
      </w:r>
      <w:r>
        <w:rPr>
          <w:rFonts w:hint="eastAsia" w:ascii="Times New Roman" w:hAnsi="Times New Roman" w:eastAsia="宋体" w:cs="宋体"/>
          <w:b/>
          <w:bCs/>
          <w:color w:val="auto"/>
          <w:sz w:val="21"/>
          <w:szCs w:val="21"/>
          <w:highlight w:val="none"/>
        </w:rPr>
        <w:t>具备有效期内的安全生产许可证。</w:t>
      </w:r>
    </w:p>
    <w:p>
      <w:pPr>
        <w:pStyle w:val="21"/>
        <w:numPr>
          <w:ilvl w:val="0"/>
          <w:numId w:val="0"/>
        </w:numPr>
        <w:spacing w:before="0" w:beforeAutospacing="0" w:after="0" w:afterAutospacing="0" w:line="360" w:lineRule="auto"/>
        <w:rPr>
          <w:rFonts w:hint="default" w:cs="宋体"/>
          <w:b/>
          <w:bCs/>
          <w:color w:val="auto"/>
          <w:sz w:val="21"/>
          <w:szCs w:val="21"/>
          <w:highlight w:val="none"/>
        </w:rPr>
      </w:pP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2</w:t>
      </w:r>
      <w:r>
        <w:rPr>
          <w:rFonts w:hint="eastAsia" w:cs="宋体"/>
          <w:b/>
          <w:bCs/>
          <w:color w:val="auto"/>
          <w:sz w:val="21"/>
          <w:szCs w:val="21"/>
          <w:highlight w:val="none"/>
          <w:lang w:eastAsia="zh-CN"/>
        </w:rPr>
        <w:t>）</w:t>
      </w:r>
      <w:r>
        <w:rPr>
          <w:rFonts w:cs="宋体"/>
          <w:b/>
          <w:bCs/>
          <w:color w:val="auto"/>
          <w:sz w:val="21"/>
          <w:szCs w:val="21"/>
          <w:highlight w:val="none"/>
        </w:rPr>
        <w:t>具有《医疗器械生产企业许可证》；</w:t>
      </w:r>
    </w:p>
    <w:p>
      <w:pPr>
        <w:pStyle w:val="21"/>
        <w:numPr>
          <w:ilvl w:val="0"/>
          <w:numId w:val="0"/>
        </w:numPr>
        <w:spacing w:before="0" w:beforeAutospacing="0" w:after="0" w:afterAutospacing="0" w:line="360" w:lineRule="auto"/>
        <w:rPr>
          <w:rFonts w:hint="default" w:cs="宋体"/>
          <w:b/>
          <w:bCs/>
          <w:color w:val="auto"/>
          <w:sz w:val="21"/>
          <w:szCs w:val="21"/>
          <w:highlight w:val="none"/>
        </w:rPr>
      </w:pP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3</w:t>
      </w:r>
      <w:r>
        <w:rPr>
          <w:rFonts w:hint="eastAsia" w:cs="宋体"/>
          <w:b/>
          <w:bCs/>
          <w:color w:val="auto"/>
          <w:sz w:val="21"/>
          <w:szCs w:val="21"/>
          <w:highlight w:val="none"/>
          <w:lang w:eastAsia="zh-CN"/>
        </w:rPr>
        <w:t>）</w:t>
      </w:r>
      <w:r>
        <w:rPr>
          <w:rFonts w:cs="宋体"/>
          <w:b/>
          <w:bCs/>
          <w:color w:val="auto"/>
          <w:sz w:val="21"/>
          <w:szCs w:val="21"/>
          <w:highlight w:val="none"/>
        </w:rPr>
        <w:t>具有《医疗器械经营许可证》或《医疗器械经营备案证》；</w:t>
      </w:r>
    </w:p>
    <w:p>
      <w:pPr>
        <w:pStyle w:val="21"/>
        <w:numPr>
          <w:ilvl w:val="0"/>
          <w:numId w:val="0"/>
        </w:numPr>
        <w:spacing w:before="0" w:beforeAutospacing="0" w:after="0" w:afterAutospacing="0" w:line="360" w:lineRule="auto"/>
        <w:rPr>
          <w:rFonts w:hint="default" w:cs="宋体"/>
          <w:b/>
          <w:bCs/>
          <w:color w:val="auto"/>
          <w:sz w:val="21"/>
          <w:szCs w:val="21"/>
          <w:highlight w:val="none"/>
        </w:rPr>
      </w:pP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4</w:t>
      </w:r>
      <w:r>
        <w:rPr>
          <w:rFonts w:hint="eastAsia" w:cs="宋体"/>
          <w:b/>
          <w:bCs/>
          <w:color w:val="auto"/>
          <w:sz w:val="21"/>
          <w:szCs w:val="21"/>
          <w:highlight w:val="none"/>
          <w:lang w:eastAsia="zh-CN"/>
        </w:rPr>
        <w:t>）</w:t>
      </w:r>
      <w:r>
        <w:rPr>
          <w:rFonts w:cs="宋体"/>
          <w:b/>
          <w:bCs/>
          <w:color w:val="auto"/>
          <w:sz w:val="21"/>
          <w:szCs w:val="21"/>
          <w:highlight w:val="none"/>
        </w:rPr>
        <w:t>具有有效期内的“医用中心吸引系统”、“医用中心供氧系统”中华人民共和国医疗器械注册证书；</w:t>
      </w:r>
    </w:p>
    <w:p>
      <w:pPr>
        <w:pStyle w:val="21"/>
        <w:numPr>
          <w:ilvl w:val="0"/>
          <w:numId w:val="0"/>
        </w:numPr>
        <w:spacing w:before="0" w:beforeAutospacing="0" w:after="0" w:afterAutospacing="0" w:line="360" w:lineRule="auto"/>
        <w:rPr>
          <w:rFonts w:hint="default" w:cs="宋体"/>
          <w:b/>
          <w:bCs/>
          <w:color w:val="auto"/>
          <w:sz w:val="21"/>
          <w:szCs w:val="21"/>
          <w:highlight w:val="none"/>
        </w:rPr>
      </w:pPr>
      <w:r>
        <w:rPr>
          <w:rFonts w:hint="eastAsia" w:cs="宋体"/>
          <w:b/>
          <w:bCs/>
          <w:color w:val="auto"/>
          <w:sz w:val="21"/>
          <w:szCs w:val="21"/>
          <w:highlight w:val="none"/>
          <w:lang w:eastAsia="zh-CN"/>
        </w:rPr>
        <w:t>（</w:t>
      </w:r>
      <w:r>
        <w:rPr>
          <w:rFonts w:hint="eastAsia" w:cs="宋体"/>
          <w:b/>
          <w:bCs/>
          <w:color w:val="auto"/>
          <w:sz w:val="21"/>
          <w:szCs w:val="21"/>
          <w:highlight w:val="none"/>
          <w:lang w:val="en-US" w:eastAsia="zh-CN"/>
        </w:rPr>
        <w:t>5</w:t>
      </w:r>
      <w:r>
        <w:rPr>
          <w:rFonts w:hint="eastAsia" w:cs="宋体"/>
          <w:b/>
          <w:bCs/>
          <w:color w:val="auto"/>
          <w:sz w:val="21"/>
          <w:szCs w:val="21"/>
          <w:highlight w:val="none"/>
          <w:lang w:eastAsia="zh-CN"/>
        </w:rPr>
        <w:t>）</w:t>
      </w:r>
      <w:r>
        <w:rPr>
          <w:rFonts w:cs="宋体"/>
          <w:b/>
          <w:bCs/>
          <w:color w:val="auto"/>
          <w:sz w:val="21"/>
          <w:szCs w:val="21"/>
          <w:highlight w:val="none"/>
        </w:rPr>
        <w:t>具有有效期内的“医用压缩空气系统或医用空气集中供应系统”中华人民共和国医疗器械注册证书；</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lang w:val="en-US" w:eastAsia="zh-CN"/>
        </w:rPr>
      </w:pPr>
      <w:r>
        <w:rPr>
          <w:rFonts w:hint="eastAsia" w:ascii="宋体" w:hAnsi="宋体" w:eastAsia="宋体" w:cs="宋体"/>
          <w:b/>
          <w:bCs/>
          <w:color w:val="auto"/>
          <w:kern w:val="0"/>
          <w:sz w:val="21"/>
          <w:szCs w:val="21"/>
          <w:highlight w:val="none"/>
          <w:lang w:val="en-US" w:eastAsia="zh-CN" w:bidi="ar-SA"/>
        </w:rPr>
        <w:t>（6）具有中华人民共和国特种设备安装改造维修许可证（压力管道GC2级及以上）或特种设备生产许可证（工业管道GC2级）；</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注：《省外企业进浙承接业务备案证明》或“浙江省建筑市场监管公共服务系统”对外发布的通过审核形成的备案信息网页截图（仅指浙江省省外企业）。</w:t>
      </w:r>
      <w:bookmarkStart w:id="90" w:name="_GoBack"/>
      <w:bookmarkEnd w:id="90"/>
    </w:p>
    <w:p>
      <w:pPr>
        <w:pStyle w:val="2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不允许联合体投标。</w:t>
      </w:r>
    </w:p>
    <w:p>
      <w:pPr>
        <w:pStyle w:val="21"/>
        <w:spacing w:before="0" w:beforeAutospacing="0" w:after="0" w:afterAutospacing="0" w:line="360" w:lineRule="auto"/>
        <w:jc w:val="both"/>
        <w:rPr>
          <w:rStyle w:val="24"/>
          <w:rFonts w:hint="default"/>
          <w:color w:val="auto"/>
          <w:highlight w:val="none"/>
        </w:rPr>
      </w:pPr>
      <w:r>
        <w:rPr>
          <w:rStyle w:val="24"/>
          <w:rFonts w:cs="宋体"/>
          <w:color w:val="auto"/>
          <w:sz w:val="21"/>
          <w:szCs w:val="21"/>
          <w:highlight w:val="none"/>
        </w:rPr>
        <w:t>三、获取招标文件</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 xml:space="preserve">时间：/至2022年  </w:t>
      </w:r>
      <w:r>
        <w:rPr>
          <w:rFonts w:hint="eastAsia" w:cs="宋体"/>
          <w:color w:val="auto"/>
          <w:sz w:val="21"/>
          <w:szCs w:val="21"/>
          <w:highlight w:val="none"/>
          <w:lang w:val="en-US" w:eastAsia="zh-CN"/>
        </w:rPr>
        <w:t>8</w:t>
      </w:r>
      <w:r>
        <w:rPr>
          <w:rFonts w:cs="宋体"/>
          <w:color w:val="auto"/>
          <w:sz w:val="21"/>
          <w:szCs w:val="21"/>
          <w:highlight w:val="none"/>
        </w:rPr>
        <w:t xml:space="preserve"> 月  </w:t>
      </w:r>
      <w:r>
        <w:rPr>
          <w:rFonts w:hint="eastAsia" w:cs="宋体"/>
          <w:color w:val="auto"/>
          <w:sz w:val="21"/>
          <w:szCs w:val="21"/>
          <w:highlight w:val="none"/>
          <w:lang w:val="en-US" w:eastAsia="zh-CN"/>
        </w:rPr>
        <w:t>25</w:t>
      </w:r>
      <w:r>
        <w:rPr>
          <w:rFonts w:cs="宋体"/>
          <w:color w:val="auto"/>
          <w:sz w:val="21"/>
          <w:szCs w:val="21"/>
          <w:highlight w:val="none"/>
        </w:rPr>
        <w:t xml:space="preserve">  日，每天上午00:00至12:00，下午12:00至23:59（北京时间，线上获取法定节假日均可，线下获取文件法定节假日除外）</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地点（网址）：浙江政府采购网（http://zfcg.czt.zj.gov.cn） </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方式：供应商登录政采云平台https://www.zcygov.cn/在线申请获取采购文件（进入“项目采购”应用，在获取采购文件菜单中选择项目，申请获取采购文件） </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售价（元）：0 </w:t>
      </w:r>
    </w:p>
    <w:p>
      <w:pPr>
        <w:pStyle w:val="21"/>
        <w:spacing w:before="0" w:beforeAutospacing="0" w:after="0" w:afterAutospacing="0" w:line="360" w:lineRule="auto"/>
        <w:jc w:val="both"/>
        <w:rPr>
          <w:rStyle w:val="24"/>
          <w:rFonts w:hint="default"/>
          <w:color w:val="auto"/>
          <w:highlight w:val="none"/>
        </w:rPr>
      </w:pPr>
      <w:r>
        <w:rPr>
          <w:rStyle w:val="24"/>
          <w:rFonts w:cs="宋体"/>
          <w:color w:val="auto"/>
          <w:sz w:val="21"/>
          <w:szCs w:val="21"/>
          <w:highlight w:val="none"/>
        </w:rPr>
        <w:t>四、提交投标文件截止时间、开标时间和地点</w:t>
      </w:r>
      <w:r>
        <w:rPr>
          <w:rStyle w:val="24"/>
          <w:color w:val="auto"/>
          <w:highlight w:val="none"/>
        </w:rPr>
        <w:t> </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 xml:space="preserve">提交投标文件截止时间：2022年  </w:t>
      </w:r>
      <w:r>
        <w:rPr>
          <w:rFonts w:hint="eastAsia" w:cs="宋体"/>
          <w:color w:val="auto"/>
          <w:sz w:val="21"/>
          <w:szCs w:val="21"/>
          <w:highlight w:val="none"/>
          <w:lang w:val="en-US" w:eastAsia="zh-CN"/>
        </w:rPr>
        <w:t>8</w:t>
      </w:r>
      <w:r>
        <w:rPr>
          <w:rFonts w:cs="宋体"/>
          <w:color w:val="auto"/>
          <w:sz w:val="21"/>
          <w:szCs w:val="21"/>
          <w:highlight w:val="none"/>
        </w:rPr>
        <w:t xml:space="preserve"> 月  </w:t>
      </w:r>
      <w:r>
        <w:rPr>
          <w:rFonts w:hint="eastAsia" w:cs="宋体"/>
          <w:color w:val="auto"/>
          <w:sz w:val="21"/>
          <w:szCs w:val="21"/>
          <w:highlight w:val="none"/>
          <w:lang w:val="en-US" w:eastAsia="zh-CN"/>
        </w:rPr>
        <w:t>25</w:t>
      </w:r>
      <w:r>
        <w:rPr>
          <w:rFonts w:cs="宋体"/>
          <w:color w:val="auto"/>
          <w:sz w:val="21"/>
          <w:szCs w:val="21"/>
          <w:highlight w:val="none"/>
        </w:rPr>
        <w:t xml:space="preserve"> 日14:30（北京时间）</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投标地点（网址）：电子加密投标文件上传至：政府采购云平台（www.zcygov.cn) </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 xml:space="preserve">开标时间：2022年  </w:t>
      </w:r>
      <w:r>
        <w:rPr>
          <w:rFonts w:hint="eastAsia" w:cs="宋体"/>
          <w:color w:val="auto"/>
          <w:sz w:val="21"/>
          <w:szCs w:val="21"/>
          <w:highlight w:val="none"/>
          <w:lang w:val="en-US" w:eastAsia="zh-CN"/>
        </w:rPr>
        <w:t>8</w:t>
      </w:r>
      <w:r>
        <w:rPr>
          <w:rFonts w:cs="宋体"/>
          <w:color w:val="auto"/>
          <w:sz w:val="21"/>
          <w:szCs w:val="21"/>
          <w:highlight w:val="none"/>
        </w:rPr>
        <w:t xml:space="preserve">  月 </w:t>
      </w:r>
      <w:r>
        <w:rPr>
          <w:rFonts w:hint="eastAsia" w:cs="宋体"/>
          <w:color w:val="auto"/>
          <w:sz w:val="21"/>
          <w:szCs w:val="21"/>
          <w:highlight w:val="none"/>
          <w:lang w:val="en-US" w:eastAsia="zh-CN"/>
        </w:rPr>
        <w:t>25</w:t>
      </w:r>
      <w:r>
        <w:rPr>
          <w:rFonts w:cs="宋体"/>
          <w:color w:val="auto"/>
          <w:sz w:val="21"/>
          <w:szCs w:val="21"/>
          <w:highlight w:val="none"/>
        </w:rPr>
        <w:t xml:space="preserve">  日14:30（北京时间）</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开标地点（网址）：台州市黄岩区人民政府采购中心。 </w:t>
      </w:r>
    </w:p>
    <w:p>
      <w:pPr>
        <w:pStyle w:val="21"/>
        <w:spacing w:before="0" w:beforeAutospacing="0" w:after="0" w:afterAutospacing="0" w:line="360" w:lineRule="auto"/>
        <w:jc w:val="both"/>
        <w:rPr>
          <w:rStyle w:val="24"/>
          <w:rFonts w:hint="default"/>
          <w:color w:val="auto"/>
          <w:highlight w:val="none"/>
        </w:rPr>
      </w:pPr>
      <w:r>
        <w:rPr>
          <w:rStyle w:val="24"/>
          <w:rFonts w:cs="宋体"/>
          <w:color w:val="auto"/>
          <w:sz w:val="21"/>
          <w:szCs w:val="21"/>
          <w:highlight w:val="none"/>
        </w:rPr>
        <w:t>五、公告期限</w:t>
      </w:r>
      <w:r>
        <w:rPr>
          <w:rStyle w:val="24"/>
          <w:color w:val="auto"/>
          <w:highlight w:val="none"/>
        </w:rPr>
        <w:t> </w:t>
      </w:r>
    </w:p>
    <w:p>
      <w:pPr>
        <w:pStyle w:val="21"/>
        <w:spacing w:before="0" w:beforeAutospacing="0" w:after="0" w:afterAutospacing="0" w:line="360" w:lineRule="auto"/>
        <w:ind w:firstLine="420" w:firstLineChars="200"/>
        <w:rPr>
          <w:rFonts w:hint="default" w:cs="宋体"/>
          <w:color w:val="auto"/>
          <w:sz w:val="21"/>
          <w:szCs w:val="21"/>
          <w:highlight w:val="none"/>
        </w:rPr>
      </w:pPr>
      <w:r>
        <w:rPr>
          <w:rFonts w:cs="宋体"/>
          <w:color w:val="auto"/>
          <w:sz w:val="21"/>
          <w:szCs w:val="21"/>
          <w:highlight w:val="none"/>
        </w:rPr>
        <w:t>自本公告发布之日起5个工作日。</w:t>
      </w:r>
    </w:p>
    <w:p>
      <w:pPr>
        <w:pStyle w:val="21"/>
        <w:spacing w:before="0" w:beforeAutospacing="0" w:after="0" w:afterAutospacing="0" w:line="360" w:lineRule="auto"/>
        <w:jc w:val="both"/>
        <w:rPr>
          <w:rFonts w:hint="default" w:cs="宋体"/>
          <w:color w:val="auto"/>
          <w:sz w:val="21"/>
          <w:szCs w:val="21"/>
          <w:highlight w:val="none"/>
        </w:rPr>
      </w:pPr>
      <w:r>
        <w:rPr>
          <w:rStyle w:val="24"/>
          <w:rFonts w:cs="宋体"/>
          <w:color w:val="auto"/>
          <w:sz w:val="21"/>
          <w:szCs w:val="21"/>
          <w:highlight w:val="none"/>
        </w:rPr>
        <w:t>六、其他补充事宜</w:t>
      </w:r>
      <w:r>
        <w:rPr>
          <w:rFonts w:cs="宋体"/>
          <w:color w:val="auto"/>
          <w:sz w:val="21"/>
          <w:szCs w:val="21"/>
          <w:highlight w:val="none"/>
        </w:rPr>
        <w:t> </w:t>
      </w:r>
    </w:p>
    <w:p>
      <w:pPr>
        <w:pStyle w:val="21"/>
        <w:spacing w:before="0" w:beforeAutospacing="0" w:after="0" w:afterAutospacing="0" w:line="360" w:lineRule="auto"/>
        <w:ind w:firstLine="420" w:firstLineChars="200"/>
        <w:rPr>
          <w:rFonts w:hint="default" w:cs="宋体"/>
          <w:color w:val="000000"/>
          <w:sz w:val="21"/>
          <w:szCs w:val="21"/>
        </w:rPr>
      </w:pPr>
      <w:r>
        <w:rPr>
          <w:rFonts w:cs="宋体"/>
          <w:color w:val="000000"/>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1"/>
        <w:spacing w:before="0" w:beforeAutospacing="0" w:after="0" w:afterAutospacing="0" w:line="360" w:lineRule="auto"/>
        <w:ind w:firstLine="420" w:firstLineChars="200"/>
        <w:rPr>
          <w:rFonts w:hint="default" w:cs="宋体"/>
          <w:color w:val="000000"/>
          <w:sz w:val="21"/>
          <w:szCs w:val="21"/>
        </w:rPr>
      </w:pPr>
      <w:r>
        <w:rPr>
          <w:rFonts w:cs="宋体"/>
          <w:color w:val="00000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1"/>
        <w:spacing w:before="0" w:beforeAutospacing="0" w:after="0" w:afterAutospacing="0" w:line="420" w:lineRule="exact"/>
        <w:ind w:firstLine="420" w:firstLineChars="200"/>
        <w:rPr>
          <w:rFonts w:hint="default" w:cs="宋体"/>
          <w:color w:val="000000"/>
          <w:sz w:val="21"/>
          <w:szCs w:val="21"/>
        </w:rPr>
      </w:pPr>
      <w:r>
        <w:rPr>
          <w:rFonts w:cs="宋体"/>
          <w:color w:val="00000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1"/>
        <w:spacing w:before="0" w:beforeAutospacing="0" w:after="0" w:afterAutospacing="0" w:line="420" w:lineRule="exact"/>
        <w:ind w:firstLine="420" w:firstLineChars="200"/>
        <w:rPr>
          <w:rFonts w:hint="default" w:cs="宋体"/>
          <w:color w:val="000000"/>
          <w:sz w:val="21"/>
          <w:szCs w:val="21"/>
        </w:rPr>
      </w:pPr>
      <w:r>
        <w:rPr>
          <w:rFonts w:cs="宋体"/>
          <w:color w:val="000000"/>
          <w:sz w:val="21"/>
          <w:szCs w:val="21"/>
        </w:rPr>
        <w:t>4.其他事项：无。</w:t>
      </w:r>
    </w:p>
    <w:p>
      <w:pPr>
        <w:pStyle w:val="21"/>
        <w:spacing w:before="0" w:beforeAutospacing="0" w:after="0" w:afterAutospacing="0" w:line="420" w:lineRule="exact"/>
        <w:rPr>
          <w:rFonts w:hint="default" w:cs="宋体"/>
          <w:sz w:val="21"/>
          <w:szCs w:val="21"/>
        </w:rPr>
      </w:pPr>
      <w:r>
        <w:rPr>
          <w:rStyle w:val="24"/>
          <w:rFonts w:cs="宋体"/>
          <w:szCs w:val="21"/>
        </w:rPr>
        <w:t>七、对本次采购提出询问、质疑、投诉，请按以下方式联系</w:t>
      </w:r>
    </w:p>
    <w:p>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420" w:lineRule="exact"/>
        <w:ind w:firstLine="422" w:firstLineChars="200"/>
        <w:textAlignment w:val="auto"/>
        <w:rPr>
          <w:rFonts w:hint="default" w:cs="宋体"/>
          <w:b/>
          <w:bCs/>
          <w:color w:val="000000"/>
          <w:sz w:val="21"/>
          <w:szCs w:val="21"/>
        </w:rPr>
      </w:pPr>
      <w:r>
        <w:rPr>
          <w:rFonts w:cs="宋体"/>
          <w:b/>
          <w:bCs/>
          <w:color w:val="000000"/>
          <w:sz w:val="21"/>
          <w:szCs w:val="21"/>
        </w:rPr>
        <w:t>1.采购人信息</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名    称：台州市黄岩区中医院 </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地    址：台州市黄岩区青年西路146号  </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项目联系人（询问）：戴冬初  </w:t>
      </w:r>
    </w:p>
    <w:p>
      <w:pPr>
        <w:pStyle w:val="21"/>
        <w:spacing w:before="0" w:beforeAutospacing="0" w:after="0" w:afterAutospacing="0" w:line="420" w:lineRule="exact"/>
        <w:ind w:firstLine="630"/>
        <w:rPr>
          <w:rFonts w:cs="宋体"/>
          <w:color w:val="000000"/>
          <w:sz w:val="21"/>
          <w:szCs w:val="21"/>
        </w:rPr>
      </w:pPr>
      <w:r>
        <w:rPr>
          <w:rFonts w:cs="宋体"/>
          <w:color w:val="000000"/>
          <w:sz w:val="21"/>
          <w:szCs w:val="21"/>
        </w:rPr>
        <w:t xml:space="preserve">项目联系方式（询问）：0576-84223121 </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质疑联系人：</w:t>
      </w:r>
      <w:r>
        <w:rPr>
          <w:rFonts w:hint="eastAsia" w:cs="宋体"/>
          <w:color w:val="000000"/>
          <w:sz w:val="21"/>
          <w:szCs w:val="21"/>
        </w:rPr>
        <w:t>陈静</w:t>
      </w:r>
      <w:r>
        <w:rPr>
          <w:rFonts w:cs="宋体"/>
          <w:color w:val="000000"/>
          <w:sz w:val="21"/>
          <w:szCs w:val="21"/>
        </w:rPr>
        <w:t> </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质疑联系方式：</w:t>
      </w:r>
      <w:r>
        <w:rPr>
          <w:rFonts w:hint="eastAsia" w:cs="宋体"/>
          <w:color w:val="000000"/>
          <w:sz w:val="21"/>
          <w:szCs w:val="21"/>
        </w:rPr>
        <w:t>18257625507</w:t>
      </w:r>
      <w:r>
        <w:rPr>
          <w:rFonts w:cs="宋体"/>
          <w:color w:val="000000"/>
          <w:sz w:val="21"/>
          <w:szCs w:val="21"/>
        </w:rPr>
        <w:t>   </w:t>
      </w:r>
    </w:p>
    <w:p>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420" w:lineRule="exact"/>
        <w:ind w:firstLine="422" w:firstLineChars="200"/>
        <w:textAlignment w:val="auto"/>
        <w:rPr>
          <w:rFonts w:hint="default" w:cs="宋体"/>
          <w:b/>
          <w:bCs/>
          <w:color w:val="000000"/>
          <w:sz w:val="21"/>
          <w:szCs w:val="21"/>
        </w:rPr>
      </w:pPr>
      <w:r>
        <w:rPr>
          <w:rFonts w:cs="宋体"/>
          <w:b/>
          <w:bCs/>
          <w:color w:val="000000"/>
          <w:sz w:val="21"/>
          <w:szCs w:val="21"/>
        </w:rPr>
        <w:t>2.采购代理机构信息</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名    称：台州市建设咨询有限公司 </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地    址：黄岩区县前街1号源鸿大厦3楼 </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项目联系人（询问）：王女士 </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项目联系方式（询问）：17757696187 </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质疑联系人：赵欣 </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质疑联系方式：0576-84038021 </w:t>
      </w:r>
    </w:p>
    <w:p>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420" w:lineRule="exact"/>
        <w:ind w:firstLine="422" w:firstLineChars="200"/>
        <w:textAlignment w:val="auto"/>
        <w:rPr>
          <w:rFonts w:hint="default" w:cs="宋体"/>
          <w:b/>
          <w:bCs/>
          <w:color w:val="000000"/>
          <w:sz w:val="21"/>
          <w:szCs w:val="21"/>
        </w:rPr>
      </w:pPr>
      <w:r>
        <w:rPr>
          <w:rFonts w:cs="宋体"/>
          <w:b/>
          <w:bCs/>
          <w:color w:val="000000"/>
          <w:sz w:val="21"/>
          <w:szCs w:val="21"/>
        </w:rPr>
        <w:t>3.同级政府采购监督管理部门</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名    称：台州市黄岩区财政局政府采购监管科 </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地    址：台州市黄岩区劳动南路289号 </w:t>
      </w:r>
    </w:p>
    <w:p>
      <w:pPr>
        <w:pStyle w:val="21"/>
        <w:spacing w:before="0" w:beforeAutospacing="0" w:after="0" w:afterAutospacing="0" w:line="420" w:lineRule="exact"/>
        <w:ind w:firstLine="630"/>
        <w:rPr>
          <w:rFonts w:hint="default" w:cs="宋体"/>
          <w:color w:val="000000"/>
          <w:sz w:val="21"/>
          <w:szCs w:val="21"/>
        </w:rPr>
      </w:pPr>
      <w:r>
        <w:rPr>
          <w:rFonts w:cs="宋体"/>
          <w:color w:val="000000"/>
          <w:sz w:val="21"/>
          <w:szCs w:val="21"/>
        </w:rPr>
        <w:t>联系人 ：宋先生 </w:t>
      </w:r>
    </w:p>
    <w:p>
      <w:pPr>
        <w:pStyle w:val="7"/>
        <w:spacing w:line="420" w:lineRule="exact"/>
        <w:ind w:firstLine="420" w:firstLineChars="200"/>
        <w:rPr>
          <w:rFonts w:ascii="宋体" w:hAnsi="宋体" w:cs="宋体"/>
          <w:color w:val="000000"/>
          <w:sz w:val="21"/>
          <w:szCs w:val="21"/>
        </w:rPr>
      </w:pPr>
      <w:r>
        <w:rPr>
          <w:rFonts w:hint="eastAsia" w:ascii="宋体" w:hAnsi="宋体" w:cs="宋体"/>
          <w:color w:val="000000"/>
          <w:sz w:val="21"/>
          <w:szCs w:val="21"/>
        </w:rPr>
        <w:t>监督投诉电话：0576-84222959</w:t>
      </w:r>
    </w:p>
    <w:p>
      <w:pPr>
        <w:pStyle w:val="7"/>
        <w:spacing w:line="420" w:lineRule="exact"/>
        <w:ind w:firstLine="420" w:firstLineChars="200"/>
        <w:rPr>
          <w:rFonts w:ascii="宋体" w:hAnsi="宋体" w:cs="宋体"/>
          <w:sz w:val="21"/>
          <w:szCs w:val="21"/>
        </w:rPr>
      </w:pPr>
      <w:r>
        <w:rPr>
          <w:rFonts w:hint="eastAsia" w:ascii="宋体" w:hAnsi="宋体" w:cs="宋体"/>
          <w:color w:val="000000"/>
          <w:sz w:val="21"/>
          <w:szCs w:val="21"/>
        </w:rPr>
        <w:t>若对项目采购电子交易系统操作有疑问，可登录政采云（https://www.zcygov.cn/），点击右侧咨询小采，获取采小蜜智能服务管家帮助，或拨打政采云服务热线400-881-7190获取热线服务帮助。        </w:t>
      </w:r>
    </w:p>
    <w:p>
      <w:pPr>
        <w:pStyle w:val="7"/>
        <w:spacing w:line="420" w:lineRule="exact"/>
        <w:ind w:firstLine="420" w:firstLineChars="200"/>
      </w:pPr>
      <w:r>
        <w:rPr>
          <w:rFonts w:hint="eastAsia" w:ascii="宋体" w:hAnsi="宋体" w:cs="宋体"/>
          <w:color w:val="000000"/>
          <w:sz w:val="21"/>
          <w:szCs w:val="21"/>
        </w:rPr>
        <w:t>CA问题联系电话（人工）：汇信CA 400-888-4636；天谷CA 400-087-8198。</w:t>
      </w:r>
    </w:p>
    <w:p>
      <w:pPr>
        <w:widowControl/>
        <w:jc w:val="left"/>
      </w:pPr>
      <w:r>
        <w:br w:type="page"/>
      </w:r>
    </w:p>
    <w:bookmarkEnd w:id="4"/>
    <w:bookmarkEnd w:id="5"/>
    <w:p>
      <w:pPr>
        <w:snapToGrid w:val="0"/>
        <w:spacing w:line="360" w:lineRule="auto"/>
        <w:rPr>
          <w:rStyle w:val="24"/>
          <w:bCs w:val="0"/>
          <w:color w:val="auto"/>
          <w:szCs w:val="21"/>
        </w:rPr>
      </w:pPr>
      <w:r>
        <w:rPr>
          <w:rStyle w:val="24"/>
          <w:rFonts w:hint="eastAsia"/>
          <w:color w:val="auto"/>
          <w:szCs w:val="21"/>
        </w:rPr>
        <w:t>八、其余事项（政采贷、合同履约保函、预付款保函）：</w:t>
      </w:r>
    </w:p>
    <w:p>
      <w:pPr>
        <w:spacing w:line="360" w:lineRule="auto"/>
        <w:jc w:val="center"/>
        <w:rPr>
          <w:rFonts w:cs="宋体" w:asciiTheme="minorEastAsia" w:hAnsiTheme="minorEastAsia" w:eastAsiaTheme="minorEastAsia"/>
          <w:b/>
          <w:color w:val="auto"/>
        </w:rPr>
      </w:pPr>
      <w:r>
        <w:rPr>
          <w:rFonts w:hint="eastAsia" w:cs="宋体" w:asciiTheme="minorEastAsia" w:hAnsiTheme="minorEastAsia" w:eastAsiaTheme="minorEastAsia"/>
          <w:b/>
          <w:color w:val="auto"/>
        </w:rPr>
        <w:t>中标供应商如有融资需求，可使用以下银行的政采贷服务。</w:t>
      </w:r>
    </w:p>
    <w:tbl>
      <w:tblPr>
        <w:tblStyle w:val="29"/>
        <w:tblW w:w="8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518" w:type="dxa"/>
            <w:vAlign w:val="center"/>
          </w:tcPr>
          <w:p>
            <w:pPr>
              <w:jc w:val="center"/>
              <w:rPr>
                <w:b/>
                <w:color w:val="auto"/>
                <w:szCs w:val="21"/>
              </w:rPr>
            </w:pPr>
            <w:r>
              <w:rPr>
                <w:rFonts w:hint="eastAsia"/>
                <w:b/>
                <w:color w:val="auto"/>
                <w:szCs w:val="21"/>
              </w:rPr>
              <w:t>银行</w:t>
            </w:r>
          </w:p>
        </w:tc>
        <w:tc>
          <w:tcPr>
            <w:tcW w:w="1500" w:type="dxa"/>
            <w:vAlign w:val="center"/>
          </w:tcPr>
          <w:p>
            <w:pPr>
              <w:jc w:val="center"/>
              <w:rPr>
                <w:b/>
                <w:color w:val="auto"/>
                <w:szCs w:val="21"/>
              </w:rPr>
            </w:pPr>
            <w:r>
              <w:rPr>
                <w:rFonts w:hint="eastAsia"/>
                <w:b/>
                <w:color w:val="auto"/>
                <w:szCs w:val="21"/>
              </w:rPr>
              <w:t>贷款年利率</w:t>
            </w:r>
          </w:p>
        </w:tc>
        <w:tc>
          <w:tcPr>
            <w:tcW w:w="1290" w:type="dxa"/>
            <w:vAlign w:val="center"/>
          </w:tcPr>
          <w:p>
            <w:pPr>
              <w:jc w:val="center"/>
              <w:rPr>
                <w:b/>
                <w:color w:val="auto"/>
                <w:szCs w:val="21"/>
              </w:rPr>
            </w:pPr>
            <w:r>
              <w:rPr>
                <w:rFonts w:hint="eastAsia"/>
                <w:b/>
                <w:color w:val="auto"/>
                <w:szCs w:val="21"/>
              </w:rPr>
              <w:t>联系人</w:t>
            </w:r>
          </w:p>
        </w:tc>
        <w:tc>
          <w:tcPr>
            <w:tcW w:w="2817" w:type="dxa"/>
            <w:vAlign w:val="center"/>
          </w:tcPr>
          <w:p>
            <w:pPr>
              <w:jc w:val="center"/>
              <w:rPr>
                <w:b/>
                <w:color w:val="auto"/>
                <w:szCs w:val="21"/>
              </w:rPr>
            </w:pPr>
            <w:r>
              <w:rPr>
                <w:rFonts w:hint="eastAsia"/>
                <w:b/>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color w:val="auto"/>
                <w:szCs w:val="21"/>
              </w:rPr>
            </w:pPr>
            <w:r>
              <w:rPr>
                <w:rFonts w:hint="eastAsia"/>
                <w:color w:val="auto"/>
                <w:szCs w:val="21"/>
              </w:rPr>
              <w:t>中国工商银行</w:t>
            </w:r>
          </w:p>
        </w:tc>
        <w:tc>
          <w:tcPr>
            <w:tcW w:w="1500" w:type="dxa"/>
            <w:vAlign w:val="center"/>
          </w:tcPr>
          <w:p>
            <w:pPr>
              <w:jc w:val="center"/>
              <w:rPr>
                <w:color w:val="auto"/>
                <w:szCs w:val="21"/>
              </w:rPr>
            </w:pPr>
            <w:r>
              <w:rPr>
                <w:rFonts w:hint="eastAsia"/>
                <w:color w:val="auto"/>
                <w:szCs w:val="21"/>
              </w:rPr>
              <w:t>3.8%起</w:t>
            </w:r>
          </w:p>
        </w:tc>
        <w:tc>
          <w:tcPr>
            <w:tcW w:w="1290" w:type="dxa"/>
            <w:vAlign w:val="center"/>
          </w:tcPr>
          <w:p>
            <w:pPr>
              <w:jc w:val="center"/>
              <w:rPr>
                <w:color w:val="auto"/>
                <w:szCs w:val="21"/>
              </w:rPr>
            </w:pPr>
            <w:r>
              <w:rPr>
                <w:rFonts w:hint="eastAsia"/>
                <w:color w:val="auto"/>
                <w:szCs w:val="21"/>
              </w:rPr>
              <w:t>王霖</w:t>
            </w:r>
          </w:p>
        </w:tc>
        <w:tc>
          <w:tcPr>
            <w:tcW w:w="2817" w:type="dxa"/>
            <w:vAlign w:val="center"/>
          </w:tcPr>
          <w:p>
            <w:pPr>
              <w:jc w:val="center"/>
              <w:rPr>
                <w:color w:val="auto"/>
                <w:szCs w:val="21"/>
              </w:rPr>
            </w:pPr>
            <w:r>
              <w:rPr>
                <w:rFonts w:hint="eastAsia"/>
                <w:color w:val="auto"/>
                <w:szCs w:val="21"/>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中国农业银行</w:t>
            </w:r>
          </w:p>
        </w:tc>
        <w:tc>
          <w:tcPr>
            <w:tcW w:w="1500" w:type="dxa"/>
            <w:vAlign w:val="center"/>
          </w:tcPr>
          <w:p>
            <w:pPr>
              <w:jc w:val="center"/>
              <w:rPr>
                <w:szCs w:val="21"/>
              </w:rPr>
            </w:pPr>
            <w:r>
              <w:rPr>
                <w:rFonts w:hint="eastAsia"/>
                <w:szCs w:val="21"/>
              </w:rPr>
              <w:t>3.8%起</w:t>
            </w:r>
          </w:p>
        </w:tc>
        <w:tc>
          <w:tcPr>
            <w:tcW w:w="1290" w:type="dxa"/>
            <w:vAlign w:val="center"/>
          </w:tcPr>
          <w:p>
            <w:pPr>
              <w:jc w:val="center"/>
              <w:rPr>
                <w:szCs w:val="21"/>
              </w:rPr>
            </w:pPr>
            <w:r>
              <w:rPr>
                <w:rFonts w:hint="eastAsia"/>
                <w:szCs w:val="21"/>
              </w:rPr>
              <w:t>龚盛</w:t>
            </w:r>
          </w:p>
        </w:tc>
        <w:tc>
          <w:tcPr>
            <w:tcW w:w="2817" w:type="dxa"/>
            <w:vAlign w:val="center"/>
          </w:tcPr>
          <w:p>
            <w:pPr>
              <w:jc w:val="center"/>
              <w:rPr>
                <w:szCs w:val="21"/>
              </w:rPr>
            </w:pPr>
            <w:r>
              <w:rPr>
                <w:rFonts w:hint="eastAsia"/>
                <w:szCs w:val="21"/>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中国建设银行</w:t>
            </w:r>
          </w:p>
        </w:tc>
        <w:tc>
          <w:tcPr>
            <w:tcW w:w="1500" w:type="dxa"/>
            <w:vAlign w:val="center"/>
          </w:tcPr>
          <w:p>
            <w:pPr>
              <w:jc w:val="center"/>
              <w:rPr>
                <w:szCs w:val="21"/>
              </w:rPr>
            </w:pPr>
            <w:r>
              <w:rPr>
                <w:rFonts w:hint="eastAsia"/>
                <w:szCs w:val="21"/>
              </w:rPr>
              <w:t>3.8%起</w:t>
            </w:r>
          </w:p>
        </w:tc>
        <w:tc>
          <w:tcPr>
            <w:tcW w:w="1290" w:type="dxa"/>
            <w:vAlign w:val="center"/>
          </w:tcPr>
          <w:p>
            <w:pPr>
              <w:jc w:val="center"/>
              <w:rPr>
                <w:szCs w:val="21"/>
              </w:rPr>
            </w:pPr>
            <w:r>
              <w:rPr>
                <w:rFonts w:hint="eastAsia"/>
                <w:szCs w:val="21"/>
              </w:rPr>
              <w:t>梅晶晶</w:t>
            </w:r>
          </w:p>
        </w:tc>
        <w:tc>
          <w:tcPr>
            <w:tcW w:w="2817" w:type="dxa"/>
            <w:vAlign w:val="center"/>
          </w:tcPr>
          <w:p>
            <w:pPr>
              <w:jc w:val="center"/>
              <w:rPr>
                <w:szCs w:val="21"/>
              </w:rPr>
            </w:pPr>
            <w:r>
              <w:rPr>
                <w:rFonts w:hint="eastAsia"/>
                <w:szCs w:val="21"/>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中国银行</w:t>
            </w:r>
          </w:p>
        </w:tc>
        <w:tc>
          <w:tcPr>
            <w:tcW w:w="1500" w:type="dxa"/>
            <w:vAlign w:val="center"/>
          </w:tcPr>
          <w:p>
            <w:pPr>
              <w:jc w:val="center"/>
              <w:rPr>
                <w:szCs w:val="21"/>
              </w:rPr>
            </w:pPr>
            <w:r>
              <w:rPr>
                <w:rFonts w:hint="eastAsia"/>
                <w:szCs w:val="21"/>
              </w:rPr>
              <w:t>3.75%起</w:t>
            </w:r>
          </w:p>
        </w:tc>
        <w:tc>
          <w:tcPr>
            <w:tcW w:w="1290" w:type="dxa"/>
            <w:vAlign w:val="center"/>
          </w:tcPr>
          <w:p>
            <w:pPr>
              <w:jc w:val="center"/>
              <w:rPr>
                <w:szCs w:val="21"/>
              </w:rPr>
            </w:pPr>
            <w:r>
              <w:rPr>
                <w:rFonts w:hint="eastAsia"/>
                <w:szCs w:val="21"/>
              </w:rPr>
              <w:t>任茜</w:t>
            </w:r>
          </w:p>
        </w:tc>
        <w:tc>
          <w:tcPr>
            <w:tcW w:w="2817" w:type="dxa"/>
            <w:vAlign w:val="center"/>
          </w:tcPr>
          <w:p>
            <w:pPr>
              <w:jc w:val="center"/>
              <w:rPr>
                <w:szCs w:val="21"/>
              </w:rPr>
            </w:pPr>
            <w:r>
              <w:rPr>
                <w:rFonts w:hint="eastAsia"/>
                <w:szCs w:val="21"/>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浦发银行台州分行</w:t>
            </w:r>
          </w:p>
        </w:tc>
        <w:tc>
          <w:tcPr>
            <w:tcW w:w="1500" w:type="dxa"/>
            <w:vAlign w:val="center"/>
          </w:tcPr>
          <w:p>
            <w:pPr>
              <w:jc w:val="center"/>
              <w:rPr>
                <w:szCs w:val="21"/>
              </w:rPr>
            </w:pPr>
            <w:r>
              <w:rPr>
                <w:rFonts w:hint="eastAsia"/>
                <w:szCs w:val="21"/>
              </w:rPr>
              <w:t>4.05%起</w:t>
            </w:r>
          </w:p>
        </w:tc>
        <w:tc>
          <w:tcPr>
            <w:tcW w:w="1290" w:type="dxa"/>
            <w:vAlign w:val="center"/>
          </w:tcPr>
          <w:p>
            <w:pPr>
              <w:jc w:val="center"/>
              <w:rPr>
                <w:szCs w:val="21"/>
              </w:rPr>
            </w:pPr>
            <w:r>
              <w:rPr>
                <w:rFonts w:hint="eastAsia"/>
                <w:szCs w:val="21"/>
              </w:rPr>
              <w:t>王渊</w:t>
            </w:r>
          </w:p>
        </w:tc>
        <w:tc>
          <w:tcPr>
            <w:tcW w:w="2817" w:type="dxa"/>
            <w:vAlign w:val="center"/>
          </w:tcPr>
          <w:p>
            <w:pPr>
              <w:jc w:val="center"/>
              <w:rPr>
                <w:szCs w:val="21"/>
              </w:rPr>
            </w:pPr>
            <w:r>
              <w:rPr>
                <w:rFonts w:hint="eastAsia"/>
                <w:szCs w:val="21"/>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浦发银行椒江分行</w:t>
            </w:r>
          </w:p>
        </w:tc>
        <w:tc>
          <w:tcPr>
            <w:tcW w:w="1500" w:type="dxa"/>
            <w:vAlign w:val="center"/>
          </w:tcPr>
          <w:p>
            <w:pPr>
              <w:jc w:val="center"/>
              <w:rPr>
                <w:szCs w:val="21"/>
              </w:rPr>
            </w:pPr>
            <w:r>
              <w:rPr>
                <w:rFonts w:hint="eastAsia"/>
                <w:szCs w:val="21"/>
              </w:rPr>
              <w:t>4.05%起</w:t>
            </w:r>
          </w:p>
        </w:tc>
        <w:tc>
          <w:tcPr>
            <w:tcW w:w="1290" w:type="dxa"/>
            <w:vAlign w:val="center"/>
          </w:tcPr>
          <w:p>
            <w:pPr>
              <w:jc w:val="center"/>
              <w:rPr>
                <w:szCs w:val="21"/>
              </w:rPr>
            </w:pPr>
            <w:r>
              <w:rPr>
                <w:rFonts w:hint="eastAsia"/>
                <w:szCs w:val="21"/>
              </w:rPr>
              <w:t>孙瑞华</w:t>
            </w:r>
          </w:p>
        </w:tc>
        <w:tc>
          <w:tcPr>
            <w:tcW w:w="2817" w:type="dxa"/>
            <w:vAlign w:val="center"/>
          </w:tcPr>
          <w:p>
            <w:pPr>
              <w:jc w:val="center"/>
              <w:rPr>
                <w:szCs w:val="21"/>
              </w:rPr>
            </w:pPr>
            <w:r>
              <w:rPr>
                <w:rFonts w:hint="eastAsia"/>
                <w:szCs w:val="21"/>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交通银行台州分行</w:t>
            </w:r>
          </w:p>
        </w:tc>
        <w:tc>
          <w:tcPr>
            <w:tcW w:w="1500" w:type="dxa"/>
            <w:vAlign w:val="center"/>
          </w:tcPr>
          <w:p>
            <w:pPr>
              <w:jc w:val="center"/>
              <w:rPr>
                <w:szCs w:val="21"/>
              </w:rPr>
            </w:pPr>
            <w:r>
              <w:rPr>
                <w:rFonts w:hint="eastAsia"/>
                <w:szCs w:val="21"/>
              </w:rPr>
              <w:t>3.75%起</w:t>
            </w:r>
          </w:p>
        </w:tc>
        <w:tc>
          <w:tcPr>
            <w:tcW w:w="1290" w:type="dxa"/>
            <w:vAlign w:val="center"/>
          </w:tcPr>
          <w:p>
            <w:pPr>
              <w:jc w:val="center"/>
              <w:rPr>
                <w:szCs w:val="21"/>
              </w:rPr>
            </w:pPr>
            <w:r>
              <w:rPr>
                <w:rFonts w:hint="eastAsia"/>
                <w:szCs w:val="21"/>
              </w:rPr>
              <w:t>周翔宇</w:t>
            </w:r>
          </w:p>
        </w:tc>
        <w:tc>
          <w:tcPr>
            <w:tcW w:w="2817" w:type="dxa"/>
            <w:vAlign w:val="center"/>
          </w:tcPr>
          <w:p>
            <w:pPr>
              <w:jc w:val="center"/>
              <w:rPr>
                <w:szCs w:val="21"/>
              </w:rPr>
            </w:pPr>
            <w:r>
              <w:rPr>
                <w:rFonts w:hint="eastAsia"/>
                <w:szCs w:val="21"/>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招商银行台州分行</w:t>
            </w:r>
          </w:p>
        </w:tc>
        <w:tc>
          <w:tcPr>
            <w:tcW w:w="1500" w:type="dxa"/>
            <w:vAlign w:val="center"/>
          </w:tcPr>
          <w:p>
            <w:pPr>
              <w:jc w:val="center"/>
              <w:rPr>
                <w:szCs w:val="21"/>
              </w:rPr>
            </w:pPr>
            <w:r>
              <w:rPr>
                <w:rFonts w:hint="eastAsia"/>
                <w:szCs w:val="21"/>
              </w:rPr>
              <w:t>4.32%起</w:t>
            </w:r>
          </w:p>
        </w:tc>
        <w:tc>
          <w:tcPr>
            <w:tcW w:w="1290" w:type="dxa"/>
            <w:vAlign w:val="center"/>
          </w:tcPr>
          <w:p>
            <w:pPr>
              <w:jc w:val="center"/>
              <w:rPr>
                <w:szCs w:val="21"/>
              </w:rPr>
            </w:pPr>
            <w:r>
              <w:rPr>
                <w:rFonts w:hint="eastAsia"/>
                <w:szCs w:val="21"/>
              </w:rPr>
              <w:t>王海玲</w:t>
            </w:r>
          </w:p>
        </w:tc>
        <w:tc>
          <w:tcPr>
            <w:tcW w:w="2817" w:type="dxa"/>
            <w:vAlign w:val="center"/>
          </w:tcPr>
          <w:p>
            <w:pPr>
              <w:jc w:val="center"/>
              <w:rPr>
                <w:szCs w:val="21"/>
              </w:rPr>
            </w:pPr>
            <w:r>
              <w:rPr>
                <w:rFonts w:hint="eastAsia"/>
                <w:szCs w:val="21"/>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浙商银行台州分行</w:t>
            </w:r>
          </w:p>
        </w:tc>
        <w:tc>
          <w:tcPr>
            <w:tcW w:w="1500" w:type="dxa"/>
            <w:vAlign w:val="center"/>
          </w:tcPr>
          <w:p>
            <w:pPr>
              <w:jc w:val="center"/>
              <w:rPr>
                <w:szCs w:val="21"/>
              </w:rPr>
            </w:pPr>
            <w:r>
              <w:rPr>
                <w:rFonts w:hint="eastAsia"/>
                <w:szCs w:val="21"/>
              </w:rPr>
              <w:t>5.01%起</w:t>
            </w:r>
          </w:p>
        </w:tc>
        <w:tc>
          <w:tcPr>
            <w:tcW w:w="1290" w:type="dxa"/>
            <w:vAlign w:val="center"/>
          </w:tcPr>
          <w:p>
            <w:pPr>
              <w:jc w:val="center"/>
              <w:rPr>
                <w:szCs w:val="21"/>
              </w:rPr>
            </w:pPr>
            <w:r>
              <w:rPr>
                <w:rFonts w:hint="eastAsia"/>
                <w:szCs w:val="21"/>
              </w:rPr>
              <w:t>章涉漪</w:t>
            </w:r>
          </w:p>
        </w:tc>
        <w:tc>
          <w:tcPr>
            <w:tcW w:w="2817" w:type="dxa"/>
            <w:vAlign w:val="center"/>
          </w:tcPr>
          <w:p>
            <w:pPr>
              <w:jc w:val="center"/>
              <w:rPr>
                <w:szCs w:val="21"/>
              </w:rPr>
            </w:pPr>
            <w:r>
              <w:rPr>
                <w:rFonts w:hint="eastAsia"/>
                <w:szCs w:val="21"/>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中信银行台州分行</w:t>
            </w:r>
          </w:p>
        </w:tc>
        <w:tc>
          <w:tcPr>
            <w:tcW w:w="1500" w:type="dxa"/>
            <w:vAlign w:val="center"/>
          </w:tcPr>
          <w:p>
            <w:pPr>
              <w:jc w:val="center"/>
              <w:rPr>
                <w:szCs w:val="21"/>
              </w:rPr>
            </w:pPr>
            <w:r>
              <w:rPr>
                <w:rFonts w:hint="eastAsia"/>
                <w:szCs w:val="21"/>
              </w:rPr>
              <w:t>4.15%起</w:t>
            </w:r>
          </w:p>
        </w:tc>
        <w:tc>
          <w:tcPr>
            <w:tcW w:w="1290" w:type="dxa"/>
            <w:vAlign w:val="center"/>
          </w:tcPr>
          <w:p>
            <w:pPr>
              <w:jc w:val="center"/>
              <w:rPr>
                <w:szCs w:val="21"/>
              </w:rPr>
            </w:pPr>
            <w:r>
              <w:rPr>
                <w:rFonts w:hint="eastAsia"/>
                <w:szCs w:val="21"/>
              </w:rPr>
              <w:t>陈金园</w:t>
            </w:r>
          </w:p>
        </w:tc>
        <w:tc>
          <w:tcPr>
            <w:tcW w:w="2817" w:type="dxa"/>
            <w:vAlign w:val="center"/>
          </w:tcPr>
          <w:p>
            <w:pPr>
              <w:jc w:val="center"/>
              <w:rPr>
                <w:szCs w:val="21"/>
              </w:rPr>
            </w:pPr>
            <w:r>
              <w:rPr>
                <w:rFonts w:hint="eastAsia"/>
                <w:szCs w:val="21"/>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华夏银行台州分行</w:t>
            </w:r>
          </w:p>
        </w:tc>
        <w:tc>
          <w:tcPr>
            <w:tcW w:w="1500" w:type="dxa"/>
            <w:vAlign w:val="center"/>
          </w:tcPr>
          <w:p>
            <w:pPr>
              <w:jc w:val="center"/>
              <w:rPr>
                <w:szCs w:val="21"/>
              </w:rPr>
            </w:pPr>
            <w:r>
              <w:rPr>
                <w:rFonts w:hint="eastAsia"/>
                <w:szCs w:val="21"/>
              </w:rPr>
              <w:t>4.5%起</w:t>
            </w:r>
          </w:p>
        </w:tc>
        <w:tc>
          <w:tcPr>
            <w:tcW w:w="1290" w:type="dxa"/>
            <w:vAlign w:val="center"/>
          </w:tcPr>
          <w:p>
            <w:pPr>
              <w:jc w:val="center"/>
              <w:rPr>
                <w:szCs w:val="21"/>
              </w:rPr>
            </w:pPr>
            <w:r>
              <w:rPr>
                <w:rFonts w:hint="eastAsia"/>
                <w:szCs w:val="21"/>
              </w:rPr>
              <w:t>邱明达</w:t>
            </w:r>
          </w:p>
        </w:tc>
        <w:tc>
          <w:tcPr>
            <w:tcW w:w="2817" w:type="dxa"/>
            <w:vAlign w:val="center"/>
          </w:tcPr>
          <w:p>
            <w:pPr>
              <w:jc w:val="center"/>
              <w:rPr>
                <w:szCs w:val="21"/>
              </w:rPr>
            </w:pPr>
            <w:r>
              <w:rPr>
                <w:rFonts w:hint="eastAsia"/>
                <w:szCs w:val="21"/>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泰隆银行开发区支行</w:t>
            </w:r>
          </w:p>
        </w:tc>
        <w:tc>
          <w:tcPr>
            <w:tcW w:w="1500" w:type="dxa"/>
            <w:vAlign w:val="center"/>
          </w:tcPr>
          <w:p>
            <w:pPr>
              <w:jc w:val="center"/>
              <w:rPr>
                <w:szCs w:val="21"/>
              </w:rPr>
            </w:pPr>
            <w:r>
              <w:rPr>
                <w:rFonts w:hint="eastAsia"/>
                <w:szCs w:val="21"/>
              </w:rPr>
              <w:t>5.6%起</w:t>
            </w:r>
          </w:p>
        </w:tc>
        <w:tc>
          <w:tcPr>
            <w:tcW w:w="1290" w:type="dxa"/>
            <w:vAlign w:val="center"/>
          </w:tcPr>
          <w:p>
            <w:pPr>
              <w:jc w:val="center"/>
              <w:rPr>
                <w:szCs w:val="21"/>
              </w:rPr>
            </w:pPr>
            <w:r>
              <w:rPr>
                <w:rFonts w:hint="eastAsia"/>
                <w:szCs w:val="21"/>
              </w:rPr>
              <w:t>梁宛莉</w:t>
            </w:r>
          </w:p>
        </w:tc>
        <w:tc>
          <w:tcPr>
            <w:tcW w:w="2817" w:type="dxa"/>
            <w:vAlign w:val="center"/>
          </w:tcPr>
          <w:p>
            <w:pPr>
              <w:jc w:val="center"/>
              <w:rPr>
                <w:szCs w:val="21"/>
              </w:rPr>
            </w:pPr>
            <w:r>
              <w:rPr>
                <w:rFonts w:hint="eastAsia"/>
                <w:szCs w:val="21"/>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民泰银行椒江支行</w:t>
            </w:r>
          </w:p>
        </w:tc>
        <w:tc>
          <w:tcPr>
            <w:tcW w:w="1500" w:type="dxa"/>
            <w:vAlign w:val="center"/>
          </w:tcPr>
          <w:p>
            <w:pPr>
              <w:jc w:val="center"/>
              <w:rPr>
                <w:szCs w:val="21"/>
              </w:rPr>
            </w:pPr>
            <w:r>
              <w:rPr>
                <w:rFonts w:hint="eastAsia"/>
                <w:szCs w:val="21"/>
              </w:rPr>
              <w:t>5.8%起</w:t>
            </w:r>
          </w:p>
        </w:tc>
        <w:tc>
          <w:tcPr>
            <w:tcW w:w="1290" w:type="dxa"/>
            <w:vAlign w:val="center"/>
          </w:tcPr>
          <w:p>
            <w:pPr>
              <w:jc w:val="center"/>
              <w:rPr>
                <w:szCs w:val="21"/>
              </w:rPr>
            </w:pPr>
            <w:r>
              <w:rPr>
                <w:rFonts w:hint="eastAsia"/>
                <w:szCs w:val="21"/>
              </w:rPr>
              <w:t>陈慧珠</w:t>
            </w:r>
          </w:p>
        </w:tc>
        <w:tc>
          <w:tcPr>
            <w:tcW w:w="2817" w:type="dxa"/>
            <w:vAlign w:val="center"/>
          </w:tcPr>
          <w:p>
            <w:pPr>
              <w:jc w:val="center"/>
              <w:rPr>
                <w:szCs w:val="21"/>
              </w:rPr>
            </w:pPr>
            <w:r>
              <w:rPr>
                <w:rFonts w:hint="eastAsia"/>
                <w:szCs w:val="21"/>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绍兴银行台州分行</w:t>
            </w:r>
          </w:p>
        </w:tc>
        <w:tc>
          <w:tcPr>
            <w:tcW w:w="1500" w:type="dxa"/>
            <w:vAlign w:val="center"/>
          </w:tcPr>
          <w:p>
            <w:pPr>
              <w:jc w:val="center"/>
              <w:rPr>
                <w:szCs w:val="21"/>
              </w:rPr>
            </w:pPr>
            <w:r>
              <w:rPr>
                <w:rFonts w:hint="eastAsia"/>
                <w:szCs w:val="21"/>
              </w:rPr>
              <w:t>5.1%起</w:t>
            </w:r>
          </w:p>
        </w:tc>
        <w:tc>
          <w:tcPr>
            <w:tcW w:w="1290" w:type="dxa"/>
            <w:vAlign w:val="center"/>
          </w:tcPr>
          <w:p>
            <w:pPr>
              <w:jc w:val="center"/>
              <w:rPr>
                <w:szCs w:val="21"/>
              </w:rPr>
            </w:pPr>
            <w:r>
              <w:rPr>
                <w:rFonts w:hint="eastAsia"/>
                <w:szCs w:val="21"/>
              </w:rPr>
              <w:t>郭庭斌</w:t>
            </w:r>
          </w:p>
        </w:tc>
        <w:tc>
          <w:tcPr>
            <w:tcW w:w="2817" w:type="dxa"/>
            <w:vAlign w:val="center"/>
          </w:tcPr>
          <w:p>
            <w:pPr>
              <w:jc w:val="center"/>
              <w:rPr>
                <w:szCs w:val="21"/>
              </w:rPr>
            </w:pPr>
            <w:r>
              <w:rPr>
                <w:rFonts w:hint="eastAsia"/>
                <w:szCs w:val="21"/>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温州银行台州分行</w:t>
            </w:r>
          </w:p>
        </w:tc>
        <w:tc>
          <w:tcPr>
            <w:tcW w:w="1500" w:type="dxa"/>
            <w:vAlign w:val="center"/>
          </w:tcPr>
          <w:p>
            <w:pPr>
              <w:jc w:val="center"/>
              <w:rPr>
                <w:szCs w:val="21"/>
              </w:rPr>
            </w:pPr>
            <w:r>
              <w:rPr>
                <w:rFonts w:hint="eastAsia"/>
                <w:szCs w:val="21"/>
              </w:rPr>
              <w:t>4.55%起</w:t>
            </w:r>
          </w:p>
        </w:tc>
        <w:tc>
          <w:tcPr>
            <w:tcW w:w="1290" w:type="dxa"/>
            <w:vAlign w:val="center"/>
          </w:tcPr>
          <w:p>
            <w:pPr>
              <w:jc w:val="center"/>
              <w:rPr>
                <w:szCs w:val="21"/>
              </w:rPr>
            </w:pPr>
            <w:r>
              <w:rPr>
                <w:rFonts w:hint="eastAsia"/>
                <w:szCs w:val="21"/>
              </w:rPr>
              <w:t>王晓波</w:t>
            </w:r>
          </w:p>
        </w:tc>
        <w:tc>
          <w:tcPr>
            <w:tcW w:w="2817" w:type="dxa"/>
            <w:vAlign w:val="center"/>
          </w:tcPr>
          <w:p>
            <w:pPr>
              <w:jc w:val="center"/>
              <w:rPr>
                <w:szCs w:val="21"/>
              </w:rPr>
            </w:pPr>
            <w:r>
              <w:rPr>
                <w:rFonts w:hint="eastAsia"/>
                <w:szCs w:val="21"/>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平安银行台州分行</w:t>
            </w:r>
          </w:p>
        </w:tc>
        <w:tc>
          <w:tcPr>
            <w:tcW w:w="1500" w:type="dxa"/>
            <w:vAlign w:val="center"/>
          </w:tcPr>
          <w:p>
            <w:pPr>
              <w:jc w:val="center"/>
              <w:rPr>
                <w:szCs w:val="21"/>
              </w:rPr>
            </w:pPr>
            <w:r>
              <w:rPr>
                <w:rFonts w:hint="eastAsia"/>
                <w:szCs w:val="21"/>
              </w:rPr>
              <w:t>6.53%起</w:t>
            </w:r>
          </w:p>
        </w:tc>
        <w:tc>
          <w:tcPr>
            <w:tcW w:w="1290" w:type="dxa"/>
            <w:vAlign w:val="center"/>
          </w:tcPr>
          <w:p>
            <w:pPr>
              <w:jc w:val="center"/>
              <w:rPr>
                <w:szCs w:val="21"/>
              </w:rPr>
            </w:pPr>
            <w:r>
              <w:rPr>
                <w:rFonts w:hint="eastAsia"/>
                <w:szCs w:val="21"/>
              </w:rPr>
              <w:t>李俊丽</w:t>
            </w:r>
          </w:p>
        </w:tc>
        <w:tc>
          <w:tcPr>
            <w:tcW w:w="2817" w:type="dxa"/>
            <w:vAlign w:val="center"/>
          </w:tcPr>
          <w:p>
            <w:pPr>
              <w:jc w:val="center"/>
              <w:rPr>
                <w:szCs w:val="21"/>
              </w:rPr>
            </w:pPr>
            <w:r>
              <w:rPr>
                <w:rFonts w:hint="eastAsia"/>
                <w:szCs w:val="21"/>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宁波银行台州分行</w:t>
            </w:r>
          </w:p>
        </w:tc>
        <w:tc>
          <w:tcPr>
            <w:tcW w:w="1500" w:type="dxa"/>
            <w:vAlign w:val="center"/>
          </w:tcPr>
          <w:p>
            <w:pPr>
              <w:jc w:val="center"/>
              <w:rPr>
                <w:szCs w:val="21"/>
              </w:rPr>
            </w:pPr>
            <w:r>
              <w:rPr>
                <w:rFonts w:hint="eastAsia"/>
                <w:szCs w:val="21"/>
              </w:rPr>
              <w:t>4.35%起</w:t>
            </w:r>
          </w:p>
        </w:tc>
        <w:tc>
          <w:tcPr>
            <w:tcW w:w="1290" w:type="dxa"/>
            <w:vAlign w:val="center"/>
          </w:tcPr>
          <w:p>
            <w:pPr>
              <w:jc w:val="center"/>
              <w:rPr>
                <w:szCs w:val="21"/>
              </w:rPr>
            </w:pPr>
            <w:r>
              <w:rPr>
                <w:rFonts w:hint="eastAsia"/>
                <w:szCs w:val="21"/>
              </w:rPr>
              <w:t>戴莉丽</w:t>
            </w:r>
          </w:p>
        </w:tc>
        <w:tc>
          <w:tcPr>
            <w:tcW w:w="2817" w:type="dxa"/>
            <w:vAlign w:val="center"/>
          </w:tcPr>
          <w:p>
            <w:pPr>
              <w:jc w:val="center"/>
              <w:rPr>
                <w:szCs w:val="21"/>
              </w:rPr>
            </w:pPr>
            <w:r>
              <w:rPr>
                <w:rFonts w:hint="eastAsia"/>
                <w:szCs w:val="21"/>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金华银行台州分行</w:t>
            </w:r>
          </w:p>
        </w:tc>
        <w:tc>
          <w:tcPr>
            <w:tcW w:w="1500" w:type="dxa"/>
            <w:vAlign w:val="center"/>
          </w:tcPr>
          <w:p>
            <w:pPr>
              <w:jc w:val="center"/>
              <w:rPr>
                <w:szCs w:val="21"/>
              </w:rPr>
            </w:pPr>
            <w:r>
              <w:rPr>
                <w:rFonts w:hint="eastAsia"/>
                <w:szCs w:val="21"/>
              </w:rPr>
              <w:t>4.05%起</w:t>
            </w:r>
          </w:p>
        </w:tc>
        <w:tc>
          <w:tcPr>
            <w:tcW w:w="1290" w:type="dxa"/>
            <w:vAlign w:val="center"/>
          </w:tcPr>
          <w:p>
            <w:pPr>
              <w:jc w:val="center"/>
              <w:rPr>
                <w:szCs w:val="21"/>
              </w:rPr>
            </w:pPr>
            <w:r>
              <w:rPr>
                <w:rFonts w:hint="eastAsia"/>
                <w:szCs w:val="21"/>
              </w:rPr>
              <w:t>金雪婷</w:t>
            </w:r>
          </w:p>
        </w:tc>
        <w:tc>
          <w:tcPr>
            <w:tcW w:w="2817" w:type="dxa"/>
            <w:vAlign w:val="center"/>
          </w:tcPr>
          <w:p>
            <w:pPr>
              <w:jc w:val="center"/>
              <w:rPr>
                <w:szCs w:val="21"/>
              </w:rPr>
            </w:pPr>
            <w:r>
              <w:rPr>
                <w:rFonts w:hint="eastAsia"/>
                <w:szCs w:val="21"/>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台州银行</w:t>
            </w:r>
          </w:p>
        </w:tc>
        <w:tc>
          <w:tcPr>
            <w:tcW w:w="1500" w:type="dxa"/>
            <w:vAlign w:val="center"/>
          </w:tcPr>
          <w:p>
            <w:pPr>
              <w:jc w:val="center"/>
              <w:rPr>
                <w:szCs w:val="21"/>
              </w:rPr>
            </w:pPr>
            <w:r>
              <w:rPr>
                <w:rFonts w:hint="eastAsia"/>
                <w:szCs w:val="21"/>
              </w:rPr>
              <w:t>5.6%起</w:t>
            </w:r>
          </w:p>
        </w:tc>
        <w:tc>
          <w:tcPr>
            <w:tcW w:w="1290" w:type="dxa"/>
            <w:vAlign w:val="center"/>
          </w:tcPr>
          <w:p>
            <w:pPr>
              <w:jc w:val="center"/>
              <w:rPr>
                <w:szCs w:val="21"/>
              </w:rPr>
            </w:pPr>
            <w:r>
              <w:rPr>
                <w:rFonts w:hint="eastAsia"/>
                <w:szCs w:val="21"/>
              </w:rPr>
              <w:t>洪婷</w:t>
            </w:r>
          </w:p>
        </w:tc>
        <w:tc>
          <w:tcPr>
            <w:tcW w:w="2817" w:type="dxa"/>
            <w:vAlign w:val="center"/>
          </w:tcPr>
          <w:p>
            <w:pPr>
              <w:jc w:val="center"/>
              <w:rPr>
                <w:szCs w:val="21"/>
              </w:rPr>
            </w:pPr>
            <w:r>
              <w:rPr>
                <w:rFonts w:hint="eastAsia"/>
                <w:szCs w:val="21"/>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18" w:type="dxa"/>
            <w:vAlign w:val="center"/>
          </w:tcPr>
          <w:p>
            <w:pPr>
              <w:jc w:val="center"/>
              <w:rPr>
                <w:szCs w:val="21"/>
              </w:rPr>
            </w:pPr>
            <w:r>
              <w:rPr>
                <w:rFonts w:hint="eastAsia"/>
                <w:szCs w:val="21"/>
              </w:rPr>
              <w:t>邮储银行台州分行</w:t>
            </w:r>
          </w:p>
        </w:tc>
        <w:tc>
          <w:tcPr>
            <w:tcW w:w="1500" w:type="dxa"/>
            <w:vAlign w:val="center"/>
          </w:tcPr>
          <w:p>
            <w:pPr>
              <w:jc w:val="center"/>
              <w:rPr>
                <w:szCs w:val="21"/>
              </w:rPr>
            </w:pPr>
            <w:r>
              <w:rPr>
                <w:rFonts w:hint="eastAsia"/>
                <w:szCs w:val="21"/>
              </w:rPr>
              <w:t>3.85%起</w:t>
            </w:r>
          </w:p>
        </w:tc>
        <w:tc>
          <w:tcPr>
            <w:tcW w:w="1290" w:type="dxa"/>
            <w:vAlign w:val="center"/>
          </w:tcPr>
          <w:p>
            <w:pPr>
              <w:jc w:val="center"/>
              <w:rPr>
                <w:szCs w:val="21"/>
              </w:rPr>
            </w:pPr>
            <w:r>
              <w:rPr>
                <w:rFonts w:hint="eastAsia"/>
                <w:szCs w:val="21"/>
              </w:rPr>
              <w:t>董庆</w:t>
            </w:r>
          </w:p>
        </w:tc>
        <w:tc>
          <w:tcPr>
            <w:tcW w:w="2817" w:type="dxa"/>
            <w:vAlign w:val="center"/>
          </w:tcPr>
          <w:p>
            <w:pPr>
              <w:jc w:val="center"/>
              <w:rPr>
                <w:szCs w:val="21"/>
              </w:rPr>
            </w:pPr>
            <w:r>
              <w:rPr>
                <w:rFonts w:hint="eastAsia"/>
                <w:szCs w:val="21"/>
              </w:rPr>
              <w:t>81888982/18957683735</w:t>
            </w:r>
          </w:p>
        </w:tc>
      </w:tr>
    </w:tbl>
    <w:p>
      <w:pPr>
        <w:spacing w:line="360" w:lineRule="auto"/>
        <w:jc w:val="center"/>
        <w:rPr>
          <w:rFonts w:cs="宋体" w:asciiTheme="minorEastAsia" w:hAnsiTheme="minorEastAsia" w:eastAsiaTheme="minorEastAsia"/>
          <w:b/>
        </w:rPr>
      </w:pPr>
    </w:p>
    <w:p>
      <w:pPr>
        <w:spacing w:line="360" w:lineRule="auto"/>
        <w:jc w:val="center"/>
        <w:rPr>
          <w:rFonts w:cs="宋体" w:asciiTheme="minorEastAsia" w:hAnsiTheme="minorEastAsia" w:eastAsiaTheme="minorEastAsia"/>
          <w:b/>
        </w:rPr>
      </w:pPr>
    </w:p>
    <w:p>
      <w:pPr>
        <w:pStyle w:val="6"/>
      </w:pPr>
    </w:p>
    <w:p>
      <w:pPr>
        <w:spacing w:line="360" w:lineRule="auto"/>
        <w:jc w:val="center"/>
        <w:rPr>
          <w:rFonts w:cs="宋体" w:asciiTheme="minorEastAsia" w:hAnsiTheme="minorEastAsia" w:eastAsiaTheme="minorEastAsia"/>
          <w:b/>
        </w:rPr>
      </w:pPr>
      <w:r>
        <w:rPr>
          <w:rFonts w:hint="eastAsia" w:cs="宋体" w:asciiTheme="minorEastAsia" w:hAnsiTheme="minorEastAsia" w:eastAsiaTheme="minorEastAsia"/>
          <w:b/>
        </w:rPr>
        <w:t>合同履约保函联系方式</w:t>
      </w:r>
    </w:p>
    <w:tbl>
      <w:tblPr>
        <w:tblStyle w:val="2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9"/>
        <w:gridCol w:w="2262"/>
        <w:gridCol w:w="985"/>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3739" w:type="dxa"/>
            <w:vAlign w:val="center"/>
          </w:tcPr>
          <w:p>
            <w:pPr>
              <w:jc w:val="center"/>
              <w:rPr>
                <w:b/>
                <w:szCs w:val="21"/>
              </w:rPr>
            </w:pPr>
            <w:r>
              <w:rPr>
                <w:rFonts w:hint="eastAsia"/>
                <w:b/>
                <w:szCs w:val="21"/>
              </w:rPr>
              <w:t>保险公司名称</w:t>
            </w:r>
          </w:p>
        </w:tc>
        <w:tc>
          <w:tcPr>
            <w:tcW w:w="2262" w:type="dxa"/>
            <w:vAlign w:val="center"/>
          </w:tcPr>
          <w:p>
            <w:pPr>
              <w:jc w:val="center"/>
              <w:rPr>
                <w:b/>
                <w:szCs w:val="21"/>
              </w:rPr>
            </w:pPr>
            <w:r>
              <w:rPr>
                <w:rFonts w:hint="eastAsia"/>
                <w:b/>
                <w:szCs w:val="21"/>
              </w:rPr>
              <w:t>保费率</w:t>
            </w:r>
          </w:p>
        </w:tc>
        <w:tc>
          <w:tcPr>
            <w:tcW w:w="985" w:type="dxa"/>
            <w:vAlign w:val="center"/>
          </w:tcPr>
          <w:p>
            <w:pPr>
              <w:jc w:val="center"/>
              <w:rPr>
                <w:b/>
                <w:szCs w:val="21"/>
              </w:rPr>
            </w:pPr>
            <w:r>
              <w:rPr>
                <w:rFonts w:hint="eastAsia"/>
                <w:b/>
                <w:szCs w:val="21"/>
              </w:rPr>
              <w:t>联系人</w:t>
            </w:r>
          </w:p>
        </w:tc>
        <w:tc>
          <w:tcPr>
            <w:tcW w:w="1536" w:type="dxa"/>
            <w:vAlign w:val="center"/>
          </w:tcPr>
          <w:p>
            <w:pPr>
              <w:jc w:val="center"/>
              <w:rPr>
                <w:b/>
                <w:szCs w:val="21"/>
              </w:rPr>
            </w:pPr>
            <w:r>
              <w:rPr>
                <w:rFonts w:hint="eastAsia"/>
                <w:b/>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3739"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中国人寿财产保险股份有限公司台州中心支公司</w:t>
            </w:r>
          </w:p>
        </w:tc>
        <w:tc>
          <w:tcPr>
            <w:tcW w:w="2262"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年费率1%，最低保费500元</w:t>
            </w:r>
          </w:p>
        </w:tc>
        <w:tc>
          <w:tcPr>
            <w:tcW w:w="985"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徐凌</w:t>
            </w:r>
          </w:p>
        </w:tc>
        <w:tc>
          <w:tcPr>
            <w:tcW w:w="1536"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3739"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永诚财产保险股份有限公司台州分公司</w:t>
            </w:r>
          </w:p>
        </w:tc>
        <w:tc>
          <w:tcPr>
            <w:tcW w:w="2262"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年费率1%，最低保费1000元</w:t>
            </w:r>
          </w:p>
        </w:tc>
        <w:tc>
          <w:tcPr>
            <w:tcW w:w="985"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尹刚强</w:t>
            </w:r>
          </w:p>
        </w:tc>
        <w:tc>
          <w:tcPr>
            <w:tcW w:w="1536"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3739"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华泰财产保险有限公司台州中心支公司</w:t>
            </w:r>
          </w:p>
        </w:tc>
        <w:tc>
          <w:tcPr>
            <w:tcW w:w="2262"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年费率0.5%，最低保费1000元</w:t>
            </w:r>
          </w:p>
        </w:tc>
        <w:tc>
          <w:tcPr>
            <w:tcW w:w="985"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王灵芳</w:t>
            </w:r>
          </w:p>
        </w:tc>
        <w:tc>
          <w:tcPr>
            <w:tcW w:w="1536"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3739"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中国大地财产保险股份有限公司台州中心支公司</w:t>
            </w:r>
          </w:p>
        </w:tc>
        <w:tc>
          <w:tcPr>
            <w:tcW w:w="2262"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年费率1.5%，最低保费1000元</w:t>
            </w:r>
          </w:p>
        </w:tc>
        <w:tc>
          <w:tcPr>
            <w:tcW w:w="985"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徐小明</w:t>
            </w:r>
          </w:p>
        </w:tc>
        <w:tc>
          <w:tcPr>
            <w:tcW w:w="1536"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3739"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阳光保险台州中心支公司</w:t>
            </w:r>
          </w:p>
        </w:tc>
        <w:tc>
          <w:tcPr>
            <w:tcW w:w="2262"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年费率1%，最低保费500元</w:t>
            </w:r>
          </w:p>
        </w:tc>
        <w:tc>
          <w:tcPr>
            <w:tcW w:w="985"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林高明</w:t>
            </w:r>
          </w:p>
        </w:tc>
        <w:tc>
          <w:tcPr>
            <w:tcW w:w="1536"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3739"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中华联合财产保险股份有限公司台州中心支公司</w:t>
            </w:r>
          </w:p>
        </w:tc>
        <w:tc>
          <w:tcPr>
            <w:tcW w:w="2262"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年费率2%，最低保费500元</w:t>
            </w:r>
          </w:p>
        </w:tc>
        <w:tc>
          <w:tcPr>
            <w:tcW w:w="985"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王仙高</w:t>
            </w:r>
          </w:p>
        </w:tc>
        <w:tc>
          <w:tcPr>
            <w:tcW w:w="1536"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3739"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中国人民财产保险股份有限公司台州中心支公司</w:t>
            </w:r>
          </w:p>
        </w:tc>
        <w:tc>
          <w:tcPr>
            <w:tcW w:w="2262"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年费率0.3%，最低保费1000元</w:t>
            </w:r>
          </w:p>
        </w:tc>
        <w:tc>
          <w:tcPr>
            <w:tcW w:w="985"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王仙春</w:t>
            </w:r>
          </w:p>
        </w:tc>
        <w:tc>
          <w:tcPr>
            <w:tcW w:w="1536"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3739"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永安财产保险股份有限公司台州中心支公司</w:t>
            </w:r>
          </w:p>
        </w:tc>
        <w:tc>
          <w:tcPr>
            <w:tcW w:w="2262"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年费率0.3%，最低保费1000</w:t>
            </w:r>
          </w:p>
        </w:tc>
        <w:tc>
          <w:tcPr>
            <w:tcW w:w="985"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王春宇</w:t>
            </w:r>
          </w:p>
        </w:tc>
        <w:tc>
          <w:tcPr>
            <w:tcW w:w="1536"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13676675331</w:t>
            </w:r>
          </w:p>
        </w:tc>
      </w:tr>
    </w:tbl>
    <w:p>
      <w:pPr>
        <w:spacing w:line="360" w:lineRule="auto"/>
        <w:jc w:val="center"/>
        <w:rPr>
          <w:rFonts w:cs="宋体" w:asciiTheme="minorEastAsia" w:hAnsiTheme="minorEastAsia" w:eastAsiaTheme="minorEastAsia"/>
          <w:szCs w:val="21"/>
        </w:rPr>
      </w:pPr>
    </w:p>
    <w:p>
      <w:pPr>
        <w:spacing w:line="360" w:lineRule="auto"/>
        <w:jc w:val="center"/>
        <w:rPr>
          <w:rFonts w:cs="宋体" w:asciiTheme="minorEastAsia" w:hAnsiTheme="minorEastAsia" w:eastAsiaTheme="minorEastAsia"/>
          <w:b/>
        </w:rPr>
      </w:pPr>
      <w:r>
        <w:rPr>
          <w:rFonts w:hint="eastAsia" w:cs="宋体" w:asciiTheme="minorEastAsia" w:hAnsiTheme="minorEastAsia" w:eastAsiaTheme="minorEastAsia"/>
          <w:b/>
        </w:rPr>
        <w:t>预付款保函联系方式</w:t>
      </w:r>
    </w:p>
    <w:tbl>
      <w:tblPr>
        <w:tblStyle w:val="2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7"/>
        <w:gridCol w:w="2274"/>
        <w:gridCol w:w="985"/>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3727" w:type="dxa"/>
            <w:vAlign w:val="center"/>
          </w:tcPr>
          <w:p>
            <w:pPr>
              <w:jc w:val="center"/>
              <w:rPr>
                <w:b/>
                <w:szCs w:val="21"/>
              </w:rPr>
            </w:pPr>
            <w:r>
              <w:rPr>
                <w:rFonts w:hint="eastAsia"/>
                <w:b/>
                <w:szCs w:val="21"/>
              </w:rPr>
              <w:t>保险公司名称</w:t>
            </w:r>
          </w:p>
        </w:tc>
        <w:tc>
          <w:tcPr>
            <w:tcW w:w="2274" w:type="dxa"/>
            <w:vAlign w:val="center"/>
          </w:tcPr>
          <w:p>
            <w:pPr>
              <w:jc w:val="center"/>
              <w:rPr>
                <w:b/>
                <w:szCs w:val="21"/>
              </w:rPr>
            </w:pPr>
            <w:r>
              <w:rPr>
                <w:rFonts w:hint="eastAsia"/>
                <w:b/>
                <w:szCs w:val="21"/>
              </w:rPr>
              <w:t>保费率</w:t>
            </w:r>
          </w:p>
        </w:tc>
        <w:tc>
          <w:tcPr>
            <w:tcW w:w="985" w:type="dxa"/>
            <w:vAlign w:val="center"/>
          </w:tcPr>
          <w:p>
            <w:pPr>
              <w:jc w:val="center"/>
              <w:rPr>
                <w:b/>
                <w:szCs w:val="21"/>
              </w:rPr>
            </w:pPr>
            <w:r>
              <w:rPr>
                <w:rFonts w:hint="eastAsia"/>
                <w:b/>
                <w:szCs w:val="21"/>
              </w:rPr>
              <w:t>联系人</w:t>
            </w:r>
          </w:p>
        </w:tc>
        <w:tc>
          <w:tcPr>
            <w:tcW w:w="1536" w:type="dxa"/>
            <w:vAlign w:val="center"/>
          </w:tcPr>
          <w:p>
            <w:pPr>
              <w:jc w:val="center"/>
              <w:rPr>
                <w:b/>
                <w:szCs w:val="21"/>
              </w:rPr>
            </w:pPr>
            <w:r>
              <w:rPr>
                <w:rFonts w:hint="eastAsia"/>
                <w:b/>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27"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中国人寿财产保险股份有限公司台州中心支公司</w:t>
            </w:r>
          </w:p>
        </w:tc>
        <w:tc>
          <w:tcPr>
            <w:tcW w:w="2274"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年费率3%，最低保费500元</w:t>
            </w:r>
          </w:p>
        </w:tc>
        <w:tc>
          <w:tcPr>
            <w:tcW w:w="985"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徐凌</w:t>
            </w:r>
          </w:p>
        </w:tc>
        <w:tc>
          <w:tcPr>
            <w:tcW w:w="1536"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27"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阳光保险台州中心支公司</w:t>
            </w:r>
          </w:p>
        </w:tc>
        <w:tc>
          <w:tcPr>
            <w:tcW w:w="2274"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年费率1%，最低保费500元</w:t>
            </w:r>
          </w:p>
        </w:tc>
        <w:tc>
          <w:tcPr>
            <w:tcW w:w="985"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林高明</w:t>
            </w:r>
          </w:p>
        </w:tc>
        <w:tc>
          <w:tcPr>
            <w:tcW w:w="1536"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27"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天安财产保险股份有限公司台州中心支公司</w:t>
            </w:r>
          </w:p>
        </w:tc>
        <w:tc>
          <w:tcPr>
            <w:tcW w:w="2274"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年费率1%-2%，最低保费500元</w:t>
            </w:r>
          </w:p>
        </w:tc>
        <w:tc>
          <w:tcPr>
            <w:tcW w:w="985"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罗赛</w:t>
            </w:r>
          </w:p>
        </w:tc>
        <w:tc>
          <w:tcPr>
            <w:tcW w:w="1536" w:type="dxa"/>
            <w:vAlign w:val="center"/>
          </w:tcPr>
          <w:p>
            <w:pPr>
              <w:spacing w:line="276"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13736605643</w:t>
            </w:r>
          </w:p>
        </w:tc>
      </w:tr>
    </w:tbl>
    <w:p>
      <w:pPr>
        <w:rPr>
          <w:rFonts w:ascii="宋体" w:hAnsi="宋体" w:cs="宋体"/>
        </w:rPr>
        <w:sectPr>
          <w:footerReference r:id="rId4" w:type="default"/>
          <w:pgSz w:w="11906" w:h="16838"/>
          <w:pgMar w:top="1474" w:right="1274" w:bottom="964" w:left="1797" w:header="851" w:footer="851" w:gutter="0"/>
          <w:pgNumType w:start="1"/>
          <w:cols w:space="720" w:num="1"/>
        </w:sectPr>
      </w:pPr>
    </w:p>
    <w:p>
      <w:pPr>
        <w:numPr>
          <w:ilvl w:val="0"/>
          <w:numId w:val="4"/>
        </w:numPr>
        <w:spacing w:line="360" w:lineRule="auto"/>
        <w:jc w:val="center"/>
        <w:rPr>
          <w:rFonts w:asciiTheme="minorEastAsia" w:hAnsiTheme="minorEastAsia" w:eastAsiaTheme="minorEastAsia"/>
          <w:b/>
          <w:sz w:val="36"/>
          <w:szCs w:val="36"/>
        </w:rPr>
      </w:pPr>
      <w:bookmarkStart w:id="6" w:name="_Toc19515_WPSOffice_Level1"/>
      <w:bookmarkStart w:id="7" w:name="_Toc26655_WPSOffice_Level1"/>
      <w:r>
        <w:rPr>
          <w:rFonts w:hint="eastAsia" w:asciiTheme="minorEastAsia" w:hAnsiTheme="minorEastAsia" w:eastAsiaTheme="minorEastAsia"/>
          <w:b/>
          <w:sz w:val="36"/>
          <w:szCs w:val="36"/>
          <w:lang w:eastAsia="zh-CN"/>
        </w:rPr>
        <w:t>供应商</w:t>
      </w:r>
      <w:r>
        <w:rPr>
          <w:rFonts w:hint="eastAsia" w:asciiTheme="minorEastAsia" w:hAnsiTheme="minorEastAsia" w:eastAsiaTheme="minorEastAsia"/>
          <w:b/>
          <w:sz w:val="36"/>
          <w:szCs w:val="36"/>
        </w:rPr>
        <w:t>须知</w:t>
      </w:r>
      <w:bookmarkEnd w:id="6"/>
      <w:bookmarkEnd w:id="7"/>
    </w:p>
    <w:p>
      <w:pPr>
        <w:spacing w:line="300" w:lineRule="auto"/>
        <w:jc w:val="center"/>
        <w:rPr>
          <w:rFonts w:ascii="宋体" w:hAnsi="宋体" w:cs="宋体"/>
        </w:rPr>
      </w:pPr>
      <w:r>
        <w:rPr>
          <w:rFonts w:hint="eastAsia" w:asciiTheme="minorEastAsia" w:hAnsiTheme="minorEastAsia" w:eastAsiaTheme="minorEastAsia"/>
          <w:b/>
          <w:sz w:val="24"/>
        </w:rPr>
        <w:t>前附表</w:t>
      </w:r>
    </w:p>
    <w:tbl>
      <w:tblPr>
        <w:tblStyle w:val="29"/>
        <w:tblW w:w="97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222"/>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序号</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 目</w:t>
            </w:r>
          </w:p>
        </w:tc>
        <w:tc>
          <w:tcPr>
            <w:tcW w:w="6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供应商特定资格要求</w:t>
            </w:r>
          </w:p>
        </w:tc>
        <w:tc>
          <w:tcPr>
            <w:tcW w:w="6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kern w:val="0"/>
                <w:szCs w:val="21"/>
              </w:rPr>
              <w:t>答疑会或</w:t>
            </w:r>
            <w:r>
              <w:rPr>
                <w:rFonts w:hint="eastAsia" w:ascii="宋体" w:hAnsi="宋体" w:cs="宋体"/>
                <w:color w:val="000000"/>
                <w:szCs w:val="21"/>
              </w:rPr>
              <w:t>现场踏勘</w:t>
            </w:r>
          </w:p>
        </w:tc>
        <w:tc>
          <w:tcPr>
            <w:tcW w:w="6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投标文件的编制</w:t>
            </w:r>
          </w:p>
        </w:tc>
        <w:tc>
          <w:tcPr>
            <w:tcW w:w="6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宋体"/>
                <w:szCs w:val="21"/>
                <w:highlight w:val="yellow"/>
              </w:rPr>
            </w:pPr>
            <w:r>
              <w:rPr>
                <w:rFonts w:hint="eastAsia" w:ascii="宋体" w:hAnsi="宋体" w:cs="宋体"/>
                <w:bCs/>
                <w:color w:val="000000"/>
                <w:kern w:val="0"/>
                <w:szCs w:val="21"/>
                <w:lang w:val="zh-CN"/>
              </w:rPr>
              <w:t>供应商应先安装“政采云电子交易客户端”，并按照本采购文件和“政采云平台”的要求，通过“政采云电子交易客户端”编制并加密投标文件。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签字或盖章要求</w:t>
            </w:r>
          </w:p>
        </w:tc>
        <w:tc>
          <w:tcPr>
            <w:tcW w:w="6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宋体"/>
                <w:szCs w:val="21"/>
              </w:rPr>
            </w:pPr>
            <w:r>
              <w:rPr>
                <w:rFonts w:hint="eastAsia" w:ascii="宋体" w:hAnsi="宋体" w:cs="宋体"/>
                <w:bCs/>
                <w:color w:val="000000"/>
                <w:kern w:val="0"/>
                <w:szCs w:val="21"/>
                <w:lang w:val="zh-CN"/>
              </w:rPr>
              <w:t>投标文件的相应位置应加盖：电子签章。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5</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投标文件的形式、制作及组成</w:t>
            </w:r>
          </w:p>
        </w:tc>
        <w:tc>
          <w:tcPr>
            <w:tcW w:w="6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 w:val="21"/>
                <w:szCs w:val="21"/>
                <w:lang w:val="zh-CN"/>
              </w:rPr>
            </w:pPr>
            <w:r>
              <w:rPr>
                <w:rFonts w:hint="eastAsia"/>
                <w:sz w:val="21"/>
                <w:szCs w:val="21"/>
                <w:lang w:val="zh-CN"/>
              </w:rPr>
              <w:t>本项目实行在线投标响应（电子投标）。</w:t>
            </w:r>
          </w:p>
          <w:p>
            <w:pPr>
              <w:autoSpaceDE w:val="0"/>
              <w:autoSpaceDN w:val="0"/>
              <w:adjustRightInd w:val="0"/>
              <w:spacing w:line="280" w:lineRule="exact"/>
              <w:rPr>
                <w:sz w:val="21"/>
                <w:szCs w:val="21"/>
                <w:lang w:val="zh-CN"/>
              </w:rPr>
            </w:pPr>
            <w:r>
              <w:rPr>
                <w:rFonts w:hint="eastAsia"/>
                <w:sz w:val="21"/>
                <w:szCs w:val="21"/>
                <w:lang w:val="zh-CN"/>
              </w:rPr>
              <w:t>供应商须准备电子投标文件（包括“电子加密投标文件”和“备份投标文件”两类，在投标文件编制完成后同时生成）。</w:t>
            </w:r>
          </w:p>
          <w:p>
            <w:pPr>
              <w:autoSpaceDE w:val="0"/>
              <w:autoSpaceDN w:val="0"/>
              <w:adjustRightInd w:val="0"/>
              <w:spacing w:line="280" w:lineRule="exact"/>
              <w:rPr>
                <w:sz w:val="21"/>
                <w:szCs w:val="21"/>
                <w:lang w:val="zh-CN"/>
              </w:rPr>
            </w:pPr>
            <w:r>
              <w:rPr>
                <w:rFonts w:hint="eastAsia"/>
                <w:sz w:val="21"/>
                <w:szCs w:val="21"/>
                <w:lang w:val="zh-CN"/>
              </w:rPr>
              <w:t>（1）“电子加密投标文件”是指通过“政采云电子交易客户端”完成投标文件编制后生成并加密的数据电文形式的投标文件。</w:t>
            </w:r>
          </w:p>
          <w:p>
            <w:pPr>
              <w:autoSpaceDE w:val="0"/>
              <w:autoSpaceDN w:val="0"/>
              <w:adjustRightInd w:val="0"/>
              <w:spacing w:line="280" w:lineRule="exact"/>
              <w:rPr>
                <w:sz w:val="21"/>
                <w:szCs w:val="21"/>
                <w:lang w:val="zh-CN"/>
              </w:rPr>
            </w:pPr>
            <w:r>
              <w:rPr>
                <w:rFonts w:hint="eastAsia"/>
                <w:sz w:val="21"/>
                <w:szCs w:val="21"/>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280" w:lineRule="exact"/>
              <w:rPr>
                <w:rFonts w:hint="eastAsia"/>
                <w:sz w:val="21"/>
                <w:szCs w:val="21"/>
                <w:lang w:val="zh-CN"/>
              </w:rPr>
            </w:pPr>
            <w:r>
              <w:rPr>
                <w:rFonts w:hint="eastAsia"/>
                <w:sz w:val="21"/>
                <w:szCs w:val="21"/>
                <w:lang w:val="zh-CN"/>
              </w:rPr>
              <w:t>以上两类投标文件均由</w:t>
            </w:r>
            <w:r>
              <w:rPr>
                <w:rFonts w:hint="eastAsia"/>
                <w:sz w:val="21"/>
                <w:szCs w:val="21"/>
              </w:rPr>
              <w:t>资格证明文件</w:t>
            </w:r>
            <w:r>
              <w:rPr>
                <w:rFonts w:hint="eastAsia"/>
                <w:sz w:val="21"/>
                <w:szCs w:val="21"/>
                <w:lang w:val="zh-CN"/>
              </w:rPr>
              <w:t>、商务技术文件、报价文件三部分组成。</w:t>
            </w:r>
          </w:p>
          <w:p>
            <w:pPr>
              <w:autoSpaceDE w:val="0"/>
              <w:autoSpaceDN w:val="0"/>
              <w:adjustRightInd w:val="0"/>
              <w:spacing w:line="280" w:lineRule="exact"/>
              <w:rPr>
                <w:sz w:val="21"/>
                <w:szCs w:val="21"/>
              </w:rPr>
            </w:pPr>
            <w:r>
              <w:rPr>
                <w:rFonts w:hint="eastAsia"/>
                <w:sz w:val="21"/>
                <w:szCs w:val="21"/>
                <w:lang w:val="zh-CN"/>
              </w:rPr>
              <w:t>（3）样品（如有）具体要求详见采购需求。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6</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投标文件份数</w:t>
            </w:r>
          </w:p>
        </w:tc>
        <w:tc>
          <w:tcPr>
            <w:tcW w:w="6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 w:val="21"/>
                <w:szCs w:val="21"/>
                <w:lang w:val="zh-CN"/>
              </w:rPr>
            </w:pPr>
            <w:r>
              <w:rPr>
                <w:rFonts w:hint="eastAsia"/>
                <w:sz w:val="21"/>
                <w:szCs w:val="21"/>
                <w:lang w:val="zh-CN"/>
              </w:rPr>
              <w:t>（1）“电子加密投标文件”：在线上传、递交、一份。</w:t>
            </w:r>
          </w:p>
          <w:p>
            <w:pPr>
              <w:autoSpaceDE w:val="0"/>
              <w:autoSpaceDN w:val="0"/>
              <w:adjustRightInd w:val="0"/>
              <w:spacing w:line="280" w:lineRule="exact"/>
              <w:rPr>
                <w:sz w:val="21"/>
                <w:szCs w:val="21"/>
                <w:lang w:val="zh-CN"/>
              </w:rPr>
            </w:pPr>
            <w:r>
              <w:rPr>
                <w:rFonts w:hint="eastAsia"/>
                <w:sz w:val="21"/>
                <w:szCs w:val="21"/>
                <w:lang w:val="zh-CN"/>
              </w:rPr>
              <w:t>（2）“备份投标文件”：（如有）：一份，以U盘存储，密封包装、递交。</w:t>
            </w:r>
          </w:p>
          <w:p>
            <w:pPr>
              <w:autoSpaceDE w:val="0"/>
              <w:autoSpaceDN w:val="0"/>
              <w:adjustRightInd w:val="0"/>
              <w:spacing w:line="280" w:lineRule="exact"/>
              <w:rPr>
                <w:sz w:val="21"/>
                <w:szCs w:val="21"/>
              </w:rPr>
            </w:pPr>
            <w:r>
              <w:rPr>
                <w:rFonts w:hint="eastAsia"/>
                <w:sz w:val="21"/>
                <w:szCs w:val="21"/>
                <w:lang w:val="zh-CN"/>
              </w:rPr>
              <w:t>（3）</w:t>
            </w:r>
            <w:r>
              <w:rPr>
                <w:rFonts w:hint="eastAsia"/>
                <w:sz w:val="21"/>
                <w:szCs w:val="21"/>
                <w:lang w:val="en-US" w:eastAsia="zh-CN"/>
              </w:rPr>
              <w:t>样品</w:t>
            </w:r>
            <w:r>
              <w:rPr>
                <w:rFonts w:hint="eastAsia"/>
                <w:sz w:val="21"/>
                <w:szCs w:val="21"/>
                <w:lang w:val="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7</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投标文件的上传和递交</w:t>
            </w:r>
          </w:p>
        </w:tc>
        <w:tc>
          <w:tcPr>
            <w:tcW w:w="6835" w:type="dxa"/>
            <w:tcBorders>
              <w:top w:val="single" w:color="auto" w:sz="4" w:space="0"/>
              <w:left w:val="single" w:color="auto" w:sz="4" w:space="0"/>
              <w:bottom w:val="single" w:color="auto" w:sz="4" w:space="0"/>
              <w:right w:val="single" w:color="auto" w:sz="4" w:space="0"/>
            </w:tcBorders>
            <w:vAlign w:val="center"/>
          </w:tcPr>
          <w:p>
            <w:pPr>
              <w:pStyle w:val="67"/>
              <w:autoSpaceDE w:val="0"/>
              <w:autoSpaceDN w:val="0"/>
              <w:adjustRightInd w:val="0"/>
              <w:spacing w:line="260" w:lineRule="exact"/>
              <w:jc w:val="both"/>
              <w:rPr>
                <w:sz w:val="21"/>
                <w:szCs w:val="21"/>
                <w:lang w:val="en-US"/>
              </w:rPr>
            </w:pPr>
            <w:r>
              <w:rPr>
                <w:rFonts w:hint="eastAsia"/>
                <w:sz w:val="21"/>
                <w:szCs w:val="21"/>
                <w:lang w:val="en-US"/>
              </w:rPr>
              <w:t>（1）“电子加密投标文件”的上传、递交：</w:t>
            </w:r>
          </w:p>
          <w:p>
            <w:pPr>
              <w:ind w:firstLine="420" w:firstLineChars="200"/>
              <w:rPr>
                <w:sz w:val="21"/>
                <w:szCs w:val="21"/>
              </w:rPr>
            </w:pPr>
            <w:r>
              <w:rPr>
                <w:rFonts w:hint="eastAsia"/>
                <w:sz w:val="21"/>
                <w:szCs w:val="21"/>
                <w:lang w:eastAsia="zh-CN"/>
              </w:rPr>
              <w:t>供应商</w:t>
            </w:r>
            <w:r>
              <w:rPr>
                <w:rFonts w:hint="eastAsia"/>
                <w:sz w:val="21"/>
                <w:szCs w:val="21"/>
              </w:rPr>
              <w:t>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无效。</w:t>
            </w:r>
          </w:p>
          <w:p>
            <w:pPr>
              <w:pStyle w:val="67"/>
              <w:autoSpaceDE w:val="0"/>
              <w:autoSpaceDN w:val="0"/>
              <w:adjustRightInd w:val="0"/>
              <w:spacing w:line="260" w:lineRule="exact"/>
              <w:jc w:val="both"/>
              <w:rPr>
                <w:sz w:val="21"/>
                <w:szCs w:val="21"/>
                <w:lang w:val="en-US"/>
              </w:rPr>
            </w:pPr>
            <w:r>
              <w:rPr>
                <w:rFonts w:hint="eastAsia"/>
                <w:sz w:val="21"/>
                <w:szCs w:val="21"/>
                <w:lang w:val="en-US"/>
              </w:rPr>
              <w:t>（2）“备份投标文件”的密封包装、递交：</w:t>
            </w:r>
          </w:p>
          <w:p>
            <w:pPr>
              <w:widowControl/>
              <w:rPr>
                <w:rFonts w:hint="eastAsia"/>
                <w:sz w:val="21"/>
                <w:szCs w:val="21"/>
              </w:rPr>
            </w:pPr>
            <w:r>
              <w:rPr>
                <w:rFonts w:hint="eastAsia"/>
                <w:sz w:val="21"/>
                <w:szCs w:val="21"/>
              </w:rPr>
              <w:t>a.</w:t>
            </w:r>
            <w:r>
              <w:rPr>
                <w:rFonts w:hint="eastAsia"/>
                <w:sz w:val="21"/>
                <w:szCs w:val="21"/>
                <w:lang w:eastAsia="zh-CN"/>
              </w:rPr>
              <w:t>供应商</w:t>
            </w:r>
            <w:r>
              <w:rPr>
                <w:rFonts w:hint="eastAsia"/>
                <w:sz w:val="21"/>
                <w:szCs w:val="21"/>
              </w:rPr>
              <w:t>在“政采云平台”完成“电子加密投标文件”的上传递交后，还应当在投标截止时间前递交以介质（U盘）存储的 “备份投标文件”；快递至采购代理机构地址（黄岩区县前街1号源鸿大厦3楼，王小姐收，联系方式：17757696187，防疫期间不建议供应商代表抵达开评标地点）；解密CA必须是上传并制作电子投标文件CA锁。</w:t>
            </w:r>
          </w:p>
          <w:p>
            <w:pPr>
              <w:widowControl/>
              <w:rPr>
                <w:sz w:val="21"/>
                <w:szCs w:val="21"/>
                <w:lang w:val="zh-CN"/>
              </w:rPr>
            </w:pPr>
            <w:r>
              <w:rPr>
                <w:rFonts w:hint="eastAsia"/>
                <w:sz w:val="21"/>
                <w:szCs w:val="21"/>
              </w:rPr>
              <w:t>b.“备份投标文件”应当密封包装，并在包装上标注投标项目名称、投标单位名称并加盖公章。没有密封包装或者逾期邮寄送达至采购代理机构地址的“备份投标文件”将不予接收。</w:t>
            </w:r>
          </w:p>
          <w:p>
            <w:pPr>
              <w:autoSpaceDE w:val="0"/>
              <w:autoSpaceDN w:val="0"/>
              <w:adjustRightInd w:val="0"/>
              <w:spacing w:line="260" w:lineRule="exact"/>
              <w:rPr>
                <w:color w:val="auto"/>
                <w:sz w:val="21"/>
                <w:szCs w:val="21"/>
                <w:lang w:val="zh-CN"/>
              </w:rPr>
            </w:pPr>
            <w:r>
              <w:rPr>
                <w:rFonts w:hint="eastAsia"/>
                <w:sz w:val="21"/>
                <w:szCs w:val="21"/>
                <w:lang w:val="zh-CN"/>
              </w:rPr>
              <w:t>c.通过“政采云平台”成功上传递交的“电子加密投标文件”已按时解密的，“备份投标文件”自动失效。投标文件递交截止时间前，供应商仅递交了</w:t>
            </w:r>
            <w:r>
              <w:rPr>
                <w:rFonts w:hint="eastAsia"/>
                <w:color w:val="auto"/>
                <w:sz w:val="21"/>
                <w:szCs w:val="21"/>
                <w:lang w:val="zh-CN"/>
              </w:rPr>
              <w:t>“备份投标文件”而未将“电子加密投标文件”成功上传至“政采云平台”的，投标无效。</w:t>
            </w:r>
          </w:p>
          <w:p>
            <w:pPr>
              <w:autoSpaceDE w:val="0"/>
              <w:autoSpaceDN w:val="0"/>
              <w:adjustRightInd w:val="0"/>
              <w:spacing w:line="260" w:lineRule="exact"/>
              <w:rPr>
                <w:color w:val="auto"/>
                <w:sz w:val="21"/>
                <w:szCs w:val="21"/>
              </w:rPr>
            </w:pPr>
            <w:r>
              <w:rPr>
                <w:rFonts w:hint="eastAsia" w:ascii="宋体" w:hAnsi="宋体" w:cs="宋体"/>
                <w:bCs/>
                <w:color w:val="auto"/>
                <w:kern w:val="0"/>
                <w:sz w:val="21"/>
                <w:szCs w:val="21"/>
                <w:lang w:val="zh-CN"/>
              </w:rPr>
              <w:t>（</w:t>
            </w:r>
            <w:r>
              <w:rPr>
                <w:rFonts w:hint="eastAsia" w:ascii="宋体" w:hAnsi="宋体" w:cs="宋体"/>
                <w:bCs/>
                <w:color w:val="auto"/>
                <w:kern w:val="0"/>
                <w:sz w:val="21"/>
                <w:szCs w:val="21"/>
              </w:rPr>
              <w:t>3</w:t>
            </w:r>
            <w:r>
              <w:rPr>
                <w:rFonts w:hint="eastAsia" w:ascii="宋体" w:hAnsi="宋体" w:cs="宋体"/>
                <w:bCs/>
                <w:color w:val="auto"/>
                <w:kern w:val="0"/>
                <w:sz w:val="21"/>
                <w:szCs w:val="21"/>
                <w:lang w:val="zh-CN"/>
              </w:rPr>
              <w:t>）</w:t>
            </w:r>
            <w:r>
              <w:rPr>
                <w:rFonts w:hint="eastAsia"/>
                <w:color w:val="auto"/>
                <w:sz w:val="21"/>
                <w:szCs w:val="21"/>
                <w:lang w:val="en-US" w:eastAsia="zh-CN"/>
              </w:rPr>
              <w:t>样品</w:t>
            </w:r>
            <w:r>
              <w:rPr>
                <w:rFonts w:hint="eastAsia"/>
                <w:color w:val="auto"/>
                <w:sz w:val="21"/>
                <w:szCs w:val="21"/>
              </w:rPr>
              <w:t>（如有）</w:t>
            </w:r>
            <w:r>
              <w:rPr>
                <w:rFonts w:hint="eastAsia"/>
                <w:color w:val="auto"/>
                <w:sz w:val="21"/>
                <w:szCs w:val="21"/>
                <w:lang w:val="en-US" w:eastAsia="zh-CN"/>
              </w:rPr>
              <w:t>采用现场递交方式</w:t>
            </w:r>
            <w:r>
              <w:rPr>
                <w:rFonts w:hint="eastAsia"/>
                <w:color w:val="auto"/>
                <w:sz w:val="21"/>
                <w:szCs w:val="21"/>
              </w:rPr>
              <w:t>。</w:t>
            </w:r>
          </w:p>
          <w:p>
            <w:pPr>
              <w:autoSpaceDE w:val="0"/>
              <w:autoSpaceDN w:val="0"/>
              <w:adjustRightInd w:val="0"/>
              <w:spacing w:line="260" w:lineRule="exact"/>
              <w:rPr>
                <w:color w:val="auto"/>
              </w:rPr>
            </w:pPr>
            <w:r>
              <w:rPr>
                <w:rFonts w:hint="eastAsia"/>
                <w:color w:val="auto"/>
                <w:lang w:val="en-US" w:eastAsia="zh-CN"/>
              </w:rPr>
              <w:t>递交</w:t>
            </w:r>
            <w:r>
              <w:rPr>
                <w:rFonts w:hint="eastAsia"/>
                <w:color w:val="auto"/>
              </w:rPr>
              <w:t>截止时间（以快递送达时间为准）：同投标截止时间，建议各潜在供应商预留充足的</w:t>
            </w:r>
            <w:r>
              <w:rPr>
                <w:rFonts w:hint="eastAsia"/>
                <w:color w:val="auto"/>
                <w:lang w:val="en-US" w:eastAsia="zh-CN"/>
              </w:rPr>
              <w:t>递交</w:t>
            </w:r>
            <w:r>
              <w:rPr>
                <w:rFonts w:hint="eastAsia"/>
                <w:color w:val="auto"/>
              </w:rPr>
              <w:t>时间。</w:t>
            </w:r>
          </w:p>
          <w:p>
            <w:pPr>
              <w:autoSpaceDE w:val="0"/>
              <w:autoSpaceDN w:val="0"/>
              <w:adjustRightInd w:val="0"/>
              <w:spacing w:line="260" w:lineRule="exact"/>
              <w:rPr>
                <w:rFonts w:ascii="Times New Roman" w:hAnsi="Times New Roman" w:eastAsia="宋体" w:cs="Times New Roman"/>
                <w:color w:val="auto"/>
              </w:rPr>
            </w:pPr>
            <w:r>
              <w:rPr>
                <w:rFonts w:hint="eastAsia"/>
                <w:color w:val="auto"/>
                <w:lang w:val="en-US" w:eastAsia="zh-CN"/>
              </w:rPr>
              <w:t>递交</w:t>
            </w:r>
            <w:r>
              <w:rPr>
                <w:rFonts w:hint="eastAsia"/>
                <w:color w:val="auto"/>
              </w:rPr>
              <w:t>地点：</w:t>
            </w:r>
            <w:r>
              <w:rPr>
                <w:rFonts w:hint="eastAsia" w:ascii="Times New Roman" w:hAnsi="Times New Roman" w:eastAsia="宋体" w:cs="Times New Roman"/>
                <w:color w:val="auto"/>
              </w:rPr>
              <w:t>台州市黄岩区人民政府采购中心（台州市黄岩区直下街69号3号楼二楼）</w:t>
            </w:r>
          </w:p>
          <w:p>
            <w:pPr>
              <w:pStyle w:val="22"/>
              <w:jc w:val="left"/>
            </w:pPr>
            <w:r>
              <w:rPr>
                <w:rFonts w:hint="eastAsia"/>
                <w:b w:val="0"/>
                <w:kern w:val="2"/>
                <w:sz w:val="21"/>
                <w:szCs w:val="24"/>
                <w:lang w:val="en-US"/>
              </w:rPr>
              <w:t>签收人：王女士（17757696187）</w:t>
            </w:r>
            <w:r>
              <w:rPr>
                <w:rFonts w:hint="eastAsia"/>
                <w:b w:val="0"/>
                <w:kern w:val="2"/>
                <w:sz w:val="21"/>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8</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电子加密投标文件的解密和异常情况处理</w:t>
            </w:r>
          </w:p>
        </w:tc>
        <w:tc>
          <w:tcPr>
            <w:tcW w:w="6835" w:type="dxa"/>
            <w:tcBorders>
              <w:top w:val="single" w:color="auto" w:sz="4" w:space="0"/>
              <w:left w:val="single" w:color="auto" w:sz="4" w:space="0"/>
              <w:bottom w:val="single" w:color="auto" w:sz="4" w:space="0"/>
              <w:right w:val="single" w:color="auto" w:sz="4" w:space="0"/>
            </w:tcBorders>
            <w:vAlign w:val="center"/>
          </w:tcPr>
          <w:p>
            <w:pPr>
              <w:pStyle w:val="13"/>
              <w:ind w:left="0" w:leftChars="0"/>
              <w:rPr>
                <w:rFonts w:ascii="宋体" w:hAnsi="宋体" w:eastAsia="宋体" w:cs="宋体"/>
                <w:sz w:val="21"/>
                <w:szCs w:val="21"/>
                <w:lang w:val="zh-CN"/>
              </w:rPr>
            </w:pPr>
            <w:r>
              <w:rPr>
                <w:rFonts w:hint="eastAsia" w:ascii="宋体" w:hAnsi="宋体" w:eastAsia="宋体" w:cs="宋体"/>
                <w:sz w:val="21"/>
                <w:szCs w:val="21"/>
                <w:lang w:val="zh-CN"/>
              </w:rPr>
              <w:t>（1）开标后，采购组织机构将向各供应商发出“电子加密投标文件”的解密通知，各供应商代表应当在接到解密通知后</w:t>
            </w:r>
            <w:r>
              <w:rPr>
                <w:rFonts w:hint="eastAsia" w:ascii="宋体" w:hAnsi="宋体" w:eastAsia="宋体" w:cs="宋体"/>
                <w:sz w:val="21"/>
                <w:szCs w:val="21"/>
              </w:rPr>
              <w:t>30分钟</w:t>
            </w:r>
            <w:r>
              <w:rPr>
                <w:rFonts w:hint="eastAsia" w:ascii="宋体" w:hAnsi="宋体" w:eastAsia="宋体" w:cs="宋体"/>
                <w:sz w:val="21"/>
                <w:szCs w:val="21"/>
                <w:lang w:val="zh-CN"/>
              </w:rPr>
              <w:t>内自行完成“电子加密投标文件”的在线解密。</w:t>
            </w:r>
          </w:p>
          <w:p>
            <w:pPr>
              <w:pStyle w:val="13"/>
              <w:ind w:left="0" w:leftChars="0"/>
              <w:rPr>
                <w:rFonts w:ascii="宋体" w:hAnsi="宋体" w:eastAsia="宋体" w:cs="宋体"/>
                <w:sz w:val="21"/>
                <w:szCs w:val="21"/>
                <w:lang w:val="zh-CN"/>
              </w:rPr>
            </w:pPr>
            <w:r>
              <w:rPr>
                <w:rFonts w:hint="eastAsia" w:ascii="宋体" w:hAnsi="宋体" w:eastAsia="宋体" w:cs="宋体"/>
                <w:sz w:val="21"/>
                <w:szCs w:val="21"/>
                <w:lang w:val="zh-CN"/>
              </w:rPr>
              <w:t>（2）通过“政采云平台”成功上传递交的“电子加密投标文件”无法按时解密，供应商如按规定递交了“电子备份投标文件”的，以“电子备份投标文件”为依据（由采购组织机构按“政采云平台”操作规范将“电子备份投标文件”上传至“政采云平台”，上传成功后，“电子加密投标文件”自动失效），否则视为投标文件撤回。</w:t>
            </w:r>
          </w:p>
          <w:p>
            <w:pPr>
              <w:pStyle w:val="13"/>
              <w:ind w:left="0" w:leftChars="0"/>
              <w:rPr>
                <w:rFonts w:ascii="宋体" w:hAnsi="宋体" w:eastAsia="宋体" w:cs="宋体"/>
                <w:sz w:val="21"/>
                <w:szCs w:val="21"/>
              </w:rPr>
            </w:pPr>
            <w:r>
              <w:rPr>
                <w:rFonts w:hint="eastAsia" w:ascii="宋体" w:hAnsi="宋体" w:eastAsia="宋体" w:cs="宋体"/>
                <w:sz w:val="21"/>
                <w:szCs w:val="21"/>
                <w:lang w:val="zh-CN"/>
              </w:rPr>
              <w:t>（3）投标文件递交截止时间前，供应商仅递交了“备份投标文件”而未将电子加密投标文件上传至“政采云平台”的，投标无效。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9</w:t>
            </w:r>
          </w:p>
        </w:tc>
        <w:tc>
          <w:tcPr>
            <w:tcW w:w="22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Cs w:val="21"/>
              </w:rPr>
            </w:pPr>
            <w:r>
              <w:rPr>
                <w:rFonts w:hint="eastAsia" w:ascii="宋体" w:hAnsi="宋体" w:cs="宋体"/>
                <w:color w:val="000000"/>
                <w:szCs w:val="21"/>
              </w:rPr>
              <w:t>递交投标文件地点</w:t>
            </w:r>
          </w:p>
        </w:tc>
        <w:tc>
          <w:tcPr>
            <w:tcW w:w="6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Cs w:val="21"/>
                <w:lang w:val="zh-CN"/>
              </w:rPr>
            </w:pPr>
            <w:r>
              <w:rPr>
                <w:rFonts w:hint="eastAsia" w:ascii="宋体" w:hAnsi="宋体" w:cs="宋体"/>
                <w:kern w:val="0"/>
                <w:szCs w:val="21"/>
                <w:lang w:val="zh-CN"/>
              </w:rPr>
              <w:t>供应商应当在投标文件递交截止时间前，将生成的“电子加密投标文件”上传递交至“政采云平台”。投标文件递交截止时间以后上传递交的投标文件将被“政采云平台”拒收。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10</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开标时间（同投标截止时间）及地点</w:t>
            </w:r>
          </w:p>
        </w:tc>
        <w:tc>
          <w:tcPr>
            <w:tcW w:w="6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Cs w:val="21"/>
              </w:rPr>
            </w:pPr>
            <w:r>
              <w:rPr>
                <w:rFonts w:hint="eastAsia" w:ascii="宋体" w:hAnsi="宋体" w:cs="宋体"/>
                <w:color w:val="auto"/>
                <w:szCs w:val="21"/>
              </w:rPr>
              <w:t xml:space="preserve">开标时间（同投标截止时间）：2022年 </w:t>
            </w:r>
            <w:r>
              <w:rPr>
                <w:rFonts w:hint="eastAsia" w:ascii="宋体" w:hAnsi="宋体" w:cs="宋体"/>
                <w:color w:val="auto"/>
                <w:szCs w:val="21"/>
                <w:lang w:val="en-US" w:eastAsia="zh-CN"/>
              </w:rPr>
              <w:t>8</w:t>
            </w:r>
            <w:r>
              <w:rPr>
                <w:rFonts w:hint="eastAsia" w:ascii="宋体" w:hAnsi="宋体" w:cs="宋体"/>
                <w:color w:val="auto"/>
                <w:szCs w:val="21"/>
              </w:rPr>
              <w:t xml:space="preserve"> 月 </w:t>
            </w:r>
            <w:r>
              <w:rPr>
                <w:rFonts w:hint="eastAsia" w:ascii="宋体" w:hAnsi="宋体" w:cs="宋体"/>
                <w:color w:val="auto"/>
                <w:szCs w:val="21"/>
                <w:lang w:val="en-US" w:eastAsia="zh-CN"/>
              </w:rPr>
              <w:t>25</w:t>
            </w:r>
            <w:r>
              <w:rPr>
                <w:rFonts w:hint="eastAsia" w:ascii="宋体" w:hAnsi="宋体" w:cs="宋体"/>
                <w:color w:val="auto"/>
                <w:szCs w:val="21"/>
              </w:rPr>
              <w:t xml:space="preserve"> 日14时30分</w:t>
            </w:r>
          </w:p>
          <w:p>
            <w:pPr>
              <w:rPr>
                <w:rFonts w:ascii="宋体" w:hAnsi="宋体" w:cs="宋体"/>
                <w:color w:val="auto"/>
                <w:szCs w:val="21"/>
              </w:rPr>
            </w:pPr>
            <w:r>
              <w:rPr>
                <w:rFonts w:hint="eastAsia" w:ascii="宋体" w:hAnsi="宋体" w:cs="宋体"/>
                <w:color w:val="auto"/>
                <w:szCs w:val="21"/>
              </w:rPr>
              <w:t>开标地点：</w:t>
            </w:r>
            <w:r>
              <w:rPr>
                <w:rFonts w:hint="eastAsia" w:cs="宋体" w:asciiTheme="minorEastAsia" w:hAnsiTheme="minorEastAsia" w:eastAsiaTheme="minorEastAsia"/>
                <w:color w:val="auto"/>
                <w:szCs w:val="21"/>
              </w:rPr>
              <w:t>台州市黄岩区人民政府采购中心（</w:t>
            </w:r>
            <w:r>
              <w:rPr>
                <w:rFonts w:hint="eastAsia" w:ascii="宋体" w:hAnsi="宋体" w:cs="宋体"/>
                <w:color w:val="auto"/>
                <w:szCs w:val="21"/>
              </w:rPr>
              <w:t>台州市黄岩区直下街69号3号楼二楼</w:t>
            </w:r>
            <w:r>
              <w:rPr>
                <w:rFonts w:hint="eastAsia" w:cs="宋体"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11</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szCs w:val="21"/>
              </w:rPr>
              <w:t>投标文件有效期</w:t>
            </w:r>
          </w:p>
        </w:tc>
        <w:tc>
          <w:tcPr>
            <w:tcW w:w="683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rPr>
            </w:pPr>
            <w:r>
              <w:rPr>
                <w:rFonts w:hint="eastAsia" w:ascii="宋体" w:hAnsi="宋体" w:cs="宋体"/>
                <w:color w:val="auto"/>
                <w:szCs w:val="21"/>
              </w:rPr>
              <w:t>投标有效期为开标后 90 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12</w:t>
            </w:r>
          </w:p>
        </w:tc>
        <w:tc>
          <w:tcPr>
            <w:tcW w:w="22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评标委员会的组建</w:t>
            </w:r>
          </w:p>
        </w:tc>
        <w:tc>
          <w:tcPr>
            <w:tcW w:w="6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r>
              <w:rPr>
                <w:rFonts w:hint="eastAsia" w:ascii="宋体" w:hAnsi="宋体" w:cs="宋体"/>
                <w:szCs w:val="21"/>
              </w:rPr>
              <w:t>采购人按照《中华人民共和国政府采购法》等有关法律、法规的规定组建评标委员会，评标委员会成员由有关技术、经济等方面的专家组成，成员人数为</w:t>
            </w:r>
            <w:r>
              <w:rPr>
                <w:rFonts w:hint="eastAsia" w:ascii="宋体" w:hAnsi="宋体" w:cs="宋体"/>
                <w:szCs w:val="21"/>
                <w:lang w:val="en-US" w:eastAsia="zh-CN"/>
              </w:rPr>
              <w:t>5</w:t>
            </w:r>
            <w:r>
              <w:rPr>
                <w:rFonts w:hint="eastAsia" w:ascii="宋体" w:hAnsi="宋体" w:cs="宋体"/>
                <w:szCs w:val="21"/>
              </w:rPr>
              <w:t>人（含）以上单数，专家将在评标专家库中随机抽取产生。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13</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szCs w:val="21"/>
              </w:rPr>
              <w:t>投标保证金</w:t>
            </w:r>
          </w:p>
        </w:tc>
        <w:tc>
          <w:tcPr>
            <w:tcW w:w="68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根据《浙江省财政厅关于明确政府采购保证金管理工作的通知》（浙财采监〔2019〕5号）相关规定，本项目不设置投标保证金。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14</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szCs w:val="21"/>
              </w:rPr>
              <w:t>履约保证金</w:t>
            </w:r>
          </w:p>
        </w:tc>
        <w:tc>
          <w:tcPr>
            <w:tcW w:w="6835" w:type="dxa"/>
            <w:tcBorders>
              <w:top w:val="single" w:color="auto" w:sz="4" w:space="0"/>
              <w:left w:val="single" w:color="auto" w:sz="4" w:space="0"/>
              <w:bottom w:val="single" w:color="auto" w:sz="4" w:space="0"/>
              <w:right w:val="single" w:color="auto" w:sz="4" w:space="0"/>
            </w:tcBorders>
            <w:vAlign w:val="center"/>
          </w:tcPr>
          <w:p>
            <w:pPr>
              <w:pStyle w:val="13"/>
              <w:ind w:left="0" w:leftChars="0"/>
              <w:rPr>
                <w:rFonts w:ascii="宋体" w:hAnsi="宋体" w:eastAsia="宋体" w:cs="宋体"/>
                <w:sz w:val="21"/>
                <w:szCs w:val="21"/>
              </w:rPr>
            </w:pPr>
            <w:r>
              <w:rPr>
                <w:rFonts w:hint="eastAsia" w:ascii="宋体" w:hAnsi="宋体" w:eastAsia="宋体" w:cs="宋体"/>
                <w:sz w:val="21"/>
                <w:szCs w:val="21"/>
              </w:rPr>
              <w:t>中标人在签订合同</w:t>
            </w:r>
            <w:r>
              <w:rPr>
                <w:rFonts w:hint="eastAsia" w:ascii="宋体" w:hAnsi="宋体" w:eastAsia="宋体" w:cs="宋体"/>
                <w:color w:val="auto"/>
                <w:sz w:val="21"/>
                <w:szCs w:val="21"/>
              </w:rPr>
              <w:t>前须缴纳合同价1%的履约保证金（应当以支票、汇票、本票或者金融机构、保险公司、担保机构出具的保函等</w:t>
            </w:r>
            <w:r>
              <w:rPr>
                <w:rFonts w:hint="eastAsia" w:ascii="宋体" w:hAnsi="宋体" w:eastAsia="宋体" w:cs="宋体"/>
                <w:sz w:val="21"/>
                <w:szCs w:val="21"/>
              </w:rPr>
              <w:t>形式提交），到采购人指定账户。项目验收合格</w:t>
            </w:r>
            <w:r>
              <w:rPr>
                <w:rFonts w:hint="eastAsia" w:ascii="宋体" w:hAnsi="宋体" w:eastAsia="宋体" w:cs="宋体"/>
                <w:sz w:val="21"/>
                <w:szCs w:val="21"/>
                <w:lang w:val="en-US" w:eastAsia="zh-CN"/>
              </w:rPr>
              <w:t>并移交采购人后</w:t>
            </w:r>
            <w:r>
              <w:rPr>
                <w:rFonts w:hint="eastAsia" w:ascii="宋体" w:hAnsi="宋体" w:eastAsia="宋体" w:cs="宋体"/>
                <w:sz w:val="21"/>
                <w:szCs w:val="21"/>
              </w:rPr>
              <w:t>7天内</w:t>
            </w:r>
            <w:r>
              <w:rPr>
                <w:rFonts w:hint="eastAsia" w:ascii="宋体" w:hAnsi="宋体" w:eastAsia="宋体" w:cs="宋体"/>
                <w:sz w:val="21"/>
                <w:szCs w:val="21"/>
                <w:lang w:val="en-US" w:eastAsia="zh-CN"/>
              </w:rPr>
              <w:t>无息</w:t>
            </w:r>
            <w:r>
              <w:rPr>
                <w:rFonts w:hint="eastAsia" w:ascii="宋体" w:hAnsi="宋体" w:eastAsia="宋体" w:cs="宋体"/>
                <w:sz w:val="21"/>
                <w:szCs w:val="21"/>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15</w:t>
            </w:r>
          </w:p>
        </w:tc>
        <w:tc>
          <w:tcPr>
            <w:tcW w:w="222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szCs w:val="21"/>
              </w:rPr>
            </w:pPr>
            <w:r>
              <w:rPr>
                <w:rFonts w:hint="eastAsia" w:ascii="宋体" w:hAnsi="宋体" w:cs="宋体"/>
                <w:szCs w:val="21"/>
              </w:rPr>
              <w:t>招标代理</w:t>
            </w:r>
            <w:r>
              <w:rPr>
                <w:rFonts w:hint="eastAsia" w:ascii="宋体" w:hAnsi="宋体" w:cs="宋体"/>
                <w:szCs w:val="21"/>
                <w:lang w:val="zh-CN"/>
              </w:rPr>
              <w:t>服务</w:t>
            </w:r>
            <w:r>
              <w:rPr>
                <w:rFonts w:hint="eastAsia" w:ascii="宋体" w:hAnsi="宋体" w:cs="宋体"/>
                <w:szCs w:val="21"/>
              </w:rPr>
              <w:t>费</w:t>
            </w:r>
          </w:p>
        </w:tc>
        <w:tc>
          <w:tcPr>
            <w:tcW w:w="683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ascii="宋体" w:hAnsi="宋体" w:cs="宋体"/>
                <w:szCs w:val="21"/>
              </w:rPr>
            </w:pPr>
            <w:r>
              <w:rPr>
                <w:rFonts w:hint="eastAsia" w:ascii="宋体" w:hAnsi="宋体" w:cs="宋体"/>
                <w:szCs w:val="21"/>
              </w:rPr>
              <w:t>招标代理</w:t>
            </w:r>
            <w:r>
              <w:rPr>
                <w:rFonts w:hint="eastAsia" w:ascii="宋体" w:hAnsi="宋体" w:cs="宋体"/>
                <w:szCs w:val="21"/>
                <w:lang w:val="zh-CN"/>
              </w:rPr>
              <w:t>服务</w:t>
            </w:r>
            <w:r>
              <w:rPr>
                <w:rFonts w:hint="eastAsia" w:ascii="宋体" w:hAnsi="宋体" w:cs="宋体"/>
                <w:szCs w:val="21"/>
              </w:rPr>
              <w:t>费：按照国家收费标准（发改价格[2011]534号）的八折计取，费用由中标单位支付。</w:t>
            </w:r>
          </w:p>
          <w:p>
            <w:pPr>
              <w:autoSpaceDE w:val="0"/>
              <w:autoSpaceDN w:val="0"/>
              <w:adjustRightInd w:val="0"/>
              <w:rPr>
                <w:rFonts w:ascii="宋体" w:hAnsi="宋体" w:cs="宋体"/>
                <w:szCs w:val="21"/>
              </w:rPr>
            </w:pPr>
            <w:r>
              <w:rPr>
                <w:rFonts w:hint="eastAsia" w:ascii="宋体" w:hAnsi="宋体" w:cs="宋体"/>
                <w:szCs w:val="21"/>
              </w:rPr>
              <w:t>注：中标单位的中标总金额中须考虑进上述费用。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16</w:t>
            </w:r>
          </w:p>
        </w:tc>
        <w:tc>
          <w:tcPr>
            <w:tcW w:w="22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lang w:val="zh-CN"/>
              </w:rPr>
              <w:t>实质性条款</w:t>
            </w:r>
          </w:p>
        </w:tc>
        <w:tc>
          <w:tcPr>
            <w:tcW w:w="6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带“</w:t>
            </w:r>
            <w:r>
              <w:rPr>
                <w:rFonts w:hint="eastAsia" w:ascii="宋体" w:hAnsi="宋体" w:cs="宋体"/>
                <w:szCs w:val="21"/>
              </w:rPr>
              <w:t>▲”的条款是实质性条款，投标文件须作出实质性响应，否则作无效</w:t>
            </w:r>
          </w:p>
          <w:p>
            <w:pPr>
              <w:autoSpaceDE w:val="0"/>
              <w:autoSpaceDN w:val="0"/>
              <w:adjustRightInd w:val="0"/>
              <w:rPr>
                <w:rFonts w:ascii="宋体" w:hAnsi="宋体" w:cs="宋体"/>
                <w:szCs w:val="21"/>
              </w:rPr>
            </w:pPr>
            <w:r>
              <w:rPr>
                <w:rFonts w:hint="eastAsia" w:ascii="宋体" w:hAnsi="宋体" w:cs="宋体"/>
                <w:szCs w:val="21"/>
              </w:rPr>
              <w:t>投标处理</w:t>
            </w:r>
          </w:p>
        </w:tc>
      </w:tr>
    </w:tbl>
    <w:p>
      <w:pPr>
        <w:rPr>
          <w:rFonts w:asciiTheme="minorEastAsia" w:hAnsiTheme="minorEastAsia" w:eastAsiaTheme="minorEastAsia"/>
          <w:b/>
          <w:sz w:val="24"/>
        </w:rPr>
      </w:pPr>
      <w:r>
        <w:rPr>
          <w:rFonts w:hint="eastAsia" w:asciiTheme="minorEastAsia" w:hAnsiTheme="minorEastAsia" w:eastAsiaTheme="minorEastAsia"/>
          <w:b/>
          <w:sz w:val="24"/>
        </w:rPr>
        <w:br w:type="page"/>
      </w:r>
    </w:p>
    <w:p>
      <w:pPr>
        <w:spacing w:line="360" w:lineRule="auto"/>
        <w:rPr>
          <w:rFonts w:ascii="宋体" w:hAnsi="宋体" w:cs="宋体"/>
          <w:b/>
          <w:bCs/>
          <w:szCs w:val="32"/>
        </w:rPr>
      </w:pPr>
      <w:r>
        <w:rPr>
          <w:rFonts w:hint="eastAsia" w:ascii="宋体" w:hAnsi="宋体" w:cs="宋体"/>
          <w:b/>
          <w:bCs/>
          <w:szCs w:val="32"/>
        </w:rPr>
        <w:t>一 、总  则</w:t>
      </w:r>
    </w:p>
    <w:p>
      <w:pPr>
        <w:spacing w:line="360" w:lineRule="auto"/>
        <w:ind w:firstLine="211" w:firstLineChars="100"/>
        <w:rPr>
          <w:rFonts w:ascii="宋体" w:hAnsi="宋体" w:cs="宋体"/>
          <w:b/>
          <w:bCs/>
          <w:szCs w:val="32"/>
        </w:rPr>
      </w:pPr>
      <w:r>
        <w:rPr>
          <w:rFonts w:hint="eastAsia" w:ascii="宋体" w:hAnsi="宋体" w:cs="宋体"/>
          <w:b/>
          <w:bCs/>
          <w:szCs w:val="32"/>
        </w:rPr>
        <w:t>（一） 适用范围</w:t>
      </w:r>
    </w:p>
    <w:p>
      <w:pPr>
        <w:spacing w:line="360" w:lineRule="auto"/>
        <w:ind w:firstLine="420" w:firstLineChars="200"/>
        <w:rPr>
          <w:rFonts w:ascii="宋体" w:hAnsi="宋体" w:cs="宋体"/>
          <w:szCs w:val="32"/>
        </w:rPr>
      </w:pPr>
      <w:r>
        <w:rPr>
          <w:rFonts w:hint="eastAsia" w:ascii="宋体" w:hAnsi="宋体" w:cs="宋体"/>
          <w:szCs w:val="32"/>
        </w:rPr>
        <w:t>本招标文件适用于本次项目的招标、投标、评标、定标、验收、合同履约、付款等行为（法律、法规另有规定的，从其规定）。</w:t>
      </w:r>
    </w:p>
    <w:p>
      <w:pPr>
        <w:spacing w:line="360" w:lineRule="auto"/>
        <w:ind w:firstLine="211" w:firstLineChars="100"/>
        <w:rPr>
          <w:rFonts w:ascii="宋体" w:hAnsi="宋体" w:cs="宋体"/>
          <w:b/>
          <w:bCs/>
          <w:szCs w:val="32"/>
        </w:rPr>
      </w:pPr>
      <w:r>
        <w:rPr>
          <w:rFonts w:hint="eastAsia" w:ascii="宋体" w:hAnsi="宋体" w:cs="宋体"/>
          <w:b/>
          <w:bCs/>
          <w:szCs w:val="32"/>
        </w:rPr>
        <w:t>（二）定义</w:t>
      </w:r>
    </w:p>
    <w:p>
      <w:pPr>
        <w:spacing w:line="360" w:lineRule="auto"/>
        <w:ind w:firstLine="420" w:firstLineChars="200"/>
        <w:rPr>
          <w:rFonts w:ascii="宋体" w:hAnsi="宋体" w:cs="宋体"/>
          <w:szCs w:val="32"/>
        </w:rPr>
      </w:pPr>
      <w:r>
        <w:rPr>
          <w:rFonts w:hint="eastAsia" w:ascii="宋体" w:hAnsi="宋体" w:cs="宋体"/>
          <w:szCs w:val="32"/>
        </w:rPr>
        <w:t>1.</w:t>
      </w:r>
      <w:r>
        <w:rPr>
          <w:rFonts w:hint="eastAsia" w:ascii="宋体" w:hAnsi="宋体" w:cs="宋体"/>
          <w:szCs w:val="32"/>
          <w:lang w:val="zh-CN"/>
        </w:rPr>
        <w:t>“采购组织机构”指采购人委托组织招标的采购代理机构。</w:t>
      </w:r>
    </w:p>
    <w:p>
      <w:pPr>
        <w:spacing w:line="360" w:lineRule="auto"/>
        <w:ind w:firstLine="420" w:firstLineChars="200"/>
        <w:rPr>
          <w:rFonts w:ascii="宋体" w:hAnsi="宋体" w:cs="宋体"/>
          <w:szCs w:val="32"/>
        </w:rPr>
      </w:pPr>
      <w:r>
        <w:rPr>
          <w:rFonts w:hint="eastAsia" w:ascii="宋体" w:hAnsi="宋体" w:cs="宋体"/>
          <w:szCs w:val="32"/>
        </w:rPr>
        <w:t>2.采购人：是指委托采购代理机构采购本次项目的国家机关、事业单位和团体组织。</w:t>
      </w:r>
    </w:p>
    <w:p>
      <w:pPr>
        <w:spacing w:line="360" w:lineRule="auto"/>
        <w:ind w:firstLine="420" w:firstLineChars="200"/>
        <w:rPr>
          <w:rFonts w:ascii="宋体" w:hAnsi="宋体" w:cs="宋体"/>
          <w:szCs w:val="32"/>
        </w:rPr>
      </w:pPr>
      <w:r>
        <w:rPr>
          <w:rFonts w:hint="eastAsia" w:ascii="宋体" w:hAnsi="宋体" w:cs="宋体"/>
          <w:szCs w:val="32"/>
        </w:rPr>
        <w:t>3.</w:t>
      </w:r>
      <w:r>
        <w:rPr>
          <w:rFonts w:hint="eastAsia" w:ascii="宋体" w:hAnsi="宋体" w:cs="宋体"/>
          <w:szCs w:val="32"/>
          <w:lang w:eastAsia="zh-CN"/>
        </w:rPr>
        <w:t>供应商</w:t>
      </w:r>
      <w:r>
        <w:rPr>
          <w:rFonts w:hint="eastAsia" w:ascii="宋体" w:hAnsi="宋体" w:cs="宋体"/>
          <w:szCs w:val="32"/>
        </w:rPr>
        <w:t>：是指向采购</w:t>
      </w:r>
      <w:r>
        <w:rPr>
          <w:rFonts w:hint="eastAsia" w:ascii="宋体" w:hAnsi="宋体" w:cs="宋体"/>
          <w:szCs w:val="32"/>
          <w:lang w:val="zh-CN"/>
        </w:rPr>
        <w:t>组织</w:t>
      </w:r>
      <w:r>
        <w:rPr>
          <w:rFonts w:hint="eastAsia" w:ascii="宋体" w:hAnsi="宋体" w:cs="宋体"/>
          <w:szCs w:val="32"/>
        </w:rPr>
        <w:t>机构提交投标文件的单位或个人。</w:t>
      </w:r>
    </w:p>
    <w:p>
      <w:pPr>
        <w:spacing w:line="360" w:lineRule="auto"/>
        <w:ind w:firstLine="420" w:firstLineChars="200"/>
        <w:rPr>
          <w:rFonts w:ascii="宋体" w:hAnsi="宋体" w:cs="宋体"/>
          <w:szCs w:val="32"/>
        </w:rPr>
      </w:pPr>
      <w:r>
        <w:rPr>
          <w:rFonts w:hint="eastAsia" w:ascii="宋体" w:hAnsi="宋体" w:cs="宋体"/>
          <w:szCs w:val="32"/>
        </w:rPr>
        <w:t>4.货物：是指各种形态和种类的物品，包括原材料、燃料、设备、产品等。</w:t>
      </w:r>
    </w:p>
    <w:p>
      <w:pPr>
        <w:spacing w:line="360" w:lineRule="auto"/>
        <w:ind w:firstLine="420" w:firstLineChars="200"/>
        <w:rPr>
          <w:rFonts w:ascii="宋体" w:hAnsi="宋体" w:cs="宋体"/>
          <w:szCs w:val="32"/>
        </w:rPr>
      </w:pPr>
      <w:r>
        <w:rPr>
          <w:rFonts w:hint="eastAsia" w:ascii="宋体" w:hAnsi="宋体" w:cs="宋体"/>
          <w:szCs w:val="32"/>
        </w:rPr>
        <w:t>5.服务：是指除货物和工程以外的政府采购对象，包括各类专业服务、信息网络开发服务、金融保险服务、运输服务，以及维修与维护服务等。</w:t>
      </w:r>
    </w:p>
    <w:p>
      <w:pPr>
        <w:spacing w:line="360" w:lineRule="auto"/>
        <w:ind w:firstLine="420" w:firstLineChars="200"/>
        <w:rPr>
          <w:rFonts w:ascii="宋体" w:hAnsi="宋体" w:cs="宋体"/>
          <w:szCs w:val="32"/>
        </w:rPr>
      </w:pPr>
      <w:r>
        <w:rPr>
          <w:rFonts w:hint="eastAsia" w:ascii="宋体" w:hAnsi="宋体" w:cs="宋体"/>
          <w:szCs w:val="32"/>
        </w:rPr>
        <w:t>6.“书面形式”包括信函、传真等。</w:t>
      </w:r>
    </w:p>
    <w:p>
      <w:pPr>
        <w:spacing w:line="360" w:lineRule="auto"/>
        <w:ind w:firstLine="420" w:firstLineChars="200"/>
        <w:rPr>
          <w:rFonts w:ascii="宋体" w:hAnsi="宋体" w:cs="宋体"/>
          <w:szCs w:val="32"/>
        </w:rPr>
      </w:pPr>
      <w:r>
        <w:rPr>
          <w:rFonts w:hint="eastAsia" w:ascii="宋体" w:hAnsi="宋体" w:cs="宋体"/>
          <w:szCs w:val="32"/>
        </w:rPr>
        <w:t>7.“▲”系指实质性要求条款。</w:t>
      </w:r>
    </w:p>
    <w:p>
      <w:pPr>
        <w:spacing w:line="360" w:lineRule="auto"/>
        <w:ind w:firstLine="211" w:firstLineChars="100"/>
        <w:rPr>
          <w:rFonts w:ascii="宋体" w:hAnsi="宋体" w:cs="宋体"/>
          <w:b/>
          <w:bCs/>
          <w:szCs w:val="32"/>
        </w:rPr>
      </w:pPr>
      <w:r>
        <w:rPr>
          <w:rFonts w:hint="eastAsia" w:ascii="宋体" w:hAnsi="宋体" w:cs="宋体"/>
          <w:b/>
          <w:bCs/>
          <w:szCs w:val="32"/>
        </w:rPr>
        <w:t>（三）投标费用</w:t>
      </w:r>
    </w:p>
    <w:p>
      <w:pPr>
        <w:spacing w:line="360" w:lineRule="auto"/>
        <w:ind w:firstLine="420" w:firstLineChars="200"/>
        <w:rPr>
          <w:rFonts w:ascii="宋体" w:hAnsi="宋体" w:cs="宋体"/>
          <w:szCs w:val="32"/>
        </w:rPr>
      </w:pPr>
      <w:r>
        <w:rPr>
          <w:rFonts w:hint="eastAsia" w:ascii="宋体" w:hAnsi="宋体" w:cs="宋体"/>
          <w:szCs w:val="32"/>
        </w:rPr>
        <w:t>不论投标结果如何，</w:t>
      </w:r>
      <w:r>
        <w:rPr>
          <w:rFonts w:hint="eastAsia" w:ascii="宋体" w:hAnsi="宋体" w:cs="宋体"/>
          <w:szCs w:val="32"/>
          <w:lang w:eastAsia="zh-CN"/>
        </w:rPr>
        <w:t>供应商</w:t>
      </w:r>
      <w:r>
        <w:rPr>
          <w:rFonts w:hint="eastAsia" w:ascii="宋体" w:hAnsi="宋体" w:cs="宋体"/>
          <w:szCs w:val="32"/>
        </w:rPr>
        <w:t>均应自行承担所有与投标有关的全部费用（招标文件有相关规定除外）。</w:t>
      </w:r>
    </w:p>
    <w:p>
      <w:pPr>
        <w:spacing w:line="360" w:lineRule="auto"/>
        <w:ind w:firstLine="211" w:firstLineChars="100"/>
        <w:rPr>
          <w:rFonts w:ascii="宋体" w:hAnsi="宋体" w:cs="宋体"/>
          <w:b/>
          <w:bCs/>
          <w:szCs w:val="32"/>
        </w:rPr>
      </w:pPr>
      <w:r>
        <w:rPr>
          <w:rFonts w:hint="eastAsia" w:ascii="宋体" w:hAnsi="宋体" w:cs="宋体"/>
          <w:b/>
          <w:bCs/>
          <w:szCs w:val="32"/>
        </w:rPr>
        <w:t>（四）特别说明</w:t>
      </w:r>
    </w:p>
    <w:p>
      <w:pPr>
        <w:spacing w:line="360" w:lineRule="auto"/>
        <w:ind w:firstLine="420" w:firstLineChars="200"/>
        <w:rPr>
          <w:rFonts w:ascii="宋体" w:hAnsi="宋体" w:cs="宋体"/>
          <w:szCs w:val="32"/>
        </w:rPr>
      </w:pPr>
      <w:r>
        <w:rPr>
          <w:rFonts w:hint="eastAsia" w:ascii="宋体" w:hAnsi="宋体" w:cs="宋体"/>
          <w:szCs w:val="32"/>
        </w:rPr>
        <w:t>1.</w:t>
      </w:r>
      <w:r>
        <w:rPr>
          <w:rFonts w:hint="eastAsia" w:ascii="宋体" w:hAnsi="宋体" w:cs="宋体"/>
          <w:szCs w:val="32"/>
          <w:lang w:eastAsia="zh-CN"/>
        </w:rPr>
        <w:t>供应商</w:t>
      </w:r>
      <w:r>
        <w:rPr>
          <w:rFonts w:hint="eastAsia" w:ascii="宋体" w:hAnsi="宋体" w:cs="宋体"/>
          <w:szCs w:val="32"/>
        </w:rPr>
        <w:t>或投标产品制造商投标所使用的资格、信誉、荣誉、业绩必须真实有效。</w:t>
      </w:r>
      <w:r>
        <w:rPr>
          <w:rFonts w:hint="eastAsia" w:ascii="宋体" w:hAnsi="宋体" w:cs="宋体"/>
          <w:szCs w:val="32"/>
          <w:lang w:eastAsia="zh-CN"/>
        </w:rPr>
        <w:t>供应商</w:t>
      </w:r>
      <w:r>
        <w:rPr>
          <w:rFonts w:hint="eastAsia" w:ascii="宋体" w:hAnsi="宋体" w:cs="宋体"/>
          <w:szCs w:val="32"/>
        </w:rPr>
        <w:t>投标所使用的采购项目实施人员必须为本法人员工（指本法人或控股公司正式员工）。</w:t>
      </w:r>
    </w:p>
    <w:p>
      <w:pPr>
        <w:spacing w:line="360" w:lineRule="auto"/>
        <w:ind w:firstLine="420" w:firstLineChars="200"/>
        <w:rPr>
          <w:rFonts w:ascii="宋体" w:hAnsi="宋体" w:cs="宋体"/>
          <w:szCs w:val="32"/>
        </w:rPr>
      </w:pPr>
      <w:r>
        <w:rPr>
          <w:rFonts w:hint="eastAsia" w:ascii="宋体" w:hAnsi="宋体" w:cs="宋体"/>
          <w:szCs w:val="32"/>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w:t>
      </w:r>
      <w:r>
        <w:rPr>
          <w:rFonts w:hint="eastAsia" w:ascii="宋体" w:hAnsi="宋体" w:cs="宋体"/>
          <w:szCs w:val="32"/>
          <w:lang w:eastAsia="zh-CN"/>
        </w:rPr>
        <w:t>采购需求</w:t>
      </w:r>
      <w:r>
        <w:rPr>
          <w:rFonts w:hint="eastAsia" w:ascii="宋体" w:hAnsi="宋体" w:cs="宋体"/>
          <w:szCs w:val="32"/>
        </w:rPr>
        <w:t>存在重大偏离、错误、甚至造假的情况，应提供具体有效的证明材料。</w:t>
      </w:r>
      <w:r>
        <w:rPr>
          <w:rFonts w:hint="eastAsia" w:ascii="宋体" w:hAnsi="宋体" w:cs="宋体"/>
          <w:szCs w:val="32"/>
        </w:rPr>
        <w:tab/>
      </w:r>
    </w:p>
    <w:p>
      <w:pPr>
        <w:spacing w:line="360" w:lineRule="auto"/>
        <w:ind w:firstLine="420" w:firstLineChars="200"/>
        <w:rPr>
          <w:rFonts w:ascii="宋体" w:hAnsi="宋体" w:cs="宋体"/>
          <w:szCs w:val="32"/>
        </w:rPr>
      </w:pPr>
      <w:r>
        <w:rPr>
          <w:rFonts w:hint="eastAsia" w:ascii="宋体" w:hAnsi="宋体" w:cs="宋体"/>
          <w:szCs w:val="32"/>
        </w:rPr>
        <w:t>3.</w:t>
      </w:r>
      <w:r>
        <w:rPr>
          <w:rFonts w:hint="eastAsia" w:ascii="宋体" w:hAnsi="宋体" w:cs="宋体"/>
          <w:szCs w:val="32"/>
          <w:lang w:eastAsia="zh-CN"/>
        </w:rPr>
        <w:t>供应商</w:t>
      </w:r>
      <w:r>
        <w:rPr>
          <w:rFonts w:hint="eastAsia" w:ascii="宋体" w:hAnsi="宋体" w:cs="宋体"/>
          <w:szCs w:val="32"/>
        </w:rPr>
        <w:t>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20" w:firstLineChars="200"/>
        <w:rPr>
          <w:rFonts w:ascii="宋体" w:hAnsi="宋体" w:cs="宋体"/>
          <w:szCs w:val="32"/>
        </w:rPr>
      </w:pPr>
      <w:r>
        <w:rPr>
          <w:rFonts w:hint="eastAsia" w:ascii="宋体" w:hAnsi="宋体" w:cs="宋体"/>
          <w:szCs w:val="32"/>
        </w:rPr>
        <w:t>4.</w:t>
      </w:r>
      <w:r>
        <w:rPr>
          <w:rFonts w:hint="eastAsia" w:ascii="宋体" w:hAnsi="宋体" w:cs="宋体"/>
          <w:szCs w:val="32"/>
          <w:lang w:eastAsia="zh-CN"/>
        </w:rPr>
        <w:t>供应商</w:t>
      </w:r>
      <w:r>
        <w:rPr>
          <w:rFonts w:hint="eastAsia" w:ascii="宋体" w:hAnsi="宋体" w:cs="宋体"/>
          <w:szCs w:val="32"/>
        </w:rPr>
        <w:t>不得相互串通投标报价，不得妨碍其他</w:t>
      </w:r>
      <w:r>
        <w:rPr>
          <w:rFonts w:hint="eastAsia" w:ascii="宋体" w:hAnsi="宋体" w:cs="宋体"/>
          <w:szCs w:val="32"/>
          <w:lang w:eastAsia="zh-CN"/>
        </w:rPr>
        <w:t>供应商</w:t>
      </w:r>
      <w:r>
        <w:rPr>
          <w:rFonts w:hint="eastAsia" w:ascii="宋体" w:hAnsi="宋体" w:cs="宋体"/>
          <w:szCs w:val="32"/>
        </w:rPr>
        <w:t>的公平竞争，不得损害采购人或其他</w:t>
      </w:r>
      <w:r>
        <w:rPr>
          <w:rFonts w:hint="eastAsia" w:ascii="宋体" w:hAnsi="宋体" w:cs="宋体"/>
          <w:szCs w:val="32"/>
          <w:lang w:eastAsia="zh-CN"/>
        </w:rPr>
        <w:t>供应商</w:t>
      </w:r>
      <w:r>
        <w:rPr>
          <w:rFonts w:hint="eastAsia" w:ascii="宋体" w:hAnsi="宋体" w:cs="宋体"/>
          <w:szCs w:val="32"/>
        </w:rPr>
        <w:t>的合法权益，</w:t>
      </w:r>
      <w:r>
        <w:rPr>
          <w:rFonts w:hint="eastAsia" w:ascii="宋体" w:hAnsi="宋体" w:cs="宋体"/>
          <w:szCs w:val="32"/>
          <w:lang w:eastAsia="zh-CN"/>
        </w:rPr>
        <w:t>供应商</w:t>
      </w:r>
      <w:r>
        <w:rPr>
          <w:rFonts w:hint="eastAsia" w:ascii="宋体" w:hAnsi="宋体" w:cs="宋体"/>
          <w:szCs w:val="32"/>
        </w:rPr>
        <w:t>不得以向采购人、评标委员会成员行贿或者采取其他不正当手段谋取中标。</w:t>
      </w:r>
    </w:p>
    <w:p>
      <w:pPr>
        <w:spacing w:line="360" w:lineRule="auto"/>
        <w:ind w:firstLine="420" w:firstLineChars="200"/>
        <w:rPr>
          <w:rFonts w:ascii="宋体" w:hAnsi="宋体" w:cs="宋体"/>
          <w:szCs w:val="32"/>
        </w:rPr>
      </w:pPr>
      <w:r>
        <w:rPr>
          <w:rFonts w:hint="eastAsia" w:ascii="宋体" w:hAnsi="宋体" w:cs="宋体"/>
          <w:szCs w:val="32"/>
        </w:rPr>
        <w:t>5.为采购项目提供整体设计、规范编制或者项目管理、监理、检测等服务的供应商，不得再参加该采购项目的其他采购活动。</w:t>
      </w:r>
    </w:p>
    <w:p>
      <w:pPr>
        <w:spacing w:line="360" w:lineRule="auto"/>
        <w:ind w:firstLine="420" w:firstLineChars="200"/>
        <w:rPr>
          <w:rFonts w:ascii="宋体" w:hAnsi="宋体" w:cs="宋体"/>
          <w:szCs w:val="32"/>
        </w:rPr>
      </w:pPr>
      <w:r>
        <w:rPr>
          <w:rFonts w:hint="eastAsia" w:ascii="宋体" w:hAnsi="宋体" w:cs="宋体"/>
          <w:szCs w:val="32"/>
        </w:rPr>
        <w:t>6.投标文件格式中的表格式样可以根据项目差别做适当调整，但应当保持表格样式基本形态不变。</w:t>
      </w:r>
    </w:p>
    <w:p>
      <w:pPr>
        <w:spacing w:line="360" w:lineRule="auto"/>
        <w:ind w:firstLine="420" w:firstLineChars="200"/>
        <w:rPr>
          <w:rFonts w:ascii="宋体" w:hAnsi="宋体" w:cs="宋体"/>
          <w:szCs w:val="32"/>
        </w:rPr>
      </w:pPr>
      <w:r>
        <w:rPr>
          <w:rFonts w:hint="eastAsia" w:ascii="宋体" w:hAnsi="宋体" w:cs="宋体"/>
          <w:szCs w:val="32"/>
        </w:rPr>
        <w:t>7.单位负责人为同一人或者存在直接控股、管理关系的不同供应商，不得参加同一合同项下的政府采购活动。</w:t>
      </w:r>
    </w:p>
    <w:p>
      <w:pPr>
        <w:pStyle w:val="12"/>
        <w:snapToGrid w:val="0"/>
        <w:spacing w:line="360" w:lineRule="auto"/>
        <w:ind w:firstLine="420" w:firstLineChars="200"/>
        <w:rPr>
          <w:rFonts w:asciiTheme="minorEastAsia" w:hAnsiTheme="minorEastAsia" w:eastAsiaTheme="minorEastAsia"/>
          <w:b/>
          <w:sz w:val="24"/>
        </w:rPr>
      </w:pPr>
      <w:r>
        <w:rPr>
          <w:rFonts w:hint="eastAsia" w:hAnsi="宋体" w:cs="宋体"/>
          <w:szCs w:val="32"/>
        </w:rPr>
        <w:t>8.本项目不允许分包。</w:t>
      </w:r>
    </w:p>
    <w:p>
      <w:pPr>
        <w:spacing w:line="360" w:lineRule="auto"/>
        <w:rPr>
          <w:rFonts w:ascii="宋体" w:hAnsi="宋体" w:cs="宋体"/>
          <w:b/>
          <w:bCs/>
          <w:szCs w:val="32"/>
        </w:rPr>
      </w:pPr>
      <w:r>
        <w:rPr>
          <w:rFonts w:hint="eastAsia" w:ascii="宋体" w:hAnsi="宋体" w:cs="宋体"/>
          <w:b/>
          <w:bCs/>
          <w:szCs w:val="32"/>
        </w:rPr>
        <w:t>二、招标文件</w:t>
      </w:r>
    </w:p>
    <w:p>
      <w:pPr>
        <w:spacing w:line="360" w:lineRule="auto"/>
        <w:ind w:firstLine="211" w:firstLineChars="100"/>
        <w:rPr>
          <w:rFonts w:ascii="宋体" w:hAnsi="宋体" w:cs="宋体"/>
          <w:b/>
          <w:bCs/>
          <w:szCs w:val="32"/>
        </w:rPr>
      </w:pPr>
      <w:r>
        <w:rPr>
          <w:rFonts w:hint="eastAsia" w:ascii="宋体" w:hAnsi="宋体" w:cs="宋体"/>
          <w:b/>
          <w:bCs/>
          <w:szCs w:val="32"/>
        </w:rPr>
        <w:t>（一）招标文件由招标文件总目录所列内容组成。</w:t>
      </w:r>
    </w:p>
    <w:p>
      <w:pPr>
        <w:spacing w:line="360" w:lineRule="auto"/>
        <w:ind w:firstLine="211" w:firstLineChars="100"/>
        <w:rPr>
          <w:rFonts w:ascii="宋体" w:hAnsi="宋体" w:cs="宋体"/>
          <w:b/>
          <w:bCs/>
          <w:szCs w:val="32"/>
        </w:rPr>
      </w:pPr>
      <w:r>
        <w:rPr>
          <w:rFonts w:hint="eastAsia" w:ascii="宋体" w:hAnsi="宋体" w:cs="宋体"/>
          <w:b/>
          <w:bCs/>
          <w:szCs w:val="32"/>
        </w:rPr>
        <w:t>（二）招标文件的澄清或修改</w:t>
      </w:r>
    </w:p>
    <w:p>
      <w:pPr>
        <w:spacing w:line="360" w:lineRule="auto"/>
        <w:ind w:firstLine="420" w:firstLineChars="200"/>
        <w:rPr>
          <w:rFonts w:ascii="宋体" w:hAnsi="宋体" w:cs="宋体"/>
          <w:szCs w:val="32"/>
        </w:rPr>
      </w:pPr>
      <w:r>
        <w:rPr>
          <w:rFonts w:hint="eastAsia" w:ascii="宋体" w:hAnsi="宋体" w:cs="宋体"/>
          <w:szCs w:val="32"/>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20" w:firstLineChars="200"/>
        <w:rPr>
          <w:rFonts w:asciiTheme="minorEastAsia" w:hAnsiTheme="minorEastAsia" w:eastAsiaTheme="minorEastAsia"/>
          <w:b/>
          <w:kern w:val="0"/>
          <w:sz w:val="24"/>
        </w:rPr>
      </w:pPr>
      <w:r>
        <w:rPr>
          <w:rFonts w:hint="eastAsia" w:ascii="宋体" w:hAnsi="宋体" w:cs="宋体"/>
          <w:szCs w:val="32"/>
        </w:rPr>
        <w:t>2.</w:t>
      </w:r>
      <w:r>
        <w:rPr>
          <w:rFonts w:hint="eastAsia" w:ascii="宋体" w:hAnsi="宋体" w:cs="宋体"/>
          <w:szCs w:val="32"/>
          <w:lang w:eastAsia="zh-CN"/>
        </w:rPr>
        <w:t>供应商</w:t>
      </w:r>
      <w:r>
        <w:rPr>
          <w:rFonts w:hint="eastAsia" w:ascii="宋体" w:hAnsi="宋体" w:cs="宋体"/>
          <w:szCs w:val="32"/>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宋体" w:hAnsi="宋体" w:cs="宋体"/>
          <w:szCs w:val="32"/>
          <w:lang w:eastAsia="zh-CN"/>
        </w:rPr>
        <w:t>供应商</w:t>
      </w:r>
      <w:r>
        <w:rPr>
          <w:rFonts w:hint="eastAsia" w:ascii="宋体" w:hAnsi="宋体" w:cs="宋体"/>
          <w:szCs w:val="32"/>
        </w:rPr>
        <w:t>。</w:t>
      </w:r>
    </w:p>
    <w:p>
      <w:pPr>
        <w:spacing w:line="360" w:lineRule="auto"/>
        <w:rPr>
          <w:rFonts w:ascii="宋体" w:hAnsi="宋体" w:cs="宋体"/>
          <w:b/>
          <w:bCs/>
          <w:szCs w:val="32"/>
        </w:rPr>
      </w:pPr>
      <w:r>
        <w:rPr>
          <w:rFonts w:hint="eastAsia" w:ascii="宋体" w:hAnsi="宋体" w:cs="宋体"/>
          <w:b/>
          <w:bCs/>
          <w:szCs w:val="32"/>
        </w:rPr>
        <w:t>三、投标文件</w:t>
      </w:r>
    </w:p>
    <w:p>
      <w:pPr>
        <w:spacing w:line="360" w:lineRule="auto"/>
        <w:ind w:firstLine="422" w:firstLineChars="200"/>
        <w:rPr>
          <w:rFonts w:ascii="宋体" w:hAnsi="宋体" w:cs="宋体"/>
          <w:b/>
          <w:bCs/>
          <w:szCs w:val="32"/>
        </w:rPr>
      </w:pPr>
      <w:r>
        <w:rPr>
          <w:rFonts w:hint="eastAsia" w:ascii="宋体" w:hAnsi="宋体" w:cs="宋体"/>
          <w:b/>
          <w:bCs/>
          <w:szCs w:val="32"/>
          <w:lang w:val="zh-CN"/>
        </w:rPr>
        <w:t>（一）</w:t>
      </w:r>
      <w:r>
        <w:rPr>
          <w:rFonts w:hint="eastAsia" w:ascii="宋体" w:hAnsi="宋体" w:cs="宋体"/>
          <w:b/>
          <w:bCs/>
          <w:szCs w:val="32"/>
        </w:rPr>
        <w:t>投标文件的组成</w:t>
      </w:r>
    </w:p>
    <w:p>
      <w:pPr>
        <w:spacing w:line="360" w:lineRule="auto"/>
        <w:ind w:firstLine="420" w:firstLineChars="200"/>
        <w:rPr>
          <w:rFonts w:ascii="宋体" w:hAnsi="宋体" w:cs="宋体"/>
          <w:szCs w:val="32"/>
          <w:lang w:val="zh-CN"/>
        </w:rPr>
      </w:pPr>
      <w:r>
        <w:rPr>
          <w:rFonts w:hint="eastAsia" w:ascii="宋体" w:hAnsi="宋体" w:cs="宋体"/>
          <w:szCs w:val="32"/>
          <w:lang w:eastAsia="zh-CN"/>
        </w:rPr>
        <w:t>供应商</w:t>
      </w:r>
      <w:r>
        <w:rPr>
          <w:rFonts w:hint="eastAsia" w:ascii="宋体" w:hAnsi="宋体" w:cs="宋体"/>
          <w:szCs w:val="32"/>
        </w:rPr>
        <w:t>接到招标文件后，按照采购组织机构的要求提供：资格证明文件、商务与技术文件和报价文件。</w:t>
      </w:r>
    </w:p>
    <w:p>
      <w:pPr>
        <w:tabs>
          <w:tab w:val="left" w:pos="1418"/>
        </w:tabs>
        <w:autoSpaceDE w:val="0"/>
        <w:autoSpaceDN w:val="0"/>
        <w:adjustRightInd w:val="0"/>
        <w:spacing w:line="360" w:lineRule="auto"/>
        <w:ind w:firstLine="420" w:firstLineChars="200"/>
        <w:rPr>
          <w:rFonts w:asciiTheme="minorEastAsia" w:hAnsiTheme="minorEastAsia" w:eastAsiaTheme="minorEastAsia"/>
          <w:b/>
          <w:kern w:val="0"/>
          <w:sz w:val="24"/>
        </w:rPr>
      </w:pPr>
      <w:r>
        <w:rPr>
          <w:rFonts w:hint="eastAsia" w:ascii="宋体" w:hAnsi="宋体" w:cs="宋体"/>
          <w:szCs w:val="32"/>
        </w:rPr>
        <w:t>资格及商务技术文件由资格证明文件、商务与技术文件两部分内容组成。</w:t>
      </w:r>
    </w:p>
    <w:p>
      <w:pPr>
        <w:spacing w:line="360" w:lineRule="auto"/>
        <w:ind w:firstLine="422" w:firstLineChars="200"/>
        <w:rPr>
          <w:rFonts w:ascii="宋体" w:hAnsi="宋体" w:cs="宋体"/>
          <w:b/>
          <w:bCs/>
          <w:szCs w:val="32"/>
          <w:lang w:val="zh-CN"/>
        </w:rPr>
      </w:pPr>
      <w:r>
        <w:rPr>
          <w:rFonts w:hint="eastAsia" w:ascii="宋体" w:hAnsi="宋体" w:cs="宋体"/>
          <w:b/>
          <w:bCs/>
          <w:szCs w:val="32"/>
          <w:lang w:val="zh-CN"/>
        </w:rPr>
        <w:t>▲1.资格证明</w:t>
      </w:r>
      <w:r>
        <w:rPr>
          <w:rFonts w:ascii="宋体" w:hAnsi="宋体" w:cs="宋体"/>
          <w:b/>
          <w:bCs/>
          <w:szCs w:val="32"/>
          <w:lang w:val="zh-CN"/>
        </w:rPr>
        <w:t>文件</w:t>
      </w:r>
      <w:r>
        <w:rPr>
          <w:rFonts w:hint="eastAsia" w:ascii="宋体" w:hAnsi="宋体" w:cs="宋体"/>
          <w:b/>
          <w:bCs/>
          <w:szCs w:val="32"/>
          <w:lang w:val="zh-CN"/>
        </w:rPr>
        <w:t>的组成</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（1）投标声明书（格式见附件1）；</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（2）授权委托书（格式见附件2）；</w:t>
      </w:r>
      <w:r>
        <w:rPr>
          <w:rFonts w:hint="eastAsia" w:ascii="宋体" w:hAnsi="宋体" w:cs="宋体"/>
          <w:szCs w:val="32"/>
          <w:lang w:eastAsia="zh-CN"/>
        </w:rPr>
        <w:t>（</w:t>
      </w:r>
      <w:r>
        <w:rPr>
          <w:rFonts w:hint="eastAsia" w:ascii="宋体" w:hAnsi="宋体" w:cs="宋体"/>
          <w:szCs w:val="32"/>
        </w:rPr>
        <w:t>法定代表人</w:t>
      </w:r>
      <w:r>
        <w:rPr>
          <w:rFonts w:hint="eastAsia" w:ascii="宋体" w:hAnsi="宋体" w:cs="宋体"/>
          <w:szCs w:val="32"/>
          <w:lang w:val="en-US" w:eastAsia="zh-CN"/>
        </w:rPr>
        <w:t>亲自</w:t>
      </w:r>
      <w:r>
        <w:rPr>
          <w:rFonts w:hint="eastAsia" w:ascii="宋体" w:hAnsi="宋体" w:cs="宋体"/>
          <w:szCs w:val="32"/>
        </w:rPr>
        <w:t>参加投标</w:t>
      </w:r>
      <w:r>
        <w:rPr>
          <w:rFonts w:hint="eastAsia" w:ascii="宋体" w:hAnsi="宋体" w:cs="宋体"/>
          <w:szCs w:val="32"/>
          <w:lang w:val="en-US" w:eastAsia="zh-CN"/>
        </w:rPr>
        <w:t>的事宜的，则无需提交）</w:t>
      </w:r>
      <w:r>
        <w:rPr>
          <w:rFonts w:hint="eastAsia" w:ascii="宋体" w:hAnsi="宋体" w:cs="宋体"/>
          <w:szCs w:val="32"/>
        </w:rPr>
        <w:t>；</w:t>
      </w:r>
    </w:p>
    <w:p>
      <w:pPr>
        <w:spacing w:line="360" w:lineRule="auto"/>
        <w:ind w:firstLine="420" w:firstLineChars="200"/>
        <w:rPr>
          <w:rFonts w:ascii="宋体" w:hAnsi="宋体" w:cs="宋体"/>
          <w:color w:val="auto"/>
          <w:szCs w:val="32"/>
          <w:lang w:eastAsia="zh-CN"/>
        </w:rPr>
      </w:pPr>
      <w:r>
        <w:rPr>
          <w:rFonts w:hint="eastAsia" w:ascii="宋体" w:hAnsi="宋体" w:cs="宋体"/>
          <w:szCs w:val="32"/>
        </w:rPr>
        <w:t>（3）</w:t>
      </w:r>
      <w:r>
        <w:rPr>
          <w:rFonts w:hint="eastAsia" w:ascii="宋体" w:hAnsi="宋体" w:cs="宋体"/>
          <w:color w:val="auto"/>
          <w:szCs w:val="32"/>
          <w:lang w:eastAsia="zh-CN"/>
        </w:rPr>
        <w:t>法人或者其他组织的营业执照等证明文件，自然人的身份证明；</w:t>
      </w:r>
    </w:p>
    <w:p>
      <w:pPr>
        <w:spacing w:line="360" w:lineRule="auto"/>
        <w:ind w:firstLine="420" w:firstLineChars="200"/>
        <w:rPr>
          <w:rFonts w:ascii="宋体" w:hAnsi="宋体" w:cs="宋体"/>
          <w:color w:val="auto"/>
          <w:szCs w:val="32"/>
          <w:lang w:eastAsia="zh-CN"/>
        </w:rPr>
      </w:pPr>
      <w:r>
        <w:rPr>
          <w:rFonts w:hint="eastAsia" w:ascii="宋体" w:hAnsi="宋体" w:cs="宋体"/>
          <w:color w:val="auto"/>
          <w:szCs w:val="32"/>
        </w:rPr>
        <w:t>（4）</w:t>
      </w:r>
      <w:r>
        <w:rPr>
          <w:rFonts w:hint="eastAsia" w:ascii="宋体" w:hAnsi="宋体" w:cs="宋体"/>
          <w:color w:val="auto"/>
          <w:szCs w:val="32"/>
          <w:lang w:eastAsia="zh-CN"/>
        </w:rPr>
        <w:t>良好财务状况证明材料（新成立的公司提供银行资信证明或担保机构的担保函扫描件），依法缴纳税收和社会保障资金的相关材料（附件3）；</w:t>
      </w:r>
    </w:p>
    <w:p>
      <w:pPr>
        <w:tabs>
          <w:tab w:val="left" w:pos="1418"/>
        </w:tabs>
        <w:autoSpaceDE w:val="0"/>
        <w:autoSpaceDN w:val="0"/>
        <w:adjustRightInd w:val="0"/>
        <w:spacing w:line="360" w:lineRule="auto"/>
        <w:ind w:firstLine="420" w:firstLineChars="200"/>
        <w:rPr>
          <w:rFonts w:ascii="宋体" w:hAnsi="宋体" w:cs="宋体"/>
          <w:color w:val="auto"/>
          <w:szCs w:val="32"/>
        </w:rPr>
      </w:pPr>
      <w:r>
        <w:rPr>
          <w:rFonts w:hint="eastAsia" w:ascii="宋体" w:hAnsi="宋体" w:cs="宋体"/>
          <w:color w:val="auto"/>
          <w:szCs w:val="32"/>
        </w:rPr>
        <w:t>（5）落实政府采购政策需满足的资格要求所对应的证明材料（附件4）；</w:t>
      </w:r>
    </w:p>
    <w:p>
      <w:pPr>
        <w:tabs>
          <w:tab w:val="left" w:pos="1418"/>
        </w:tabs>
        <w:autoSpaceDE w:val="0"/>
        <w:autoSpaceDN w:val="0"/>
        <w:adjustRightInd w:val="0"/>
        <w:spacing w:line="360" w:lineRule="auto"/>
        <w:ind w:firstLine="420" w:firstLineChars="200"/>
        <w:rPr>
          <w:rFonts w:ascii="宋体" w:hAnsi="宋体" w:cs="宋体"/>
          <w:color w:val="auto"/>
          <w:szCs w:val="32"/>
        </w:rPr>
      </w:pPr>
      <w:r>
        <w:rPr>
          <w:rFonts w:hint="eastAsia" w:ascii="宋体" w:hAnsi="宋体" w:cs="宋体"/>
          <w:color w:val="auto"/>
          <w:szCs w:val="32"/>
        </w:rPr>
        <w:t>（</w:t>
      </w:r>
      <w:r>
        <w:rPr>
          <w:rFonts w:hint="eastAsia" w:ascii="宋体" w:hAnsi="宋体" w:cs="宋体"/>
          <w:color w:val="auto"/>
          <w:szCs w:val="32"/>
          <w:lang w:val="en-US" w:eastAsia="zh-CN"/>
        </w:rPr>
        <w:t>6</w:t>
      </w:r>
      <w:r>
        <w:rPr>
          <w:rFonts w:hint="eastAsia" w:ascii="宋体" w:hAnsi="宋体" w:cs="宋体"/>
          <w:color w:val="auto"/>
          <w:szCs w:val="32"/>
        </w:rPr>
        <w:t>）提供采购公告中符合</w:t>
      </w:r>
      <w:r>
        <w:rPr>
          <w:rFonts w:hint="eastAsia" w:ascii="宋体" w:hAnsi="宋体" w:cs="宋体"/>
          <w:color w:val="auto"/>
          <w:szCs w:val="32"/>
          <w:lang w:eastAsia="zh-CN"/>
        </w:rPr>
        <w:t>供应商</w:t>
      </w:r>
      <w:r>
        <w:rPr>
          <w:rFonts w:hint="eastAsia" w:ascii="宋体" w:hAnsi="宋体" w:cs="宋体"/>
          <w:color w:val="auto"/>
          <w:szCs w:val="32"/>
        </w:rPr>
        <w:t>特定条件的有效资质证书扫描件，以及需要说明的其他资料。</w:t>
      </w:r>
    </w:p>
    <w:p>
      <w:pPr>
        <w:spacing w:line="360" w:lineRule="auto"/>
        <w:ind w:firstLine="422" w:firstLineChars="200"/>
        <w:rPr>
          <w:rFonts w:ascii="宋体" w:hAnsi="宋体" w:cs="宋体"/>
          <w:b/>
          <w:bCs/>
          <w:szCs w:val="32"/>
          <w:lang w:val="zh-CN"/>
        </w:rPr>
      </w:pPr>
      <w:r>
        <w:rPr>
          <w:rFonts w:hint="eastAsia" w:ascii="宋体" w:hAnsi="宋体" w:cs="宋体"/>
          <w:b/>
          <w:bCs/>
          <w:szCs w:val="32"/>
          <w:lang w:val="zh-CN"/>
        </w:rPr>
        <w:t>2.商务与技术文件的组成</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1</w:t>
      </w:r>
      <w:r>
        <w:rPr>
          <w:rFonts w:hint="eastAsia" w:ascii="宋体" w:hAnsi="宋体" w:cs="宋体"/>
          <w:szCs w:val="32"/>
        </w:rPr>
        <w:t>）</w:t>
      </w:r>
      <w:r>
        <w:rPr>
          <w:rFonts w:hint="eastAsia" w:ascii="宋体" w:hAnsi="宋体" w:cs="宋体"/>
          <w:szCs w:val="32"/>
          <w:lang w:eastAsia="zh-CN"/>
        </w:rPr>
        <w:t>供应商</w:t>
      </w:r>
      <w:r>
        <w:rPr>
          <w:rFonts w:hint="eastAsia" w:ascii="宋体" w:hAnsi="宋体" w:cs="宋体"/>
          <w:szCs w:val="32"/>
        </w:rPr>
        <w:t>商务技术文件中资信分自评表（格式见附件</w:t>
      </w:r>
      <w:r>
        <w:rPr>
          <w:rFonts w:hint="eastAsia" w:ascii="宋体" w:hAnsi="宋体" w:cs="宋体"/>
          <w:szCs w:val="32"/>
          <w:lang w:val="en-US" w:eastAsia="zh-CN"/>
        </w:rPr>
        <w:t>5</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2</w:t>
      </w:r>
      <w:r>
        <w:rPr>
          <w:rFonts w:hint="eastAsia" w:ascii="宋体" w:hAnsi="宋体" w:cs="宋体"/>
          <w:szCs w:val="32"/>
        </w:rPr>
        <w:t>）</w:t>
      </w:r>
      <w:r>
        <w:rPr>
          <w:rFonts w:hint="eastAsia" w:ascii="宋体" w:hAnsi="宋体" w:cs="宋体"/>
          <w:szCs w:val="32"/>
          <w:lang w:eastAsia="zh-CN"/>
        </w:rPr>
        <w:t>供应商</w:t>
      </w:r>
      <w:r>
        <w:rPr>
          <w:rFonts w:hint="eastAsia" w:ascii="宋体" w:hAnsi="宋体" w:cs="宋体"/>
          <w:szCs w:val="32"/>
        </w:rPr>
        <w:t>基本情况表（格式见附件</w:t>
      </w:r>
      <w:r>
        <w:rPr>
          <w:rFonts w:hint="eastAsia" w:ascii="宋体" w:hAnsi="宋体" w:cs="宋体"/>
          <w:szCs w:val="32"/>
          <w:lang w:val="en-US" w:eastAsia="zh-CN"/>
        </w:rPr>
        <w:t>6</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3</w:t>
      </w:r>
      <w:r>
        <w:rPr>
          <w:rFonts w:hint="eastAsia" w:ascii="宋体" w:hAnsi="宋体" w:cs="宋体"/>
          <w:szCs w:val="32"/>
        </w:rPr>
        <w:t>）项目实施人员一览表（格式见附件</w:t>
      </w:r>
      <w:r>
        <w:rPr>
          <w:rFonts w:hint="eastAsia" w:ascii="宋体" w:hAnsi="宋体" w:cs="宋体"/>
          <w:szCs w:val="32"/>
          <w:lang w:val="en-US" w:eastAsia="zh-CN"/>
        </w:rPr>
        <w:t>7</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4</w:t>
      </w:r>
      <w:r>
        <w:rPr>
          <w:rFonts w:hint="eastAsia" w:ascii="宋体" w:hAnsi="宋体" w:cs="宋体"/>
          <w:szCs w:val="32"/>
        </w:rPr>
        <w:t>）项目负责人资格情况表（格式见附件</w:t>
      </w:r>
      <w:r>
        <w:rPr>
          <w:rFonts w:hint="eastAsia" w:ascii="宋体" w:hAnsi="宋体" w:cs="宋体"/>
          <w:szCs w:val="32"/>
          <w:lang w:val="en-US" w:eastAsia="zh-CN"/>
        </w:rPr>
        <w:t>8</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5</w:t>
      </w:r>
      <w:r>
        <w:rPr>
          <w:rFonts w:hint="eastAsia" w:ascii="宋体" w:hAnsi="宋体" w:cs="宋体"/>
          <w:szCs w:val="32"/>
        </w:rPr>
        <w:t>）证书一览表（格式见附件</w:t>
      </w:r>
      <w:r>
        <w:rPr>
          <w:rFonts w:hint="eastAsia" w:ascii="宋体" w:hAnsi="宋体" w:cs="宋体"/>
          <w:szCs w:val="32"/>
          <w:lang w:val="en-US" w:eastAsia="zh-CN"/>
        </w:rPr>
        <w:t>9</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6</w:t>
      </w:r>
      <w:r>
        <w:rPr>
          <w:rFonts w:hint="eastAsia" w:ascii="宋体" w:hAnsi="宋体" w:cs="宋体"/>
          <w:szCs w:val="32"/>
        </w:rPr>
        <w:t>）</w:t>
      </w:r>
      <w:r>
        <w:rPr>
          <w:rFonts w:hint="eastAsia" w:ascii="宋体" w:hAnsi="宋体" w:cs="宋体"/>
          <w:szCs w:val="32"/>
          <w:lang w:eastAsia="zh-CN"/>
        </w:rPr>
        <w:t>供应商</w:t>
      </w:r>
      <w:r>
        <w:rPr>
          <w:rFonts w:hint="eastAsia" w:ascii="宋体" w:hAnsi="宋体" w:cs="宋体"/>
          <w:szCs w:val="32"/>
        </w:rPr>
        <w:t>类似项目实施情况一览表；（格式见附件1</w:t>
      </w:r>
      <w:r>
        <w:rPr>
          <w:rFonts w:hint="eastAsia" w:ascii="宋体" w:hAnsi="宋体" w:cs="宋体"/>
          <w:szCs w:val="32"/>
          <w:lang w:val="en-US" w:eastAsia="zh-CN"/>
        </w:rPr>
        <w:t>0</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7</w:t>
      </w:r>
      <w:r>
        <w:rPr>
          <w:rFonts w:hint="eastAsia" w:ascii="宋体" w:hAnsi="宋体" w:cs="宋体"/>
          <w:szCs w:val="32"/>
        </w:rPr>
        <w:t>）技术需求响应表（格式见附件1</w:t>
      </w:r>
      <w:r>
        <w:rPr>
          <w:rFonts w:hint="eastAsia" w:ascii="宋体" w:hAnsi="宋体" w:cs="宋体"/>
          <w:szCs w:val="32"/>
          <w:lang w:val="en-US" w:eastAsia="zh-CN"/>
        </w:rPr>
        <w:t>1</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color w:val="auto"/>
          <w:szCs w:val="32"/>
        </w:rPr>
      </w:pPr>
      <w:r>
        <w:rPr>
          <w:rFonts w:hint="eastAsia" w:ascii="宋体" w:hAnsi="宋体" w:cs="宋体"/>
          <w:szCs w:val="32"/>
        </w:rPr>
        <w:t>（</w:t>
      </w:r>
      <w:r>
        <w:rPr>
          <w:rFonts w:hint="eastAsia" w:ascii="宋体" w:hAnsi="宋体" w:cs="宋体"/>
          <w:szCs w:val="32"/>
          <w:lang w:val="en-US" w:eastAsia="zh-CN"/>
        </w:rPr>
        <w:t>8</w:t>
      </w:r>
      <w:r>
        <w:rPr>
          <w:rFonts w:hint="eastAsia" w:ascii="宋体" w:hAnsi="宋体" w:cs="宋体"/>
          <w:szCs w:val="32"/>
        </w:rPr>
        <w:t>）商</w:t>
      </w:r>
      <w:r>
        <w:rPr>
          <w:rFonts w:hint="eastAsia" w:ascii="宋体" w:hAnsi="宋体" w:cs="宋体"/>
          <w:color w:val="auto"/>
          <w:szCs w:val="32"/>
        </w:rPr>
        <w:t>务需求响应表（格式见附件1</w:t>
      </w:r>
      <w:r>
        <w:rPr>
          <w:rFonts w:hint="eastAsia" w:ascii="宋体" w:hAnsi="宋体" w:cs="宋体"/>
          <w:color w:val="auto"/>
          <w:szCs w:val="32"/>
          <w:lang w:val="en-US" w:eastAsia="zh-CN"/>
        </w:rPr>
        <w:t>2</w:t>
      </w:r>
      <w:r>
        <w:rPr>
          <w:rFonts w:hint="eastAsia" w:ascii="宋体" w:hAnsi="宋体" w:cs="宋体"/>
          <w:color w:val="auto"/>
          <w:szCs w:val="32"/>
        </w:rPr>
        <w:t>）；</w:t>
      </w:r>
    </w:p>
    <w:p>
      <w:pPr>
        <w:tabs>
          <w:tab w:val="left" w:pos="1418"/>
        </w:tabs>
        <w:autoSpaceDE w:val="0"/>
        <w:autoSpaceDN w:val="0"/>
        <w:adjustRightInd w:val="0"/>
        <w:spacing w:line="360" w:lineRule="auto"/>
        <w:ind w:firstLine="420" w:firstLineChars="200"/>
        <w:rPr>
          <w:rFonts w:ascii="宋体" w:hAnsi="宋体" w:cs="宋体"/>
          <w:color w:val="auto"/>
          <w:szCs w:val="32"/>
        </w:rPr>
      </w:pPr>
      <w:r>
        <w:rPr>
          <w:rFonts w:hint="eastAsia" w:ascii="宋体" w:hAnsi="宋体" w:cs="宋体"/>
          <w:color w:val="auto"/>
          <w:szCs w:val="32"/>
        </w:rPr>
        <w:t>（</w:t>
      </w:r>
      <w:r>
        <w:rPr>
          <w:rFonts w:hint="eastAsia" w:ascii="宋体" w:hAnsi="宋体" w:cs="宋体"/>
          <w:color w:val="auto"/>
          <w:szCs w:val="32"/>
          <w:lang w:val="en-US" w:eastAsia="zh-CN"/>
        </w:rPr>
        <w:t>9</w:t>
      </w:r>
      <w:r>
        <w:rPr>
          <w:rFonts w:hint="eastAsia" w:ascii="宋体" w:hAnsi="宋体" w:cs="宋体"/>
          <w:color w:val="auto"/>
          <w:szCs w:val="32"/>
        </w:rPr>
        <w:t>）投标项目明细清单（含货物、服务等）（格式见附件1</w:t>
      </w:r>
      <w:r>
        <w:rPr>
          <w:rFonts w:hint="eastAsia" w:ascii="宋体" w:hAnsi="宋体" w:cs="宋体"/>
          <w:color w:val="auto"/>
          <w:szCs w:val="32"/>
          <w:lang w:val="en-US" w:eastAsia="zh-CN"/>
        </w:rPr>
        <w:t>3</w:t>
      </w:r>
      <w:r>
        <w:rPr>
          <w:rFonts w:hint="eastAsia" w:ascii="宋体" w:hAnsi="宋体" w:cs="宋体"/>
          <w:color w:val="auto"/>
          <w:szCs w:val="32"/>
        </w:rPr>
        <w:t>）；</w:t>
      </w:r>
    </w:p>
    <w:p>
      <w:pPr>
        <w:tabs>
          <w:tab w:val="left" w:pos="1418"/>
        </w:tabs>
        <w:autoSpaceDE w:val="0"/>
        <w:autoSpaceDN w:val="0"/>
        <w:adjustRightInd w:val="0"/>
        <w:spacing w:line="360" w:lineRule="auto"/>
        <w:ind w:firstLine="420" w:firstLineChars="200"/>
        <w:rPr>
          <w:rFonts w:ascii="宋体" w:hAnsi="宋体" w:cs="宋体"/>
          <w:color w:val="auto"/>
          <w:szCs w:val="32"/>
        </w:rPr>
      </w:pPr>
      <w:r>
        <w:rPr>
          <w:rFonts w:hint="eastAsia" w:ascii="宋体" w:hAnsi="宋体" w:cs="宋体"/>
          <w:color w:val="auto"/>
          <w:szCs w:val="32"/>
        </w:rPr>
        <w:t>（</w:t>
      </w:r>
      <w:r>
        <w:rPr>
          <w:rFonts w:hint="eastAsia" w:ascii="宋体" w:hAnsi="宋体" w:cs="宋体"/>
          <w:color w:val="auto"/>
          <w:szCs w:val="32"/>
          <w:lang w:val="en-US" w:eastAsia="zh-CN"/>
        </w:rPr>
        <w:t>10</w:t>
      </w:r>
      <w:r>
        <w:rPr>
          <w:rFonts w:hint="eastAsia" w:ascii="宋体" w:hAnsi="宋体" w:cs="宋体"/>
          <w:color w:val="auto"/>
          <w:szCs w:val="32"/>
        </w:rPr>
        <w:t>）随机专用工具及备品备件明细表（格式见附件1</w:t>
      </w:r>
      <w:r>
        <w:rPr>
          <w:rFonts w:hint="eastAsia" w:ascii="宋体" w:hAnsi="宋体" w:cs="宋体"/>
          <w:color w:val="auto"/>
          <w:szCs w:val="32"/>
          <w:lang w:val="en-US" w:eastAsia="zh-CN"/>
        </w:rPr>
        <w:t>4</w:t>
      </w:r>
      <w:r>
        <w:rPr>
          <w:rFonts w:hint="eastAsia" w:ascii="宋体" w:hAnsi="宋体" w:cs="宋体"/>
          <w:color w:val="auto"/>
          <w:szCs w:val="32"/>
        </w:rPr>
        <w:t>）；</w:t>
      </w:r>
    </w:p>
    <w:p>
      <w:pPr>
        <w:tabs>
          <w:tab w:val="left" w:pos="1418"/>
        </w:tabs>
        <w:autoSpaceDE w:val="0"/>
        <w:autoSpaceDN w:val="0"/>
        <w:adjustRightInd w:val="0"/>
        <w:spacing w:line="360" w:lineRule="auto"/>
        <w:ind w:firstLine="420" w:firstLineChars="200"/>
        <w:rPr>
          <w:rFonts w:ascii="宋体" w:hAnsi="宋体" w:cs="宋体"/>
          <w:color w:val="auto"/>
          <w:szCs w:val="32"/>
        </w:rPr>
      </w:pPr>
      <w:r>
        <w:rPr>
          <w:rFonts w:hint="eastAsia" w:ascii="宋体" w:hAnsi="宋体" w:cs="宋体"/>
          <w:color w:val="auto"/>
          <w:szCs w:val="32"/>
        </w:rPr>
        <w:t>（12）</w:t>
      </w:r>
      <w:r>
        <w:rPr>
          <w:rFonts w:hint="eastAsia" w:ascii="宋体" w:hAnsi="宋体" w:cs="宋体"/>
          <w:color w:val="auto"/>
          <w:szCs w:val="32"/>
          <w:lang w:eastAsia="zh-CN"/>
        </w:rPr>
        <w:t>供应商</w:t>
      </w:r>
      <w:r>
        <w:rPr>
          <w:rFonts w:hint="eastAsia" w:ascii="宋体" w:hAnsi="宋体" w:cs="宋体"/>
          <w:color w:val="auto"/>
          <w:szCs w:val="32"/>
        </w:rPr>
        <w:t>推荐的供选择的配套零部件及价格表（格式见附件1</w:t>
      </w:r>
      <w:r>
        <w:rPr>
          <w:rFonts w:hint="eastAsia" w:ascii="宋体" w:hAnsi="宋体" w:cs="宋体"/>
          <w:color w:val="auto"/>
          <w:szCs w:val="32"/>
          <w:lang w:val="en-US" w:eastAsia="zh-CN"/>
        </w:rPr>
        <w:t>5</w:t>
      </w:r>
      <w:r>
        <w:rPr>
          <w:rFonts w:hint="eastAsia" w:ascii="宋体" w:hAnsi="宋体" w:cs="宋体"/>
          <w:color w:val="auto"/>
          <w:szCs w:val="32"/>
        </w:rPr>
        <w:t>）；</w:t>
      </w:r>
    </w:p>
    <w:p>
      <w:pPr>
        <w:tabs>
          <w:tab w:val="left" w:pos="1418"/>
        </w:tabs>
        <w:autoSpaceDE w:val="0"/>
        <w:autoSpaceDN w:val="0"/>
        <w:adjustRightInd w:val="0"/>
        <w:spacing w:line="360" w:lineRule="auto"/>
        <w:ind w:firstLine="420" w:firstLineChars="200"/>
        <w:rPr>
          <w:rFonts w:ascii="宋体" w:hAnsi="宋体" w:cs="宋体"/>
          <w:color w:val="auto"/>
          <w:szCs w:val="32"/>
        </w:rPr>
      </w:pPr>
      <w:r>
        <w:rPr>
          <w:rFonts w:hint="eastAsia" w:ascii="宋体" w:hAnsi="宋体" w:cs="宋体"/>
          <w:color w:val="auto"/>
          <w:szCs w:val="32"/>
        </w:rPr>
        <w:t>（13）根据招标文件评标办法及评分标准进行商务技术标的编制；</w:t>
      </w:r>
    </w:p>
    <w:p>
      <w:pPr>
        <w:spacing w:line="360" w:lineRule="auto"/>
        <w:ind w:left="425"/>
        <w:rPr>
          <w:rFonts w:ascii="宋体" w:hAnsi="宋体" w:cs="宋体"/>
          <w:color w:val="auto"/>
          <w:szCs w:val="32"/>
        </w:rPr>
      </w:pPr>
      <w:r>
        <w:rPr>
          <w:rFonts w:hint="eastAsia" w:ascii="宋体" w:hAnsi="宋体" w:cs="宋体"/>
          <w:color w:val="auto"/>
          <w:szCs w:val="32"/>
        </w:rPr>
        <w:t>（14）</w:t>
      </w:r>
      <w:r>
        <w:rPr>
          <w:rFonts w:hint="eastAsia" w:ascii="宋体" w:hAnsi="宋体" w:cs="宋体"/>
          <w:color w:val="auto"/>
          <w:szCs w:val="32"/>
          <w:lang w:eastAsia="zh-CN"/>
        </w:rPr>
        <w:t>供应商</w:t>
      </w:r>
      <w:r>
        <w:rPr>
          <w:rFonts w:hint="eastAsia" w:ascii="宋体" w:hAnsi="宋体" w:cs="宋体"/>
          <w:color w:val="auto"/>
          <w:szCs w:val="32"/>
        </w:rPr>
        <w:t>认为需要提供的其他资料（包括可能影响</w:t>
      </w:r>
      <w:r>
        <w:rPr>
          <w:rFonts w:hint="eastAsia" w:ascii="宋体" w:hAnsi="宋体" w:cs="宋体"/>
          <w:color w:val="auto"/>
          <w:szCs w:val="32"/>
          <w:lang w:eastAsia="zh-CN"/>
        </w:rPr>
        <w:t>供应商</w:t>
      </w:r>
      <w:r>
        <w:rPr>
          <w:rFonts w:hint="eastAsia" w:ascii="宋体" w:hAnsi="宋体" w:cs="宋体"/>
          <w:color w:val="auto"/>
          <w:szCs w:val="32"/>
        </w:rPr>
        <w:t>商务与技术文件评分的各类证明材料）。</w:t>
      </w:r>
    </w:p>
    <w:p>
      <w:pPr>
        <w:tabs>
          <w:tab w:val="left" w:pos="1418"/>
        </w:tabs>
        <w:autoSpaceDE w:val="0"/>
        <w:autoSpaceDN w:val="0"/>
        <w:adjustRightInd w:val="0"/>
        <w:spacing w:line="360" w:lineRule="auto"/>
        <w:ind w:firstLine="420" w:firstLineChars="200"/>
        <w:rPr>
          <w:rFonts w:ascii="宋体" w:hAnsi="宋体" w:cs="宋体"/>
          <w:color w:val="auto"/>
          <w:szCs w:val="32"/>
          <w:highlight w:val="none"/>
        </w:rPr>
      </w:pPr>
      <w:r>
        <w:rPr>
          <w:rFonts w:hint="eastAsia" w:ascii="宋体" w:hAnsi="宋体" w:cs="宋体"/>
          <w:color w:val="auto"/>
          <w:szCs w:val="32"/>
          <w:highlight w:val="none"/>
        </w:rPr>
        <w:t>注：以上内容应与评标办法中内容具有一致性。</w:t>
      </w:r>
    </w:p>
    <w:p>
      <w:pPr>
        <w:spacing w:line="360" w:lineRule="auto"/>
        <w:ind w:firstLine="422" w:firstLineChars="200"/>
        <w:rPr>
          <w:rFonts w:ascii="宋体" w:hAnsi="宋体" w:cs="宋体"/>
          <w:b/>
          <w:bCs/>
          <w:szCs w:val="32"/>
          <w:lang w:val="zh-CN"/>
        </w:rPr>
      </w:pPr>
      <w:r>
        <w:rPr>
          <w:rFonts w:hint="eastAsia" w:ascii="宋体" w:hAnsi="宋体" w:cs="宋体"/>
          <w:b/>
          <w:bCs/>
          <w:szCs w:val="32"/>
          <w:lang w:val="zh-CN"/>
        </w:rPr>
        <w:t>3.报价文件的组成</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（1）开标一览表（格式见附件1</w:t>
      </w:r>
      <w:r>
        <w:rPr>
          <w:rFonts w:hint="eastAsia" w:ascii="宋体" w:hAnsi="宋体" w:cs="宋体"/>
          <w:szCs w:val="32"/>
          <w:lang w:val="en-US" w:eastAsia="zh-CN"/>
        </w:rPr>
        <w:t>6</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（2）报价明细表（格式见附件</w:t>
      </w:r>
      <w:r>
        <w:rPr>
          <w:rFonts w:hint="eastAsia" w:ascii="宋体" w:hAnsi="宋体" w:cs="宋体"/>
          <w:szCs w:val="32"/>
          <w:lang w:val="en-US" w:eastAsia="zh-CN"/>
        </w:rPr>
        <w:t>17</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（3）针对报价</w:t>
      </w:r>
      <w:r>
        <w:rPr>
          <w:rFonts w:hint="eastAsia" w:ascii="宋体" w:hAnsi="宋体" w:cs="宋体"/>
          <w:szCs w:val="32"/>
          <w:lang w:eastAsia="zh-CN"/>
        </w:rPr>
        <w:t>供应商</w:t>
      </w:r>
      <w:r>
        <w:rPr>
          <w:rFonts w:hint="eastAsia" w:ascii="宋体" w:hAnsi="宋体" w:cs="宋体"/>
          <w:szCs w:val="32"/>
        </w:rPr>
        <w:t>认为其他需要说明的。</w:t>
      </w:r>
    </w:p>
    <w:p>
      <w:pPr>
        <w:spacing w:line="360" w:lineRule="auto"/>
        <w:ind w:firstLine="422" w:firstLineChars="200"/>
        <w:rPr>
          <w:rFonts w:ascii="宋体" w:hAnsi="宋体" w:cs="宋体"/>
          <w:b/>
          <w:bCs/>
          <w:szCs w:val="32"/>
          <w:lang w:val="zh-CN"/>
        </w:rPr>
      </w:pPr>
      <w:r>
        <w:rPr>
          <w:rFonts w:hint="eastAsia" w:ascii="宋体" w:hAnsi="宋体" w:cs="宋体"/>
          <w:b/>
          <w:bCs/>
          <w:szCs w:val="32"/>
          <w:lang w:val="zh-CN"/>
        </w:rPr>
        <w:t>（二）投标报价</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1.</w:t>
      </w:r>
      <w:r>
        <w:rPr>
          <w:rFonts w:hint="eastAsia" w:ascii="宋体" w:hAnsi="宋体" w:cs="宋体"/>
          <w:szCs w:val="32"/>
          <w:lang w:eastAsia="zh-CN"/>
        </w:rPr>
        <w:t>供应商</w:t>
      </w:r>
      <w:r>
        <w:rPr>
          <w:rFonts w:hint="eastAsia" w:ascii="宋体" w:hAnsi="宋体" w:cs="宋体"/>
          <w:szCs w:val="32"/>
        </w:rPr>
        <w:t>应按照</w:t>
      </w:r>
      <w:r>
        <w:rPr>
          <w:rFonts w:hint="eastAsia" w:ascii="宋体" w:hAnsi="宋体" w:cs="宋体"/>
          <w:szCs w:val="32"/>
          <w:lang w:eastAsia="zh-CN"/>
        </w:rPr>
        <w:t>采购需求</w:t>
      </w:r>
      <w:r>
        <w:rPr>
          <w:rFonts w:hint="eastAsia" w:ascii="宋体" w:hAnsi="宋体" w:cs="宋体"/>
          <w:szCs w:val="32"/>
        </w:rPr>
        <w:t>内容、责任范围以及合同条款进行报价。并按“开标一览表”和“报价明细表”规定的格式报出总价和分项价格。投标总价中不得包含招标文件要求以外的内容，否则，在评标时不予核减。</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2.投标报价包括本项目采购需求和投入使用的所有费用，设备费（含辅材）、包装费、运输费、运输损耗、装卸费、安装费、安装所用水电费、辅料、配件、工具、保管费、单机调试及联动调试费、第三方检验费、保修费、管理费、相关配合费、现场可能发生的二次搬运、临时设施费、成品保护费、利润、保险、税金等设备安装验收合格直至交付</w:t>
      </w:r>
      <w:r>
        <w:rPr>
          <w:rFonts w:hint="eastAsia" w:ascii="宋体" w:hAnsi="宋体" w:cs="宋体"/>
          <w:szCs w:val="32"/>
          <w:lang w:val="en-US" w:eastAsia="zh-CN"/>
        </w:rPr>
        <w:t>采购人</w:t>
      </w:r>
      <w:r>
        <w:rPr>
          <w:rFonts w:hint="eastAsia" w:ascii="宋体" w:hAnsi="宋体" w:cs="宋体"/>
          <w:szCs w:val="32"/>
        </w:rPr>
        <w:t>以及售后服务的一切费用，以及其他不可预见的所有费用。</w:t>
      </w:r>
    </w:p>
    <w:p>
      <w:pPr>
        <w:spacing w:line="360" w:lineRule="auto"/>
        <w:ind w:firstLine="211" w:firstLineChars="100"/>
        <w:rPr>
          <w:rFonts w:ascii="宋体" w:hAnsi="宋体" w:cs="宋体"/>
          <w:b/>
          <w:bCs/>
          <w:szCs w:val="32"/>
        </w:rPr>
      </w:pPr>
      <w:r>
        <w:rPr>
          <w:rFonts w:hint="eastAsia" w:ascii="宋体" w:hAnsi="宋体" w:cs="宋体"/>
          <w:b/>
          <w:bCs/>
          <w:szCs w:val="32"/>
          <w:lang w:val="zh-CN"/>
        </w:rPr>
        <w:t>（三）</w:t>
      </w:r>
      <w:r>
        <w:rPr>
          <w:rFonts w:hint="eastAsia" w:ascii="宋体" w:hAnsi="宋体" w:cs="宋体"/>
          <w:b/>
          <w:bCs/>
          <w:szCs w:val="32"/>
        </w:rPr>
        <w:t>投标文件的制作、封装及递交要求</w:t>
      </w:r>
    </w:p>
    <w:p>
      <w:pPr>
        <w:spacing w:line="360" w:lineRule="auto"/>
        <w:ind w:firstLine="422" w:firstLineChars="200"/>
        <w:rPr>
          <w:rFonts w:ascii="宋体" w:hAnsi="宋体" w:cs="宋体"/>
          <w:b/>
          <w:bCs/>
          <w:szCs w:val="32"/>
          <w:lang w:val="en-GB"/>
        </w:rPr>
      </w:pPr>
      <w:r>
        <w:rPr>
          <w:rFonts w:hint="eastAsia" w:ascii="宋体" w:hAnsi="宋体" w:cs="宋体"/>
          <w:b/>
          <w:bCs/>
          <w:szCs w:val="32"/>
        </w:rPr>
        <w:t xml:space="preserve">1. </w:t>
      </w:r>
      <w:r>
        <w:rPr>
          <w:rFonts w:hint="eastAsia" w:ascii="宋体" w:hAnsi="宋体" w:cs="宋体"/>
          <w:b/>
          <w:bCs/>
          <w:szCs w:val="32"/>
          <w:lang w:val="en-GB"/>
        </w:rPr>
        <w:t>投标文件的编制</w:t>
      </w:r>
    </w:p>
    <w:p>
      <w:pPr>
        <w:spacing w:line="360" w:lineRule="auto"/>
        <w:ind w:firstLine="420" w:firstLineChars="200"/>
        <w:rPr>
          <w:rFonts w:ascii="宋体" w:hAnsi="宋体" w:cs="宋体"/>
          <w:szCs w:val="32"/>
          <w:lang w:val="en-GB"/>
        </w:rPr>
      </w:pPr>
      <w:r>
        <w:rPr>
          <w:rFonts w:hint="eastAsia" w:ascii="宋体" w:hAnsi="宋体" w:cs="宋体"/>
          <w:szCs w:val="32"/>
        </w:rPr>
        <w:t>1</w:t>
      </w:r>
      <w:r>
        <w:rPr>
          <w:rFonts w:hint="eastAsia" w:ascii="宋体" w:hAnsi="宋体" w:cs="宋体"/>
          <w:szCs w:val="32"/>
          <w:lang w:val="en-GB"/>
        </w:rPr>
        <w:t>.1本项目通过“政府采购云平台（www.zcygov.cn）”实行在线投标响应（电子投标）。</w:t>
      </w:r>
      <w:r>
        <w:rPr>
          <w:rFonts w:hint="eastAsia" w:ascii="宋体" w:hAnsi="宋体" w:cs="宋体"/>
          <w:szCs w:val="32"/>
          <w:lang w:val="en-GB" w:eastAsia="zh-CN"/>
        </w:rPr>
        <w:t>供应商</w:t>
      </w:r>
      <w:r>
        <w:rPr>
          <w:rFonts w:hint="eastAsia" w:ascii="宋体" w:hAnsi="宋体" w:cs="宋体"/>
          <w:szCs w:val="32"/>
          <w:lang w:val="en-GB"/>
        </w:rPr>
        <w:t>应通过“政采云电子交易客户端”，并按照本招标文件和“政府采购云平台”的要求编制并加密投标文件。</w:t>
      </w:r>
    </w:p>
    <w:p>
      <w:pPr>
        <w:spacing w:line="360" w:lineRule="auto"/>
        <w:ind w:firstLine="420" w:firstLineChars="200"/>
        <w:rPr>
          <w:rFonts w:ascii="宋体" w:hAnsi="宋体" w:cs="宋体"/>
          <w:szCs w:val="32"/>
          <w:lang w:val="en-GB"/>
        </w:rPr>
      </w:pPr>
      <w:r>
        <w:rPr>
          <w:rFonts w:hint="eastAsia" w:ascii="宋体" w:hAnsi="宋体" w:cs="宋体"/>
          <w:szCs w:val="32"/>
          <w:lang w:val="en-GB"/>
        </w:rPr>
        <w:t>1.2</w:t>
      </w:r>
      <w:r>
        <w:rPr>
          <w:rFonts w:hint="eastAsia" w:ascii="宋体" w:hAnsi="宋体" w:cs="宋体"/>
          <w:szCs w:val="32"/>
          <w:lang w:val="en-GB" w:eastAsia="zh-CN"/>
        </w:rPr>
        <w:t>供应商</w:t>
      </w:r>
      <w:r>
        <w:rPr>
          <w:rFonts w:hint="eastAsia" w:ascii="宋体" w:hAnsi="宋体" w:cs="宋体"/>
          <w:szCs w:val="32"/>
          <w:lang w:val="en-GB"/>
        </w:rPr>
        <w:t>应当按照本章节 “投标文件组成”规定的内容及顺序在“政采云电子交易客户端”编制投标文件。其中</w:t>
      </w:r>
      <w:r>
        <w:rPr>
          <w:rFonts w:hint="eastAsia" w:ascii="宋体" w:hAnsi="宋体" w:cs="宋体"/>
          <w:szCs w:val="32"/>
        </w:rPr>
        <w:t>资格及商务技术文件</w:t>
      </w:r>
      <w:r>
        <w:rPr>
          <w:rFonts w:hint="eastAsia" w:ascii="宋体" w:hAnsi="宋体" w:cs="宋体"/>
          <w:szCs w:val="32"/>
          <w:lang w:val="en-GB"/>
        </w:rPr>
        <w:t>中不得出现本项目投标报价，如因</w:t>
      </w:r>
      <w:r>
        <w:rPr>
          <w:rFonts w:hint="eastAsia" w:ascii="宋体" w:hAnsi="宋体" w:cs="宋体"/>
          <w:szCs w:val="32"/>
          <w:lang w:val="en-GB" w:eastAsia="zh-CN"/>
        </w:rPr>
        <w:t>供应商</w:t>
      </w:r>
      <w:r>
        <w:rPr>
          <w:rFonts w:hint="eastAsia" w:ascii="宋体" w:hAnsi="宋体" w:cs="宋体"/>
          <w:szCs w:val="32"/>
          <w:lang w:val="en-GB"/>
        </w:rPr>
        <w:t>原因提前泄露投标报价，是</w:t>
      </w:r>
      <w:r>
        <w:rPr>
          <w:rFonts w:hint="eastAsia" w:ascii="宋体" w:hAnsi="宋体" w:cs="宋体"/>
          <w:szCs w:val="32"/>
          <w:lang w:val="en-GB" w:eastAsia="zh-CN"/>
        </w:rPr>
        <w:t>供应商</w:t>
      </w:r>
      <w:r>
        <w:rPr>
          <w:rFonts w:hint="eastAsia" w:ascii="宋体" w:hAnsi="宋体" w:cs="宋体"/>
          <w:szCs w:val="32"/>
          <w:lang w:val="en-GB"/>
        </w:rPr>
        <w:t>的责任。</w:t>
      </w:r>
    </w:p>
    <w:p>
      <w:pPr>
        <w:spacing w:line="360" w:lineRule="auto"/>
        <w:ind w:firstLine="420" w:firstLineChars="200"/>
        <w:rPr>
          <w:rFonts w:ascii="宋体" w:hAnsi="宋体" w:cs="宋体"/>
          <w:szCs w:val="32"/>
          <w:lang w:val="en-GB"/>
        </w:rPr>
      </w:pPr>
      <w:r>
        <w:rPr>
          <w:rFonts w:hint="eastAsia" w:ascii="宋体" w:hAnsi="宋体" w:cs="宋体"/>
          <w:szCs w:val="32"/>
          <w:lang w:val="zh-CN"/>
        </w:rPr>
        <w:t>1.3投标文件分为</w:t>
      </w:r>
      <w:r>
        <w:rPr>
          <w:rFonts w:hint="eastAsia" w:ascii="宋体" w:hAnsi="宋体" w:cs="宋体"/>
          <w:szCs w:val="32"/>
        </w:rPr>
        <w:t>资格及商务技术文件、报价文件二部分</w:t>
      </w:r>
      <w:r>
        <w:rPr>
          <w:rFonts w:hint="eastAsia" w:ascii="宋体" w:hAnsi="宋体" w:cs="宋体"/>
          <w:szCs w:val="32"/>
          <w:lang w:val="zh-CN"/>
        </w:rPr>
        <w:t>。各供应商在编制投标文件时请按照采购文件第六部分规定的格式进行，</w:t>
      </w:r>
      <w:r>
        <w:rPr>
          <w:rFonts w:hint="eastAsia" w:ascii="宋体" w:hAnsi="宋体" w:cs="宋体"/>
          <w:szCs w:val="32"/>
          <w:lang w:val="en-GB"/>
        </w:rPr>
        <w:t>并按格式要求在指定位置根据要求进行签章，否则视为未提供，未提供格式的，请各</w:t>
      </w:r>
      <w:r>
        <w:rPr>
          <w:rFonts w:hint="eastAsia" w:ascii="宋体" w:hAnsi="宋体" w:cs="宋体"/>
          <w:szCs w:val="32"/>
          <w:lang w:val="en-GB" w:eastAsia="zh-CN"/>
        </w:rPr>
        <w:t>供应商</w:t>
      </w:r>
      <w:r>
        <w:rPr>
          <w:rFonts w:hint="eastAsia" w:ascii="宋体" w:hAnsi="宋体" w:cs="宋体"/>
          <w:szCs w:val="32"/>
          <w:lang w:val="en-GB"/>
        </w:rPr>
        <w:t>自行拟定格式，并加盖单位公章并由法定代表人或其授权代表签署（签字或盖章），否则视为未提供。</w:t>
      </w:r>
    </w:p>
    <w:p>
      <w:pPr>
        <w:spacing w:line="360" w:lineRule="auto"/>
        <w:ind w:firstLine="420" w:firstLineChars="200"/>
        <w:rPr>
          <w:rFonts w:ascii="宋体" w:hAnsi="宋体" w:cs="宋体"/>
          <w:szCs w:val="32"/>
          <w:lang w:val="en-GB"/>
        </w:rPr>
      </w:pPr>
      <w:r>
        <w:rPr>
          <w:rFonts w:hint="eastAsia" w:ascii="宋体" w:hAnsi="宋体" w:cs="宋体"/>
          <w:szCs w:val="32"/>
          <w:lang w:val="en-GB"/>
        </w:rPr>
        <w:t>1.4《投标文件》内容不完整、</w:t>
      </w:r>
      <w:r>
        <w:rPr>
          <w:rFonts w:hint="eastAsia" w:ascii="宋体" w:hAnsi="宋体" w:cs="宋体"/>
          <w:szCs w:val="32"/>
          <w:lang w:val="zh-CN"/>
        </w:rPr>
        <w:t>混乱的编排导致投标文件被误读或评标委员会查找不到有效文件是供应商的责任。</w:t>
      </w:r>
      <w:r>
        <w:rPr>
          <w:rFonts w:hint="eastAsia" w:ascii="宋体" w:hAnsi="宋体" w:cs="宋体"/>
          <w:szCs w:val="32"/>
          <w:lang w:val="en-GB"/>
        </w:rPr>
        <w:t>《投标文件》因字迹潦草或表达不清所引起的后果由</w:t>
      </w:r>
      <w:r>
        <w:rPr>
          <w:rFonts w:hint="eastAsia" w:ascii="宋体" w:hAnsi="宋体" w:cs="宋体"/>
          <w:szCs w:val="32"/>
          <w:lang w:val="en-GB" w:eastAsia="zh-CN"/>
        </w:rPr>
        <w:t>供应商</w:t>
      </w:r>
      <w:r>
        <w:rPr>
          <w:rFonts w:hint="eastAsia" w:ascii="宋体" w:hAnsi="宋体" w:cs="宋体"/>
          <w:szCs w:val="32"/>
          <w:lang w:val="en-GB"/>
        </w:rPr>
        <w:t>负责。</w:t>
      </w:r>
    </w:p>
    <w:p>
      <w:pPr>
        <w:spacing w:line="360" w:lineRule="auto"/>
        <w:ind w:firstLine="422" w:firstLineChars="200"/>
        <w:rPr>
          <w:rFonts w:ascii="宋体" w:hAnsi="宋体" w:cs="宋体"/>
          <w:b/>
          <w:bCs/>
          <w:szCs w:val="32"/>
          <w:lang w:val="en-GB"/>
        </w:rPr>
      </w:pPr>
      <w:r>
        <w:rPr>
          <w:rFonts w:hint="eastAsia" w:ascii="宋体" w:hAnsi="宋体" w:cs="宋体"/>
          <w:b/>
          <w:bCs/>
          <w:szCs w:val="32"/>
          <w:lang w:val="en-US" w:eastAsia="zh-CN"/>
        </w:rPr>
        <w:t>2</w:t>
      </w:r>
      <w:r>
        <w:rPr>
          <w:rFonts w:hint="eastAsia" w:ascii="宋体" w:hAnsi="宋体" w:cs="宋体"/>
          <w:b/>
          <w:bCs/>
          <w:szCs w:val="32"/>
          <w:lang w:val="en-GB"/>
        </w:rPr>
        <w:t>.投标文件的签章</w:t>
      </w:r>
    </w:p>
    <w:p>
      <w:pPr>
        <w:spacing w:line="360" w:lineRule="auto"/>
        <w:ind w:firstLine="420" w:firstLineChars="200"/>
        <w:rPr>
          <w:rFonts w:ascii="宋体" w:hAnsi="宋体" w:cs="宋体"/>
          <w:szCs w:val="32"/>
          <w:lang w:val="en-GB"/>
        </w:rPr>
      </w:pPr>
      <w:r>
        <w:rPr>
          <w:rFonts w:hint="eastAsia" w:ascii="宋体" w:hAnsi="宋体" w:cs="宋体"/>
          <w:szCs w:val="32"/>
          <w:lang w:val="en-GB"/>
        </w:rPr>
        <w:t>投标文件按照采购文件第六部分格式要求进行签署、盖章。</w:t>
      </w:r>
      <w:r>
        <w:rPr>
          <w:rFonts w:hint="eastAsia" w:ascii="宋体" w:hAnsi="宋体" w:cs="宋体"/>
          <w:szCs w:val="32"/>
          <w:lang w:val="en-GB" w:eastAsia="zh-CN"/>
        </w:rPr>
        <w:t>供应商</w:t>
      </w:r>
      <w:r>
        <w:rPr>
          <w:rFonts w:hint="eastAsia" w:ascii="宋体" w:hAnsi="宋体" w:cs="宋体"/>
          <w:szCs w:val="32"/>
          <w:lang w:val="en-GB"/>
        </w:rPr>
        <w:t>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spacing w:line="360" w:lineRule="auto"/>
        <w:ind w:firstLine="422" w:firstLineChars="200"/>
        <w:rPr>
          <w:rFonts w:ascii="宋体" w:hAnsi="宋体" w:cs="宋体"/>
          <w:b/>
          <w:bCs/>
          <w:szCs w:val="32"/>
          <w:lang w:val="en-GB"/>
        </w:rPr>
      </w:pPr>
      <w:r>
        <w:rPr>
          <w:rFonts w:hint="eastAsia" w:ascii="宋体" w:hAnsi="宋体" w:cs="宋体"/>
          <w:b/>
          <w:bCs/>
          <w:szCs w:val="32"/>
          <w:lang w:val="en-US" w:eastAsia="zh-CN"/>
        </w:rPr>
        <w:t>3</w:t>
      </w:r>
      <w:r>
        <w:rPr>
          <w:rFonts w:hint="eastAsia" w:ascii="宋体" w:hAnsi="宋体" w:cs="宋体"/>
          <w:b/>
          <w:bCs/>
          <w:szCs w:val="32"/>
          <w:lang w:val="en-GB"/>
        </w:rPr>
        <w:t>. 备份投标文件的密封与标志</w:t>
      </w:r>
    </w:p>
    <w:p>
      <w:pPr>
        <w:spacing w:line="360" w:lineRule="auto"/>
        <w:ind w:firstLine="420" w:firstLineChars="200"/>
        <w:rPr>
          <w:rFonts w:ascii="宋体" w:hAnsi="宋体" w:cs="宋体"/>
          <w:szCs w:val="32"/>
          <w:lang w:val="en-GB"/>
        </w:rPr>
      </w:pPr>
      <w:r>
        <w:rPr>
          <w:rFonts w:hint="eastAsia" w:ascii="宋体" w:hAnsi="宋体" w:cs="宋体"/>
          <w:szCs w:val="32"/>
          <w:lang w:val="en-US" w:eastAsia="zh-CN"/>
        </w:rPr>
        <w:t>3</w:t>
      </w:r>
      <w:r>
        <w:rPr>
          <w:rFonts w:hint="eastAsia" w:ascii="宋体" w:hAnsi="宋体" w:cs="宋体"/>
          <w:szCs w:val="32"/>
          <w:lang w:val="en-GB"/>
        </w:rPr>
        <w:t>.1备份投标文件须密封包装。没有密封包装的投标文件，将被拒收。</w:t>
      </w:r>
    </w:p>
    <w:p>
      <w:pPr>
        <w:spacing w:line="360" w:lineRule="auto"/>
        <w:ind w:firstLine="420" w:firstLineChars="200"/>
        <w:rPr>
          <w:rFonts w:ascii="宋体" w:hAnsi="宋体" w:cs="宋体"/>
          <w:szCs w:val="32"/>
          <w:lang w:val="en-GB"/>
        </w:rPr>
      </w:pPr>
      <w:r>
        <w:rPr>
          <w:rFonts w:hint="eastAsia" w:ascii="宋体" w:hAnsi="宋体" w:cs="宋体"/>
          <w:szCs w:val="32"/>
          <w:lang w:val="en-US" w:eastAsia="zh-CN"/>
        </w:rPr>
        <w:t>3</w:t>
      </w:r>
      <w:r>
        <w:rPr>
          <w:rFonts w:hint="eastAsia" w:ascii="宋体" w:hAnsi="宋体" w:cs="宋体"/>
          <w:szCs w:val="32"/>
          <w:lang w:val="en-GB"/>
        </w:rPr>
        <w:t>.2备份投标文件包装封面物应写明项目名称、</w:t>
      </w:r>
      <w:r>
        <w:rPr>
          <w:rFonts w:hint="eastAsia" w:ascii="宋体" w:hAnsi="宋体" w:cs="宋体"/>
          <w:szCs w:val="32"/>
          <w:lang w:val="en-GB" w:eastAsia="zh-CN"/>
        </w:rPr>
        <w:t>供应商</w:t>
      </w:r>
      <w:r>
        <w:rPr>
          <w:rFonts w:hint="eastAsia" w:ascii="宋体" w:hAnsi="宋体" w:cs="宋体"/>
          <w:szCs w:val="32"/>
          <w:lang w:val="en-GB"/>
        </w:rPr>
        <w:t>名称(联合体投标的，包装物封面需注明联合体投标，并注明联合体成员各方的名称和联合体协议中约定的牵头人的名称)。</w:t>
      </w:r>
    </w:p>
    <w:p>
      <w:pPr>
        <w:spacing w:line="360" w:lineRule="auto"/>
        <w:ind w:firstLine="422" w:firstLineChars="200"/>
        <w:rPr>
          <w:rFonts w:ascii="宋体" w:hAnsi="宋体" w:cs="宋体"/>
          <w:b/>
          <w:bCs/>
          <w:szCs w:val="32"/>
          <w:lang w:val="en-GB"/>
        </w:rPr>
      </w:pPr>
      <w:r>
        <w:rPr>
          <w:rFonts w:hint="eastAsia" w:ascii="宋体" w:hAnsi="宋体" w:cs="宋体"/>
          <w:b/>
          <w:bCs/>
          <w:szCs w:val="32"/>
          <w:lang w:val="en-US" w:eastAsia="zh-CN"/>
        </w:rPr>
        <w:t>4</w:t>
      </w:r>
      <w:r>
        <w:rPr>
          <w:rFonts w:hint="eastAsia" w:ascii="宋体" w:hAnsi="宋体" w:cs="宋体"/>
          <w:b/>
          <w:bCs/>
          <w:szCs w:val="32"/>
          <w:lang w:val="en-GB"/>
        </w:rPr>
        <w:t>. 投标文件的上传和递交</w:t>
      </w:r>
    </w:p>
    <w:p>
      <w:pPr>
        <w:spacing w:line="360" w:lineRule="auto"/>
        <w:ind w:firstLine="420" w:firstLineChars="200"/>
        <w:rPr>
          <w:rFonts w:ascii="宋体" w:hAnsi="宋体" w:cs="宋体"/>
          <w:szCs w:val="32"/>
          <w:lang w:val="en-GB"/>
        </w:rPr>
      </w:pPr>
      <w:r>
        <w:rPr>
          <w:rFonts w:hint="eastAsia" w:ascii="宋体" w:hAnsi="宋体" w:cs="宋体"/>
          <w:szCs w:val="32"/>
          <w:lang w:val="en-US" w:eastAsia="zh-CN"/>
        </w:rPr>
        <w:t>4</w:t>
      </w:r>
      <w:r>
        <w:rPr>
          <w:rFonts w:hint="eastAsia" w:ascii="宋体" w:hAnsi="宋体" w:cs="宋体"/>
          <w:szCs w:val="32"/>
          <w:lang w:val="en-GB"/>
        </w:rPr>
        <w:t>.1“投标文件”的上传、递交：见《前附表》。未传输递交电子投标文件的，投标无效。</w:t>
      </w:r>
    </w:p>
    <w:p>
      <w:pPr>
        <w:spacing w:line="360" w:lineRule="auto"/>
        <w:ind w:firstLine="420" w:firstLineChars="200"/>
        <w:rPr>
          <w:rFonts w:ascii="宋体" w:hAnsi="宋体" w:cs="宋体"/>
          <w:szCs w:val="32"/>
          <w:lang w:val="en-GB"/>
        </w:rPr>
      </w:pPr>
      <w:r>
        <w:rPr>
          <w:rFonts w:hint="eastAsia" w:ascii="宋体" w:hAnsi="宋体" w:cs="宋体"/>
          <w:szCs w:val="32"/>
          <w:lang w:val="en-US" w:eastAsia="zh-CN"/>
        </w:rPr>
        <w:t>4</w:t>
      </w:r>
      <w:r>
        <w:rPr>
          <w:rFonts w:hint="eastAsia" w:ascii="宋体" w:hAnsi="宋体" w:cs="宋体"/>
          <w:szCs w:val="32"/>
          <w:lang w:val="en-GB"/>
        </w:rPr>
        <w:t>.</w:t>
      </w:r>
      <w:r>
        <w:rPr>
          <w:rFonts w:hint="eastAsia" w:ascii="宋体" w:hAnsi="宋体" w:cs="宋体"/>
          <w:szCs w:val="32"/>
        </w:rPr>
        <w:t>2</w:t>
      </w:r>
      <w:r>
        <w:rPr>
          <w:rFonts w:hint="eastAsia" w:ascii="宋体" w:hAnsi="宋体" w:cs="宋体"/>
          <w:szCs w:val="32"/>
          <w:lang w:val="en-GB" w:eastAsia="zh-CN"/>
        </w:rPr>
        <w:t>供应商</w:t>
      </w:r>
      <w:r>
        <w:rPr>
          <w:rFonts w:hint="eastAsia" w:ascii="宋体" w:hAnsi="宋体" w:cs="宋体"/>
          <w:szCs w:val="32"/>
          <w:lang w:val="en-GB"/>
        </w:rPr>
        <w:t>应当在投标截止时间将以介质存储的数据电文形式的备份投标文件密封送交到招标公告规定的投标地点。未按规定提供相应的备份投标文件，造成项目开评标活动无法进行下去的，投标无效。采购机构将拒绝接受逾期送达的投标文件。</w:t>
      </w:r>
    </w:p>
    <w:p>
      <w:pPr>
        <w:spacing w:line="360" w:lineRule="auto"/>
        <w:ind w:firstLine="420" w:firstLineChars="200"/>
        <w:rPr>
          <w:rFonts w:ascii="宋体" w:hAnsi="宋体" w:cs="宋体"/>
          <w:szCs w:val="32"/>
          <w:lang w:val="en-GB"/>
        </w:rPr>
      </w:pPr>
      <w:r>
        <w:rPr>
          <w:rFonts w:hint="eastAsia" w:ascii="宋体" w:hAnsi="宋体" w:cs="宋体"/>
          <w:szCs w:val="32"/>
          <w:lang w:val="en-US" w:eastAsia="zh-CN"/>
        </w:rPr>
        <w:t>4</w:t>
      </w:r>
      <w:r>
        <w:rPr>
          <w:rFonts w:hint="eastAsia" w:ascii="宋体" w:hAnsi="宋体" w:cs="宋体"/>
          <w:szCs w:val="32"/>
          <w:lang w:val="en-GB"/>
        </w:rPr>
        <w:t>.</w:t>
      </w:r>
      <w:r>
        <w:rPr>
          <w:rFonts w:hint="eastAsia" w:ascii="宋体" w:hAnsi="宋体" w:cs="宋体"/>
          <w:szCs w:val="32"/>
        </w:rPr>
        <w:t>3</w:t>
      </w:r>
      <w:r>
        <w:rPr>
          <w:rFonts w:hint="eastAsia" w:ascii="宋体" w:hAnsi="宋体" w:cs="宋体"/>
          <w:szCs w:val="32"/>
          <w:lang w:val="en-GB"/>
        </w:rPr>
        <w:t>投标文件的备选方案</w:t>
      </w:r>
    </w:p>
    <w:p>
      <w:pPr>
        <w:spacing w:line="360" w:lineRule="auto"/>
        <w:ind w:firstLine="420" w:firstLineChars="200"/>
        <w:rPr>
          <w:rFonts w:ascii="宋体" w:hAnsi="宋体" w:cs="宋体"/>
          <w:szCs w:val="32"/>
          <w:lang w:val="en-GB"/>
        </w:rPr>
      </w:pPr>
      <w:r>
        <w:rPr>
          <w:rFonts w:hint="eastAsia" w:ascii="宋体" w:hAnsi="宋体" w:cs="宋体"/>
          <w:szCs w:val="32"/>
          <w:lang w:val="en-GB" w:eastAsia="zh-CN"/>
        </w:rPr>
        <w:t>供应商</w:t>
      </w:r>
      <w:r>
        <w:rPr>
          <w:rFonts w:hint="eastAsia" w:ascii="宋体" w:hAnsi="宋体" w:cs="宋体"/>
          <w:szCs w:val="32"/>
          <w:lang w:val="en-GB"/>
        </w:rPr>
        <w:t>不得递交任何的投标备选（替代）方案，否则其投标文件将作无效标处理。与“电子加密投标文件”同时生成的“备份投标文件”不是投标备选（替代）方案。</w:t>
      </w:r>
    </w:p>
    <w:p>
      <w:pPr>
        <w:spacing w:line="360" w:lineRule="auto"/>
        <w:ind w:firstLine="420" w:firstLineChars="200"/>
        <w:rPr>
          <w:rFonts w:ascii="宋体" w:hAnsi="宋体" w:cs="宋体"/>
          <w:szCs w:val="32"/>
          <w:lang w:val="en-GB"/>
        </w:rPr>
      </w:pPr>
      <w:r>
        <w:rPr>
          <w:rFonts w:hint="eastAsia" w:ascii="宋体" w:hAnsi="宋体" w:cs="宋体"/>
          <w:szCs w:val="32"/>
          <w:lang w:val="en-US" w:eastAsia="zh-CN"/>
        </w:rPr>
        <w:t>5</w:t>
      </w:r>
      <w:r>
        <w:rPr>
          <w:rFonts w:hint="eastAsia" w:ascii="宋体" w:hAnsi="宋体" w:cs="宋体"/>
          <w:szCs w:val="32"/>
          <w:lang w:val="en-GB"/>
        </w:rPr>
        <w:t>. 投标文件的补充、修改、撤回</w:t>
      </w:r>
    </w:p>
    <w:p>
      <w:pPr>
        <w:spacing w:line="360" w:lineRule="auto"/>
        <w:ind w:firstLine="420" w:firstLineChars="200"/>
        <w:rPr>
          <w:rFonts w:ascii="宋体" w:hAnsi="宋体" w:cs="宋体"/>
          <w:szCs w:val="32"/>
          <w:lang w:val="en-GB"/>
        </w:rPr>
      </w:pPr>
      <w:r>
        <w:rPr>
          <w:rFonts w:hint="eastAsia" w:ascii="宋体" w:hAnsi="宋体" w:cs="宋体"/>
          <w:szCs w:val="32"/>
          <w:lang w:val="en-US" w:eastAsia="zh-CN"/>
        </w:rPr>
        <w:t>5</w:t>
      </w:r>
      <w:r>
        <w:rPr>
          <w:rFonts w:hint="eastAsia" w:ascii="宋体" w:hAnsi="宋体" w:cs="宋体"/>
          <w:szCs w:val="32"/>
          <w:lang w:val="en-GB"/>
        </w:rPr>
        <w:t>.1</w:t>
      </w:r>
      <w:r>
        <w:rPr>
          <w:rFonts w:hint="eastAsia" w:ascii="宋体" w:hAnsi="宋体" w:cs="宋体"/>
          <w:szCs w:val="32"/>
          <w:lang w:val="en-GB" w:eastAsia="zh-CN"/>
        </w:rPr>
        <w:t>供应商</w:t>
      </w:r>
      <w:r>
        <w:rPr>
          <w:rFonts w:hint="eastAsia" w:ascii="宋体" w:hAnsi="宋体" w:cs="宋体"/>
          <w:szCs w:val="32"/>
          <w:lang w:val="en-GB"/>
        </w:rPr>
        <w:t>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0" w:firstLineChars="200"/>
        <w:rPr>
          <w:rFonts w:ascii="宋体" w:hAnsi="宋体" w:cs="宋体"/>
          <w:szCs w:val="32"/>
          <w:lang w:val="en-GB"/>
        </w:rPr>
      </w:pPr>
      <w:r>
        <w:rPr>
          <w:rFonts w:hint="eastAsia" w:ascii="宋体" w:hAnsi="宋体" w:cs="宋体"/>
          <w:szCs w:val="32"/>
          <w:lang w:val="en-US" w:eastAsia="zh-CN"/>
        </w:rPr>
        <w:t>5</w:t>
      </w:r>
      <w:r>
        <w:rPr>
          <w:rFonts w:hint="eastAsia" w:ascii="宋体" w:hAnsi="宋体" w:cs="宋体"/>
          <w:szCs w:val="32"/>
          <w:lang w:val="en-GB"/>
        </w:rPr>
        <w:t>.</w:t>
      </w:r>
      <w:r>
        <w:rPr>
          <w:rFonts w:hint="eastAsia" w:ascii="宋体" w:hAnsi="宋体" w:cs="宋体"/>
          <w:szCs w:val="32"/>
        </w:rPr>
        <w:t>2</w:t>
      </w:r>
      <w:r>
        <w:rPr>
          <w:rFonts w:hint="eastAsia" w:ascii="宋体" w:hAnsi="宋体" w:cs="宋体"/>
          <w:szCs w:val="32"/>
          <w:lang w:val="en-GB"/>
        </w:rPr>
        <w:t>投标截止时间后，投标供应商不得撤回、修改投标文件。</w:t>
      </w:r>
    </w:p>
    <w:p>
      <w:pPr>
        <w:spacing w:line="360" w:lineRule="auto"/>
        <w:ind w:firstLine="420" w:firstLineChars="200"/>
        <w:rPr>
          <w:rFonts w:ascii="宋体" w:hAnsi="宋体" w:cs="宋体"/>
          <w:szCs w:val="32"/>
          <w:lang w:val="en-GB"/>
        </w:rPr>
      </w:pPr>
      <w:r>
        <w:rPr>
          <w:rFonts w:hint="eastAsia" w:ascii="宋体" w:hAnsi="宋体" w:cs="宋体"/>
          <w:szCs w:val="32"/>
          <w:lang w:val="en-US" w:eastAsia="zh-CN"/>
        </w:rPr>
        <w:t>5</w:t>
      </w:r>
      <w:r>
        <w:rPr>
          <w:rFonts w:hint="eastAsia" w:ascii="宋体" w:hAnsi="宋体" w:cs="宋体"/>
          <w:szCs w:val="32"/>
        </w:rPr>
        <w:t>.3</w:t>
      </w:r>
      <w:r>
        <w:rPr>
          <w:rFonts w:hint="eastAsia" w:ascii="宋体" w:hAnsi="宋体" w:cs="宋体"/>
          <w:szCs w:val="32"/>
          <w:lang w:val="en-GB"/>
        </w:rPr>
        <w:t>在开标后规定的投标有效期内，</w:t>
      </w:r>
      <w:r>
        <w:rPr>
          <w:rFonts w:hint="eastAsia" w:ascii="宋体" w:hAnsi="宋体" w:cs="宋体"/>
          <w:szCs w:val="32"/>
          <w:lang w:val="en-GB" w:eastAsia="zh-CN"/>
        </w:rPr>
        <w:t>供应商</w:t>
      </w:r>
      <w:r>
        <w:rPr>
          <w:rFonts w:hint="eastAsia" w:ascii="宋体" w:hAnsi="宋体" w:cs="宋体"/>
          <w:szCs w:val="32"/>
          <w:lang w:val="en-GB"/>
        </w:rPr>
        <w:t>不能撤销投标文件。</w:t>
      </w:r>
    </w:p>
    <w:p>
      <w:pPr>
        <w:spacing w:line="360" w:lineRule="auto"/>
        <w:ind w:firstLine="211" w:firstLineChars="100"/>
        <w:rPr>
          <w:rFonts w:ascii="宋体" w:hAnsi="宋体" w:cs="宋体"/>
          <w:b/>
          <w:bCs/>
          <w:szCs w:val="32"/>
        </w:rPr>
      </w:pPr>
      <w:r>
        <w:rPr>
          <w:rFonts w:hint="eastAsia" w:ascii="宋体" w:hAnsi="宋体" w:cs="宋体"/>
          <w:b/>
          <w:bCs/>
          <w:szCs w:val="32"/>
        </w:rPr>
        <w:t>（四）投标文件的有效期</w:t>
      </w:r>
    </w:p>
    <w:p>
      <w:pPr>
        <w:spacing w:line="360" w:lineRule="auto"/>
        <w:ind w:firstLine="420" w:firstLineChars="200"/>
        <w:rPr>
          <w:rFonts w:ascii="宋体" w:hAnsi="宋体" w:cs="宋体"/>
          <w:szCs w:val="32"/>
          <w:lang w:val="en-GB"/>
        </w:rPr>
      </w:pPr>
      <w:r>
        <w:rPr>
          <w:rFonts w:hint="eastAsia" w:ascii="宋体" w:hAnsi="宋体" w:cs="宋体"/>
          <w:szCs w:val="32"/>
        </w:rPr>
        <w:t>1.</w:t>
      </w:r>
      <w:r>
        <w:rPr>
          <w:rFonts w:hint="eastAsia" w:ascii="宋体" w:hAnsi="宋体" w:cs="宋体"/>
          <w:szCs w:val="32"/>
          <w:lang w:val="en-GB"/>
        </w:rPr>
        <w:t>自投标截止日起90天投标文件应保持有效。有效期不足的投标文件将被拒绝。</w:t>
      </w:r>
    </w:p>
    <w:p>
      <w:pPr>
        <w:spacing w:line="360" w:lineRule="auto"/>
        <w:ind w:firstLine="420" w:firstLineChars="200"/>
        <w:rPr>
          <w:rFonts w:ascii="宋体" w:hAnsi="宋体" w:cs="宋体"/>
          <w:szCs w:val="32"/>
          <w:lang w:val="en-GB"/>
        </w:rPr>
      </w:pPr>
      <w:r>
        <w:rPr>
          <w:rFonts w:hint="eastAsia" w:ascii="宋体" w:hAnsi="宋体" w:cs="宋体"/>
          <w:szCs w:val="32"/>
        </w:rPr>
        <w:t>2.</w:t>
      </w:r>
      <w:r>
        <w:rPr>
          <w:rFonts w:hint="eastAsia" w:ascii="宋体" w:hAnsi="宋体" w:cs="宋体"/>
          <w:szCs w:val="32"/>
          <w:lang w:val="en-GB"/>
        </w:rPr>
        <w:t>在特殊情况下，采购人可与</w:t>
      </w:r>
      <w:r>
        <w:rPr>
          <w:rFonts w:hint="eastAsia" w:ascii="宋体" w:hAnsi="宋体" w:cs="宋体"/>
          <w:szCs w:val="32"/>
          <w:lang w:val="en-GB" w:eastAsia="zh-CN"/>
        </w:rPr>
        <w:t>供应商</w:t>
      </w:r>
      <w:r>
        <w:rPr>
          <w:rFonts w:hint="eastAsia" w:ascii="宋体" w:hAnsi="宋体" w:cs="宋体"/>
          <w:szCs w:val="32"/>
          <w:lang w:val="en-GB"/>
        </w:rPr>
        <w:t>协商延长投标文件的有效期，这种要求和答复均以书面形式进行。</w:t>
      </w:r>
    </w:p>
    <w:p>
      <w:pPr>
        <w:spacing w:line="360" w:lineRule="auto"/>
        <w:ind w:firstLine="420" w:firstLineChars="200"/>
        <w:rPr>
          <w:rFonts w:ascii="宋体" w:hAnsi="宋体" w:cs="宋体"/>
          <w:szCs w:val="32"/>
        </w:rPr>
      </w:pPr>
      <w:r>
        <w:rPr>
          <w:rFonts w:hint="eastAsia" w:ascii="宋体" w:hAnsi="宋体" w:cs="宋体"/>
          <w:szCs w:val="32"/>
        </w:rPr>
        <w:t>3.中标人的投标文件自开标之日起至合同履行完毕均应保持有效。。</w:t>
      </w:r>
    </w:p>
    <w:p>
      <w:pPr>
        <w:spacing w:line="360" w:lineRule="auto"/>
        <w:rPr>
          <w:rFonts w:ascii="宋体" w:hAnsi="宋体" w:cs="宋体"/>
          <w:b/>
          <w:bCs/>
          <w:szCs w:val="32"/>
        </w:rPr>
      </w:pPr>
      <w:r>
        <w:rPr>
          <w:rFonts w:hint="eastAsia" w:ascii="宋体" w:hAnsi="宋体" w:cs="宋体"/>
          <w:b/>
          <w:bCs/>
          <w:szCs w:val="32"/>
        </w:rPr>
        <w:t>四、开标</w:t>
      </w:r>
    </w:p>
    <w:p>
      <w:pPr>
        <w:spacing w:line="360" w:lineRule="auto"/>
        <w:ind w:firstLine="211" w:firstLineChars="100"/>
        <w:rPr>
          <w:rFonts w:ascii="宋体" w:hAnsi="宋体" w:cs="宋体"/>
          <w:b/>
          <w:bCs/>
          <w:szCs w:val="32"/>
        </w:rPr>
      </w:pPr>
      <w:r>
        <w:rPr>
          <w:rFonts w:hint="eastAsia" w:ascii="宋体" w:hAnsi="宋体" w:cs="宋体"/>
          <w:b/>
          <w:bCs/>
          <w:szCs w:val="32"/>
        </w:rPr>
        <w:t>（一）开标事项</w:t>
      </w:r>
    </w:p>
    <w:p>
      <w:pPr>
        <w:spacing w:line="360" w:lineRule="auto"/>
        <w:ind w:firstLine="420" w:firstLineChars="200"/>
        <w:rPr>
          <w:rFonts w:ascii="宋体" w:hAnsi="宋体" w:cs="宋体"/>
          <w:szCs w:val="32"/>
        </w:rPr>
      </w:pPr>
      <w:r>
        <w:rPr>
          <w:rFonts w:hint="eastAsia" w:ascii="宋体" w:hAnsi="宋体" w:cs="宋体"/>
          <w:szCs w:val="32"/>
        </w:rPr>
        <w:t>采购组织机构在“招标公告”规定的时间和地点公开开标，本次招标采用先评审商务资格和技术服务方案，后公开并评审报价的办法实施。</w:t>
      </w:r>
    </w:p>
    <w:p>
      <w:pPr>
        <w:spacing w:line="360" w:lineRule="auto"/>
        <w:ind w:firstLine="420" w:firstLineChars="200"/>
        <w:rPr>
          <w:rFonts w:ascii="宋体" w:hAnsi="宋体" w:cs="宋体"/>
          <w:szCs w:val="32"/>
        </w:rPr>
      </w:pPr>
      <w:r>
        <w:rPr>
          <w:rFonts w:hint="eastAsia" w:ascii="宋体" w:hAnsi="宋体" w:cs="宋体"/>
          <w:szCs w:val="32"/>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宋体" w:hAnsi="宋体" w:cs="宋体"/>
          <w:szCs w:val="32"/>
        </w:rPr>
      </w:pPr>
      <w:r>
        <w:rPr>
          <w:rFonts w:hint="eastAsia" w:ascii="宋体" w:hAnsi="宋体" w:cs="宋体"/>
          <w:szCs w:val="32"/>
        </w:rPr>
        <w:t xml:space="preserve">（1）电子交易平台发生故障而无法登录访问的； </w:t>
      </w:r>
    </w:p>
    <w:p>
      <w:pPr>
        <w:spacing w:line="360" w:lineRule="auto"/>
        <w:ind w:firstLine="420" w:firstLineChars="200"/>
        <w:rPr>
          <w:rFonts w:ascii="宋体" w:hAnsi="宋体" w:cs="宋体"/>
          <w:szCs w:val="32"/>
        </w:rPr>
      </w:pPr>
      <w:r>
        <w:rPr>
          <w:rFonts w:hint="eastAsia" w:ascii="宋体" w:hAnsi="宋体" w:cs="宋体"/>
          <w:szCs w:val="32"/>
        </w:rPr>
        <w:t>（2）电子交易平台应用或数据库出现错误，不能进行正常操作的；</w:t>
      </w:r>
    </w:p>
    <w:p>
      <w:pPr>
        <w:spacing w:line="360" w:lineRule="auto"/>
        <w:ind w:firstLine="420" w:firstLineChars="200"/>
        <w:rPr>
          <w:rFonts w:ascii="宋体" w:hAnsi="宋体" w:cs="宋体"/>
          <w:szCs w:val="32"/>
        </w:rPr>
      </w:pPr>
      <w:r>
        <w:rPr>
          <w:rFonts w:hint="eastAsia" w:ascii="宋体" w:hAnsi="宋体" w:cs="宋体"/>
          <w:szCs w:val="32"/>
        </w:rPr>
        <w:t>（3）电子交易平台发现严重安全漏洞，有潜在泄密危险的；</w:t>
      </w:r>
    </w:p>
    <w:p>
      <w:pPr>
        <w:spacing w:line="360" w:lineRule="auto"/>
        <w:ind w:firstLine="420" w:firstLineChars="200"/>
        <w:rPr>
          <w:rFonts w:ascii="宋体" w:hAnsi="宋体" w:cs="宋体"/>
          <w:szCs w:val="32"/>
        </w:rPr>
      </w:pPr>
      <w:r>
        <w:rPr>
          <w:rFonts w:hint="eastAsia" w:ascii="宋体" w:hAnsi="宋体" w:cs="宋体"/>
          <w:szCs w:val="32"/>
        </w:rPr>
        <w:t xml:space="preserve">（4）病毒发作导致不能进行正常操作的； </w:t>
      </w:r>
    </w:p>
    <w:p>
      <w:pPr>
        <w:spacing w:line="360" w:lineRule="auto"/>
        <w:ind w:firstLine="420" w:firstLineChars="200"/>
        <w:rPr>
          <w:rFonts w:ascii="宋体" w:hAnsi="宋体" w:cs="宋体"/>
          <w:szCs w:val="32"/>
        </w:rPr>
      </w:pPr>
      <w:r>
        <w:rPr>
          <w:rFonts w:hint="eastAsia" w:ascii="宋体" w:hAnsi="宋体" w:cs="宋体"/>
          <w:szCs w:val="32"/>
        </w:rPr>
        <w:t>（5）其他无法保证电子交易的公平、公正和安全的情况。</w:t>
      </w:r>
    </w:p>
    <w:p>
      <w:pPr>
        <w:spacing w:line="360" w:lineRule="auto"/>
        <w:ind w:firstLine="420" w:firstLineChars="200"/>
        <w:rPr>
          <w:rFonts w:ascii="宋体" w:hAnsi="宋体" w:cs="宋体"/>
          <w:szCs w:val="32"/>
        </w:rPr>
      </w:pPr>
      <w:r>
        <w:rPr>
          <w:rFonts w:hint="eastAsia" w:ascii="宋体" w:hAnsi="宋体" w:cs="宋体"/>
          <w:szCs w:val="32"/>
        </w:rPr>
        <w:t>出现前款规定情形，不影响采购公平、公正性的，采购组织机构可以待上述情形消除后继续组织电子交易活动；影响或可能影响采购公平、公正性的，应当重新采购。</w:t>
      </w:r>
    </w:p>
    <w:p>
      <w:pPr>
        <w:spacing w:line="360" w:lineRule="auto"/>
        <w:ind w:firstLine="211" w:firstLineChars="100"/>
        <w:rPr>
          <w:rFonts w:ascii="宋体" w:hAnsi="宋体" w:cs="宋体"/>
          <w:b/>
          <w:bCs/>
          <w:szCs w:val="32"/>
        </w:rPr>
      </w:pPr>
      <w:r>
        <w:rPr>
          <w:rFonts w:hint="eastAsia" w:ascii="宋体" w:hAnsi="宋体" w:cs="宋体"/>
          <w:b/>
          <w:bCs/>
          <w:szCs w:val="32"/>
        </w:rPr>
        <w:t>（二） 开标程序</w:t>
      </w:r>
    </w:p>
    <w:p>
      <w:pPr>
        <w:spacing w:line="360" w:lineRule="auto"/>
        <w:ind w:firstLine="420" w:firstLineChars="200"/>
        <w:rPr>
          <w:rFonts w:ascii="宋体" w:hAnsi="宋体" w:cs="宋体"/>
          <w:szCs w:val="32"/>
        </w:rPr>
      </w:pPr>
      <w:r>
        <w:rPr>
          <w:rFonts w:hint="eastAsia" w:ascii="宋体" w:hAnsi="宋体" w:cs="宋体"/>
          <w:szCs w:val="32"/>
        </w:rPr>
        <w:t>1.开标会由招标项目负责人主持，主持人宣布开标会议开始；</w:t>
      </w:r>
    </w:p>
    <w:p>
      <w:pPr>
        <w:spacing w:line="360" w:lineRule="auto"/>
        <w:ind w:firstLine="420" w:firstLineChars="200"/>
        <w:rPr>
          <w:rFonts w:ascii="宋体" w:hAnsi="宋体" w:cs="宋体"/>
          <w:szCs w:val="32"/>
        </w:rPr>
      </w:pPr>
      <w:r>
        <w:rPr>
          <w:rFonts w:hint="eastAsia" w:ascii="宋体" w:hAnsi="宋体" w:cs="宋体"/>
          <w:szCs w:val="32"/>
        </w:rPr>
        <w:t xml:space="preserve">2.主持人介绍参加开标会的人员名单； </w:t>
      </w:r>
    </w:p>
    <w:p>
      <w:pPr>
        <w:spacing w:line="360" w:lineRule="auto"/>
        <w:ind w:firstLine="420" w:firstLineChars="200"/>
        <w:rPr>
          <w:rFonts w:ascii="宋体" w:hAnsi="宋体" w:cs="宋体"/>
          <w:szCs w:val="32"/>
        </w:rPr>
      </w:pPr>
      <w:r>
        <w:rPr>
          <w:rFonts w:hint="eastAsia" w:ascii="宋体" w:hAnsi="宋体" w:cs="宋体"/>
          <w:szCs w:val="32"/>
        </w:rPr>
        <w:t>3.主持人宣布评标期间的有关事项，告知应当回避的情形，提请有关人员回避；对</w:t>
      </w:r>
      <w:r>
        <w:rPr>
          <w:rFonts w:hint="eastAsia" w:ascii="宋体" w:hAnsi="宋体" w:cs="宋体"/>
          <w:szCs w:val="32"/>
          <w:lang w:eastAsia="zh-CN"/>
        </w:rPr>
        <w:t>供应商</w:t>
      </w:r>
      <w:r>
        <w:rPr>
          <w:rFonts w:hint="eastAsia" w:ascii="宋体" w:hAnsi="宋体" w:cs="宋体"/>
          <w:szCs w:val="32"/>
        </w:rPr>
        <w:t>进行签到验证。</w:t>
      </w:r>
    </w:p>
    <w:p>
      <w:pPr>
        <w:spacing w:line="360" w:lineRule="auto"/>
        <w:ind w:firstLine="420" w:firstLineChars="200"/>
        <w:rPr>
          <w:rFonts w:ascii="宋体" w:hAnsi="宋体" w:cs="宋体"/>
          <w:szCs w:val="32"/>
        </w:rPr>
      </w:pPr>
      <w:r>
        <w:rPr>
          <w:rFonts w:hint="eastAsia" w:ascii="宋体" w:hAnsi="宋体" w:cs="宋体"/>
          <w:szCs w:val="32"/>
        </w:rPr>
        <w:t>4.向各</w:t>
      </w:r>
      <w:r>
        <w:rPr>
          <w:rFonts w:hint="eastAsia" w:ascii="宋体" w:hAnsi="宋体" w:cs="宋体"/>
          <w:szCs w:val="32"/>
          <w:lang w:eastAsia="zh-CN"/>
        </w:rPr>
        <w:t>供应商</w:t>
      </w:r>
      <w:r>
        <w:rPr>
          <w:rFonts w:hint="eastAsia" w:ascii="宋体" w:hAnsi="宋体" w:cs="宋体"/>
          <w:szCs w:val="32"/>
        </w:rPr>
        <w:t>发出电子加密投标文件【开始解密】通知，由</w:t>
      </w:r>
      <w:r>
        <w:rPr>
          <w:rFonts w:hint="eastAsia" w:ascii="宋体" w:hAnsi="宋体" w:cs="宋体"/>
          <w:szCs w:val="32"/>
          <w:lang w:eastAsia="zh-CN"/>
        </w:rPr>
        <w:t>供应商</w:t>
      </w:r>
      <w:r>
        <w:rPr>
          <w:rFonts w:hint="eastAsia" w:ascii="宋体" w:hAnsi="宋体" w:cs="宋体"/>
          <w:szCs w:val="32"/>
        </w:rPr>
        <w:t>按招标文件规定的时间内自行进行投标文件解密。投标文件的制作和解密应使用同一个数字证书，否则将可能解密失败。</w:t>
      </w:r>
    </w:p>
    <w:p>
      <w:pPr>
        <w:spacing w:line="360" w:lineRule="auto"/>
        <w:ind w:firstLine="420" w:firstLineChars="200"/>
        <w:rPr>
          <w:rFonts w:ascii="宋体" w:hAnsi="宋体" w:cs="宋体"/>
          <w:szCs w:val="32"/>
        </w:rPr>
      </w:pPr>
      <w:r>
        <w:rPr>
          <w:rFonts w:hint="eastAsia" w:ascii="宋体" w:hAnsi="宋体" w:cs="宋体"/>
          <w:szCs w:val="32"/>
        </w:rPr>
        <w:t>5.采购组织机构点击【开启标书信息】，开启标书成功后进入开标流程。</w:t>
      </w:r>
    </w:p>
    <w:p>
      <w:pPr>
        <w:spacing w:line="360" w:lineRule="auto"/>
        <w:ind w:firstLine="420" w:firstLineChars="200"/>
        <w:rPr>
          <w:rFonts w:ascii="宋体" w:hAnsi="宋体" w:cs="宋体"/>
          <w:szCs w:val="32"/>
        </w:rPr>
      </w:pPr>
      <w:r>
        <w:rPr>
          <w:rFonts w:hint="eastAsia" w:ascii="宋体" w:hAnsi="宋体" w:cs="宋体"/>
          <w:szCs w:val="32"/>
        </w:rPr>
        <w:t>6.资格及商务技术文件评审；</w:t>
      </w:r>
    </w:p>
    <w:p>
      <w:pPr>
        <w:spacing w:line="360" w:lineRule="auto"/>
        <w:ind w:firstLine="420" w:firstLineChars="200"/>
        <w:rPr>
          <w:rFonts w:ascii="宋体" w:hAnsi="宋体" w:cs="宋体"/>
          <w:szCs w:val="32"/>
        </w:rPr>
      </w:pPr>
      <w:r>
        <w:rPr>
          <w:rFonts w:hint="eastAsia" w:ascii="宋体" w:hAnsi="宋体" w:cs="宋体"/>
          <w:szCs w:val="32"/>
        </w:rPr>
        <w:t>7.由主持人公布无效投标的</w:t>
      </w:r>
      <w:r>
        <w:rPr>
          <w:rFonts w:hint="eastAsia" w:ascii="宋体" w:hAnsi="宋体" w:cs="宋体"/>
          <w:szCs w:val="32"/>
          <w:lang w:eastAsia="zh-CN"/>
        </w:rPr>
        <w:t>供应商</w:t>
      </w:r>
      <w:r>
        <w:rPr>
          <w:rFonts w:hint="eastAsia" w:ascii="宋体" w:hAnsi="宋体" w:cs="宋体"/>
          <w:szCs w:val="32"/>
        </w:rPr>
        <w:t>名单、投标无效的原因及其他有效投标的评分汇总分；</w:t>
      </w:r>
    </w:p>
    <w:p>
      <w:pPr>
        <w:spacing w:line="360" w:lineRule="auto"/>
        <w:ind w:firstLine="420" w:firstLineChars="200"/>
        <w:rPr>
          <w:rFonts w:ascii="宋体" w:hAnsi="宋体" w:cs="宋体"/>
          <w:szCs w:val="32"/>
        </w:rPr>
      </w:pPr>
      <w:r>
        <w:rPr>
          <w:rFonts w:hint="eastAsia" w:ascii="宋体" w:hAnsi="宋体" w:cs="宋体"/>
          <w:szCs w:val="32"/>
        </w:rPr>
        <w:t>8.开启报价响应文件：采购代理机构成功开启报价响应文件后，方可查看各供应商报价情况。</w:t>
      </w:r>
    </w:p>
    <w:p>
      <w:pPr>
        <w:spacing w:line="360" w:lineRule="auto"/>
        <w:ind w:firstLine="420" w:firstLineChars="200"/>
        <w:rPr>
          <w:rFonts w:ascii="宋体" w:hAnsi="宋体" w:cs="宋体"/>
          <w:szCs w:val="32"/>
        </w:rPr>
      </w:pPr>
      <w:r>
        <w:rPr>
          <w:rFonts w:hint="eastAsia" w:ascii="宋体" w:hAnsi="宋体" w:cs="宋体"/>
          <w:szCs w:val="32"/>
        </w:rPr>
        <w:t>9.报价文件评审；</w:t>
      </w:r>
    </w:p>
    <w:p>
      <w:pPr>
        <w:spacing w:line="360" w:lineRule="auto"/>
        <w:ind w:firstLine="420" w:firstLineChars="200"/>
        <w:rPr>
          <w:rFonts w:ascii="宋体" w:hAnsi="宋体" w:cs="宋体"/>
          <w:szCs w:val="32"/>
        </w:rPr>
      </w:pPr>
      <w:r>
        <w:rPr>
          <w:rFonts w:hint="eastAsia" w:ascii="宋体" w:hAnsi="宋体" w:cs="宋体"/>
          <w:szCs w:val="32"/>
        </w:rPr>
        <w:t>10.由主持人公布无效投标的</w:t>
      </w:r>
      <w:r>
        <w:rPr>
          <w:rFonts w:hint="eastAsia" w:ascii="宋体" w:hAnsi="宋体" w:cs="宋体"/>
          <w:szCs w:val="32"/>
          <w:lang w:eastAsia="zh-CN"/>
        </w:rPr>
        <w:t>供应商</w:t>
      </w:r>
      <w:r>
        <w:rPr>
          <w:rFonts w:hint="eastAsia" w:ascii="宋体" w:hAnsi="宋体" w:cs="宋体"/>
          <w:szCs w:val="32"/>
        </w:rPr>
        <w:t>名单、投标无效的原因及其他有效投标的报价文件得分；</w:t>
      </w:r>
    </w:p>
    <w:p>
      <w:pPr>
        <w:spacing w:line="360" w:lineRule="auto"/>
        <w:ind w:firstLine="420" w:firstLineChars="200"/>
        <w:rPr>
          <w:rFonts w:ascii="宋体" w:hAnsi="宋体" w:cs="宋体"/>
          <w:szCs w:val="32"/>
        </w:rPr>
      </w:pPr>
      <w:r>
        <w:rPr>
          <w:rFonts w:hint="eastAsia" w:ascii="宋体" w:hAnsi="宋体" w:cs="宋体"/>
          <w:szCs w:val="32"/>
        </w:rPr>
        <w:t>11.宣布综合得分结果及中标候选人名单；</w:t>
      </w:r>
    </w:p>
    <w:p>
      <w:pPr>
        <w:spacing w:line="360" w:lineRule="auto"/>
        <w:ind w:firstLine="420" w:firstLineChars="200"/>
        <w:rPr>
          <w:rFonts w:ascii="宋体" w:hAnsi="宋体" w:cs="宋体"/>
          <w:szCs w:val="32"/>
        </w:rPr>
      </w:pPr>
      <w:r>
        <w:rPr>
          <w:rFonts w:hint="eastAsia" w:ascii="宋体" w:hAnsi="宋体" w:cs="宋体"/>
          <w:szCs w:val="32"/>
        </w:rPr>
        <w:t>12.开标会议结束。</w:t>
      </w:r>
    </w:p>
    <w:p>
      <w:pPr>
        <w:spacing w:line="360" w:lineRule="auto"/>
        <w:rPr>
          <w:rFonts w:ascii="宋体" w:hAnsi="宋体" w:cs="宋体"/>
          <w:b/>
          <w:bCs/>
          <w:szCs w:val="32"/>
        </w:rPr>
      </w:pPr>
      <w:r>
        <w:rPr>
          <w:rFonts w:hint="eastAsia" w:ascii="宋体" w:hAnsi="宋体" w:cs="宋体"/>
          <w:b/>
          <w:bCs/>
          <w:szCs w:val="32"/>
        </w:rPr>
        <w:t>五、评标</w:t>
      </w:r>
    </w:p>
    <w:p>
      <w:pPr>
        <w:spacing w:line="360" w:lineRule="auto"/>
        <w:ind w:firstLine="420" w:firstLineChars="200"/>
        <w:rPr>
          <w:rFonts w:ascii="宋体" w:hAnsi="宋体" w:cs="宋体"/>
          <w:szCs w:val="32"/>
        </w:rPr>
      </w:pPr>
      <w:r>
        <w:rPr>
          <w:rFonts w:hint="eastAsia" w:ascii="宋体" w:hAnsi="宋体" w:cs="宋体"/>
          <w:szCs w:val="32"/>
        </w:rPr>
        <w:t>本项目采用不公开方式评标，评标的依据为招标文件和投标文件。本项目采用电子评审方法，若因政采云平台原因无法读取或电子开评标无法正常进行，采购代理机构将开启</w:t>
      </w:r>
      <w:r>
        <w:rPr>
          <w:rFonts w:hint="eastAsia" w:ascii="宋体" w:hAnsi="宋体" w:cs="宋体"/>
          <w:szCs w:val="32"/>
          <w:lang w:eastAsia="zh-CN"/>
        </w:rPr>
        <w:t>供应商</w:t>
      </w:r>
      <w:r>
        <w:rPr>
          <w:rFonts w:hint="eastAsia" w:ascii="宋体" w:hAnsi="宋体" w:cs="宋体"/>
          <w:szCs w:val="32"/>
        </w:rPr>
        <w:t>递交的</w:t>
      </w:r>
      <w:r>
        <w:rPr>
          <w:rFonts w:hint="eastAsia" w:ascii="宋体" w:hAnsi="宋体" w:cs="宋体"/>
          <w:szCs w:val="32"/>
          <w:lang w:val="en-US" w:eastAsia="zh-CN"/>
        </w:rPr>
        <w:t>电子</w:t>
      </w:r>
      <w:r>
        <w:rPr>
          <w:rFonts w:hint="eastAsia" w:ascii="宋体" w:hAnsi="宋体" w:cs="宋体"/>
          <w:szCs w:val="32"/>
        </w:rPr>
        <w:t>备份投标文件，以完成开、评标，电子投标文件自动失效。</w:t>
      </w:r>
    </w:p>
    <w:p>
      <w:pPr>
        <w:spacing w:line="360" w:lineRule="auto"/>
        <w:ind w:firstLine="211" w:firstLineChars="100"/>
        <w:rPr>
          <w:rFonts w:ascii="宋体" w:hAnsi="宋体" w:cs="宋体"/>
          <w:b/>
          <w:bCs/>
          <w:szCs w:val="32"/>
        </w:rPr>
      </w:pPr>
      <w:r>
        <w:rPr>
          <w:rFonts w:hint="eastAsia" w:ascii="宋体" w:hAnsi="宋体" w:cs="宋体"/>
          <w:b/>
          <w:bCs/>
          <w:szCs w:val="32"/>
        </w:rPr>
        <w:t>（一）组建评标委员会</w:t>
      </w:r>
    </w:p>
    <w:p>
      <w:pPr>
        <w:spacing w:line="360" w:lineRule="auto"/>
        <w:ind w:firstLine="420" w:firstLineChars="200"/>
        <w:rPr>
          <w:rFonts w:ascii="宋体" w:hAnsi="宋体" w:cs="宋体"/>
          <w:szCs w:val="32"/>
        </w:rPr>
      </w:pPr>
      <w:r>
        <w:rPr>
          <w:rFonts w:hint="eastAsia" w:ascii="宋体" w:hAnsi="宋体" w:cs="宋体"/>
          <w:szCs w:val="32"/>
        </w:rPr>
        <w:t>评标委员会由采购人代表和评审专家组成，成员人数为5人以上单数，其中评审专家不得少于成员总数的三分之二。</w:t>
      </w:r>
    </w:p>
    <w:p>
      <w:pPr>
        <w:spacing w:line="360" w:lineRule="auto"/>
        <w:ind w:firstLine="211" w:firstLineChars="100"/>
        <w:rPr>
          <w:rFonts w:ascii="宋体" w:hAnsi="宋体" w:cs="宋体"/>
          <w:b/>
          <w:bCs/>
          <w:szCs w:val="32"/>
        </w:rPr>
      </w:pPr>
      <w:r>
        <w:rPr>
          <w:rFonts w:hint="eastAsia" w:ascii="宋体" w:hAnsi="宋体" w:cs="宋体"/>
          <w:b/>
          <w:bCs/>
          <w:szCs w:val="32"/>
        </w:rPr>
        <w:t>（二）评标程序</w:t>
      </w:r>
    </w:p>
    <w:p>
      <w:pPr>
        <w:spacing w:line="360" w:lineRule="auto"/>
        <w:ind w:firstLine="422" w:firstLineChars="200"/>
        <w:rPr>
          <w:rFonts w:ascii="宋体" w:hAnsi="宋体" w:cs="宋体"/>
          <w:b/>
          <w:bCs/>
          <w:szCs w:val="32"/>
        </w:rPr>
      </w:pPr>
      <w:r>
        <w:rPr>
          <w:rFonts w:hint="eastAsia" w:ascii="宋体" w:hAnsi="宋体" w:cs="宋体"/>
          <w:b/>
          <w:bCs/>
          <w:szCs w:val="32"/>
        </w:rPr>
        <w:t>1.资格审查</w:t>
      </w:r>
    </w:p>
    <w:p>
      <w:pPr>
        <w:spacing w:line="360" w:lineRule="auto"/>
        <w:ind w:firstLine="420" w:firstLineChars="200"/>
        <w:rPr>
          <w:rFonts w:ascii="宋体" w:hAnsi="宋体" w:cs="宋体"/>
          <w:szCs w:val="32"/>
        </w:rPr>
      </w:pPr>
      <w:r>
        <w:rPr>
          <w:rFonts w:hint="eastAsia" w:ascii="宋体" w:hAnsi="宋体" w:cs="宋体"/>
          <w:szCs w:val="32"/>
        </w:rPr>
        <w:t>公开招标采购项目开标结束后，采购人或者采购组织机构应当依法对</w:t>
      </w:r>
      <w:r>
        <w:rPr>
          <w:rFonts w:hint="eastAsia" w:ascii="宋体" w:hAnsi="宋体" w:cs="宋体"/>
          <w:szCs w:val="32"/>
          <w:lang w:eastAsia="zh-CN"/>
        </w:rPr>
        <w:t>供应商</w:t>
      </w:r>
      <w:r>
        <w:rPr>
          <w:rFonts w:hint="eastAsia" w:ascii="宋体" w:hAnsi="宋体" w:cs="宋体"/>
          <w:szCs w:val="32"/>
        </w:rPr>
        <w:t>的资格进行审查，对审查发现无效的进行必要的询标，结束后公布无效投标的</w:t>
      </w:r>
      <w:r>
        <w:rPr>
          <w:rFonts w:hint="eastAsia" w:ascii="宋体" w:hAnsi="宋体" w:cs="宋体"/>
          <w:szCs w:val="32"/>
          <w:lang w:eastAsia="zh-CN"/>
        </w:rPr>
        <w:t>供应商</w:t>
      </w:r>
      <w:r>
        <w:rPr>
          <w:rFonts w:hint="eastAsia" w:ascii="宋体" w:hAnsi="宋体" w:cs="宋体"/>
          <w:szCs w:val="32"/>
        </w:rPr>
        <w:t>名单、投标无效的原因。</w:t>
      </w:r>
    </w:p>
    <w:p>
      <w:pPr>
        <w:spacing w:line="360" w:lineRule="auto"/>
        <w:ind w:firstLine="422" w:firstLineChars="200"/>
        <w:rPr>
          <w:rFonts w:ascii="宋体" w:hAnsi="宋体" w:cs="宋体"/>
          <w:b/>
          <w:bCs/>
          <w:szCs w:val="32"/>
        </w:rPr>
      </w:pPr>
      <w:r>
        <w:rPr>
          <w:rFonts w:hint="eastAsia" w:ascii="宋体" w:hAnsi="宋体" w:cs="宋体"/>
          <w:b/>
          <w:bCs/>
          <w:szCs w:val="32"/>
        </w:rPr>
        <w:t>2.符合性审查</w:t>
      </w:r>
    </w:p>
    <w:p>
      <w:pPr>
        <w:spacing w:line="360" w:lineRule="auto"/>
        <w:ind w:firstLine="420" w:firstLineChars="200"/>
        <w:rPr>
          <w:rFonts w:ascii="宋体" w:hAnsi="宋体" w:cs="宋体"/>
          <w:szCs w:val="32"/>
        </w:rPr>
      </w:pPr>
      <w:r>
        <w:rPr>
          <w:rFonts w:hint="eastAsia" w:ascii="宋体" w:hAnsi="宋体" w:cs="宋体"/>
          <w:szCs w:val="32"/>
        </w:rPr>
        <w:t>评标委员会应当对符合资格的</w:t>
      </w:r>
      <w:r>
        <w:rPr>
          <w:rFonts w:hint="eastAsia" w:ascii="宋体" w:hAnsi="宋体" w:cs="宋体"/>
          <w:szCs w:val="32"/>
          <w:lang w:eastAsia="zh-CN"/>
        </w:rPr>
        <w:t>供应商</w:t>
      </w:r>
      <w:r>
        <w:rPr>
          <w:rFonts w:hint="eastAsia" w:ascii="宋体" w:hAnsi="宋体" w:cs="宋体"/>
          <w:szCs w:val="32"/>
        </w:rPr>
        <w:t>的投标文件进行符合性审查，以确定其是否满足招标文件的实质性要求，对审查发现无效的进行必要的询标，结束后公布无效投标的</w:t>
      </w:r>
      <w:r>
        <w:rPr>
          <w:rFonts w:hint="eastAsia" w:ascii="宋体" w:hAnsi="宋体" w:cs="宋体"/>
          <w:szCs w:val="32"/>
          <w:lang w:eastAsia="zh-CN"/>
        </w:rPr>
        <w:t>供应商</w:t>
      </w:r>
      <w:r>
        <w:rPr>
          <w:rFonts w:hint="eastAsia" w:ascii="宋体" w:hAnsi="宋体" w:cs="宋体"/>
          <w:szCs w:val="32"/>
        </w:rPr>
        <w:t>名单、投标无效的原因。</w:t>
      </w:r>
    </w:p>
    <w:p>
      <w:pPr>
        <w:spacing w:line="360" w:lineRule="auto"/>
        <w:ind w:firstLine="422" w:firstLineChars="200"/>
        <w:rPr>
          <w:rFonts w:ascii="宋体" w:hAnsi="宋体" w:cs="宋体"/>
          <w:b/>
          <w:bCs/>
          <w:szCs w:val="32"/>
        </w:rPr>
      </w:pPr>
      <w:r>
        <w:rPr>
          <w:rFonts w:hint="eastAsia" w:ascii="宋体" w:hAnsi="宋体" w:cs="宋体"/>
          <w:b/>
          <w:bCs/>
          <w:szCs w:val="32"/>
        </w:rPr>
        <w:t>3.综合比较与评价</w:t>
      </w:r>
    </w:p>
    <w:p>
      <w:pPr>
        <w:spacing w:line="360" w:lineRule="auto"/>
        <w:ind w:firstLine="420" w:firstLineChars="200"/>
        <w:rPr>
          <w:rFonts w:ascii="宋体" w:hAnsi="宋体" w:cs="宋体"/>
          <w:szCs w:val="32"/>
        </w:rPr>
      </w:pPr>
      <w:r>
        <w:rPr>
          <w:rFonts w:hint="eastAsia" w:ascii="宋体" w:hAnsi="宋体" w:cs="宋体"/>
          <w:szCs w:val="32"/>
        </w:rPr>
        <w:t>（1）对于投标文件中含义不明确、同类问题表述不一致或者有明显文字和计算错误的内容，评标委员会应当以书面形式要求</w:t>
      </w:r>
      <w:r>
        <w:rPr>
          <w:rFonts w:hint="eastAsia" w:ascii="宋体" w:hAnsi="宋体" w:cs="宋体"/>
          <w:szCs w:val="32"/>
          <w:lang w:eastAsia="zh-CN"/>
        </w:rPr>
        <w:t>供应商</w:t>
      </w:r>
      <w:r>
        <w:rPr>
          <w:rFonts w:hint="eastAsia" w:ascii="宋体" w:hAnsi="宋体" w:cs="宋体"/>
          <w:szCs w:val="32"/>
        </w:rPr>
        <w:t>作出必要的澄清、说明或者补正。</w:t>
      </w:r>
    </w:p>
    <w:p>
      <w:pPr>
        <w:spacing w:line="360" w:lineRule="auto"/>
        <w:ind w:firstLine="420" w:firstLineChars="200"/>
        <w:rPr>
          <w:rFonts w:ascii="宋体" w:hAnsi="宋体" w:cs="宋体"/>
          <w:szCs w:val="32"/>
        </w:rPr>
      </w:pPr>
      <w:r>
        <w:rPr>
          <w:rFonts w:hint="eastAsia" w:ascii="宋体" w:hAnsi="宋体" w:cs="宋体"/>
          <w:szCs w:val="32"/>
        </w:rPr>
        <w:t>（2）评标委员会应当按照招标文件中规定的评标方法和标准，对符合性审查合格的投标文件进行商务和技术评估，综合比较与评价。</w:t>
      </w:r>
    </w:p>
    <w:p>
      <w:pPr>
        <w:spacing w:line="360" w:lineRule="auto"/>
        <w:ind w:firstLine="420" w:firstLineChars="200"/>
        <w:rPr>
          <w:rFonts w:ascii="宋体" w:hAnsi="宋体" w:cs="宋体"/>
          <w:szCs w:val="32"/>
        </w:rPr>
      </w:pPr>
      <w:r>
        <w:rPr>
          <w:rFonts w:hint="eastAsia" w:ascii="宋体" w:hAnsi="宋体" w:cs="宋体"/>
          <w:szCs w:val="32"/>
        </w:rPr>
        <w:t>（3）评标时，评标委员会各成员应当独立对每个</w:t>
      </w:r>
      <w:r>
        <w:rPr>
          <w:rFonts w:hint="eastAsia" w:ascii="宋体" w:hAnsi="宋体" w:cs="宋体"/>
          <w:szCs w:val="32"/>
          <w:lang w:eastAsia="zh-CN"/>
        </w:rPr>
        <w:t>供应商</w:t>
      </w:r>
      <w:r>
        <w:rPr>
          <w:rFonts w:hint="eastAsia" w:ascii="宋体" w:hAnsi="宋体" w:cs="宋体"/>
          <w:szCs w:val="32"/>
        </w:rPr>
        <w:t>的投标文件进行评价，并汇总每个</w:t>
      </w:r>
      <w:r>
        <w:rPr>
          <w:rFonts w:hint="eastAsia" w:ascii="宋体" w:hAnsi="宋体" w:cs="宋体"/>
          <w:szCs w:val="32"/>
          <w:lang w:eastAsia="zh-CN"/>
        </w:rPr>
        <w:t>供应商</w:t>
      </w:r>
      <w:r>
        <w:rPr>
          <w:rFonts w:hint="eastAsia" w:ascii="宋体" w:hAnsi="宋体" w:cs="宋体"/>
          <w:szCs w:val="32"/>
        </w:rPr>
        <w:t>的得分。</w:t>
      </w:r>
    </w:p>
    <w:p>
      <w:pPr>
        <w:spacing w:line="360" w:lineRule="auto"/>
        <w:ind w:firstLine="422" w:firstLineChars="200"/>
        <w:rPr>
          <w:rFonts w:ascii="宋体" w:hAnsi="宋体" w:cs="宋体"/>
          <w:b/>
          <w:bCs/>
          <w:szCs w:val="32"/>
        </w:rPr>
      </w:pPr>
      <w:r>
        <w:rPr>
          <w:rFonts w:hint="eastAsia" w:ascii="宋体" w:hAnsi="宋体" w:cs="宋体"/>
          <w:b/>
          <w:bCs/>
          <w:szCs w:val="32"/>
        </w:rPr>
        <w:t>4.得分确认及评审报告编写</w:t>
      </w:r>
    </w:p>
    <w:p>
      <w:pPr>
        <w:spacing w:line="360" w:lineRule="auto"/>
        <w:ind w:firstLine="420" w:firstLineChars="200"/>
        <w:rPr>
          <w:rFonts w:ascii="宋体" w:hAnsi="宋体" w:cs="宋体"/>
          <w:szCs w:val="32"/>
        </w:rPr>
      </w:pPr>
      <w:r>
        <w:rPr>
          <w:rFonts w:hint="eastAsia" w:ascii="宋体" w:hAnsi="宋体" w:cs="宋体"/>
          <w:szCs w:val="32"/>
        </w:rPr>
        <w:t>（1）评标委员会对报价文件进行复核，对于系统计算出的价格分及总得分进行确认；</w:t>
      </w:r>
    </w:p>
    <w:p>
      <w:pPr>
        <w:spacing w:line="360" w:lineRule="auto"/>
        <w:ind w:firstLine="420" w:firstLineChars="200"/>
        <w:rPr>
          <w:rFonts w:ascii="宋体" w:hAnsi="宋体" w:cs="宋体"/>
          <w:szCs w:val="32"/>
        </w:rPr>
      </w:pPr>
      <w:r>
        <w:rPr>
          <w:rFonts w:hint="eastAsia" w:ascii="宋体" w:hAnsi="宋体" w:cs="宋体"/>
          <w:szCs w:val="32"/>
        </w:rPr>
        <w:t>（2）评标委员会应当按照招标文件中规定的评标方法和标准，对符合性审查合格的投标文件进行商务和技术评估，综合比较与评价。</w:t>
      </w:r>
    </w:p>
    <w:p>
      <w:pPr>
        <w:spacing w:line="360" w:lineRule="auto"/>
        <w:ind w:firstLine="420" w:firstLineChars="200"/>
        <w:rPr>
          <w:rFonts w:ascii="宋体" w:hAnsi="宋体" w:cs="宋体"/>
          <w:szCs w:val="32"/>
        </w:rPr>
      </w:pPr>
      <w:r>
        <w:rPr>
          <w:rFonts w:hint="eastAsia" w:ascii="宋体" w:hAnsi="宋体" w:cs="宋体"/>
          <w:szCs w:val="32"/>
        </w:rPr>
        <w:t>（3）评标委员会按评标原则及得分情况编写评审报告。</w:t>
      </w:r>
    </w:p>
    <w:p>
      <w:pPr>
        <w:spacing w:line="360" w:lineRule="auto"/>
        <w:ind w:firstLine="422" w:firstLineChars="200"/>
        <w:rPr>
          <w:rFonts w:ascii="宋体" w:hAnsi="宋体" w:cs="宋体"/>
          <w:b/>
          <w:bCs/>
          <w:szCs w:val="32"/>
        </w:rPr>
      </w:pPr>
      <w:r>
        <w:rPr>
          <w:rFonts w:hint="eastAsia" w:ascii="宋体" w:hAnsi="宋体" w:cs="宋体"/>
          <w:b/>
          <w:bCs/>
          <w:szCs w:val="32"/>
        </w:rPr>
        <w:t>5.评价</w:t>
      </w:r>
    </w:p>
    <w:p>
      <w:pPr>
        <w:spacing w:line="360" w:lineRule="auto"/>
        <w:ind w:firstLine="420" w:firstLineChars="200"/>
        <w:rPr>
          <w:rFonts w:ascii="宋体" w:hAnsi="宋体" w:cs="宋体"/>
          <w:szCs w:val="32"/>
        </w:rPr>
      </w:pPr>
      <w:r>
        <w:rPr>
          <w:rFonts w:hint="eastAsia" w:ascii="宋体" w:hAnsi="宋体" w:cs="宋体"/>
          <w:szCs w:val="32"/>
        </w:rPr>
        <w:t>采购组织机构对评标委员会评审专家进行评价。</w:t>
      </w:r>
    </w:p>
    <w:p>
      <w:pPr>
        <w:spacing w:line="360" w:lineRule="auto"/>
        <w:ind w:firstLine="211" w:firstLineChars="100"/>
        <w:rPr>
          <w:rFonts w:ascii="宋体" w:hAnsi="宋体" w:cs="宋体"/>
          <w:b/>
          <w:bCs/>
          <w:szCs w:val="32"/>
        </w:rPr>
      </w:pPr>
      <w:r>
        <w:rPr>
          <w:rFonts w:hint="eastAsia" w:ascii="宋体" w:hAnsi="宋体" w:cs="宋体"/>
          <w:b/>
          <w:bCs/>
          <w:szCs w:val="32"/>
        </w:rPr>
        <w:t>（三）澄清问题的形式</w:t>
      </w:r>
    </w:p>
    <w:p>
      <w:pPr>
        <w:spacing w:line="360" w:lineRule="auto"/>
        <w:ind w:firstLine="420" w:firstLineChars="200"/>
        <w:rPr>
          <w:rFonts w:ascii="宋体" w:hAnsi="宋体" w:cs="宋体"/>
          <w:szCs w:val="32"/>
        </w:rPr>
      </w:pPr>
      <w:r>
        <w:rPr>
          <w:rFonts w:hint="eastAsia" w:ascii="宋体" w:hAnsi="宋体" w:cs="宋体"/>
          <w:szCs w:val="32"/>
          <w:lang w:eastAsia="zh-CN"/>
        </w:rPr>
        <w:t>供应商</w:t>
      </w:r>
      <w:r>
        <w:rPr>
          <w:rFonts w:hint="eastAsia" w:ascii="宋体" w:hAnsi="宋体" w:cs="宋体"/>
          <w:szCs w:val="32"/>
        </w:rPr>
        <w:t>的澄清、说明或者补正应当采用书面形式，并加盖公章或者由法定代理人或其授权的代表签字，并不得超出投标文件的范围或者改变投标文件的实质性内容。</w:t>
      </w:r>
    </w:p>
    <w:p>
      <w:pPr>
        <w:spacing w:line="360" w:lineRule="auto"/>
        <w:ind w:firstLine="211" w:firstLineChars="100"/>
        <w:rPr>
          <w:rFonts w:ascii="宋体" w:hAnsi="宋体" w:cs="宋体"/>
          <w:b/>
          <w:bCs/>
          <w:szCs w:val="32"/>
        </w:rPr>
      </w:pPr>
      <w:r>
        <w:rPr>
          <w:rFonts w:hint="eastAsia" w:ascii="宋体" w:hAnsi="宋体" w:cs="宋体"/>
          <w:b/>
          <w:bCs/>
          <w:szCs w:val="32"/>
        </w:rPr>
        <w:t>（四）错误修正</w:t>
      </w:r>
    </w:p>
    <w:p>
      <w:pPr>
        <w:spacing w:line="360" w:lineRule="auto"/>
        <w:ind w:firstLine="420" w:firstLineChars="200"/>
        <w:rPr>
          <w:rFonts w:ascii="宋体" w:hAnsi="宋体" w:cs="宋体"/>
          <w:szCs w:val="32"/>
        </w:rPr>
      </w:pPr>
      <w:r>
        <w:rPr>
          <w:rFonts w:hint="eastAsia" w:ascii="宋体" w:hAnsi="宋体" w:cs="宋体"/>
          <w:szCs w:val="32"/>
        </w:rPr>
        <w:t>投标文件报价出现前后不一致的，除招标文件另有规定外，按照下列规定修正：</w:t>
      </w:r>
    </w:p>
    <w:p>
      <w:pPr>
        <w:spacing w:line="360" w:lineRule="auto"/>
        <w:ind w:firstLine="420" w:firstLineChars="200"/>
        <w:rPr>
          <w:rFonts w:ascii="宋体" w:hAnsi="宋体" w:cs="宋体"/>
          <w:szCs w:val="32"/>
        </w:rPr>
      </w:pPr>
      <w:r>
        <w:rPr>
          <w:rFonts w:hint="eastAsia" w:ascii="宋体" w:hAnsi="宋体" w:cs="宋体"/>
          <w:szCs w:val="32"/>
        </w:rPr>
        <w:t>1.投标文件中开标一览表（报价表）内容与投标文件中相应内容不一致的，以开标一览表（报价表）为准；</w:t>
      </w:r>
    </w:p>
    <w:p>
      <w:pPr>
        <w:spacing w:line="360" w:lineRule="auto"/>
        <w:ind w:firstLine="420" w:firstLineChars="200"/>
        <w:rPr>
          <w:rFonts w:ascii="宋体" w:hAnsi="宋体" w:cs="宋体"/>
          <w:szCs w:val="32"/>
        </w:rPr>
      </w:pPr>
      <w:r>
        <w:rPr>
          <w:rFonts w:hint="eastAsia" w:ascii="宋体" w:hAnsi="宋体" w:cs="宋体"/>
          <w:szCs w:val="32"/>
        </w:rPr>
        <w:t>2.大写金额和小写金额不一致的，以大写金额为准；</w:t>
      </w:r>
    </w:p>
    <w:p>
      <w:pPr>
        <w:spacing w:line="360" w:lineRule="auto"/>
        <w:ind w:firstLine="420" w:firstLineChars="200"/>
        <w:rPr>
          <w:rFonts w:ascii="宋体" w:hAnsi="宋体" w:cs="宋体"/>
          <w:szCs w:val="32"/>
        </w:rPr>
      </w:pPr>
      <w:r>
        <w:rPr>
          <w:rFonts w:hint="eastAsia" w:ascii="宋体" w:hAnsi="宋体" w:cs="宋体"/>
          <w:szCs w:val="32"/>
        </w:rPr>
        <w:t>3.单价金额小数点或者百分比有明显错位的，以开标一览表的总价为准，并修改单价；</w:t>
      </w:r>
    </w:p>
    <w:p>
      <w:pPr>
        <w:spacing w:line="360" w:lineRule="auto"/>
        <w:ind w:firstLine="420" w:firstLineChars="200"/>
        <w:rPr>
          <w:rFonts w:ascii="宋体" w:hAnsi="宋体" w:cs="宋体"/>
          <w:szCs w:val="32"/>
        </w:rPr>
      </w:pPr>
      <w:r>
        <w:rPr>
          <w:rFonts w:hint="eastAsia" w:ascii="宋体" w:hAnsi="宋体" w:cs="宋体"/>
          <w:szCs w:val="32"/>
        </w:rPr>
        <w:t>4.总价金额与按单价汇总金额不一致的，以单价金额计算结果为准。</w:t>
      </w:r>
    </w:p>
    <w:p>
      <w:pPr>
        <w:spacing w:line="360" w:lineRule="auto"/>
        <w:ind w:firstLine="420" w:firstLineChars="200"/>
        <w:rPr>
          <w:rFonts w:ascii="宋体" w:hAnsi="宋体" w:cs="宋体"/>
          <w:szCs w:val="32"/>
        </w:rPr>
      </w:pPr>
      <w:r>
        <w:rPr>
          <w:rFonts w:hint="eastAsia" w:ascii="宋体" w:hAnsi="宋体" w:cs="宋体"/>
          <w:szCs w:val="32"/>
        </w:rPr>
        <w:t>同时出现两种以上不一致的，按照前款规定的顺序修正。修正应当采用书面形式，并加盖公章，或者由法定代表人或其授权的代表签字。修正后的报价经</w:t>
      </w:r>
      <w:r>
        <w:rPr>
          <w:rFonts w:hint="eastAsia" w:ascii="宋体" w:hAnsi="宋体" w:cs="宋体"/>
          <w:szCs w:val="32"/>
          <w:lang w:eastAsia="zh-CN"/>
        </w:rPr>
        <w:t>供应商</w:t>
      </w:r>
      <w:r>
        <w:rPr>
          <w:rFonts w:hint="eastAsia" w:ascii="宋体" w:hAnsi="宋体" w:cs="宋体"/>
          <w:szCs w:val="32"/>
        </w:rPr>
        <w:t>确认后产生约束力，</w:t>
      </w:r>
      <w:r>
        <w:rPr>
          <w:rFonts w:hint="eastAsia" w:ascii="宋体" w:hAnsi="宋体" w:cs="宋体"/>
          <w:szCs w:val="32"/>
          <w:lang w:eastAsia="zh-CN"/>
        </w:rPr>
        <w:t>供应商</w:t>
      </w:r>
      <w:r>
        <w:rPr>
          <w:rFonts w:hint="eastAsia" w:ascii="宋体" w:hAnsi="宋体" w:cs="宋体"/>
          <w:szCs w:val="32"/>
        </w:rPr>
        <w:t>不确认的，其投标无效。</w:t>
      </w:r>
    </w:p>
    <w:p>
      <w:pPr>
        <w:spacing w:line="360" w:lineRule="auto"/>
        <w:ind w:firstLine="211" w:firstLineChars="100"/>
        <w:rPr>
          <w:rFonts w:ascii="宋体" w:hAnsi="宋体" w:cs="宋体"/>
          <w:b/>
          <w:bCs/>
          <w:szCs w:val="32"/>
        </w:rPr>
      </w:pPr>
      <w:r>
        <w:rPr>
          <w:rFonts w:hint="eastAsia" w:ascii="宋体" w:hAnsi="宋体" w:cs="宋体"/>
          <w:b/>
          <w:bCs/>
          <w:szCs w:val="32"/>
        </w:rPr>
        <w:t>（五）</w:t>
      </w:r>
      <w:r>
        <w:rPr>
          <w:rFonts w:hint="eastAsia" w:ascii="宋体" w:hAnsi="宋体" w:cs="宋体"/>
          <w:b/>
          <w:bCs/>
          <w:szCs w:val="32"/>
          <w:lang w:eastAsia="zh-CN"/>
        </w:rPr>
        <w:t>供应商</w:t>
      </w:r>
      <w:r>
        <w:rPr>
          <w:rFonts w:hint="eastAsia" w:ascii="宋体" w:hAnsi="宋体" w:cs="宋体"/>
          <w:b/>
          <w:bCs/>
          <w:szCs w:val="32"/>
        </w:rPr>
        <w:t>存在下列情况之一的，投标无效</w:t>
      </w:r>
    </w:p>
    <w:p>
      <w:pPr>
        <w:spacing w:line="360" w:lineRule="auto"/>
        <w:ind w:firstLine="420" w:firstLineChars="200"/>
        <w:rPr>
          <w:rFonts w:ascii="宋体" w:hAnsi="宋体" w:cs="宋体"/>
          <w:szCs w:val="32"/>
        </w:rPr>
      </w:pPr>
      <w:r>
        <w:rPr>
          <w:rFonts w:hint="eastAsia" w:ascii="宋体" w:hAnsi="宋体" w:cs="宋体"/>
          <w:szCs w:val="32"/>
        </w:rPr>
        <w:t>1.电子投标文件及</w:t>
      </w:r>
      <w:r>
        <w:rPr>
          <w:rFonts w:hint="eastAsia" w:ascii="宋体" w:hAnsi="宋体" w:cs="宋体"/>
          <w:szCs w:val="32"/>
          <w:lang w:val="en-US" w:eastAsia="zh-CN"/>
        </w:rPr>
        <w:t>电子</w:t>
      </w:r>
      <w:r>
        <w:rPr>
          <w:rFonts w:hint="eastAsia" w:ascii="宋体" w:hAnsi="宋体" w:cs="宋体"/>
          <w:szCs w:val="32"/>
        </w:rPr>
        <w:t>备份投标文件在指定页面无法定代表人盖章或签字、未在指定页面盖公章、在指定页面无被授权人签字</w:t>
      </w:r>
      <w:r>
        <w:rPr>
          <w:rFonts w:hint="eastAsia" w:ascii="宋体" w:hAnsi="宋体" w:cs="宋体"/>
          <w:szCs w:val="32"/>
          <w:lang w:val="en-US" w:eastAsia="zh-CN"/>
        </w:rPr>
        <w:t>或盖章</w:t>
      </w:r>
      <w:r>
        <w:rPr>
          <w:rFonts w:hint="eastAsia" w:ascii="宋体" w:hAnsi="宋体" w:cs="宋体"/>
          <w:szCs w:val="32"/>
        </w:rPr>
        <w:t>、未提供投标函或填写项目不齐全的；</w:t>
      </w:r>
    </w:p>
    <w:p>
      <w:pPr>
        <w:spacing w:line="360" w:lineRule="auto"/>
        <w:ind w:firstLine="420" w:firstLineChars="200"/>
        <w:rPr>
          <w:rFonts w:ascii="宋体" w:hAnsi="宋体" w:cs="宋体"/>
          <w:szCs w:val="32"/>
        </w:rPr>
      </w:pPr>
      <w:r>
        <w:rPr>
          <w:rFonts w:hint="eastAsia" w:ascii="宋体" w:hAnsi="宋体" w:cs="宋体"/>
          <w:szCs w:val="32"/>
        </w:rPr>
        <w:t>2.资格及商务技术文件跟报价文件出现混装或在资格及商务技术文件中出现投标报价的，或者报价文件中报价的货物跟资格及商务技术文件中的投标货物出现重大偏差的；</w:t>
      </w:r>
    </w:p>
    <w:p>
      <w:pPr>
        <w:spacing w:line="360" w:lineRule="auto"/>
        <w:ind w:firstLine="420" w:firstLineChars="200"/>
        <w:rPr>
          <w:rFonts w:ascii="宋体" w:hAnsi="宋体" w:cs="宋体"/>
          <w:szCs w:val="32"/>
        </w:rPr>
      </w:pPr>
      <w:r>
        <w:rPr>
          <w:rFonts w:hint="eastAsia" w:ascii="宋体" w:hAnsi="宋体" w:cs="宋体"/>
          <w:szCs w:val="32"/>
        </w:rPr>
        <w:t>3.不具备招标文件中规定的资格要求的。</w:t>
      </w:r>
      <w:r>
        <w:rPr>
          <w:rFonts w:hint="eastAsia" w:ascii="宋体" w:hAnsi="宋体" w:cs="宋体"/>
          <w:szCs w:val="32"/>
        </w:rPr>
        <w:tab/>
      </w:r>
    </w:p>
    <w:p>
      <w:pPr>
        <w:spacing w:line="360" w:lineRule="auto"/>
        <w:ind w:firstLine="420" w:firstLineChars="200"/>
        <w:rPr>
          <w:rFonts w:ascii="宋体" w:hAnsi="宋体" w:cs="宋体"/>
          <w:szCs w:val="32"/>
        </w:rPr>
      </w:pPr>
      <w:r>
        <w:rPr>
          <w:rFonts w:hint="eastAsia" w:ascii="宋体" w:hAnsi="宋体" w:cs="宋体"/>
          <w:szCs w:val="32"/>
        </w:rPr>
        <w:t>4.投标文件含有采购人不能接受的附加条件的。</w:t>
      </w:r>
    </w:p>
    <w:p>
      <w:pPr>
        <w:spacing w:line="360" w:lineRule="auto"/>
        <w:ind w:firstLine="420" w:firstLineChars="200"/>
        <w:rPr>
          <w:rFonts w:ascii="宋体" w:hAnsi="宋体" w:cs="宋体"/>
          <w:szCs w:val="32"/>
        </w:rPr>
      </w:pPr>
      <w:r>
        <w:rPr>
          <w:rFonts w:hint="eastAsia" w:ascii="宋体" w:hAnsi="宋体" w:cs="宋体"/>
          <w:szCs w:val="32"/>
          <w:lang w:val="en-US" w:eastAsia="zh-CN"/>
        </w:rPr>
        <w:t>5</w:t>
      </w:r>
      <w:r>
        <w:rPr>
          <w:rFonts w:hint="eastAsia" w:ascii="宋体" w:hAnsi="宋体" w:cs="宋体"/>
          <w:szCs w:val="32"/>
        </w:rPr>
        <w:t>.评标委员会认为</w:t>
      </w:r>
      <w:r>
        <w:rPr>
          <w:rFonts w:hint="eastAsia" w:ascii="宋体" w:hAnsi="宋体" w:cs="宋体"/>
          <w:szCs w:val="32"/>
          <w:lang w:eastAsia="zh-CN"/>
        </w:rPr>
        <w:t>供应商</w:t>
      </w:r>
      <w:r>
        <w:rPr>
          <w:rFonts w:hint="eastAsia" w:ascii="宋体" w:hAnsi="宋体" w:cs="宋体"/>
          <w:szCs w:val="32"/>
        </w:rPr>
        <w:t>的报价明显低于其他通过符合性审查</w:t>
      </w:r>
      <w:r>
        <w:rPr>
          <w:rFonts w:hint="eastAsia" w:ascii="宋体" w:hAnsi="宋体" w:cs="宋体"/>
          <w:szCs w:val="32"/>
          <w:lang w:eastAsia="zh-CN"/>
        </w:rPr>
        <w:t>供应商</w:t>
      </w:r>
      <w:r>
        <w:rPr>
          <w:rFonts w:hint="eastAsia" w:ascii="宋体" w:hAnsi="宋体" w:cs="宋体"/>
          <w:szCs w:val="32"/>
        </w:rPr>
        <w:t>的报价，有可能影响产品质量或者不能诚信履约的，应当要求其在评标现场合理的时间内提供书面说明，必要时提交相关证明材料；</w:t>
      </w:r>
      <w:r>
        <w:rPr>
          <w:rFonts w:hint="eastAsia" w:ascii="宋体" w:hAnsi="宋体" w:cs="宋体"/>
          <w:szCs w:val="32"/>
          <w:lang w:eastAsia="zh-CN"/>
        </w:rPr>
        <w:t>供应商</w:t>
      </w:r>
      <w:r>
        <w:rPr>
          <w:rFonts w:hint="eastAsia" w:ascii="宋体" w:hAnsi="宋体" w:cs="宋体"/>
          <w:szCs w:val="32"/>
        </w:rPr>
        <w:t>不能证明其报价合理性的，评标委员会应当将其作为无效投标处理。</w:t>
      </w:r>
    </w:p>
    <w:p>
      <w:pPr>
        <w:spacing w:line="360" w:lineRule="auto"/>
        <w:ind w:firstLine="420" w:firstLineChars="200"/>
        <w:rPr>
          <w:rFonts w:ascii="宋体" w:hAnsi="宋体" w:cs="宋体"/>
          <w:szCs w:val="32"/>
        </w:rPr>
      </w:pPr>
      <w:r>
        <w:rPr>
          <w:rFonts w:hint="eastAsia" w:ascii="宋体" w:hAnsi="宋体" w:cs="宋体"/>
          <w:szCs w:val="32"/>
          <w:lang w:val="en-US" w:eastAsia="zh-CN"/>
        </w:rPr>
        <w:t>6</w:t>
      </w:r>
      <w:r>
        <w:rPr>
          <w:rFonts w:hint="eastAsia" w:ascii="宋体" w:hAnsi="宋体" w:cs="宋体"/>
          <w:szCs w:val="32"/>
        </w:rPr>
        <w:t>.报价超过招标文件中规定的预算金额/最高限价。</w:t>
      </w:r>
    </w:p>
    <w:p>
      <w:pPr>
        <w:spacing w:line="360" w:lineRule="auto"/>
        <w:ind w:firstLine="420" w:firstLineChars="200"/>
        <w:rPr>
          <w:rFonts w:ascii="宋体" w:hAnsi="宋体" w:cs="宋体"/>
          <w:szCs w:val="32"/>
        </w:rPr>
      </w:pPr>
      <w:r>
        <w:rPr>
          <w:rFonts w:hint="eastAsia" w:ascii="宋体" w:hAnsi="宋体" w:cs="宋体"/>
          <w:szCs w:val="32"/>
          <w:lang w:val="en-US" w:eastAsia="zh-CN"/>
        </w:rPr>
        <w:t>7</w:t>
      </w:r>
      <w:r>
        <w:rPr>
          <w:rFonts w:hint="eastAsia" w:ascii="宋体" w:hAnsi="宋体" w:cs="宋体"/>
          <w:szCs w:val="32"/>
        </w:rPr>
        <w:t>.投标参数未如实填写，完全复制粘贴招标参数的。</w:t>
      </w:r>
    </w:p>
    <w:p>
      <w:pPr>
        <w:spacing w:line="360" w:lineRule="auto"/>
        <w:ind w:firstLine="420" w:firstLineChars="200"/>
        <w:rPr>
          <w:rFonts w:ascii="宋体" w:hAnsi="宋体" w:cs="宋体"/>
          <w:szCs w:val="32"/>
        </w:rPr>
      </w:pPr>
      <w:r>
        <w:rPr>
          <w:rFonts w:hint="eastAsia" w:ascii="宋体" w:hAnsi="宋体" w:cs="宋体"/>
          <w:szCs w:val="32"/>
          <w:lang w:val="en-US" w:eastAsia="zh-CN"/>
        </w:rPr>
        <w:t>8</w:t>
      </w:r>
      <w:r>
        <w:rPr>
          <w:rFonts w:hint="eastAsia" w:ascii="宋体" w:hAnsi="宋体" w:cs="宋体"/>
          <w:szCs w:val="32"/>
        </w:rPr>
        <w:t>.投标文件提供虚假材料的。</w:t>
      </w:r>
    </w:p>
    <w:p>
      <w:pPr>
        <w:spacing w:line="360" w:lineRule="auto"/>
        <w:ind w:firstLine="420" w:firstLineChars="200"/>
        <w:rPr>
          <w:rFonts w:ascii="宋体" w:hAnsi="宋体" w:cs="宋体"/>
          <w:szCs w:val="32"/>
        </w:rPr>
      </w:pPr>
      <w:r>
        <w:rPr>
          <w:rFonts w:hint="eastAsia" w:ascii="宋体" w:hAnsi="宋体" w:cs="宋体"/>
          <w:szCs w:val="32"/>
          <w:lang w:val="en-US" w:eastAsia="zh-CN"/>
        </w:rPr>
        <w:t>9</w:t>
      </w:r>
      <w:r>
        <w:rPr>
          <w:rFonts w:hint="eastAsia" w:ascii="宋体" w:hAnsi="宋体" w:cs="宋体"/>
          <w:szCs w:val="32"/>
        </w:rPr>
        <w:t>.不符合中华人民共和国财政部令第87号《政府采购货物和服务招标投标管理办法》第三十七条情形之一的，视为</w:t>
      </w:r>
      <w:r>
        <w:rPr>
          <w:rFonts w:hint="eastAsia" w:ascii="宋体" w:hAnsi="宋体" w:cs="宋体"/>
          <w:szCs w:val="32"/>
          <w:lang w:eastAsia="zh-CN"/>
        </w:rPr>
        <w:t>供应商</w:t>
      </w:r>
      <w:r>
        <w:rPr>
          <w:rFonts w:hint="eastAsia" w:ascii="宋体" w:hAnsi="宋体" w:cs="宋体"/>
          <w:szCs w:val="32"/>
        </w:rPr>
        <w:t>串通投标，其投标无效，并移送采购监管部门：</w:t>
      </w:r>
    </w:p>
    <w:p>
      <w:pPr>
        <w:spacing w:line="360" w:lineRule="auto"/>
        <w:ind w:firstLine="420" w:firstLineChars="200"/>
        <w:rPr>
          <w:rFonts w:ascii="宋体" w:hAnsi="宋体" w:cs="宋体"/>
          <w:szCs w:val="32"/>
        </w:rPr>
      </w:pPr>
      <w:r>
        <w:rPr>
          <w:rFonts w:hint="eastAsia" w:ascii="宋体" w:hAnsi="宋体" w:cs="宋体"/>
          <w:szCs w:val="32"/>
        </w:rPr>
        <w:t>（1）不同</w:t>
      </w:r>
      <w:r>
        <w:rPr>
          <w:rFonts w:hint="eastAsia" w:ascii="宋体" w:hAnsi="宋体" w:cs="宋体"/>
          <w:szCs w:val="32"/>
          <w:lang w:eastAsia="zh-CN"/>
        </w:rPr>
        <w:t>供应商</w:t>
      </w:r>
      <w:r>
        <w:rPr>
          <w:rFonts w:hint="eastAsia" w:ascii="宋体" w:hAnsi="宋体" w:cs="宋体"/>
          <w:szCs w:val="32"/>
        </w:rPr>
        <w:t>的投标文件由同一单位或者个人编制；</w:t>
      </w:r>
    </w:p>
    <w:p>
      <w:pPr>
        <w:spacing w:line="360" w:lineRule="auto"/>
        <w:ind w:firstLine="420" w:firstLineChars="200"/>
        <w:rPr>
          <w:rFonts w:ascii="宋体" w:hAnsi="宋体" w:cs="宋体"/>
          <w:szCs w:val="32"/>
        </w:rPr>
      </w:pPr>
      <w:r>
        <w:rPr>
          <w:rFonts w:hint="eastAsia" w:ascii="宋体" w:hAnsi="宋体" w:cs="宋体"/>
          <w:szCs w:val="32"/>
        </w:rPr>
        <w:t>（2）不同</w:t>
      </w:r>
      <w:r>
        <w:rPr>
          <w:rFonts w:hint="eastAsia" w:ascii="宋体" w:hAnsi="宋体" w:cs="宋体"/>
          <w:szCs w:val="32"/>
          <w:lang w:eastAsia="zh-CN"/>
        </w:rPr>
        <w:t>供应商</w:t>
      </w:r>
      <w:r>
        <w:rPr>
          <w:rFonts w:hint="eastAsia" w:ascii="宋体" w:hAnsi="宋体" w:cs="宋体"/>
          <w:szCs w:val="32"/>
        </w:rPr>
        <w:t>委托同一单位或者个人办理投标事宜；</w:t>
      </w:r>
    </w:p>
    <w:p>
      <w:pPr>
        <w:spacing w:line="360" w:lineRule="auto"/>
        <w:ind w:firstLine="420" w:firstLineChars="200"/>
        <w:rPr>
          <w:rFonts w:ascii="宋体" w:hAnsi="宋体" w:cs="宋体"/>
          <w:szCs w:val="32"/>
        </w:rPr>
      </w:pPr>
      <w:r>
        <w:rPr>
          <w:rFonts w:hint="eastAsia" w:ascii="宋体" w:hAnsi="宋体" w:cs="宋体"/>
          <w:szCs w:val="32"/>
        </w:rPr>
        <w:t>（3）不同</w:t>
      </w:r>
      <w:r>
        <w:rPr>
          <w:rFonts w:hint="eastAsia" w:ascii="宋体" w:hAnsi="宋体" w:cs="宋体"/>
          <w:szCs w:val="32"/>
          <w:lang w:eastAsia="zh-CN"/>
        </w:rPr>
        <w:t>供应商</w:t>
      </w:r>
      <w:r>
        <w:rPr>
          <w:rFonts w:hint="eastAsia" w:ascii="宋体" w:hAnsi="宋体" w:cs="宋体"/>
          <w:szCs w:val="32"/>
        </w:rPr>
        <w:t>的投标文件载明的项目管理成员或者联系人员为同一人；</w:t>
      </w:r>
    </w:p>
    <w:p>
      <w:pPr>
        <w:spacing w:line="360" w:lineRule="auto"/>
        <w:ind w:firstLine="420" w:firstLineChars="200"/>
        <w:rPr>
          <w:rFonts w:ascii="宋体" w:hAnsi="宋体" w:cs="宋体"/>
          <w:szCs w:val="32"/>
        </w:rPr>
      </w:pPr>
      <w:r>
        <w:rPr>
          <w:rFonts w:hint="eastAsia" w:ascii="宋体" w:hAnsi="宋体" w:cs="宋体"/>
          <w:szCs w:val="32"/>
        </w:rPr>
        <w:t>（4）不同</w:t>
      </w:r>
      <w:r>
        <w:rPr>
          <w:rFonts w:hint="eastAsia" w:ascii="宋体" w:hAnsi="宋体" w:cs="宋体"/>
          <w:szCs w:val="32"/>
          <w:lang w:eastAsia="zh-CN"/>
        </w:rPr>
        <w:t>供应商</w:t>
      </w:r>
      <w:r>
        <w:rPr>
          <w:rFonts w:hint="eastAsia" w:ascii="宋体" w:hAnsi="宋体" w:cs="宋体"/>
          <w:szCs w:val="32"/>
        </w:rPr>
        <w:t>的投标文件异常一致或者投标报价呈规律性差异；</w:t>
      </w:r>
    </w:p>
    <w:p>
      <w:pPr>
        <w:spacing w:line="360" w:lineRule="auto"/>
        <w:ind w:firstLine="420" w:firstLineChars="200"/>
        <w:rPr>
          <w:rFonts w:ascii="宋体" w:hAnsi="宋体" w:cs="宋体"/>
          <w:szCs w:val="32"/>
        </w:rPr>
      </w:pPr>
      <w:r>
        <w:rPr>
          <w:rFonts w:hint="eastAsia" w:ascii="宋体" w:hAnsi="宋体" w:cs="宋体"/>
          <w:szCs w:val="32"/>
        </w:rPr>
        <w:t>（5）不同</w:t>
      </w:r>
      <w:r>
        <w:rPr>
          <w:rFonts w:hint="eastAsia" w:ascii="宋体" w:hAnsi="宋体" w:cs="宋体"/>
          <w:szCs w:val="32"/>
          <w:lang w:eastAsia="zh-CN"/>
        </w:rPr>
        <w:t>供应商</w:t>
      </w:r>
      <w:r>
        <w:rPr>
          <w:rFonts w:hint="eastAsia" w:ascii="宋体" w:hAnsi="宋体" w:cs="宋体"/>
          <w:szCs w:val="32"/>
        </w:rPr>
        <w:t>的投标文件相互混装；</w:t>
      </w:r>
    </w:p>
    <w:p>
      <w:pPr>
        <w:spacing w:line="360" w:lineRule="auto"/>
        <w:ind w:firstLine="420" w:firstLineChars="200"/>
        <w:rPr>
          <w:rFonts w:ascii="宋体" w:hAnsi="宋体" w:cs="宋体"/>
          <w:szCs w:val="32"/>
        </w:rPr>
      </w:pPr>
      <w:r>
        <w:rPr>
          <w:rFonts w:hint="eastAsia" w:ascii="宋体" w:hAnsi="宋体" w:cs="宋体"/>
          <w:szCs w:val="32"/>
          <w:lang w:val="en-US" w:eastAsia="zh-CN"/>
        </w:rPr>
        <w:t>10</w:t>
      </w:r>
      <w:r>
        <w:rPr>
          <w:rFonts w:hint="eastAsia" w:ascii="宋体" w:hAnsi="宋体" w:cs="宋体"/>
          <w:szCs w:val="32"/>
        </w:rPr>
        <w:t>.不符合法律、法规和招标文件中规定的其他实质性要求的（招标文件中打“▲”内容及被拒绝的条款）。</w:t>
      </w:r>
    </w:p>
    <w:p>
      <w:pPr>
        <w:spacing w:line="360" w:lineRule="auto"/>
        <w:ind w:firstLine="420" w:firstLineChars="200"/>
        <w:rPr>
          <w:rFonts w:ascii="宋体" w:hAnsi="宋体" w:cs="宋体"/>
          <w:szCs w:val="32"/>
        </w:rPr>
      </w:pPr>
      <w:r>
        <w:rPr>
          <w:rFonts w:hint="eastAsia" w:ascii="宋体" w:hAnsi="宋体" w:cs="宋体"/>
          <w:szCs w:val="32"/>
          <w:lang w:val="en-US" w:eastAsia="zh-CN"/>
        </w:rPr>
        <w:t>11</w:t>
      </w:r>
      <w:r>
        <w:rPr>
          <w:rFonts w:hint="eastAsia" w:ascii="宋体" w:hAnsi="宋体" w:cs="宋体"/>
          <w:szCs w:val="32"/>
        </w:rPr>
        <w:t>.未传输递交电子投标文件的或者未按规定提供相应的备份投标文件，造成项目开评标活动无法进行下去的.</w:t>
      </w:r>
    </w:p>
    <w:p>
      <w:pPr>
        <w:spacing w:line="360" w:lineRule="auto"/>
        <w:ind w:firstLine="211" w:firstLineChars="100"/>
        <w:rPr>
          <w:rFonts w:ascii="宋体" w:hAnsi="宋体" w:cs="宋体"/>
          <w:b/>
          <w:bCs/>
          <w:szCs w:val="32"/>
        </w:rPr>
      </w:pPr>
      <w:r>
        <w:rPr>
          <w:rFonts w:hint="eastAsia" w:ascii="宋体" w:hAnsi="宋体" w:cs="宋体"/>
          <w:b/>
          <w:bCs/>
          <w:szCs w:val="32"/>
        </w:rPr>
        <w:t>（六）有下列情况之一的，本次招标作为废标处理</w:t>
      </w:r>
    </w:p>
    <w:p>
      <w:pPr>
        <w:spacing w:line="360" w:lineRule="auto"/>
        <w:ind w:firstLine="420" w:firstLineChars="200"/>
        <w:rPr>
          <w:rFonts w:ascii="宋体" w:hAnsi="宋体" w:cs="宋体"/>
          <w:szCs w:val="32"/>
        </w:rPr>
      </w:pPr>
      <w:r>
        <w:rPr>
          <w:rFonts w:hint="eastAsia" w:ascii="宋体" w:hAnsi="宋体" w:cs="宋体"/>
          <w:szCs w:val="32"/>
        </w:rPr>
        <w:t>1.出现影响采购公正的违法、违规行为的；</w:t>
      </w:r>
    </w:p>
    <w:p>
      <w:pPr>
        <w:spacing w:line="360" w:lineRule="auto"/>
        <w:ind w:firstLine="420" w:firstLineChars="200"/>
        <w:rPr>
          <w:rFonts w:ascii="宋体" w:hAnsi="宋体" w:cs="宋体"/>
          <w:szCs w:val="32"/>
        </w:rPr>
      </w:pPr>
      <w:r>
        <w:rPr>
          <w:rFonts w:hint="eastAsia" w:ascii="宋体" w:hAnsi="宋体" w:cs="宋体"/>
          <w:szCs w:val="32"/>
        </w:rPr>
        <w:t xml:space="preserve">2.评标委员会发现招标文件存在歧义、重大缺陷导致评标工作无法进行，或者招标文件内容违反国家有关强制性规定的； </w:t>
      </w:r>
    </w:p>
    <w:p>
      <w:pPr>
        <w:spacing w:line="360" w:lineRule="auto"/>
        <w:ind w:firstLine="420" w:firstLineChars="200"/>
        <w:rPr>
          <w:rFonts w:ascii="宋体" w:hAnsi="宋体" w:cs="宋体"/>
          <w:szCs w:val="32"/>
        </w:rPr>
      </w:pPr>
      <w:r>
        <w:rPr>
          <w:rFonts w:hint="eastAsia" w:ascii="宋体" w:hAnsi="宋体" w:cs="宋体"/>
          <w:szCs w:val="32"/>
        </w:rPr>
        <w:t>3.因重大变故，采购任务取消的；</w:t>
      </w:r>
    </w:p>
    <w:p>
      <w:pPr>
        <w:spacing w:line="360" w:lineRule="auto"/>
        <w:ind w:firstLine="420" w:firstLineChars="200"/>
        <w:rPr>
          <w:rFonts w:ascii="宋体" w:hAnsi="宋体" w:cs="宋体"/>
          <w:szCs w:val="32"/>
        </w:rPr>
      </w:pPr>
      <w:r>
        <w:rPr>
          <w:rFonts w:hint="eastAsia" w:ascii="宋体" w:hAnsi="宋体" w:cs="宋体"/>
          <w:szCs w:val="32"/>
        </w:rPr>
        <w:t>4.法律、法规和招标文件规定的其他导致评标结果无效的。</w:t>
      </w:r>
    </w:p>
    <w:p>
      <w:pPr>
        <w:spacing w:line="360" w:lineRule="auto"/>
        <w:ind w:firstLine="211" w:firstLineChars="100"/>
        <w:rPr>
          <w:rFonts w:ascii="宋体" w:hAnsi="宋体" w:cs="宋体"/>
          <w:b/>
          <w:bCs/>
          <w:szCs w:val="32"/>
        </w:rPr>
      </w:pPr>
      <w:r>
        <w:rPr>
          <w:rFonts w:hint="eastAsia" w:ascii="宋体" w:hAnsi="宋体" w:cs="宋体"/>
          <w:b/>
          <w:bCs/>
          <w:szCs w:val="32"/>
        </w:rPr>
        <w:t>（七）评标原则和评标办法</w:t>
      </w:r>
    </w:p>
    <w:p>
      <w:pPr>
        <w:spacing w:line="360" w:lineRule="auto"/>
        <w:ind w:firstLine="420" w:firstLineChars="200"/>
        <w:rPr>
          <w:rFonts w:ascii="宋体" w:hAnsi="宋体" w:cs="宋体"/>
          <w:szCs w:val="32"/>
        </w:rPr>
      </w:pPr>
      <w:r>
        <w:rPr>
          <w:rFonts w:hint="eastAsia" w:ascii="宋体" w:hAnsi="宋体" w:cs="宋体"/>
          <w:szCs w:val="32"/>
        </w:rPr>
        <w:t>1.评标原则。评标委员会必须公平、公正、客观，不带任何倾向性和启发性；不得向外界透露任何与评标有关的内容；任何单位和个人不得干扰、影响评标的正常进行；评标委员会及有关工作人员不得私下与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cs="宋体"/>
          <w:szCs w:val="32"/>
          <w:lang w:eastAsia="zh-CN"/>
        </w:rPr>
        <w:t>供应商</w:t>
      </w:r>
      <w:r>
        <w:rPr>
          <w:rFonts w:hint="eastAsia" w:ascii="宋体" w:hAnsi="宋体" w:cs="宋体"/>
          <w:szCs w:val="32"/>
        </w:rPr>
        <w:t>接触。</w:t>
      </w:r>
    </w:p>
    <w:p>
      <w:pPr>
        <w:spacing w:line="360" w:lineRule="auto"/>
        <w:ind w:firstLine="420" w:firstLineChars="200"/>
        <w:rPr>
          <w:rFonts w:ascii="宋体" w:hAnsi="宋体" w:cs="宋体"/>
          <w:szCs w:val="32"/>
        </w:rPr>
      </w:pPr>
      <w:r>
        <w:rPr>
          <w:rFonts w:hint="eastAsia" w:ascii="宋体" w:hAnsi="宋体" w:cs="宋体"/>
          <w:szCs w:val="32"/>
        </w:rPr>
        <w:t>2.评标办法。具体评标内容及评分标准等详见《第三章：评标方法及评分标准》。</w:t>
      </w:r>
    </w:p>
    <w:p>
      <w:pPr>
        <w:spacing w:line="360" w:lineRule="auto"/>
        <w:ind w:firstLine="211" w:firstLineChars="100"/>
        <w:rPr>
          <w:rFonts w:ascii="宋体" w:hAnsi="宋体" w:cs="宋体"/>
          <w:b/>
          <w:bCs/>
          <w:szCs w:val="32"/>
        </w:rPr>
      </w:pPr>
      <w:r>
        <w:rPr>
          <w:rFonts w:hint="eastAsia" w:ascii="宋体" w:hAnsi="宋体" w:cs="宋体"/>
          <w:b/>
          <w:bCs/>
          <w:szCs w:val="32"/>
        </w:rPr>
        <w:t>（八）评标过程的监控</w:t>
      </w:r>
    </w:p>
    <w:p>
      <w:pPr>
        <w:spacing w:line="360" w:lineRule="auto"/>
        <w:ind w:firstLine="420" w:firstLineChars="200"/>
        <w:rPr>
          <w:rFonts w:ascii="宋体" w:hAnsi="宋体" w:cs="宋体"/>
          <w:szCs w:val="32"/>
        </w:rPr>
      </w:pPr>
      <w:r>
        <w:rPr>
          <w:rFonts w:hint="eastAsia" w:ascii="宋体" w:hAnsi="宋体" w:cs="宋体"/>
          <w:szCs w:val="32"/>
        </w:rPr>
        <w:t>本项目评标过程实行全程录音、录像监控，政府采购监管部门视情进行现场监督，</w:t>
      </w:r>
      <w:r>
        <w:rPr>
          <w:rFonts w:hint="eastAsia" w:ascii="宋体" w:hAnsi="宋体" w:cs="宋体"/>
          <w:szCs w:val="32"/>
          <w:lang w:eastAsia="zh-CN"/>
        </w:rPr>
        <w:t>供应商</w:t>
      </w:r>
      <w:r>
        <w:rPr>
          <w:rFonts w:hint="eastAsia" w:ascii="宋体" w:hAnsi="宋体" w:cs="宋体"/>
          <w:szCs w:val="32"/>
        </w:rPr>
        <w:t>在评标过程中所进行的试图影响评标结果的不公正活动，可能导致其投标被拒绝。</w:t>
      </w:r>
    </w:p>
    <w:p>
      <w:pPr>
        <w:spacing w:line="360" w:lineRule="auto"/>
        <w:rPr>
          <w:rFonts w:ascii="宋体" w:hAnsi="宋体" w:cs="宋体"/>
          <w:b/>
          <w:bCs/>
          <w:szCs w:val="32"/>
        </w:rPr>
      </w:pPr>
      <w:r>
        <w:rPr>
          <w:rFonts w:hint="eastAsia" w:ascii="宋体" w:hAnsi="宋体" w:cs="宋体"/>
          <w:b/>
          <w:bCs/>
          <w:szCs w:val="32"/>
        </w:rPr>
        <w:t>六、定标</w:t>
      </w:r>
    </w:p>
    <w:p>
      <w:pPr>
        <w:spacing w:line="360" w:lineRule="auto"/>
        <w:ind w:firstLine="420" w:firstLineChars="200"/>
        <w:rPr>
          <w:rFonts w:ascii="宋体" w:hAnsi="宋体" w:cs="宋体"/>
          <w:szCs w:val="32"/>
        </w:rPr>
      </w:pPr>
      <w:r>
        <w:rPr>
          <w:rFonts w:hint="eastAsia" w:ascii="宋体" w:hAnsi="宋体" w:cs="宋体"/>
          <w:szCs w:val="32"/>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rPr>
          <w:rFonts w:ascii="宋体" w:hAnsi="宋体" w:cs="宋体"/>
          <w:szCs w:val="32"/>
        </w:rPr>
      </w:pPr>
      <w:r>
        <w:rPr>
          <w:rFonts w:hint="eastAsia" w:ascii="宋体" w:hAnsi="宋体" w:cs="宋体"/>
          <w:szCs w:val="32"/>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pacing w:line="360" w:lineRule="auto"/>
        <w:ind w:firstLine="420" w:firstLineChars="200"/>
        <w:rPr>
          <w:rFonts w:ascii="宋体" w:hAnsi="宋体" w:cs="宋体"/>
          <w:szCs w:val="32"/>
        </w:rPr>
      </w:pPr>
      <w:r>
        <w:rPr>
          <w:rFonts w:hint="eastAsia" w:ascii="宋体" w:hAnsi="宋体" w:cs="宋体"/>
          <w:szCs w:val="32"/>
        </w:rPr>
        <w:t>3.发出中标通知书。采购组织机构在发布中标结果的同时，向中标人发出中标通知书。</w:t>
      </w:r>
    </w:p>
    <w:p>
      <w:pPr>
        <w:spacing w:line="360" w:lineRule="auto"/>
        <w:ind w:firstLine="420" w:firstLineChars="200"/>
        <w:rPr>
          <w:rFonts w:ascii="宋体" w:hAnsi="宋体" w:cs="宋体"/>
          <w:szCs w:val="32"/>
        </w:rPr>
      </w:pPr>
      <w:r>
        <w:rPr>
          <w:rFonts w:hint="eastAsia" w:ascii="宋体" w:hAnsi="宋体" w:cs="宋体"/>
          <w:szCs w:val="32"/>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20" w:firstLineChars="200"/>
        <w:rPr>
          <w:rFonts w:ascii="宋体" w:hAnsi="宋体" w:cs="宋体"/>
          <w:szCs w:val="32"/>
        </w:rPr>
      </w:pPr>
      <w:r>
        <w:rPr>
          <w:rFonts w:hint="eastAsia" w:ascii="宋体" w:hAnsi="宋体" w:cs="宋体"/>
          <w:szCs w:val="32"/>
        </w:rPr>
        <w:t>5.招</w:t>
      </w:r>
      <w:r>
        <w:rPr>
          <w:rFonts w:hint="eastAsia" w:ascii="宋体" w:hAnsi="宋体" w:cs="宋体"/>
          <w:color w:val="auto"/>
          <w:szCs w:val="32"/>
          <w:highlight w:val="none"/>
        </w:rPr>
        <w:t>标代理费：</w:t>
      </w:r>
      <w:r>
        <w:rPr>
          <w:rFonts w:hint="eastAsia" w:ascii="宋体" w:hAnsi="宋体" w:cs="宋体"/>
          <w:color w:val="auto"/>
          <w:szCs w:val="21"/>
          <w:highlight w:val="none"/>
        </w:rPr>
        <w:t>按照国家收费标准（发改价格[2011]534号）的八折计取，费用</w:t>
      </w:r>
      <w:r>
        <w:rPr>
          <w:rFonts w:hint="eastAsia" w:ascii="宋体" w:hAnsi="宋体" w:cs="宋体"/>
          <w:color w:val="auto"/>
          <w:szCs w:val="32"/>
          <w:highlight w:val="none"/>
        </w:rPr>
        <w:t>由中标人进行支付。该</w:t>
      </w:r>
      <w:r>
        <w:rPr>
          <w:rFonts w:hint="eastAsia" w:ascii="宋体" w:hAnsi="宋体" w:cs="宋体"/>
          <w:color w:val="auto"/>
          <w:highlight w:val="none"/>
        </w:rPr>
        <w:t>费用中标人须在中标通知书发出5日内一次性付清。</w:t>
      </w:r>
      <w:r>
        <w:rPr>
          <w:rFonts w:hint="eastAsia" w:ascii="宋体" w:hAnsi="宋体" w:cs="宋体"/>
          <w:color w:val="auto"/>
          <w:szCs w:val="32"/>
          <w:highlight w:val="none"/>
        </w:rPr>
        <w:t>（户名：台州市建设咨询有限公司黄岩分公司；账号：</w:t>
      </w:r>
      <w:r>
        <w:rPr>
          <w:rFonts w:ascii="宋体" w:hAnsi="宋体" w:cs="宋体"/>
          <w:color w:val="auto"/>
          <w:szCs w:val="32"/>
          <w:highlight w:val="none"/>
        </w:rPr>
        <w:t>530414947700015</w:t>
      </w:r>
      <w:r>
        <w:rPr>
          <w:rFonts w:hint="eastAsia" w:ascii="宋体" w:hAnsi="宋体" w:cs="宋体"/>
          <w:color w:val="auto"/>
          <w:szCs w:val="32"/>
          <w:highlight w:val="none"/>
        </w:rPr>
        <w:t>；开户银行：台州银行股份有限公司黄岩桔乡大道支行），财务联系电</w:t>
      </w:r>
      <w:r>
        <w:rPr>
          <w:rFonts w:hint="eastAsia" w:ascii="宋体" w:hAnsi="宋体" w:cs="宋体"/>
          <w:szCs w:val="32"/>
        </w:rPr>
        <w:t>话：0576-84038021。</w:t>
      </w:r>
    </w:p>
    <w:p>
      <w:pPr>
        <w:spacing w:line="360" w:lineRule="auto"/>
        <w:rPr>
          <w:rFonts w:ascii="宋体" w:hAnsi="宋体" w:cs="宋体"/>
          <w:b/>
          <w:bCs/>
          <w:szCs w:val="32"/>
        </w:rPr>
      </w:pPr>
      <w:r>
        <w:rPr>
          <w:rFonts w:hint="eastAsia" w:ascii="宋体" w:hAnsi="宋体" w:cs="宋体"/>
          <w:b/>
          <w:bCs/>
          <w:szCs w:val="32"/>
        </w:rPr>
        <w:t>七、合同签订及公告</w:t>
      </w:r>
    </w:p>
    <w:p>
      <w:pPr>
        <w:spacing w:line="360" w:lineRule="auto"/>
        <w:ind w:firstLine="211" w:firstLineChars="100"/>
        <w:rPr>
          <w:rFonts w:ascii="宋体" w:hAnsi="宋体" w:cs="宋体"/>
          <w:b/>
          <w:bCs/>
          <w:szCs w:val="32"/>
        </w:rPr>
      </w:pPr>
      <w:r>
        <w:rPr>
          <w:rFonts w:hint="eastAsia" w:ascii="宋体" w:hAnsi="宋体" w:cs="宋体"/>
          <w:b/>
          <w:bCs/>
          <w:szCs w:val="32"/>
        </w:rPr>
        <w:t>（一）签订合同</w:t>
      </w:r>
    </w:p>
    <w:p>
      <w:pPr>
        <w:spacing w:line="360" w:lineRule="auto"/>
        <w:ind w:firstLine="420" w:firstLineChars="200"/>
        <w:rPr>
          <w:rFonts w:ascii="宋体" w:hAnsi="宋体" w:cs="宋体"/>
          <w:szCs w:val="32"/>
        </w:rPr>
      </w:pPr>
      <w:r>
        <w:rPr>
          <w:rFonts w:hint="eastAsia" w:ascii="宋体" w:hAnsi="宋体" w:cs="宋体"/>
          <w:szCs w:val="32"/>
        </w:rPr>
        <w:t>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宋体" w:hAnsi="宋体" w:cs="宋体"/>
          <w:szCs w:val="32"/>
        </w:rPr>
      </w:pPr>
      <w:r>
        <w:rPr>
          <w:rFonts w:hint="eastAsia" w:ascii="宋体" w:hAnsi="宋体" w:cs="宋体"/>
          <w:szCs w:val="32"/>
        </w:rPr>
        <w:t>2.采购人不得向中标人提出任何不合理的要求作为签订合同的条件。</w:t>
      </w:r>
    </w:p>
    <w:p>
      <w:pPr>
        <w:spacing w:line="360" w:lineRule="auto"/>
        <w:ind w:firstLine="420" w:firstLineChars="200"/>
        <w:rPr>
          <w:rFonts w:ascii="宋体" w:hAnsi="宋体" w:cs="宋体"/>
          <w:szCs w:val="32"/>
        </w:rPr>
      </w:pPr>
      <w:r>
        <w:rPr>
          <w:rFonts w:hint="eastAsia" w:ascii="宋体" w:hAnsi="宋体" w:cs="宋体"/>
          <w:szCs w:val="32"/>
        </w:rPr>
        <w:t>3.中标人无故拖延、拒签合同的，取消中标资格。</w:t>
      </w:r>
    </w:p>
    <w:p>
      <w:pPr>
        <w:spacing w:line="360" w:lineRule="auto"/>
        <w:ind w:firstLine="420" w:firstLineChars="200"/>
        <w:rPr>
          <w:rFonts w:ascii="宋体" w:hAnsi="宋体" w:cs="宋体"/>
          <w:szCs w:val="32"/>
        </w:rPr>
      </w:pPr>
      <w:r>
        <w:rPr>
          <w:rFonts w:hint="eastAsia" w:ascii="宋体" w:hAnsi="宋体" w:cs="宋体"/>
          <w:szCs w:val="32"/>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pacing w:line="360" w:lineRule="auto"/>
        <w:ind w:firstLine="420" w:firstLineChars="200"/>
        <w:rPr>
          <w:rFonts w:ascii="宋体" w:hAnsi="宋体" w:cs="宋体"/>
          <w:szCs w:val="32"/>
        </w:rPr>
      </w:pPr>
      <w:r>
        <w:rPr>
          <w:rFonts w:hint="eastAsia" w:ascii="宋体" w:hAnsi="宋体" w:cs="宋体"/>
          <w:szCs w:val="32"/>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211" w:firstLineChars="100"/>
        <w:rPr>
          <w:rFonts w:ascii="宋体" w:hAnsi="宋体" w:cs="宋体"/>
          <w:b/>
          <w:bCs/>
          <w:szCs w:val="32"/>
        </w:rPr>
      </w:pPr>
      <w:r>
        <w:rPr>
          <w:rFonts w:hint="eastAsia" w:ascii="宋体" w:hAnsi="宋体" w:cs="宋体"/>
          <w:b/>
          <w:bCs/>
          <w:szCs w:val="32"/>
        </w:rPr>
        <w:t>（二）合同公告</w:t>
      </w:r>
    </w:p>
    <w:p>
      <w:pPr>
        <w:spacing w:line="360" w:lineRule="auto"/>
        <w:ind w:firstLine="420" w:firstLineChars="200"/>
        <w:rPr>
          <w:rFonts w:hint="eastAsia" w:ascii="宋体" w:hAnsi="宋体" w:cs="宋体"/>
          <w:szCs w:val="32"/>
        </w:rPr>
      </w:pPr>
      <w:r>
        <w:rPr>
          <w:rFonts w:hint="eastAsia" w:ascii="宋体" w:hAnsi="宋体" w:cs="宋体"/>
          <w:szCs w:val="32"/>
        </w:rPr>
        <w:t>1.采购人应当自政府采购合同签订之日起2个工作日内，在省级以上财政部门指定的政府采购信息发布媒体及相关网站上公告。</w:t>
      </w: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pStyle w:val="31"/>
        <w:rPr>
          <w:rFonts w:hint="eastAsia" w:ascii="宋体" w:hAnsi="宋体" w:cs="宋体"/>
          <w:szCs w:val="32"/>
        </w:rPr>
      </w:pPr>
    </w:p>
    <w:p>
      <w:pPr>
        <w:numPr>
          <w:ilvl w:val="0"/>
          <w:numId w:val="4"/>
        </w:numPr>
        <w:spacing w:line="360" w:lineRule="auto"/>
        <w:jc w:val="center"/>
        <w:rPr>
          <w:rFonts w:asciiTheme="minorEastAsia" w:hAnsiTheme="minorEastAsia" w:eastAsiaTheme="minorEastAsia"/>
          <w:b/>
          <w:sz w:val="36"/>
          <w:szCs w:val="36"/>
        </w:rPr>
      </w:pPr>
      <w:bookmarkStart w:id="8" w:name="_Toc13440_WPSOffice_Level1"/>
      <w:r>
        <w:rPr>
          <w:rFonts w:hint="eastAsia" w:asciiTheme="minorEastAsia" w:hAnsiTheme="minorEastAsia" w:eastAsiaTheme="minorEastAsia"/>
          <w:b/>
          <w:sz w:val="36"/>
          <w:szCs w:val="36"/>
        </w:rPr>
        <w:t>评标办法及评分标准</w:t>
      </w:r>
      <w:bookmarkEnd w:id="8"/>
    </w:p>
    <w:p>
      <w:pPr>
        <w:spacing w:line="360" w:lineRule="auto"/>
        <w:ind w:firstLine="482" w:firstLineChars="200"/>
        <w:rPr>
          <w:rFonts w:ascii="宋体" w:hAnsi="宋体" w:cs="宋体"/>
          <w:b/>
          <w:bCs/>
          <w:sz w:val="24"/>
        </w:rPr>
      </w:pPr>
    </w:p>
    <w:p>
      <w:pPr>
        <w:autoSpaceDE w:val="0"/>
        <w:autoSpaceDN w:val="0"/>
        <w:spacing w:line="360" w:lineRule="auto"/>
        <w:ind w:firstLine="420" w:firstLineChars="200"/>
        <w:rPr>
          <w:rFonts w:ascii="宋体" w:hAnsi="宋体" w:cs="宋体"/>
        </w:rPr>
      </w:pPr>
      <w:r>
        <w:rPr>
          <w:rFonts w:hint="eastAsia" w:ascii="宋体" w:hAnsi="宋体" w:cs="宋体"/>
        </w:rPr>
        <w:t>一、采购组织机构将组织评标委员会，对</w:t>
      </w:r>
      <w:r>
        <w:rPr>
          <w:rFonts w:hint="eastAsia" w:ascii="宋体" w:hAnsi="宋体" w:cs="宋体"/>
          <w:lang w:eastAsia="zh-CN"/>
        </w:rPr>
        <w:t>供应商</w:t>
      </w:r>
      <w:r>
        <w:rPr>
          <w:rFonts w:hint="eastAsia" w:ascii="宋体" w:hAnsi="宋体" w:cs="宋体"/>
        </w:rPr>
        <w:t>提供的投标文件进行综合评审。</w:t>
      </w:r>
    </w:p>
    <w:p>
      <w:pPr>
        <w:autoSpaceDE w:val="0"/>
        <w:autoSpaceDN w:val="0"/>
        <w:spacing w:line="360" w:lineRule="auto"/>
        <w:ind w:firstLine="420" w:firstLineChars="200"/>
        <w:rPr>
          <w:rFonts w:ascii="宋体" w:hAnsi="宋体" w:cs="宋体"/>
        </w:rPr>
      </w:pPr>
      <w:r>
        <w:rPr>
          <w:rFonts w:hint="eastAsia" w:ascii="宋体" w:hAnsi="宋体" w:cs="宋体"/>
        </w:rPr>
        <w:t>二、本次招标项目的评标方法为综合评分法，总计100分，其中资格及</w:t>
      </w:r>
      <w:r>
        <w:rPr>
          <w:rFonts w:hint="eastAsia" w:ascii="宋体" w:hAnsi="宋体" w:cs="宋体"/>
          <w:lang w:val="zh-CN"/>
        </w:rPr>
        <w:t>商务技术文件分值</w:t>
      </w:r>
      <w:r>
        <w:rPr>
          <w:rFonts w:hint="eastAsia" w:ascii="宋体" w:hAnsi="宋体" w:cs="宋体"/>
        </w:rPr>
        <w:t>70</w:t>
      </w:r>
      <w:r>
        <w:rPr>
          <w:rFonts w:hint="eastAsia" w:ascii="宋体" w:hAnsi="宋体" w:cs="宋体"/>
          <w:lang w:val="zh-CN"/>
        </w:rPr>
        <w:t>分，投标报价分值</w:t>
      </w:r>
      <w:r>
        <w:rPr>
          <w:rFonts w:hint="eastAsia" w:ascii="宋体" w:hAnsi="宋体" w:cs="宋体"/>
        </w:rPr>
        <w:t>30</w:t>
      </w:r>
      <w:r>
        <w:rPr>
          <w:rFonts w:hint="eastAsia" w:ascii="宋体" w:hAnsi="宋体" w:cs="宋体"/>
          <w:lang w:val="zh-CN"/>
        </w:rPr>
        <w:t>分</w:t>
      </w:r>
      <w:r>
        <w:rPr>
          <w:rFonts w:hint="eastAsia" w:ascii="宋体" w:hAnsi="宋体" w:cs="宋体"/>
        </w:rPr>
        <w:t>。评标标准按评分细化条款及分值进行评审。</w:t>
      </w:r>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（一）</w:t>
      </w:r>
      <w:r>
        <w:rPr>
          <w:rFonts w:hint="eastAsia" w:ascii="宋体" w:hAnsi="宋体" w:cs="宋体"/>
        </w:rPr>
        <w:t>资格及</w:t>
      </w:r>
      <w:r>
        <w:rPr>
          <w:rFonts w:hint="eastAsia" w:ascii="宋体" w:hAnsi="宋体" w:cs="宋体"/>
          <w:lang w:val="zh-CN"/>
        </w:rPr>
        <w:t>商务技术文件中的客观分由评标委员会讨论后统一打分；其余在规定的分值内单独评定打分</w:t>
      </w:r>
      <w:r>
        <w:rPr>
          <w:rFonts w:hint="eastAsia" w:ascii="宋体" w:hAnsi="宋体" w:cs="宋体"/>
        </w:rPr>
        <w:t>（小数点后保留1位）</w:t>
      </w:r>
      <w:r>
        <w:rPr>
          <w:rFonts w:hint="eastAsia" w:ascii="宋体" w:hAnsi="宋体" w:cs="宋体"/>
          <w:lang w:val="zh-CN"/>
        </w:rPr>
        <w:t>。</w:t>
      </w:r>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（二）各供应商</w:t>
      </w:r>
      <w:r>
        <w:rPr>
          <w:rFonts w:hint="eastAsia" w:ascii="宋体" w:hAnsi="宋体" w:cs="宋体"/>
        </w:rPr>
        <w:t>资格及</w:t>
      </w:r>
      <w:r>
        <w:rPr>
          <w:rFonts w:hint="eastAsia" w:ascii="宋体" w:hAnsi="宋体" w:cs="宋体"/>
          <w:lang w:val="zh-CN"/>
        </w:rPr>
        <w:t>商务技术文件得分按照评标委员会成员的独立评分结果汇总后的算术平均分计算</w:t>
      </w:r>
      <w:r>
        <w:rPr>
          <w:rFonts w:hint="eastAsia" w:ascii="宋体" w:hAnsi="宋体" w:cs="宋体"/>
        </w:rPr>
        <w:t>（小数点后保留2位）</w:t>
      </w:r>
      <w:r>
        <w:rPr>
          <w:rFonts w:hint="eastAsia" w:ascii="宋体" w:hAnsi="宋体" w:cs="宋体"/>
          <w:lang w:val="zh-CN"/>
        </w:rPr>
        <w:t>，计算公式为：</w:t>
      </w:r>
    </w:p>
    <w:p>
      <w:pPr>
        <w:autoSpaceDE w:val="0"/>
        <w:autoSpaceDN w:val="0"/>
        <w:spacing w:line="360" w:lineRule="auto"/>
        <w:ind w:firstLine="420" w:firstLineChars="200"/>
        <w:rPr>
          <w:rFonts w:ascii="宋体" w:hAnsi="宋体" w:cs="宋体"/>
          <w:lang w:val="zh-CN"/>
        </w:rPr>
      </w:pPr>
      <w:r>
        <w:rPr>
          <w:rFonts w:hint="eastAsia" w:ascii="宋体" w:hAnsi="宋体" w:cs="宋体"/>
        </w:rPr>
        <w:t>资格及</w:t>
      </w:r>
      <w:r>
        <w:rPr>
          <w:rFonts w:hint="eastAsia" w:ascii="宋体" w:hAnsi="宋体" w:cs="宋体"/>
          <w:lang w:val="zh-CN"/>
        </w:rPr>
        <w:t>商务技术文件</w:t>
      </w:r>
      <w:r>
        <w:rPr>
          <w:rFonts w:hint="eastAsia" w:ascii="宋体" w:hAnsi="宋体" w:cs="宋体"/>
        </w:rPr>
        <w:t>得分</w:t>
      </w:r>
      <w:r>
        <w:rPr>
          <w:rFonts w:hint="eastAsia" w:ascii="宋体" w:hAnsi="宋体" w:cs="宋体"/>
          <w:lang w:val="zh-CN"/>
        </w:rPr>
        <w:t>=评标委员会所有成员评分合计数/评标委员会组成人员数。</w:t>
      </w:r>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（三）投标报价得分采用低价优先法计算</w:t>
      </w:r>
      <w:r>
        <w:rPr>
          <w:rFonts w:hint="eastAsia" w:ascii="宋体" w:hAnsi="宋体" w:cs="宋体"/>
        </w:rPr>
        <w:t>（小数点后保留2位）</w:t>
      </w:r>
      <w:r>
        <w:rPr>
          <w:rFonts w:hint="eastAsia" w:ascii="宋体" w:hAnsi="宋体" w:cs="宋体"/>
          <w:lang w:val="zh-CN"/>
        </w:rPr>
        <w:t>，即满足招标文件要求且投标价格最低的投标报价为评标基准价，其报价得满分。其他供应商的投标报价得分按下列公式计算：</w:t>
      </w:r>
    </w:p>
    <w:p>
      <w:pPr>
        <w:autoSpaceDE w:val="0"/>
        <w:autoSpaceDN w:val="0"/>
        <w:spacing w:line="360" w:lineRule="auto"/>
        <w:ind w:firstLine="420" w:firstLineChars="200"/>
        <w:rPr>
          <w:rFonts w:ascii="宋体" w:hAnsi="宋体" w:cs="宋体"/>
          <w:u w:val="single"/>
        </w:rPr>
      </w:pPr>
      <w:r>
        <w:rPr>
          <w:rFonts w:hint="eastAsia" w:ascii="宋体" w:hAnsi="宋体" w:cs="宋体"/>
          <w:u w:val="single"/>
        </w:rPr>
        <w:t>投标报价得分=(评标基准价／投标报价)×30%×100 。</w:t>
      </w:r>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（四）供应商综合得分＝资格及商务技术文件得分＋投标报价得分。</w:t>
      </w:r>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（五）政府采购政策及优惠：</w:t>
      </w:r>
    </w:p>
    <w:p>
      <w:pPr>
        <w:autoSpaceDE w:val="0"/>
        <w:autoSpaceDN w:val="0"/>
        <w:spacing w:line="360" w:lineRule="auto"/>
        <w:ind w:firstLine="420" w:firstLineChars="200"/>
        <w:rPr>
          <w:rFonts w:ascii="宋体" w:hAnsi="宋体" w:cs="宋体"/>
          <w:lang w:val="zh-CN"/>
        </w:rPr>
      </w:pPr>
      <w:r>
        <w:rPr>
          <w:rFonts w:hint="eastAsia" w:ascii="宋体" w:hAnsi="宋体" w:cs="宋体"/>
        </w:rPr>
        <w:t>本项目专门面向中小企业采购，价格评审时，小微企业的投标价格不做扣除</w:t>
      </w:r>
      <w:r>
        <w:rPr>
          <w:rFonts w:hint="eastAsia" w:ascii="宋体" w:hAnsi="宋体" w:cs="宋体"/>
          <w:lang w:val="zh-CN"/>
        </w:rPr>
        <w:t>。</w:t>
      </w:r>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注：得分以系统计算为准，保留2位小数。</w:t>
      </w:r>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三、在最大限度地满足招标文件实质性要求前提下，评标委员会按照招标文件中规定的各项因素进行综合评审后，以评标总得分最高的供应商为中标候选人。</w:t>
      </w:r>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spacing w:line="360" w:lineRule="auto"/>
        <w:ind w:firstLine="420" w:firstLineChars="200"/>
        <w:rPr>
          <w:rFonts w:ascii="宋体" w:hAnsi="宋体" w:cs="宋体"/>
          <w:lang w:val="zh-CN"/>
        </w:rPr>
      </w:pPr>
      <w:r>
        <w:rPr>
          <w:rFonts w:hint="eastAsia" w:ascii="宋体" w:hAnsi="宋体" w:cs="宋体"/>
          <w:lang w:val="zh-CN"/>
        </w:rPr>
        <w:t>五、提供相同品牌产品的不同供应商参加同一合同项下投标的，按一家供应商认定：（1）采用最低评标价法的采购项目，以其中通过资格审查、符合性审查且报价最低的参加评标；报价相同的，由评标委员会集体确定一个供应商参加评标，其他投标无效。（2）使用综合评分法的采购项目，评审后得分最高的同品牌供应商获得中标人推荐资格；评审得分相同的，由评标委员会集体推荐一个供应商作为中标候选人，其他同品牌供应商不作为中标候选人。</w:t>
      </w:r>
    </w:p>
    <w:p>
      <w:pPr>
        <w:autoSpaceDE w:val="0"/>
        <w:autoSpaceDN w:val="0"/>
        <w:spacing w:line="360" w:lineRule="auto"/>
        <w:ind w:firstLine="420" w:firstLineChars="200"/>
        <w:rPr>
          <w:rFonts w:hint="eastAsia" w:ascii="宋体" w:hAnsi="宋体" w:cs="宋体"/>
          <w:lang w:val="zh-CN"/>
        </w:rPr>
      </w:pPr>
      <w:bookmarkStart w:id="9" w:name="_Toc101191222"/>
      <w:r>
        <w:rPr>
          <w:rFonts w:hint="eastAsia" w:ascii="宋体" w:hAnsi="宋体" w:cs="宋体"/>
          <w:lang w:val="zh-CN"/>
        </w:rPr>
        <w:t>六、本次评分具体分值细化条款如下表：</w:t>
      </w:r>
      <w:bookmarkEnd w:id="9"/>
    </w:p>
    <w:p>
      <w:pPr>
        <w:pStyle w:val="31"/>
        <w:rPr>
          <w:lang w:val="zh-CN"/>
        </w:rPr>
      </w:pPr>
    </w:p>
    <w:tbl>
      <w:tblPr>
        <w:tblStyle w:val="29"/>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910"/>
        <w:gridCol w:w="6984"/>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37" w:type="dxa"/>
            <w:tcBorders>
              <w:top w:val="single" w:color="auto" w:sz="4" w:space="0"/>
              <w:left w:val="single" w:color="auto" w:sz="4" w:space="0"/>
              <w:bottom w:val="single" w:color="auto" w:sz="4" w:space="0"/>
              <w:right w:val="single" w:color="auto" w:sz="4" w:space="0"/>
            </w:tcBorders>
            <w:shd w:val="clear" w:color="auto" w:fill="D7D7D7"/>
            <w:vAlign w:val="center"/>
          </w:tcPr>
          <w:p>
            <w:pPr>
              <w:adjustRightInd w:val="0"/>
              <w:snapToGrid w:val="0"/>
              <w:jc w:val="center"/>
              <w:rPr>
                <w:rFonts w:ascii="宋体" w:hAnsi="宋体" w:cs="宋体"/>
                <w:b/>
                <w:bCs/>
                <w:szCs w:val="21"/>
              </w:rPr>
            </w:pPr>
          </w:p>
        </w:tc>
        <w:tc>
          <w:tcPr>
            <w:tcW w:w="1910" w:type="dxa"/>
            <w:tcBorders>
              <w:top w:val="single" w:color="auto" w:sz="4" w:space="0"/>
              <w:left w:val="single" w:color="auto" w:sz="4" w:space="0"/>
              <w:bottom w:val="single" w:color="auto" w:sz="4" w:space="0"/>
              <w:right w:val="single" w:color="auto" w:sz="4" w:space="0"/>
            </w:tcBorders>
            <w:shd w:val="clear" w:color="auto" w:fill="D7D7D7"/>
            <w:vAlign w:val="center"/>
          </w:tcPr>
          <w:p>
            <w:pPr>
              <w:adjustRightInd w:val="0"/>
              <w:snapToGrid w:val="0"/>
              <w:jc w:val="center"/>
              <w:rPr>
                <w:rFonts w:ascii="宋体" w:hAnsi="宋体" w:cs="宋体"/>
                <w:b/>
                <w:bCs/>
                <w:szCs w:val="21"/>
              </w:rPr>
            </w:pPr>
            <w:r>
              <w:rPr>
                <w:rFonts w:hint="eastAsia" w:ascii="宋体" w:hAnsi="宋体" w:cs="宋体"/>
                <w:b/>
                <w:bCs/>
                <w:szCs w:val="21"/>
              </w:rPr>
              <w:t>评审项目</w:t>
            </w:r>
          </w:p>
        </w:tc>
        <w:tc>
          <w:tcPr>
            <w:tcW w:w="6984" w:type="dxa"/>
            <w:tcBorders>
              <w:top w:val="single" w:color="auto" w:sz="4" w:space="0"/>
              <w:left w:val="single" w:color="auto" w:sz="4" w:space="0"/>
              <w:bottom w:val="single" w:color="auto" w:sz="4" w:space="0"/>
              <w:right w:val="single" w:color="auto" w:sz="4" w:space="0"/>
            </w:tcBorders>
            <w:shd w:val="clear" w:color="auto" w:fill="D7D7D7"/>
            <w:vAlign w:val="center"/>
          </w:tcPr>
          <w:p>
            <w:pPr>
              <w:adjustRightInd w:val="0"/>
              <w:snapToGrid w:val="0"/>
              <w:jc w:val="center"/>
              <w:rPr>
                <w:rFonts w:ascii="宋体" w:hAnsi="宋体" w:cs="宋体"/>
                <w:b/>
                <w:bCs/>
                <w:szCs w:val="21"/>
              </w:rPr>
            </w:pPr>
            <w:r>
              <w:rPr>
                <w:rFonts w:hint="eastAsia" w:ascii="宋体" w:hAnsi="宋体" w:cs="宋体"/>
                <w:b/>
                <w:bCs/>
                <w:szCs w:val="21"/>
              </w:rPr>
              <w:t>评审规则</w:t>
            </w:r>
          </w:p>
        </w:tc>
        <w:tc>
          <w:tcPr>
            <w:tcW w:w="639" w:type="dxa"/>
            <w:tcBorders>
              <w:top w:val="single" w:color="auto" w:sz="4" w:space="0"/>
              <w:left w:val="single" w:color="auto" w:sz="4" w:space="0"/>
              <w:bottom w:val="single" w:color="auto" w:sz="4" w:space="0"/>
              <w:right w:val="single" w:color="auto" w:sz="4" w:space="0"/>
            </w:tcBorders>
            <w:shd w:val="clear" w:color="auto" w:fill="D7D7D7"/>
            <w:vAlign w:val="center"/>
          </w:tcPr>
          <w:p>
            <w:pPr>
              <w:adjustRightInd w:val="0"/>
              <w:snapToGrid w:val="0"/>
              <w:jc w:val="center"/>
              <w:rPr>
                <w:rFonts w:ascii="宋体" w:hAnsi="宋体" w:cs="宋体"/>
                <w:b/>
                <w:bCs/>
                <w:szCs w:val="21"/>
              </w:rPr>
            </w:pPr>
            <w:r>
              <w:rPr>
                <w:rFonts w:hint="eastAsia" w:ascii="宋体" w:hAnsi="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37" w:type="dxa"/>
            <w:vMerge w:val="restart"/>
            <w:tcBorders>
              <w:top w:val="single" w:color="auto" w:sz="4" w:space="0"/>
              <w:left w:val="single" w:color="auto" w:sz="4" w:space="0"/>
              <w:right w:val="single" w:color="auto" w:sz="4" w:space="0"/>
            </w:tcBorders>
            <w:textDirection w:val="tbRlV"/>
            <w:vAlign w:val="center"/>
          </w:tcPr>
          <w:p>
            <w:pPr>
              <w:adjustRightInd w:val="0"/>
              <w:snapToGrid w:val="0"/>
              <w:ind w:left="113" w:right="113"/>
              <w:jc w:val="center"/>
              <w:rPr>
                <w:rFonts w:ascii="宋体" w:hAnsi="宋体" w:cs="宋体"/>
                <w:szCs w:val="21"/>
              </w:rPr>
            </w:pPr>
            <w:r>
              <w:rPr>
                <w:rFonts w:hint="eastAsia" w:ascii="宋体" w:hAnsi="宋体" w:cs="宋体"/>
                <w:b/>
                <w:sz w:val="24"/>
              </w:rPr>
              <w:t>商务技术部分（70分）</w:t>
            </w:r>
          </w:p>
        </w:tc>
        <w:tc>
          <w:tcPr>
            <w:tcW w:w="19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napToGrid w:val="0"/>
                <w:color w:val="auto"/>
                <w:kern w:val="2"/>
                <w:sz w:val="18"/>
                <w:szCs w:val="18"/>
                <w:highlight w:val="none"/>
                <w:lang w:val="en-US" w:eastAsia="zh-CN" w:bidi="ar-SA"/>
              </w:rPr>
            </w:pPr>
            <w:r>
              <w:rPr>
                <w:rFonts w:hint="eastAsia" w:asciiTheme="minorEastAsia" w:hAnsiTheme="minorEastAsia" w:eastAsiaTheme="minorEastAsia" w:cstheme="minorEastAsia"/>
                <w:snapToGrid w:val="0"/>
                <w:color w:val="auto"/>
                <w:kern w:val="2"/>
                <w:sz w:val="18"/>
                <w:szCs w:val="18"/>
                <w:highlight w:val="none"/>
                <w:lang w:val="en-US" w:eastAsia="zh-CN" w:bidi="ar-SA"/>
              </w:rPr>
              <w:t>供应商综合实力</w:t>
            </w:r>
          </w:p>
        </w:tc>
        <w:tc>
          <w:tcPr>
            <w:tcW w:w="69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napToGrid w:val="0"/>
                <w:color w:val="auto"/>
                <w:kern w:val="2"/>
                <w:sz w:val="18"/>
                <w:szCs w:val="18"/>
                <w:highlight w:val="none"/>
                <w:lang w:val="en-US" w:eastAsia="zh-CN" w:bidi="ar-SA"/>
              </w:rPr>
            </w:pPr>
            <w:r>
              <w:rPr>
                <w:rFonts w:hint="eastAsia" w:asciiTheme="minorEastAsia" w:hAnsiTheme="minorEastAsia" w:eastAsiaTheme="minorEastAsia" w:cstheme="minorEastAsia"/>
                <w:snapToGrid w:val="0"/>
                <w:color w:val="auto"/>
                <w:kern w:val="2"/>
                <w:sz w:val="18"/>
                <w:szCs w:val="18"/>
                <w:highlight w:val="none"/>
                <w:lang w:val="en-US" w:eastAsia="zh-CN" w:bidi="ar-SA"/>
              </w:rPr>
              <w:t>根据投标文件中有关供应商企业实力、资质、</w:t>
            </w:r>
            <w:r>
              <w:rPr>
                <w:rFonts w:hint="eastAsia" w:asciiTheme="minorEastAsia" w:hAnsiTheme="minorEastAsia" w:eastAsiaTheme="minorEastAsia" w:cstheme="minorEastAsia"/>
                <w:b/>
                <w:bCs/>
                <w:snapToGrid w:val="0"/>
                <w:color w:val="auto"/>
                <w:kern w:val="2"/>
                <w:sz w:val="18"/>
                <w:szCs w:val="18"/>
                <w:highlight w:val="none"/>
                <w:lang w:val="en-US" w:eastAsia="zh-CN" w:bidi="ar-SA"/>
              </w:rPr>
              <w:t>信用、履约能力、认证证书</w:t>
            </w:r>
            <w:r>
              <w:rPr>
                <w:rFonts w:hint="eastAsia" w:asciiTheme="minorEastAsia" w:hAnsiTheme="minorEastAsia" w:eastAsiaTheme="minorEastAsia" w:cstheme="minorEastAsia"/>
                <w:snapToGrid w:val="0"/>
                <w:color w:val="auto"/>
                <w:kern w:val="2"/>
                <w:sz w:val="18"/>
                <w:szCs w:val="18"/>
                <w:highlight w:val="none"/>
                <w:lang w:val="en-US" w:eastAsia="zh-CN" w:bidi="ar-SA"/>
              </w:rPr>
              <w:t>等情况综合评分。最高6分，未提供得0分。</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color w:val="FF0000"/>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637" w:type="dxa"/>
            <w:vMerge w:val="continue"/>
            <w:tcBorders>
              <w:left w:val="single" w:color="auto" w:sz="4" w:space="0"/>
              <w:right w:val="single" w:color="auto" w:sz="4" w:space="0"/>
            </w:tcBorders>
            <w:vAlign w:val="center"/>
          </w:tcPr>
          <w:p>
            <w:pPr>
              <w:widowControl/>
              <w:adjustRightInd w:val="0"/>
              <w:snapToGrid w:val="0"/>
              <w:jc w:val="center"/>
              <w:rPr>
                <w:rFonts w:ascii="宋体" w:hAnsi="宋体" w:cs="宋体"/>
                <w:szCs w:val="21"/>
              </w:rPr>
            </w:pPr>
          </w:p>
        </w:tc>
        <w:tc>
          <w:tcPr>
            <w:tcW w:w="19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类似业绩</w:t>
            </w:r>
          </w:p>
        </w:tc>
        <w:tc>
          <w:tcPr>
            <w:tcW w:w="6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投标单位具有2019年1月1日以来（以竣工时间为准）完成类似医用气体系统的业绩，每上业绩得1分，最高得3分。</w:t>
            </w:r>
          </w:p>
          <w:p>
            <w:pPr>
              <w:adjustRightInd w:val="0"/>
              <w:snapToGrid w:val="0"/>
              <w:spacing w:line="360" w:lineRule="auto"/>
              <w:jc w:val="left"/>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注：每个业绩必须提供中标通知书、合同、竣工验收报告原件的扫描件，竣工验收报告证明须由建设单位、设计单位、监理单位、供应商共同盖公章，否则该业绩不予认可。</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FF0000"/>
                <w:kern w:val="2"/>
                <w:sz w:val="18"/>
                <w:szCs w:val="18"/>
                <w:highlight w:val="none"/>
                <w:lang w:val="en-US" w:eastAsia="zh-CN" w:bidi="ar-SA"/>
              </w:rPr>
            </w:pPr>
            <w:r>
              <w:rPr>
                <w:rFonts w:hint="eastAsia" w:asciiTheme="minorEastAsia" w:hAnsiTheme="minorEastAsia" w:eastAsiaTheme="minorEastAsia" w:cstheme="minorEastAsia"/>
                <w:color w:val="FF0000"/>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637" w:type="dxa"/>
            <w:vMerge w:val="continue"/>
            <w:tcBorders>
              <w:left w:val="single" w:color="auto" w:sz="4" w:space="0"/>
              <w:right w:val="single" w:color="auto" w:sz="4" w:space="0"/>
            </w:tcBorders>
            <w:vAlign w:val="center"/>
          </w:tcPr>
          <w:p>
            <w:pPr>
              <w:widowControl/>
              <w:adjustRightInd w:val="0"/>
              <w:snapToGrid w:val="0"/>
              <w:jc w:val="center"/>
              <w:rPr>
                <w:rFonts w:ascii="宋体" w:hAnsi="宋体" w:cs="宋体"/>
                <w:szCs w:val="21"/>
              </w:rPr>
            </w:pPr>
          </w:p>
        </w:tc>
        <w:tc>
          <w:tcPr>
            <w:tcW w:w="1910" w:type="dxa"/>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拟派项目负责人及技术负责人</w:t>
            </w:r>
          </w:p>
        </w:tc>
        <w:tc>
          <w:tcPr>
            <w:tcW w:w="6984"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both"/>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项目负责人具有机电二级及以上注册建造师资质,同时提供自2022年4月1日以来在投标单位连续三个月的社保证明得1分；</w:t>
            </w:r>
          </w:p>
          <w:p>
            <w:pPr>
              <w:pStyle w:val="7"/>
              <w:spacing w:line="360" w:lineRule="auto"/>
              <w:jc w:val="both"/>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技术负责人具有高级及以上职称证书,同时提供人自2022年4月1日以来在投标单位连续三个月的社保证明得1分。</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color w:val="FF0000"/>
                <w:sz w:val="18"/>
                <w:szCs w:val="18"/>
                <w:highlight w:val="none"/>
                <w:lang w:val="en-US" w:eastAsia="zh-CN"/>
              </w:rPr>
            </w:pPr>
            <w:r>
              <w:rPr>
                <w:rFonts w:hint="eastAsia" w:asciiTheme="minorEastAsia" w:hAnsiTheme="minorEastAsia" w:eastAsiaTheme="minorEastAsia" w:cstheme="minorEastAsia"/>
                <w:color w:val="FF0000"/>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37" w:type="dxa"/>
            <w:vMerge w:val="continue"/>
            <w:tcBorders>
              <w:left w:val="single" w:color="auto" w:sz="4" w:space="0"/>
              <w:right w:val="single" w:color="auto" w:sz="4" w:space="0"/>
            </w:tcBorders>
            <w:vAlign w:val="center"/>
          </w:tcPr>
          <w:p>
            <w:pPr>
              <w:widowControl/>
              <w:adjustRightInd w:val="0"/>
              <w:snapToGrid w:val="0"/>
              <w:jc w:val="center"/>
              <w:rPr>
                <w:rFonts w:ascii="宋体" w:hAnsi="宋体" w:cs="宋体"/>
                <w:szCs w:val="21"/>
              </w:rPr>
            </w:pPr>
          </w:p>
        </w:tc>
        <w:tc>
          <w:tcPr>
            <w:tcW w:w="19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napToGrid w:val="0"/>
                <w:color w:val="auto"/>
                <w:kern w:val="2"/>
                <w:sz w:val="18"/>
                <w:szCs w:val="18"/>
                <w:highlight w:val="none"/>
                <w:lang w:val="en-US" w:eastAsia="zh-CN" w:bidi="ar-SA"/>
              </w:rPr>
            </w:pPr>
            <w:r>
              <w:rPr>
                <w:rFonts w:hint="eastAsia" w:asciiTheme="minorEastAsia" w:hAnsiTheme="minorEastAsia" w:eastAsiaTheme="minorEastAsia" w:cstheme="minorEastAsia"/>
                <w:snapToGrid w:val="0"/>
                <w:color w:val="auto"/>
                <w:kern w:val="2"/>
                <w:sz w:val="18"/>
                <w:szCs w:val="18"/>
                <w:highlight w:val="none"/>
                <w:lang w:val="en-US" w:eastAsia="zh-CN" w:bidi="ar-SA"/>
              </w:rPr>
              <w:t>投标产品配置与招标文件技术要求的适合性</w:t>
            </w:r>
          </w:p>
        </w:tc>
        <w:tc>
          <w:tcPr>
            <w:tcW w:w="6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Theme="minorEastAsia" w:hAnsiTheme="minorEastAsia" w:eastAsiaTheme="minorEastAsia" w:cstheme="minorEastAsia"/>
                <w:snapToGrid w:val="0"/>
                <w:color w:val="auto"/>
                <w:kern w:val="2"/>
                <w:sz w:val="18"/>
                <w:szCs w:val="18"/>
                <w:highlight w:val="none"/>
                <w:lang w:val="en-US" w:eastAsia="zh-CN" w:bidi="ar-SA"/>
              </w:rPr>
            </w:pPr>
            <w:r>
              <w:rPr>
                <w:rFonts w:hint="eastAsia" w:asciiTheme="minorEastAsia" w:hAnsiTheme="minorEastAsia" w:eastAsiaTheme="minorEastAsia" w:cstheme="minorEastAsia"/>
                <w:snapToGrid w:val="0"/>
                <w:color w:val="auto"/>
                <w:kern w:val="2"/>
                <w:sz w:val="18"/>
                <w:szCs w:val="18"/>
                <w:highlight w:val="none"/>
                <w:lang w:val="en-US" w:eastAsia="zh-CN" w:bidi="ar-SA"/>
              </w:rPr>
              <w:t>供应商提供的技术响应参数与招标文件技术要求的适合性，由评委针对每一条技术响应情况进行评审，全部符合得28分，带</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snapToGrid w:val="0"/>
                <w:color w:val="auto"/>
                <w:kern w:val="2"/>
                <w:sz w:val="18"/>
                <w:szCs w:val="18"/>
                <w:highlight w:val="none"/>
                <w:lang w:val="en-US" w:eastAsia="zh-CN" w:bidi="ar-SA"/>
              </w:rPr>
              <w:t>条款每出现一项负偏离或相关证明材料不符合扣2分。其余指标负偏离的每条扣0.5分，扣完为止。</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37" w:type="dxa"/>
            <w:vMerge w:val="continue"/>
            <w:tcBorders>
              <w:left w:val="single" w:color="auto" w:sz="4" w:space="0"/>
              <w:right w:val="single" w:color="auto" w:sz="4" w:space="0"/>
            </w:tcBorders>
            <w:vAlign w:val="center"/>
          </w:tcPr>
          <w:p>
            <w:pPr>
              <w:widowControl/>
              <w:adjustRightInd w:val="0"/>
              <w:snapToGrid w:val="0"/>
              <w:jc w:val="center"/>
              <w:rPr>
                <w:rFonts w:ascii="宋体" w:hAnsi="宋体" w:cs="宋体"/>
                <w:szCs w:val="21"/>
              </w:rPr>
            </w:pPr>
          </w:p>
        </w:tc>
        <w:tc>
          <w:tcPr>
            <w:tcW w:w="1910" w:type="dxa"/>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项目实施方案</w:t>
            </w:r>
          </w:p>
        </w:tc>
        <w:tc>
          <w:tcPr>
            <w:tcW w:w="6984"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both"/>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根据各供应商针对本项目的各项详细方案（包含安装、验收、调试等）的可行性、细致程度、具体程度等进行评审：方案科学、合理的，得5-6分；方案较科学、合理的，得2-4.9分； 方案整体偏离实际要求、较差的，得0.1-1.9分；未提供不得分。</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37" w:type="dxa"/>
            <w:vMerge w:val="continue"/>
            <w:tcBorders>
              <w:left w:val="single" w:color="auto" w:sz="4" w:space="0"/>
              <w:right w:val="single" w:color="auto" w:sz="4" w:space="0"/>
            </w:tcBorders>
            <w:vAlign w:val="center"/>
          </w:tcPr>
          <w:p>
            <w:pPr>
              <w:widowControl/>
              <w:adjustRightInd w:val="0"/>
              <w:snapToGrid w:val="0"/>
              <w:jc w:val="center"/>
              <w:rPr>
                <w:rFonts w:ascii="宋体" w:hAnsi="宋体" w:cs="宋体"/>
                <w:szCs w:val="21"/>
              </w:rPr>
            </w:pPr>
          </w:p>
        </w:tc>
        <w:tc>
          <w:tcPr>
            <w:tcW w:w="1910" w:type="dxa"/>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项目进度措施</w:t>
            </w:r>
          </w:p>
        </w:tc>
        <w:tc>
          <w:tcPr>
            <w:tcW w:w="6984"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both"/>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根据各供应商的项目进度措施进行评分：项目进度措施方案合理可行，能有效缩短项目工期的，得4-5分；项目进度措施方案基本合理，能缩短项目工期的，得2-3.9分；项目进度措施方案可行性较差，不能有效缩短项目工期的，得0.1-1.9分；未提供不得分。</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37" w:type="dxa"/>
            <w:vMerge w:val="continue"/>
            <w:tcBorders>
              <w:left w:val="single" w:color="auto" w:sz="4" w:space="0"/>
              <w:right w:val="single" w:color="auto" w:sz="4" w:space="0"/>
            </w:tcBorders>
            <w:vAlign w:val="center"/>
          </w:tcPr>
          <w:p>
            <w:pPr>
              <w:widowControl/>
              <w:adjustRightInd w:val="0"/>
              <w:snapToGrid w:val="0"/>
              <w:jc w:val="center"/>
              <w:rPr>
                <w:rFonts w:ascii="宋体" w:hAnsi="宋体" w:cs="宋体"/>
                <w:szCs w:val="21"/>
              </w:rPr>
            </w:pPr>
          </w:p>
        </w:tc>
        <w:tc>
          <w:tcPr>
            <w:tcW w:w="1910" w:type="dxa"/>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人员技术培训方案</w:t>
            </w:r>
          </w:p>
        </w:tc>
        <w:tc>
          <w:tcPr>
            <w:tcW w:w="6984"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both"/>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由评委根据供应商的人员技术培训方案进行评议：人员技术培训方案完整合理、切实可行的，得4-5分；人员技术培训方案基本合理、可行性一般的，得2-3.9分；</w:t>
            </w:r>
          </w:p>
          <w:p>
            <w:pPr>
              <w:pStyle w:val="7"/>
              <w:spacing w:line="360" w:lineRule="auto"/>
              <w:jc w:val="both"/>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人员技术培训方案偏离实际的，得0.1-1.9分；未提供不得分。</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37" w:type="dxa"/>
            <w:vMerge w:val="continue"/>
            <w:tcBorders>
              <w:left w:val="single" w:color="auto" w:sz="4" w:space="0"/>
              <w:right w:val="single" w:color="auto" w:sz="4" w:space="0"/>
            </w:tcBorders>
            <w:vAlign w:val="center"/>
          </w:tcPr>
          <w:p>
            <w:pPr>
              <w:widowControl/>
              <w:adjustRightInd w:val="0"/>
              <w:snapToGrid w:val="0"/>
              <w:jc w:val="center"/>
              <w:rPr>
                <w:rFonts w:ascii="宋体" w:hAnsi="宋体" w:cs="宋体"/>
                <w:szCs w:val="21"/>
              </w:rPr>
            </w:pPr>
          </w:p>
        </w:tc>
        <w:tc>
          <w:tcPr>
            <w:tcW w:w="1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Theme="minorEastAsia" w:hAnsiTheme="minorEastAsia" w:eastAsiaTheme="minorEastAsia" w:cstheme="minorEastAsia"/>
                <w:snapToGrid w:val="0"/>
                <w:color w:val="auto"/>
                <w:kern w:val="2"/>
                <w:sz w:val="18"/>
                <w:szCs w:val="18"/>
                <w:highlight w:val="none"/>
                <w:lang w:val="en-US" w:eastAsia="zh-CN" w:bidi="ar-SA"/>
              </w:rPr>
            </w:pPr>
            <w:r>
              <w:rPr>
                <w:rFonts w:hint="eastAsia" w:asciiTheme="minorEastAsia" w:hAnsiTheme="minorEastAsia" w:eastAsiaTheme="minorEastAsia" w:cstheme="minorEastAsia"/>
                <w:snapToGrid w:val="0"/>
                <w:color w:val="auto"/>
                <w:kern w:val="2"/>
                <w:sz w:val="18"/>
                <w:szCs w:val="18"/>
                <w:highlight w:val="none"/>
                <w:lang w:val="en-US" w:eastAsia="zh-CN" w:bidi="ar-SA"/>
              </w:rPr>
              <w:t>售后服务体系、服务标准、保修措施、备品备件支持</w:t>
            </w:r>
          </w:p>
        </w:tc>
        <w:tc>
          <w:tcPr>
            <w:tcW w:w="6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Theme="minorEastAsia" w:hAnsiTheme="minorEastAsia" w:eastAsiaTheme="minorEastAsia" w:cstheme="minorEastAsia"/>
                <w:snapToGrid w:val="0"/>
                <w:color w:val="auto"/>
                <w:kern w:val="2"/>
                <w:sz w:val="18"/>
                <w:szCs w:val="18"/>
                <w:highlight w:val="none"/>
                <w:lang w:val="en-US" w:eastAsia="zh-CN" w:bidi="ar-SA"/>
              </w:rPr>
            </w:pPr>
            <w:r>
              <w:rPr>
                <w:rFonts w:hint="eastAsia" w:asciiTheme="minorEastAsia" w:hAnsiTheme="minorEastAsia" w:eastAsiaTheme="minorEastAsia" w:cstheme="minorEastAsia"/>
                <w:b/>
                <w:bCs/>
                <w:snapToGrid w:val="0"/>
                <w:color w:val="auto"/>
                <w:kern w:val="2"/>
                <w:sz w:val="18"/>
                <w:szCs w:val="18"/>
                <w:highlight w:val="none"/>
                <w:lang w:val="en-US" w:eastAsia="zh-CN" w:bidi="ar-SA"/>
              </w:rPr>
              <w:t>售后服务体系较完善、服务标准规范化程度高</w:t>
            </w:r>
            <w:r>
              <w:rPr>
                <w:rFonts w:hint="eastAsia" w:asciiTheme="minorEastAsia" w:hAnsiTheme="minorEastAsia" w:eastAsiaTheme="minorEastAsia" w:cstheme="minorEastAsia"/>
                <w:snapToGrid w:val="0"/>
                <w:color w:val="auto"/>
                <w:kern w:val="2"/>
                <w:sz w:val="18"/>
                <w:szCs w:val="18"/>
                <w:highlight w:val="none"/>
                <w:lang w:val="en-US" w:eastAsia="zh-CN" w:bidi="ar-SA"/>
              </w:rPr>
              <w:t>、备件较齐全、</w:t>
            </w:r>
            <w:r>
              <w:rPr>
                <w:rFonts w:hint="eastAsia" w:asciiTheme="minorEastAsia" w:hAnsiTheme="minorEastAsia" w:eastAsiaTheme="minorEastAsia" w:cstheme="minorEastAsia"/>
                <w:b/>
                <w:bCs/>
                <w:snapToGrid w:val="0"/>
                <w:color w:val="auto"/>
                <w:kern w:val="2"/>
                <w:sz w:val="18"/>
                <w:szCs w:val="18"/>
                <w:highlight w:val="none"/>
                <w:lang w:val="en-US" w:eastAsia="zh-CN" w:bidi="ar-SA"/>
              </w:rPr>
              <w:t>保修措施较完善、</w:t>
            </w:r>
            <w:r>
              <w:rPr>
                <w:rFonts w:hint="eastAsia" w:asciiTheme="minorEastAsia" w:hAnsiTheme="minorEastAsia" w:eastAsiaTheme="minorEastAsia" w:cstheme="minorEastAsia"/>
                <w:b/>
                <w:bCs/>
                <w:color w:val="auto"/>
                <w:sz w:val="18"/>
                <w:szCs w:val="18"/>
                <w:highlight w:val="none"/>
              </w:rPr>
              <w:t>维修能力</w:t>
            </w:r>
            <w:r>
              <w:rPr>
                <w:rFonts w:hint="eastAsia" w:asciiTheme="minorEastAsia" w:hAnsiTheme="minorEastAsia" w:eastAsiaTheme="minorEastAsia" w:cstheme="minorEastAsia"/>
                <w:b/>
                <w:bCs/>
                <w:color w:val="auto"/>
                <w:sz w:val="18"/>
                <w:szCs w:val="18"/>
                <w:highlight w:val="none"/>
                <w:lang w:val="en-US" w:eastAsia="zh-CN"/>
              </w:rPr>
              <w:t>强、</w:t>
            </w:r>
            <w:r>
              <w:rPr>
                <w:rFonts w:hint="eastAsia" w:asciiTheme="minorEastAsia" w:hAnsiTheme="minorEastAsia" w:eastAsiaTheme="minorEastAsia" w:cstheme="minorEastAsia"/>
                <w:b/>
                <w:bCs/>
                <w:snapToGrid w:val="0"/>
                <w:color w:val="auto"/>
                <w:kern w:val="2"/>
                <w:sz w:val="18"/>
                <w:szCs w:val="18"/>
                <w:highlight w:val="none"/>
                <w:lang w:val="en-US" w:eastAsia="zh-CN" w:bidi="ar-SA"/>
              </w:rPr>
              <w:t>备品备件质保期后优惠率</w:t>
            </w:r>
            <w:r>
              <w:rPr>
                <w:rFonts w:hint="eastAsia" w:asciiTheme="minorEastAsia" w:hAnsiTheme="minorEastAsia" w:eastAsiaTheme="minorEastAsia" w:cstheme="minorEastAsia"/>
                <w:snapToGrid w:val="0"/>
                <w:color w:val="auto"/>
                <w:kern w:val="2"/>
                <w:sz w:val="18"/>
                <w:szCs w:val="18"/>
                <w:highlight w:val="none"/>
                <w:lang w:val="en-US" w:eastAsia="zh-CN" w:bidi="ar-SA"/>
              </w:rPr>
              <w:t>大的供应商得3-5分；其余供应商由评委专家根据价格及供应保障得可靠性在0-2.9分内比较评分。</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637" w:type="dxa"/>
            <w:vMerge w:val="continue"/>
            <w:tcBorders>
              <w:left w:val="single" w:color="auto" w:sz="4" w:space="0"/>
              <w:right w:val="single" w:color="auto" w:sz="4" w:space="0"/>
            </w:tcBorders>
            <w:vAlign w:val="center"/>
          </w:tcPr>
          <w:p>
            <w:pPr>
              <w:widowControl/>
              <w:adjustRightInd w:val="0"/>
              <w:snapToGrid w:val="0"/>
              <w:jc w:val="center"/>
              <w:rPr>
                <w:rFonts w:ascii="宋体" w:hAnsi="宋体" w:cs="宋体"/>
                <w:szCs w:val="21"/>
              </w:rPr>
            </w:pPr>
          </w:p>
        </w:tc>
        <w:tc>
          <w:tcPr>
            <w:tcW w:w="1910" w:type="dxa"/>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质保期</w:t>
            </w:r>
          </w:p>
        </w:tc>
        <w:tc>
          <w:tcPr>
            <w:tcW w:w="6984"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both"/>
              <w:rPr>
                <w:rFonts w:hint="eastAsia" w:asciiTheme="minorEastAsia" w:hAnsiTheme="minorEastAsia" w:eastAsiaTheme="minorEastAsia" w:cstheme="minorEastAsia"/>
                <w:snapToGrid w:val="0"/>
                <w:color w:val="auto"/>
                <w:kern w:val="2"/>
                <w:sz w:val="18"/>
                <w:szCs w:val="18"/>
                <w:lang w:val="en-US" w:eastAsia="zh-CN" w:bidi="ar-SA"/>
              </w:rPr>
            </w:pPr>
            <w:r>
              <w:rPr>
                <w:rFonts w:hint="eastAsia" w:asciiTheme="minorEastAsia" w:hAnsiTheme="minorEastAsia" w:eastAsiaTheme="minorEastAsia" w:cstheme="minorEastAsia"/>
                <w:snapToGrid w:val="0"/>
                <w:color w:val="auto"/>
                <w:kern w:val="2"/>
                <w:sz w:val="18"/>
                <w:szCs w:val="18"/>
                <w:lang w:val="en-US" w:eastAsia="zh-CN" w:bidi="ar-SA"/>
              </w:rPr>
              <w:t>质保期在招标文件要求2年的基础上每增加1年得1分，最高得2分。</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637" w:type="dxa"/>
            <w:vMerge w:val="continue"/>
            <w:tcBorders>
              <w:left w:val="single" w:color="auto" w:sz="4" w:space="0"/>
              <w:right w:val="single" w:color="auto" w:sz="4" w:space="0"/>
            </w:tcBorders>
            <w:vAlign w:val="center"/>
          </w:tcPr>
          <w:p>
            <w:pPr>
              <w:widowControl/>
              <w:adjustRightInd w:val="0"/>
              <w:snapToGrid w:val="0"/>
              <w:jc w:val="center"/>
              <w:rPr>
                <w:rFonts w:ascii="宋体" w:hAnsi="宋体" w:cs="宋体"/>
                <w:szCs w:val="21"/>
              </w:rPr>
            </w:pPr>
          </w:p>
        </w:tc>
        <w:tc>
          <w:tcPr>
            <w:tcW w:w="1910" w:type="dxa"/>
            <w:tcBorders>
              <w:top w:val="single" w:color="auto" w:sz="4" w:space="0"/>
              <w:left w:val="single" w:color="auto" w:sz="4" w:space="0"/>
              <w:bottom w:val="single" w:color="auto" w:sz="4" w:space="0"/>
              <w:right w:val="single" w:color="auto" w:sz="4" w:space="0"/>
            </w:tcBorders>
            <w:vAlign w:val="center"/>
          </w:tcPr>
          <w:p>
            <w:pPr>
              <w:pStyle w:val="7"/>
              <w:jc w:val="both"/>
              <w:rPr>
                <w:rFonts w:hint="eastAsia" w:asciiTheme="minorEastAsia" w:hAnsiTheme="minorEastAsia" w:eastAsiaTheme="minorEastAsia" w:cstheme="minorEastAsia"/>
                <w:b/>
                <w:bCs/>
                <w:snapToGrid w:val="0"/>
                <w:color w:val="auto"/>
                <w:kern w:val="2"/>
                <w:sz w:val="18"/>
                <w:szCs w:val="18"/>
                <w:highlight w:val="none"/>
                <w:lang w:val="en-US" w:eastAsia="zh-CN" w:bidi="ar-SA"/>
              </w:rPr>
            </w:pPr>
            <w:r>
              <w:rPr>
                <w:rFonts w:hint="eastAsia" w:asciiTheme="minorEastAsia" w:hAnsiTheme="minorEastAsia" w:eastAsiaTheme="minorEastAsia" w:cstheme="minorEastAsia"/>
                <w:b/>
                <w:bCs/>
                <w:snapToGrid w:val="0"/>
                <w:color w:val="auto"/>
                <w:kern w:val="2"/>
                <w:sz w:val="18"/>
                <w:szCs w:val="18"/>
                <w:highlight w:val="none"/>
                <w:lang w:val="en-US" w:eastAsia="zh-CN" w:bidi="ar-SA"/>
              </w:rPr>
              <w:t>样品一：</w:t>
            </w:r>
            <w:r>
              <w:rPr>
                <w:rFonts w:hint="eastAsia" w:asciiTheme="minorEastAsia" w:hAnsiTheme="minorEastAsia" w:eastAsiaTheme="minorEastAsia" w:cstheme="minorEastAsia"/>
                <w:b/>
                <w:bCs/>
                <w:snapToGrid w:val="0"/>
                <w:color w:val="auto"/>
                <w:sz w:val="18"/>
                <w:szCs w:val="18"/>
                <w:highlight w:val="none"/>
              </w:rPr>
              <w:t>设备带一根长度1.2米</w:t>
            </w:r>
            <w:r>
              <w:rPr>
                <w:rFonts w:hint="eastAsia" w:asciiTheme="minorEastAsia" w:hAnsiTheme="minorEastAsia" w:eastAsiaTheme="minorEastAsia" w:cstheme="minorEastAsia"/>
                <w:b/>
                <w:bCs/>
                <w:snapToGrid w:val="0"/>
                <w:color w:val="auto"/>
                <w:sz w:val="18"/>
                <w:szCs w:val="18"/>
                <w:highlight w:val="none"/>
                <w:lang w:eastAsia="zh-CN"/>
              </w:rPr>
              <w:t>（</w:t>
            </w:r>
            <w:r>
              <w:rPr>
                <w:rFonts w:hint="eastAsia" w:asciiTheme="minorEastAsia" w:hAnsiTheme="minorEastAsia" w:eastAsiaTheme="minorEastAsia" w:cstheme="minorEastAsia"/>
                <w:b/>
                <w:bCs/>
                <w:snapToGrid w:val="0"/>
                <w:color w:val="auto"/>
                <w:sz w:val="18"/>
                <w:szCs w:val="18"/>
                <w:highlight w:val="none"/>
                <w:lang w:val="en-US" w:eastAsia="zh-CN"/>
              </w:rPr>
              <w:t>含</w:t>
            </w:r>
            <w:r>
              <w:rPr>
                <w:rFonts w:hint="eastAsia" w:asciiTheme="minorEastAsia" w:hAnsiTheme="minorEastAsia" w:eastAsiaTheme="minorEastAsia" w:cstheme="minorEastAsia"/>
                <w:b/>
                <w:bCs/>
                <w:snapToGrid w:val="0"/>
                <w:color w:val="auto"/>
                <w:sz w:val="18"/>
                <w:szCs w:val="18"/>
                <w:highlight w:val="none"/>
              </w:rPr>
              <w:t>氧气、吸引、空气终端各一个，3+2插座+USB接口，LED床头灯+开关</w:t>
            </w:r>
            <w:r>
              <w:rPr>
                <w:rFonts w:hint="eastAsia" w:asciiTheme="minorEastAsia" w:hAnsiTheme="minorEastAsia" w:eastAsiaTheme="minorEastAsia" w:cstheme="minorEastAsia"/>
                <w:b/>
                <w:bCs/>
                <w:snapToGrid w:val="0"/>
                <w:color w:val="auto"/>
                <w:sz w:val="18"/>
                <w:szCs w:val="18"/>
                <w:highlight w:val="none"/>
                <w:lang w:eastAsia="zh-CN"/>
              </w:rPr>
              <w:t>）</w:t>
            </w:r>
          </w:p>
        </w:tc>
        <w:tc>
          <w:tcPr>
            <w:tcW w:w="6984"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both"/>
              <w:rPr>
                <w:rFonts w:hint="eastAsia" w:asciiTheme="minorEastAsia" w:hAnsiTheme="minorEastAsia" w:eastAsiaTheme="minorEastAsia" w:cstheme="minorEastAsia"/>
                <w:b/>
                <w:bCs/>
                <w:snapToGrid w:val="0"/>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根据所提供的样品，是否满足招标文件的功能，以及材质、外观、工艺、品质等进行综合打，好得3--4分，良好得1.5-2.9分，一般得0.1-1.4分，以上要求均不满足或未提供样品得0分。</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637"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auto"/>
                <w:szCs w:val="21"/>
              </w:rPr>
            </w:pPr>
          </w:p>
        </w:tc>
        <w:tc>
          <w:tcPr>
            <w:tcW w:w="1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Theme="minorEastAsia" w:hAnsiTheme="minorEastAsia" w:eastAsiaTheme="minorEastAsia" w:cstheme="minorEastAsia"/>
                <w:b/>
                <w:bCs/>
                <w:snapToGrid w:val="0"/>
                <w:color w:val="auto"/>
                <w:kern w:val="2"/>
                <w:sz w:val="18"/>
                <w:szCs w:val="18"/>
                <w:highlight w:val="none"/>
                <w:lang w:val="en-US" w:eastAsia="zh-CN" w:bidi="ar-SA"/>
              </w:rPr>
            </w:pPr>
            <w:r>
              <w:rPr>
                <w:rFonts w:hint="eastAsia" w:asciiTheme="minorEastAsia" w:hAnsiTheme="minorEastAsia" w:eastAsiaTheme="minorEastAsia" w:cstheme="minorEastAsia"/>
                <w:b/>
                <w:bCs/>
                <w:snapToGrid w:val="0"/>
                <w:color w:val="auto"/>
                <w:kern w:val="2"/>
                <w:sz w:val="18"/>
                <w:szCs w:val="18"/>
                <w:highlight w:val="none"/>
                <w:lang w:val="en-US" w:eastAsia="zh-CN" w:bidi="ar-SA"/>
              </w:rPr>
              <w:t>样品二：</w:t>
            </w:r>
            <w:r>
              <w:rPr>
                <w:rFonts w:hint="eastAsia" w:asciiTheme="minorEastAsia" w:hAnsiTheme="minorEastAsia" w:eastAsiaTheme="minorEastAsia" w:cstheme="minorEastAsia"/>
                <w:b/>
                <w:bCs/>
                <w:snapToGrid w:val="0"/>
                <w:color w:val="auto"/>
                <w:sz w:val="18"/>
                <w:szCs w:val="18"/>
                <w:highlight w:val="none"/>
              </w:rPr>
              <w:t>区域阀门箱1只（</w:t>
            </w:r>
            <w:r>
              <w:rPr>
                <w:rFonts w:hint="eastAsia" w:asciiTheme="minorEastAsia" w:hAnsiTheme="minorEastAsia" w:eastAsiaTheme="minorEastAsia" w:cstheme="minorEastAsia"/>
                <w:b/>
                <w:bCs/>
                <w:snapToGrid w:val="0"/>
                <w:color w:val="auto"/>
                <w:sz w:val="18"/>
                <w:szCs w:val="18"/>
                <w:highlight w:val="none"/>
                <w:lang w:val="en-US" w:eastAsia="zh-CN"/>
              </w:rPr>
              <w:t>含</w:t>
            </w:r>
            <w:r>
              <w:rPr>
                <w:rFonts w:hint="eastAsia" w:asciiTheme="minorEastAsia" w:hAnsiTheme="minorEastAsia" w:eastAsiaTheme="minorEastAsia" w:cstheme="minorEastAsia"/>
                <w:b/>
                <w:bCs/>
                <w:snapToGrid w:val="0"/>
                <w:color w:val="auto"/>
                <w:sz w:val="18"/>
                <w:szCs w:val="18"/>
                <w:highlight w:val="none"/>
              </w:rPr>
              <w:t>氧气、吸引、空气）</w:t>
            </w:r>
          </w:p>
        </w:tc>
        <w:tc>
          <w:tcPr>
            <w:tcW w:w="6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Theme="minorEastAsia" w:hAnsiTheme="minorEastAsia" w:eastAsiaTheme="minorEastAsia" w:cstheme="minorEastAsia"/>
                <w:b/>
                <w:bCs/>
                <w:snapToGrid w:val="0"/>
                <w:color w:val="auto"/>
                <w:kern w:val="2"/>
                <w:sz w:val="18"/>
                <w:szCs w:val="18"/>
                <w:highlight w:val="none"/>
                <w:lang w:val="en-US" w:eastAsia="zh-CN" w:bidi="ar-SA"/>
              </w:rPr>
            </w:pPr>
            <w:r>
              <w:rPr>
                <w:rFonts w:hint="eastAsia" w:ascii="宋体" w:hAnsi="宋体" w:eastAsia="宋体" w:cs="宋体"/>
                <w:b/>
                <w:bCs/>
                <w:color w:val="auto"/>
                <w:sz w:val="18"/>
                <w:szCs w:val="18"/>
                <w:highlight w:val="none"/>
              </w:rPr>
              <w:t>根据所提供的样品是否满足招标文件的功能</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以及</w:t>
            </w:r>
            <w:r>
              <w:rPr>
                <w:rFonts w:hint="eastAsia" w:ascii="宋体" w:hAnsi="宋体" w:eastAsia="宋体" w:cs="宋体"/>
                <w:b/>
                <w:bCs/>
                <w:color w:val="auto"/>
                <w:sz w:val="18"/>
                <w:szCs w:val="18"/>
                <w:highlight w:val="none"/>
              </w:rPr>
              <w:t>材质、外观、工艺、品质等进行综合打分</w:t>
            </w:r>
            <w:r>
              <w:rPr>
                <w:rFonts w:hint="eastAsia" w:ascii="宋体" w:hAnsi="宋体" w:eastAsia="宋体" w:cs="宋体"/>
                <w:b/>
                <w:bCs/>
                <w:color w:val="auto"/>
                <w:sz w:val="18"/>
                <w:szCs w:val="18"/>
                <w:highlight w:val="none"/>
                <w:lang w:eastAsia="zh-CN"/>
              </w:rPr>
              <w:t>：</w:t>
            </w:r>
            <w:r>
              <w:rPr>
                <w:rFonts w:hint="eastAsia" w:ascii="宋体" w:hAnsi="宋体" w:eastAsia="宋体" w:cs="宋体"/>
                <w:b/>
                <w:bCs/>
                <w:color w:val="auto"/>
                <w:sz w:val="18"/>
                <w:szCs w:val="18"/>
                <w:highlight w:val="none"/>
                <w:lang w:val="en-US" w:eastAsia="zh-CN"/>
              </w:rPr>
              <w:t>好得3--4分，良好得1.5-2.9分，一般得0.1-1.4分，以上要求均不满足或未提供样品得0分。</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Theme="minorEastAsia" w:hAnsiTheme="minorEastAsia" w:eastAsiaTheme="minorEastAsia" w:cstheme="minorEastAsia"/>
                <w:snapToGrid w:val="0"/>
                <w:kern w:val="2"/>
                <w:sz w:val="18"/>
                <w:szCs w:val="18"/>
                <w:highlight w:val="none"/>
                <w:lang w:val="en-US" w:eastAsia="zh-CN" w:bidi="ar-SA"/>
              </w:rPr>
            </w:pPr>
            <w:r>
              <w:rPr>
                <w:rFonts w:hint="eastAsia" w:asciiTheme="minorEastAsia" w:hAnsiTheme="minorEastAsia" w:eastAsiaTheme="minorEastAsia" w:cstheme="minorEastAsia"/>
                <w:snapToGrid w:val="0"/>
                <w:kern w:val="2"/>
                <w:sz w:val="18"/>
                <w:szCs w:val="18"/>
                <w:highlight w:val="none"/>
                <w:lang w:val="en-US" w:eastAsia="zh-CN" w:bidi="ar-SA"/>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175" w:hRule="atLeast"/>
          <w:jc w:val="center"/>
        </w:trPr>
        <w:tc>
          <w:tcPr>
            <w:tcW w:w="25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b/>
                <w:bCs/>
                <w:color w:val="auto"/>
                <w:szCs w:val="21"/>
              </w:rPr>
              <w:t>投标报价分（30分）</w:t>
            </w:r>
          </w:p>
        </w:tc>
        <w:tc>
          <w:tcPr>
            <w:tcW w:w="6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 w:val="18"/>
                <w:szCs w:val="18"/>
              </w:rPr>
              <w:t>满足招标文件要求且报价（指评标价）最低的</w:t>
            </w:r>
            <w:r>
              <w:rPr>
                <w:rFonts w:hint="eastAsia" w:ascii="宋体" w:hAnsi="宋体" w:cs="宋体"/>
                <w:color w:val="auto"/>
                <w:sz w:val="18"/>
                <w:szCs w:val="18"/>
                <w:lang w:eastAsia="zh-CN"/>
              </w:rPr>
              <w:t>供应商</w:t>
            </w:r>
            <w:r>
              <w:rPr>
                <w:rFonts w:hint="eastAsia" w:ascii="宋体" w:hAnsi="宋体" w:cs="宋体"/>
                <w:color w:val="auto"/>
                <w:sz w:val="18"/>
                <w:szCs w:val="18"/>
              </w:rPr>
              <w:t>的价格作为评标基准价，等于评标基准价为30分。投标报价得分＝（评标基准价/投标报价）×30%×100（计算结果小数点后保留2位小数，小数点后第三位四舍五入）。</w:t>
            </w:r>
          </w:p>
        </w:tc>
        <w:tc>
          <w:tcPr>
            <w:tcW w:w="6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stheme="minorEastAsia"/>
                <w:szCs w:val="21"/>
              </w:rPr>
            </w:pPr>
            <w:r>
              <w:rPr>
                <w:rFonts w:hint="eastAsia" w:ascii="宋体" w:hAnsi="宋体" w:cs="宋体"/>
                <w:szCs w:val="21"/>
              </w:rPr>
              <w:t>30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30" w:hRule="atLeast"/>
          <w:jc w:val="center"/>
        </w:trPr>
        <w:tc>
          <w:tcPr>
            <w:tcW w:w="953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合  计</w:t>
            </w:r>
          </w:p>
        </w:tc>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r>
    </w:tbl>
    <w:p>
      <w:pPr>
        <w:snapToGrid w:val="0"/>
        <w:spacing w:line="360" w:lineRule="auto"/>
        <w:ind w:firstLine="420" w:firstLineChars="200"/>
        <w:rPr>
          <w:rFonts w:hint="eastAsia" w:cs="宋体" w:asciiTheme="minorEastAsia" w:hAnsiTheme="minorEastAsia" w:eastAsiaTheme="minorEastAsia"/>
          <w:bCs/>
          <w:lang w:val="en-US" w:eastAsia="zh-CN"/>
        </w:rPr>
      </w:pPr>
      <w:r>
        <w:rPr>
          <w:rFonts w:hint="eastAsia" w:cs="宋体" w:asciiTheme="minorEastAsia" w:hAnsiTheme="minorEastAsia" w:eastAsiaTheme="minorEastAsia"/>
          <w:bCs/>
          <w:lang w:val="en-US" w:eastAsia="zh-CN"/>
        </w:rPr>
        <w:t>注：</w:t>
      </w:r>
    </w:p>
    <w:p>
      <w:pPr>
        <w:snapToGrid w:val="0"/>
        <w:spacing w:line="360" w:lineRule="auto"/>
        <w:ind w:firstLine="420" w:firstLineChars="200"/>
        <w:rPr>
          <w:rFonts w:cs="宋体" w:asciiTheme="minorEastAsia" w:hAnsiTheme="minorEastAsia" w:eastAsiaTheme="minorEastAsia"/>
          <w:bCs/>
          <w:lang w:eastAsia="zh-CN"/>
        </w:rPr>
      </w:pPr>
      <w:r>
        <w:rPr>
          <w:rFonts w:hint="eastAsia" w:cs="宋体" w:asciiTheme="minorEastAsia" w:hAnsiTheme="minorEastAsia" w:eastAsiaTheme="minorEastAsia"/>
          <w:bCs/>
          <w:lang w:eastAsia="zh-CN"/>
        </w:rPr>
        <w:t>1.所有证书必须真实、合规，在有效期内。</w:t>
      </w:r>
    </w:p>
    <w:p>
      <w:pPr>
        <w:snapToGrid w:val="0"/>
        <w:spacing w:line="360" w:lineRule="auto"/>
        <w:ind w:firstLine="420" w:firstLineChars="200"/>
        <w:rPr>
          <w:rFonts w:cs="宋体" w:asciiTheme="minorEastAsia" w:hAnsiTheme="minorEastAsia" w:eastAsiaTheme="minorEastAsia"/>
          <w:bCs/>
          <w:lang w:eastAsia="zh-CN"/>
        </w:rPr>
      </w:pPr>
      <w:r>
        <w:rPr>
          <w:rFonts w:hint="eastAsia" w:cs="宋体" w:asciiTheme="minorEastAsia" w:hAnsiTheme="minorEastAsia" w:eastAsiaTheme="minorEastAsia"/>
          <w:bCs/>
          <w:lang w:eastAsia="zh-CN"/>
        </w:rPr>
        <w:t>2.投标文件中须提供清晰可辨的证书</w:t>
      </w:r>
      <w:r>
        <w:rPr>
          <w:rFonts w:hint="eastAsia" w:cs="宋体" w:asciiTheme="minorEastAsia" w:hAnsiTheme="minorEastAsia" w:eastAsiaTheme="minorEastAsia"/>
          <w:bCs/>
          <w:lang w:val="en-US" w:eastAsia="zh-CN"/>
        </w:rPr>
        <w:t>原件</w:t>
      </w:r>
      <w:r>
        <w:rPr>
          <w:rFonts w:hint="eastAsia" w:cs="宋体" w:asciiTheme="minorEastAsia" w:hAnsiTheme="minorEastAsia" w:eastAsiaTheme="minorEastAsia"/>
          <w:bCs/>
          <w:lang w:eastAsia="zh-CN"/>
        </w:rPr>
        <w:t>扫描件并加盖投标人公章。</w:t>
      </w:r>
    </w:p>
    <w:p>
      <w:pPr>
        <w:snapToGrid w:val="0"/>
        <w:spacing w:line="360" w:lineRule="auto"/>
        <w:ind w:firstLine="420" w:firstLineChars="200"/>
        <w:rPr>
          <w:rFonts w:cs="宋体" w:asciiTheme="minorEastAsia" w:hAnsiTheme="minorEastAsia" w:eastAsiaTheme="minorEastAsia"/>
          <w:bCs/>
          <w:lang w:eastAsia="zh-CN"/>
        </w:rPr>
      </w:pPr>
      <w:r>
        <w:rPr>
          <w:rFonts w:hint="eastAsia" w:cs="宋体" w:asciiTheme="minorEastAsia" w:hAnsiTheme="minorEastAsia" w:eastAsiaTheme="minorEastAsia"/>
          <w:bCs/>
          <w:lang w:eastAsia="zh-CN"/>
        </w:rPr>
        <w:t>3.如供应商提供的证书扫描件因模糊不清而造成评标委员会在评审时做出对供应商不利的评审由供应商自行承担。</w:t>
      </w:r>
    </w:p>
    <w:p>
      <w:pPr>
        <w:spacing w:line="360" w:lineRule="auto"/>
        <w:ind w:firstLine="480" w:firstLineChars="200"/>
        <w:rPr>
          <w:rFonts w:ascii="宋体" w:hAnsi="宋体" w:cs="宋体"/>
          <w:sz w:val="24"/>
        </w:rPr>
      </w:pPr>
    </w:p>
    <w:p>
      <w:pPr>
        <w:rPr>
          <w:rFonts w:ascii="宋体" w:hAnsi="宋体" w:cs="宋体"/>
          <w:sz w:val="24"/>
        </w:rPr>
      </w:pPr>
      <w:r>
        <w:rPr>
          <w:rFonts w:hint="eastAsia" w:ascii="宋体" w:hAnsi="宋体" w:cs="宋体"/>
          <w:sz w:val="24"/>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lang w:eastAsia="zh-CN"/>
        </w:rPr>
        <w:t>采购需求</w:t>
      </w:r>
    </w:p>
    <w:p>
      <w:pPr>
        <w:numPr>
          <w:ilvl w:val="0"/>
          <w:numId w:val="0"/>
        </w:numPr>
        <w:tabs>
          <w:tab w:val="left" w:pos="8280"/>
        </w:tabs>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b/>
          <w:sz w:val="24"/>
          <w:lang w:val="en-US" w:eastAsia="zh-CN"/>
        </w:rPr>
        <w:t>一、</w:t>
      </w:r>
      <w:r>
        <w:rPr>
          <w:rFonts w:hint="eastAsia" w:asciiTheme="minorEastAsia" w:hAnsiTheme="minorEastAsia" w:eastAsiaTheme="minorEastAsia"/>
          <w:b/>
          <w:sz w:val="24"/>
        </w:rPr>
        <w:t>招标项目一览表</w:t>
      </w:r>
    </w:p>
    <w:p>
      <w:pPr>
        <w:tabs>
          <w:tab w:val="left" w:pos="8280"/>
        </w:tabs>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个标项，具体内容如下表：</w:t>
      </w:r>
    </w:p>
    <w:tbl>
      <w:tblPr>
        <w:tblStyle w:val="29"/>
        <w:tblpPr w:leftFromText="181" w:rightFromText="181" w:bottomFromText="170" w:vertAnchor="text" w:tblpXSpec="center" w:tblpY="1"/>
        <w:tblOverlap w:val="never"/>
        <w:tblW w:w="9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414"/>
        <w:gridCol w:w="912"/>
        <w:gridCol w:w="876"/>
        <w:gridCol w:w="1140"/>
        <w:gridCol w:w="4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035"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1414"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912"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876"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14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预算/最高限价</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4189" w:type="dxa"/>
            <w:vAlign w:val="center"/>
          </w:tcPr>
          <w:p>
            <w:pPr>
              <w:jc w:val="center"/>
              <w:rPr>
                <w:rFonts w:ascii="宋体" w:hAnsi="宋体" w:cs="宋体"/>
                <w:b/>
                <w:szCs w:val="21"/>
              </w:rPr>
            </w:pPr>
            <w:r>
              <w:rPr>
                <w:rFonts w:hint="eastAsia" w:ascii="宋体" w:hAnsi="宋体" w:cs="宋体"/>
                <w:b/>
                <w:szCs w:val="21"/>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035"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1414" w:type="dxa"/>
            <w:vAlign w:val="center"/>
          </w:tcPr>
          <w:p>
            <w:pPr>
              <w:tabs>
                <w:tab w:val="left" w:pos="8280"/>
              </w:tabs>
              <w:autoSpaceDE w:val="0"/>
              <w:autoSpaceDN w:val="0"/>
              <w:adjustRightInd w:val="0"/>
              <w:jc w:val="center"/>
              <w:rPr>
                <w:rFonts w:hint="eastAsia" w:ascii="宋体" w:hAnsi="宋体" w:eastAsia="宋体" w:cs="宋体"/>
                <w:b/>
                <w:szCs w:val="21"/>
                <w:lang w:eastAsia="zh-CN"/>
              </w:rPr>
            </w:pPr>
            <w:r>
              <w:rPr>
                <w:rFonts w:hint="eastAsia" w:ascii="宋体" w:hAnsi="宋体" w:cs="宋体"/>
                <w:b/>
                <w:szCs w:val="21"/>
                <w:lang w:eastAsia="zh-CN"/>
              </w:rPr>
              <w:t>医用气体成套设备采购项目</w:t>
            </w:r>
          </w:p>
        </w:tc>
        <w:tc>
          <w:tcPr>
            <w:tcW w:w="912"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876"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项</w:t>
            </w:r>
          </w:p>
        </w:tc>
        <w:tc>
          <w:tcPr>
            <w:tcW w:w="114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550</w:t>
            </w:r>
          </w:p>
        </w:tc>
        <w:tc>
          <w:tcPr>
            <w:tcW w:w="4189" w:type="dxa"/>
            <w:vAlign w:val="center"/>
          </w:tcPr>
          <w:p>
            <w:pPr>
              <w:numPr>
                <w:ilvl w:val="0"/>
                <w:numId w:val="0"/>
              </w:numPr>
              <w:tabs>
                <w:tab w:val="left" w:pos="8280"/>
              </w:tabs>
              <w:autoSpaceDE w:val="0"/>
              <w:autoSpaceDN w:val="0"/>
              <w:adjustRightInd w:val="0"/>
              <w:spacing w:line="360" w:lineRule="auto"/>
              <w:rPr>
                <w:rFonts w:ascii="宋体" w:hAnsi="宋体" w:cs="宋体"/>
                <w:b/>
                <w:szCs w:val="21"/>
              </w:rPr>
            </w:pPr>
            <w:r>
              <w:rPr>
                <w:rFonts w:hint="eastAsia" w:ascii="宋体" w:hAnsi="宋体" w:cs="宋体"/>
                <w:b/>
                <w:szCs w:val="21"/>
                <w:lang w:eastAsia="zh-CN"/>
              </w:rPr>
              <w:t>包括医用气体设备的采购，运输装卸、就位、安装、调试、试运行、验收、抽样检测、培训及售后服务等工作。</w:t>
            </w:r>
          </w:p>
        </w:tc>
      </w:tr>
    </w:tbl>
    <w:p>
      <w:pPr>
        <w:numPr>
          <w:ilvl w:val="0"/>
          <w:numId w:val="0"/>
        </w:numPr>
        <w:tabs>
          <w:tab w:val="left" w:pos="8280"/>
        </w:tabs>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lang w:val="en-US" w:eastAsia="zh-CN"/>
        </w:rPr>
        <w:t>二、</w:t>
      </w:r>
      <w:r>
        <w:rPr>
          <w:rFonts w:hint="eastAsia" w:asciiTheme="minorEastAsia" w:hAnsiTheme="minorEastAsia" w:eastAsiaTheme="minorEastAsia"/>
          <w:b/>
          <w:sz w:val="24"/>
        </w:rPr>
        <w:t>项目概述及技术规范</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1、项目概况</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1.1项目名称：</w:t>
      </w:r>
      <w:r>
        <w:rPr>
          <w:rFonts w:hint="eastAsia" w:ascii="宋体" w:hAnsi="宋体" w:cs="宋体"/>
          <w:b/>
          <w:szCs w:val="21"/>
          <w:lang w:eastAsia="zh-CN"/>
        </w:rPr>
        <w:t>医用气体成套设备采购项目</w:t>
      </w:r>
    </w:p>
    <w:p>
      <w:pPr>
        <w:spacing w:line="360" w:lineRule="auto"/>
        <w:rPr>
          <w:rFonts w:asciiTheme="minorEastAsia" w:hAnsiTheme="minorEastAsia" w:eastAsiaTheme="minorEastAsia"/>
          <w:sz w:val="24"/>
        </w:rPr>
      </w:pPr>
      <w:r>
        <w:rPr>
          <w:rFonts w:hint="eastAsia" w:asciiTheme="minorEastAsia" w:hAnsiTheme="minorEastAsia" w:eastAsiaTheme="minorEastAsia"/>
          <w:b/>
          <w:bCs/>
          <w:sz w:val="24"/>
        </w:rPr>
        <w:t>1.2招标范围</w:t>
      </w:r>
      <w:r>
        <w:rPr>
          <w:rFonts w:hint="eastAsia" w:asciiTheme="minorEastAsia" w:hAnsiTheme="minorEastAsia" w:eastAsiaTheme="minorEastAsia"/>
          <w:sz w:val="24"/>
        </w:rPr>
        <w:t>：</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1.2.1 本次招标范围含</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（1）医用中心供氧系统：包括液氧站、应急备用氧气汇流排及其后至医院各区域管道、二级减压箱、区域阀门箱、区域报警箱、阀门等设备组件；</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（2）医用中心吸引系统：包括真空泵、细菌过滤器、真空贮罐、分气缸、控制柜、各区域管道、阀门等设备组件；</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（3）医用压缩空气系统：包括空气压缩机、干燥机、过滤器、空气储罐、气体减压装置、分气缸、各区域管道、阀门等设备组件；</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（4）口腔科专供抽吸系统：牙科抽吸机、气体管路、阀门等设备组件；</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（5）口腔科压缩空气系统：包括口腔科专用空气压缩机、过滤器、空气储罐等；口腔科净水系统。</w:t>
      </w:r>
    </w:p>
    <w:p>
      <w:pPr>
        <w:spacing w:line="360" w:lineRule="auto"/>
        <w:ind w:firstLine="240" w:firstLineChars="100"/>
        <w:rPr>
          <w:rFonts w:ascii="宋体" w:hAnsi="宋体"/>
          <w:color w:val="000000"/>
          <w:sz w:val="24"/>
        </w:rPr>
      </w:pPr>
      <w:r>
        <w:rPr>
          <w:rFonts w:hint="eastAsia" w:asciiTheme="minorEastAsia" w:hAnsiTheme="minorEastAsia" w:eastAsiaTheme="minorEastAsia"/>
          <w:sz w:val="24"/>
        </w:rPr>
        <w:t>（6）</w:t>
      </w:r>
      <w:r>
        <w:rPr>
          <w:rFonts w:hint="eastAsia" w:ascii="宋体" w:hAnsi="宋体"/>
          <w:color w:val="000000"/>
          <w:sz w:val="24"/>
        </w:rPr>
        <w:t>医用气体中央监控系统：包括机房压力报警器、区域压力报警器、中央监控系统、网络流量计等；</w:t>
      </w:r>
    </w:p>
    <w:p>
      <w:pPr>
        <w:spacing w:line="360" w:lineRule="auto"/>
        <w:ind w:firstLine="240" w:firstLineChars="100"/>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（7）病房床头设备带及内部气体终端组件、阀门、医用气体管道、电源开关、插座、照明灯、设备带内电线</w:t>
      </w:r>
      <w:r>
        <w:rPr>
          <w:rFonts w:hint="eastAsia" w:asciiTheme="minorEastAsia" w:hAnsiTheme="minorEastAsia" w:eastAsiaTheme="minorEastAsia"/>
          <w:sz w:val="24"/>
          <w:lang w:eastAsia="zh-CN"/>
        </w:rPr>
        <w:t>。</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1.2.2 本次招标采购范围不含</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（1）各气体机房</w:t>
      </w:r>
      <w:r>
        <w:rPr>
          <w:rFonts w:asciiTheme="minorEastAsia" w:hAnsiTheme="minorEastAsia" w:eastAsiaTheme="minorEastAsia"/>
          <w:sz w:val="24"/>
        </w:rPr>
        <w:t>土建</w:t>
      </w:r>
      <w:r>
        <w:rPr>
          <w:rFonts w:hint="eastAsia" w:asciiTheme="minorEastAsia" w:hAnsiTheme="minorEastAsia" w:eastAsiaTheme="minorEastAsia"/>
          <w:sz w:val="24"/>
        </w:rPr>
        <w:t>及设备基础</w:t>
      </w:r>
      <w:r>
        <w:rPr>
          <w:rFonts w:asciiTheme="minorEastAsia" w:hAnsiTheme="minorEastAsia" w:eastAsiaTheme="minorEastAsia"/>
          <w:sz w:val="24"/>
        </w:rPr>
        <w:t>采购，</w:t>
      </w:r>
      <w:r>
        <w:rPr>
          <w:rFonts w:hint="eastAsia" w:asciiTheme="minorEastAsia" w:hAnsiTheme="minorEastAsia" w:eastAsiaTheme="minorEastAsia"/>
          <w:sz w:val="24"/>
        </w:rPr>
        <w:t>围墙、</w:t>
      </w:r>
      <w:r>
        <w:rPr>
          <w:rFonts w:asciiTheme="minorEastAsia" w:hAnsiTheme="minorEastAsia" w:eastAsiaTheme="minorEastAsia"/>
          <w:sz w:val="24"/>
        </w:rPr>
        <w:t>安全护栏，顶棚</w:t>
      </w:r>
      <w:r>
        <w:rPr>
          <w:rFonts w:hint="eastAsia" w:asciiTheme="minorEastAsia" w:hAnsiTheme="minorEastAsia" w:eastAsiaTheme="minorEastAsia"/>
          <w:sz w:val="24"/>
        </w:rPr>
        <w:t>；</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（2）各气体机房的电源箱、装修、空调、通风系统、照明、给排水系统、周边接地预留；</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（3）室外氧气管道管沟、土建；</w:t>
      </w:r>
    </w:p>
    <w:p>
      <w:pPr>
        <w:spacing w:line="360" w:lineRule="auto"/>
        <w:ind w:firstLine="240" w:firstLineChars="100"/>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（4）病房内设备带上电器进线预留电源线</w:t>
      </w:r>
      <w:r>
        <w:rPr>
          <w:rFonts w:hint="eastAsia" w:asciiTheme="minorEastAsia" w:hAnsiTheme="minorEastAsia" w:eastAsiaTheme="minorEastAsia"/>
          <w:sz w:val="24"/>
          <w:lang w:eastAsia="zh-CN"/>
        </w:rPr>
        <w:t>。</w:t>
      </w:r>
    </w:p>
    <w:p>
      <w:pPr>
        <w:spacing w:line="360" w:lineRule="auto"/>
        <w:rPr>
          <w:rFonts w:asciiTheme="minorEastAsia" w:hAnsiTheme="minorEastAsia" w:eastAsiaTheme="minorEastAsia"/>
          <w:b/>
          <w:bCs/>
          <w:sz w:val="24"/>
        </w:rPr>
      </w:pPr>
      <w:r>
        <w:rPr>
          <w:rFonts w:asciiTheme="minorEastAsia" w:hAnsiTheme="minorEastAsia" w:eastAsiaTheme="minorEastAsia"/>
          <w:b/>
          <w:bCs/>
          <w:sz w:val="24"/>
        </w:rPr>
        <w:t>2</w:t>
      </w:r>
      <w:r>
        <w:rPr>
          <w:rFonts w:hint="eastAsia" w:asciiTheme="minorEastAsia" w:hAnsiTheme="minorEastAsia" w:eastAsiaTheme="minorEastAsia"/>
          <w:b/>
          <w:bCs/>
          <w:sz w:val="24"/>
        </w:rPr>
        <w:t>、技术规范</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GB50751-2012《医用气体采购技术规范》</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YY/T0187-94《医用中心供氧系统通用技术条件》</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YY/T0186-94《医用中心吸引系统通用技术条件》</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YY/T0905.2-2013 《牙科学场地设备 第2部分压缩机系统》</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YY/T0905.1-2016《牙科学场地设备第1部分：吸引系统》</w:t>
      </w:r>
    </w:p>
    <w:p>
      <w:pPr>
        <w:spacing w:line="360" w:lineRule="auto"/>
        <w:ind w:firstLine="240" w:firstLineChars="100"/>
        <w:jc w:val="left"/>
        <w:rPr>
          <w:rFonts w:asciiTheme="minorEastAsia" w:hAnsiTheme="minorEastAsia" w:eastAsiaTheme="minorEastAsia"/>
          <w:sz w:val="24"/>
        </w:rPr>
      </w:pPr>
      <w:r>
        <w:rPr>
          <w:rFonts w:asciiTheme="minorEastAsia" w:hAnsiTheme="minorEastAsia" w:eastAsiaTheme="minorEastAsia"/>
          <w:sz w:val="24"/>
        </w:rPr>
        <w:t>GB50030-2013《氧气站设计规范》</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GB50029-2014《压缩空气站设计规范》</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GB/T13277.1-2008《压缩空气 第一部分：污染物净化等级》</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GB 50016-2014《建筑设计防火规范（2018版）》</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GB50316-2008《工业金属管道设计规范》</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GB50235-2010《工业金属管道采购施工规范》</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GB50236—2011《现场设备、工业管道焊接采购施工规范》</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GB50184-2011《工业金属管道采购施工质量验收规范》</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GB/T 14976-2012《流体输送用不锈钢管无缝钢管》</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GB150-2011   《压力容器》</w:t>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GB8982-2009   《医用及航空呼吸用氧》</w:t>
      </w:r>
      <w:r>
        <w:rPr>
          <w:rFonts w:asciiTheme="minorEastAsia" w:hAnsiTheme="minorEastAsia" w:eastAsiaTheme="minorEastAsia"/>
          <w:sz w:val="24"/>
        </w:rPr>
        <w:tab/>
      </w:r>
    </w:p>
    <w:p>
      <w:pPr>
        <w:spacing w:line="360" w:lineRule="auto"/>
        <w:ind w:firstLine="240" w:firstLineChars="100"/>
        <w:jc w:val="left"/>
        <w:rPr>
          <w:rFonts w:asciiTheme="minorEastAsia" w:hAnsiTheme="minorEastAsia" w:eastAsiaTheme="minorEastAsia"/>
          <w:sz w:val="24"/>
        </w:rPr>
      </w:pPr>
      <w:r>
        <w:rPr>
          <w:rFonts w:hint="eastAsia" w:asciiTheme="minorEastAsia" w:hAnsiTheme="minorEastAsia" w:eastAsiaTheme="minorEastAsia"/>
          <w:sz w:val="24"/>
        </w:rPr>
        <w:t>GB50254-2014《电气装置安装采购施工及验收规范》</w:t>
      </w:r>
    </w:p>
    <w:p>
      <w:pPr>
        <w:spacing w:line="360" w:lineRule="auto"/>
        <w:ind w:firstLine="235" w:firstLineChars="98"/>
        <w:jc w:val="left"/>
        <w:rPr>
          <w:rFonts w:asciiTheme="minorEastAsia" w:hAnsiTheme="minorEastAsia" w:eastAsiaTheme="minorEastAsia"/>
          <w:sz w:val="24"/>
        </w:rPr>
      </w:pPr>
      <w:r>
        <w:rPr>
          <w:rFonts w:hint="eastAsia" w:asciiTheme="minorEastAsia" w:hAnsiTheme="minorEastAsia" w:eastAsiaTheme="minorEastAsia"/>
          <w:sz w:val="24"/>
        </w:rPr>
        <w:t>GB12241-</w:t>
      </w:r>
      <w:r>
        <w:rPr>
          <w:rFonts w:asciiTheme="minorEastAsia" w:hAnsiTheme="minorEastAsia" w:eastAsiaTheme="minorEastAsia"/>
          <w:sz w:val="24"/>
        </w:rPr>
        <w:t>2005</w:t>
      </w:r>
      <w:r>
        <w:rPr>
          <w:rFonts w:hint="eastAsia" w:asciiTheme="minorEastAsia" w:hAnsiTheme="minorEastAsia" w:eastAsiaTheme="minorEastAsia"/>
          <w:sz w:val="24"/>
        </w:rPr>
        <w:t>《安全阀一般要求》</w:t>
      </w:r>
    </w:p>
    <w:p>
      <w:pPr>
        <w:spacing w:line="360" w:lineRule="auto"/>
        <w:ind w:firstLine="235" w:firstLineChars="98"/>
        <w:jc w:val="left"/>
        <w:rPr>
          <w:rFonts w:asciiTheme="minorEastAsia" w:hAnsiTheme="minorEastAsia" w:eastAsiaTheme="minorEastAsia"/>
          <w:sz w:val="24"/>
        </w:rPr>
      </w:pPr>
      <w:r>
        <w:rPr>
          <w:rFonts w:hint="eastAsia" w:asciiTheme="minorEastAsia" w:hAnsiTheme="minorEastAsia" w:eastAsiaTheme="minorEastAsia"/>
          <w:sz w:val="24"/>
        </w:rPr>
        <w:t>GB3836.4-2010《爆炸性环境第4四部分：由本质安全型“i”保护的设备》</w:t>
      </w:r>
    </w:p>
    <w:p>
      <w:pPr>
        <w:spacing w:line="360" w:lineRule="auto"/>
        <w:ind w:firstLine="235" w:firstLineChars="98"/>
        <w:jc w:val="left"/>
        <w:rPr>
          <w:rFonts w:asciiTheme="minorEastAsia" w:hAnsiTheme="minorEastAsia" w:eastAsiaTheme="minorEastAsia"/>
          <w:sz w:val="24"/>
        </w:rPr>
      </w:pPr>
      <w:r>
        <w:rPr>
          <w:rFonts w:hint="eastAsia" w:asciiTheme="minorEastAsia" w:hAnsiTheme="minorEastAsia" w:eastAsiaTheme="minorEastAsia"/>
          <w:sz w:val="24"/>
        </w:rPr>
        <w:t>GB50333-2013《医院洁净手术部建筑技术规范——医用气体篇》</w:t>
      </w:r>
    </w:p>
    <w:p>
      <w:pPr>
        <w:spacing w:line="360" w:lineRule="auto"/>
        <w:ind w:firstLine="235" w:firstLineChars="98"/>
        <w:jc w:val="left"/>
        <w:rPr>
          <w:rFonts w:asciiTheme="minorEastAsia" w:hAnsiTheme="minorEastAsia" w:eastAsiaTheme="minorEastAsia"/>
          <w:sz w:val="24"/>
        </w:rPr>
      </w:pPr>
      <w:r>
        <w:rPr>
          <w:rFonts w:hint="eastAsia" w:asciiTheme="minorEastAsia" w:hAnsiTheme="minorEastAsia" w:eastAsiaTheme="minorEastAsia"/>
          <w:sz w:val="24"/>
        </w:rPr>
        <w:t>国家及地方颁布的其它相关法律法规</w:t>
      </w:r>
    </w:p>
    <w:p>
      <w:pPr>
        <w:pStyle w:val="4"/>
        <w:rPr>
          <w:b w:val="0"/>
          <w:bCs/>
        </w:rPr>
      </w:pPr>
      <w:r>
        <w:rPr>
          <w:rFonts w:hint="eastAsia" w:asciiTheme="minorEastAsia" w:hAnsiTheme="minorEastAsia" w:eastAsiaTheme="minorEastAsia"/>
          <w:b w:val="0"/>
          <w:bCs/>
          <w:sz w:val="24"/>
        </w:rPr>
        <w:t xml:space="preserve">  如有最新版本的技术规范，以最新的技术规范为准。</w:t>
      </w:r>
    </w:p>
    <w:p>
      <w:pPr>
        <w:numPr>
          <w:ilvl w:val="0"/>
          <w:numId w:val="0"/>
        </w:numPr>
        <w:tabs>
          <w:tab w:val="left" w:pos="8280"/>
        </w:tabs>
        <w:autoSpaceDE w:val="0"/>
        <w:autoSpaceDN w:val="0"/>
        <w:adjustRightInd w:val="0"/>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sz w:val="24"/>
          <w:lang w:val="en-US" w:eastAsia="zh-CN"/>
        </w:rPr>
        <w:t>三、</w:t>
      </w:r>
      <w:r>
        <w:rPr>
          <w:rFonts w:hint="eastAsia" w:asciiTheme="minorEastAsia" w:hAnsiTheme="minorEastAsia" w:eastAsiaTheme="minorEastAsia"/>
          <w:b/>
          <w:sz w:val="24"/>
        </w:rPr>
        <w:t>医用中心供氧系统详细说明</w:t>
      </w:r>
    </w:p>
    <w:p>
      <w:pPr>
        <w:pStyle w:val="14"/>
        <w:spacing w:after="0" w:line="360" w:lineRule="auto"/>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医用中心供氧系统由中心供氧站、减压装置、管道、阀门及氧气快速插座终端等组成。</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1、医用中心供氧站</w:t>
      </w:r>
    </w:p>
    <w:p>
      <w:pPr>
        <w:spacing w:line="360" w:lineRule="auto"/>
        <w:ind w:left="120" w:leftChars="57" w:firstLine="480" w:firstLineChars="200"/>
        <w:rPr>
          <w:rFonts w:asciiTheme="minorEastAsia" w:hAnsiTheme="minorEastAsia" w:eastAsiaTheme="minorEastAsia"/>
          <w:sz w:val="24"/>
        </w:rPr>
      </w:pPr>
      <w:r>
        <w:rPr>
          <w:rFonts w:hint="eastAsia" w:asciiTheme="minorEastAsia" w:hAnsiTheme="minorEastAsia" w:eastAsiaTheme="minorEastAsia"/>
          <w:bCs/>
          <w:sz w:val="24"/>
        </w:rPr>
        <w:t>供氧站</w:t>
      </w:r>
      <w:r>
        <w:rPr>
          <w:rFonts w:hint="eastAsia" w:asciiTheme="minorEastAsia" w:hAnsiTheme="minorEastAsia" w:eastAsiaTheme="minorEastAsia"/>
          <w:sz w:val="24"/>
        </w:rPr>
        <w:t>采用液氧罐供氧站作为大楼的供氧源，氧气汇流排作为备用氧源。</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1.1液氧站配置设备：</w:t>
      </w:r>
    </w:p>
    <w:tbl>
      <w:tblPr>
        <w:tblStyle w:val="29"/>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9"/>
        <w:gridCol w:w="3707"/>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9" w:type="dxa"/>
          </w:tcPr>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设备名称</w:t>
            </w:r>
          </w:p>
        </w:tc>
        <w:tc>
          <w:tcPr>
            <w:tcW w:w="3707" w:type="dxa"/>
          </w:tcPr>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规格或型号</w:t>
            </w:r>
          </w:p>
        </w:tc>
        <w:tc>
          <w:tcPr>
            <w:tcW w:w="2314" w:type="dxa"/>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9"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液氧罐</w:t>
            </w:r>
          </w:p>
        </w:tc>
        <w:tc>
          <w:tcPr>
            <w:tcW w:w="3707"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有效容积5m</w:t>
            </w:r>
            <w:r>
              <w:rPr>
                <w:rFonts w:hint="eastAsia" w:asciiTheme="minorEastAsia" w:hAnsiTheme="minorEastAsia" w:eastAsiaTheme="minorEastAsia"/>
                <w:sz w:val="24"/>
                <w:vertAlign w:val="superscript"/>
              </w:rPr>
              <w:t>3</w:t>
            </w:r>
          </w:p>
        </w:tc>
        <w:tc>
          <w:tcPr>
            <w:tcW w:w="2314"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二台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9"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空温式汽化器</w:t>
            </w:r>
          </w:p>
        </w:tc>
        <w:tc>
          <w:tcPr>
            <w:tcW w:w="3707"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汽化能力200m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 xml:space="preserve">/h  </w:t>
            </w:r>
          </w:p>
        </w:tc>
        <w:tc>
          <w:tcPr>
            <w:tcW w:w="2314"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二台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9"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大流量调压装置</w:t>
            </w:r>
          </w:p>
        </w:tc>
        <w:tc>
          <w:tcPr>
            <w:tcW w:w="3707"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流量≥200m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/h</w:t>
            </w:r>
          </w:p>
        </w:tc>
        <w:tc>
          <w:tcPr>
            <w:tcW w:w="2314"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9"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不锈钢分气缸</w:t>
            </w:r>
          </w:p>
        </w:tc>
        <w:tc>
          <w:tcPr>
            <w:tcW w:w="3707"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一进五出，含进出口阀门及安全阀组件等</w:t>
            </w:r>
          </w:p>
        </w:tc>
        <w:tc>
          <w:tcPr>
            <w:tcW w:w="2314"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39"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管路及阀门</w:t>
            </w:r>
          </w:p>
        </w:tc>
        <w:tc>
          <w:tcPr>
            <w:tcW w:w="3707"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配套</w:t>
            </w:r>
          </w:p>
        </w:tc>
        <w:tc>
          <w:tcPr>
            <w:tcW w:w="2314"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一套</w:t>
            </w:r>
          </w:p>
        </w:tc>
      </w:tr>
    </w:tbl>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1.2</w:t>
      </w:r>
      <w:r>
        <w:rPr>
          <w:rFonts w:hint="eastAsia" w:asciiTheme="minorEastAsia" w:hAnsiTheme="minorEastAsia" w:eastAsiaTheme="minorEastAsia"/>
          <w:bCs/>
          <w:sz w:val="24"/>
        </w:rPr>
        <w:t>液氧</w:t>
      </w:r>
      <w:r>
        <w:rPr>
          <w:rFonts w:hint="eastAsia" w:asciiTheme="minorEastAsia" w:hAnsiTheme="minorEastAsia" w:eastAsiaTheme="minorEastAsia"/>
          <w:sz w:val="24"/>
        </w:rPr>
        <w:t>站主要技术参数:</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液氧站最大出口流量             200m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/h×2</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液氧站最高工作压力             0.8MPa</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sz w:val="24"/>
        </w:rPr>
        <w:t xml:space="preserve">    液氧站</w:t>
      </w:r>
      <w:r>
        <w:rPr>
          <w:rFonts w:hint="eastAsia" w:asciiTheme="minorEastAsia" w:hAnsiTheme="minorEastAsia" w:eastAsiaTheme="minorEastAsia"/>
          <w:color w:val="auto"/>
          <w:sz w:val="24"/>
        </w:rPr>
        <w:t>输出压力                 0.65MPa( 可调)</w:t>
      </w:r>
    </w:p>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1.3氧气汇流排：</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氧气汇流排设置在液氧站边上，采用双排气瓶，每排十瓶，双路控制系统，一路工作、一路备用。具有自动控制及人工控制两种功能。</w:t>
      </w:r>
    </w:p>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瓶氧站内配置:</w:t>
      </w:r>
    </w:p>
    <w:tbl>
      <w:tblPr>
        <w:tblStyle w:val="29"/>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2796"/>
        <w:gridCol w:w="2912"/>
        <w:gridCol w:w="1028"/>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序号</w:t>
            </w:r>
          </w:p>
        </w:tc>
        <w:tc>
          <w:tcPr>
            <w:tcW w:w="27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设备名称</w:t>
            </w:r>
          </w:p>
        </w:tc>
        <w:tc>
          <w:tcPr>
            <w:tcW w:w="291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技术参数</w:t>
            </w:r>
          </w:p>
        </w:tc>
        <w:tc>
          <w:tcPr>
            <w:tcW w:w="10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数量</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一级自动切换控制箱</w:t>
            </w:r>
          </w:p>
        </w:tc>
        <w:tc>
          <w:tcPr>
            <w:tcW w:w="291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双级减压</w:t>
            </w: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1个</w:t>
            </w:r>
          </w:p>
        </w:tc>
        <w:tc>
          <w:tcPr>
            <w:tcW w:w="1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汇流排</w:t>
            </w:r>
          </w:p>
        </w:tc>
        <w:tc>
          <w:tcPr>
            <w:tcW w:w="291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10瓶组*2组</w:t>
            </w: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1套</w:t>
            </w:r>
          </w:p>
        </w:tc>
        <w:tc>
          <w:tcPr>
            <w:tcW w:w="1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氧气报警箱</w:t>
            </w:r>
          </w:p>
        </w:tc>
        <w:tc>
          <w:tcPr>
            <w:tcW w:w="29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声光报警</w:t>
            </w: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1个</w:t>
            </w:r>
          </w:p>
        </w:tc>
        <w:tc>
          <w:tcPr>
            <w:tcW w:w="1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p>
        </w:tc>
      </w:tr>
    </w:tbl>
    <w:p>
      <w:pPr>
        <w:spacing w:line="360" w:lineRule="auto"/>
        <w:rPr>
          <w:rFonts w:hint="eastAsia" w:ascii="宋体" w:hAnsi="宋体" w:eastAsia="宋体"/>
          <w:color w:val="auto"/>
          <w:sz w:val="24"/>
          <w:lang w:eastAsia="zh-CN"/>
        </w:rPr>
      </w:pPr>
      <w:r>
        <w:rPr>
          <w:rFonts w:hint="eastAsia" w:ascii="宋体" w:hAnsi="宋体"/>
          <w:color w:val="auto"/>
          <w:sz w:val="24"/>
        </w:rPr>
        <w:t>★汇流排作为二类医疗器械产品注册管理，</w:t>
      </w:r>
      <w:r>
        <w:rPr>
          <w:rFonts w:hint="eastAsia" w:ascii="宋体" w:hAnsi="宋体"/>
          <w:color w:val="auto"/>
          <w:sz w:val="24"/>
          <w:lang w:val="en-US" w:eastAsia="zh-CN"/>
        </w:rPr>
        <w:t>投标</w:t>
      </w:r>
      <w:r>
        <w:rPr>
          <w:rFonts w:hint="eastAsia" w:ascii="宋体" w:hAnsi="宋体"/>
          <w:color w:val="auto"/>
          <w:sz w:val="24"/>
          <w:lang w:eastAsia="zh-CN"/>
        </w:rPr>
        <w:t>供应商</w:t>
      </w:r>
      <w:r>
        <w:rPr>
          <w:rFonts w:hint="eastAsia" w:ascii="宋体" w:hAnsi="宋体"/>
          <w:color w:val="auto"/>
          <w:sz w:val="24"/>
        </w:rPr>
        <w:t>须</w:t>
      </w:r>
      <w:r>
        <w:rPr>
          <w:rFonts w:hint="eastAsia" w:ascii="宋体" w:hAnsi="宋体"/>
          <w:color w:val="auto"/>
          <w:sz w:val="24"/>
          <w:lang w:val="en-US" w:eastAsia="zh-CN"/>
        </w:rPr>
        <w:t>提供</w:t>
      </w:r>
      <w:r>
        <w:rPr>
          <w:rFonts w:hint="eastAsia" w:ascii="宋体" w:hAnsi="宋体"/>
          <w:color w:val="auto"/>
          <w:sz w:val="24"/>
        </w:rPr>
        <w:t>汇流排医疗器械注册证扫描件</w:t>
      </w:r>
      <w:r>
        <w:rPr>
          <w:rFonts w:hint="eastAsia" w:ascii="宋体" w:hAnsi="宋体"/>
          <w:color w:val="auto"/>
          <w:sz w:val="24"/>
          <w:lang w:eastAsia="zh-CN"/>
        </w:rPr>
        <w:t>。</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bCs/>
          <w:color w:val="auto"/>
          <w:sz w:val="24"/>
        </w:rPr>
        <w:t>瓶氧站系统技术参数</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氧站出口流量           50m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/h</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输 出  压 力           0.5-0.8Mpa(可调)</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出口报警压力           ＜0.5Mpa</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站内温度控制            10-38℃</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站内浓度控制            ＜23%</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汇流排切换压力          1Mpa(可调)</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2、氧气管道</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2.1管道材质</w:t>
      </w:r>
    </w:p>
    <w:p>
      <w:pPr>
        <w:tabs>
          <w:tab w:val="left" w:pos="-180"/>
          <w:tab w:val="left" w:pos="0"/>
        </w:tabs>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本采购氧气管道采用 O6Cr19Ni10 不锈钢管。不锈钢管必须符合GB/T14976-2012《流体输送用不锈钢无缝钢管》标准。</w:t>
      </w:r>
    </w:p>
    <w:p>
      <w:pPr>
        <w:pStyle w:val="6"/>
        <w:ind w:left="0" w:leftChars="0" w:firstLine="0" w:firstLineChars="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★不锈钢管材质不含有害物质（铅、镉、汞、六价铬）四项重金属成份，</w:t>
      </w:r>
      <w:r>
        <w:rPr>
          <w:rFonts w:hint="eastAsia" w:ascii="宋体" w:hAnsi="宋体" w:cs="Times New Roman"/>
          <w:color w:val="auto"/>
          <w:kern w:val="2"/>
          <w:sz w:val="24"/>
          <w:szCs w:val="24"/>
          <w:lang w:val="en-US" w:eastAsia="zh-CN" w:bidi="ar-SA"/>
        </w:rPr>
        <w:t>投标</w:t>
      </w:r>
      <w:r>
        <w:rPr>
          <w:rFonts w:hint="eastAsia" w:ascii="宋体" w:hAnsi="宋体" w:eastAsia="宋体" w:cs="Times New Roman"/>
          <w:color w:val="auto"/>
          <w:kern w:val="2"/>
          <w:sz w:val="24"/>
          <w:szCs w:val="24"/>
          <w:lang w:val="en-US" w:eastAsia="zh-CN" w:bidi="ar-SA"/>
        </w:rPr>
        <w:t>供应商需提供</w:t>
      </w:r>
      <w:r>
        <w:rPr>
          <w:rFonts w:hint="eastAsia" w:ascii="宋体" w:hAnsi="宋体" w:cs="Times New Roman"/>
          <w:color w:val="auto"/>
          <w:kern w:val="2"/>
          <w:sz w:val="24"/>
          <w:szCs w:val="24"/>
          <w:lang w:val="en-US" w:eastAsia="zh-CN" w:bidi="ar-SA"/>
        </w:rPr>
        <w:t>第三方机构出具</w:t>
      </w:r>
      <w:r>
        <w:rPr>
          <w:rFonts w:hint="eastAsia" w:ascii="宋体" w:hAnsi="宋体" w:eastAsia="宋体" w:cs="Times New Roman"/>
          <w:color w:val="auto"/>
          <w:kern w:val="2"/>
          <w:sz w:val="24"/>
          <w:szCs w:val="24"/>
          <w:lang w:val="en-US" w:eastAsia="zh-CN" w:bidi="ar-SA"/>
        </w:rPr>
        <w:t>的检测报告原件的扫描件。</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2.2管道管径</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1）室外总管：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φ32×2.0医用不锈钢管（氧气室外总管）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φ32×2.0医用不锈钢管（生命支持区域氧气室外总管）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2）室内总管及备用主管：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φ25×2.0医用不锈钢管（主楼西北区氧气主管）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φ25×2.0医用不锈钢管（主楼东北区氧气主管）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φ32×2.0医用不锈钢管（主楼西南区氧气主管）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φ25×2.0医用不锈钢管（主楼西南区生命支持区域氧气主管）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φ25×2.0医用不锈钢管（主楼东南区氧气主管）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φ25×2.0医用不锈钢管（主楼东南区生命支持区域氧气主管）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3）病区横管：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φ25×2.0医用不锈钢管（详见图纸）</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φ16×1.5医用不锈钢管（详见图纸）</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4）病房支管：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普通病房φ8×1.0医用不锈钢管；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重病房φ10×1.0医用不锈钢管；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2.3管道连接方法技术要求</w:t>
      </w:r>
    </w:p>
    <w:p>
      <w:pPr>
        <w:spacing w:line="360" w:lineRule="auto"/>
        <w:ind w:right="-105" w:rightChars="-50" w:firstLine="472" w:firstLineChars="197"/>
        <w:rPr>
          <w:rFonts w:asciiTheme="minorEastAsia" w:hAnsiTheme="minorEastAsia" w:eastAsiaTheme="minorEastAsia"/>
          <w:color w:val="auto"/>
          <w:sz w:val="24"/>
        </w:rPr>
      </w:pPr>
      <w:r>
        <w:rPr>
          <w:rFonts w:hint="eastAsia" w:asciiTheme="minorEastAsia" w:hAnsiTheme="minorEastAsia" w:eastAsiaTheme="minorEastAsia"/>
          <w:color w:val="auto"/>
          <w:sz w:val="24"/>
        </w:rPr>
        <w:t>不锈钢管连接采用标准的不锈钢球头、螺帽、焊咀连接后氩弧焊接连接。整个系统连接均采用金属密封，可保证系统的气密性。</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2.4管道布置</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主管道沿地沟敷设或沿走廊墙面架设至大楼管道井，病区走廊横管安装在吊顶内，管道区域阀门箱安装在护士站适当位置，病房内支管及终端、截止阀均安装在铝合金设备带内，这样既整齐又美观。</w:t>
      </w:r>
    </w:p>
    <w:p>
      <w:pPr>
        <w:spacing w:line="360" w:lineRule="auto"/>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3、氧气二级减压箱：</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每个病区设计一台，位置设在气体竖井内，技术参数如下：</w:t>
      </w:r>
    </w:p>
    <w:p>
      <w:pPr>
        <w:tabs>
          <w:tab w:val="left" w:pos="105"/>
        </w:tabs>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3.1进口压力：0.65mpa</w:t>
      </w:r>
    </w:p>
    <w:p>
      <w:pPr>
        <w:tabs>
          <w:tab w:val="left" w:pos="105"/>
        </w:tabs>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3.2出口压力：0.4mpa(可调)</w:t>
      </w:r>
    </w:p>
    <w:p>
      <w:pPr>
        <w:tabs>
          <w:tab w:val="left" w:pos="105"/>
        </w:tabs>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3.3出口流量：≥20m³/h</w:t>
      </w:r>
    </w:p>
    <w:p>
      <w:pPr>
        <w:tabs>
          <w:tab w:val="left" w:pos="105"/>
        </w:tabs>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3.4双路减压装置设计一用一备</w:t>
      </w:r>
    </w:p>
    <w:p>
      <w:pPr>
        <w:tabs>
          <w:tab w:val="left" w:pos="105"/>
        </w:tabs>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3.5出口设有安全阀确保出口压力符合使用要求</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4、区域阀门箱：</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每个病区设计一套，位置设在护士站附近适当位置。</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4.1区域控制：箱内分别安装氧气、吸引、压缩空气系统的区域阀门，能对本区域内的气体系统进行通断控制。</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4.2正常工作指示：箱内安装氧气、吸引、压缩空气系统的测压表。</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5、系统压力试验、吹扫技术要求</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5.1系统强度试验:氧气管道安装完毕后必须进行强度试验,试验介质为氮气或无油压缩空气,试验压力为管道设计压力的1.15倍,试压时间10min,试验结果以管道接头、焊缝、管段无肉眼的可见的变形、以发泡剂检验无渗漏为合格。</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5.2系统泄漏率试验:氧气管道强度试验合格后必须进行泄漏率试验,试验介质为氮气或无油压缩空气,试验压力为管道设计压力,试压24h，试验结果每小时泄漏率不超过0.2%为合格。</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5.3系统吹扫:氧气管道强度泄漏试验合格后必须进行系统吹扫,吹扫介质为氮气或无油压缩空气，结果以出气口无杂质、干净为合格。</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6、中心供氧系统技术参数</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6.1供氧系统所需最大流量:200m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/h×2。</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6.2终端保证气压:0.2-0.48MPa(可调)。</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6.3系统小时泄漏率:≤0.2%。</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6.4最大和最小使用流量工况下供氧压力误差: ≯0.02MPa。</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6.5氧气终端设计流量: 普通床≮10L/min，手术室、急诊抢救等重病床≮100L/min。</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6.6氧气管道气体流速: ≯8m/s。</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6.7系统运行方式: 各终端连续用气,停电时不停供气。</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6.8自动控制要求:当氧源和整个管路系统输出压力低于或高于额定值时有声光报警信号。</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6.9氧气管道需可靠接地，接地电阻为&lt;10欧姆。</w:t>
      </w:r>
    </w:p>
    <w:p>
      <w:pPr>
        <w:numPr>
          <w:ilvl w:val="0"/>
          <w:numId w:val="0"/>
        </w:numPr>
        <w:tabs>
          <w:tab w:val="left" w:pos="8280"/>
        </w:tabs>
        <w:autoSpaceDE w:val="0"/>
        <w:autoSpaceDN w:val="0"/>
        <w:adjustRightInd w:val="0"/>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val="en-US" w:eastAsia="zh-CN"/>
        </w:rPr>
        <w:t>四、</w:t>
      </w:r>
      <w:r>
        <w:rPr>
          <w:rFonts w:hint="eastAsia" w:asciiTheme="minorEastAsia" w:hAnsiTheme="minorEastAsia" w:eastAsiaTheme="minorEastAsia"/>
          <w:b/>
          <w:bCs/>
          <w:color w:val="auto"/>
          <w:sz w:val="24"/>
        </w:rPr>
        <w:t>医用中心负压吸引系统详细说明</w:t>
      </w:r>
    </w:p>
    <w:p>
      <w:pPr>
        <w:spacing w:line="360" w:lineRule="auto"/>
        <w:ind w:right="420" w:rightChars="200" w:firstLine="470" w:firstLineChars="196"/>
        <w:rPr>
          <w:rFonts w:asciiTheme="minorEastAsia" w:hAnsiTheme="minorEastAsia" w:eastAsiaTheme="minorEastAsia"/>
          <w:color w:val="auto"/>
          <w:sz w:val="24"/>
        </w:rPr>
      </w:pPr>
      <w:r>
        <w:rPr>
          <w:rFonts w:hint="eastAsia" w:asciiTheme="minorEastAsia" w:hAnsiTheme="minorEastAsia" w:eastAsiaTheme="minorEastAsia"/>
          <w:color w:val="auto"/>
          <w:sz w:val="24"/>
        </w:rPr>
        <w:t>吸引系统的负压源是中心吸引站的真空泵组，通过真空泵机组抽吸使吸引系统管路达到所需负压值，在手术室、抢救室和各个病房终端处产生吸力，提供医疗使用。</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1、大楼用医用中心负压吸引站（位置设在地下一层）</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1.1医用中心负压吸引站，配置如下:</w:t>
      </w:r>
    </w:p>
    <w:tbl>
      <w:tblPr>
        <w:tblStyle w:val="29"/>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105"/>
        <w:gridCol w:w="2505"/>
        <w:gridCol w:w="1533"/>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210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设备名称</w:t>
            </w:r>
          </w:p>
        </w:tc>
        <w:tc>
          <w:tcPr>
            <w:tcW w:w="250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技术参数</w:t>
            </w:r>
          </w:p>
        </w:tc>
        <w:tc>
          <w:tcPr>
            <w:tcW w:w="153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数量</w:t>
            </w:r>
          </w:p>
        </w:tc>
        <w:tc>
          <w:tcPr>
            <w:tcW w:w="2184" w:type="dxa"/>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0" w:type="dxa"/>
            <w:gridSpan w:val="5"/>
            <w:vAlign w:val="center"/>
          </w:tcPr>
          <w:p>
            <w:pPr>
              <w:spacing w:line="360" w:lineRule="auto"/>
              <w:jc w:val="left"/>
              <w:rPr>
                <w:rFonts w:ascii="宋体" w:hAnsi="宋体"/>
                <w:b/>
                <w:color w:val="auto"/>
                <w:sz w:val="24"/>
              </w:rPr>
            </w:pPr>
            <w:r>
              <w:rPr>
                <w:rFonts w:hint="eastAsia" w:ascii="宋体" w:hAnsi="宋体"/>
                <w:b/>
                <w:color w:val="auto"/>
                <w:sz w:val="24"/>
              </w:rPr>
              <w:t>医用真空负压机设备包含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2105" w:type="dxa"/>
            <w:vAlign w:val="center"/>
          </w:tcPr>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油</w:t>
            </w:r>
            <w:r>
              <w:rPr>
                <w:rFonts w:hint="eastAsia" w:asciiTheme="minorEastAsia" w:hAnsiTheme="minorEastAsia" w:eastAsiaTheme="minorEastAsia"/>
                <w:color w:val="auto"/>
                <w:sz w:val="24"/>
                <w:lang w:val="en-US" w:eastAsia="zh-CN"/>
              </w:rPr>
              <w:t>式</w:t>
            </w:r>
            <w:r>
              <w:rPr>
                <w:rFonts w:hint="eastAsia" w:asciiTheme="minorEastAsia" w:hAnsiTheme="minorEastAsia" w:eastAsiaTheme="minorEastAsia"/>
                <w:color w:val="auto"/>
                <w:sz w:val="24"/>
              </w:rPr>
              <w:t>旋片真空泵</w:t>
            </w:r>
          </w:p>
        </w:tc>
        <w:tc>
          <w:tcPr>
            <w:tcW w:w="2505" w:type="dxa"/>
            <w:vAlign w:val="center"/>
          </w:tcPr>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抽气量400m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/h/台、功率9kW</w:t>
            </w:r>
          </w:p>
        </w:tc>
        <w:tc>
          <w:tcPr>
            <w:tcW w:w="153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2台</w:t>
            </w:r>
          </w:p>
        </w:tc>
        <w:tc>
          <w:tcPr>
            <w:tcW w:w="2184"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常规单机工作,用量大时双机工作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2105"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真空罐</w:t>
            </w:r>
          </w:p>
        </w:tc>
        <w:tc>
          <w:tcPr>
            <w:tcW w:w="2505"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2.0m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，材质：碳钢</w:t>
            </w:r>
          </w:p>
        </w:tc>
        <w:tc>
          <w:tcPr>
            <w:tcW w:w="1533" w:type="dxa"/>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2台</w:t>
            </w:r>
          </w:p>
        </w:tc>
        <w:tc>
          <w:tcPr>
            <w:tcW w:w="2184" w:type="dxa"/>
          </w:tcPr>
          <w:p>
            <w:pPr>
              <w:spacing w:line="36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2105"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吸引电控柜</w:t>
            </w:r>
          </w:p>
        </w:tc>
        <w:tc>
          <w:tcPr>
            <w:tcW w:w="2505"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二泵联动，PLC控制</w:t>
            </w:r>
          </w:p>
        </w:tc>
        <w:tc>
          <w:tcPr>
            <w:tcW w:w="1533" w:type="dxa"/>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1台</w:t>
            </w:r>
          </w:p>
        </w:tc>
        <w:tc>
          <w:tcPr>
            <w:tcW w:w="2184" w:type="dxa"/>
          </w:tcPr>
          <w:p>
            <w:pPr>
              <w:spacing w:line="36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2105"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细菌过滤器</w:t>
            </w:r>
          </w:p>
        </w:tc>
        <w:tc>
          <w:tcPr>
            <w:tcW w:w="2505"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处理量≥400m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/h</w:t>
            </w:r>
          </w:p>
        </w:tc>
        <w:tc>
          <w:tcPr>
            <w:tcW w:w="1533" w:type="dxa"/>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2个</w:t>
            </w:r>
          </w:p>
        </w:tc>
        <w:tc>
          <w:tcPr>
            <w:tcW w:w="2184" w:type="dxa"/>
          </w:tcPr>
          <w:p>
            <w:pPr>
              <w:spacing w:line="360" w:lineRule="auto"/>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vAlign w:val="center"/>
          </w:tcPr>
          <w:p>
            <w:pPr>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val="en-US" w:eastAsia="zh-CN"/>
              </w:rPr>
              <w:t>5</w:t>
            </w:r>
          </w:p>
        </w:tc>
        <w:tc>
          <w:tcPr>
            <w:tcW w:w="2105"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不锈钢分气缸</w:t>
            </w:r>
          </w:p>
        </w:tc>
        <w:tc>
          <w:tcPr>
            <w:tcW w:w="2505" w:type="dxa"/>
          </w:tcPr>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一进四出，含进出口阀门及仪表组件等</w:t>
            </w:r>
          </w:p>
        </w:tc>
        <w:tc>
          <w:tcPr>
            <w:tcW w:w="1533" w:type="dxa"/>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1个</w:t>
            </w:r>
          </w:p>
        </w:tc>
        <w:tc>
          <w:tcPr>
            <w:tcW w:w="2184" w:type="dxa"/>
          </w:tcPr>
          <w:p>
            <w:pPr>
              <w:spacing w:line="360" w:lineRule="auto"/>
              <w:rPr>
                <w:rFonts w:asciiTheme="minorEastAsia" w:hAnsiTheme="minorEastAsia" w:eastAsiaTheme="minorEastAsia"/>
                <w:color w:val="auto"/>
                <w:sz w:val="24"/>
              </w:rPr>
            </w:pPr>
          </w:p>
        </w:tc>
      </w:tr>
    </w:tbl>
    <w:p>
      <w:pPr>
        <w:spacing w:line="360" w:lineRule="auto"/>
        <w:rPr>
          <w:rFonts w:ascii="宋体" w:hAnsi="宋体"/>
          <w:color w:val="auto"/>
          <w:sz w:val="24"/>
          <w:highlight w:val="none"/>
        </w:rPr>
      </w:pPr>
      <w:r>
        <w:rPr>
          <w:rFonts w:hint="eastAsia" w:ascii="宋体" w:hAnsi="宋体"/>
          <w:color w:val="auto"/>
          <w:sz w:val="24"/>
          <w:highlight w:val="none"/>
        </w:rPr>
        <w:t>★医用真空负压机作为二类医疗器械注册管理，</w:t>
      </w:r>
      <w:r>
        <w:rPr>
          <w:rFonts w:hint="eastAsia" w:ascii="宋体" w:hAnsi="宋体"/>
          <w:color w:val="auto"/>
          <w:sz w:val="24"/>
          <w:highlight w:val="none"/>
          <w:lang w:val="en-US" w:eastAsia="zh-CN"/>
        </w:rPr>
        <w:t>投标</w:t>
      </w:r>
      <w:r>
        <w:rPr>
          <w:rFonts w:hint="eastAsia" w:ascii="宋体" w:hAnsi="宋体"/>
          <w:color w:val="auto"/>
          <w:sz w:val="24"/>
          <w:highlight w:val="none"/>
          <w:lang w:eastAsia="zh-CN"/>
        </w:rPr>
        <w:t>供应商</w:t>
      </w:r>
      <w:r>
        <w:rPr>
          <w:rFonts w:hint="eastAsia" w:ascii="宋体" w:hAnsi="宋体"/>
          <w:color w:val="auto"/>
          <w:sz w:val="24"/>
          <w:highlight w:val="none"/>
        </w:rPr>
        <w:t>须</w:t>
      </w:r>
      <w:r>
        <w:rPr>
          <w:rFonts w:hint="eastAsia" w:ascii="宋体" w:hAnsi="宋体"/>
          <w:color w:val="auto"/>
          <w:sz w:val="24"/>
          <w:highlight w:val="none"/>
          <w:lang w:val="en-US" w:eastAsia="zh-CN"/>
        </w:rPr>
        <w:t>投供</w:t>
      </w:r>
      <w:r>
        <w:rPr>
          <w:rFonts w:hint="eastAsia" w:ascii="宋体" w:hAnsi="宋体"/>
          <w:color w:val="auto"/>
          <w:sz w:val="24"/>
          <w:highlight w:val="none"/>
        </w:rPr>
        <w:t>医用真空负压机医疗器械注册证</w:t>
      </w:r>
      <w:r>
        <w:rPr>
          <w:rFonts w:hint="eastAsia" w:ascii="宋体" w:hAnsi="宋体"/>
          <w:color w:val="auto"/>
          <w:sz w:val="24"/>
          <w:highlight w:val="none"/>
          <w:lang w:val="en-US" w:eastAsia="zh-CN"/>
        </w:rPr>
        <w:t>扫描件</w:t>
      </w:r>
      <w:r>
        <w:rPr>
          <w:rFonts w:hint="eastAsia" w:ascii="宋体" w:hAnsi="宋体"/>
          <w:color w:val="auto"/>
          <w:sz w:val="24"/>
          <w:highlight w:val="none"/>
        </w:rPr>
        <w:t>。</w:t>
      </w:r>
    </w:p>
    <w:p>
      <w:pPr>
        <w:spacing w:line="360" w:lineRule="auto"/>
        <w:rPr>
          <w:rFonts w:ascii="宋体" w:hAnsi="宋体"/>
          <w:color w:val="auto"/>
          <w:sz w:val="24"/>
        </w:rPr>
      </w:pPr>
      <w:r>
        <w:rPr>
          <w:rFonts w:hint="eastAsia" w:ascii="宋体" w:hAnsi="宋体"/>
          <w:color w:val="auto"/>
          <w:sz w:val="24"/>
        </w:rPr>
        <w:t>吸引电控柜符合YY0505电磁兼容标准要求。</w:t>
      </w:r>
    </w:p>
    <w:p>
      <w:pPr>
        <w:spacing w:line="360" w:lineRule="auto"/>
        <w:rPr>
          <w:rFonts w:hint="eastAsia" w:ascii="宋体" w:hAnsi="宋体" w:eastAsia="宋体"/>
          <w:color w:val="auto"/>
          <w:sz w:val="24"/>
          <w:lang w:eastAsia="zh-CN"/>
        </w:rPr>
      </w:pPr>
      <w:r>
        <w:rPr>
          <w:rFonts w:hint="eastAsia" w:ascii="宋体" w:hAnsi="宋体"/>
          <w:color w:val="auto"/>
          <w:sz w:val="24"/>
        </w:rPr>
        <w:t>★</w:t>
      </w:r>
      <w:r>
        <w:rPr>
          <w:rFonts w:hint="eastAsia" w:ascii="宋体" w:hAnsi="宋体"/>
          <w:color w:val="auto"/>
          <w:sz w:val="24"/>
          <w:highlight w:val="none"/>
        </w:rPr>
        <w:t>高温灭菌器需满足以下技术参数</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投标</w:t>
      </w:r>
      <w:r>
        <w:rPr>
          <w:rFonts w:hint="eastAsia" w:ascii="宋体" w:hAnsi="宋体"/>
          <w:color w:val="auto"/>
          <w:sz w:val="24"/>
          <w:highlight w:val="none"/>
          <w:lang w:eastAsia="zh-CN"/>
        </w:rPr>
        <w:t>供应商需提供符合以下技术参数的由第三方机构出具的检测报告原件的扫描件，</w:t>
      </w:r>
      <w:r>
        <w:rPr>
          <w:rFonts w:hint="eastAsia" w:ascii="宋体" w:hAnsi="宋体"/>
          <w:color w:val="auto"/>
          <w:sz w:val="24"/>
        </w:rPr>
        <w:t>提供高温消毒灭菌设备图片证明</w:t>
      </w:r>
      <w:r>
        <w:rPr>
          <w:rFonts w:hint="eastAsia" w:ascii="宋体" w:hAnsi="宋体"/>
          <w:color w:val="auto"/>
          <w:sz w:val="24"/>
          <w:highlight w:val="none"/>
          <w:lang w:eastAsia="zh-CN"/>
        </w:rPr>
        <w:t>：</w:t>
      </w:r>
    </w:p>
    <w:p>
      <w:pPr>
        <w:spacing w:line="360" w:lineRule="auto"/>
        <w:rPr>
          <w:rFonts w:ascii="宋体" w:hAnsi="宋体"/>
          <w:color w:val="auto"/>
          <w:sz w:val="24"/>
        </w:rPr>
      </w:pPr>
      <w:r>
        <w:rPr>
          <w:rFonts w:hint="eastAsia" w:ascii="宋体" w:hAnsi="宋体"/>
          <w:color w:val="auto"/>
          <w:sz w:val="24"/>
        </w:rPr>
        <w:t xml:space="preserve">细菌灭菌温度≥240℃； </w:t>
      </w:r>
    </w:p>
    <w:p>
      <w:pPr>
        <w:spacing w:line="360" w:lineRule="auto"/>
        <w:rPr>
          <w:rFonts w:ascii="宋体" w:hAnsi="宋体"/>
          <w:color w:val="auto"/>
          <w:sz w:val="24"/>
        </w:rPr>
      </w:pPr>
      <w:r>
        <w:rPr>
          <w:rFonts w:hint="eastAsia" w:ascii="宋体" w:hAnsi="宋体"/>
          <w:color w:val="auto"/>
          <w:sz w:val="24"/>
        </w:rPr>
        <w:t xml:space="preserve">枯草芽孢杆菌             细菌培养时间达到48 h,杀灭率达到99.999%； </w:t>
      </w:r>
    </w:p>
    <w:p>
      <w:pPr>
        <w:spacing w:line="360" w:lineRule="auto"/>
        <w:rPr>
          <w:rFonts w:ascii="宋体" w:hAnsi="宋体"/>
          <w:color w:val="auto"/>
          <w:sz w:val="24"/>
        </w:rPr>
      </w:pPr>
      <w:r>
        <w:rPr>
          <w:rFonts w:hint="eastAsia" w:ascii="宋体" w:hAnsi="宋体"/>
          <w:color w:val="auto"/>
          <w:sz w:val="24"/>
        </w:rPr>
        <w:t>枯草芽孢杆菌黑色变种细菌培养时间达到48 h, 杀灭率达到99.999%；</w:t>
      </w:r>
    </w:p>
    <w:p>
      <w:pPr>
        <w:spacing w:line="360" w:lineRule="auto"/>
        <w:rPr>
          <w:rFonts w:hint="eastAsia" w:ascii="宋体" w:hAnsi="宋体" w:eastAsia="宋体"/>
          <w:color w:val="auto"/>
          <w:sz w:val="24"/>
          <w:lang w:eastAsia="zh-CN"/>
        </w:rPr>
      </w:pPr>
      <w:r>
        <w:rPr>
          <w:rFonts w:hint="eastAsia" w:ascii="宋体" w:hAnsi="宋体"/>
          <w:color w:val="auto"/>
          <w:sz w:val="24"/>
        </w:rPr>
        <w:t>生孢梭菌                 细菌培养时间达到48 h,杀灭率达到99.999%</w:t>
      </w:r>
      <w:r>
        <w:rPr>
          <w:rFonts w:hint="eastAsia" w:ascii="宋体" w:hAnsi="宋体"/>
          <w:color w:val="auto"/>
          <w:sz w:val="24"/>
          <w:lang w:eastAsia="zh-CN"/>
        </w:rPr>
        <w:t>。</w:t>
      </w:r>
    </w:p>
    <w:p>
      <w:pPr>
        <w:tabs>
          <w:tab w:val="left" w:pos="-180"/>
          <w:tab w:val="left" w:pos="0"/>
        </w:tabs>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1.2吸引站技术参数</w:t>
      </w:r>
    </w:p>
    <w:p>
      <w:pPr>
        <w:tabs>
          <w:tab w:val="left" w:pos="-180"/>
          <w:tab w:val="left" w:pos="0"/>
        </w:tabs>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吸引站最大抽气量：≥800m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/h</w:t>
      </w:r>
    </w:p>
    <w:p>
      <w:pPr>
        <w:tabs>
          <w:tab w:val="left" w:pos="-180"/>
          <w:tab w:val="left" w:pos="0"/>
        </w:tabs>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压力调节范围：-0.04MPa- -0.07 MPa(可调)</w:t>
      </w:r>
    </w:p>
    <w:p>
      <w:pPr>
        <w:tabs>
          <w:tab w:val="left" w:pos="-180"/>
          <w:tab w:val="left" w:pos="0"/>
        </w:tabs>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吸引压力可按医疗要求小范围减压</w:t>
      </w:r>
    </w:p>
    <w:p>
      <w:pPr>
        <w:tabs>
          <w:tab w:val="left" w:pos="-180"/>
          <w:tab w:val="left" w:pos="0"/>
        </w:tabs>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吸引站噪声：小于73dB(A)</w:t>
      </w:r>
    </w:p>
    <w:p>
      <w:pPr>
        <w:tabs>
          <w:tab w:val="left" w:pos="-180"/>
          <w:tab w:val="left" w:pos="0"/>
        </w:tabs>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泵自动启停参数 启动-0.04MPa：停止-0.07MPa（可调）</w:t>
      </w:r>
    </w:p>
    <w:p>
      <w:pPr>
        <w:tabs>
          <w:tab w:val="left" w:pos="-180"/>
          <w:tab w:val="left" w:pos="0"/>
        </w:tabs>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吸引站排气口细菌不超过：500个/m</w:t>
      </w:r>
      <w:r>
        <w:rPr>
          <w:rFonts w:hint="eastAsia" w:asciiTheme="minorEastAsia" w:hAnsiTheme="minorEastAsia" w:eastAsiaTheme="minorEastAsia"/>
          <w:color w:val="auto"/>
          <w:sz w:val="24"/>
          <w:vertAlign w:val="superscript"/>
        </w:rPr>
        <w:t>3</w:t>
      </w:r>
    </w:p>
    <w:p>
      <w:pPr>
        <w:tabs>
          <w:tab w:val="left" w:pos="-180"/>
          <w:tab w:val="left" w:pos="0"/>
        </w:tabs>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2、吸引管道系统</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2.1管道材质</w:t>
      </w:r>
    </w:p>
    <w:p>
      <w:pPr>
        <w:tabs>
          <w:tab w:val="left" w:pos="-180"/>
          <w:tab w:val="left" w:pos="0"/>
        </w:tabs>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本采购吸引管道采用 O6Cr19Ni10 不锈钢管。不锈钢管必须符合GB/T14976-2012《流体输送用不锈钢无缝钢管》标准。</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2.2管道规格</w:t>
      </w:r>
    </w:p>
    <w:p>
      <w:pPr>
        <w:spacing w:line="360" w:lineRule="auto"/>
        <w:ind w:left="-105" w:leftChars="-50"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计算依据：GB50751-2012《医用气体采购技术规范》，计算管道规格如下：</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1）主管及备用主管：</w:t>
      </w:r>
    </w:p>
    <w:p>
      <w:pPr>
        <w:spacing w:line="360" w:lineRule="auto"/>
        <w:ind w:left="-105" w:leftChars="-50" w:right="-105" w:rightChars="-50" w:firstLine="120" w:firstLine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φ89</w:t>
      </w:r>
      <w:r>
        <w:rPr>
          <w:rFonts w:asciiTheme="minorEastAsia" w:hAnsiTheme="minorEastAsia" w:eastAsiaTheme="minorEastAsia"/>
          <w:color w:val="auto"/>
          <w:sz w:val="24"/>
        </w:rPr>
        <w:t>×3.0</w:t>
      </w:r>
      <w:r>
        <w:rPr>
          <w:rFonts w:hint="eastAsia" w:asciiTheme="minorEastAsia" w:hAnsiTheme="minorEastAsia" w:eastAsiaTheme="minorEastAsia"/>
          <w:color w:val="auto"/>
          <w:sz w:val="24"/>
        </w:rPr>
        <w:t>医用不锈钢管</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大楼吸引总管</w:t>
      </w:r>
      <w:r>
        <w:rPr>
          <w:rFonts w:asciiTheme="minorEastAsia" w:hAnsiTheme="minorEastAsia" w:eastAsiaTheme="minorEastAsia"/>
          <w:color w:val="auto"/>
          <w:sz w:val="24"/>
        </w:rPr>
        <w:t>)</w:t>
      </w:r>
    </w:p>
    <w:p>
      <w:pPr>
        <w:spacing w:line="360" w:lineRule="auto"/>
        <w:ind w:left="-105" w:leftChars="-50" w:right="-105" w:rightChars="-50" w:firstLine="120" w:firstLine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φ89×3.0医用不锈钢管（生命支持区域吸引总管）</w:t>
      </w:r>
    </w:p>
    <w:p>
      <w:pPr>
        <w:spacing w:line="360" w:lineRule="auto"/>
        <w:ind w:left="-105" w:leftChars="-50" w:right="-105" w:rightChars="-50" w:firstLine="120" w:firstLine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φ89×3.0医用不锈钢管（主楼西南区吸引主管）</w:t>
      </w:r>
    </w:p>
    <w:p>
      <w:pPr>
        <w:spacing w:line="360" w:lineRule="auto"/>
        <w:ind w:left="-105" w:leftChars="-50" w:right="-105" w:rightChars="-50" w:firstLine="120" w:firstLine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φ76</w:t>
      </w:r>
      <w:r>
        <w:rPr>
          <w:rFonts w:asciiTheme="minorEastAsia" w:hAnsiTheme="minorEastAsia" w:eastAsiaTheme="minorEastAsia"/>
          <w:color w:val="auto"/>
          <w:sz w:val="24"/>
        </w:rPr>
        <w:t>×3.</w:t>
      </w:r>
      <w:r>
        <w:rPr>
          <w:rFonts w:hint="eastAsia" w:asciiTheme="minorEastAsia" w:hAnsiTheme="minorEastAsia" w:eastAsiaTheme="minorEastAsia"/>
          <w:color w:val="auto"/>
          <w:sz w:val="24"/>
        </w:rPr>
        <w:t>0医用不锈钢管（主楼西南区生命支持区域吸引主管</w:t>
      </w:r>
      <w:r>
        <w:rPr>
          <w:rFonts w:asciiTheme="minorEastAsia" w:hAnsiTheme="minorEastAsia" w:eastAsiaTheme="minorEastAsia"/>
          <w:color w:val="auto"/>
          <w:sz w:val="24"/>
        </w:rPr>
        <w:t>)</w:t>
      </w:r>
    </w:p>
    <w:p>
      <w:pPr>
        <w:spacing w:line="360" w:lineRule="auto"/>
        <w:ind w:left="-105" w:leftChars="-50" w:right="-105" w:rightChars="-50" w:firstLine="120" w:firstLine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φ76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3.0医用不锈钢管（主楼西北区吸引主管</w:t>
      </w:r>
      <w:r>
        <w:rPr>
          <w:rFonts w:asciiTheme="minorEastAsia" w:hAnsiTheme="minorEastAsia" w:eastAsiaTheme="minorEastAsia"/>
          <w:color w:val="auto"/>
          <w:sz w:val="24"/>
        </w:rPr>
        <w:t>)</w:t>
      </w:r>
    </w:p>
    <w:p>
      <w:pPr>
        <w:spacing w:line="360" w:lineRule="auto"/>
        <w:ind w:left="-105" w:leftChars="-50" w:right="-105" w:rightChars="-50" w:firstLine="120" w:firstLine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φ76</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3.0医用不锈钢管（主楼东北区吸引主管</w:t>
      </w:r>
      <w:r>
        <w:rPr>
          <w:rFonts w:asciiTheme="minorEastAsia" w:hAnsiTheme="minorEastAsia" w:eastAsiaTheme="minorEastAsia"/>
          <w:color w:val="auto"/>
          <w:sz w:val="24"/>
        </w:rPr>
        <w:t>)</w:t>
      </w:r>
    </w:p>
    <w:p>
      <w:pPr>
        <w:spacing w:line="360" w:lineRule="auto"/>
        <w:ind w:left="-105" w:leftChars="-50" w:right="-105" w:rightChars="-50" w:firstLine="120" w:firstLine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φ45</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2.5医用不锈钢管（主楼东南区吸引主管</w:t>
      </w:r>
      <w:r>
        <w:rPr>
          <w:rFonts w:asciiTheme="minorEastAsia" w:hAnsiTheme="minorEastAsia" w:eastAsiaTheme="minorEastAsia"/>
          <w:color w:val="auto"/>
          <w:sz w:val="24"/>
        </w:rPr>
        <w:t>)</w:t>
      </w:r>
    </w:p>
    <w:p>
      <w:pPr>
        <w:spacing w:line="360" w:lineRule="auto"/>
        <w:ind w:left="-105" w:leftChars="-50" w:right="-105" w:rightChars="-50" w:firstLine="120" w:firstLine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φ45×2.5医用不锈钢管（主楼东南区生命支持区域吸引主管）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2）病区横管：</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φ45×2.5医用不锈钢管</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φ32×2.0医用不锈钢管</w:t>
      </w:r>
    </w:p>
    <w:p>
      <w:pPr>
        <w:spacing w:line="360" w:lineRule="auto"/>
        <w:ind w:left="-105" w:leftChars="-50"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3）病房支管：</w:t>
      </w:r>
    </w:p>
    <w:p>
      <w:pPr>
        <w:spacing w:line="360" w:lineRule="auto"/>
        <w:ind w:left="-105" w:leftChars="-50"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普通病房支管: φ10×1.0医用不锈钢管；</w:t>
      </w:r>
    </w:p>
    <w:p>
      <w:pPr>
        <w:spacing w:line="360" w:lineRule="auto"/>
        <w:ind w:left="-105" w:leftChars="-50"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重病房支管φ14×1.5医用不锈钢管；</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2.3管道连接方法技术要求</w:t>
      </w:r>
    </w:p>
    <w:p>
      <w:pPr>
        <w:spacing w:line="360" w:lineRule="auto"/>
        <w:ind w:right="-105" w:rightChars="-50" w:firstLine="472" w:firstLineChars="197"/>
        <w:rPr>
          <w:rFonts w:asciiTheme="minorEastAsia" w:hAnsiTheme="minorEastAsia" w:eastAsiaTheme="minorEastAsia"/>
          <w:color w:val="auto"/>
          <w:sz w:val="24"/>
        </w:rPr>
      </w:pPr>
      <w:r>
        <w:rPr>
          <w:rFonts w:hint="eastAsia" w:asciiTheme="minorEastAsia" w:hAnsiTheme="minorEastAsia" w:eastAsiaTheme="minorEastAsia"/>
          <w:color w:val="auto"/>
          <w:sz w:val="24"/>
        </w:rPr>
        <w:t>不锈钢管连接采用标准的不锈钢球头、螺帽、焊咀连接后氩弧焊接连接。整个系统连接均采用金属密封，可保证系统的气密性。</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2.4管道布置</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主管道沿地沟敷设或沿走廊墙面架设至大楼管道井，病区走廊横管安装在吊顶内，管道区域阀门箱安装在护士站适当位置，病房内支管及终端、截止阀均安装在铝合金设备带内，这样既整齐又美观（与氧气管道一起走管）。</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3、区域阀门箱（与氧气系统共用）</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4、系统压力试验、吹扫技术要求</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4.1系统强度试验:吸引管道安装完毕后必须进行强度试验,试验介质为氮气或无油压缩空气,试验压力0.2MPa,试压时间10min,试验结果以发泡剂检验无渗漏为合格。</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4.2系统泄漏率试验:吸引管道强度试验合格后必须进行泄漏增压率试验,试验介质为氮气或无油压缩空气,试验压力为管道最高工作压力的, 试压24h，试验结果每小时因泄漏引起的增压率不超过1.0%为合格。</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4.3系统吹扫:吸引管道强度泄漏试验合格后必须进行系统吹扫,吹扫介质为氮气或无油压缩空气，结果以出气口无杂质、干净为合格。</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5、管道接地：</w:t>
      </w:r>
    </w:p>
    <w:p>
      <w:pPr>
        <w:tabs>
          <w:tab w:val="left" w:pos="-180"/>
          <w:tab w:val="left" w:pos="0"/>
        </w:tabs>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吸引管道应按相关标准要求进行接地,接地电阻为&lt;10欧姆。</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6、吸引系统技术参数：</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6.1吸引系统保证管内压力在任何情况下，不能高于环境压力。</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6.2工作压力：吸引系统在大气环境下不高于-0.04MPa，不低于-0.07MPa并能在该范围内任意调节。</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6.3吸引系统当负压达到0.07MPa时,因泄漏引起的增压率均每小时不超过1.0%。</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6.4吸引系统应可靠接地，接地电阻应小于10欧姆。</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6.5吸引终端抽气速率不低于30L/min。</w:t>
      </w:r>
    </w:p>
    <w:p>
      <w:pPr>
        <w:pStyle w:val="4"/>
        <w:rPr>
          <w:rFonts w:asciiTheme="minorEastAsia" w:hAnsiTheme="minorEastAsia" w:eastAsiaTheme="minorEastAsia"/>
          <w:b w:val="0"/>
          <w:bCs/>
          <w:color w:val="auto"/>
          <w:sz w:val="24"/>
        </w:rPr>
      </w:pPr>
      <w:r>
        <w:rPr>
          <w:rFonts w:hint="eastAsia" w:asciiTheme="minorEastAsia" w:hAnsiTheme="minorEastAsia" w:eastAsiaTheme="minorEastAsia"/>
          <w:b w:val="0"/>
          <w:bCs/>
          <w:color w:val="auto"/>
          <w:sz w:val="24"/>
        </w:rPr>
        <w:t>6.6吸引终端压力：-0.04～ -0.07MPa(可调)。</w:t>
      </w:r>
    </w:p>
    <w:p>
      <w:pPr>
        <w:numPr>
          <w:ilvl w:val="0"/>
          <w:numId w:val="0"/>
        </w:numPr>
        <w:tabs>
          <w:tab w:val="left" w:pos="8280"/>
        </w:tabs>
        <w:autoSpaceDE w:val="0"/>
        <w:autoSpaceDN w:val="0"/>
        <w:adjustRightInd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五、</w:t>
      </w:r>
      <w:r>
        <w:rPr>
          <w:rFonts w:hint="eastAsia" w:asciiTheme="minorEastAsia" w:hAnsiTheme="minorEastAsia" w:eastAsiaTheme="minorEastAsia"/>
          <w:b/>
          <w:color w:val="auto"/>
          <w:sz w:val="24"/>
        </w:rPr>
        <w:t>医疗用压缩空气系统详细说明</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压缩空气系统的动力源是中心压缩站的空压机组，通过空压机组供气使空气系统管路达到所需压力值和流量，在手术室、ICU室等重病室终端处产生压力，提供医疗设备使用。</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1、医疗用压缩空气站</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1.1医疗用压缩空气站（位置在大楼地下一层）,配置如下:</w:t>
      </w:r>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10"/>
        <w:gridCol w:w="36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序号</w:t>
            </w:r>
          </w:p>
        </w:tc>
        <w:tc>
          <w:tcPr>
            <w:tcW w:w="2410" w:type="dxa"/>
            <w:vAlign w:val="center"/>
          </w:tcPr>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设备名称</w:t>
            </w:r>
          </w:p>
        </w:tc>
        <w:tc>
          <w:tcPr>
            <w:tcW w:w="3685" w:type="dxa"/>
            <w:vAlign w:val="center"/>
          </w:tcPr>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技术参数</w:t>
            </w:r>
          </w:p>
        </w:tc>
        <w:tc>
          <w:tcPr>
            <w:tcW w:w="1843" w:type="dxa"/>
            <w:vAlign w:val="center"/>
          </w:tcPr>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w:t>
            </w:r>
          </w:p>
        </w:tc>
        <w:tc>
          <w:tcPr>
            <w:tcW w:w="241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bCs/>
                <w:color w:val="auto"/>
                <w:sz w:val="24"/>
              </w:rPr>
              <w:t>螺杆空气压缩机</w:t>
            </w:r>
          </w:p>
        </w:tc>
        <w:tc>
          <w:tcPr>
            <w:tcW w:w="368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bCs/>
                <w:color w:val="auto"/>
                <w:sz w:val="24"/>
              </w:rPr>
              <w:t>排气量≥2.4</w:t>
            </w:r>
            <w:r>
              <w:rPr>
                <w:rFonts w:hint="eastAsia" w:asciiTheme="minorEastAsia" w:hAnsiTheme="minorEastAsia" w:eastAsiaTheme="minorEastAsia"/>
                <w:color w:val="auto"/>
                <w:sz w:val="24"/>
              </w:rPr>
              <w:t>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/min，功率≤15kW</w:t>
            </w:r>
            <w:r>
              <w:rPr>
                <w:rFonts w:hint="eastAsia" w:asciiTheme="minorEastAsia" w:hAnsiTheme="minorEastAsia" w:eastAsiaTheme="minorEastAsia"/>
                <w:bCs/>
                <w:color w:val="auto"/>
                <w:sz w:val="24"/>
              </w:rPr>
              <w:t>（功率仅供参考）</w:t>
            </w:r>
            <w:r>
              <w:rPr>
                <w:rFonts w:hint="eastAsia" w:asciiTheme="minorEastAsia" w:hAnsiTheme="minorEastAsia" w:eastAsiaTheme="minorEastAsia"/>
                <w:color w:val="auto"/>
                <w:sz w:val="24"/>
              </w:rPr>
              <w:t>，工作压力0.8MPa</w:t>
            </w:r>
          </w:p>
        </w:tc>
        <w:tc>
          <w:tcPr>
            <w:tcW w:w="184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2台</w:t>
            </w:r>
            <w:r>
              <w:rPr>
                <w:rFonts w:hint="eastAsia" w:asciiTheme="minorEastAsia" w:hAnsiTheme="minorEastAsia" w:eastAsiaTheme="minorEastAsia"/>
                <w:bCs/>
                <w:color w:val="auto"/>
                <w:sz w:val="24"/>
              </w:rPr>
              <w:t>(常规单机工作,用量大时双机工作)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241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吸附式干燥机</w:t>
            </w:r>
          </w:p>
        </w:tc>
        <w:tc>
          <w:tcPr>
            <w:tcW w:w="368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bCs/>
                <w:color w:val="auto"/>
                <w:sz w:val="24"/>
              </w:rPr>
              <w:t>处理量≥2.4</w:t>
            </w:r>
            <w:r>
              <w:rPr>
                <w:rFonts w:hint="eastAsia" w:asciiTheme="minorEastAsia" w:hAnsiTheme="minorEastAsia" w:eastAsiaTheme="minorEastAsia"/>
                <w:color w:val="auto"/>
                <w:sz w:val="24"/>
              </w:rPr>
              <w:t>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/min</w:t>
            </w:r>
          </w:p>
        </w:tc>
        <w:tc>
          <w:tcPr>
            <w:tcW w:w="184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241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储气缓冲罐</w:t>
            </w:r>
          </w:p>
        </w:tc>
        <w:tc>
          <w:tcPr>
            <w:tcW w:w="3685"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color w:val="auto"/>
                <w:sz w:val="24"/>
              </w:rPr>
              <w:t>1.0m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材质:碳钢</w:t>
            </w:r>
          </w:p>
        </w:tc>
        <w:tc>
          <w:tcPr>
            <w:tcW w:w="184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241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主路过滤器</w:t>
            </w:r>
          </w:p>
        </w:tc>
        <w:tc>
          <w:tcPr>
            <w:tcW w:w="368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单机处理量≥2.4m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/min</w:t>
            </w:r>
          </w:p>
        </w:tc>
        <w:tc>
          <w:tcPr>
            <w:tcW w:w="184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w:t>
            </w:r>
          </w:p>
        </w:tc>
        <w:tc>
          <w:tcPr>
            <w:tcW w:w="241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前级精密过滤器</w:t>
            </w:r>
          </w:p>
        </w:tc>
        <w:tc>
          <w:tcPr>
            <w:tcW w:w="368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单机处理量≥2.4m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/min</w:t>
            </w:r>
          </w:p>
        </w:tc>
        <w:tc>
          <w:tcPr>
            <w:tcW w:w="184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6</w:t>
            </w:r>
          </w:p>
        </w:tc>
        <w:tc>
          <w:tcPr>
            <w:tcW w:w="241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中级精密过滤器</w:t>
            </w:r>
          </w:p>
        </w:tc>
        <w:tc>
          <w:tcPr>
            <w:tcW w:w="368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单机处理量≥2.4m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/min</w:t>
            </w:r>
          </w:p>
        </w:tc>
        <w:tc>
          <w:tcPr>
            <w:tcW w:w="184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7</w:t>
            </w:r>
          </w:p>
        </w:tc>
        <w:tc>
          <w:tcPr>
            <w:tcW w:w="241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后级精密过滤器</w:t>
            </w:r>
          </w:p>
        </w:tc>
        <w:tc>
          <w:tcPr>
            <w:tcW w:w="368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单机处理量≥2.4m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/min</w:t>
            </w:r>
          </w:p>
        </w:tc>
        <w:tc>
          <w:tcPr>
            <w:tcW w:w="184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8</w:t>
            </w:r>
          </w:p>
        </w:tc>
        <w:tc>
          <w:tcPr>
            <w:tcW w:w="241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除菌精密过滤器</w:t>
            </w:r>
          </w:p>
        </w:tc>
        <w:tc>
          <w:tcPr>
            <w:tcW w:w="368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单机处理量≥2.4m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/min</w:t>
            </w:r>
          </w:p>
        </w:tc>
        <w:tc>
          <w:tcPr>
            <w:tcW w:w="184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9</w:t>
            </w:r>
          </w:p>
        </w:tc>
        <w:tc>
          <w:tcPr>
            <w:tcW w:w="241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配电柜</w:t>
            </w:r>
          </w:p>
        </w:tc>
        <w:tc>
          <w:tcPr>
            <w:tcW w:w="368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满足≥32kW功率</w:t>
            </w:r>
          </w:p>
        </w:tc>
        <w:tc>
          <w:tcPr>
            <w:tcW w:w="184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w:t>
            </w:r>
          </w:p>
        </w:tc>
        <w:tc>
          <w:tcPr>
            <w:tcW w:w="241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露点检测仪</w:t>
            </w:r>
          </w:p>
        </w:tc>
        <w:tc>
          <w:tcPr>
            <w:tcW w:w="368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配套</w:t>
            </w:r>
          </w:p>
        </w:tc>
        <w:tc>
          <w:tcPr>
            <w:tcW w:w="184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11</w:t>
            </w:r>
          </w:p>
        </w:tc>
        <w:tc>
          <w:tcPr>
            <w:tcW w:w="241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一氧化碳检测仪</w:t>
            </w:r>
          </w:p>
        </w:tc>
        <w:tc>
          <w:tcPr>
            <w:tcW w:w="368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配套</w:t>
            </w:r>
          </w:p>
        </w:tc>
        <w:tc>
          <w:tcPr>
            <w:tcW w:w="184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12</w:t>
            </w:r>
          </w:p>
        </w:tc>
        <w:tc>
          <w:tcPr>
            <w:tcW w:w="241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空气大流量减压装置</w:t>
            </w:r>
          </w:p>
        </w:tc>
        <w:tc>
          <w:tcPr>
            <w:tcW w:w="368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调压阀一用一备、单个调压阀流量≥200m3/h</w:t>
            </w:r>
          </w:p>
        </w:tc>
        <w:tc>
          <w:tcPr>
            <w:tcW w:w="184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13</w:t>
            </w:r>
          </w:p>
        </w:tc>
        <w:tc>
          <w:tcPr>
            <w:tcW w:w="241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不锈钢分气缸</w:t>
            </w:r>
          </w:p>
        </w:tc>
        <w:tc>
          <w:tcPr>
            <w:tcW w:w="3685"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一进三出，含进出口阀门及仪表组件等</w:t>
            </w:r>
          </w:p>
        </w:tc>
        <w:tc>
          <w:tcPr>
            <w:tcW w:w="1843"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1个</w:t>
            </w:r>
          </w:p>
        </w:tc>
      </w:tr>
    </w:tbl>
    <w:p>
      <w:pPr>
        <w:spacing w:line="360" w:lineRule="auto"/>
        <w:rPr>
          <w:rFonts w:asciiTheme="minorEastAsia" w:hAnsiTheme="minorEastAsia" w:eastAsiaTheme="minorEastAsia"/>
          <w:bCs/>
          <w:color w:val="auto"/>
          <w:sz w:val="24"/>
        </w:rPr>
      </w:pPr>
      <w:r>
        <w:rPr>
          <w:rFonts w:hint="eastAsia" w:ascii="宋体" w:hAnsi="宋体"/>
          <w:color w:val="auto"/>
          <w:sz w:val="24"/>
          <w:highlight w:val="none"/>
        </w:rPr>
        <w:t>★</w:t>
      </w:r>
      <w:r>
        <w:rPr>
          <w:rFonts w:hint="eastAsia" w:asciiTheme="minorEastAsia" w:hAnsiTheme="minorEastAsia" w:eastAsiaTheme="minorEastAsia"/>
          <w:bCs/>
          <w:color w:val="auto"/>
          <w:sz w:val="24"/>
        </w:rPr>
        <w:t>医用压缩空气系统作为医疗器械管理，</w:t>
      </w:r>
      <w:r>
        <w:rPr>
          <w:rFonts w:hint="eastAsia" w:asciiTheme="minorEastAsia" w:hAnsiTheme="minorEastAsia" w:eastAsiaTheme="minorEastAsia"/>
          <w:bCs/>
          <w:color w:val="auto"/>
          <w:sz w:val="24"/>
          <w:lang w:val="en-US" w:eastAsia="zh-CN"/>
        </w:rPr>
        <w:t>投标供应商须</w:t>
      </w:r>
      <w:r>
        <w:rPr>
          <w:rFonts w:hint="eastAsia" w:asciiTheme="minorEastAsia" w:hAnsiTheme="minorEastAsia" w:eastAsiaTheme="minorEastAsia"/>
          <w:bCs/>
          <w:color w:val="auto"/>
          <w:sz w:val="24"/>
        </w:rPr>
        <w:t>提供医用压缩空气系统医疗器械注册证</w:t>
      </w:r>
      <w:r>
        <w:rPr>
          <w:rFonts w:hint="eastAsia" w:asciiTheme="minorEastAsia" w:hAnsiTheme="minorEastAsia" w:eastAsiaTheme="minorEastAsia"/>
          <w:bCs/>
          <w:color w:val="auto"/>
          <w:sz w:val="24"/>
          <w:lang w:val="en-US" w:eastAsia="zh-CN"/>
        </w:rPr>
        <w:t>扫描件</w:t>
      </w:r>
      <w:r>
        <w:rPr>
          <w:rFonts w:hint="eastAsia" w:asciiTheme="minorEastAsia" w:hAnsiTheme="minorEastAsia" w:eastAsiaTheme="minorEastAsia"/>
          <w:bCs/>
          <w:color w:val="auto"/>
          <w:sz w:val="24"/>
        </w:rPr>
        <w:t>。</w:t>
      </w:r>
    </w:p>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1.2压缩空气站技术参数：</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压缩空气站最大供气量：二台压缩机同时工作时</w:t>
      </w:r>
      <w:r>
        <w:rPr>
          <w:rFonts w:hint="eastAsia" w:asciiTheme="minorEastAsia" w:hAnsiTheme="minorEastAsia" w:eastAsiaTheme="minorEastAsia"/>
          <w:bCs/>
          <w:color w:val="auto"/>
          <w:sz w:val="24"/>
        </w:rPr>
        <w:t>≥4.8</w:t>
      </w:r>
      <w:r>
        <w:rPr>
          <w:rFonts w:hint="eastAsia" w:asciiTheme="minorEastAsia" w:hAnsiTheme="minorEastAsia" w:eastAsiaTheme="minorEastAsia"/>
          <w:color w:val="auto"/>
          <w:sz w:val="24"/>
        </w:rPr>
        <w:t>m</w:t>
      </w:r>
      <w:r>
        <w:rPr>
          <w:rFonts w:hint="eastAsia" w:asciiTheme="minorEastAsia" w:hAnsiTheme="minorEastAsia" w:eastAsiaTheme="minorEastAsia"/>
          <w:color w:val="auto"/>
          <w:sz w:val="24"/>
          <w:vertAlign w:val="superscript"/>
        </w:rPr>
        <w:t>3</w:t>
      </w:r>
      <w:r>
        <w:rPr>
          <w:rFonts w:hint="eastAsia" w:asciiTheme="minorEastAsia" w:hAnsiTheme="minorEastAsia" w:eastAsiaTheme="minorEastAsia"/>
          <w:color w:val="auto"/>
          <w:sz w:val="24"/>
        </w:rPr>
        <w:t>/min。</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压缩空气站出口工作压力：0.5MPa (可调)。</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压缩空气站内设置一用一备</w:t>
      </w:r>
      <w:r>
        <w:rPr>
          <w:rFonts w:hint="eastAsia" w:asciiTheme="minorEastAsia" w:hAnsiTheme="minorEastAsia" w:eastAsiaTheme="minorEastAsia"/>
          <w:bCs/>
          <w:color w:val="auto"/>
          <w:sz w:val="24"/>
        </w:rPr>
        <w:t>空气压缩机</w:t>
      </w:r>
      <w:r>
        <w:rPr>
          <w:rFonts w:hint="eastAsia" w:asciiTheme="minorEastAsia" w:hAnsiTheme="minorEastAsia" w:eastAsiaTheme="minorEastAsia"/>
          <w:color w:val="auto"/>
          <w:sz w:val="24"/>
        </w:rPr>
        <w:t>，当工作压缩机故障时，备用压缩机启动，以保证系统正常工作。</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2、医疗用压缩空气管道</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2.1管道材质</w:t>
      </w:r>
    </w:p>
    <w:p>
      <w:pPr>
        <w:tabs>
          <w:tab w:val="left" w:pos="-180"/>
          <w:tab w:val="left" w:pos="0"/>
        </w:tabs>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本采购空气管道采用 O6Cr19Ni10 不锈钢管。不锈钢管必须符合GB/T14976-2012《流体输送用不锈钢无缝钢管》标准。</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2.2管道规格</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计算依据：GB50751-2012《医用气体采购技术规范》，计算管道规格如下：</w:t>
      </w:r>
    </w:p>
    <w:p>
      <w:pPr>
        <w:spacing w:line="360" w:lineRule="auto"/>
        <w:ind w:left="-105" w:right="-105" w:rightChars="-50"/>
        <w:rPr>
          <w:rFonts w:asciiTheme="minorEastAsia" w:hAnsiTheme="minorEastAsia" w:eastAsiaTheme="minorEastAsia"/>
          <w:color w:val="auto"/>
          <w:sz w:val="24"/>
        </w:rPr>
      </w:pPr>
      <w:r>
        <w:rPr>
          <w:rFonts w:hint="eastAsia" w:asciiTheme="minorEastAsia" w:eastAsiaTheme="minorEastAsia"/>
          <w:color w:val="auto"/>
          <w:sz w:val="24"/>
        </w:rPr>
        <w:t>1）</w:t>
      </w:r>
      <w:r>
        <w:rPr>
          <w:rFonts w:hint="eastAsia" w:asciiTheme="minorEastAsia" w:hAnsiTheme="minorEastAsia" w:eastAsiaTheme="minorEastAsia"/>
          <w:color w:val="auto"/>
          <w:sz w:val="24"/>
        </w:rPr>
        <w:t>总管及备用主管：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φ32×2.0医用不锈钢管(空气室外总管)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φ32×2.0医用不锈钢管(生命支持区域空气室外总管)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φ32×2.0医用不锈钢管(主楼西南区空气主管)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φ25×2.0医用不锈钢管(主楼西南区生命支持区域空气主管)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φ25×2.0医用不锈钢管(主楼东南区空气主管)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φ32×2.0医用不锈钢管(主楼东南区生命支持区域空气主管)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φ25×2.0医用不锈钢管(主楼西北区空气主管)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φ25×2.0医用不锈钢管(主楼东北区空气主管)</w:t>
      </w:r>
    </w:p>
    <w:p>
      <w:pPr>
        <w:spacing w:line="360" w:lineRule="auto"/>
        <w:ind w:left="-105" w:right="-105" w:rightChars="-50"/>
        <w:rPr>
          <w:rFonts w:ascii="宋体" w:hAnsi="宋体"/>
          <w:color w:val="auto"/>
          <w:sz w:val="28"/>
          <w:szCs w:val="28"/>
        </w:rPr>
      </w:pPr>
      <w:r>
        <w:rPr>
          <w:rFonts w:hint="eastAsia" w:asciiTheme="minorEastAsia" w:hAnsiTheme="minorEastAsia" w:eastAsiaTheme="minorEastAsia"/>
          <w:color w:val="auto"/>
          <w:sz w:val="24"/>
        </w:rPr>
        <w:t>φ25×2.0医用不锈钢管(中心供应室主管)</w:t>
      </w:r>
    </w:p>
    <w:p>
      <w:pPr>
        <w:spacing w:line="360" w:lineRule="auto"/>
        <w:ind w:left="-105" w:right="-105" w:rightChars="-50"/>
        <w:rPr>
          <w:rFonts w:asciiTheme="minorEastAsia" w:hAnsiTheme="minorEastAsia" w:eastAsiaTheme="minorEastAsia"/>
          <w:color w:val="auto"/>
          <w:sz w:val="24"/>
        </w:rPr>
      </w:pPr>
      <w:r>
        <w:rPr>
          <w:rFonts w:hint="eastAsia" w:asciiTheme="minorEastAsia" w:eastAsiaTheme="minorEastAsia"/>
          <w:color w:val="auto"/>
          <w:sz w:val="24"/>
        </w:rPr>
        <w:t>2）</w:t>
      </w:r>
      <w:r>
        <w:rPr>
          <w:rFonts w:hint="eastAsia" w:asciiTheme="minorEastAsia" w:hAnsiTheme="minorEastAsia" w:eastAsiaTheme="minorEastAsia"/>
          <w:color w:val="auto"/>
          <w:sz w:val="24"/>
        </w:rPr>
        <w:t>病区横管：</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φ32×2.0医用不锈钢管；（详见图纸）</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φ25×2.0医用不锈钢管；（详见图纸）</w:t>
      </w:r>
    </w:p>
    <w:p>
      <w:pPr>
        <w:spacing w:line="360" w:lineRule="auto"/>
        <w:ind w:left="-105"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φ16×1.5医用不锈钢管；（详见图纸）</w:t>
      </w:r>
    </w:p>
    <w:p>
      <w:pPr>
        <w:spacing w:line="360" w:lineRule="auto"/>
        <w:ind w:left="-105" w:right="-105" w:rightChars="-50"/>
        <w:rPr>
          <w:rFonts w:asciiTheme="minorEastAsia" w:hAnsiTheme="minorEastAsia" w:eastAsiaTheme="minorEastAsia"/>
          <w:color w:val="auto"/>
          <w:sz w:val="24"/>
        </w:rPr>
      </w:pPr>
      <w:r>
        <w:rPr>
          <w:rFonts w:hint="eastAsia" w:asciiTheme="minorEastAsia" w:eastAsiaTheme="minorEastAsia"/>
          <w:color w:val="auto"/>
          <w:sz w:val="24"/>
        </w:rPr>
        <w:t>3）</w:t>
      </w:r>
      <w:r>
        <w:rPr>
          <w:rFonts w:hint="eastAsia" w:asciiTheme="minorEastAsia" w:hAnsiTheme="minorEastAsia" w:eastAsiaTheme="minorEastAsia"/>
          <w:color w:val="auto"/>
          <w:sz w:val="24"/>
        </w:rPr>
        <w:t>病房支管：</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重病房φ10×1.0医用不锈钢管；</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2.3管道连接方法技术要求</w:t>
      </w:r>
    </w:p>
    <w:p>
      <w:pPr>
        <w:spacing w:line="360" w:lineRule="auto"/>
        <w:ind w:right="-105" w:rightChars="-50" w:firstLine="472" w:firstLineChars="197"/>
        <w:rPr>
          <w:rFonts w:asciiTheme="minorEastAsia" w:hAnsiTheme="minorEastAsia" w:eastAsiaTheme="minorEastAsia"/>
          <w:color w:val="auto"/>
          <w:sz w:val="24"/>
        </w:rPr>
      </w:pPr>
      <w:r>
        <w:rPr>
          <w:rFonts w:hint="eastAsia" w:asciiTheme="minorEastAsia" w:hAnsiTheme="minorEastAsia" w:eastAsiaTheme="minorEastAsia"/>
          <w:color w:val="auto"/>
          <w:sz w:val="24"/>
        </w:rPr>
        <w:t>不锈钢管连接采用标准的不锈钢球头、螺帽、焊咀连接后氩弧焊接连接。整个系统连接均采用金属密封，可保证系统的气密性。</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2.4管道布置</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主管道沿地沟敷设或沿走廊墙面架设至大楼管道井，病区走廊横管安装在吊顶内，管道区域阀门箱安装在护士站适当位置，病房内支管及终端、截止阀均安装在铝合金设备带内，这样既整齐又美观（与氧气管道一起走管）。</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3、区域阀门箱（与氧气系统共用）。</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4、系统压力试验、吹扫技术要求</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4.1系统强度试验:空气管道安装完毕后必须进行强度试验,试验介质为氮气或无油压缩空气,试验压力为管道设计压力的1.15倍,试压时间10min,试验结果以管道接头、焊缝、管段无肉眼的可见的变形、以发泡剂检验无渗漏为合格。</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4.2系统泄漏率试验:空气管道强度试验合格后必须进行泄漏率试验,试验介质为氮气或无油压缩空气,试验压力为管道设计压力的, 试压24h，试验结果每小时泄漏率小于0.5%为合格。</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4.3系统吹扫:空气管道强度泄漏试验合格后必须进行系统吹扫,吹扫介质为氮气或无油压缩空气，结果以出气口无杂质、干净为合格。</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5、压缩空气系统技术参数</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5.1压缩空气系统管道气体流速: ≯10m/s。</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5.2压缩空气系统总体每小时泄漏率：保证小于≤0.2%。</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5.3压缩空气系统管道应可靠接地，接地电阻应小于10Ω。</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5.4空气终端气压不低于0.4MPa,每个终端流量不低于60L/min。</w:t>
      </w:r>
    </w:p>
    <w:p>
      <w:pPr>
        <w:numPr>
          <w:ilvl w:val="0"/>
          <w:numId w:val="0"/>
        </w:numPr>
        <w:tabs>
          <w:tab w:val="left" w:pos="8280"/>
        </w:tabs>
        <w:autoSpaceDE w:val="0"/>
        <w:autoSpaceDN w:val="0"/>
        <w:adjustRightInd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六、</w:t>
      </w:r>
      <w:r>
        <w:rPr>
          <w:rFonts w:hint="eastAsia" w:asciiTheme="minorEastAsia" w:hAnsiTheme="minorEastAsia" w:eastAsiaTheme="minorEastAsia"/>
          <w:b/>
          <w:color w:val="auto"/>
          <w:sz w:val="24"/>
        </w:rPr>
        <w:t>口腔科专用负压吸引系统详细说明</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bCs/>
          <w:color w:val="auto"/>
          <w:sz w:val="24"/>
        </w:rPr>
        <w:t>牙科专用负压吸引系统的负压源来自侧流风机，通过侧流风机的工作使系统产生负压，经过管道输送至各口腔科牙床处。</w:t>
      </w:r>
    </w:p>
    <w:p>
      <w:pPr>
        <w:spacing w:line="360" w:lineRule="auto"/>
        <w:ind w:right="60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1、口腔科负压吸引站：</w:t>
      </w:r>
    </w:p>
    <w:p>
      <w:pPr>
        <w:spacing w:line="360" w:lineRule="auto"/>
        <w:ind w:right="60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1.1口腔科负压吸引站位置设在口腔科同层。</w:t>
      </w:r>
    </w:p>
    <w:p>
      <w:pPr>
        <w:spacing w:line="360" w:lineRule="auto"/>
        <w:ind w:right="60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1.2</w:t>
      </w:r>
      <w:r>
        <w:rPr>
          <w:rFonts w:hint="eastAsia" w:asciiTheme="minorEastAsia" w:hAnsiTheme="minorEastAsia" w:eastAsiaTheme="minorEastAsia"/>
          <w:b/>
          <w:color w:val="auto"/>
          <w:sz w:val="24"/>
        </w:rPr>
        <w:t>口腔科负压吸引站参数要求</w:t>
      </w:r>
      <w:r>
        <w:rPr>
          <w:rFonts w:hint="eastAsia" w:asciiTheme="minorEastAsia" w:hAnsiTheme="minorEastAsia" w:eastAsiaTheme="minorEastAsia"/>
          <w:bCs/>
          <w:color w:val="auto"/>
          <w:sz w:val="24"/>
        </w:rPr>
        <w:t>：</w:t>
      </w:r>
    </w:p>
    <w:tbl>
      <w:tblPr>
        <w:tblStyle w:val="29"/>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660"/>
        <w:gridCol w:w="3175"/>
        <w:gridCol w:w="995"/>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序号</w:t>
            </w:r>
          </w:p>
        </w:tc>
        <w:tc>
          <w:tcPr>
            <w:tcW w:w="26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设备名称</w:t>
            </w:r>
          </w:p>
        </w:tc>
        <w:tc>
          <w:tcPr>
            <w:tcW w:w="31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技术参数</w:t>
            </w:r>
          </w:p>
        </w:tc>
        <w:tc>
          <w:tcPr>
            <w:tcW w:w="9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数量</w:t>
            </w:r>
          </w:p>
        </w:tc>
        <w:tc>
          <w:tcPr>
            <w:tcW w:w="14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w:t>
            </w:r>
          </w:p>
        </w:tc>
        <w:tc>
          <w:tcPr>
            <w:tcW w:w="2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牙科抽吸机</w:t>
            </w:r>
          </w:p>
        </w:tc>
        <w:tc>
          <w:tcPr>
            <w:tcW w:w="3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单台抽气量≥3000L/min，具备防腐防污机身，分离罐冲洗，自动反清洗功能</w:t>
            </w: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2台</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带不锈钢中央分离罐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w:t>
            </w:r>
          </w:p>
        </w:tc>
        <w:tc>
          <w:tcPr>
            <w:tcW w:w="2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控制器</w:t>
            </w:r>
          </w:p>
        </w:tc>
        <w:tc>
          <w:tcPr>
            <w:tcW w:w="3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微电脑集成电路控制器</w:t>
            </w: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w:t>
            </w:r>
          </w:p>
        </w:tc>
        <w:tc>
          <w:tcPr>
            <w:tcW w:w="2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机身</w:t>
            </w:r>
          </w:p>
        </w:tc>
        <w:tc>
          <w:tcPr>
            <w:tcW w:w="3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航空铝材防腐防污材质</w:t>
            </w: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4</w:t>
            </w:r>
          </w:p>
        </w:tc>
        <w:tc>
          <w:tcPr>
            <w:tcW w:w="2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排污系统</w:t>
            </w:r>
          </w:p>
        </w:tc>
        <w:tc>
          <w:tcPr>
            <w:tcW w:w="3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自动排污/自流排污双模式</w:t>
            </w: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5</w:t>
            </w:r>
          </w:p>
        </w:tc>
        <w:tc>
          <w:tcPr>
            <w:tcW w:w="26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液位</w:t>
            </w:r>
          </w:p>
        </w:tc>
        <w:tc>
          <w:tcPr>
            <w:tcW w:w="3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集成三极液位感应</w:t>
            </w: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color w:val="auto"/>
                <w:sz w:val="24"/>
              </w:rPr>
            </w:pPr>
          </w:p>
        </w:tc>
      </w:tr>
    </w:tbl>
    <w:p>
      <w:pPr>
        <w:spacing w:line="360" w:lineRule="auto"/>
        <w:ind w:right="6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1.3主要技术参数：</w:t>
      </w:r>
    </w:p>
    <w:p>
      <w:pPr>
        <w:tabs>
          <w:tab w:val="left" w:pos="-180"/>
          <w:tab w:val="left" w:pos="0"/>
        </w:tabs>
        <w:spacing w:line="360" w:lineRule="auto"/>
        <w:rPr>
          <w:rFonts w:asciiTheme="minorEastAsia" w:hAnsiTheme="minorEastAsia" w:eastAsiaTheme="minorEastAsia"/>
          <w:color w:val="auto"/>
          <w:sz w:val="24"/>
        </w:rPr>
      </w:pPr>
      <w:r>
        <w:rPr>
          <w:rFonts w:hint="eastAsia" w:asciiTheme="minorEastAsia" w:hAnsiTheme="minorEastAsia" w:eastAsiaTheme="minorEastAsia"/>
          <w:bCs/>
          <w:color w:val="auto"/>
          <w:sz w:val="24"/>
        </w:rPr>
        <w:t>口腔科负压吸引站</w:t>
      </w:r>
      <w:r>
        <w:rPr>
          <w:rFonts w:hint="eastAsia" w:asciiTheme="minorEastAsia" w:hAnsiTheme="minorEastAsia" w:eastAsiaTheme="minorEastAsia"/>
          <w:color w:val="auto"/>
          <w:sz w:val="24"/>
        </w:rPr>
        <w:t>最大抽气量（二台同时工作）：≥</w:t>
      </w:r>
      <w:r>
        <w:rPr>
          <w:rFonts w:hint="eastAsia" w:asciiTheme="minorEastAsia" w:hAnsiTheme="minorEastAsia" w:eastAsiaTheme="minorEastAsia"/>
          <w:color w:val="auto"/>
          <w:kern w:val="0"/>
          <w:sz w:val="24"/>
        </w:rPr>
        <w:t>6000L/min</w:t>
      </w:r>
    </w:p>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口腔科负压吸引站房所需总功率：6.0kW</w:t>
      </w:r>
    </w:p>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压力调节范围：-15KPa(可调)</w:t>
      </w:r>
    </w:p>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系统小时增压率：≤1.0%（行业标准为1.8%）</w:t>
      </w:r>
    </w:p>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吸引管道应可靠接地，接地电阻应小于10欧姆</w:t>
      </w:r>
    </w:p>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电控柜的绝缘电阻不小于2MΩ</w:t>
      </w:r>
    </w:p>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由排气口排出的空气每立方细菌数不超过500个。</w:t>
      </w:r>
    </w:p>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1.4线路连接说明：</w:t>
      </w:r>
    </w:p>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（1）单台治疗机使用一根电源线连接到控制箱中，每台机器互不干涉；</w:t>
      </w:r>
    </w:p>
    <w:p>
      <w:pPr>
        <w:spacing w:line="360" w:lineRule="auto"/>
        <w:rPr>
          <w:rFonts w:hint="eastAsia" w:asciiTheme="minorEastAsia" w:hAnsiTheme="minorEastAsia" w:eastAsiaTheme="minorEastAsia"/>
          <w:bCs/>
          <w:color w:val="auto"/>
          <w:sz w:val="24"/>
          <w:lang w:eastAsia="zh-CN"/>
        </w:rPr>
      </w:pPr>
      <w:r>
        <w:rPr>
          <w:rFonts w:hint="eastAsia" w:asciiTheme="minorEastAsia" w:hAnsiTheme="minorEastAsia" w:eastAsiaTheme="minorEastAsia"/>
          <w:bCs/>
          <w:color w:val="auto"/>
          <w:sz w:val="24"/>
        </w:rPr>
        <w:t>（2）1台抽吸机使用一个控制箱</w:t>
      </w:r>
      <w:r>
        <w:rPr>
          <w:rFonts w:hint="eastAsia" w:asciiTheme="minorEastAsia" w:hAnsiTheme="minorEastAsia" w:eastAsiaTheme="minorEastAsia"/>
          <w:bCs/>
          <w:color w:val="auto"/>
          <w:sz w:val="24"/>
          <w:lang w:eastAsia="zh-CN"/>
        </w:rPr>
        <w:t>。</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2、口腔科负压吸引管道</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2.1管道材质</w:t>
      </w:r>
    </w:p>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口腔科负压吸引管道采用优质UPVC管。</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2.2管道规格</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1）主管：D75UPVC管</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2）病区横管：D50UPVC管</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3）接口腔椅支管：D25 UPVC管</w:t>
      </w:r>
    </w:p>
    <w:p>
      <w:pPr>
        <w:spacing w:line="360" w:lineRule="auto"/>
        <w:ind w:right="6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2.3管道连接：</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UPVC管连接接采用UPVC管件承插粘接，可保证气密性。</w:t>
      </w:r>
    </w:p>
    <w:p>
      <w:pPr>
        <w:spacing w:line="360" w:lineRule="auto"/>
        <w:ind w:right="6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2.4管道布置：</w:t>
      </w:r>
    </w:p>
    <w:p>
      <w:pPr>
        <w:spacing w:line="360" w:lineRule="auto"/>
        <w:rPr>
          <w:bCs/>
          <w:color w:val="auto"/>
          <w:sz w:val="28"/>
          <w:szCs w:val="28"/>
        </w:rPr>
      </w:pPr>
      <w:r>
        <w:rPr>
          <w:rFonts w:hint="eastAsia" w:asciiTheme="minorEastAsia" w:hAnsiTheme="minorEastAsia" w:eastAsiaTheme="minorEastAsia"/>
          <w:color w:val="auto"/>
          <w:sz w:val="24"/>
        </w:rPr>
        <w:t>口腔科负压抽吸管道由三层穿楼板接四层口腔椅处。</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3、吸引系统技术参数：</w:t>
      </w:r>
    </w:p>
    <w:p>
      <w:pPr>
        <w:numPr>
          <w:ilvl w:val="0"/>
          <w:numId w:val="5"/>
        </w:num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吸引系统保证管内压力在任何情况下，不能高于环境压力。</w:t>
      </w:r>
    </w:p>
    <w:p>
      <w:pPr>
        <w:numPr>
          <w:ilvl w:val="0"/>
          <w:numId w:val="5"/>
        </w:num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工作压力：</w:t>
      </w:r>
      <w:r>
        <w:rPr>
          <w:rFonts w:hint="eastAsia" w:asciiTheme="minorEastAsia" w:hAnsiTheme="minorEastAsia" w:eastAsiaTheme="minorEastAsia"/>
          <w:bCs/>
          <w:color w:val="auto"/>
          <w:sz w:val="24"/>
        </w:rPr>
        <w:t>-</w:t>
      </w:r>
      <w:r>
        <w:rPr>
          <w:rFonts w:hint="eastAsia" w:asciiTheme="minorEastAsia" w:hAnsiTheme="minorEastAsia" w:eastAsiaTheme="minorEastAsia"/>
          <w:color w:val="auto"/>
          <w:sz w:val="24"/>
        </w:rPr>
        <w:t>15KPa至</w:t>
      </w: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sz w:val="24"/>
        </w:rPr>
        <w:t>22KPa。</w:t>
      </w:r>
    </w:p>
    <w:p>
      <w:pPr>
        <w:numPr>
          <w:ilvl w:val="0"/>
          <w:numId w:val="5"/>
        </w:num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牙椅处抽气速率不低于300L/min。</w:t>
      </w:r>
    </w:p>
    <w:p>
      <w:pPr>
        <w:numPr>
          <w:ilvl w:val="0"/>
          <w:numId w:val="0"/>
        </w:numPr>
        <w:tabs>
          <w:tab w:val="left" w:pos="8280"/>
        </w:tabs>
        <w:autoSpaceDE w:val="0"/>
        <w:autoSpaceDN w:val="0"/>
        <w:adjustRightInd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七、</w:t>
      </w:r>
      <w:r>
        <w:rPr>
          <w:rFonts w:hint="eastAsia" w:asciiTheme="minorEastAsia" w:hAnsiTheme="minorEastAsia" w:eastAsiaTheme="minorEastAsia"/>
          <w:b/>
          <w:color w:val="auto"/>
          <w:sz w:val="24"/>
        </w:rPr>
        <w:t>口腔科用压缩空气系统详细说明</w:t>
      </w:r>
    </w:p>
    <w:p>
      <w:pPr>
        <w:spacing w:line="360" w:lineRule="auto"/>
        <w:ind w:right="420" w:rightChars="200" w:firstLine="470" w:firstLineChars="196"/>
        <w:rPr>
          <w:rFonts w:asciiTheme="minorEastAsia" w:hAnsiTheme="minorEastAsia" w:eastAsiaTheme="minorEastAsia"/>
          <w:color w:val="auto"/>
          <w:sz w:val="24"/>
        </w:rPr>
      </w:pPr>
      <w:r>
        <w:rPr>
          <w:rFonts w:hint="eastAsia" w:asciiTheme="minorEastAsia" w:hAnsiTheme="minorEastAsia" w:eastAsiaTheme="minorEastAsia"/>
          <w:color w:val="auto"/>
          <w:sz w:val="24"/>
        </w:rPr>
        <w:t>空气系统的动力源是中心压缩站的空压机组，通过空压机组排气使空气系统管路达到所需压力值和流量，在口腔治疗椅室终端处产生动力，提供口腔科医疗设备使用。</w:t>
      </w:r>
    </w:p>
    <w:p>
      <w:pPr>
        <w:pStyle w:val="34"/>
        <w:numPr>
          <w:ilvl w:val="0"/>
          <w:numId w:val="6"/>
        </w:numPr>
        <w:spacing w:line="360" w:lineRule="auto"/>
        <w:ind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口腔科用压缩空气站</w:t>
      </w:r>
    </w:p>
    <w:p>
      <w:pPr>
        <w:spacing w:line="360" w:lineRule="auto"/>
        <w:ind w:right="60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1.1口腔科压缩空气站位置设在口腔科同层。</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1.2设备参数要求:</w:t>
      </w:r>
    </w:p>
    <w:tbl>
      <w:tblPr>
        <w:tblStyle w:val="2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382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2551"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设备名称</w:t>
            </w:r>
          </w:p>
        </w:tc>
        <w:tc>
          <w:tcPr>
            <w:tcW w:w="3828"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技术参数</w:t>
            </w:r>
          </w:p>
        </w:tc>
        <w:tc>
          <w:tcPr>
            <w:tcW w:w="1842"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w:t>
            </w:r>
          </w:p>
        </w:tc>
        <w:tc>
          <w:tcPr>
            <w:tcW w:w="2551"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无油空气压缩机</w:t>
            </w:r>
          </w:p>
        </w:tc>
        <w:tc>
          <w:tcPr>
            <w:tcW w:w="3828"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排气量≥0.8m3/min，功率≥4*1.1kW，工作压力≥0.8MPa，具备自动排水功能</w:t>
            </w:r>
          </w:p>
        </w:tc>
        <w:tc>
          <w:tcPr>
            <w:tcW w:w="1842"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2台，互为独立互为备用，共同工作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2551"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储气罐</w:t>
            </w:r>
          </w:p>
        </w:tc>
        <w:tc>
          <w:tcPr>
            <w:tcW w:w="3828"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200L内外全面喷塑碳钢气罐</w:t>
            </w:r>
          </w:p>
        </w:tc>
        <w:tc>
          <w:tcPr>
            <w:tcW w:w="1842"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2551"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除尘过滤</w:t>
            </w:r>
          </w:p>
        </w:tc>
        <w:tc>
          <w:tcPr>
            <w:tcW w:w="3828"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单机处理量≥0.8m3/min</w:t>
            </w:r>
          </w:p>
        </w:tc>
        <w:tc>
          <w:tcPr>
            <w:tcW w:w="1842"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c>
          <w:tcPr>
            <w:tcW w:w="2551"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配电柜</w:t>
            </w:r>
          </w:p>
        </w:tc>
        <w:tc>
          <w:tcPr>
            <w:tcW w:w="3828"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满足≥8.8kW功率</w:t>
            </w:r>
          </w:p>
        </w:tc>
        <w:tc>
          <w:tcPr>
            <w:tcW w:w="1842"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w:t>
            </w:r>
          </w:p>
        </w:tc>
        <w:tc>
          <w:tcPr>
            <w:tcW w:w="2551"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二级减压箱</w:t>
            </w:r>
          </w:p>
        </w:tc>
        <w:tc>
          <w:tcPr>
            <w:tcW w:w="3828"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调压阀一用一备</w:t>
            </w:r>
          </w:p>
        </w:tc>
        <w:tc>
          <w:tcPr>
            <w:tcW w:w="1842" w:type="dxa"/>
            <w:vAlign w:val="center"/>
          </w:tcPr>
          <w:p>
            <w:pPr>
              <w:spacing w:line="360" w:lineRule="auto"/>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1台</w:t>
            </w:r>
          </w:p>
        </w:tc>
      </w:tr>
    </w:tbl>
    <w:p>
      <w:pPr>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1.3压缩空气站技术参数：</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最大供气量：二台压缩机同时工作时≥1.6m3/min。</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最大流速：压缩机输出压力为0.75MPa、按标准规定为10m/s。</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压缩空气站出口工作压力：0.55MPa (可调)。</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压缩空气总体每小时泄漏率：保证小于≤0.2%。</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压缩空气站内设置一用一备无油空气压缩机组二台，当工作压缩机故障时，备用压缩机能自动启动，以保证系统正常工作。</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压缩空气管道应可靠接地，接地电阻应小于10Ω。</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空气终端气压不低于0.55MPa,每个终端流量不低于50L/min。</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2、压缩空气管道</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2.1管道材质</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本采购口腔科压缩空气管道采用医用不锈钢管。</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2.2管道规格</w:t>
      </w:r>
    </w:p>
    <w:p>
      <w:pPr>
        <w:spacing w:line="360" w:lineRule="auto"/>
        <w:ind w:left="-105" w:leftChars="-50"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口腔科压缩空气主管：φ25×2.0医用不锈钢管；</w:t>
      </w:r>
    </w:p>
    <w:p>
      <w:pPr>
        <w:spacing w:line="360" w:lineRule="auto"/>
        <w:ind w:left="-105" w:leftChars="-50"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口腔科病区横管：φ25×2.0医用不锈钢管；</w:t>
      </w:r>
    </w:p>
    <w:p>
      <w:pPr>
        <w:spacing w:line="360" w:lineRule="auto"/>
        <w:ind w:left="-105" w:leftChars="-50"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接口腔治疗椅支管：φ16×1.5医用不锈钢管；</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2.3管道连接方法技术要求</w:t>
      </w:r>
    </w:p>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医用不锈钢管连接采用标准的不锈钢球头、螺帽、焊咀连接后氩弧焊接连接。整个系统连接均采用金属密封，可保证系统的气密性。为方便维修走廊横管及设备带内支管均设有维修阀。</w:t>
      </w:r>
    </w:p>
    <w:p>
      <w:pPr>
        <w:spacing w:line="360" w:lineRule="auto"/>
        <w:ind w:right="6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2.4管道布置：</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口腔科压缩空气管道由三层穿楼板接四层口腔椅处。</w:t>
      </w:r>
    </w:p>
    <w:p>
      <w:pPr>
        <w:numPr>
          <w:ilvl w:val="0"/>
          <w:numId w:val="0"/>
        </w:numPr>
        <w:tabs>
          <w:tab w:val="left" w:pos="8280"/>
        </w:tabs>
        <w:autoSpaceDE w:val="0"/>
        <w:autoSpaceDN w:val="0"/>
        <w:adjustRightInd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八、</w:t>
      </w:r>
      <w:r>
        <w:rPr>
          <w:rFonts w:hint="eastAsia" w:asciiTheme="minorEastAsia" w:hAnsiTheme="minorEastAsia" w:eastAsiaTheme="minorEastAsia"/>
          <w:b/>
          <w:color w:val="auto"/>
          <w:sz w:val="24"/>
        </w:rPr>
        <w:t>口腔用水净水设备详细设计说明</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1、设计说明</w:t>
      </w:r>
    </w:p>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牙科专用水处理管道消毒，通过电解发生器产生微次氯酸水，通过管道输送至口腔科牙床处。 </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水电路系统</w:t>
      </w:r>
      <w:r>
        <w:rPr>
          <w:rFonts w:asciiTheme="minorEastAsia" w:hAnsiTheme="minorEastAsia" w:eastAsiaTheme="minorEastAsia"/>
          <w:color w:val="auto"/>
          <w:sz w:val="24"/>
        </w:rPr>
        <w:t>布置</w:t>
      </w:r>
      <w:r>
        <w:rPr>
          <w:rFonts w:hint="eastAsia" w:asciiTheme="minorEastAsia" w:hAnsiTheme="minorEastAsia" w:eastAsiaTheme="minorEastAsia"/>
          <w:color w:val="auto"/>
          <w:sz w:val="24"/>
        </w:rPr>
        <w:t>要求：</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1.1口腔用水净水设备应满足口腔科</w:t>
      </w:r>
      <w:r>
        <w:rPr>
          <w:rFonts w:asciiTheme="minorEastAsia" w:hAnsiTheme="minorEastAsia" w:eastAsiaTheme="minorEastAsia"/>
          <w:color w:val="auto"/>
          <w:sz w:val="24"/>
        </w:rPr>
        <w:t>用水量</w:t>
      </w:r>
      <w:r>
        <w:rPr>
          <w:rFonts w:hint="eastAsia" w:asciiTheme="minorEastAsia" w:hAnsiTheme="minorEastAsia" w:eastAsiaTheme="minorEastAsia"/>
          <w:color w:val="auto"/>
          <w:sz w:val="24"/>
        </w:rPr>
        <w:t>的</w:t>
      </w:r>
      <w:r>
        <w:rPr>
          <w:rFonts w:asciiTheme="minorEastAsia" w:hAnsiTheme="minorEastAsia" w:eastAsiaTheme="minorEastAsia"/>
          <w:color w:val="auto"/>
          <w:sz w:val="24"/>
        </w:rPr>
        <w:t>需求。</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1.2供水给水</w:t>
      </w:r>
      <w:r>
        <w:rPr>
          <w:rFonts w:asciiTheme="minorEastAsia" w:hAnsiTheme="minorEastAsia" w:eastAsiaTheme="minorEastAsia"/>
          <w:color w:val="auto"/>
          <w:sz w:val="24"/>
        </w:rPr>
        <w:t>主管道采用PPR（管径ø</w:t>
      </w:r>
      <w:r>
        <w:rPr>
          <w:rFonts w:hint="eastAsia" w:asciiTheme="minorEastAsia" w:hAnsiTheme="minorEastAsia" w:eastAsiaTheme="minorEastAsia"/>
          <w:color w:val="auto"/>
          <w:sz w:val="24"/>
        </w:rPr>
        <w:t>25</w:t>
      </w:r>
      <w:r>
        <w:rPr>
          <w:rFonts w:asciiTheme="minorEastAsia" w:hAnsiTheme="minorEastAsia" w:eastAsiaTheme="minorEastAsia"/>
          <w:color w:val="auto"/>
          <w:sz w:val="24"/>
        </w:rPr>
        <w:t>mm）水管，</w:t>
      </w:r>
      <w:r>
        <w:rPr>
          <w:rFonts w:hint="eastAsia" w:asciiTheme="minorEastAsia" w:hAnsiTheme="minorEastAsia" w:eastAsiaTheme="minorEastAsia"/>
          <w:color w:val="auto"/>
          <w:sz w:val="24"/>
        </w:rPr>
        <w:t>自来</w:t>
      </w:r>
      <w:r>
        <w:rPr>
          <w:rFonts w:asciiTheme="minorEastAsia" w:hAnsiTheme="minorEastAsia" w:eastAsiaTheme="minorEastAsia"/>
          <w:color w:val="auto"/>
          <w:sz w:val="24"/>
        </w:rPr>
        <w:t>水压为</w:t>
      </w:r>
      <w:r>
        <w:rPr>
          <w:rFonts w:hint="eastAsia" w:asciiTheme="minorEastAsia" w:hAnsiTheme="minorEastAsia" w:eastAsiaTheme="minorEastAsia"/>
          <w:color w:val="auto"/>
          <w:sz w:val="24"/>
        </w:rPr>
        <w:t>3-5</w:t>
      </w:r>
      <w:r>
        <w:rPr>
          <w:rFonts w:asciiTheme="minorEastAsia" w:hAnsiTheme="minorEastAsia" w:eastAsiaTheme="minorEastAsia"/>
          <w:color w:val="auto"/>
          <w:sz w:val="24"/>
        </w:rPr>
        <w:t>MPa</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进入每个</w:t>
      </w:r>
      <w:r>
        <w:rPr>
          <w:rFonts w:hint="eastAsia" w:asciiTheme="minorEastAsia" w:hAnsiTheme="minorEastAsia" w:eastAsiaTheme="minorEastAsia"/>
          <w:color w:val="auto"/>
          <w:sz w:val="24"/>
        </w:rPr>
        <w:t>诊室</w:t>
      </w:r>
      <w:r>
        <w:rPr>
          <w:rFonts w:asciiTheme="minorEastAsia" w:hAnsiTheme="minorEastAsia" w:eastAsiaTheme="minorEastAsia"/>
          <w:color w:val="auto"/>
          <w:sz w:val="24"/>
        </w:rPr>
        <w:t>后的支管道PPR（管径ø</w:t>
      </w:r>
      <w:r>
        <w:rPr>
          <w:rFonts w:hint="eastAsia" w:asciiTheme="minorEastAsia" w:hAnsiTheme="minorEastAsia" w:eastAsiaTheme="minorEastAsia"/>
          <w:color w:val="auto"/>
          <w:sz w:val="24"/>
        </w:rPr>
        <w:t>25</w:t>
      </w:r>
      <w:r>
        <w:rPr>
          <w:rFonts w:asciiTheme="minorEastAsia" w:hAnsiTheme="minorEastAsia" w:eastAsiaTheme="minorEastAsia"/>
          <w:color w:val="auto"/>
          <w:sz w:val="24"/>
        </w:rPr>
        <w:t>mm）水管</w:t>
      </w:r>
      <w:r>
        <w:rPr>
          <w:rFonts w:hint="eastAsia" w:asciiTheme="minorEastAsia" w:hAnsiTheme="minorEastAsia" w:eastAsiaTheme="minorEastAsia"/>
          <w:color w:val="auto"/>
          <w:sz w:val="24"/>
        </w:rPr>
        <w:t>,设备间给水接口预留三角阀一个，供水口预留三角阀一个；</w:t>
      </w:r>
    </w:p>
    <w:p>
      <w:pPr>
        <w:spacing w:line="360" w:lineRule="auto"/>
        <w:ind w:right="-105" w:rightChars="-5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1.3设备间废水排放口PVC(</w:t>
      </w:r>
      <w:r>
        <w:rPr>
          <w:rFonts w:asciiTheme="minorEastAsia" w:hAnsiTheme="minorEastAsia" w:eastAsiaTheme="minorEastAsia"/>
          <w:color w:val="auto"/>
          <w:sz w:val="24"/>
        </w:rPr>
        <w:t>管径ø</w:t>
      </w:r>
      <w:r>
        <w:rPr>
          <w:rFonts w:hint="eastAsia" w:asciiTheme="minorEastAsia" w:hAnsiTheme="minorEastAsia" w:eastAsiaTheme="minorEastAsia"/>
          <w:color w:val="auto"/>
          <w:sz w:val="24"/>
        </w:rPr>
        <w:t>40</w:t>
      </w:r>
      <w:r>
        <w:rPr>
          <w:rFonts w:asciiTheme="minorEastAsia" w:hAnsiTheme="minorEastAsia" w:eastAsiaTheme="minorEastAsia"/>
          <w:color w:val="auto"/>
          <w:sz w:val="24"/>
        </w:rPr>
        <w:t>mm</w:t>
      </w:r>
      <w:r>
        <w:rPr>
          <w:rFonts w:hint="eastAsia" w:asciiTheme="minorEastAsia" w:hAnsiTheme="minorEastAsia" w:eastAsiaTheme="minorEastAsia"/>
          <w:color w:val="auto"/>
          <w:sz w:val="24"/>
        </w:rPr>
        <w:t>)管下水</w:t>
      </w:r>
      <w:r>
        <w:rPr>
          <w:rFonts w:asciiTheme="minorEastAsia" w:hAnsiTheme="minorEastAsia" w:eastAsiaTheme="minorEastAsia"/>
          <w:color w:val="auto"/>
          <w:sz w:val="24"/>
        </w:rPr>
        <w:t>管</w:t>
      </w:r>
      <w:r>
        <w:rPr>
          <w:rFonts w:hint="eastAsia" w:asciiTheme="minorEastAsia" w:hAnsiTheme="minorEastAsia" w:eastAsiaTheme="minorEastAsia"/>
          <w:color w:val="auto"/>
          <w:sz w:val="24"/>
        </w:rPr>
        <w:t>口一个突出离地面高度40公分；电源220v50/60Hz五孔插一个离地面高度一米，散热通风口50mm孔径通风口一个离地面高度一米</w:t>
      </w:r>
      <w:r>
        <w:rPr>
          <w:rFonts w:hint="eastAsia" w:asciiTheme="minorEastAsia" w:hAnsiTheme="minorEastAsia" w:eastAsiaTheme="minorEastAsia"/>
          <w:color w:val="auto"/>
          <w:sz w:val="24"/>
          <w:lang w:eastAsia="zh-CN"/>
        </w:rPr>
        <w:t>。</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2、设备产品介绍</w:t>
      </w:r>
    </w:p>
    <w:p>
      <w:pPr>
        <w:spacing w:line="360" w:lineRule="auto"/>
        <w:ind w:right="-105" w:rightChars="-50"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经中国卫生部审核，</w:t>
      </w:r>
      <w:r>
        <w:rPr>
          <w:rFonts w:hint="eastAsia" w:asciiTheme="minorEastAsia" w:hAnsiTheme="minorEastAsia" w:eastAsiaTheme="minorEastAsia"/>
          <w:color w:val="auto"/>
          <w:sz w:val="24"/>
        </w:rPr>
        <w:t>口腔用水净水设备应</w:t>
      </w:r>
      <w:r>
        <w:rPr>
          <w:rFonts w:asciiTheme="minorEastAsia" w:hAnsiTheme="minorEastAsia" w:eastAsiaTheme="minorEastAsia"/>
          <w:color w:val="auto"/>
          <w:sz w:val="24"/>
        </w:rPr>
        <w:t>符合《中华人民共和国传染病防治法》和《消毒管理办法》的有关规定，已获得卫生行政许可批件。</w:t>
      </w:r>
    </w:p>
    <w:p>
      <w:pPr>
        <w:spacing w:line="360" w:lineRule="auto"/>
        <w:ind w:right="-105" w:rightChars="-50"/>
        <w:rPr>
          <w:rFonts w:asciiTheme="minorEastAsia" w:hAnsiTheme="minorEastAsia" w:eastAsiaTheme="minorEastAsia"/>
          <w:color w:val="auto"/>
          <w:sz w:val="24"/>
        </w:rPr>
      </w:pPr>
      <w:bookmarkStart w:id="10" w:name="_Toc463876423"/>
      <w:bookmarkStart w:id="11" w:name="_Toc28861"/>
      <w:r>
        <w:rPr>
          <w:rFonts w:hint="eastAsia" w:asciiTheme="minorEastAsia" w:hAnsiTheme="minorEastAsia" w:eastAsiaTheme="minorEastAsia"/>
          <w:color w:val="auto"/>
          <w:sz w:val="24"/>
        </w:rPr>
        <w:t>2.1</w:t>
      </w:r>
      <w:bookmarkEnd w:id="10"/>
      <w:bookmarkEnd w:id="11"/>
      <w:r>
        <w:rPr>
          <w:rFonts w:asciiTheme="minorEastAsia" w:hAnsiTheme="minorEastAsia" w:eastAsiaTheme="minorEastAsia"/>
          <w:color w:val="auto"/>
          <w:sz w:val="24"/>
        </w:rPr>
        <w:t>微</w:t>
      </w:r>
      <w:r>
        <w:rPr>
          <w:rFonts w:hint="eastAsia" w:asciiTheme="minorEastAsia" w:hAnsiTheme="minorEastAsia" w:eastAsiaTheme="minorEastAsia"/>
          <w:color w:val="auto"/>
          <w:sz w:val="24"/>
        </w:rPr>
        <w:t>次氯</w:t>
      </w:r>
      <w:r>
        <w:rPr>
          <w:rFonts w:asciiTheme="minorEastAsia" w:hAnsiTheme="minorEastAsia" w:eastAsiaTheme="minorEastAsia"/>
          <w:color w:val="auto"/>
          <w:sz w:val="24"/>
        </w:rPr>
        <w:t>酸性电解水</w:t>
      </w:r>
      <w:r>
        <w:rPr>
          <w:rFonts w:hint="eastAsia" w:asciiTheme="minorEastAsia" w:hAnsiTheme="minorEastAsia" w:eastAsiaTheme="minorEastAsia"/>
          <w:color w:val="auto"/>
          <w:sz w:val="24"/>
        </w:rPr>
        <w:t>(HCLO)使用</w:t>
      </w:r>
      <w:r>
        <w:rPr>
          <w:rFonts w:asciiTheme="minorEastAsia" w:hAnsiTheme="minorEastAsia" w:eastAsiaTheme="minorEastAsia"/>
          <w:color w:val="auto"/>
          <w:sz w:val="24"/>
        </w:rPr>
        <w:t>浓度</w:t>
      </w:r>
      <w:r>
        <w:rPr>
          <w:rFonts w:hint="eastAsia" w:asciiTheme="minorEastAsia" w:hAnsiTheme="minorEastAsia" w:eastAsiaTheme="minorEastAsia"/>
          <w:color w:val="auto"/>
          <w:sz w:val="24"/>
        </w:rPr>
        <w:t>1-50PPM</w:t>
      </w:r>
      <w:r>
        <w:rPr>
          <w:rFonts w:asciiTheme="minorEastAsia" w:hAnsiTheme="minorEastAsia" w:eastAsiaTheme="minorEastAsia"/>
          <w:color w:val="auto"/>
          <w:sz w:val="24"/>
        </w:rPr>
        <w:t>/L</w:t>
      </w:r>
      <w:r>
        <w:rPr>
          <w:rFonts w:hint="eastAsia" w:asciiTheme="minorEastAsia" w:hAnsiTheme="minorEastAsia" w:eastAsiaTheme="minorEastAsia"/>
          <w:color w:val="auto"/>
          <w:sz w:val="24"/>
        </w:rPr>
        <w:t>可调可监控</w:t>
      </w:r>
      <w:r>
        <w:rPr>
          <w:rFonts w:asciiTheme="minorEastAsia" w:hAnsiTheme="minorEastAsia" w:eastAsiaTheme="minorEastAsia"/>
          <w:color w:val="auto"/>
          <w:sz w:val="24"/>
        </w:rPr>
        <w:t>，微酸性电解水是将专用电解液在电解装置中进行电解，得到pH值为5.0</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6.5，有效率浓度（ACC）</w:t>
      </w:r>
      <w:r>
        <w:rPr>
          <w:rFonts w:hint="eastAsia" w:asciiTheme="minorEastAsia" w:hAnsiTheme="minorEastAsia" w:eastAsiaTheme="minorEastAsia"/>
          <w:color w:val="auto"/>
          <w:sz w:val="24"/>
        </w:rPr>
        <w:t>TY</w:t>
      </w:r>
      <w:r>
        <w:rPr>
          <w:rFonts w:asciiTheme="minorEastAsia" w:hAnsiTheme="minorEastAsia" w:eastAsiaTheme="minorEastAsia"/>
          <w:color w:val="auto"/>
          <w:sz w:val="24"/>
        </w:rPr>
        <w:t>为</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50PPM/L</w:t>
      </w:r>
      <w:r>
        <w:rPr>
          <w:rFonts w:asciiTheme="minorEastAsia" w:hAnsiTheme="minorEastAsia" w:eastAsiaTheme="minorEastAsia"/>
          <w:color w:val="auto"/>
          <w:sz w:val="24"/>
        </w:rPr>
        <w:t>的具有杀菌作用的微次氯酸溶液</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由于电解水能够快速杀灭多种细菌、真菌、霉菌等致病菌，且具有</w:t>
      </w:r>
      <w:r>
        <w:rPr>
          <w:rFonts w:hint="eastAsia" w:asciiTheme="minorEastAsia" w:hAnsiTheme="minorEastAsia" w:eastAsiaTheme="minorEastAsia"/>
          <w:color w:val="auto"/>
          <w:sz w:val="24"/>
        </w:rPr>
        <w:t>环保</w:t>
      </w:r>
      <w:r>
        <w:rPr>
          <w:rFonts w:asciiTheme="minorEastAsia" w:hAnsiTheme="minorEastAsia" w:eastAsiaTheme="minorEastAsia"/>
          <w:color w:val="auto"/>
          <w:sz w:val="24"/>
        </w:rPr>
        <w:t>无残留、制取方便、运行成本低等特点</w:t>
      </w:r>
      <w:r>
        <w:rPr>
          <w:rFonts w:hint="eastAsia" w:asciiTheme="minorEastAsia" w:hAnsiTheme="minorEastAsia" w:eastAsiaTheme="minorEastAsia"/>
          <w:color w:val="auto"/>
          <w:sz w:val="24"/>
        </w:rPr>
        <w:t>。</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2.2出水水质应符合医疗单位口腔用水标准（菌落总数少于100cfu/ml）；符合GB5749-2006生活饮用水卫生标准。</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2.3</w:t>
      </w:r>
      <w:r>
        <w:rPr>
          <w:rFonts w:asciiTheme="minorEastAsia" w:hAnsiTheme="minorEastAsia" w:eastAsiaTheme="minorEastAsia"/>
          <w:color w:val="auto"/>
          <w:sz w:val="24"/>
        </w:rPr>
        <w:t>同时微酸性电解水pH值范围为5.0～6.5，与人体皮肤表面</w:t>
      </w:r>
      <w:r>
        <w:rPr>
          <w:rFonts w:hint="eastAsia" w:asciiTheme="minorEastAsia" w:hAnsiTheme="minorEastAsia" w:eastAsiaTheme="minorEastAsia"/>
          <w:color w:val="auto"/>
          <w:sz w:val="24"/>
        </w:rPr>
        <w:t>牙椅管路</w:t>
      </w:r>
      <w:r>
        <w:rPr>
          <w:rFonts w:asciiTheme="minorEastAsia" w:hAnsiTheme="minorEastAsia" w:eastAsiaTheme="minorEastAsia"/>
          <w:color w:val="auto"/>
          <w:sz w:val="24"/>
        </w:rPr>
        <w:t>消杀</w:t>
      </w:r>
      <w:r>
        <w:rPr>
          <w:rFonts w:hint="eastAsia" w:asciiTheme="minorEastAsia" w:hAnsiTheme="minorEastAsia" w:eastAsiaTheme="minorEastAsia"/>
          <w:color w:val="auto"/>
          <w:sz w:val="24"/>
        </w:rPr>
        <w:t>部分</w:t>
      </w:r>
      <w:r>
        <w:rPr>
          <w:rFonts w:asciiTheme="minorEastAsia" w:hAnsiTheme="minorEastAsia" w:eastAsiaTheme="minorEastAsia"/>
          <w:color w:val="auto"/>
          <w:sz w:val="24"/>
        </w:rPr>
        <w:t>采用“随时用水，随时</w:t>
      </w:r>
      <w:r>
        <w:rPr>
          <w:rFonts w:hint="eastAsia" w:asciiTheme="minorEastAsia" w:hAnsiTheme="minorEastAsia" w:eastAsiaTheme="minorEastAsia"/>
          <w:color w:val="auto"/>
          <w:sz w:val="24"/>
        </w:rPr>
        <w:t>有</w:t>
      </w:r>
      <w:r>
        <w:rPr>
          <w:rFonts w:asciiTheme="minorEastAsia" w:hAnsiTheme="minorEastAsia" w:eastAsiaTheme="minorEastAsia"/>
          <w:color w:val="auto"/>
          <w:sz w:val="24"/>
        </w:rPr>
        <w:t>水”的原则，在</w:t>
      </w:r>
      <w:r>
        <w:rPr>
          <w:rFonts w:hint="eastAsia" w:asciiTheme="minorEastAsia" w:hAnsiTheme="minorEastAsia" w:eastAsiaTheme="minorEastAsia"/>
          <w:color w:val="auto"/>
          <w:sz w:val="24"/>
        </w:rPr>
        <w:t>设备间</w:t>
      </w:r>
      <w:r>
        <w:rPr>
          <w:rFonts w:asciiTheme="minorEastAsia" w:hAnsiTheme="minorEastAsia" w:eastAsiaTheme="minorEastAsia"/>
          <w:color w:val="auto"/>
          <w:sz w:val="24"/>
        </w:rPr>
        <w:t>安装微酸性电解水生成装置和储存装置，</w:t>
      </w:r>
      <w:r>
        <w:rPr>
          <w:rFonts w:hint="eastAsia" w:asciiTheme="minorEastAsia" w:hAnsiTheme="minorEastAsia" w:eastAsiaTheme="minorEastAsia"/>
          <w:color w:val="auto"/>
          <w:sz w:val="24"/>
        </w:rPr>
        <w:t>通过</w:t>
      </w:r>
      <w:r>
        <w:rPr>
          <w:rFonts w:asciiTheme="minorEastAsia" w:hAnsiTheme="minorEastAsia" w:eastAsiaTheme="minorEastAsia"/>
          <w:color w:val="auto"/>
          <w:sz w:val="24"/>
        </w:rPr>
        <w:t>压力泵、</w:t>
      </w:r>
      <w:r>
        <w:rPr>
          <w:rFonts w:hint="eastAsia" w:asciiTheme="minorEastAsia" w:hAnsiTheme="minorEastAsia" w:eastAsiaTheme="minorEastAsia"/>
          <w:color w:val="auto"/>
          <w:sz w:val="24"/>
        </w:rPr>
        <w:t>管路输送到各诊室牙椅，构成整体管路全天候消杀系统</w:t>
      </w:r>
      <w:r>
        <w:rPr>
          <w:rFonts w:asciiTheme="minorEastAsia" w:hAnsiTheme="minorEastAsia" w:eastAsiaTheme="minorEastAsia"/>
          <w:color w:val="auto"/>
          <w:sz w:val="24"/>
        </w:rPr>
        <w:t>。</w:t>
      </w:r>
    </w:p>
    <w:p>
      <w:pPr>
        <w:spacing w:line="360" w:lineRule="auto"/>
        <w:ind w:right="-105" w:rightChars="-50" w:firstLine="240" w:firstLineChars="100"/>
        <w:rPr>
          <w:rFonts w:asciiTheme="minorEastAsia" w:hAnsiTheme="minorEastAsia" w:eastAsiaTheme="minorEastAsia"/>
          <w:color w:val="auto"/>
          <w:sz w:val="24"/>
        </w:rPr>
      </w:pPr>
      <w:r>
        <w:rPr>
          <w:rFonts w:hint="eastAsia" w:asciiTheme="minorEastAsia" w:hAnsiTheme="minorEastAsia" w:eastAsiaTheme="minorEastAsia"/>
          <w:color w:val="auto"/>
          <w:sz w:val="24"/>
        </w:rPr>
        <w:t>设备参数要求：</w:t>
      </w:r>
    </w:p>
    <w:tbl>
      <w:tblPr>
        <w:tblStyle w:val="29"/>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5"/>
        <w:gridCol w:w="5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379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名称</w:t>
            </w:r>
          </w:p>
        </w:tc>
        <w:tc>
          <w:tcPr>
            <w:tcW w:w="546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379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使用水源</w:t>
            </w:r>
          </w:p>
        </w:tc>
        <w:tc>
          <w:tcPr>
            <w:tcW w:w="546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市政自来水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3795" w:type="dxa"/>
            <w:vAlign w:val="center"/>
          </w:tcPr>
          <w:p>
            <w:pPr>
              <w:spacing w:line="360" w:lineRule="auto"/>
              <w:ind w:right="-105" w:rightChars="-50" w:firstLine="1440" w:firstLineChars="600"/>
              <w:rPr>
                <w:rFonts w:asciiTheme="minorEastAsia" w:hAnsiTheme="minorEastAsia" w:eastAsiaTheme="minorEastAsia"/>
                <w:color w:val="auto"/>
                <w:sz w:val="24"/>
              </w:rPr>
            </w:pPr>
            <w:r>
              <w:rPr>
                <w:rFonts w:hint="eastAsia" w:asciiTheme="minorEastAsia" w:hAnsiTheme="minorEastAsia" w:eastAsiaTheme="minorEastAsia"/>
                <w:color w:val="auto"/>
                <w:sz w:val="24"/>
              </w:rPr>
              <w:t>适用用水压</w:t>
            </w:r>
          </w:p>
        </w:tc>
        <w:tc>
          <w:tcPr>
            <w:tcW w:w="546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≤0.45Mpa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79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产水量</w:t>
            </w:r>
          </w:p>
        </w:tc>
        <w:tc>
          <w:tcPr>
            <w:tcW w:w="546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color w:val="auto"/>
                <w:sz w:val="24"/>
              </w:rPr>
              <w:t>800L/H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379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出水水质</w:t>
            </w:r>
          </w:p>
        </w:tc>
        <w:tc>
          <w:tcPr>
            <w:tcW w:w="546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符合浙江省口腔医疗单位口腔用水标准（菌落总数小于100cfu/ml；符合GB5749-2006生活饮用水卫生标准）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379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电解液用量</w:t>
            </w:r>
          </w:p>
        </w:tc>
        <w:tc>
          <w:tcPr>
            <w:tcW w:w="546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以浓度设定为准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379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电解片材质</w:t>
            </w:r>
          </w:p>
        </w:tc>
        <w:tc>
          <w:tcPr>
            <w:tcW w:w="546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进口电镀铂金钛片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379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尺寸mm</w:t>
            </w:r>
          </w:p>
        </w:tc>
        <w:tc>
          <w:tcPr>
            <w:tcW w:w="546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≤600x600x1600mm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379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接口尺寸</w:t>
            </w:r>
          </w:p>
        </w:tc>
        <w:tc>
          <w:tcPr>
            <w:tcW w:w="546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PPR-25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379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安装标准</w:t>
            </w:r>
          </w:p>
        </w:tc>
        <w:tc>
          <w:tcPr>
            <w:tcW w:w="546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电源地漏排风口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379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质保期</w:t>
            </w:r>
          </w:p>
        </w:tc>
        <w:tc>
          <w:tcPr>
            <w:tcW w:w="546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379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功能特点</w:t>
            </w:r>
          </w:p>
        </w:tc>
        <w:tc>
          <w:tcPr>
            <w:tcW w:w="5465" w:type="dxa"/>
            <w:vAlign w:val="center"/>
          </w:tcPr>
          <w:p>
            <w:pPr>
              <w:spacing w:line="360" w:lineRule="auto"/>
              <w:ind w:right="-105" w:rightChars="-50" w:firstLine="480" w:firstLineChars="20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水质净化，消毒，不间断为整个消毒系统产生高品质微次氯分子消毒液，持续保障水质达标</w:t>
            </w:r>
          </w:p>
        </w:tc>
      </w:tr>
    </w:tbl>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3、嵌入式过滤介绍</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asciiTheme="minorEastAsia" w:hAnsiTheme="minorEastAsia" w:eastAsiaTheme="minorEastAsia"/>
          <w:color w:val="auto"/>
          <w:sz w:val="24"/>
        </w:rPr>
        <w:t>过滤器采用</w:t>
      </w:r>
      <w:r>
        <w:rPr>
          <w:rFonts w:hint="eastAsia" w:asciiTheme="minorEastAsia" w:hAnsiTheme="minorEastAsia" w:eastAsiaTheme="minorEastAsia"/>
          <w:color w:val="auto"/>
          <w:sz w:val="24"/>
        </w:rPr>
        <w:t>超滤膜</w:t>
      </w:r>
      <w:r>
        <w:rPr>
          <w:rFonts w:asciiTheme="minorEastAsia" w:hAnsiTheme="minorEastAsia" w:eastAsiaTheme="minorEastAsia"/>
          <w:color w:val="auto"/>
          <w:sz w:val="24"/>
        </w:rPr>
        <w:t>净化技术，</w:t>
      </w:r>
      <w:r>
        <w:rPr>
          <w:rFonts w:hint="eastAsia" w:asciiTheme="minorEastAsia" w:hAnsiTheme="minorEastAsia" w:eastAsiaTheme="minorEastAsia"/>
          <w:color w:val="auto"/>
          <w:sz w:val="24"/>
        </w:rPr>
        <w:t>单</w:t>
      </w:r>
      <w:r>
        <w:rPr>
          <w:rFonts w:asciiTheme="minorEastAsia" w:hAnsiTheme="minorEastAsia" w:eastAsiaTheme="minorEastAsia"/>
          <w:color w:val="auto"/>
          <w:sz w:val="24"/>
        </w:rPr>
        <w:t>级过滤组合，可去除水中所有有害物质，出水为优质净水；系统自动停机，发挥保护机件的功能。</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asciiTheme="minorEastAsia" w:hAnsiTheme="minorEastAsia" w:eastAsiaTheme="minorEastAsia"/>
          <w:color w:val="auto"/>
          <w:sz w:val="24"/>
        </w:rPr>
        <w:t>过滤精度达0.01微米</w:t>
      </w:r>
      <w:r>
        <w:rPr>
          <w:rFonts w:hint="eastAsia" w:asciiTheme="minorEastAsia" w:hAnsiTheme="minorEastAsia" w:eastAsiaTheme="minorEastAsia"/>
          <w:color w:val="auto"/>
          <w:sz w:val="24"/>
        </w:rPr>
        <w:t>过滤精度</w:t>
      </w:r>
      <w:r>
        <w:rPr>
          <w:rFonts w:asciiTheme="minorEastAsia" w:hAnsiTheme="minorEastAsia" w:eastAsiaTheme="minorEastAsia"/>
          <w:color w:val="auto"/>
          <w:sz w:val="24"/>
        </w:rPr>
        <w:t>过滤</w:t>
      </w:r>
      <w:r>
        <w:rPr>
          <w:rFonts w:hint="eastAsia" w:asciiTheme="minorEastAsia" w:hAnsiTheme="minorEastAsia" w:eastAsiaTheme="minorEastAsia"/>
          <w:color w:val="auto"/>
          <w:sz w:val="24"/>
        </w:rPr>
        <w:t>,有效微生物铁锈泥沙过滤;</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3.3工艺原理：</w:t>
      </w:r>
      <w:r>
        <w:rPr>
          <w:rFonts w:asciiTheme="minorEastAsia" w:hAnsiTheme="minorEastAsia" w:eastAsiaTheme="minorEastAsia"/>
          <w:color w:val="auto"/>
          <w:sz w:val="24"/>
        </w:rPr>
        <w:t>原水—&gt;</w:t>
      </w:r>
      <w:r>
        <w:rPr>
          <w:rFonts w:hint="eastAsia" w:asciiTheme="minorEastAsia" w:hAnsiTheme="minorEastAsia" w:eastAsiaTheme="minorEastAsia"/>
          <w:color w:val="auto"/>
          <w:sz w:val="24"/>
        </w:rPr>
        <w:t xml:space="preserve">超滤膜 </w:t>
      </w:r>
      <w:r>
        <w:rPr>
          <w:rFonts w:asciiTheme="minorEastAsia" w:hAnsiTheme="minorEastAsia" w:eastAsiaTheme="minorEastAsia"/>
          <w:color w:val="auto"/>
          <w:sz w:val="24"/>
        </w:rPr>
        <w:t>—&gt;净水—&gt;</w:t>
      </w:r>
      <w:r>
        <w:rPr>
          <w:rFonts w:hint="eastAsia" w:asciiTheme="minorEastAsia" w:hAnsiTheme="minorEastAsia" w:eastAsiaTheme="minorEastAsia"/>
          <w:color w:val="auto"/>
          <w:sz w:val="24"/>
        </w:rPr>
        <w:t>微次氯酸发生器</w:t>
      </w:r>
      <w:r>
        <w:rPr>
          <w:rFonts w:asciiTheme="minorEastAsia" w:hAnsiTheme="minorEastAsia" w:eastAsiaTheme="minorEastAsia"/>
          <w:color w:val="auto"/>
          <w:sz w:val="24"/>
        </w:rPr>
        <w:t>—&gt;</w:t>
      </w:r>
      <w:r>
        <w:rPr>
          <w:rFonts w:hint="eastAsia" w:asciiTheme="minorEastAsia" w:hAnsiTheme="minorEastAsia" w:eastAsiaTheme="minorEastAsia"/>
          <w:color w:val="auto"/>
          <w:sz w:val="24"/>
        </w:rPr>
        <w:t>牙椅用水</w:t>
      </w:r>
    </w:p>
    <w:tbl>
      <w:tblPr>
        <w:tblStyle w:val="29"/>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3"/>
        <w:gridCol w:w="4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93" w:type="dxa"/>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适用水源</w:t>
            </w:r>
          </w:p>
        </w:tc>
        <w:tc>
          <w:tcPr>
            <w:tcW w:w="4067" w:type="dxa"/>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市政自来水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5193" w:type="dxa"/>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适用水压</w:t>
            </w:r>
          </w:p>
        </w:tc>
        <w:tc>
          <w:tcPr>
            <w:tcW w:w="4067" w:type="dxa"/>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0.1~0.4MPa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193" w:type="dxa"/>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环境温度</w:t>
            </w:r>
          </w:p>
        </w:tc>
        <w:tc>
          <w:tcPr>
            <w:tcW w:w="4067" w:type="dxa"/>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5193" w:type="dxa"/>
            <w:vAlign w:val="center"/>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防触电类型</w:t>
            </w:r>
          </w:p>
        </w:tc>
        <w:tc>
          <w:tcPr>
            <w:tcW w:w="4067" w:type="dxa"/>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5193" w:type="dxa"/>
            <w:vAlign w:val="center"/>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产水量</w:t>
            </w:r>
          </w:p>
        </w:tc>
        <w:tc>
          <w:tcPr>
            <w:tcW w:w="4067" w:type="dxa"/>
            <w:vAlign w:val="center"/>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1吨/每小时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193" w:type="dxa"/>
            <w:vAlign w:val="center"/>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接口尺寸</w:t>
            </w:r>
          </w:p>
        </w:tc>
        <w:tc>
          <w:tcPr>
            <w:tcW w:w="4067" w:type="dxa"/>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G1/2″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5193" w:type="dxa"/>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产品尺寸(mm)</w:t>
            </w:r>
          </w:p>
        </w:tc>
        <w:tc>
          <w:tcPr>
            <w:tcW w:w="4067" w:type="dxa"/>
          </w:tcPr>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≤610×150×150mm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2" w:hRule="atLeast"/>
          <w:jc w:val="center"/>
        </w:trPr>
        <w:tc>
          <w:tcPr>
            <w:tcW w:w="5193" w:type="dxa"/>
          </w:tcPr>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产品特点： </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1、采用超滤膜技术，过滤,有效滤除有机物、可溶性无机盐、重金属、病原菌、用水。</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2、处理过程不需添加药剂，不起化学变化。</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3、不锈钢外壳,操作简易，可自动化连续供水，保持水质稳定。</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、嵌入式,结构紧凑、精致、节省用户空间。</w:t>
            </w:r>
          </w:p>
        </w:tc>
        <w:tc>
          <w:tcPr>
            <w:tcW w:w="4067" w:type="dxa"/>
          </w:tcPr>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工艺原理：</w:t>
            </w:r>
          </w:p>
          <w:p>
            <w:pPr>
              <w:spacing w:line="360" w:lineRule="auto"/>
              <w:ind w:right="-105" w:rightChars="-50"/>
              <w:rPr>
                <w:rFonts w:asciiTheme="minorEastAsia" w:hAnsiTheme="minorEastAsia" w:eastAsiaTheme="minorEastAsia"/>
                <w:color w:val="auto"/>
                <w:sz w:val="24"/>
              </w:rPr>
            </w:pPr>
            <w:r>
              <w:rPr>
                <w:rFonts w:asciiTheme="minorEastAsia" w:hAnsiTheme="minorEastAsia" w:eastAsiaTheme="minorEastAsia"/>
                <w:color w:val="auto"/>
                <w:sz w:val="24"/>
              </w:rPr>
              <w:t>原水—&gt;</w:t>
            </w:r>
            <w:r>
              <w:rPr>
                <w:rFonts w:hint="eastAsia" w:asciiTheme="minorEastAsia" w:hAnsiTheme="minorEastAsia" w:eastAsiaTheme="minorEastAsia"/>
                <w:color w:val="auto"/>
                <w:sz w:val="24"/>
              </w:rPr>
              <w:t xml:space="preserve">超滤膜 </w:t>
            </w:r>
            <w:r>
              <w:rPr>
                <w:rFonts w:asciiTheme="minorEastAsia" w:hAnsiTheme="minorEastAsia" w:eastAsiaTheme="minorEastAsia"/>
                <w:color w:val="auto"/>
                <w:sz w:val="24"/>
              </w:rPr>
              <w:t>—&gt;净水—&gt;</w:t>
            </w:r>
            <w:r>
              <w:rPr>
                <w:rFonts w:hint="eastAsia" w:asciiTheme="minorEastAsia" w:hAnsiTheme="minorEastAsia" w:eastAsiaTheme="minorEastAsia"/>
                <w:color w:val="auto"/>
                <w:sz w:val="24"/>
              </w:rPr>
              <w:t>微次氯酸发生器</w:t>
            </w:r>
            <w:r>
              <w:rPr>
                <w:rFonts w:asciiTheme="minorEastAsia" w:hAnsiTheme="minorEastAsia" w:eastAsiaTheme="minorEastAsia"/>
                <w:color w:val="auto"/>
                <w:sz w:val="24"/>
              </w:rPr>
              <w:t>—&gt;</w:t>
            </w:r>
            <w:r>
              <w:rPr>
                <w:rFonts w:hint="eastAsia" w:asciiTheme="minorEastAsia" w:hAnsiTheme="minorEastAsia" w:eastAsiaTheme="minorEastAsia"/>
                <w:color w:val="auto"/>
                <w:sz w:val="24"/>
              </w:rPr>
              <w:t>牙椅用水</w:t>
            </w:r>
          </w:p>
          <w:p>
            <w:pPr>
              <w:spacing w:line="360" w:lineRule="auto"/>
              <w:ind w:right="-105" w:rightChars="-50"/>
              <w:rPr>
                <w:rFonts w:asciiTheme="minorEastAsia" w:hAnsiTheme="minorEastAsia" w:eastAsiaTheme="minorEastAsia"/>
                <w:color w:val="auto"/>
                <w:sz w:val="24"/>
              </w:rPr>
            </w:pPr>
            <w:r>
              <w:rPr>
                <w:rFonts w:asciiTheme="minorEastAsia" w:hAnsiTheme="minorEastAsia" w:eastAsiaTheme="minorEastAsia"/>
                <w:color w:val="auto"/>
                <w:sz w:val="24"/>
              </w:rPr>
              <w:t>采用</w:t>
            </w:r>
            <w:r>
              <w:rPr>
                <w:rFonts w:hint="eastAsia" w:asciiTheme="minorEastAsia" w:hAnsiTheme="minorEastAsia" w:eastAsiaTheme="minorEastAsia"/>
                <w:color w:val="auto"/>
                <w:sz w:val="24"/>
              </w:rPr>
              <w:t>超滤膜</w:t>
            </w:r>
            <w:r>
              <w:rPr>
                <w:rFonts w:asciiTheme="minorEastAsia" w:hAnsiTheme="minorEastAsia" w:eastAsiaTheme="minorEastAsia"/>
                <w:color w:val="auto"/>
                <w:sz w:val="24"/>
              </w:rPr>
              <w:t>净化技术，过滤精度达0.01微米；</w:t>
            </w:r>
            <w:r>
              <w:rPr>
                <w:rFonts w:hint="eastAsia" w:asciiTheme="minorEastAsia" w:hAnsiTheme="minorEastAsia" w:eastAsiaTheme="minorEastAsia"/>
                <w:color w:val="auto"/>
                <w:sz w:val="24"/>
              </w:rPr>
              <w:t>单</w:t>
            </w:r>
            <w:r>
              <w:rPr>
                <w:rFonts w:asciiTheme="minorEastAsia" w:hAnsiTheme="minorEastAsia" w:eastAsiaTheme="minorEastAsia"/>
                <w:color w:val="auto"/>
                <w:sz w:val="24"/>
              </w:rPr>
              <w:t>级过滤组合，可去除水中所有有害物质，出水为优质净水；系统自动停机，发挥保护机件的功能。</w:t>
            </w:r>
          </w:p>
        </w:tc>
      </w:tr>
    </w:tbl>
    <w:p>
      <w:pPr>
        <w:numPr>
          <w:ilvl w:val="0"/>
          <w:numId w:val="0"/>
        </w:numPr>
        <w:tabs>
          <w:tab w:val="left" w:pos="8280"/>
        </w:tabs>
        <w:autoSpaceDE w:val="0"/>
        <w:autoSpaceDN w:val="0"/>
        <w:adjustRightInd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九、</w:t>
      </w:r>
      <w:r>
        <w:rPr>
          <w:rFonts w:hint="eastAsia" w:asciiTheme="minorEastAsia" w:hAnsiTheme="minorEastAsia" w:eastAsiaTheme="minorEastAsia"/>
          <w:b/>
          <w:color w:val="auto"/>
          <w:sz w:val="24"/>
        </w:rPr>
        <w:t>医用气体中央监控系统详细说明</w:t>
      </w:r>
    </w:p>
    <w:p>
      <w:pPr>
        <w:spacing w:line="360" w:lineRule="auto"/>
        <w:ind w:firstLine="480" w:firstLineChars="200"/>
        <w:jc w:val="left"/>
        <w:rPr>
          <w:rFonts w:ascii="宋体" w:hAnsi="宋体"/>
          <w:color w:val="auto"/>
          <w:sz w:val="28"/>
          <w:szCs w:val="28"/>
        </w:rPr>
      </w:pPr>
      <w:r>
        <w:rPr>
          <w:rFonts w:hint="eastAsia" w:asciiTheme="minorEastAsia" w:hAnsiTheme="minorEastAsia" w:eastAsiaTheme="minorEastAsia"/>
          <w:color w:val="auto"/>
          <w:sz w:val="24"/>
        </w:rPr>
        <w:t>医用气体远程监控平台适用各类型气体流量计、医用气体压力报警器，以及市面上主流的空压机房、真空泵房和液氧站等，通过基于MODBUS协议的RS485网络或RJ45以太网接入前端管理系统IIMS（通用仪表管理系统），实现各类供气设备运行状态、气体流量、管道压力等的在线监控报警、记录、结算及分析。实现对全院医用气体设备状态及使用数据的实时监控。同时IIMS可支持接入云平台，通过设备共享，实现数据的手机APP端（安卓）同步监控、报警及结算等功能。</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（一）监控范围及点位数</w:t>
      </w:r>
      <w:r>
        <w:rPr>
          <w:rFonts w:asciiTheme="minorEastAsia" w:hAnsiTheme="minorEastAsia" w:eastAsiaTheme="minorEastAsia"/>
          <w:color w:val="auto"/>
          <w:sz w:val="24"/>
        </w:rPr>
        <w:t>：</w:t>
      </w:r>
    </w:p>
    <w:tbl>
      <w:tblPr>
        <w:tblStyle w:val="29"/>
        <w:tblW w:w="88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582"/>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3582"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设备名称</w:t>
            </w:r>
          </w:p>
        </w:tc>
        <w:tc>
          <w:tcPr>
            <w:tcW w:w="4416"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3582"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网络氧气流量计</w:t>
            </w:r>
          </w:p>
        </w:tc>
        <w:tc>
          <w:tcPr>
            <w:tcW w:w="4416"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氧气流量监控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3582"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二气压力报警器（氧气、吸引）</w:t>
            </w:r>
          </w:p>
        </w:tc>
        <w:tc>
          <w:tcPr>
            <w:tcW w:w="4416"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各病区压力监控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3582"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三气压力报警器（氧气、吸引、压缩空气）</w:t>
            </w:r>
          </w:p>
        </w:tc>
        <w:tc>
          <w:tcPr>
            <w:tcW w:w="4416"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各病区压力监控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 w:type="dxa"/>
            <w:vAlign w:val="center"/>
          </w:tcPr>
          <w:p>
            <w:pPr>
              <w:spacing w:line="360" w:lineRule="auto"/>
              <w:jc w:val="center"/>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w:t>
            </w:r>
          </w:p>
        </w:tc>
        <w:tc>
          <w:tcPr>
            <w:tcW w:w="3582"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机房压力报警器</w:t>
            </w:r>
          </w:p>
        </w:tc>
        <w:tc>
          <w:tcPr>
            <w:tcW w:w="4416"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各气体机房出口压力监控</w:t>
            </w:r>
          </w:p>
        </w:tc>
      </w:tr>
    </w:tbl>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（二）网络氧气流量计：</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采用MEMS技术气体流量传感器，具有高精度、高灵敏度和微量计量等优点，可以对环境温度和管道压力进行全面自动补偿，具有氧气瞬时流量和累计流量监测及数据记录功能，支持标准MOBUS RTU信号输出，用于联网监测。</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每个区域设计一套，技术参数如下：</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1、使用环境条件：环境温度</w:t>
      </w:r>
      <w:r>
        <w:rPr>
          <w:rFonts w:asciiTheme="minorEastAsia" w:hAnsiTheme="minorEastAsia" w:eastAsiaTheme="minorEastAsia"/>
          <w:color w:val="auto"/>
          <w:sz w:val="24"/>
        </w:rPr>
        <w:t>0</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+40</w:t>
      </w:r>
      <w:r>
        <w:rPr>
          <w:rFonts w:hint="eastAsia" w:asciiTheme="minorEastAsia" w:hAnsiTheme="minorEastAsia" w:eastAsiaTheme="minorEastAsia"/>
          <w:color w:val="auto"/>
          <w:sz w:val="24"/>
        </w:rPr>
        <w:t>℃、相对湿度</w:t>
      </w:r>
      <w:r>
        <w:rPr>
          <w:rFonts w:asciiTheme="minorEastAsia" w:hAnsiTheme="minorEastAsia" w:eastAsiaTheme="minorEastAsia"/>
          <w:color w:val="auto"/>
          <w:sz w:val="24"/>
        </w:rPr>
        <w:t>15</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80</w:t>
      </w:r>
      <w:r>
        <w:rPr>
          <w:rFonts w:hint="eastAsia" w:asciiTheme="minorEastAsia" w:hAnsiTheme="minorEastAsia" w:eastAsiaTheme="minorEastAsia"/>
          <w:color w:val="auto"/>
          <w:sz w:val="24"/>
        </w:rPr>
        <w:t>％、大气压强（</w:t>
      </w:r>
      <w:r>
        <w:rPr>
          <w:rFonts w:asciiTheme="minorEastAsia" w:hAnsiTheme="minorEastAsia" w:eastAsiaTheme="minorEastAsia"/>
          <w:color w:val="auto"/>
          <w:sz w:val="24"/>
        </w:rPr>
        <w:t>86</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106</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kPa</w:t>
      </w:r>
      <w:r>
        <w:rPr>
          <w:rFonts w:hint="eastAsia" w:asciiTheme="minorEastAsia" w:hAnsiTheme="minorEastAsia" w:eastAsiaTheme="minorEastAsia"/>
          <w:color w:val="auto"/>
          <w:sz w:val="24"/>
        </w:rPr>
        <w:t>；</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2、公称压力：</w:t>
      </w:r>
      <w:r>
        <w:rPr>
          <w:rFonts w:asciiTheme="minorEastAsia" w:hAnsiTheme="minorEastAsia" w:eastAsiaTheme="minorEastAsia"/>
          <w:color w:val="auto"/>
          <w:sz w:val="24"/>
        </w:rPr>
        <w:t>0.4MPa</w:t>
      </w:r>
      <w:r>
        <w:rPr>
          <w:rFonts w:hint="eastAsia" w:asciiTheme="minorEastAsia" w:hAnsiTheme="minorEastAsia" w:eastAsiaTheme="minorEastAsia"/>
          <w:color w:val="auto"/>
          <w:sz w:val="24"/>
        </w:rPr>
        <w:t>；</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3、工作压力：气体质量流量仪的工作压力范围为</w:t>
      </w:r>
      <w:r>
        <w:rPr>
          <w:rFonts w:asciiTheme="minorEastAsia" w:hAnsiTheme="minorEastAsia" w:eastAsiaTheme="minorEastAsia"/>
          <w:color w:val="auto"/>
          <w:sz w:val="24"/>
        </w:rPr>
        <w:t>0</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0.4MPa</w:t>
      </w:r>
      <w:r>
        <w:rPr>
          <w:rFonts w:hint="eastAsia" w:asciiTheme="minorEastAsia" w:hAnsiTheme="minorEastAsia" w:eastAsiaTheme="minorEastAsia"/>
          <w:color w:val="auto"/>
          <w:sz w:val="24"/>
        </w:rPr>
        <w:t>；</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4、流量范围：最大可到</w:t>
      </w:r>
      <w:r>
        <w:rPr>
          <w:rFonts w:asciiTheme="minorEastAsia" w:hAnsiTheme="minorEastAsia" w:eastAsiaTheme="minorEastAsia"/>
          <w:color w:val="auto"/>
          <w:sz w:val="24"/>
        </w:rPr>
        <w:t>200L/min</w:t>
      </w:r>
      <w:r>
        <w:rPr>
          <w:rFonts w:hint="eastAsia" w:asciiTheme="minorEastAsia" w:hAnsiTheme="minorEastAsia" w:eastAsiaTheme="minorEastAsia"/>
          <w:color w:val="auto"/>
          <w:sz w:val="24"/>
        </w:rPr>
        <w:t>)；</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b/>
          <w:color w:val="auto"/>
          <w:sz w:val="24"/>
        </w:rPr>
        <w:t>5</w:t>
      </w:r>
      <w:r>
        <w:rPr>
          <w:rFonts w:hint="eastAsia" w:asciiTheme="minorEastAsia" w:hAnsiTheme="minorEastAsia" w:eastAsiaTheme="minorEastAsia"/>
          <w:color w:val="auto"/>
          <w:sz w:val="24"/>
        </w:rPr>
        <w:t>、供电电源：</w:t>
      </w:r>
      <w:r>
        <w:rPr>
          <w:rFonts w:asciiTheme="minorEastAsia" w:hAnsiTheme="minorEastAsia" w:eastAsiaTheme="minorEastAsia"/>
          <w:color w:val="auto"/>
          <w:sz w:val="24"/>
        </w:rPr>
        <w:t>220V</w:t>
      </w:r>
      <w:r>
        <w:rPr>
          <w:rFonts w:hint="eastAsia" w:asciiTheme="minorEastAsia" w:hAnsiTheme="minorEastAsia" w:eastAsiaTheme="minorEastAsia"/>
          <w:color w:val="auto"/>
          <w:sz w:val="24"/>
        </w:rPr>
        <w:t>交流电源供电；</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6、电子显示瞬时流量最小读数为</w:t>
      </w:r>
      <w:r>
        <w:rPr>
          <w:rFonts w:asciiTheme="minorEastAsia" w:hAnsiTheme="minorEastAsia" w:eastAsiaTheme="minorEastAsia"/>
          <w:color w:val="auto"/>
          <w:sz w:val="24"/>
        </w:rPr>
        <w:t>1L/min</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LED3</w:t>
      </w:r>
      <w:r>
        <w:rPr>
          <w:rFonts w:hint="eastAsia" w:asciiTheme="minorEastAsia" w:hAnsiTheme="minorEastAsia" w:eastAsiaTheme="minorEastAsia"/>
          <w:color w:val="auto"/>
          <w:sz w:val="24"/>
        </w:rPr>
        <w:t>位（</w:t>
      </w:r>
      <w:r>
        <w:rPr>
          <w:rFonts w:asciiTheme="minorEastAsia" w:hAnsiTheme="minorEastAsia" w:eastAsiaTheme="minorEastAsia"/>
          <w:color w:val="auto"/>
          <w:sz w:val="24"/>
        </w:rPr>
        <w:t>999L/min</w:t>
      </w:r>
      <w:r>
        <w:rPr>
          <w:rFonts w:hint="eastAsia" w:asciiTheme="minorEastAsia" w:hAnsiTheme="minorEastAsia" w:eastAsiaTheme="minorEastAsia"/>
          <w:color w:val="auto"/>
          <w:sz w:val="24"/>
        </w:rPr>
        <w:t>）；电子显示累积流量最小读数为</w:t>
      </w:r>
      <w:r>
        <w:rPr>
          <w:rFonts w:asciiTheme="minorEastAsia" w:hAnsiTheme="minorEastAsia" w:eastAsiaTheme="minorEastAsia"/>
          <w:color w:val="auto"/>
          <w:sz w:val="24"/>
        </w:rPr>
        <w:t>0.01m3</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10L</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LED7</w:t>
      </w:r>
      <w:r>
        <w:rPr>
          <w:rFonts w:hint="eastAsia" w:asciiTheme="minorEastAsia" w:hAnsiTheme="minorEastAsia" w:eastAsiaTheme="minorEastAsia"/>
          <w:color w:val="auto"/>
          <w:sz w:val="24"/>
        </w:rPr>
        <w:t>位（</w:t>
      </w:r>
      <w:r>
        <w:rPr>
          <w:rFonts w:asciiTheme="minorEastAsia" w:hAnsiTheme="minorEastAsia" w:eastAsiaTheme="minorEastAsia"/>
          <w:color w:val="auto"/>
          <w:sz w:val="24"/>
        </w:rPr>
        <w:t>99999.99m3</w:t>
      </w:r>
      <w:r>
        <w:rPr>
          <w:rFonts w:hint="eastAsia" w:asciiTheme="minorEastAsia" w:hAnsiTheme="minorEastAsia" w:eastAsiaTheme="minorEastAsia"/>
          <w:color w:val="auto"/>
          <w:sz w:val="24"/>
        </w:rPr>
        <w:t>），均采用十进制。</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（三）机房、区域压力报警器：</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每个气体机房出口及每个病区一套，位置设在气体机房明显位置、值班室及护士站附近适当位置。</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1、独立运行数据显示；</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2、可输出标准MODBUS RTU信号数据，用于联网软件集中监测标准医用报警声音；</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3、声响报警无条件启动，1m处的声压级不应低于55dB(A)，有暂停、静音、延时恢复功能；</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4、视觉报警可在距离4m，视觉小于30°和100Lx的照度下清楚辨别；</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5、报警装置具有报警指示故障测试及断电恢复自启动功能；</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6、医用气体供气源压力超出允许压力上限和额定压力欠压15%时，启动超压、欠压报警。医用真空汇压力低于48kPa时，启动欠压报警；</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7、医疗空气空气供应源应设置一氧化碳浓度报警，当一氧化碳浓度超标时启动报警；</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8、医用空气供应源应设置露点报警，当医疗空气常压露点达到-20度，器械空气常压露点超过-30度，启动报警。</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（四）中央监控系统详细说明</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1、设备支持单机或组网使用，每台单机均配备标准RS485通信接口，具有很强的抗干扰能力及很高的接收灵敏度，最大有效通信距离可以达到1200米；</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RS485通信接口由A线，B线及地线组成，地线一般接地。每台设备在进行组网使用时，需进行网络地址编号，编号范围1-255共255个地址；</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组网使用的通讯协议是标准MODBUS协议或简易MODBUS协议，用户可以据据设备组网协议类型在上位机软件上进行设置；</w:t>
      </w:r>
    </w:p>
    <w:p>
      <w:pPr>
        <w:spacing w:line="360" w:lineRule="auto"/>
        <w:ind w:right="-105" w:rightChars="-50"/>
        <w:rPr>
          <w:rFonts w:asciiTheme="minorEastAsia" w:hAnsiTheme="minorEastAsia" w:eastAsiaTheme="minorEastAsia"/>
          <w:color w:val="auto"/>
          <w:sz w:val="24"/>
        </w:rPr>
      </w:pPr>
      <w:r>
        <w:rPr>
          <w:rFonts w:hint="eastAsia" w:asciiTheme="minorEastAsia" w:hAnsiTheme="minorEastAsia" w:eastAsiaTheme="minorEastAsia"/>
          <w:color w:val="auto"/>
          <w:sz w:val="24"/>
        </w:rPr>
        <w:t>监控系统也支持第三方系统对接，可通过我司提供的SDK开发包进行系统接入，共享设备及数据。</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2、前端管理系统IIMS</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2.1</w:t>
      </w:r>
      <w:r>
        <w:rPr>
          <w:rFonts w:asciiTheme="minorEastAsia" w:hAnsiTheme="minorEastAsia" w:eastAsiaTheme="minorEastAsia"/>
          <w:color w:val="auto"/>
          <w:sz w:val="24"/>
        </w:rPr>
        <w:t>多点登录</w:t>
      </w:r>
      <w:r>
        <w:rPr>
          <w:rFonts w:hint="eastAsia" w:asciiTheme="minorEastAsia" w:hAnsiTheme="minorEastAsia" w:eastAsiaTheme="minorEastAsia"/>
          <w:color w:val="auto"/>
          <w:sz w:val="24"/>
        </w:rPr>
        <w:t>：单台服务器可同时支持多台客户端同时登录。</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2.2</w:t>
      </w:r>
      <w:r>
        <w:rPr>
          <w:rFonts w:asciiTheme="minorEastAsia" w:hAnsiTheme="minorEastAsia" w:eastAsiaTheme="minorEastAsia"/>
          <w:color w:val="auto"/>
          <w:sz w:val="24"/>
        </w:rPr>
        <w:t>声光报警</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实时监控，声光同步报</w:t>
      </w:r>
      <w:r>
        <w:rPr>
          <w:rFonts w:hint="eastAsia" w:asciiTheme="minorEastAsia" w:hAnsiTheme="minorEastAsia" w:eastAsiaTheme="minorEastAsia"/>
          <w:color w:val="auto"/>
          <w:sz w:val="24"/>
        </w:rPr>
        <w:t>。</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2.3</w:t>
      </w:r>
      <w:r>
        <w:rPr>
          <w:rFonts w:asciiTheme="minorEastAsia" w:hAnsiTheme="minorEastAsia" w:eastAsiaTheme="minorEastAsia"/>
          <w:color w:val="auto"/>
          <w:sz w:val="24"/>
        </w:rPr>
        <w:t>4K超清大屏</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支持4K超清显示，显示范围更大，体现大屏优势</w:t>
      </w:r>
    </w:p>
    <w:p>
      <w:pPr>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 xml:space="preserve">云平台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asciiTheme="minorEastAsia" w:hAnsiTheme="minorEastAsia" w:eastAsiaTheme="minorEastAsia"/>
          <w:color w:val="auto"/>
          <w:sz w:val="24"/>
        </w:rPr>
        <w:t xml:space="preserve">IIMS（前端设备管理系统）设备共享和数据推送。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asciiTheme="minorEastAsia" w:hAnsiTheme="minorEastAsia" w:eastAsiaTheme="minorEastAsia"/>
          <w:color w:val="auto"/>
          <w:sz w:val="24"/>
        </w:rPr>
        <w:t xml:space="preserve">基于阿里云服务，使用分布式框架部署，支持负载均衡。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3.3</w:t>
      </w:r>
      <w:r>
        <w:rPr>
          <w:rFonts w:asciiTheme="minorEastAsia" w:hAnsiTheme="minorEastAsia" w:eastAsiaTheme="minorEastAsia"/>
          <w:color w:val="auto"/>
          <w:sz w:val="24"/>
        </w:rPr>
        <w:t xml:space="preserve">单台服务器节点支持500路仪表接入管理。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3.4</w:t>
      </w:r>
      <w:r>
        <w:rPr>
          <w:rFonts w:asciiTheme="minorEastAsia" w:hAnsiTheme="minorEastAsia" w:eastAsiaTheme="minorEastAsia"/>
          <w:color w:val="auto"/>
          <w:sz w:val="24"/>
        </w:rPr>
        <w:t xml:space="preserve">云APP（安卓）实时同步。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4、云APP</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4.1用户注册、登录</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4.2设备总览、离线消息管理</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4.3设备列表功能，以及设备绑定、解绑、修改、授权功能</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4.4群组列表功能，以及群组创建、删除、修改、授权功能</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4.5设备告警管理功能，以及告警处理说明</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4.6用户帐号管理功能</w:t>
      </w:r>
    </w:p>
    <w:p>
      <w:pPr>
        <w:numPr>
          <w:ilvl w:val="0"/>
          <w:numId w:val="0"/>
        </w:numPr>
        <w:tabs>
          <w:tab w:val="left" w:pos="8280"/>
        </w:tabs>
        <w:autoSpaceDE w:val="0"/>
        <w:autoSpaceDN w:val="0"/>
        <w:adjustRightInd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十、</w:t>
      </w:r>
      <w:r>
        <w:rPr>
          <w:rFonts w:hint="eastAsia" w:asciiTheme="minorEastAsia" w:hAnsiTheme="minorEastAsia" w:eastAsiaTheme="minorEastAsia"/>
          <w:b/>
          <w:color w:val="auto"/>
          <w:sz w:val="24"/>
        </w:rPr>
        <w:t>病房设备带及终端电器系统</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1、病房设备带材质设计为铝合金,规格宽度≥190mm，高度≥65mm，壁厚≥1.8mm；设备带内部结构≥三腔,具有强电、弱电、气体管道分槽安装功能。</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2、铝合金设备带表面采用喷塑，设备带上面板采用模块化设计，使安装维修更加方便，并具有良好的防腐和保洁效果。</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3、设备带上各种气体终端、电器等均采用嵌入式安装，使整条设备带表面豪华美观。</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4、设备带上供氧支管设有维修阀。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5、设备带上气体终端采用德式终端，终端自带止回阀，可不停气维修，插拔方便、密封可靠，无插头时自动密封。</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6、病房内设备带采用房间通长布置，设备带中心距地面1.4米。</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7、设备带上每床位配置要求：</w:t>
      </w:r>
    </w:p>
    <w:tbl>
      <w:tblPr>
        <w:tblStyle w:val="29"/>
        <w:tblW w:w="85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482"/>
        <w:gridCol w:w="2763"/>
        <w:gridCol w:w="1470"/>
        <w:gridCol w:w="90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tcBorders>
              <w:bottom w:val="double" w:color="auto" w:sz="4" w:space="0"/>
            </w:tcBorders>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序号</w:t>
            </w:r>
          </w:p>
        </w:tc>
        <w:tc>
          <w:tcPr>
            <w:tcW w:w="1482" w:type="dxa"/>
            <w:tcBorders>
              <w:bottom w:val="double" w:color="auto" w:sz="4" w:space="0"/>
            </w:tcBorders>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病床单元</w:t>
            </w:r>
          </w:p>
        </w:tc>
        <w:tc>
          <w:tcPr>
            <w:tcW w:w="2763" w:type="dxa"/>
            <w:tcBorders>
              <w:bottom w:val="double" w:color="auto" w:sz="4" w:space="0"/>
            </w:tcBorders>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设备名称</w:t>
            </w:r>
          </w:p>
        </w:tc>
        <w:tc>
          <w:tcPr>
            <w:tcW w:w="1470" w:type="dxa"/>
            <w:tcBorders>
              <w:bottom w:val="double" w:color="auto" w:sz="4"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要求</w:t>
            </w:r>
          </w:p>
        </w:tc>
        <w:tc>
          <w:tcPr>
            <w:tcW w:w="900" w:type="dxa"/>
            <w:tcBorders>
              <w:bottom w:val="double" w:color="auto" w:sz="4"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单位</w:t>
            </w:r>
          </w:p>
        </w:tc>
        <w:tc>
          <w:tcPr>
            <w:tcW w:w="1038" w:type="dxa"/>
            <w:tcBorders>
              <w:bottom w:val="double" w:color="auto" w:sz="4"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restart"/>
            <w:tcBorders>
              <w:top w:val="double" w:color="auto" w:sz="4"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1482" w:type="dxa"/>
            <w:vMerge w:val="restart"/>
            <w:tcBorders>
              <w:top w:val="double" w:color="auto" w:sz="4"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抢救室</w:t>
            </w:r>
          </w:p>
        </w:tc>
        <w:tc>
          <w:tcPr>
            <w:tcW w:w="2763" w:type="dxa"/>
            <w:tcBorders>
              <w:top w:val="double" w:color="auto" w:sz="4" w:space="0"/>
            </w:tcBorders>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氧气终端</w:t>
            </w:r>
          </w:p>
        </w:tc>
        <w:tc>
          <w:tcPr>
            <w:tcW w:w="1470" w:type="dxa"/>
            <w:tcBorders>
              <w:top w:val="double" w:color="auto" w:sz="4"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德式</w:t>
            </w:r>
          </w:p>
        </w:tc>
        <w:tc>
          <w:tcPr>
            <w:tcW w:w="900" w:type="dxa"/>
            <w:tcBorders>
              <w:top w:val="double" w:color="auto" w:sz="4"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个</w:t>
            </w:r>
          </w:p>
        </w:tc>
        <w:tc>
          <w:tcPr>
            <w:tcW w:w="1038" w:type="dxa"/>
            <w:tcBorders>
              <w:top w:val="double" w:color="auto" w:sz="4"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vAlign w:val="center"/>
          </w:tcPr>
          <w:p>
            <w:pPr>
              <w:spacing w:line="360" w:lineRule="auto"/>
              <w:jc w:val="center"/>
              <w:rPr>
                <w:rFonts w:asciiTheme="minorEastAsia" w:hAnsiTheme="minorEastAsia" w:eastAsiaTheme="minorEastAsia"/>
                <w:color w:val="auto"/>
                <w:sz w:val="24"/>
              </w:rPr>
            </w:pPr>
          </w:p>
        </w:tc>
        <w:tc>
          <w:tcPr>
            <w:tcW w:w="1482" w:type="dxa"/>
            <w:vMerge w:val="continue"/>
            <w:vAlign w:val="center"/>
          </w:tcPr>
          <w:p>
            <w:pPr>
              <w:spacing w:line="360" w:lineRule="auto"/>
              <w:jc w:val="center"/>
              <w:rPr>
                <w:rFonts w:asciiTheme="minorEastAsia" w:hAnsiTheme="minorEastAsia" w:eastAsiaTheme="minorEastAsia"/>
                <w:color w:val="auto"/>
                <w:sz w:val="24"/>
              </w:rPr>
            </w:pPr>
          </w:p>
        </w:tc>
        <w:tc>
          <w:tcPr>
            <w:tcW w:w="2763"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负压终端</w:t>
            </w:r>
          </w:p>
        </w:tc>
        <w:tc>
          <w:tcPr>
            <w:tcW w:w="147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德式</w:t>
            </w:r>
          </w:p>
        </w:tc>
        <w:tc>
          <w:tcPr>
            <w:tcW w:w="90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个</w:t>
            </w:r>
          </w:p>
        </w:tc>
        <w:tc>
          <w:tcPr>
            <w:tcW w:w="1038"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vAlign w:val="center"/>
          </w:tcPr>
          <w:p>
            <w:pPr>
              <w:spacing w:line="360" w:lineRule="auto"/>
              <w:jc w:val="center"/>
              <w:rPr>
                <w:rFonts w:asciiTheme="minorEastAsia" w:hAnsiTheme="minorEastAsia" w:eastAsiaTheme="minorEastAsia"/>
                <w:color w:val="auto"/>
                <w:sz w:val="24"/>
              </w:rPr>
            </w:pPr>
          </w:p>
        </w:tc>
        <w:tc>
          <w:tcPr>
            <w:tcW w:w="1482" w:type="dxa"/>
            <w:vMerge w:val="continue"/>
            <w:vAlign w:val="center"/>
          </w:tcPr>
          <w:p>
            <w:pPr>
              <w:spacing w:line="360" w:lineRule="auto"/>
              <w:jc w:val="center"/>
              <w:rPr>
                <w:rFonts w:asciiTheme="minorEastAsia" w:hAnsiTheme="minorEastAsia" w:eastAsiaTheme="minorEastAsia"/>
                <w:color w:val="auto"/>
                <w:sz w:val="24"/>
              </w:rPr>
            </w:pPr>
          </w:p>
        </w:tc>
        <w:tc>
          <w:tcPr>
            <w:tcW w:w="2763"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空气终端</w:t>
            </w:r>
          </w:p>
        </w:tc>
        <w:tc>
          <w:tcPr>
            <w:tcW w:w="147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德式</w:t>
            </w:r>
          </w:p>
        </w:tc>
        <w:tc>
          <w:tcPr>
            <w:tcW w:w="90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个</w:t>
            </w:r>
          </w:p>
        </w:tc>
        <w:tc>
          <w:tcPr>
            <w:tcW w:w="1038"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vAlign w:val="center"/>
          </w:tcPr>
          <w:p>
            <w:pPr>
              <w:spacing w:line="360" w:lineRule="auto"/>
              <w:jc w:val="center"/>
              <w:rPr>
                <w:rFonts w:asciiTheme="minorEastAsia" w:hAnsiTheme="minorEastAsia" w:eastAsiaTheme="minorEastAsia"/>
                <w:color w:val="auto"/>
                <w:sz w:val="24"/>
              </w:rPr>
            </w:pPr>
          </w:p>
        </w:tc>
        <w:tc>
          <w:tcPr>
            <w:tcW w:w="1482" w:type="dxa"/>
            <w:vMerge w:val="continue"/>
            <w:vAlign w:val="center"/>
          </w:tcPr>
          <w:p>
            <w:pPr>
              <w:spacing w:line="360" w:lineRule="auto"/>
              <w:jc w:val="center"/>
              <w:rPr>
                <w:rFonts w:asciiTheme="minorEastAsia" w:hAnsiTheme="minorEastAsia" w:eastAsiaTheme="minorEastAsia"/>
                <w:color w:val="auto"/>
                <w:sz w:val="24"/>
              </w:rPr>
            </w:pPr>
          </w:p>
        </w:tc>
        <w:tc>
          <w:tcPr>
            <w:tcW w:w="2763"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呼叫对讲分机</w:t>
            </w:r>
          </w:p>
        </w:tc>
        <w:tc>
          <w:tcPr>
            <w:tcW w:w="147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(预留孔)</w:t>
            </w:r>
          </w:p>
        </w:tc>
        <w:tc>
          <w:tcPr>
            <w:tcW w:w="90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个</w:t>
            </w:r>
          </w:p>
        </w:tc>
        <w:tc>
          <w:tcPr>
            <w:tcW w:w="1038"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vAlign w:val="center"/>
          </w:tcPr>
          <w:p>
            <w:pPr>
              <w:spacing w:line="360" w:lineRule="auto"/>
              <w:jc w:val="center"/>
              <w:rPr>
                <w:rFonts w:asciiTheme="minorEastAsia" w:hAnsiTheme="minorEastAsia" w:eastAsiaTheme="minorEastAsia"/>
                <w:color w:val="auto"/>
                <w:sz w:val="24"/>
              </w:rPr>
            </w:pPr>
          </w:p>
        </w:tc>
        <w:tc>
          <w:tcPr>
            <w:tcW w:w="1482" w:type="dxa"/>
            <w:vMerge w:val="continue"/>
            <w:vAlign w:val="center"/>
          </w:tcPr>
          <w:p>
            <w:pPr>
              <w:spacing w:line="360" w:lineRule="auto"/>
              <w:jc w:val="center"/>
              <w:rPr>
                <w:rFonts w:asciiTheme="minorEastAsia" w:hAnsiTheme="minorEastAsia" w:eastAsiaTheme="minorEastAsia"/>
                <w:color w:val="auto"/>
                <w:sz w:val="24"/>
              </w:rPr>
            </w:pPr>
          </w:p>
        </w:tc>
        <w:tc>
          <w:tcPr>
            <w:tcW w:w="2763"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床头LED灯</w:t>
            </w:r>
          </w:p>
        </w:tc>
        <w:tc>
          <w:tcPr>
            <w:tcW w:w="147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bCs/>
                <w:color w:val="auto"/>
                <w:sz w:val="24"/>
              </w:rPr>
              <w:t>T5，</w:t>
            </w:r>
            <w:r>
              <w:rPr>
                <w:rFonts w:hint="eastAsia" w:asciiTheme="minorEastAsia" w:hAnsiTheme="minorEastAsia" w:eastAsiaTheme="minorEastAsia"/>
                <w:color w:val="auto"/>
                <w:sz w:val="24"/>
              </w:rPr>
              <w:t>4W</w:t>
            </w:r>
          </w:p>
        </w:tc>
        <w:tc>
          <w:tcPr>
            <w:tcW w:w="90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套</w:t>
            </w:r>
          </w:p>
        </w:tc>
        <w:tc>
          <w:tcPr>
            <w:tcW w:w="1038"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vAlign w:val="center"/>
          </w:tcPr>
          <w:p>
            <w:pPr>
              <w:spacing w:line="360" w:lineRule="auto"/>
              <w:jc w:val="center"/>
              <w:rPr>
                <w:rFonts w:asciiTheme="minorEastAsia" w:hAnsiTheme="minorEastAsia" w:eastAsiaTheme="minorEastAsia"/>
                <w:color w:val="auto"/>
                <w:sz w:val="24"/>
              </w:rPr>
            </w:pPr>
          </w:p>
        </w:tc>
        <w:tc>
          <w:tcPr>
            <w:tcW w:w="1482" w:type="dxa"/>
            <w:vMerge w:val="continue"/>
            <w:vAlign w:val="center"/>
          </w:tcPr>
          <w:p>
            <w:pPr>
              <w:spacing w:line="360" w:lineRule="auto"/>
              <w:jc w:val="center"/>
              <w:rPr>
                <w:rFonts w:asciiTheme="minorEastAsia" w:hAnsiTheme="minorEastAsia" w:eastAsiaTheme="minorEastAsia"/>
                <w:color w:val="auto"/>
                <w:sz w:val="24"/>
              </w:rPr>
            </w:pPr>
          </w:p>
        </w:tc>
        <w:tc>
          <w:tcPr>
            <w:tcW w:w="2763"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国标电源插座（2+3孔），含USB模块</w:t>
            </w:r>
          </w:p>
        </w:tc>
        <w:tc>
          <w:tcPr>
            <w:tcW w:w="147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10A、220V</w:t>
            </w:r>
          </w:p>
        </w:tc>
        <w:tc>
          <w:tcPr>
            <w:tcW w:w="90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个</w:t>
            </w:r>
          </w:p>
        </w:tc>
        <w:tc>
          <w:tcPr>
            <w:tcW w:w="1038"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vAlign w:val="center"/>
          </w:tcPr>
          <w:p>
            <w:pPr>
              <w:spacing w:line="360" w:lineRule="auto"/>
              <w:jc w:val="center"/>
              <w:rPr>
                <w:rFonts w:asciiTheme="minorEastAsia" w:hAnsiTheme="minorEastAsia" w:eastAsiaTheme="minorEastAsia"/>
                <w:color w:val="auto"/>
                <w:sz w:val="24"/>
              </w:rPr>
            </w:pPr>
          </w:p>
        </w:tc>
        <w:tc>
          <w:tcPr>
            <w:tcW w:w="1482" w:type="dxa"/>
            <w:vMerge w:val="continue"/>
            <w:vAlign w:val="center"/>
          </w:tcPr>
          <w:p>
            <w:pPr>
              <w:spacing w:line="360" w:lineRule="auto"/>
              <w:jc w:val="center"/>
              <w:rPr>
                <w:rFonts w:asciiTheme="minorEastAsia" w:hAnsiTheme="minorEastAsia" w:eastAsiaTheme="minorEastAsia"/>
                <w:color w:val="auto"/>
                <w:sz w:val="24"/>
              </w:rPr>
            </w:pPr>
          </w:p>
        </w:tc>
        <w:tc>
          <w:tcPr>
            <w:tcW w:w="2763"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电源开关（豪华型）</w:t>
            </w:r>
          </w:p>
        </w:tc>
        <w:tc>
          <w:tcPr>
            <w:tcW w:w="147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10A 220V</w:t>
            </w:r>
          </w:p>
        </w:tc>
        <w:tc>
          <w:tcPr>
            <w:tcW w:w="90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个</w:t>
            </w:r>
          </w:p>
        </w:tc>
        <w:tc>
          <w:tcPr>
            <w:tcW w:w="1038"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restart"/>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1482" w:type="dxa"/>
            <w:vMerge w:val="restart"/>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普通病床</w:t>
            </w:r>
          </w:p>
        </w:tc>
        <w:tc>
          <w:tcPr>
            <w:tcW w:w="2763"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氧气终端</w:t>
            </w:r>
          </w:p>
        </w:tc>
        <w:tc>
          <w:tcPr>
            <w:tcW w:w="147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德式</w:t>
            </w:r>
          </w:p>
        </w:tc>
        <w:tc>
          <w:tcPr>
            <w:tcW w:w="90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个</w:t>
            </w:r>
          </w:p>
        </w:tc>
        <w:tc>
          <w:tcPr>
            <w:tcW w:w="1038"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tcPr>
          <w:p>
            <w:pPr>
              <w:spacing w:line="360" w:lineRule="auto"/>
              <w:rPr>
                <w:rFonts w:asciiTheme="minorEastAsia" w:hAnsiTheme="minorEastAsia" w:eastAsiaTheme="minorEastAsia"/>
                <w:color w:val="auto"/>
                <w:sz w:val="24"/>
              </w:rPr>
            </w:pPr>
          </w:p>
        </w:tc>
        <w:tc>
          <w:tcPr>
            <w:tcW w:w="1482" w:type="dxa"/>
            <w:vMerge w:val="continue"/>
          </w:tcPr>
          <w:p>
            <w:pPr>
              <w:spacing w:line="360" w:lineRule="auto"/>
              <w:rPr>
                <w:rFonts w:asciiTheme="minorEastAsia" w:hAnsiTheme="minorEastAsia" w:eastAsiaTheme="minorEastAsia"/>
                <w:color w:val="auto"/>
                <w:sz w:val="24"/>
              </w:rPr>
            </w:pPr>
          </w:p>
        </w:tc>
        <w:tc>
          <w:tcPr>
            <w:tcW w:w="2763"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负压终端</w:t>
            </w:r>
          </w:p>
        </w:tc>
        <w:tc>
          <w:tcPr>
            <w:tcW w:w="147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德式</w:t>
            </w:r>
          </w:p>
        </w:tc>
        <w:tc>
          <w:tcPr>
            <w:tcW w:w="90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个</w:t>
            </w:r>
          </w:p>
        </w:tc>
        <w:tc>
          <w:tcPr>
            <w:tcW w:w="1038"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tcPr>
          <w:p>
            <w:pPr>
              <w:spacing w:line="360" w:lineRule="auto"/>
              <w:rPr>
                <w:rFonts w:asciiTheme="minorEastAsia" w:hAnsiTheme="minorEastAsia" w:eastAsiaTheme="minorEastAsia"/>
                <w:color w:val="auto"/>
                <w:sz w:val="24"/>
              </w:rPr>
            </w:pPr>
          </w:p>
        </w:tc>
        <w:tc>
          <w:tcPr>
            <w:tcW w:w="1482" w:type="dxa"/>
            <w:vMerge w:val="continue"/>
          </w:tcPr>
          <w:p>
            <w:pPr>
              <w:spacing w:line="360" w:lineRule="auto"/>
              <w:rPr>
                <w:rFonts w:asciiTheme="minorEastAsia" w:hAnsiTheme="minorEastAsia" w:eastAsiaTheme="minorEastAsia"/>
                <w:color w:val="auto"/>
                <w:sz w:val="24"/>
              </w:rPr>
            </w:pPr>
          </w:p>
        </w:tc>
        <w:tc>
          <w:tcPr>
            <w:tcW w:w="2763"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呼叫对讲分机</w:t>
            </w:r>
          </w:p>
        </w:tc>
        <w:tc>
          <w:tcPr>
            <w:tcW w:w="147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（预留孔）</w:t>
            </w:r>
          </w:p>
        </w:tc>
        <w:tc>
          <w:tcPr>
            <w:tcW w:w="90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个</w:t>
            </w:r>
          </w:p>
        </w:tc>
        <w:tc>
          <w:tcPr>
            <w:tcW w:w="1038"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tcPr>
          <w:p>
            <w:pPr>
              <w:spacing w:line="360" w:lineRule="auto"/>
              <w:rPr>
                <w:rFonts w:asciiTheme="minorEastAsia" w:hAnsiTheme="minorEastAsia" w:eastAsiaTheme="minorEastAsia"/>
                <w:color w:val="auto"/>
                <w:sz w:val="24"/>
              </w:rPr>
            </w:pPr>
          </w:p>
        </w:tc>
        <w:tc>
          <w:tcPr>
            <w:tcW w:w="1482" w:type="dxa"/>
            <w:vMerge w:val="continue"/>
          </w:tcPr>
          <w:p>
            <w:pPr>
              <w:spacing w:line="360" w:lineRule="auto"/>
              <w:rPr>
                <w:rFonts w:asciiTheme="minorEastAsia" w:hAnsiTheme="minorEastAsia" w:eastAsiaTheme="minorEastAsia"/>
                <w:color w:val="auto"/>
                <w:sz w:val="24"/>
              </w:rPr>
            </w:pPr>
          </w:p>
        </w:tc>
        <w:tc>
          <w:tcPr>
            <w:tcW w:w="2763"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床头LED灯</w:t>
            </w:r>
          </w:p>
        </w:tc>
        <w:tc>
          <w:tcPr>
            <w:tcW w:w="147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bCs/>
                <w:color w:val="auto"/>
                <w:sz w:val="24"/>
              </w:rPr>
              <w:t>T5，</w:t>
            </w:r>
            <w:r>
              <w:rPr>
                <w:rFonts w:hint="eastAsia" w:asciiTheme="minorEastAsia" w:hAnsiTheme="minorEastAsia" w:eastAsiaTheme="minorEastAsia"/>
                <w:color w:val="auto"/>
                <w:sz w:val="24"/>
              </w:rPr>
              <w:t>4W</w:t>
            </w:r>
          </w:p>
        </w:tc>
        <w:tc>
          <w:tcPr>
            <w:tcW w:w="90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套</w:t>
            </w:r>
          </w:p>
        </w:tc>
        <w:tc>
          <w:tcPr>
            <w:tcW w:w="1038"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tcPr>
          <w:p>
            <w:pPr>
              <w:spacing w:line="360" w:lineRule="auto"/>
              <w:rPr>
                <w:rFonts w:asciiTheme="minorEastAsia" w:hAnsiTheme="minorEastAsia" w:eastAsiaTheme="minorEastAsia"/>
                <w:color w:val="auto"/>
                <w:sz w:val="24"/>
              </w:rPr>
            </w:pPr>
          </w:p>
        </w:tc>
        <w:tc>
          <w:tcPr>
            <w:tcW w:w="1482" w:type="dxa"/>
            <w:vMerge w:val="continue"/>
          </w:tcPr>
          <w:p>
            <w:pPr>
              <w:spacing w:line="360" w:lineRule="auto"/>
              <w:rPr>
                <w:rFonts w:asciiTheme="minorEastAsia" w:hAnsiTheme="minorEastAsia" w:eastAsiaTheme="minorEastAsia"/>
                <w:color w:val="auto"/>
                <w:sz w:val="24"/>
              </w:rPr>
            </w:pPr>
          </w:p>
        </w:tc>
        <w:tc>
          <w:tcPr>
            <w:tcW w:w="2763"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国标电源插座（2+3孔），含USB模块</w:t>
            </w:r>
          </w:p>
        </w:tc>
        <w:tc>
          <w:tcPr>
            <w:tcW w:w="147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10A、220V</w:t>
            </w:r>
          </w:p>
        </w:tc>
        <w:tc>
          <w:tcPr>
            <w:tcW w:w="90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个</w:t>
            </w:r>
          </w:p>
        </w:tc>
        <w:tc>
          <w:tcPr>
            <w:tcW w:w="1038"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Merge w:val="continue"/>
          </w:tcPr>
          <w:p>
            <w:pPr>
              <w:spacing w:line="360" w:lineRule="auto"/>
              <w:rPr>
                <w:rFonts w:asciiTheme="minorEastAsia" w:hAnsiTheme="minorEastAsia" w:eastAsiaTheme="minorEastAsia"/>
                <w:color w:val="auto"/>
                <w:sz w:val="24"/>
              </w:rPr>
            </w:pPr>
          </w:p>
        </w:tc>
        <w:tc>
          <w:tcPr>
            <w:tcW w:w="1482" w:type="dxa"/>
            <w:vMerge w:val="continue"/>
          </w:tcPr>
          <w:p>
            <w:pPr>
              <w:spacing w:line="360" w:lineRule="auto"/>
              <w:rPr>
                <w:rFonts w:asciiTheme="minorEastAsia" w:hAnsiTheme="minorEastAsia" w:eastAsiaTheme="minorEastAsia"/>
                <w:color w:val="auto"/>
                <w:sz w:val="24"/>
              </w:rPr>
            </w:pPr>
          </w:p>
        </w:tc>
        <w:tc>
          <w:tcPr>
            <w:tcW w:w="2763" w:type="dxa"/>
          </w:tcPr>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电源开关（豪华型）</w:t>
            </w:r>
          </w:p>
        </w:tc>
        <w:tc>
          <w:tcPr>
            <w:tcW w:w="147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10A、220V</w:t>
            </w:r>
          </w:p>
        </w:tc>
        <w:tc>
          <w:tcPr>
            <w:tcW w:w="900"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个</w:t>
            </w:r>
          </w:p>
        </w:tc>
        <w:tc>
          <w:tcPr>
            <w:tcW w:w="1038" w:type="dxa"/>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r>
    </w:tbl>
    <w:p>
      <w:pPr>
        <w:spacing w:line="360" w:lineRule="auto"/>
        <w:ind w:right="206" w:rightChars="98"/>
        <w:rPr>
          <w:rFonts w:ascii="宋体" w:hAnsi="宋体"/>
          <w:color w:val="auto"/>
          <w:sz w:val="24"/>
        </w:rPr>
      </w:pPr>
      <w:r>
        <w:rPr>
          <w:rFonts w:hint="eastAsia" w:ascii="宋体" w:hAnsi="宋体"/>
          <w:color w:val="auto"/>
          <w:sz w:val="24"/>
        </w:rPr>
        <w:t>医用设备带表面喷涂具备防锈、防腐能力。</w:t>
      </w:r>
    </w:p>
    <w:p>
      <w:pPr>
        <w:spacing w:line="360" w:lineRule="auto"/>
        <w:ind w:right="206" w:rightChars="98"/>
        <w:rPr>
          <w:rFonts w:hint="eastAsia" w:ascii="宋体" w:hAnsi="宋体" w:eastAsia="宋体" w:cs="宋体"/>
          <w:color w:val="auto"/>
          <w:sz w:val="24"/>
          <w:highlight w:val="none"/>
        </w:rPr>
      </w:pPr>
      <w:r>
        <w:rPr>
          <w:rFonts w:hint="eastAsia" w:ascii="宋体" w:hAnsi="宋体"/>
          <w:color w:val="auto"/>
          <w:sz w:val="24"/>
          <w:highlight w:val="none"/>
        </w:rPr>
        <w:t>★</w:t>
      </w:r>
      <w:r>
        <w:rPr>
          <w:rFonts w:hint="eastAsia" w:ascii="宋体" w:hAnsi="宋体" w:eastAsia="宋体" w:cs="宋体"/>
          <w:color w:val="auto"/>
          <w:sz w:val="24"/>
          <w:highlight w:val="none"/>
        </w:rPr>
        <w:t>医用设备带符合GB9706标准要求，</w:t>
      </w:r>
      <w:r>
        <w:rPr>
          <w:rFonts w:hint="eastAsia" w:ascii="宋体" w:hAnsi="宋体" w:cs="宋体"/>
          <w:color w:val="auto"/>
          <w:sz w:val="24"/>
          <w:highlight w:val="none"/>
          <w:lang w:val="en-US" w:eastAsia="zh-CN"/>
        </w:rPr>
        <w:t>投标供应商须</w:t>
      </w:r>
      <w:r>
        <w:rPr>
          <w:rFonts w:hint="eastAsia" w:ascii="宋体" w:hAnsi="宋体" w:eastAsia="宋体" w:cs="宋体"/>
          <w:color w:val="auto"/>
          <w:sz w:val="24"/>
          <w:highlight w:val="none"/>
        </w:rPr>
        <w:t>提供第三方机构出具的检测报告</w:t>
      </w:r>
      <w:r>
        <w:rPr>
          <w:rFonts w:hint="eastAsia" w:ascii="宋体" w:hAnsi="宋体" w:cs="宋体"/>
          <w:color w:val="auto"/>
          <w:sz w:val="24"/>
          <w:highlight w:val="none"/>
          <w:lang w:val="en-US" w:eastAsia="zh-CN"/>
        </w:rPr>
        <w:t>原件的</w:t>
      </w:r>
      <w:r>
        <w:rPr>
          <w:rFonts w:hint="eastAsia" w:ascii="宋体" w:hAnsi="宋体" w:eastAsia="宋体" w:cs="宋体"/>
          <w:color w:val="auto"/>
          <w:sz w:val="24"/>
          <w:highlight w:val="none"/>
          <w:lang w:val="en-US" w:eastAsia="zh-CN"/>
        </w:rPr>
        <w:t>扫描件</w:t>
      </w:r>
      <w:r>
        <w:rPr>
          <w:rFonts w:hint="eastAsia" w:ascii="宋体" w:hAnsi="宋体" w:eastAsia="宋体" w:cs="宋体"/>
          <w:color w:val="auto"/>
          <w:sz w:val="24"/>
          <w:highlight w:val="none"/>
        </w:rPr>
        <w:t>。</w:t>
      </w:r>
    </w:p>
    <w:p>
      <w:pPr>
        <w:spacing w:line="360" w:lineRule="auto"/>
        <w:ind w:right="206" w:rightChars="98"/>
        <w:rPr>
          <w:rFonts w:hint="eastAsia" w:ascii="宋体" w:hAnsi="宋体" w:eastAsia="宋体" w:cs="宋体"/>
          <w:color w:val="auto"/>
          <w:sz w:val="24"/>
          <w:highlight w:val="none"/>
        </w:rPr>
      </w:pPr>
      <w:r>
        <w:rPr>
          <w:rFonts w:hint="eastAsia" w:ascii="宋体" w:hAnsi="宋体"/>
          <w:color w:val="auto"/>
          <w:sz w:val="24"/>
          <w:highlight w:val="none"/>
        </w:rPr>
        <w:t>★</w:t>
      </w:r>
      <w:r>
        <w:rPr>
          <w:rFonts w:hint="eastAsia" w:ascii="宋体" w:hAnsi="宋体" w:eastAsia="宋体" w:cs="宋体"/>
          <w:color w:val="auto"/>
          <w:sz w:val="24"/>
          <w:highlight w:val="none"/>
        </w:rPr>
        <w:t>医用气体终端符合YY0801.1标准的要求，</w:t>
      </w:r>
      <w:r>
        <w:rPr>
          <w:rFonts w:hint="eastAsia" w:ascii="宋体" w:hAnsi="宋体" w:cs="宋体"/>
          <w:color w:val="auto"/>
          <w:sz w:val="24"/>
          <w:highlight w:val="none"/>
          <w:lang w:val="en-US" w:eastAsia="zh-CN"/>
        </w:rPr>
        <w:t>投标供应商须</w:t>
      </w:r>
      <w:r>
        <w:rPr>
          <w:rFonts w:hint="eastAsia" w:ascii="宋体" w:hAnsi="宋体" w:eastAsia="宋体" w:cs="宋体"/>
          <w:color w:val="auto"/>
          <w:sz w:val="24"/>
          <w:highlight w:val="none"/>
        </w:rPr>
        <w:t>提供第三方机构出具的检测报告</w:t>
      </w:r>
      <w:r>
        <w:rPr>
          <w:rFonts w:hint="eastAsia" w:ascii="宋体" w:hAnsi="宋体" w:cs="宋体"/>
          <w:color w:val="auto"/>
          <w:sz w:val="24"/>
          <w:highlight w:val="none"/>
          <w:lang w:val="en-US" w:eastAsia="zh-CN"/>
        </w:rPr>
        <w:t>原件的</w:t>
      </w:r>
      <w:r>
        <w:rPr>
          <w:rFonts w:hint="eastAsia" w:ascii="宋体" w:hAnsi="宋体" w:eastAsia="宋体" w:cs="宋体"/>
          <w:color w:val="auto"/>
          <w:sz w:val="24"/>
          <w:highlight w:val="none"/>
          <w:lang w:val="en-US" w:eastAsia="zh-CN"/>
        </w:rPr>
        <w:t>扫描件</w:t>
      </w:r>
      <w:r>
        <w:rPr>
          <w:rFonts w:hint="eastAsia" w:ascii="宋体" w:hAnsi="宋体" w:eastAsia="宋体" w:cs="宋体"/>
          <w:color w:val="auto"/>
          <w:sz w:val="24"/>
          <w:highlight w:val="none"/>
        </w:rPr>
        <w:t>。</w:t>
      </w:r>
    </w:p>
    <w:p>
      <w:pPr>
        <w:spacing w:line="360" w:lineRule="auto"/>
        <w:ind w:right="206" w:rightChars="98"/>
        <w:rPr>
          <w:color w:val="auto"/>
          <w:sz w:val="24"/>
        </w:rPr>
      </w:pPr>
      <w:r>
        <w:rPr>
          <w:rFonts w:hint="eastAsia" w:ascii="宋体" w:hAnsi="宋体"/>
          <w:color w:val="auto"/>
          <w:sz w:val="24"/>
        </w:rPr>
        <w:t>★</w:t>
      </w:r>
      <w:r>
        <w:rPr>
          <w:rFonts w:hint="eastAsia"/>
          <w:color w:val="auto"/>
          <w:sz w:val="24"/>
        </w:rPr>
        <w:t>医用气体终端提供不具有害物质（不含铅、汞、镉、六价铬、多溴联苯、多溴联苯醚物质）六项重金属成份，</w:t>
      </w:r>
      <w:r>
        <w:rPr>
          <w:rFonts w:hint="eastAsia"/>
          <w:color w:val="auto"/>
          <w:sz w:val="24"/>
          <w:lang w:val="en-US" w:eastAsia="zh-CN"/>
        </w:rPr>
        <w:t>投标</w:t>
      </w:r>
      <w:r>
        <w:rPr>
          <w:rFonts w:hint="eastAsia"/>
          <w:color w:val="auto"/>
          <w:sz w:val="24"/>
          <w:lang w:eastAsia="zh-CN"/>
        </w:rPr>
        <w:t>供应商</w:t>
      </w:r>
      <w:r>
        <w:rPr>
          <w:rFonts w:hint="eastAsia"/>
          <w:color w:val="auto"/>
          <w:sz w:val="24"/>
        </w:rPr>
        <w:t>需提供第三方检测报告</w:t>
      </w:r>
      <w:r>
        <w:rPr>
          <w:rFonts w:hint="eastAsia"/>
          <w:color w:val="auto"/>
          <w:sz w:val="24"/>
          <w:lang w:val="en-US" w:eastAsia="zh-CN"/>
        </w:rPr>
        <w:t>扫描件</w:t>
      </w:r>
      <w:r>
        <w:rPr>
          <w:rFonts w:hint="eastAsia"/>
          <w:color w:val="auto"/>
          <w:sz w:val="24"/>
        </w:rPr>
        <w:t>。</w:t>
      </w:r>
    </w:p>
    <w:p>
      <w:pPr>
        <w:spacing w:line="360" w:lineRule="auto"/>
        <w:jc w:val="left"/>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说明：以上★号技术参数不作为无效标条款，用以证明设备材料质量及性能档次，缺项则影响技术评分。</w:t>
      </w:r>
    </w:p>
    <w:p>
      <w:pPr>
        <w:pStyle w:val="6"/>
        <w:rPr>
          <w:rFonts w:hint="eastAsia" w:asciiTheme="minorEastAsia" w:hAnsiTheme="minorEastAsia" w:eastAsiaTheme="minorEastAsia"/>
          <w:b/>
          <w:color w:val="auto"/>
          <w:sz w:val="24"/>
        </w:rPr>
      </w:pPr>
    </w:p>
    <w:p>
      <w:pPr>
        <w:pStyle w:val="8"/>
        <w:rPr>
          <w:rFonts w:hint="eastAsia"/>
        </w:rPr>
      </w:pPr>
    </w:p>
    <w:p>
      <w:pPr>
        <w:pStyle w:val="8"/>
        <w:rPr>
          <w:rFonts w:hint="eastAsia" w:asciiTheme="minorEastAsia" w:hAnsiTheme="minorEastAsia" w:eastAsiaTheme="minorEastAsia"/>
          <w:b/>
          <w:color w:val="auto"/>
          <w:sz w:val="24"/>
        </w:rPr>
      </w:pPr>
    </w:p>
    <w:p>
      <w:pPr>
        <w:rPr>
          <w:color w:val="auto"/>
        </w:rPr>
      </w:pPr>
    </w:p>
    <w:p>
      <w:pPr>
        <w:numPr>
          <w:ilvl w:val="0"/>
          <w:numId w:val="0"/>
        </w:numPr>
        <w:tabs>
          <w:tab w:val="left" w:pos="8280"/>
        </w:tabs>
        <w:autoSpaceDE w:val="0"/>
        <w:autoSpaceDN w:val="0"/>
        <w:adjustRightInd w:val="0"/>
        <w:spacing w:line="360" w:lineRule="auto"/>
        <w:ind w:left="420" w:leftChars="0"/>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十一、项目</w:t>
      </w:r>
      <w:r>
        <w:rPr>
          <w:rFonts w:hint="eastAsia" w:asciiTheme="minorEastAsia" w:hAnsiTheme="minorEastAsia" w:eastAsiaTheme="minorEastAsia"/>
          <w:b/>
          <w:color w:val="auto"/>
          <w:sz w:val="24"/>
        </w:rPr>
        <w:t>工程</w:t>
      </w:r>
      <w:r>
        <w:rPr>
          <w:rFonts w:hint="eastAsia" w:asciiTheme="minorEastAsia" w:hAnsiTheme="minorEastAsia" w:eastAsiaTheme="minorEastAsia"/>
          <w:b/>
          <w:color w:val="auto"/>
          <w:sz w:val="24"/>
          <w:lang w:val="en-US" w:eastAsia="zh-CN"/>
        </w:rPr>
        <w:t>量</w:t>
      </w:r>
      <w:r>
        <w:rPr>
          <w:rFonts w:hint="eastAsia" w:asciiTheme="minorEastAsia" w:hAnsiTheme="minorEastAsia" w:eastAsiaTheme="minorEastAsia"/>
          <w:b/>
          <w:color w:val="auto"/>
          <w:sz w:val="24"/>
        </w:rPr>
        <w:t>清单</w:t>
      </w:r>
      <w:r>
        <w:rPr>
          <w:rFonts w:hint="eastAsia" w:asciiTheme="minorEastAsia" w:hAnsiTheme="minorEastAsia" w:eastAsiaTheme="minorEastAsia"/>
          <w:b/>
          <w:color w:val="auto"/>
          <w:sz w:val="24"/>
          <w:lang w:eastAsia="zh-CN"/>
        </w:rPr>
        <w:t>（</w:t>
      </w:r>
      <w:r>
        <w:rPr>
          <w:rFonts w:hint="eastAsia" w:asciiTheme="minorEastAsia" w:hAnsiTheme="minorEastAsia" w:eastAsiaTheme="minorEastAsia"/>
          <w:b/>
          <w:color w:val="auto"/>
          <w:sz w:val="24"/>
          <w:lang w:val="en-US" w:eastAsia="zh-CN"/>
        </w:rPr>
        <w:t>仅供参考</w:t>
      </w:r>
      <w:r>
        <w:rPr>
          <w:rFonts w:hint="eastAsia" w:asciiTheme="minorEastAsia" w:hAnsiTheme="minorEastAsia" w:eastAsiaTheme="minorEastAsia"/>
          <w:b/>
          <w:color w:val="auto"/>
          <w:sz w:val="24"/>
          <w:lang w:eastAsia="zh-CN"/>
        </w:rPr>
        <w:t>）</w:t>
      </w:r>
    </w:p>
    <w:tbl>
      <w:tblPr>
        <w:tblStyle w:val="29"/>
        <w:tblW w:w="9484" w:type="dxa"/>
        <w:jc w:val="center"/>
        <w:tblInd w:w="0" w:type="dxa"/>
        <w:tblLayout w:type="fixed"/>
        <w:tblCellMar>
          <w:top w:w="0" w:type="dxa"/>
          <w:left w:w="0" w:type="dxa"/>
          <w:bottom w:w="0" w:type="dxa"/>
          <w:right w:w="0" w:type="dxa"/>
        </w:tblCellMar>
      </w:tblPr>
      <w:tblGrid>
        <w:gridCol w:w="579"/>
        <w:gridCol w:w="2956"/>
        <w:gridCol w:w="4504"/>
        <w:gridCol w:w="620"/>
        <w:gridCol w:w="825"/>
      </w:tblGrid>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序号</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分部分项名称</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规格、型号</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数量</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（一）中心供氧系统</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2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（1）液氧站</w:t>
            </w:r>
          </w:p>
        </w:tc>
        <w:tc>
          <w:tcPr>
            <w:tcW w:w="4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24"/>
              </w:rPr>
            </w:pPr>
          </w:p>
        </w:tc>
        <w:tc>
          <w:tcPr>
            <w:tcW w:w="6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cs="宋体"/>
                <w:b/>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cs="宋体"/>
                <w:color w:val="auto"/>
                <w:sz w:val="24"/>
              </w:rPr>
            </w:pP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液氧罐</w:t>
            </w:r>
          </w:p>
        </w:tc>
        <w:tc>
          <w:tcPr>
            <w:tcW w:w="4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有效容积5m</w:t>
            </w:r>
            <w:r>
              <w:rPr>
                <w:rFonts w:hint="eastAsia" w:ascii="宋体" w:hAnsi="宋体" w:cs="宋体"/>
                <w:color w:val="auto"/>
                <w:kern w:val="0"/>
                <w:sz w:val="24"/>
                <w:vertAlign w:val="superscript"/>
                <w:lang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Theme="minorEastAsia" w:hAnsiTheme="minorEastAsia" w:eastAsiaTheme="minorEastAsia"/>
                <w:color w:val="auto"/>
                <w:sz w:val="24"/>
              </w:rPr>
              <w:t>空温式汽化器</w:t>
            </w:r>
          </w:p>
        </w:tc>
        <w:tc>
          <w:tcPr>
            <w:tcW w:w="4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汽化能力200m</w:t>
            </w:r>
            <w:r>
              <w:rPr>
                <w:rFonts w:hint="eastAsia" w:ascii="宋体" w:hAnsi="宋体" w:cs="宋体"/>
                <w:color w:val="auto"/>
                <w:kern w:val="0"/>
                <w:sz w:val="24"/>
                <w:vertAlign w:val="superscript"/>
                <w:lang w:bidi="ar"/>
              </w:rPr>
              <w:t>3</w:t>
            </w:r>
            <w:r>
              <w:rPr>
                <w:rFonts w:hint="eastAsia" w:ascii="宋体" w:hAnsi="宋体" w:cs="宋体"/>
                <w:color w:val="auto"/>
                <w:kern w:val="0"/>
                <w:sz w:val="24"/>
                <w:lang w:bidi="ar"/>
              </w:rPr>
              <w:t>/h</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502"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配套管道及阀门</w:t>
            </w:r>
          </w:p>
        </w:tc>
        <w:tc>
          <w:tcPr>
            <w:tcW w:w="4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φ32×2.0；材质：06Cr19Ni10；含管道气压试验、泄漏性试验、吹扫、脱脂等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安装调试费用</w:t>
            </w:r>
          </w:p>
        </w:tc>
        <w:tc>
          <w:tcPr>
            <w:tcW w:w="4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（2）瓶氧汇流排</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ascii="宋体" w:hAnsi="宋体" w:cs="宋体"/>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ascii="宋体" w:hAnsi="宋体" w:cs="宋体"/>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ascii="宋体" w:hAnsi="宋体" w:cs="宋体"/>
                <w:color w:val="auto"/>
                <w:sz w:val="24"/>
              </w:rPr>
            </w:pP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10瓶组氧气汇流排</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10瓶x2组</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一级自动切换控制箱</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双路减压一用一备，流量≥50m3/h</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汇流排自动切换报警箱</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声光报警</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98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氧气大流量调压装置</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调压阀一用一备、单个调压阀流量≥200m</w:t>
            </w:r>
            <w:r>
              <w:rPr>
                <w:rFonts w:hint="eastAsia" w:ascii="宋体" w:hAnsi="宋体" w:cs="宋体"/>
                <w:color w:val="auto"/>
                <w:kern w:val="0"/>
                <w:sz w:val="24"/>
                <w:vertAlign w:val="superscript"/>
                <w:lang w:bidi="ar"/>
              </w:rPr>
              <w:t>3</w:t>
            </w:r>
            <w:r>
              <w:rPr>
                <w:rFonts w:hint="eastAsia" w:ascii="宋体" w:hAnsi="宋体" w:cs="宋体"/>
                <w:color w:val="auto"/>
                <w:kern w:val="0"/>
                <w:sz w:val="24"/>
                <w:lang w:bidi="ar"/>
              </w:rPr>
              <w:t>/h、进口压力0.8Mpa出口压力0.55Mpa、调压阀材质：铸铁、含阀门、安全阀、压力表、支架等组件</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531"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12</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不锈钢分气缸</w:t>
            </w:r>
          </w:p>
        </w:tc>
        <w:tc>
          <w:tcPr>
            <w:tcW w:w="4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一进五出，材质不锈钢（含配套阀门组件）</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502"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13</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（3）氧气系统管路及管件部分</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14</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φ32×2.0；材质：06Cr19Ni10；含管件、管道气压试验、泄漏性试验、吹扫、脱脂等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485</w:t>
            </w: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15</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φ25×2.0；材质：06Cr19Ni10；含管件、管道气压试验、泄漏性试验、吹扫、脱脂等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688</w:t>
            </w: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16</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φ16×1.5；材质：06Cr19Ni10；含管件、管道气压试验、泄漏性试验、吹扫、脱脂等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1677</w:t>
            </w: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17</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φ10×1.0；材质：06Cr19Ni10；含管件、管道气压试验、泄漏性试验、吹扫、脱脂等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192</w:t>
            </w: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18</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φ8×1.0；材质：06Cr19Ni10；含管件、管道气压试验、泄漏性试验、吹扫、脱脂等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2354</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不锈钢球头螺帽咀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8YC；材质：06Cr19Ni10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付</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57</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20</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不锈钢球头螺帽咀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6YC；材质：06Cr19Ni10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付</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1588</w:t>
            </w:r>
          </w:p>
        </w:tc>
      </w:tr>
      <w:tr>
        <w:tblPrEx>
          <w:tblLayout w:type="fixed"/>
          <w:tblCellMar>
            <w:top w:w="0" w:type="dxa"/>
            <w:left w:w="0" w:type="dxa"/>
            <w:bottom w:w="0" w:type="dxa"/>
            <w:right w:w="0" w:type="dxa"/>
          </w:tblCellMar>
        </w:tblPrEx>
        <w:trPr>
          <w:trHeight w:val="513"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氧气二级减压箱</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双路减压装置设计一用一备，普通出口流量：≥20m³/h</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20</w:t>
            </w: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22</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区域阀门箱</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一气（氧气）</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23</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区域阀门箱</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二气（氧气、吸引）</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24</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区域阀门箱</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三气（氧气、吸引、空气）</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17</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25</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氧气病房维修阀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DN6，材质：不锈钢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278</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26</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氧气病房维修阀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DN8，材质：不锈钢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22</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27</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氧气维修阀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DN15，材质：不锈钢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18</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28</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氧气维修阀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DN20，材质：不锈钢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9</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氧气维修阀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DN25，材质：不锈钢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30</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（二）中心吸引系统</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（1）负压吸引站</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32</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油式旋片真空泵</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400m3/h/台、9kw/台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33</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真空罐</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2.0m3，材质：Q235-B</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34</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DN80对夹式止回阀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DN80，材质：不锈钢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35</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吸引PLC自动电控柜</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PLC，二泵联动</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36</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Y100电接点真空表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Y100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37</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细菌过滤器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≥400m3/h</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531"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38</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不锈钢分气缸</w:t>
            </w:r>
          </w:p>
        </w:tc>
        <w:tc>
          <w:tcPr>
            <w:tcW w:w="4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一进四出，材质不锈钢（含配套阀门组件）</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602"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配套管道及阀门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φ89×3.0；材质：06Cr19Ni10；含管道气压试验、泄漏性试验、吹扫、脱脂等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40</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吸引站系统调试</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502"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（2）吸引系统管路及管件部分</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4"/>
              </w:rPr>
            </w:pP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42</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φ89×3.0；材质：06Cr19Ni10；含管件、管道气压试验、泄漏性试验、吹扫、脱脂等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276</w:t>
            </w: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43</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φ76×3.0；材质：06Cr19Ni10；含管件、管道气压试验、泄漏性试验、吹扫、脱脂等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317</w:t>
            </w: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44</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φ45×2.5；材质：06Cr19Ni10；含管件、管道气压试验、泄漏性试验、吹扫、脱脂等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268</w:t>
            </w: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45</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φ32×2.0；材质：06Cr19Ni10；含管件、管道气压试验、泄漏性试验、吹扫、脱脂等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1738</w:t>
            </w: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46</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φ14×1.5；材质：06Cr19Ni10；含管件、管道气压试验、泄漏性试验、吹扫、脱脂等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172</w:t>
            </w: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47</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φ10×1.0；材质：06Cr19Ni10；含管件、管道气压试验、泄漏性试验、吹扫、脱脂等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2332</w:t>
            </w:r>
          </w:p>
        </w:tc>
      </w:tr>
      <w:tr>
        <w:tblPrEx>
          <w:tblLayout w:type="fixed"/>
          <w:tblCellMar>
            <w:top w:w="0" w:type="dxa"/>
            <w:left w:w="0" w:type="dxa"/>
            <w:bottom w:w="0" w:type="dxa"/>
            <w:right w:w="0" w:type="dxa"/>
          </w:tblCellMar>
        </w:tblPrEx>
        <w:trPr>
          <w:trHeight w:val="513"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48</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不锈钢球头螺帽咀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12YC；材质：06Cr19Ni10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付</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30</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不锈钢球头螺帽咀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8YC；材质：06Cr19Ni10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付</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548</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50</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不锈钢球头螺帽咀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6YC；材质：06Cr19Ni10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付</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784</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吸引维修阀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DN25，材质：不锈钢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18</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52</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吸引维修阀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DN40，材质：不锈钢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53</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吸引维修阀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DN65，材质：不锈钢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54</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吸引维修阀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DN80，材质：不锈钢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621"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55</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管道支架制作与安装（含防腐处理）</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国标</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kg</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1238</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56</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（三）医用压缩空气系统</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57</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（1）压缩空气站</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b/>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b/>
                <w:color w:val="auto"/>
                <w:sz w:val="24"/>
              </w:rPr>
            </w:pP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58</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螺杆空气压缩机</w:t>
            </w:r>
          </w:p>
        </w:tc>
        <w:tc>
          <w:tcPr>
            <w:tcW w:w="4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功率：15KW，流量：≥2.4m³/min</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吸附式干燥机</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处理量：≥2.4m³/min</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60</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主路过滤器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处理量：≥2.4m³/min</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前级精密过滤器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处理量：≥2.4m³/min</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62</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中级精密过滤器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处理量：≥2.4m³/min</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63</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后级精密过滤器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处理量：≥2.4m³/min</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64</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除菌精密过滤器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处理量：≥2.4m³/min</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57"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65</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空气储气罐</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1.0m3，材质：Q235-B</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66</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配电柜</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满足≥32kw功率</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98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67</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大流量减压装置</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1"/>
                <w:szCs w:val="21"/>
                <w:lang w:bidi="ar"/>
              </w:rPr>
              <w:t>调压阀一用一备、单个调压阀流量≥200m3/h、进口压力0.8Mpa出口压力0.55Mpa、调压阀材质：铸铁、含阀门、安全阀、压力表、支架等组件</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53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68</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一氧化碳检测仪</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配套</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53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露点传感器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配套</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53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70</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自动排水器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一键清洗，零气耗工艺</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nil"/>
              <w:left w:val="single" w:color="000000" w:sz="4" w:space="0"/>
              <w:bottom w:val="nil"/>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531"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71</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不锈钢分气缸</w:t>
            </w:r>
          </w:p>
        </w:tc>
        <w:tc>
          <w:tcPr>
            <w:tcW w:w="4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一进三出，材质不锈钢（含配套阀门组件）</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582"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72</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配套管道及阀门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φ32×2.0；材质：06Cr19Ni10；含管道气压试验、泄漏性试验、吹扫、脱脂等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502"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73</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（2）压缩空气系统管路及管件部分</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1"/>
                <w:szCs w:val="21"/>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4"/>
              </w:rPr>
            </w:pP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74</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φ32×2.0；材质：06Cr19Ni10；含管件、管道气压试验、泄漏性试验、吹扫、脱脂等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450</w:t>
            </w: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75</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φ25×2.0；材质：06Cr19Ni10；含管件、管道气压试验、泄漏性试验、吹扫、脱脂等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660</w:t>
            </w: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76</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φ16×1.5；材质：06Cr19Ni10；含管件、管道气压试验、泄漏性试验、吹扫、脱脂等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565</w:t>
            </w:r>
          </w:p>
        </w:tc>
      </w:tr>
      <w:tr>
        <w:tblPrEx>
          <w:tblLayout w:type="fixed"/>
          <w:tblCellMar>
            <w:top w:w="0" w:type="dxa"/>
            <w:left w:w="0" w:type="dxa"/>
            <w:bottom w:w="0" w:type="dxa"/>
            <w:right w:w="0" w:type="dxa"/>
          </w:tblCellMar>
        </w:tblPrEx>
        <w:trPr>
          <w:trHeight w:val="70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77</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 xml:space="preserve">医用级不锈钢管  </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φ10×1.0；材质：06Cr19Ni10；含管件、管道气压试验、泄漏性试验、吹扫、脱脂等</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206</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78</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不锈钢球头螺帽咀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8YC；材质：06Cr19Ni10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付</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69</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不锈钢球头螺帽咀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6YC；材质：06Cr19Ni10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付</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77</w:t>
            </w: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80</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空气病房维修阀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DN8，材质：不锈钢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23</w:t>
            </w: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空气维修阀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DN15，材质：不锈钢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15</w:t>
            </w: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82</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空气维修阀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DN20，材质：不锈钢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w:t>
            </w:r>
          </w:p>
        </w:tc>
      </w:tr>
      <w:tr>
        <w:tblPrEx>
          <w:tblLayout w:type="fixed"/>
          <w:tblCellMar>
            <w:top w:w="0" w:type="dxa"/>
            <w:left w:w="0" w:type="dxa"/>
            <w:bottom w:w="0" w:type="dxa"/>
            <w:right w:w="0" w:type="dxa"/>
          </w:tblCellMar>
        </w:tblPrEx>
        <w:trPr>
          <w:trHeight w:val="46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83</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空气维修阀</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DN25，材质：不锈钢</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w:t>
            </w:r>
          </w:p>
        </w:tc>
      </w:tr>
      <w:tr>
        <w:tblPrEx>
          <w:tblLayout w:type="fixed"/>
          <w:tblCellMar>
            <w:top w:w="0" w:type="dxa"/>
            <w:left w:w="0" w:type="dxa"/>
            <w:bottom w:w="0" w:type="dxa"/>
            <w:right w:w="0" w:type="dxa"/>
          </w:tblCellMar>
        </w:tblPrEx>
        <w:trPr>
          <w:trHeight w:val="502"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84</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（四）口腔科负压吸引、压缩空气、净水系统</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4"/>
              </w:rPr>
            </w:pP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85</w:t>
            </w:r>
          </w:p>
        </w:tc>
        <w:tc>
          <w:tcPr>
            <w:tcW w:w="295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b/>
                <w:bCs/>
                <w:color w:val="FF0000"/>
                <w:kern w:val="0"/>
                <w:sz w:val="24"/>
                <w:lang w:bidi="ar"/>
              </w:rPr>
              <w:t>口腔科压缩空气系统</w:t>
            </w:r>
          </w:p>
        </w:tc>
        <w:tc>
          <w:tcPr>
            <w:tcW w:w="4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kern w:val="0"/>
                <w:sz w:val="24"/>
                <w:lang w:val="en-US" w:eastAsia="zh-CN" w:bidi="ar"/>
              </w:rPr>
              <w:t>明细详见采购需求</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1</w:t>
            </w: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86</w:t>
            </w:r>
          </w:p>
        </w:tc>
        <w:tc>
          <w:tcPr>
            <w:tcW w:w="2956"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牙科电动抽吸系统</w:t>
            </w:r>
          </w:p>
        </w:tc>
        <w:tc>
          <w:tcPr>
            <w:tcW w:w="4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val="en-US" w:eastAsia="zh-CN" w:bidi="ar"/>
              </w:rPr>
              <w:t>明细详见采购需求</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lang w:val="en-US" w:eastAsia="zh-CN" w:bidi="ar"/>
              </w:rPr>
              <w:t>1</w:t>
            </w:r>
          </w:p>
        </w:tc>
      </w:tr>
      <w:tr>
        <w:tblPrEx>
          <w:tblLayout w:type="fixed"/>
          <w:tblCellMar>
            <w:top w:w="0" w:type="dxa"/>
            <w:left w:w="0" w:type="dxa"/>
            <w:bottom w:w="0" w:type="dxa"/>
            <w:right w:w="0" w:type="dxa"/>
          </w:tblCellMar>
        </w:tblPrEx>
        <w:trPr>
          <w:trHeight w:val="502"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87</w:t>
            </w:r>
          </w:p>
        </w:tc>
        <w:tc>
          <w:tcPr>
            <w:tcW w:w="29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b/>
                <w:bCs/>
                <w:color w:val="FF0000"/>
                <w:kern w:val="0"/>
                <w:sz w:val="24"/>
                <w:lang w:val="en-US" w:eastAsia="zh-CN" w:bidi="ar"/>
              </w:rPr>
              <w:t>口腔科净水系统</w:t>
            </w:r>
          </w:p>
        </w:tc>
        <w:tc>
          <w:tcPr>
            <w:tcW w:w="4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val="en-US" w:eastAsia="zh-CN" w:bidi="ar"/>
              </w:rPr>
              <w:t>明细详见采购需求</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lang w:val="en-US" w:eastAsia="zh-CN" w:bidi="ar"/>
              </w:rPr>
              <w:t>1</w:t>
            </w: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88</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（五）医用气体监控系统</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4"/>
              </w:rPr>
            </w:pP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网络氧气流量计</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最大流量可达200L/min，RS485接口</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20</w:t>
            </w:r>
          </w:p>
        </w:tc>
      </w:tr>
      <w:tr>
        <w:tblPrEx>
          <w:tblLayout w:type="fixed"/>
          <w:tblCellMar>
            <w:top w:w="0" w:type="dxa"/>
            <w:left w:w="0" w:type="dxa"/>
            <w:bottom w:w="0" w:type="dxa"/>
            <w:right w:w="0" w:type="dxa"/>
          </w:tblCellMar>
        </w:tblPrEx>
        <w:trPr>
          <w:trHeight w:val="503"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90</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区域压力报警器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数显式，带485输出接口，三气（氧气、吸引、压缩空气）</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17</w:t>
            </w:r>
          </w:p>
        </w:tc>
      </w:tr>
      <w:tr>
        <w:tblPrEx>
          <w:tblLayout w:type="fixed"/>
          <w:tblCellMar>
            <w:top w:w="0" w:type="dxa"/>
            <w:left w:w="0" w:type="dxa"/>
            <w:bottom w:w="0" w:type="dxa"/>
            <w:right w:w="0" w:type="dxa"/>
          </w:tblCellMar>
        </w:tblPrEx>
        <w:trPr>
          <w:trHeight w:val="502"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91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区域压力报警器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数显式，带485输出接口，二气（氧气、吸引）</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92</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区域压力报警器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数显式，带485输出接口，一气（氧气）</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631"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93</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机房压力报警器</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液氧站、负压吸引站、压缩空气站、口腔用压缩空气站各设计一个机房压力报警器</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4</w:t>
            </w: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94</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信号线</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RVV2*0.75mm2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95</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信号线套管</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JDG16</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43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96</w:t>
            </w:r>
          </w:p>
        </w:tc>
        <w:tc>
          <w:tcPr>
            <w:tcW w:w="29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医用气体中央监控系统软件</w:t>
            </w:r>
          </w:p>
        </w:tc>
        <w:tc>
          <w:tcPr>
            <w:tcW w:w="4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配套</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r>
      <w:tr>
        <w:tblPrEx>
          <w:tblLayout w:type="fixed"/>
          <w:tblCellMar>
            <w:top w:w="0" w:type="dxa"/>
            <w:left w:w="0" w:type="dxa"/>
            <w:bottom w:w="0" w:type="dxa"/>
            <w:right w:w="0" w:type="dxa"/>
          </w:tblCellMar>
        </w:tblPrEx>
        <w:trPr>
          <w:trHeight w:val="502"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97</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（六）设备带及其它配套电器件</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ascii="宋体" w:hAnsi="宋体" w:cs="宋体"/>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ascii="宋体" w:hAnsi="宋体" w:cs="宋体"/>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ascii="宋体" w:hAnsi="宋体" w:cs="宋体"/>
                <w:color w:val="auto"/>
                <w:sz w:val="24"/>
              </w:rPr>
            </w:pPr>
          </w:p>
        </w:tc>
      </w:tr>
      <w:tr>
        <w:tblPrEx>
          <w:tblLayout w:type="fixed"/>
          <w:tblCellMar>
            <w:top w:w="0" w:type="dxa"/>
            <w:left w:w="0" w:type="dxa"/>
            <w:bottom w:w="0" w:type="dxa"/>
            <w:right w:w="0" w:type="dxa"/>
          </w:tblCellMar>
        </w:tblPrEx>
        <w:trPr>
          <w:trHeight w:val="494"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98</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医用豪华型铝合金设备带</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规格≥190*65*1.8、三腔组合式</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1685</w:t>
            </w:r>
          </w:p>
        </w:tc>
      </w:tr>
      <w:tr>
        <w:tblPrEx>
          <w:tblLayout w:type="fixed"/>
          <w:tblCellMar>
            <w:top w:w="0" w:type="dxa"/>
            <w:left w:w="0" w:type="dxa"/>
            <w:bottom w:w="0" w:type="dxa"/>
            <w:right w:w="0" w:type="dxa"/>
          </w:tblCellMar>
        </w:tblPrEx>
        <w:trPr>
          <w:trHeight w:val="503"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99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铝合金小罩</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1544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396</w:t>
            </w:r>
          </w:p>
        </w:tc>
      </w:tr>
      <w:tr>
        <w:tblPrEx>
          <w:tblLayout w:type="fixed"/>
          <w:tblCellMar>
            <w:top w:w="0" w:type="dxa"/>
            <w:left w:w="0" w:type="dxa"/>
            <w:bottom w:w="0" w:type="dxa"/>
            <w:right w:w="0" w:type="dxa"/>
          </w:tblCellMar>
        </w:tblPrEx>
        <w:trPr>
          <w:trHeight w:val="44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100</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氧气终端</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德式</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814</w:t>
            </w:r>
          </w:p>
        </w:tc>
      </w:tr>
      <w:tr>
        <w:tblPrEx>
          <w:tblLayout w:type="fixed"/>
          <w:tblCellMar>
            <w:top w:w="0" w:type="dxa"/>
            <w:left w:w="0" w:type="dxa"/>
            <w:bottom w:w="0" w:type="dxa"/>
            <w:right w:w="0" w:type="dxa"/>
          </w:tblCellMar>
        </w:tblPrEx>
        <w:trPr>
          <w:trHeight w:val="44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吸引终端</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德式</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784</w:t>
            </w:r>
          </w:p>
        </w:tc>
      </w:tr>
      <w:tr>
        <w:tblPrEx>
          <w:tblLayout w:type="fixed"/>
          <w:tblCellMar>
            <w:top w:w="0" w:type="dxa"/>
            <w:left w:w="0" w:type="dxa"/>
            <w:bottom w:w="0" w:type="dxa"/>
            <w:right w:w="0" w:type="dxa"/>
          </w:tblCellMar>
        </w:tblPrEx>
        <w:trPr>
          <w:trHeight w:val="44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102</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空气终端</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德式</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77</w:t>
            </w:r>
          </w:p>
        </w:tc>
      </w:tr>
      <w:tr>
        <w:tblPrEx>
          <w:tblLayout w:type="fixed"/>
          <w:tblCellMar>
            <w:top w:w="0" w:type="dxa"/>
            <w:left w:w="0" w:type="dxa"/>
            <w:bottom w:w="0" w:type="dxa"/>
            <w:right w:w="0" w:type="dxa"/>
          </w:tblCellMar>
        </w:tblPrEx>
        <w:trPr>
          <w:trHeight w:val="44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103</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终端防尘罩</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翻盖，一体式</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1615</w:t>
            </w:r>
          </w:p>
        </w:tc>
      </w:tr>
      <w:tr>
        <w:tblPrEx>
          <w:tblLayout w:type="fixed"/>
          <w:tblCellMar>
            <w:top w:w="0" w:type="dxa"/>
            <w:left w:w="0" w:type="dxa"/>
            <w:bottom w:w="0" w:type="dxa"/>
            <w:right w:w="0" w:type="dxa"/>
          </w:tblCellMar>
        </w:tblPrEx>
        <w:trPr>
          <w:trHeight w:val="44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104</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五孔电源插座</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五孔（含USB模块）；220V/10A</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1568</w:t>
            </w:r>
          </w:p>
        </w:tc>
      </w:tr>
      <w:tr>
        <w:tblPrEx>
          <w:tblLayout w:type="fixed"/>
          <w:tblCellMar>
            <w:top w:w="0" w:type="dxa"/>
            <w:left w:w="0" w:type="dxa"/>
            <w:bottom w:w="0" w:type="dxa"/>
            <w:right w:w="0" w:type="dxa"/>
          </w:tblCellMar>
        </w:tblPrEx>
        <w:trPr>
          <w:trHeight w:val="44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105</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电源开关</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豪华型大板；220V/10A</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710</w:t>
            </w:r>
          </w:p>
        </w:tc>
      </w:tr>
      <w:tr>
        <w:tblPrEx>
          <w:tblLayout w:type="fixed"/>
          <w:tblCellMar>
            <w:top w:w="0" w:type="dxa"/>
            <w:left w:w="0" w:type="dxa"/>
            <w:bottom w:w="0" w:type="dxa"/>
            <w:right w:w="0" w:type="dxa"/>
          </w:tblCellMar>
        </w:tblPrEx>
        <w:trPr>
          <w:trHeight w:val="44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106</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床位号</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PVC材质</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710</w:t>
            </w:r>
          </w:p>
        </w:tc>
      </w:tr>
      <w:tr>
        <w:tblPrEx>
          <w:tblLayout w:type="fixed"/>
          <w:tblCellMar>
            <w:top w:w="0" w:type="dxa"/>
            <w:left w:w="0" w:type="dxa"/>
            <w:bottom w:w="0" w:type="dxa"/>
            <w:right w:w="0" w:type="dxa"/>
          </w:tblCellMar>
        </w:tblPrEx>
        <w:trPr>
          <w:trHeight w:val="44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107</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床头LED日光灯</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T5，4W；220V/10A</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710</w:t>
            </w:r>
          </w:p>
        </w:tc>
      </w:tr>
      <w:tr>
        <w:tblPrEx>
          <w:tblLayout w:type="fixed"/>
          <w:tblCellMar>
            <w:top w:w="0" w:type="dxa"/>
            <w:left w:w="0" w:type="dxa"/>
            <w:bottom w:w="0" w:type="dxa"/>
            <w:right w:w="0" w:type="dxa"/>
          </w:tblCellMar>
        </w:tblPrEx>
        <w:trPr>
          <w:trHeight w:val="44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108</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铜芯电源线(带套管)</w:t>
            </w:r>
          </w:p>
        </w:tc>
        <w:tc>
          <w:tcPr>
            <w:tcW w:w="45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2.5mm²</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5055</w:t>
            </w:r>
          </w:p>
        </w:tc>
      </w:tr>
      <w:tr>
        <w:tblPrEx>
          <w:tblLayout w:type="fixed"/>
          <w:tblCellMar>
            <w:top w:w="0" w:type="dxa"/>
            <w:left w:w="0" w:type="dxa"/>
            <w:bottom w:w="0" w:type="dxa"/>
            <w:right w:w="0" w:type="dxa"/>
          </w:tblCellMar>
        </w:tblPrEx>
        <w:trPr>
          <w:trHeight w:val="44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109</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lang w:bidi="ar"/>
              </w:rPr>
              <w:t>（七）壁画式终端箱</w:t>
            </w:r>
          </w:p>
        </w:tc>
        <w:tc>
          <w:tcPr>
            <w:tcW w:w="4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24"/>
              </w:rPr>
            </w:pPr>
          </w:p>
        </w:tc>
      </w:tr>
      <w:tr>
        <w:tblPrEx>
          <w:tblLayout w:type="fixed"/>
          <w:tblCellMar>
            <w:top w:w="0" w:type="dxa"/>
            <w:left w:w="0" w:type="dxa"/>
            <w:bottom w:w="0" w:type="dxa"/>
            <w:right w:w="0" w:type="dxa"/>
          </w:tblCellMar>
        </w:tblPrEx>
        <w:trPr>
          <w:trHeight w:val="473"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110</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壁画式终端箱</w:t>
            </w:r>
          </w:p>
        </w:tc>
        <w:tc>
          <w:tcPr>
            <w:tcW w:w="4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推拉式</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30</w:t>
            </w:r>
          </w:p>
        </w:tc>
      </w:tr>
    </w:tbl>
    <w:p>
      <w:pPr>
        <w:pStyle w:val="2"/>
        <w:adjustRightInd w:val="0"/>
        <w:snapToGrid w:val="0"/>
        <w:spacing w:line="320" w:lineRule="exact"/>
        <w:ind w:firstLine="482" w:firstLineChars="200"/>
        <w:rPr>
          <w:rFonts w:hint="eastAsia" w:cs="宋体" w:asciiTheme="minorEastAsia" w:hAnsiTheme="minorEastAsia" w:eastAsiaTheme="minorEastAsia"/>
          <w:b/>
          <w:bCs/>
          <w:color w:val="auto"/>
          <w:szCs w:val="21"/>
          <w:u w:val="none"/>
        </w:rPr>
      </w:pPr>
      <w:r>
        <w:rPr>
          <w:rFonts w:hint="eastAsia" w:asciiTheme="minorEastAsia" w:hAnsiTheme="minorEastAsia" w:eastAsiaTheme="minorEastAsia"/>
          <w:b/>
          <w:color w:val="auto"/>
          <w:sz w:val="24"/>
          <w:lang w:val="en-US" w:eastAsia="zh-CN"/>
        </w:rPr>
        <w:t>注：以上清单仅供投标时参考，</w:t>
      </w:r>
      <w:r>
        <w:rPr>
          <w:rFonts w:hint="eastAsia" w:ascii="宋体" w:hAnsi="宋体" w:cs="宋体"/>
          <w:b/>
          <w:bCs/>
          <w:color w:val="FF0000"/>
          <w:szCs w:val="21"/>
          <w:lang w:val="en-US" w:eastAsia="zh-CN"/>
        </w:rPr>
        <w:t>投标供应商根据采购人提供的图纸及本采购文件进行报价</w:t>
      </w:r>
      <w:r>
        <w:rPr>
          <w:rFonts w:hint="eastAsia" w:asciiTheme="minorEastAsia" w:hAnsiTheme="minorEastAsia" w:eastAsiaTheme="minorEastAsia"/>
          <w:b/>
          <w:color w:val="auto"/>
          <w:sz w:val="24"/>
          <w:lang w:val="en-US" w:eastAsia="zh-CN"/>
        </w:rPr>
        <w:t>，</w:t>
      </w:r>
      <w:r>
        <w:rPr>
          <w:rFonts w:hint="eastAsia" w:cs="宋体" w:asciiTheme="minorEastAsia" w:hAnsiTheme="minorEastAsia" w:eastAsiaTheme="minorEastAsia"/>
          <w:b/>
          <w:bCs/>
          <w:color w:val="auto"/>
          <w:szCs w:val="21"/>
          <w:u w:val="none"/>
        </w:rPr>
        <w:t xml:space="preserve">本项目采用 </w:t>
      </w:r>
      <w:r>
        <w:rPr>
          <w:rFonts w:hint="eastAsia" w:cs="宋体" w:asciiTheme="minorEastAsia" w:hAnsiTheme="minorEastAsia" w:eastAsiaTheme="minorEastAsia"/>
          <w:b/>
          <w:bCs/>
          <w:color w:val="auto"/>
          <w:szCs w:val="21"/>
          <w:u w:val="single"/>
        </w:rPr>
        <w:t>固定</w:t>
      </w:r>
      <w:r>
        <w:rPr>
          <w:rFonts w:hint="eastAsia" w:cs="宋体" w:asciiTheme="minorEastAsia" w:hAnsiTheme="minorEastAsia" w:eastAsiaTheme="minorEastAsia"/>
          <w:b/>
          <w:bCs/>
          <w:color w:val="auto"/>
          <w:szCs w:val="21"/>
          <w:u w:val="single"/>
          <w:lang w:val="en-US" w:eastAsia="zh-CN"/>
        </w:rPr>
        <w:t>总价</w:t>
      </w:r>
      <w:r>
        <w:rPr>
          <w:rFonts w:hint="eastAsia" w:cs="宋体" w:asciiTheme="minorEastAsia" w:hAnsiTheme="minorEastAsia" w:eastAsiaTheme="minorEastAsia"/>
          <w:b/>
          <w:bCs/>
          <w:color w:val="auto"/>
          <w:szCs w:val="21"/>
          <w:u w:val="none"/>
        </w:rPr>
        <w:t>形式</w:t>
      </w:r>
      <w:r>
        <w:rPr>
          <w:rFonts w:hint="eastAsia" w:cs="宋体" w:asciiTheme="minorEastAsia" w:hAnsiTheme="minorEastAsia" w:eastAsiaTheme="minorEastAsia"/>
          <w:b/>
          <w:bCs/>
          <w:color w:val="auto"/>
          <w:szCs w:val="21"/>
          <w:u w:val="none"/>
          <w:lang w:eastAsia="zh-CN"/>
        </w:rPr>
        <w:t>（</w:t>
      </w:r>
      <w:r>
        <w:rPr>
          <w:rFonts w:hint="eastAsia" w:ascii="宋体" w:hAnsi="宋体" w:cs="宋体"/>
          <w:b/>
          <w:bCs/>
          <w:color w:val="auto"/>
          <w:szCs w:val="21"/>
          <w:lang w:val="en-US" w:eastAsia="zh-CN"/>
        </w:rPr>
        <w:t>甲方</w:t>
      </w:r>
      <w:r>
        <w:rPr>
          <w:rFonts w:hint="eastAsia" w:cs="宋体" w:asciiTheme="minorEastAsia" w:hAnsiTheme="minorEastAsia" w:eastAsiaTheme="minorEastAsia"/>
          <w:b/>
          <w:bCs/>
          <w:color w:val="auto"/>
          <w:szCs w:val="21"/>
          <w:u w:val="none"/>
          <w:lang w:val="en-US" w:eastAsia="zh-CN"/>
        </w:rPr>
        <w:t>要求变更除外</w:t>
      </w:r>
      <w:r>
        <w:rPr>
          <w:rFonts w:hint="eastAsia" w:cs="宋体" w:asciiTheme="minorEastAsia" w:hAnsiTheme="minorEastAsia" w:eastAsiaTheme="minorEastAsia"/>
          <w:b/>
          <w:bCs/>
          <w:color w:val="auto"/>
          <w:szCs w:val="21"/>
          <w:u w:val="none"/>
          <w:lang w:eastAsia="zh-CN"/>
        </w:rPr>
        <w:t>）</w:t>
      </w:r>
      <w:r>
        <w:rPr>
          <w:rFonts w:hint="eastAsia" w:cs="宋体" w:asciiTheme="minorEastAsia" w:hAnsiTheme="minorEastAsia" w:eastAsiaTheme="minorEastAsia"/>
          <w:b/>
          <w:bCs/>
          <w:color w:val="auto"/>
          <w:szCs w:val="21"/>
          <w:u w:val="none"/>
        </w:rPr>
        <w:t>，</w:t>
      </w:r>
      <w:r>
        <w:rPr>
          <w:rFonts w:hint="eastAsia" w:cs="宋体" w:asciiTheme="minorEastAsia" w:hAnsiTheme="minorEastAsia" w:eastAsiaTheme="minorEastAsia"/>
          <w:b/>
          <w:bCs/>
          <w:color w:val="auto"/>
          <w:szCs w:val="21"/>
          <w:u w:val="none"/>
          <w:lang w:val="en-US" w:eastAsia="zh-CN"/>
        </w:rPr>
        <w:t>投标总报价</w:t>
      </w:r>
      <w:r>
        <w:rPr>
          <w:rFonts w:hint="eastAsia" w:cs="宋体" w:asciiTheme="minorEastAsia" w:hAnsiTheme="minorEastAsia" w:eastAsiaTheme="minorEastAsia"/>
          <w:b/>
          <w:bCs/>
          <w:color w:val="auto"/>
          <w:szCs w:val="21"/>
          <w:u w:val="none"/>
        </w:rPr>
        <w:t>已包括</w:t>
      </w:r>
      <w:r>
        <w:rPr>
          <w:rFonts w:hint="eastAsia" w:cs="宋体" w:asciiTheme="minorEastAsia" w:hAnsiTheme="minorEastAsia" w:eastAsiaTheme="minorEastAsia"/>
          <w:b/>
          <w:bCs/>
          <w:color w:val="auto"/>
          <w:szCs w:val="21"/>
          <w:u w:val="none"/>
          <w:lang w:val="en-US" w:eastAsia="zh-CN"/>
        </w:rPr>
        <w:t>但</w:t>
      </w:r>
      <w:r>
        <w:rPr>
          <w:rFonts w:hint="eastAsia" w:cs="宋体" w:asciiTheme="minorEastAsia" w:hAnsiTheme="minorEastAsia" w:eastAsiaTheme="minorEastAsia"/>
          <w:b/>
          <w:bCs/>
          <w:color w:val="auto"/>
          <w:szCs w:val="21"/>
          <w:u w:val="none"/>
        </w:rPr>
        <w:t>不限于主材费、包装费、运输费、运输损耗、装卸费、安装费、安装所用水电费、辅料、配件、</w:t>
      </w:r>
      <w:r>
        <w:rPr>
          <w:rFonts w:hint="eastAsia" w:cs="宋体" w:asciiTheme="minorEastAsia" w:hAnsiTheme="minorEastAsia" w:eastAsiaTheme="minorEastAsia"/>
          <w:b/>
          <w:bCs/>
          <w:color w:val="auto"/>
          <w:szCs w:val="21"/>
          <w:u w:val="none"/>
          <w:lang w:eastAsia="zh-CN"/>
        </w:rPr>
        <w:t>工具、设计优化费、</w:t>
      </w:r>
      <w:r>
        <w:rPr>
          <w:rFonts w:hint="eastAsia" w:cs="宋体" w:asciiTheme="minorEastAsia" w:hAnsiTheme="minorEastAsia" w:eastAsiaTheme="minorEastAsia"/>
          <w:b/>
          <w:bCs/>
          <w:color w:val="auto"/>
          <w:szCs w:val="21"/>
          <w:u w:val="none"/>
        </w:rPr>
        <w:t>保管费、单机调试及联动调试费、第三方检验费、保修费、管理费、相关配合费、现场可能发生的二次搬运、临时设施费、成品保护费、利润、保险、税金等设备安装验收合格直至交付</w:t>
      </w:r>
      <w:r>
        <w:rPr>
          <w:rFonts w:hint="eastAsia" w:cs="宋体" w:asciiTheme="minorEastAsia" w:hAnsiTheme="minorEastAsia" w:eastAsiaTheme="minorEastAsia"/>
          <w:b/>
          <w:bCs/>
          <w:color w:val="auto"/>
          <w:szCs w:val="21"/>
          <w:u w:val="none"/>
          <w:lang w:val="en-US" w:eastAsia="zh-CN"/>
        </w:rPr>
        <w:t>采购人</w:t>
      </w:r>
      <w:r>
        <w:rPr>
          <w:rFonts w:hint="eastAsia" w:cs="宋体" w:asciiTheme="minorEastAsia" w:hAnsiTheme="minorEastAsia" w:eastAsiaTheme="minorEastAsia"/>
          <w:b/>
          <w:bCs/>
          <w:color w:val="auto"/>
          <w:szCs w:val="21"/>
          <w:u w:val="none"/>
        </w:rPr>
        <w:t>以及售后服务的一切费用，以及其他不可预见的所有费用，且不因劳务、市场设备价格、政策变化而调整。</w:t>
      </w:r>
    </w:p>
    <w:p>
      <w:pPr>
        <w:adjustRightInd w:val="0"/>
        <w:snapToGrid w:val="0"/>
        <w:spacing w:line="360" w:lineRule="auto"/>
        <w:ind w:firstLine="422" w:firstLineChars="200"/>
        <w:jc w:val="left"/>
        <w:rPr>
          <w:rFonts w:hint="eastAsia" w:cs="宋体" w:asciiTheme="minorEastAsia" w:hAnsiTheme="minorEastAsia" w:eastAsiaTheme="minorEastAsia"/>
          <w:b/>
          <w:bCs/>
          <w:color w:val="auto"/>
          <w:kern w:val="2"/>
          <w:sz w:val="21"/>
          <w:szCs w:val="21"/>
          <w:u w:val="none"/>
          <w:lang w:val="en-US" w:eastAsia="zh-CN" w:bidi="ar-SA"/>
        </w:rPr>
      </w:pPr>
      <w:r>
        <w:rPr>
          <w:rFonts w:hint="eastAsia" w:cs="宋体" w:asciiTheme="minorEastAsia" w:hAnsiTheme="minorEastAsia" w:eastAsiaTheme="minorEastAsia"/>
          <w:b/>
          <w:bCs/>
          <w:color w:val="auto"/>
          <w:kern w:val="2"/>
          <w:sz w:val="21"/>
          <w:szCs w:val="21"/>
          <w:u w:val="none"/>
          <w:lang w:val="en-US" w:eastAsia="zh-CN" w:bidi="ar-SA"/>
        </w:rPr>
        <w:t>整个合同履行期间，若甲方要求变更的，则变更部分按照甲方的签证价格进行结算。</w:t>
      </w:r>
    </w:p>
    <w:p>
      <w:pPr>
        <w:adjustRightInd w:val="0"/>
        <w:snapToGrid w:val="0"/>
        <w:spacing w:line="360" w:lineRule="auto"/>
        <w:ind w:firstLine="420" w:firstLineChars="200"/>
        <w:jc w:val="left"/>
        <w:rPr>
          <w:rFonts w:hint="eastAsia" w:ascii="宋体" w:hAnsi="宋体" w:cs="宋体"/>
          <w:color w:val="auto"/>
        </w:rPr>
      </w:pPr>
      <w:r>
        <w:rPr>
          <w:rFonts w:hint="eastAsia" w:ascii="宋体" w:hAnsi="宋体" w:cs="宋体"/>
          <w:color w:val="auto"/>
          <w:lang w:val="en-US" w:eastAsia="zh-CN"/>
        </w:rPr>
        <w:t>中标人</w:t>
      </w:r>
      <w:r>
        <w:rPr>
          <w:rFonts w:hint="eastAsia" w:ascii="宋体" w:hAnsi="宋体" w:cs="宋体"/>
          <w:color w:val="auto"/>
        </w:rPr>
        <w:t>依据法律法规、政策规定、各类规范标准、现场条件、周边环境条件、自然环境条件、质量、工期等对项目的招标图纸进行深化设计，其设计内容包括但不限于对原设计图纸的深化、优化，材料加工图、节点图、大样图、安装图及竣工图等编制、报审报批工作。</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Arial"/>
          <w:color w:val="auto"/>
          <w:lang w:val="en-US" w:eastAsia="zh-CN"/>
        </w:rPr>
        <w:t>中标人</w:t>
      </w:r>
      <w:r>
        <w:rPr>
          <w:rFonts w:ascii="宋体" w:hAnsi="宋体" w:cs="Arial"/>
          <w:color w:val="auto"/>
        </w:rPr>
        <w:t>的深化设计应经过</w:t>
      </w:r>
      <w:r>
        <w:rPr>
          <w:rFonts w:hint="eastAsia" w:ascii="宋体" w:hAnsi="宋体" w:cs="Arial"/>
          <w:color w:val="auto"/>
          <w:lang w:val="en-US" w:eastAsia="zh-CN"/>
        </w:rPr>
        <w:t>采购人</w:t>
      </w:r>
      <w:r>
        <w:rPr>
          <w:rFonts w:ascii="宋体" w:hAnsi="宋体" w:cs="Arial"/>
          <w:color w:val="auto"/>
        </w:rPr>
        <w:t>、设计人</w:t>
      </w:r>
      <w:r>
        <w:rPr>
          <w:rFonts w:hint="eastAsia" w:ascii="宋体" w:hAnsi="宋体" w:cs="Arial"/>
          <w:color w:val="auto"/>
          <w:lang w:val="en-US" w:eastAsia="zh-CN"/>
        </w:rPr>
        <w:t>等</w:t>
      </w:r>
      <w:r>
        <w:rPr>
          <w:rFonts w:ascii="宋体" w:hAnsi="宋体" w:cs="Arial"/>
          <w:color w:val="auto"/>
        </w:rPr>
        <w:t>确认后方可进行施工。</w:t>
      </w:r>
      <w:r>
        <w:rPr>
          <w:rFonts w:hint="eastAsia" w:ascii="宋体" w:hAnsi="宋体" w:cs="Arial"/>
          <w:color w:val="auto"/>
          <w:lang w:val="en-US" w:eastAsia="zh-CN"/>
        </w:rPr>
        <w:t>中标人</w:t>
      </w:r>
      <w:r>
        <w:rPr>
          <w:rFonts w:ascii="宋体" w:hAnsi="宋体" w:cs="Arial"/>
          <w:color w:val="auto"/>
        </w:rPr>
        <w:t>对自行或委托设计的图纸负有相应的法律责任，无论在何种情况下对</w:t>
      </w:r>
      <w:r>
        <w:rPr>
          <w:rFonts w:hint="eastAsia" w:ascii="宋体" w:hAnsi="宋体" w:cs="Arial"/>
          <w:color w:val="auto"/>
          <w:lang w:val="en-US" w:eastAsia="zh-CN"/>
        </w:rPr>
        <w:t>采购</w:t>
      </w:r>
      <w:r>
        <w:rPr>
          <w:rFonts w:ascii="宋体" w:hAnsi="宋体" w:cs="Arial"/>
          <w:color w:val="auto"/>
        </w:rPr>
        <w:t>人负有技术和经济责任。</w:t>
      </w:r>
      <w:r>
        <w:rPr>
          <w:rFonts w:hint="eastAsia" w:ascii="宋体" w:hAnsi="宋体" w:cs="Arial"/>
          <w:color w:val="auto"/>
          <w:lang w:val="en-US" w:eastAsia="zh-CN"/>
        </w:rPr>
        <w:t>采购人</w:t>
      </w:r>
      <w:r>
        <w:rPr>
          <w:rFonts w:ascii="宋体" w:hAnsi="宋体" w:cs="Arial"/>
          <w:color w:val="auto"/>
        </w:rPr>
        <w:t>、设计人的审批不能免除或减轻</w:t>
      </w:r>
      <w:r>
        <w:rPr>
          <w:rFonts w:hint="eastAsia" w:ascii="宋体" w:hAnsi="宋体" w:cs="Arial"/>
          <w:color w:val="auto"/>
          <w:lang w:val="en-US" w:eastAsia="zh-CN"/>
        </w:rPr>
        <w:t>中标人</w:t>
      </w:r>
      <w:r>
        <w:rPr>
          <w:rFonts w:ascii="宋体" w:hAnsi="宋体" w:cs="Arial"/>
          <w:color w:val="auto"/>
        </w:rPr>
        <w:t>按本合同文件所应承担的责任，因为</w:t>
      </w:r>
      <w:r>
        <w:rPr>
          <w:rFonts w:hint="eastAsia" w:ascii="宋体" w:hAnsi="宋体" w:cs="Arial"/>
          <w:color w:val="auto"/>
          <w:lang w:val="en-US" w:eastAsia="zh-CN"/>
        </w:rPr>
        <w:t>中标人</w:t>
      </w:r>
      <w:r>
        <w:rPr>
          <w:rFonts w:ascii="宋体" w:hAnsi="宋体" w:cs="Arial"/>
          <w:color w:val="auto"/>
        </w:rPr>
        <w:t>已被视为一名合格的专业设计人</w:t>
      </w:r>
      <w:r>
        <w:rPr>
          <w:rFonts w:hint="eastAsia" w:ascii="宋体" w:hAnsi="宋体" w:cs="宋体"/>
          <w:color w:val="auto"/>
          <w:szCs w:val="21"/>
        </w:rPr>
        <w:t>。</w:t>
      </w:r>
    </w:p>
    <w:p>
      <w:pPr>
        <w:adjustRightInd w:val="0"/>
        <w:snapToGrid w:val="0"/>
        <w:spacing w:line="360" w:lineRule="auto"/>
        <w:ind w:firstLine="420" w:firstLineChars="200"/>
        <w:jc w:val="left"/>
        <w:rPr>
          <w:rFonts w:ascii="宋体" w:hAnsi="宋体" w:cs="宋体"/>
          <w:color w:val="auto"/>
          <w:szCs w:val="21"/>
          <w:u w:val="none"/>
        </w:rPr>
      </w:pPr>
      <w:r>
        <w:rPr>
          <w:rFonts w:hint="eastAsia" w:ascii="宋体" w:hAnsi="宋体" w:cs="Arial"/>
          <w:color w:val="auto"/>
        </w:rPr>
        <w:t>深化设计</w:t>
      </w:r>
      <w:r>
        <w:rPr>
          <w:rFonts w:ascii="宋体" w:hAnsi="宋体" w:cs="Arial"/>
          <w:color w:val="auto"/>
          <w:u w:val="none"/>
        </w:rPr>
        <w:t>的费用：</w:t>
      </w:r>
      <w:r>
        <w:rPr>
          <w:rFonts w:hint="eastAsia" w:ascii="宋体" w:hAnsi="宋体" w:cs="Arial"/>
          <w:color w:val="auto"/>
          <w:szCs w:val="21"/>
          <w:u w:val="none"/>
        </w:rPr>
        <w:t>指在</w:t>
      </w:r>
      <w:r>
        <w:rPr>
          <w:rFonts w:hint="eastAsia" w:ascii="宋体" w:hAnsi="宋体" w:cs="Arial"/>
          <w:color w:val="auto"/>
          <w:szCs w:val="21"/>
          <w:u w:val="none"/>
          <w:lang w:val="en-US" w:eastAsia="zh-CN"/>
        </w:rPr>
        <w:t>采购人提供的图纸基础上</w:t>
      </w:r>
      <w:r>
        <w:rPr>
          <w:rFonts w:hint="eastAsia" w:ascii="宋体" w:hAnsi="宋体" w:cs="Arial"/>
          <w:color w:val="auto"/>
          <w:szCs w:val="21"/>
          <w:u w:val="none"/>
        </w:rPr>
        <w:t>对各系统主要节点深化、优化设计所涉及的费用，</w:t>
      </w:r>
      <w:r>
        <w:rPr>
          <w:rFonts w:ascii="宋体" w:hAnsi="宋体" w:cs="Arial"/>
          <w:color w:val="auto"/>
          <w:szCs w:val="21"/>
          <w:u w:val="none"/>
        </w:rPr>
        <w:t>深化设计费用已包含在</w:t>
      </w:r>
      <w:r>
        <w:rPr>
          <w:rFonts w:hint="eastAsia" w:ascii="宋体" w:hAnsi="宋体" w:cs="Arial"/>
          <w:color w:val="auto"/>
          <w:szCs w:val="21"/>
          <w:u w:val="none"/>
        </w:rPr>
        <w:t>签约</w:t>
      </w:r>
      <w:r>
        <w:rPr>
          <w:rFonts w:ascii="宋体" w:hAnsi="宋体" w:cs="Arial"/>
          <w:color w:val="auto"/>
          <w:szCs w:val="21"/>
          <w:u w:val="none"/>
        </w:rPr>
        <w:t>合同价中。深化设计不做设计变更处理，深化设计所涉及的工程费用增加已包含在</w:t>
      </w:r>
      <w:r>
        <w:rPr>
          <w:rFonts w:hint="eastAsia" w:ascii="宋体" w:hAnsi="宋体" w:cs="Arial"/>
          <w:color w:val="auto"/>
          <w:szCs w:val="21"/>
          <w:u w:val="none"/>
        </w:rPr>
        <w:t>签约</w:t>
      </w:r>
      <w:r>
        <w:rPr>
          <w:rFonts w:ascii="宋体" w:hAnsi="宋体" w:cs="Arial"/>
          <w:color w:val="auto"/>
          <w:szCs w:val="21"/>
          <w:u w:val="none"/>
        </w:rPr>
        <w:t>合同价中</w:t>
      </w:r>
      <w:r>
        <w:rPr>
          <w:rFonts w:hint="eastAsia" w:ascii="宋体" w:hAnsi="宋体" w:cs="宋体"/>
          <w:color w:val="auto"/>
          <w:szCs w:val="21"/>
          <w:u w:val="none"/>
        </w:rPr>
        <w:t>。</w:t>
      </w:r>
    </w:p>
    <w:p>
      <w:pPr>
        <w:adjustRightInd w:val="0"/>
        <w:snapToGrid w:val="0"/>
        <w:spacing w:line="360" w:lineRule="auto"/>
        <w:ind w:firstLine="420" w:firstLineChars="200"/>
        <w:jc w:val="left"/>
        <w:rPr>
          <w:rFonts w:ascii="宋体" w:hAnsi="宋体" w:cs="宋体"/>
          <w:color w:val="auto"/>
          <w:szCs w:val="21"/>
          <w:u w:val="none"/>
        </w:rPr>
      </w:pPr>
      <w:r>
        <w:rPr>
          <w:rFonts w:ascii="宋体" w:hAnsi="宋体" w:cs="Arial"/>
          <w:color w:val="auto"/>
          <w:szCs w:val="21"/>
          <w:u w:val="none"/>
        </w:rPr>
        <w:t>施工过程中因图纸深化、细化等因素引起的调改及错漏碰缺所增加的工程费用已包含在签约合同价中</w:t>
      </w:r>
      <w:r>
        <w:rPr>
          <w:rFonts w:hint="eastAsia" w:ascii="宋体" w:hAnsi="宋体" w:cs="宋体"/>
          <w:color w:val="auto"/>
          <w:szCs w:val="21"/>
          <w:u w:val="none"/>
        </w:rPr>
        <w:t>。</w:t>
      </w:r>
    </w:p>
    <w:p>
      <w:pPr>
        <w:adjustRightInd w:val="0"/>
        <w:snapToGrid w:val="0"/>
        <w:spacing w:line="360" w:lineRule="auto"/>
        <w:ind w:firstLine="420" w:firstLineChars="200"/>
        <w:jc w:val="left"/>
        <w:rPr>
          <w:rFonts w:ascii="宋体" w:hAnsi="宋体" w:cs="宋体"/>
          <w:color w:val="auto"/>
          <w:szCs w:val="21"/>
          <w:u w:val="none"/>
        </w:rPr>
      </w:pPr>
      <w:r>
        <w:rPr>
          <w:rFonts w:ascii="宋体" w:hAnsi="宋体" w:cs="Arial"/>
          <w:color w:val="auto"/>
          <w:szCs w:val="21"/>
          <w:u w:val="none"/>
        </w:rPr>
        <w:t>合同图纸等相关设计文件、</w:t>
      </w:r>
      <w:r>
        <w:rPr>
          <w:rFonts w:hint="eastAsia" w:ascii="宋体" w:hAnsi="宋体" w:cs="Arial"/>
          <w:color w:val="auto"/>
          <w:szCs w:val="21"/>
          <w:u w:val="none"/>
          <w:lang w:val="en-US" w:eastAsia="zh-CN"/>
        </w:rPr>
        <w:t>中标人</w:t>
      </w:r>
      <w:r>
        <w:rPr>
          <w:rFonts w:ascii="宋体" w:hAnsi="宋体" w:cs="Arial"/>
          <w:color w:val="auto"/>
          <w:szCs w:val="21"/>
          <w:u w:val="none"/>
        </w:rPr>
        <w:t>今后提供的图纸等相关设计文件和本合同条件均视为具有互为解释能力。如</w:t>
      </w:r>
      <w:r>
        <w:rPr>
          <w:rFonts w:hint="eastAsia" w:ascii="宋体" w:hAnsi="宋体" w:cs="Arial"/>
          <w:color w:val="auto"/>
          <w:szCs w:val="21"/>
          <w:u w:val="none"/>
          <w:lang w:val="en-US" w:eastAsia="zh-CN"/>
        </w:rPr>
        <w:t>中标人</w:t>
      </w:r>
      <w:r>
        <w:rPr>
          <w:rFonts w:ascii="宋体" w:hAnsi="宋体" w:cs="Arial"/>
          <w:color w:val="auto"/>
          <w:szCs w:val="21"/>
          <w:u w:val="none"/>
        </w:rPr>
        <w:t>发现文件间有任何不一致和歧异时，</w:t>
      </w:r>
      <w:r>
        <w:rPr>
          <w:rFonts w:hint="eastAsia" w:ascii="宋体" w:hAnsi="宋体" w:cs="Arial"/>
          <w:color w:val="auto"/>
          <w:szCs w:val="21"/>
          <w:u w:val="none"/>
          <w:lang w:val="en-US" w:eastAsia="zh-CN"/>
        </w:rPr>
        <w:t>中标人</w:t>
      </w:r>
      <w:r>
        <w:rPr>
          <w:rFonts w:ascii="宋体" w:hAnsi="宋体" w:cs="Arial"/>
          <w:color w:val="auto"/>
          <w:szCs w:val="21"/>
          <w:u w:val="none"/>
        </w:rPr>
        <w:t>应立刻以书面通知</w:t>
      </w:r>
      <w:r>
        <w:rPr>
          <w:rFonts w:hint="eastAsia" w:ascii="宋体" w:hAnsi="宋体" w:cs="Arial"/>
          <w:color w:val="auto"/>
          <w:szCs w:val="21"/>
          <w:u w:val="none"/>
          <w:lang w:val="en-US" w:eastAsia="zh-CN"/>
        </w:rPr>
        <w:t>采购人并</w:t>
      </w:r>
      <w:r>
        <w:rPr>
          <w:rFonts w:ascii="宋体" w:hAnsi="宋体" w:cs="Arial"/>
          <w:color w:val="auto"/>
          <w:szCs w:val="21"/>
          <w:u w:val="none"/>
        </w:rPr>
        <w:t>指出不一致和歧异，并按最高要求（包括质量、数量、技术、时间等）执行设计、采购、</w:t>
      </w:r>
      <w:r>
        <w:rPr>
          <w:rFonts w:hint="eastAsia" w:ascii="宋体" w:hAnsi="宋体" w:cs="Arial"/>
          <w:color w:val="auto"/>
          <w:szCs w:val="21"/>
          <w:u w:val="none"/>
          <w:lang w:val="en-US" w:eastAsia="zh-CN"/>
        </w:rPr>
        <w:t>安装</w:t>
      </w:r>
      <w:r>
        <w:rPr>
          <w:rFonts w:ascii="宋体" w:hAnsi="宋体" w:cs="Arial"/>
          <w:color w:val="auto"/>
          <w:szCs w:val="21"/>
          <w:u w:val="none"/>
        </w:rPr>
        <w:t>等工作，不得另外索赔费用及要求延长施工时间，而</w:t>
      </w:r>
      <w:r>
        <w:rPr>
          <w:rFonts w:hint="eastAsia" w:ascii="宋体" w:hAnsi="宋体" w:cs="Arial"/>
          <w:color w:val="auto"/>
          <w:szCs w:val="21"/>
          <w:u w:val="none"/>
          <w:lang w:val="en-US" w:eastAsia="zh-CN"/>
        </w:rPr>
        <w:t>采购</w:t>
      </w:r>
      <w:r>
        <w:rPr>
          <w:rFonts w:ascii="宋体" w:hAnsi="宋体" w:cs="Arial"/>
          <w:color w:val="auto"/>
          <w:szCs w:val="21"/>
          <w:u w:val="none"/>
        </w:rPr>
        <w:t>人应就此作出解释或发出有关指令。在任何情况下，上述不一致或缺漏的地方应向</w:t>
      </w:r>
      <w:r>
        <w:rPr>
          <w:rFonts w:hint="eastAsia" w:ascii="宋体" w:hAnsi="宋体" w:cs="Arial"/>
          <w:color w:val="auto"/>
          <w:szCs w:val="21"/>
          <w:u w:val="none"/>
          <w:lang w:val="en-US" w:eastAsia="zh-CN"/>
        </w:rPr>
        <w:t>采购</w:t>
      </w:r>
      <w:r>
        <w:rPr>
          <w:rFonts w:ascii="宋体" w:hAnsi="宋体" w:cs="Arial"/>
          <w:color w:val="auto"/>
          <w:szCs w:val="21"/>
          <w:u w:val="none"/>
        </w:rPr>
        <w:t>人以书面形式提出，并在任何订购工作进行前取得</w:t>
      </w:r>
      <w:r>
        <w:rPr>
          <w:rFonts w:hint="eastAsia" w:ascii="宋体" w:hAnsi="宋体" w:cs="Arial"/>
          <w:color w:val="auto"/>
          <w:szCs w:val="21"/>
          <w:u w:val="none"/>
          <w:lang w:val="en-US" w:eastAsia="zh-CN"/>
        </w:rPr>
        <w:t>采购</w:t>
      </w:r>
      <w:r>
        <w:rPr>
          <w:rFonts w:ascii="宋体" w:hAnsi="宋体" w:cs="Arial"/>
          <w:color w:val="auto"/>
          <w:szCs w:val="21"/>
          <w:u w:val="none"/>
        </w:rPr>
        <w:t>人的指示，其指示为最终决定，</w:t>
      </w:r>
      <w:r>
        <w:rPr>
          <w:rFonts w:hint="eastAsia" w:ascii="宋体" w:hAnsi="宋体" w:cs="Arial"/>
          <w:color w:val="auto"/>
          <w:szCs w:val="21"/>
          <w:u w:val="none"/>
          <w:lang w:val="en-US" w:eastAsia="zh-CN"/>
        </w:rPr>
        <w:t>中标人</w:t>
      </w:r>
      <w:r>
        <w:rPr>
          <w:rFonts w:ascii="宋体" w:hAnsi="宋体" w:cs="Arial"/>
          <w:color w:val="auto"/>
          <w:szCs w:val="21"/>
          <w:u w:val="none"/>
        </w:rPr>
        <w:t>不得索偿任何因遵照指示而产生的额外费用及时间</w:t>
      </w:r>
      <w:r>
        <w:rPr>
          <w:rFonts w:hint="eastAsia" w:ascii="宋体" w:hAnsi="宋体" w:cs="宋体"/>
          <w:color w:val="auto"/>
          <w:szCs w:val="21"/>
          <w:u w:val="none"/>
        </w:rPr>
        <w:t>。</w:t>
      </w:r>
    </w:p>
    <w:p>
      <w:pPr>
        <w:numPr>
          <w:ilvl w:val="0"/>
          <w:numId w:val="0"/>
        </w:numPr>
        <w:tabs>
          <w:tab w:val="left" w:pos="8280"/>
        </w:tabs>
        <w:autoSpaceDE w:val="0"/>
        <w:autoSpaceDN w:val="0"/>
        <w:adjustRightInd w:val="0"/>
        <w:spacing w:line="360" w:lineRule="auto"/>
        <w:ind w:left="420" w:leftChars="0"/>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十二、</w:t>
      </w:r>
      <w:r>
        <w:rPr>
          <w:rFonts w:hint="eastAsia" w:asciiTheme="minorEastAsia" w:hAnsiTheme="minorEastAsia" w:eastAsiaTheme="minorEastAsia"/>
          <w:b/>
          <w:color w:val="auto"/>
          <w:sz w:val="24"/>
        </w:rPr>
        <w:t>主要设备材料品牌推荐表：</w:t>
      </w:r>
    </w:p>
    <w:tbl>
      <w:tblPr>
        <w:tblStyle w:val="29"/>
        <w:tblW w:w="858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5"/>
        <w:gridCol w:w="3740"/>
        <w:gridCol w:w="405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blHeader/>
          <w:jc w:val="center"/>
        </w:trPr>
        <w:tc>
          <w:tcPr>
            <w:tcW w:w="795" w:type="dxa"/>
          </w:tcPr>
          <w:p>
            <w:pPr>
              <w:widowControl/>
              <w:spacing w:line="360" w:lineRule="auto"/>
              <w:jc w:val="center"/>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序号</w:t>
            </w:r>
          </w:p>
        </w:tc>
        <w:tc>
          <w:tcPr>
            <w:tcW w:w="3740" w:type="dxa"/>
            <w:shd w:val="clear" w:color="auto" w:fill="auto"/>
            <w:vAlign w:val="center"/>
          </w:tcPr>
          <w:p>
            <w:pPr>
              <w:widowControl/>
              <w:spacing w:line="360" w:lineRule="auto"/>
              <w:jc w:val="center"/>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设备材料名称</w:t>
            </w:r>
          </w:p>
        </w:tc>
        <w:tc>
          <w:tcPr>
            <w:tcW w:w="4050" w:type="dxa"/>
            <w:shd w:val="clear" w:color="auto" w:fill="auto"/>
            <w:vAlign w:val="center"/>
          </w:tcPr>
          <w:p>
            <w:pPr>
              <w:widowControl/>
              <w:spacing w:line="360" w:lineRule="auto"/>
              <w:jc w:val="center"/>
              <w:rPr>
                <w:rFonts w:cs="宋体" w:asciiTheme="minorEastAsia" w:hAnsiTheme="minorEastAsia" w:eastAsiaTheme="minorEastAsia"/>
                <w:b/>
                <w:color w:val="auto"/>
                <w:kern w:val="0"/>
                <w:sz w:val="24"/>
              </w:rPr>
            </w:pPr>
            <w:r>
              <w:rPr>
                <w:rFonts w:hint="eastAsia" w:ascii="宋体" w:hAnsi="宋体" w:cs="宋体"/>
                <w:b/>
                <w:color w:val="auto"/>
                <w:kern w:val="0"/>
                <w:sz w:val="24"/>
              </w:rPr>
              <w:t>推荐品牌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jc w:val="center"/>
        </w:trPr>
        <w:tc>
          <w:tcPr>
            <w:tcW w:w="795" w:type="dxa"/>
          </w:tcPr>
          <w:p>
            <w:pPr>
              <w:widowControl/>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1</w:t>
            </w:r>
          </w:p>
        </w:tc>
        <w:tc>
          <w:tcPr>
            <w:tcW w:w="3740" w:type="dxa"/>
            <w:shd w:val="clear" w:color="auto" w:fill="auto"/>
          </w:tcPr>
          <w:p>
            <w:pPr>
              <w:widowControl/>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hint="eastAsia" w:cs="宋体" w:asciiTheme="minorEastAsia" w:hAnsiTheme="minorEastAsia" w:eastAsiaTheme="minorEastAsia"/>
                <w:color w:val="auto"/>
                <w:kern w:val="0"/>
                <w:sz w:val="24"/>
              </w:rPr>
              <w:t>中心供氧系统</w:t>
            </w:r>
          </w:p>
        </w:tc>
        <w:tc>
          <w:tcPr>
            <w:tcW w:w="4050" w:type="dxa"/>
            <w:shd w:val="clear" w:color="auto" w:fill="auto"/>
            <w:vAlign w:val="center"/>
          </w:tcPr>
          <w:p>
            <w:pPr>
              <w:widowControl/>
              <w:spacing w:line="360" w:lineRule="auto"/>
              <w:rPr>
                <w:rFonts w:cs="宋体" w:asciiTheme="minorEastAsia" w:hAnsiTheme="minorEastAsia" w:eastAsiaTheme="minorEastAsia"/>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jc w:val="center"/>
        </w:trPr>
        <w:tc>
          <w:tcPr>
            <w:tcW w:w="795" w:type="dxa"/>
          </w:tcPr>
          <w:p>
            <w:pPr>
              <w:widowControl/>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2</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asciiTheme="minorEastAsia" w:hAnsiTheme="minorEastAsia" w:eastAsiaTheme="minorEastAsia"/>
                <w:color w:val="auto"/>
                <w:sz w:val="24"/>
              </w:rPr>
              <w:t>液氧罐</w:t>
            </w:r>
          </w:p>
        </w:tc>
        <w:tc>
          <w:tcPr>
            <w:tcW w:w="4050" w:type="dxa"/>
            <w:shd w:val="clear" w:color="auto" w:fill="auto"/>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rPr>
              <w:t>明欣、圣达因、中容</w:t>
            </w:r>
            <w:r>
              <w:rPr>
                <w:rFonts w:hint="eastAsia" w:ascii="宋体" w:hAnsi="宋体" w:cs="宋体"/>
                <w:color w:val="auto"/>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jc w:val="center"/>
        </w:trPr>
        <w:tc>
          <w:tcPr>
            <w:tcW w:w="795" w:type="dxa"/>
          </w:tcPr>
          <w:p>
            <w:pPr>
              <w:widowControl/>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3</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asciiTheme="minorEastAsia" w:hAnsiTheme="minorEastAsia" w:eastAsiaTheme="minorEastAsia"/>
                <w:color w:val="auto"/>
                <w:sz w:val="24"/>
              </w:rPr>
              <w:t>汽化器</w:t>
            </w:r>
          </w:p>
        </w:tc>
        <w:tc>
          <w:tcPr>
            <w:tcW w:w="4050" w:type="dxa"/>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明欣、华地、中容</w:t>
            </w:r>
            <w:r>
              <w:rPr>
                <w:rFonts w:hint="eastAsia" w:ascii="宋体" w:hAnsi="宋体" w:cs="宋体"/>
                <w:color w:val="auto"/>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氧气汇流排</w:t>
            </w:r>
          </w:p>
        </w:tc>
        <w:tc>
          <w:tcPr>
            <w:tcW w:w="4050" w:type="dxa"/>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具有医疗器械注册证厂家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5</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自动报警箱</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ascii="宋体" w:hAnsi="宋体" w:cs="宋体"/>
                <w:color w:val="auto"/>
                <w:kern w:val="0"/>
                <w:sz w:val="24"/>
              </w:rPr>
              <w:t>国产优质或厂家自制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49"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6</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大流量调压装置</w:t>
            </w:r>
          </w:p>
        </w:tc>
        <w:tc>
          <w:tcPr>
            <w:tcW w:w="4050" w:type="dxa"/>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永盛、斯派尔、海沃</w:t>
            </w:r>
            <w:r>
              <w:rPr>
                <w:rFonts w:hint="eastAsia" w:ascii="宋体" w:hAnsi="宋体" w:cs="宋体"/>
                <w:color w:val="auto"/>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7</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氧气二级减压箱</w:t>
            </w:r>
          </w:p>
        </w:tc>
        <w:tc>
          <w:tcPr>
            <w:tcW w:w="4050" w:type="dxa"/>
            <w:shd w:val="clear" w:color="auto" w:fill="auto"/>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国产优质或厂家自制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8</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区域阀门箱</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ascii="宋体" w:hAnsi="宋体" w:cs="宋体"/>
                <w:color w:val="auto"/>
                <w:kern w:val="0"/>
                <w:sz w:val="24"/>
              </w:rPr>
              <w:t>国产优质或厂家自制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9</w:t>
            </w:r>
          </w:p>
        </w:tc>
        <w:tc>
          <w:tcPr>
            <w:tcW w:w="3740" w:type="dxa"/>
            <w:shd w:val="clear" w:color="auto" w:fill="auto"/>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二、中心吸引系统</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w:t>
            </w:r>
          </w:p>
        </w:tc>
        <w:tc>
          <w:tcPr>
            <w:tcW w:w="3740" w:type="dxa"/>
            <w:shd w:val="clear" w:color="auto" w:fill="auto"/>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医用真空负压机设备</w:t>
            </w:r>
          </w:p>
        </w:tc>
        <w:tc>
          <w:tcPr>
            <w:tcW w:w="4050" w:type="dxa"/>
            <w:shd w:val="clear" w:color="auto" w:fill="auto"/>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具有医疗器械注册证厂家（真空泵品牌为里其乐、贝克、普旭</w:t>
            </w:r>
            <w:r>
              <w:rPr>
                <w:rFonts w:hint="eastAsia" w:ascii="宋体" w:hAnsi="宋体" w:cs="宋体"/>
                <w:color w:val="auto"/>
                <w:kern w:val="0"/>
                <w:sz w:val="24"/>
                <w:lang w:val="en-US" w:eastAsia="zh-CN"/>
              </w:rPr>
              <w:t>或相当于</w:t>
            </w:r>
            <w:r>
              <w:rPr>
                <w:rFonts w:hint="eastAsia" w:ascii="宋体" w:hAnsi="宋体" w:cs="宋体"/>
                <w:color w:val="auto"/>
                <w:kern w:val="0"/>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真空罐</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ascii="宋体" w:hAnsi="宋体" w:cs="宋体"/>
                <w:color w:val="auto"/>
                <w:kern w:val="0"/>
                <w:sz w:val="24"/>
              </w:rPr>
              <w:t>富海华、申江、信泰</w:t>
            </w:r>
            <w:r>
              <w:rPr>
                <w:rFonts w:hint="eastAsia" w:ascii="宋体" w:hAnsi="宋体" w:cs="宋体"/>
                <w:color w:val="auto"/>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12</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细菌过滤器</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ascii="宋体" w:hAnsi="宋体" w:cs="宋体"/>
                <w:color w:val="auto"/>
                <w:kern w:val="0"/>
                <w:sz w:val="24"/>
              </w:rPr>
              <w:t>里其乐、SR沃克、普旭</w:t>
            </w:r>
            <w:r>
              <w:rPr>
                <w:rFonts w:hint="eastAsia" w:ascii="宋体" w:hAnsi="宋体" w:cs="宋体"/>
                <w:color w:val="auto"/>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13</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高温灭菌器</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ascii="宋体" w:hAnsi="宋体" w:cs="宋体"/>
                <w:color w:val="auto"/>
                <w:kern w:val="0"/>
                <w:sz w:val="24"/>
              </w:rPr>
              <w:t>国产优质或厂家自制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14</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三、医用压缩空气系统</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15</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空气压缩机、干燥机、过滤器</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ascii="宋体" w:hAnsi="宋体" w:cs="宋体"/>
                <w:color w:val="auto"/>
                <w:kern w:val="0"/>
                <w:sz w:val="24"/>
              </w:rPr>
              <w:t>英格索兰、阿耐思特岩田、阿特拉斯</w:t>
            </w:r>
            <w:r>
              <w:rPr>
                <w:rFonts w:hint="eastAsia" w:ascii="宋体" w:hAnsi="宋体" w:cs="宋体"/>
                <w:color w:val="auto"/>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16</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储气罐</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ascii="宋体" w:hAnsi="宋体" w:cs="宋体"/>
                <w:color w:val="auto"/>
                <w:kern w:val="0"/>
                <w:sz w:val="24"/>
              </w:rPr>
              <w:t>富海华、申江、信泰</w:t>
            </w:r>
            <w:r>
              <w:rPr>
                <w:rFonts w:hint="eastAsia" w:ascii="宋体" w:hAnsi="宋体" w:cs="宋体"/>
                <w:color w:val="auto"/>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17</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大流量减压装置</w:t>
            </w:r>
          </w:p>
        </w:tc>
        <w:tc>
          <w:tcPr>
            <w:tcW w:w="4050" w:type="dxa"/>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永盛、斯派尔、海沃</w:t>
            </w:r>
            <w:r>
              <w:rPr>
                <w:rFonts w:hint="eastAsia" w:ascii="宋体" w:hAnsi="宋体" w:cs="宋体"/>
                <w:color w:val="auto"/>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18</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四、口腔科专用负压吸引系统</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19</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口腔科专用抽吸机</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医诚、宏润、康欧</w:t>
            </w:r>
            <w:r>
              <w:rPr>
                <w:rFonts w:hint="eastAsia" w:ascii="宋体" w:hAnsi="宋体" w:cs="宋体"/>
                <w:color w:val="000000"/>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五、口腔科用压缩空气系统</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21</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口腔科专用压缩机</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医诚、宏润、康欧</w:t>
            </w:r>
            <w:r>
              <w:rPr>
                <w:rFonts w:hint="eastAsia" w:ascii="宋体" w:hAnsi="宋体" w:cs="宋体"/>
                <w:color w:val="000000"/>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22</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六、病房设备带及终端电器系统</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23</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铝合金设备带</w:t>
            </w:r>
          </w:p>
        </w:tc>
        <w:tc>
          <w:tcPr>
            <w:tcW w:w="4050" w:type="dxa"/>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东方铝业、栋梁铝业、友升铝业</w:t>
            </w:r>
            <w:r>
              <w:rPr>
                <w:rFonts w:hint="eastAsia" w:ascii="宋体" w:hAnsi="宋体" w:cs="宋体"/>
                <w:color w:val="000000"/>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24</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气体终端</w:t>
            </w:r>
          </w:p>
        </w:tc>
        <w:tc>
          <w:tcPr>
            <w:tcW w:w="405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ascii="宋体" w:hAnsi="宋体" w:cs="宋体"/>
                <w:color w:val="000000"/>
                <w:kern w:val="0"/>
                <w:sz w:val="24"/>
              </w:rPr>
              <w:t>华生、奥邦、润科</w:t>
            </w:r>
            <w:r>
              <w:rPr>
                <w:rFonts w:hint="eastAsia" w:ascii="宋体" w:hAnsi="宋体" w:cs="宋体"/>
                <w:color w:val="000000"/>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25</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电源插座/电源开关</w:t>
            </w:r>
          </w:p>
        </w:tc>
        <w:tc>
          <w:tcPr>
            <w:tcW w:w="405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TCL、西门子、松下</w:t>
            </w:r>
            <w:r>
              <w:rPr>
                <w:rFonts w:hint="eastAsia" w:ascii="宋体" w:hAnsi="宋体" w:cs="宋体"/>
                <w:color w:val="000000"/>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26</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床头LED灯</w:t>
            </w:r>
          </w:p>
        </w:tc>
        <w:tc>
          <w:tcPr>
            <w:tcW w:w="405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TCL照明、雷士照明、欧普照明</w:t>
            </w:r>
            <w:r>
              <w:rPr>
                <w:rFonts w:hint="eastAsia" w:ascii="宋体" w:hAnsi="宋体" w:cs="宋体"/>
                <w:color w:val="000000"/>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27</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电源线</w:t>
            </w:r>
          </w:p>
        </w:tc>
        <w:tc>
          <w:tcPr>
            <w:tcW w:w="405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天洲，永通、上上</w:t>
            </w:r>
            <w:r>
              <w:rPr>
                <w:rFonts w:hint="eastAsia" w:ascii="宋体" w:hAnsi="宋体" w:cs="宋体"/>
                <w:color w:val="000000"/>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28</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七、医用气体监控系统</w:t>
            </w:r>
          </w:p>
        </w:tc>
        <w:tc>
          <w:tcPr>
            <w:tcW w:w="4050" w:type="dxa"/>
            <w:shd w:val="clear" w:color="auto" w:fill="auto"/>
            <w:vAlign w:val="center"/>
          </w:tcPr>
          <w:p>
            <w:pPr>
              <w:widowControl/>
              <w:jc w:val="center"/>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29</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网络氧气流量计</w:t>
            </w:r>
          </w:p>
        </w:tc>
        <w:tc>
          <w:tcPr>
            <w:tcW w:w="405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利华、矽翔、维克特</w:t>
            </w:r>
            <w:r>
              <w:rPr>
                <w:rFonts w:hint="eastAsia" w:ascii="宋体" w:hAnsi="宋体" w:cs="宋体"/>
                <w:color w:val="000000"/>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30</w:t>
            </w:r>
          </w:p>
        </w:tc>
        <w:tc>
          <w:tcPr>
            <w:tcW w:w="3740" w:type="dxa"/>
            <w:shd w:val="clear" w:color="auto" w:fill="auto"/>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区域压力报警器</w:t>
            </w:r>
          </w:p>
        </w:tc>
        <w:tc>
          <w:tcPr>
            <w:tcW w:w="4050" w:type="dxa"/>
            <w:shd w:val="clear" w:color="auto" w:fill="auto"/>
            <w:vAlign w:val="center"/>
          </w:tcPr>
          <w:p>
            <w:pPr>
              <w:widowControl/>
              <w:jc w:val="center"/>
              <w:rPr>
                <w:rFonts w:ascii="宋体" w:hAnsi="宋体" w:cs="宋体"/>
                <w:color w:val="000000"/>
                <w:kern w:val="0"/>
                <w:sz w:val="24"/>
              </w:rPr>
            </w:pPr>
            <w:r>
              <w:rPr>
                <w:rFonts w:hint="eastAsia" w:cs="宋体" w:asciiTheme="minorEastAsia" w:hAnsiTheme="minorEastAsia" w:eastAsiaTheme="minorEastAsia"/>
                <w:color w:val="000000"/>
                <w:kern w:val="0"/>
                <w:sz w:val="24"/>
              </w:rPr>
              <w:t>利华、</w:t>
            </w:r>
            <w:r>
              <w:rPr>
                <w:rFonts w:hint="eastAsia" w:ascii="宋体" w:hAnsi="宋体" w:cs="宋体"/>
                <w:color w:val="000000"/>
                <w:kern w:val="0"/>
                <w:sz w:val="24"/>
              </w:rPr>
              <w:t>捷工、捷锐</w:t>
            </w:r>
            <w:r>
              <w:rPr>
                <w:rFonts w:hint="eastAsia" w:ascii="宋体" w:hAnsi="宋体" w:cs="宋体"/>
                <w:color w:val="000000"/>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31</w:t>
            </w:r>
          </w:p>
        </w:tc>
        <w:tc>
          <w:tcPr>
            <w:tcW w:w="3740" w:type="dxa"/>
            <w:shd w:val="clear" w:color="auto" w:fill="auto"/>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八、管道及管材</w:t>
            </w:r>
          </w:p>
        </w:tc>
        <w:tc>
          <w:tcPr>
            <w:tcW w:w="4050" w:type="dxa"/>
            <w:shd w:val="clear" w:color="auto" w:fill="auto"/>
            <w:vAlign w:val="center"/>
          </w:tcPr>
          <w:p>
            <w:pPr>
              <w:widowControl/>
              <w:spacing w:line="360" w:lineRule="auto"/>
              <w:jc w:val="center"/>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32</w:t>
            </w:r>
          </w:p>
        </w:tc>
        <w:tc>
          <w:tcPr>
            <w:tcW w:w="3740" w:type="dxa"/>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不锈钢管</w:t>
            </w:r>
          </w:p>
        </w:tc>
        <w:tc>
          <w:tcPr>
            <w:tcW w:w="4050" w:type="dxa"/>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永生、永上、一腾</w:t>
            </w:r>
            <w:r>
              <w:rPr>
                <w:rFonts w:hint="eastAsia" w:ascii="宋体" w:hAnsi="宋体" w:cs="宋体"/>
                <w:color w:val="000000"/>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jc w:val="center"/>
        </w:trPr>
        <w:tc>
          <w:tcPr>
            <w:tcW w:w="795" w:type="dxa"/>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33</w:t>
            </w:r>
          </w:p>
        </w:tc>
        <w:tc>
          <w:tcPr>
            <w:tcW w:w="3740" w:type="dxa"/>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不锈钢截止阀（DN15及以上）</w:t>
            </w:r>
          </w:p>
        </w:tc>
        <w:tc>
          <w:tcPr>
            <w:tcW w:w="4050" w:type="dxa"/>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齐威、信特、埃美柯</w:t>
            </w:r>
            <w:r>
              <w:rPr>
                <w:rFonts w:hint="eastAsia" w:ascii="宋体" w:hAnsi="宋体" w:cs="宋体"/>
                <w:color w:val="000000"/>
                <w:kern w:val="0"/>
                <w:sz w:val="24"/>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795" w:type="dxa"/>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34</w:t>
            </w:r>
          </w:p>
        </w:tc>
        <w:tc>
          <w:tcPr>
            <w:tcW w:w="3740" w:type="dxa"/>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不锈钢维修阀（DN15以下）</w:t>
            </w:r>
          </w:p>
        </w:tc>
        <w:tc>
          <w:tcPr>
            <w:tcW w:w="4050" w:type="dxa"/>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华生、埃美柯、宇峰</w:t>
            </w:r>
            <w:r>
              <w:rPr>
                <w:rFonts w:hint="eastAsia" w:ascii="宋体" w:hAnsi="宋体" w:cs="宋体"/>
                <w:color w:val="000000"/>
                <w:kern w:val="0"/>
                <w:sz w:val="24"/>
                <w:lang w:val="en-US" w:eastAsia="zh-CN"/>
              </w:rPr>
              <w:t>或相当于</w:t>
            </w:r>
          </w:p>
        </w:tc>
      </w:tr>
    </w:tbl>
    <w:p>
      <w:pPr>
        <w:pStyle w:val="66"/>
        <w:keepNext w:val="0"/>
        <w:keepLines w:val="0"/>
        <w:pageBreakBefore w:val="0"/>
        <w:kinsoku/>
        <w:wordWrap/>
        <w:overflowPunct/>
        <w:topLinePunct w:val="0"/>
        <w:bidi w:val="0"/>
        <w:spacing w:line="300" w:lineRule="exact"/>
        <w:textAlignment w:val="auto"/>
        <w:rPr>
          <w:b/>
          <w:bCs/>
          <w:sz w:val="24"/>
          <w:szCs w:val="24"/>
        </w:rPr>
      </w:pPr>
      <w:r>
        <w:rPr>
          <w:rFonts w:hint="eastAsia"/>
          <w:b/>
          <w:bCs/>
          <w:sz w:val="24"/>
          <w:szCs w:val="24"/>
        </w:rPr>
        <w:t>注：</w:t>
      </w:r>
    </w:p>
    <w:p>
      <w:pPr>
        <w:pStyle w:val="66"/>
        <w:keepNext w:val="0"/>
        <w:keepLines w:val="0"/>
        <w:pageBreakBefore w:val="0"/>
        <w:kinsoku/>
        <w:wordWrap/>
        <w:overflowPunct/>
        <w:topLinePunct w:val="0"/>
        <w:bidi w:val="0"/>
        <w:spacing w:line="300" w:lineRule="exact"/>
        <w:ind w:firstLine="480" w:firstLineChars="200"/>
        <w:textAlignment w:val="auto"/>
        <w:rPr>
          <w:sz w:val="24"/>
          <w:szCs w:val="24"/>
        </w:rPr>
      </w:pPr>
      <w:r>
        <w:rPr>
          <w:rFonts w:hint="eastAsia"/>
          <w:sz w:val="24"/>
          <w:szCs w:val="24"/>
        </w:rPr>
        <w:t>（1）本表所推荐的品牌产品主要是对采购需求产品所要求达到的质量、性能以及应有的技术标准做进一步的说明之用，而非对所采购产品的品牌、厂家等的特殊偏好或指定，其他能满足本项目技术需求且性能、质量与所列示参考品牌相当或更优的产品均可参加。</w:t>
      </w:r>
    </w:p>
    <w:p>
      <w:pPr>
        <w:pStyle w:val="66"/>
        <w:keepNext w:val="0"/>
        <w:keepLines w:val="0"/>
        <w:pageBreakBefore w:val="0"/>
        <w:numPr>
          <w:ilvl w:val="0"/>
          <w:numId w:val="7"/>
        </w:numPr>
        <w:kinsoku/>
        <w:wordWrap/>
        <w:overflowPunct/>
        <w:topLinePunct w:val="0"/>
        <w:bidi w:val="0"/>
        <w:spacing w:line="300" w:lineRule="exact"/>
        <w:ind w:firstLine="480" w:firstLineChars="200"/>
        <w:textAlignment w:val="auto"/>
        <w:rPr>
          <w:sz w:val="24"/>
          <w:szCs w:val="24"/>
        </w:rPr>
      </w:pPr>
      <w:r>
        <w:rPr>
          <w:rFonts w:hint="eastAsia"/>
          <w:sz w:val="24"/>
          <w:szCs w:val="24"/>
        </w:rPr>
        <w:t>如</w:t>
      </w:r>
      <w:r>
        <w:rPr>
          <w:rFonts w:hint="eastAsia"/>
          <w:sz w:val="24"/>
          <w:szCs w:val="24"/>
          <w:lang w:eastAsia="zh-CN"/>
        </w:rPr>
        <w:t>供应商</w:t>
      </w:r>
      <w:r>
        <w:rPr>
          <w:rFonts w:hint="eastAsia"/>
          <w:sz w:val="24"/>
          <w:szCs w:val="24"/>
        </w:rPr>
        <w:t>所供主要材料、设备属非上述推荐品牌的产品，提供所供材料、设备“能满足本项目技术需求且性能、质量与所列示参考品牌相当或更优”的可信赖的凭据（可通过与某一推荐品牌的各项技术指标、性能、质量分项对照列示的方式进行描述）。</w:t>
      </w:r>
    </w:p>
    <w:p>
      <w:pPr>
        <w:pStyle w:val="66"/>
        <w:keepNext w:val="0"/>
        <w:keepLines w:val="0"/>
        <w:pageBreakBefore w:val="0"/>
        <w:numPr>
          <w:ilvl w:val="0"/>
          <w:numId w:val="7"/>
        </w:numPr>
        <w:kinsoku/>
        <w:wordWrap/>
        <w:overflowPunct/>
        <w:topLinePunct w:val="0"/>
        <w:bidi w:val="0"/>
        <w:spacing w:line="300" w:lineRule="exact"/>
        <w:ind w:firstLine="480" w:firstLineChars="200"/>
        <w:textAlignment w:val="auto"/>
        <w:rPr>
          <w:sz w:val="24"/>
          <w:szCs w:val="24"/>
        </w:rPr>
      </w:pPr>
      <w:r>
        <w:rPr>
          <w:rFonts w:hint="eastAsia"/>
          <w:sz w:val="24"/>
          <w:szCs w:val="24"/>
        </w:rPr>
        <w:t>中标后发现中标人所供产品的技术规格、性能、质量等不能满足采购方需求的，采购人将有权按照推荐品牌一览表中的品牌任选其一供施工使用，且投标报价不予调整。</w:t>
      </w:r>
    </w:p>
    <w:p>
      <w:pPr>
        <w:keepNext w:val="0"/>
        <w:keepLines w:val="0"/>
        <w:pageBreakBefore w:val="0"/>
        <w:numPr>
          <w:ilvl w:val="0"/>
          <w:numId w:val="0"/>
        </w:numPr>
        <w:tabs>
          <w:tab w:val="left" w:pos="8280"/>
        </w:tabs>
        <w:kinsoku/>
        <w:wordWrap/>
        <w:overflowPunct/>
        <w:topLinePunct w:val="0"/>
        <w:autoSpaceDE w:val="0"/>
        <w:autoSpaceDN w:val="0"/>
        <w:bidi w:val="0"/>
        <w:adjustRightInd w:val="0"/>
        <w:spacing w:line="300" w:lineRule="exact"/>
        <w:ind w:left="420" w:leftChars="0"/>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lang w:val="en-US" w:eastAsia="zh-CN"/>
          <w14:textFill>
            <w14:solidFill>
              <w14:schemeClr w14:val="tx1"/>
            </w14:solidFill>
          </w14:textFill>
        </w:rPr>
        <w:t>十三、</w:t>
      </w:r>
      <w:r>
        <w:rPr>
          <w:rFonts w:hint="eastAsia" w:asciiTheme="minorEastAsia" w:hAnsiTheme="minorEastAsia" w:eastAsiaTheme="minorEastAsia"/>
          <w:b/>
          <w:color w:val="000000" w:themeColor="text1"/>
          <w:sz w:val="24"/>
          <w14:textFill>
            <w14:solidFill>
              <w14:schemeClr w14:val="tx1"/>
            </w14:solidFill>
          </w14:textFill>
        </w:rPr>
        <w:t>到货验收及安装</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1.设备到达现场后，</w:t>
      </w:r>
      <w:r>
        <w:rPr>
          <w:rFonts w:hint="eastAsia" w:cs="宋体"/>
          <w:bCs/>
          <w:sz w:val="24"/>
        </w:rPr>
        <w:t>中标人</w:t>
      </w:r>
      <w:r>
        <w:rPr>
          <w:rFonts w:hint="eastAsia" w:ascii="宋体" w:hAnsi="宋体" w:cs="宋体"/>
          <w:sz w:val="24"/>
        </w:rPr>
        <w:t>应共同参与设备的开箱检验工作。若发现货物与装箱单数目不符，由</w:t>
      </w:r>
      <w:r>
        <w:rPr>
          <w:rFonts w:hint="eastAsia" w:cs="宋体"/>
          <w:bCs/>
          <w:sz w:val="24"/>
        </w:rPr>
        <w:t>中标人</w:t>
      </w:r>
      <w:r>
        <w:rPr>
          <w:rFonts w:hint="eastAsia" w:ascii="宋体" w:hAnsi="宋体" w:cs="宋体"/>
          <w:sz w:val="24"/>
        </w:rPr>
        <w:t>负责补齐或收回，如</w:t>
      </w:r>
      <w:r>
        <w:rPr>
          <w:rFonts w:hint="eastAsia" w:cs="宋体"/>
          <w:bCs/>
          <w:sz w:val="24"/>
        </w:rPr>
        <w:t>采购人</w:t>
      </w:r>
      <w:r>
        <w:rPr>
          <w:rFonts w:hint="eastAsia" w:ascii="宋体" w:hAnsi="宋体" w:cs="宋体"/>
          <w:sz w:val="24"/>
        </w:rPr>
        <w:t>对质量有异议，</w:t>
      </w:r>
      <w:r>
        <w:rPr>
          <w:rFonts w:hint="eastAsia" w:cs="宋体"/>
          <w:bCs/>
          <w:sz w:val="24"/>
        </w:rPr>
        <w:t>中标人</w:t>
      </w:r>
      <w:r>
        <w:rPr>
          <w:rFonts w:hint="eastAsia" w:ascii="宋体" w:hAnsi="宋体" w:cs="宋体"/>
          <w:sz w:val="24"/>
        </w:rPr>
        <w:t>负责解释及处理，直到符合合同约定为止，同时，</w:t>
      </w:r>
      <w:r>
        <w:rPr>
          <w:rFonts w:hint="eastAsia" w:cs="宋体"/>
          <w:bCs/>
          <w:sz w:val="24"/>
        </w:rPr>
        <w:t>采购人</w:t>
      </w:r>
      <w:r>
        <w:rPr>
          <w:rFonts w:hint="eastAsia" w:ascii="宋体" w:hAnsi="宋体" w:cs="宋体"/>
          <w:sz w:val="24"/>
        </w:rPr>
        <w:t>保留依法追究</w:t>
      </w:r>
      <w:r>
        <w:rPr>
          <w:rFonts w:hint="eastAsia" w:cs="宋体"/>
          <w:bCs/>
          <w:sz w:val="24"/>
        </w:rPr>
        <w:t>中标人</w:t>
      </w:r>
      <w:r>
        <w:rPr>
          <w:rFonts w:hint="eastAsia" w:ascii="宋体" w:hAnsi="宋体" w:cs="宋体"/>
          <w:sz w:val="24"/>
        </w:rPr>
        <w:t>违约责任的权利。该检验称为初步清点验收，方式如下：</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 xml:space="preserve"> （1）</w:t>
      </w:r>
      <w:r>
        <w:rPr>
          <w:rFonts w:hint="eastAsia" w:cs="宋体"/>
          <w:bCs/>
          <w:sz w:val="24"/>
        </w:rPr>
        <w:t>中标人</w:t>
      </w:r>
      <w:r>
        <w:rPr>
          <w:rFonts w:hint="eastAsia" w:ascii="宋体" w:hAnsi="宋体" w:cs="宋体"/>
          <w:sz w:val="24"/>
        </w:rPr>
        <w:t>在将货物运到</w:t>
      </w:r>
      <w:r>
        <w:rPr>
          <w:rFonts w:hint="eastAsia" w:cs="宋体"/>
          <w:bCs/>
          <w:sz w:val="24"/>
        </w:rPr>
        <w:t>采购人</w:t>
      </w:r>
      <w:r>
        <w:rPr>
          <w:rFonts w:hint="eastAsia" w:ascii="宋体" w:hAnsi="宋体" w:cs="宋体"/>
          <w:sz w:val="24"/>
        </w:rPr>
        <w:t>指定地点时，</w:t>
      </w:r>
      <w:r>
        <w:rPr>
          <w:rFonts w:hint="eastAsia" w:ascii="宋体" w:hAnsi="宋体" w:cs="宋体"/>
          <w:sz w:val="24"/>
          <w:lang w:val="en-US" w:eastAsia="zh-CN"/>
        </w:rPr>
        <w:t>采购人、中标人</w:t>
      </w:r>
      <w:r>
        <w:rPr>
          <w:rFonts w:hint="eastAsia" w:ascii="宋体" w:hAnsi="宋体" w:cs="宋体"/>
          <w:sz w:val="24"/>
        </w:rPr>
        <w:t>及</w:t>
      </w:r>
      <w:r>
        <w:rPr>
          <w:rFonts w:hint="eastAsia" w:cs="宋体"/>
          <w:bCs/>
          <w:sz w:val="24"/>
        </w:rPr>
        <w:t>采购人</w:t>
      </w:r>
      <w:r>
        <w:rPr>
          <w:rFonts w:hint="eastAsia" w:ascii="宋体" w:hAnsi="宋体" w:cs="宋体"/>
          <w:sz w:val="24"/>
        </w:rPr>
        <w:t>委托的验收参与人员根据本合同约定的计量方式、技术标准和质量要求对</w:t>
      </w:r>
      <w:r>
        <w:rPr>
          <w:rFonts w:hint="eastAsia" w:cs="宋体"/>
          <w:bCs/>
          <w:sz w:val="24"/>
        </w:rPr>
        <w:t>中标人</w:t>
      </w:r>
      <w:r>
        <w:rPr>
          <w:rFonts w:hint="eastAsia" w:ascii="宋体" w:hAnsi="宋体" w:cs="宋体"/>
          <w:sz w:val="24"/>
        </w:rPr>
        <w:t>交付的货物进行初步清点，主要核对：数量、规格型号、产地、质量等级、尺寸、颜色、铭牌参数、包装及标识完整、完好程度、交货资料，各方签字后即表示初步验收清点完成，可以进行组装就位施工，但并不免除任何</w:t>
      </w:r>
      <w:r>
        <w:rPr>
          <w:rFonts w:hint="eastAsia" w:cs="宋体"/>
          <w:bCs/>
          <w:sz w:val="24"/>
        </w:rPr>
        <w:t>中标人</w:t>
      </w:r>
      <w:r>
        <w:rPr>
          <w:rFonts w:hint="eastAsia" w:ascii="宋体" w:hAnsi="宋体" w:cs="宋体"/>
          <w:sz w:val="24"/>
        </w:rPr>
        <w:t>对交货产品存在质量、制造、设计、性能、零部件的完整性等各方面的缺陷和不合格的责任、违约责任和对</w:t>
      </w:r>
      <w:r>
        <w:rPr>
          <w:rFonts w:hint="eastAsia" w:cs="宋体"/>
          <w:bCs/>
          <w:sz w:val="24"/>
        </w:rPr>
        <w:t>采购人</w:t>
      </w:r>
      <w:r>
        <w:rPr>
          <w:rFonts w:hint="eastAsia" w:ascii="宋体" w:hAnsi="宋体" w:cs="宋体"/>
          <w:sz w:val="24"/>
        </w:rPr>
        <w:t>造成损失的赔偿。</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（2）采购人、中标人及</w:t>
      </w:r>
      <w:r>
        <w:rPr>
          <w:rFonts w:hint="eastAsia" w:cs="宋体"/>
          <w:bCs/>
          <w:sz w:val="24"/>
        </w:rPr>
        <w:t>采购人</w:t>
      </w:r>
      <w:r>
        <w:rPr>
          <w:rFonts w:hint="eastAsia" w:ascii="宋体" w:hAnsi="宋体" w:cs="宋体"/>
          <w:sz w:val="24"/>
        </w:rPr>
        <w:t>委托的验收参与人员初步清点时，若发现存在数量、规格型号、产地、质量等级、尺寸、颜色、铭牌参数、包装及标识完整、完好程度、交货资料方面不合格情况的，</w:t>
      </w:r>
      <w:r>
        <w:rPr>
          <w:rFonts w:hint="eastAsia" w:cs="宋体"/>
          <w:bCs/>
          <w:sz w:val="24"/>
        </w:rPr>
        <w:t>采购人</w:t>
      </w:r>
      <w:r>
        <w:rPr>
          <w:rFonts w:hint="eastAsia" w:ascii="宋体" w:hAnsi="宋体" w:cs="宋体"/>
          <w:sz w:val="24"/>
        </w:rPr>
        <w:t>有权拒收、部分拒收、退货、部分退货、拒付货款直至解除本合同，并向</w:t>
      </w:r>
      <w:r>
        <w:rPr>
          <w:rFonts w:hint="eastAsia" w:cs="宋体"/>
          <w:bCs/>
          <w:sz w:val="24"/>
        </w:rPr>
        <w:t>中标人</w:t>
      </w:r>
      <w:r>
        <w:rPr>
          <w:rFonts w:hint="eastAsia" w:ascii="宋体" w:hAnsi="宋体" w:cs="宋体"/>
          <w:sz w:val="24"/>
        </w:rPr>
        <w:t>索赔因此造成的损失。如</w:t>
      </w:r>
      <w:r>
        <w:rPr>
          <w:rFonts w:hint="eastAsia" w:cs="宋体"/>
          <w:bCs/>
          <w:sz w:val="24"/>
        </w:rPr>
        <w:t>采购人</w:t>
      </w:r>
      <w:r>
        <w:rPr>
          <w:rFonts w:hint="eastAsia" w:ascii="宋体" w:hAnsi="宋体" w:cs="宋体"/>
          <w:sz w:val="24"/>
        </w:rPr>
        <w:t>选择不解除合同但要求</w:t>
      </w:r>
      <w:r>
        <w:rPr>
          <w:rFonts w:hint="eastAsia" w:cs="宋体"/>
          <w:bCs/>
          <w:sz w:val="24"/>
        </w:rPr>
        <w:t>中标人</w:t>
      </w:r>
      <w:r>
        <w:rPr>
          <w:rFonts w:hint="eastAsia" w:ascii="宋体" w:hAnsi="宋体" w:cs="宋体"/>
          <w:sz w:val="24"/>
        </w:rPr>
        <w:t>重新供货的，</w:t>
      </w:r>
      <w:r>
        <w:rPr>
          <w:rFonts w:hint="eastAsia" w:cs="宋体"/>
          <w:bCs/>
          <w:sz w:val="24"/>
        </w:rPr>
        <w:t>中标人</w:t>
      </w:r>
      <w:r>
        <w:rPr>
          <w:rFonts w:hint="eastAsia" w:ascii="宋体" w:hAnsi="宋体" w:cs="宋体"/>
          <w:sz w:val="24"/>
        </w:rPr>
        <w:t>应当无条件重新供货，且交货期限不顺延，由此导致逾期交货的，</w:t>
      </w:r>
      <w:r>
        <w:rPr>
          <w:rFonts w:hint="eastAsia" w:cs="宋体"/>
          <w:bCs/>
          <w:sz w:val="24"/>
        </w:rPr>
        <w:t>中标人</w:t>
      </w:r>
      <w:r>
        <w:rPr>
          <w:rFonts w:hint="eastAsia" w:ascii="宋体" w:hAnsi="宋体" w:cs="宋体"/>
          <w:sz w:val="24"/>
        </w:rPr>
        <w:t>应承担相应的违约责任。</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2、</w:t>
      </w:r>
      <w:r>
        <w:rPr>
          <w:rFonts w:hint="eastAsia" w:cs="宋体"/>
          <w:bCs/>
          <w:sz w:val="24"/>
        </w:rPr>
        <w:t>中标人</w:t>
      </w:r>
      <w:r>
        <w:rPr>
          <w:rFonts w:hint="eastAsia" w:ascii="宋体" w:hAnsi="宋体" w:cs="宋体"/>
          <w:sz w:val="24"/>
        </w:rPr>
        <w:t>交货前应按合同规定的检验方法，作出全面检测，其记录附在质量证明书内。但有关质量、规格、性能、数量或重量的检验不应视为最终检验。</w:t>
      </w:r>
      <w:r>
        <w:rPr>
          <w:rFonts w:hint="eastAsia" w:cs="宋体"/>
          <w:bCs/>
          <w:sz w:val="24"/>
        </w:rPr>
        <w:t>中标人</w:t>
      </w:r>
      <w:r>
        <w:rPr>
          <w:rFonts w:hint="eastAsia" w:ascii="宋体" w:hAnsi="宋体" w:cs="宋体"/>
          <w:sz w:val="24"/>
        </w:rPr>
        <w:t>检验的结果和详细要求应在质量说明书中加以说明。</w:t>
      </w:r>
    </w:p>
    <w:p>
      <w:pPr>
        <w:keepNext w:val="0"/>
        <w:keepLines w:val="0"/>
        <w:pageBreakBefore w:val="0"/>
        <w:kinsoku/>
        <w:wordWrap/>
        <w:overflowPunct/>
        <w:topLinePunct w:val="0"/>
        <w:bidi w:val="0"/>
        <w:snapToGrid w:val="0"/>
        <w:spacing w:line="300" w:lineRule="exact"/>
        <w:ind w:firstLine="480" w:firstLineChars="200"/>
        <w:textAlignment w:val="auto"/>
        <w:rPr>
          <w:rFonts w:cs="宋体" w:asciiTheme="minorEastAsia" w:hAnsiTheme="minorEastAsia" w:eastAsiaTheme="minorEastAsia"/>
          <w:b/>
          <w:bCs/>
          <w:color w:val="FF0000"/>
          <w:kern w:val="24"/>
          <w:szCs w:val="21"/>
        </w:rPr>
      </w:pPr>
      <w:r>
        <w:rPr>
          <w:rFonts w:hint="eastAsia" w:ascii="宋体" w:hAnsi="宋体" w:cs="宋体"/>
          <w:sz w:val="24"/>
        </w:rPr>
        <w:t>3、</w:t>
      </w:r>
      <w:r>
        <w:rPr>
          <w:rFonts w:hint="eastAsia" w:cs="宋体" w:asciiTheme="minorEastAsia" w:hAnsiTheme="minorEastAsia" w:eastAsiaTheme="minorEastAsia"/>
          <w:b/>
          <w:bCs/>
          <w:color w:val="FF0000"/>
          <w:kern w:val="24"/>
          <w:sz w:val="21"/>
          <w:szCs w:val="21"/>
          <w:lang w:val="en-US" w:eastAsia="zh-CN" w:bidi="ar-SA"/>
        </w:rPr>
        <w:t>系统的就位、安装、调试结束，经有关部门的检验合格，并且在医院正式投入使用试运行二个月，经考核无故障后，采购人、中标人共同签署验收合格证书。</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4、其中</w:t>
      </w:r>
      <w:r>
        <w:rPr>
          <w:rFonts w:hint="eastAsia" w:cs="宋体"/>
          <w:bCs/>
          <w:sz w:val="24"/>
        </w:rPr>
        <w:t>采购人</w:t>
      </w:r>
      <w:r>
        <w:rPr>
          <w:rFonts w:hint="eastAsia" w:ascii="宋体" w:hAnsi="宋体" w:cs="宋体"/>
          <w:sz w:val="24"/>
        </w:rPr>
        <w:t>认为的重要部件不论何时（验收时或日后维修时）发现不符投标文件中的型号规格，</w:t>
      </w:r>
      <w:r>
        <w:rPr>
          <w:rFonts w:hint="eastAsia" w:cs="宋体"/>
          <w:bCs/>
          <w:sz w:val="24"/>
        </w:rPr>
        <w:t>中标人</w:t>
      </w:r>
      <w:r>
        <w:rPr>
          <w:rFonts w:hint="eastAsia" w:ascii="宋体" w:hAnsi="宋体" w:cs="宋体"/>
          <w:sz w:val="24"/>
        </w:rPr>
        <w:t>均将承担违约责任。</w:t>
      </w:r>
      <w:r>
        <w:rPr>
          <w:rFonts w:hint="eastAsia" w:cs="宋体"/>
          <w:bCs/>
          <w:sz w:val="24"/>
        </w:rPr>
        <w:t>中标人</w:t>
      </w:r>
      <w:r>
        <w:rPr>
          <w:rFonts w:hint="eastAsia" w:ascii="宋体" w:hAnsi="宋体" w:cs="宋体"/>
          <w:sz w:val="24"/>
        </w:rPr>
        <w:t>必须更换与招标文件相一致的部件并承诺包括组装就位在内的一切费用和相关责任。如</w:t>
      </w:r>
      <w:r>
        <w:rPr>
          <w:rFonts w:hint="eastAsia" w:cs="宋体"/>
          <w:bCs/>
          <w:sz w:val="24"/>
        </w:rPr>
        <w:t>中标人</w:t>
      </w:r>
      <w:r>
        <w:rPr>
          <w:rFonts w:hint="eastAsia" w:ascii="宋体" w:hAnsi="宋体" w:cs="宋体"/>
          <w:sz w:val="24"/>
        </w:rPr>
        <w:t>拒不更换的，</w:t>
      </w:r>
      <w:r>
        <w:rPr>
          <w:rFonts w:hint="eastAsia" w:cs="宋体"/>
          <w:bCs/>
          <w:sz w:val="24"/>
        </w:rPr>
        <w:t>采购人</w:t>
      </w:r>
      <w:r>
        <w:rPr>
          <w:rFonts w:hint="eastAsia" w:ascii="宋体" w:hAnsi="宋体" w:cs="宋体"/>
          <w:sz w:val="24"/>
        </w:rPr>
        <w:t>有权要求</w:t>
      </w:r>
      <w:r>
        <w:rPr>
          <w:rFonts w:hint="eastAsia" w:cs="宋体"/>
          <w:bCs/>
          <w:sz w:val="24"/>
        </w:rPr>
        <w:t>中标人</w:t>
      </w:r>
      <w:r>
        <w:rPr>
          <w:rFonts w:hint="eastAsia" w:ascii="宋体" w:hAnsi="宋体" w:cs="宋体"/>
          <w:sz w:val="24"/>
        </w:rPr>
        <w:t>按该重要部件所在设备的整体价款的一倍支付违约金。所有</w:t>
      </w:r>
      <w:r>
        <w:rPr>
          <w:rFonts w:hint="eastAsia" w:cs="宋体"/>
          <w:bCs/>
          <w:sz w:val="24"/>
        </w:rPr>
        <w:t>采购人</w:t>
      </w:r>
      <w:r>
        <w:rPr>
          <w:rFonts w:hint="eastAsia" w:ascii="宋体" w:hAnsi="宋体" w:cs="宋体"/>
          <w:sz w:val="24"/>
        </w:rPr>
        <w:t>认为的重要部件和零件的必须提供相应的证明材料，供货时如为进口部件需提供原装原产地五大单据（原产地当局出具的原产地证书正本、原产地出厂合格证正本、原产地装船单正本、中国海关报关证明文件复制件、中国商检检验合格证明文件正本）。</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5、</w:t>
      </w:r>
      <w:r>
        <w:rPr>
          <w:rFonts w:hint="eastAsia" w:cs="宋体"/>
          <w:bCs/>
          <w:sz w:val="24"/>
        </w:rPr>
        <w:t>中标人</w:t>
      </w:r>
      <w:r>
        <w:rPr>
          <w:rFonts w:hint="eastAsia" w:ascii="宋体" w:hAnsi="宋体" w:cs="宋体"/>
          <w:sz w:val="24"/>
        </w:rPr>
        <w:t>在交付设备时必须同时需向</w:t>
      </w:r>
      <w:r>
        <w:rPr>
          <w:rFonts w:hint="eastAsia" w:cs="宋体"/>
          <w:bCs/>
          <w:sz w:val="24"/>
        </w:rPr>
        <w:t>采购人</w:t>
      </w:r>
      <w:r>
        <w:rPr>
          <w:rFonts w:hint="eastAsia" w:ascii="宋体" w:hAnsi="宋体" w:cs="宋体"/>
          <w:sz w:val="24"/>
        </w:rPr>
        <w:t>移交招投标文件所列的备品备件、维修工具（该备品备件不作为保修期内所使用的维保耗材）。</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6、</w:t>
      </w:r>
      <w:r>
        <w:rPr>
          <w:rFonts w:hint="eastAsia" w:cs="宋体"/>
          <w:bCs/>
          <w:sz w:val="24"/>
        </w:rPr>
        <w:t>采购人</w:t>
      </w:r>
      <w:r>
        <w:rPr>
          <w:rFonts w:hint="eastAsia" w:ascii="宋体" w:hAnsi="宋体" w:cs="宋体"/>
          <w:sz w:val="24"/>
        </w:rPr>
        <w:t>有权派出不超过4人5工作日的专业人员赴</w:t>
      </w:r>
      <w:r>
        <w:rPr>
          <w:rFonts w:hint="eastAsia" w:cs="宋体"/>
          <w:bCs/>
          <w:sz w:val="24"/>
        </w:rPr>
        <w:t>中标人</w:t>
      </w:r>
      <w:r>
        <w:rPr>
          <w:rFonts w:hint="eastAsia" w:ascii="宋体" w:hAnsi="宋体" w:cs="宋体"/>
          <w:sz w:val="24"/>
        </w:rPr>
        <w:t>生产厂地进行设计联络和监造，相关费用已包含在合同价中。如在监造中发现技术指标不能满足招标文件和投标文件承诺要求的，</w:t>
      </w:r>
      <w:r>
        <w:rPr>
          <w:rFonts w:hint="eastAsia" w:cs="宋体"/>
          <w:bCs/>
          <w:sz w:val="24"/>
        </w:rPr>
        <w:t>采购人</w:t>
      </w:r>
      <w:r>
        <w:rPr>
          <w:rFonts w:hint="eastAsia" w:ascii="宋体" w:hAnsi="宋体" w:cs="宋体"/>
          <w:sz w:val="24"/>
        </w:rPr>
        <w:t>有权拒付货款或解除合同。</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7、经</w:t>
      </w:r>
      <w:r>
        <w:rPr>
          <w:rFonts w:hint="eastAsia" w:cs="宋体"/>
          <w:bCs/>
          <w:sz w:val="24"/>
        </w:rPr>
        <w:t>采购人</w:t>
      </w:r>
      <w:r>
        <w:rPr>
          <w:rFonts w:hint="eastAsia" w:ascii="宋体" w:hAnsi="宋体" w:cs="宋体"/>
          <w:sz w:val="24"/>
        </w:rPr>
        <w:t>要求或征得</w:t>
      </w:r>
      <w:r>
        <w:rPr>
          <w:rFonts w:hint="eastAsia" w:cs="宋体"/>
          <w:bCs/>
          <w:sz w:val="24"/>
        </w:rPr>
        <w:t>采购人</w:t>
      </w:r>
      <w:r>
        <w:rPr>
          <w:rFonts w:hint="eastAsia" w:ascii="宋体" w:hAnsi="宋体" w:cs="宋体"/>
          <w:sz w:val="24"/>
        </w:rPr>
        <w:t>书面同意后，</w:t>
      </w:r>
      <w:r>
        <w:rPr>
          <w:rFonts w:hint="eastAsia" w:cs="宋体"/>
          <w:bCs/>
          <w:sz w:val="24"/>
        </w:rPr>
        <w:t>中标人</w:t>
      </w:r>
      <w:r>
        <w:rPr>
          <w:rFonts w:hint="eastAsia" w:ascii="宋体" w:hAnsi="宋体" w:cs="宋体"/>
          <w:sz w:val="24"/>
        </w:rPr>
        <w:t>可分批发货，</w:t>
      </w:r>
      <w:r>
        <w:rPr>
          <w:rFonts w:hint="eastAsia" w:cs="宋体"/>
          <w:bCs/>
          <w:sz w:val="24"/>
        </w:rPr>
        <w:t>采购人</w:t>
      </w:r>
      <w:r>
        <w:rPr>
          <w:rFonts w:hint="eastAsia" w:ascii="宋体" w:hAnsi="宋体" w:cs="宋体"/>
          <w:sz w:val="24"/>
        </w:rPr>
        <w:t>分批验收。</w:t>
      </w:r>
    </w:p>
    <w:p>
      <w:pPr>
        <w:keepNext w:val="0"/>
        <w:keepLines w:val="0"/>
        <w:pageBreakBefore w:val="0"/>
        <w:numPr>
          <w:ilvl w:val="0"/>
          <w:numId w:val="0"/>
        </w:numPr>
        <w:tabs>
          <w:tab w:val="left" w:pos="8280"/>
        </w:tabs>
        <w:kinsoku/>
        <w:wordWrap/>
        <w:overflowPunct/>
        <w:topLinePunct w:val="0"/>
        <w:autoSpaceDE w:val="0"/>
        <w:autoSpaceDN w:val="0"/>
        <w:bidi w:val="0"/>
        <w:adjustRightInd w:val="0"/>
        <w:spacing w:line="300" w:lineRule="exact"/>
        <w:ind w:left="420" w:leftChars="0"/>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lang w:val="en-US" w:eastAsia="zh-CN"/>
          <w14:textFill>
            <w14:solidFill>
              <w14:schemeClr w14:val="tx1"/>
            </w14:solidFill>
          </w14:textFill>
        </w:rPr>
        <w:t>十四、</w:t>
      </w:r>
      <w:r>
        <w:rPr>
          <w:rFonts w:hint="eastAsia" w:asciiTheme="minorEastAsia" w:hAnsiTheme="minorEastAsia" w:eastAsiaTheme="minorEastAsia"/>
          <w:b/>
          <w:color w:val="000000" w:themeColor="text1"/>
          <w:sz w:val="24"/>
          <w14:textFill>
            <w14:solidFill>
              <w14:schemeClr w14:val="tx1"/>
            </w14:solidFill>
          </w14:textFill>
        </w:rPr>
        <w:t>调试、试运行及验收</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1、接到</w:t>
      </w:r>
      <w:r>
        <w:rPr>
          <w:rFonts w:hint="eastAsia" w:cs="宋体"/>
          <w:bCs/>
          <w:sz w:val="24"/>
        </w:rPr>
        <w:t>采购人</w:t>
      </w:r>
      <w:r>
        <w:rPr>
          <w:rFonts w:hint="eastAsia" w:ascii="宋体" w:hAnsi="宋体" w:cs="宋体"/>
          <w:sz w:val="24"/>
        </w:rPr>
        <w:t>书面通知后，</w:t>
      </w:r>
      <w:r>
        <w:rPr>
          <w:rFonts w:hint="eastAsia" w:cs="宋体"/>
          <w:bCs/>
          <w:sz w:val="24"/>
        </w:rPr>
        <w:t>中标人</w:t>
      </w:r>
      <w:r>
        <w:rPr>
          <w:rFonts w:hint="eastAsia" w:ascii="宋体" w:hAnsi="宋体" w:cs="宋体"/>
          <w:sz w:val="24"/>
        </w:rPr>
        <w:t>应按照通知指定日期派员免费赶赴现场负责设备的安装工作，并通过相关部门的验收。如因</w:t>
      </w:r>
      <w:r>
        <w:rPr>
          <w:rFonts w:hint="eastAsia" w:cs="宋体"/>
          <w:bCs/>
          <w:sz w:val="24"/>
        </w:rPr>
        <w:t>中标人</w:t>
      </w:r>
      <w:r>
        <w:rPr>
          <w:rFonts w:hint="eastAsia" w:ascii="宋体" w:hAnsi="宋体" w:cs="宋体"/>
          <w:sz w:val="24"/>
        </w:rPr>
        <w:t>原因导致未能一次通过验收的，整改产生的工期延误责任由</w:t>
      </w:r>
      <w:r>
        <w:rPr>
          <w:rFonts w:hint="eastAsia" w:cs="宋体"/>
          <w:bCs/>
          <w:sz w:val="24"/>
        </w:rPr>
        <w:t>中标人</w:t>
      </w:r>
      <w:r>
        <w:rPr>
          <w:rFonts w:hint="eastAsia" w:ascii="宋体" w:hAnsi="宋体" w:cs="宋体"/>
          <w:sz w:val="24"/>
        </w:rPr>
        <w:t>承担。</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2.整体工程的总包施工过程中，</w:t>
      </w:r>
      <w:r>
        <w:rPr>
          <w:rFonts w:hint="eastAsia" w:cs="宋体"/>
          <w:bCs/>
          <w:sz w:val="24"/>
        </w:rPr>
        <w:t>中标人</w:t>
      </w:r>
      <w:r>
        <w:rPr>
          <w:rFonts w:hint="eastAsia" w:ascii="宋体" w:hAnsi="宋体" w:cs="宋体"/>
          <w:sz w:val="24"/>
        </w:rPr>
        <w:t>应委派技术人员参与检查有关设备安装部位的施工，如发现可能影响今后设备安装情况的，应及时向</w:t>
      </w:r>
      <w:r>
        <w:rPr>
          <w:rFonts w:hint="eastAsia" w:cs="宋体"/>
          <w:bCs/>
          <w:sz w:val="24"/>
        </w:rPr>
        <w:t>采购人</w:t>
      </w:r>
      <w:r>
        <w:rPr>
          <w:rFonts w:hint="eastAsia" w:ascii="宋体" w:hAnsi="宋体" w:cs="宋体"/>
          <w:sz w:val="24"/>
        </w:rPr>
        <w:t>反映相关情况，以防止在实际安装时出现土建施工不符合设备安装要求。如</w:t>
      </w:r>
      <w:r>
        <w:rPr>
          <w:rFonts w:hint="eastAsia" w:cs="宋体"/>
          <w:bCs/>
          <w:sz w:val="24"/>
        </w:rPr>
        <w:t>中标人</w:t>
      </w:r>
      <w:r>
        <w:rPr>
          <w:rFonts w:hint="eastAsia" w:ascii="宋体" w:hAnsi="宋体" w:cs="宋体"/>
          <w:sz w:val="24"/>
        </w:rPr>
        <w:t>未及时发现相应情况的，则在实际安装过程中额外发生的土建返工和设备安装工期延误等责任均由</w:t>
      </w:r>
      <w:r>
        <w:rPr>
          <w:rFonts w:hint="eastAsia" w:cs="宋体"/>
          <w:bCs/>
          <w:sz w:val="24"/>
        </w:rPr>
        <w:t>中标人</w:t>
      </w:r>
      <w:r>
        <w:rPr>
          <w:rFonts w:hint="eastAsia" w:ascii="宋体" w:hAnsi="宋体" w:cs="宋体"/>
          <w:sz w:val="24"/>
        </w:rPr>
        <w:t>承担。</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3.安装及调试工作要求如下：</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（1）具备安装条件后，</w:t>
      </w:r>
      <w:r>
        <w:rPr>
          <w:rFonts w:hint="eastAsia" w:cs="宋体"/>
          <w:bCs/>
          <w:sz w:val="24"/>
        </w:rPr>
        <w:t>中标人</w:t>
      </w:r>
      <w:r>
        <w:rPr>
          <w:rFonts w:hint="eastAsia" w:ascii="宋体" w:hAnsi="宋体" w:cs="宋体"/>
          <w:sz w:val="24"/>
        </w:rPr>
        <w:t>须派有丰富安装经验的人员进场安装，直至拿到有关管理部门的检验合格证书。设备安装应包括但不仅限于以下内容：</w:t>
      </w:r>
    </w:p>
    <w:p>
      <w:pPr>
        <w:keepNext w:val="0"/>
        <w:keepLines w:val="0"/>
        <w:pageBreakBefore w:val="0"/>
        <w:numPr>
          <w:ilvl w:val="0"/>
          <w:numId w:val="8"/>
        </w:numPr>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参与设备开箱，并放置于正确位置；</w:t>
      </w:r>
    </w:p>
    <w:p>
      <w:pPr>
        <w:keepNext w:val="0"/>
        <w:keepLines w:val="0"/>
        <w:pageBreakBefore w:val="0"/>
        <w:numPr>
          <w:ilvl w:val="0"/>
          <w:numId w:val="8"/>
        </w:numPr>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设备安装；</w:t>
      </w:r>
    </w:p>
    <w:p>
      <w:pPr>
        <w:keepNext w:val="0"/>
        <w:keepLines w:val="0"/>
        <w:pageBreakBefore w:val="0"/>
        <w:numPr>
          <w:ilvl w:val="0"/>
          <w:numId w:val="8"/>
        </w:numPr>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调试和试运行；</w:t>
      </w:r>
    </w:p>
    <w:p>
      <w:pPr>
        <w:keepNext w:val="0"/>
        <w:keepLines w:val="0"/>
        <w:pageBreakBefore w:val="0"/>
        <w:numPr>
          <w:ilvl w:val="0"/>
          <w:numId w:val="8"/>
        </w:numPr>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提供特殊和专用工具；</w:t>
      </w:r>
    </w:p>
    <w:p>
      <w:pPr>
        <w:keepNext w:val="0"/>
        <w:keepLines w:val="0"/>
        <w:pageBreakBefore w:val="0"/>
        <w:numPr>
          <w:ilvl w:val="0"/>
          <w:numId w:val="8"/>
        </w:numPr>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提供设备维护方法及紧急修理措施；</w:t>
      </w:r>
    </w:p>
    <w:p>
      <w:pPr>
        <w:keepNext w:val="0"/>
        <w:keepLines w:val="0"/>
        <w:pageBreakBefore w:val="0"/>
        <w:numPr>
          <w:ilvl w:val="0"/>
          <w:numId w:val="8"/>
        </w:numPr>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安装时与其它供应商协作。</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（2）安装工作由</w:t>
      </w:r>
      <w:r>
        <w:rPr>
          <w:rFonts w:hint="eastAsia" w:cs="宋体"/>
          <w:bCs/>
          <w:sz w:val="24"/>
        </w:rPr>
        <w:t>中标人</w:t>
      </w:r>
      <w:r>
        <w:rPr>
          <w:rFonts w:hint="eastAsia" w:ascii="宋体" w:hAnsi="宋体" w:cs="宋体"/>
          <w:sz w:val="24"/>
        </w:rPr>
        <w:t>负责。在设备安装之前，</w:t>
      </w:r>
      <w:r>
        <w:rPr>
          <w:rFonts w:hint="eastAsia" w:cs="宋体"/>
          <w:bCs/>
          <w:sz w:val="24"/>
        </w:rPr>
        <w:t>中标人</w:t>
      </w:r>
      <w:r>
        <w:rPr>
          <w:rFonts w:hint="eastAsia" w:ascii="宋体" w:hAnsi="宋体" w:cs="宋体"/>
          <w:sz w:val="24"/>
        </w:rPr>
        <w:t>应对设备就位处的土建、结构基础进行检查。由于</w:t>
      </w:r>
      <w:r>
        <w:rPr>
          <w:rFonts w:hint="eastAsia" w:cs="宋体"/>
          <w:bCs/>
          <w:sz w:val="24"/>
        </w:rPr>
        <w:t>中标人</w:t>
      </w:r>
      <w:r>
        <w:rPr>
          <w:rFonts w:hint="eastAsia" w:ascii="宋体" w:hAnsi="宋体" w:cs="宋体"/>
          <w:sz w:val="24"/>
        </w:rPr>
        <w:t>设备变动就位条件而引起的费用由</w:t>
      </w:r>
      <w:r>
        <w:rPr>
          <w:rFonts w:hint="eastAsia" w:cs="宋体"/>
          <w:bCs/>
          <w:sz w:val="24"/>
        </w:rPr>
        <w:t>中标人</w:t>
      </w:r>
      <w:r>
        <w:rPr>
          <w:rFonts w:hint="eastAsia" w:ascii="宋体" w:hAnsi="宋体" w:cs="宋体"/>
          <w:sz w:val="24"/>
        </w:rPr>
        <w:t>承担。在整个安装过程中，</w:t>
      </w:r>
      <w:r>
        <w:rPr>
          <w:rFonts w:hint="eastAsia" w:cs="宋体"/>
          <w:bCs/>
          <w:sz w:val="24"/>
        </w:rPr>
        <w:t>中标人</w:t>
      </w:r>
      <w:r>
        <w:rPr>
          <w:rFonts w:hint="eastAsia" w:ascii="宋体" w:hAnsi="宋体" w:cs="宋体"/>
          <w:sz w:val="24"/>
        </w:rPr>
        <w:t>应派有从事同类工作五年以上实践经验的工程技术人员对设备的正确位置及系统之间的连接在现场指导服务。</w:t>
      </w:r>
      <w:r>
        <w:rPr>
          <w:rFonts w:hint="eastAsia" w:cs="宋体"/>
          <w:bCs/>
          <w:sz w:val="24"/>
        </w:rPr>
        <w:t>中标人</w:t>
      </w:r>
      <w:r>
        <w:rPr>
          <w:rFonts w:hint="eastAsia" w:ascii="宋体" w:hAnsi="宋体" w:cs="宋体"/>
          <w:sz w:val="24"/>
        </w:rPr>
        <w:t>应与</w:t>
      </w:r>
      <w:r>
        <w:rPr>
          <w:rFonts w:hint="eastAsia" w:cs="宋体"/>
          <w:bCs/>
          <w:sz w:val="24"/>
        </w:rPr>
        <w:t>采购人</w:t>
      </w:r>
      <w:r>
        <w:rPr>
          <w:rFonts w:hint="eastAsia" w:ascii="宋体" w:hAnsi="宋体" w:cs="宋体"/>
          <w:sz w:val="24"/>
        </w:rPr>
        <w:t>一起检查安装工作，在取得验收证书后，</w:t>
      </w:r>
      <w:r>
        <w:rPr>
          <w:rFonts w:hint="eastAsia" w:cs="宋体"/>
          <w:bCs/>
          <w:sz w:val="24"/>
        </w:rPr>
        <w:t>中标人</w:t>
      </w:r>
      <w:r>
        <w:rPr>
          <w:rFonts w:hint="eastAsia" w:ascii="宋体" w:hAnsi="宋体" w:cs="宋体"/>
          <w:sz w:val="24"/>
        </w:rPr>
        <w:t>将准备下一步的调试及试运行工作。</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（3）在就位开始前，</w:t>
      </w:r>
      <w:r>
        <w:rPr>
          <w:rFonts w:hint="eastAsia" w:cs="宋体"/>
          <w:bCs/>
          <w:sz w:val="24"/>
        </w:rPr>
        <w:t>中标人</w:t>
      </w:r>
      <w:r>
        <w:rPr>
          <w:rFonts w:hint="eastAsia" w:ascii="宋体" w:hAnsi="宋体" w:cs="宋体"/>
          <w:sz w:val="24"/>
        </w:rPr>
        <w:t>工程师应与</w:t>
      </w:r>
      <w:r>
        <w:rPr>
          <w:rFonts w:hint="eastAsia" w:cs="宋体"/>
          <w:bCs/>
          <w:sz w:val="24"/>
        </w:rPr>
        <w:t>采购人</w:t>
      </w:r>
      <w:r>
        <w:rPr>
          <w:rFonts w:hint="eastAsia" w:ascii="宋体" w:hAnsi="宋体" w:cs="宋体"/>
          <w:sz w:val="24"/>
        </w:rPr>
        <w:t>一起在现场开箱检查已交货的设备，确认设备的完好程度及运输中有无损坏，一旦发现任何缺陷，</w:t>
      </w:r>
      <w:r>
        <w:rPr>
          <w:rFonts w:hint="eastAsia" w:cs="宋体"/>
          <w:bCs/>
          <w:sz w:val="24"/>
        </w:rPr>
        <w:t>中标人</w:t>
      </w:r>
      <w:r>
        <w:rPr>
          <w:rFonts w:hint="eastAsia" w:ascii="宋体" w:hAnsi="宋体" w:cs="宋体"/>
          <w:sz w:val="24"/>
        </w:rPr>
        <w:t>应立即修理、补充和更换。</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（4）</w:t>
      </w:r>
      <w:r>
        <w:rPr>
          <w:rFonts w:hint="eastAsia" w:cs="宋体"/>
          <w:bCs/>
          <w:sz w:val="24"/>
        </w:rPr>
        <w:t>中标人</w:t>
      </w:r>
      <w:r>
        <w:rPr>
          <w:rFonts w:hint="eastAsia" w:ascii="宋体" w:hAnsi="宋体" w:cs="宋体"/>
          <w:sz w:val="24"/>
        </w:rPr>
        <w:t>应在就位、安装前提出就位注意要点，并负责就位及安装全过程。由于</w:t>
      </w:r>
      <w:r>
        <w:rPr>
          <w:rFonts w:hint="eastAsia" w:cs="宋体"/>
          <w:bCs/>
          <w:sz w:val="24"/>
        </w:rPr>
        <w:t>中标人</w:t>
      </w:r>
      <w:r>
        <w:rPr>
          <w:rFonts w:hint="eastAsia" w:ascii="宋体" w:hAnsi="宋体" w:cs="宋体"/>
          <w:sz w:val="24"/>
        </w:rPr>
        <w:t>安装检查或过程验收失误引起的损失，</w:t>
      </w:r>
      <w:r>
        <w:rPr>
          <w:rFonts w:hint="eastAsia" w:cs="宋体"/>
          <w:bCs/>
          <w:sz w:val="24"/>
        </w:rPr>
        <w:t>中标人</w:t>
      </w:r>
      <w:r>
        <w:rPr>
          <w:rFonts w:hint="eastAsia" w:ascii="宋体" w:hAnsi="宋体" w:cs="宋体"/>
          <w:sz w:val="24"/>
        </w:rPr>
        <w:t>承担全部责任和费用。</w:t>
      </w:r>
    </w:p>
    <w:p>
      <w:pPr>
        <w:keepNext w:val="0"/>
        <w:keepLines w:val="0"/>
        <w:pageBreakBefore w:val="0"/>
        <w:kinsoku/>
        <w:wordWrap/>
        <w:overflowPunct/>
        <w:topLinePunct w:val="0"/>
        <w:bidi w:val="0"/>
        <w:snapToGrid w:val="0"/>
        <w:spacing w:line="300" w:lineRule="exact"/>
        <w:ind w:firstLine="480" w:firstLineChars="200"/>
        <w:textAlignment w:val="auto"/>
        <w:rPr>
          <w:rFonts w:ascii="宋体" w:hAnsi="宋体" w:cs="宋体"/>
          <w:sz w:val="24"/>
        </w:rPr>
      </w:pPr>
      <w:r>
        <w:rPr>
          <w:rFonts w:hint="eastAsia" w:ascii="宋体" w:hAnsi="宋体" w:cs="宋体"/>
          <w:sz w:val="24"/>
        </w:rPr>
        <w:t>（5）中标人应承担安装过程中的自身所有的费用。</w:t>
      </w:r>
    </w:p>
    <w:p>
      <w:pPr>
        <w:keepNext w:val="0"/>
        <w:keepLines w:val="0"/>
        <w:pageBreakBefore w:val="0"/>
        <w:numPr>
          <w:ilvl w:val="0"/>
          <w:numId w:val="0"/>
        </w:numPr>
        <w:tabs>
          <w:tab w:val="left" w:pos="8280"/>
        </w:tabs>
        <w:kinsoku/>
        <w:wordWrap/>
        <w:overflowPunct/>
        <w:topLinePunct w:val="0"/>
        <w:autoSpaceDE w:val="0"/>
        <w:autoSpaceDN w:val="0"/>
        <w:bidi w:val="0"/>
        <w:adjustRightInd w:val="0"/>
        <w:spacing w:line="300" w:lineRule="exact"/>
        <w:ind w:left="420" w:leftChars="0"/>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lang w:val="en-US" w:eastAsia="zh-CN"/>
          <w14:textFill>
            <w14:solidFill>
              <w14:schemeClr w14:val="tx1"/>
            </w14:solidFill>
          </w14:textFill>
        </w:rPr>
        <w:t>十五、</w:t>
      </w:r>
      <w:r>
        <w:rPr>
          <w:rFonts w:hint="eastAsia" w:asciiTheme="minorEastAsia" w:hAnsiTheme="minorEastAsia" w:eastAsiaTheme="minorEastAsia"/>
          <w:b/>
          <w:color w:val="000000" w:themeColor="text1"/>
          <w:sz w:val="24"/>
          <w14:textFill>
            <w14:solidFill>
              <w14:schemeClr w14:val="tx1"/>
            </w14:solidFill>
          </w14:textFill>
        </w:rPr>
        <w:t>培训</w:t>
      </w:r>
    </w:p>
    <w:p>
      <w:pPr>
        <w:keepNext w:val="0"/>
        <w:keepLines w:val="0"/>
        <w:pageBreakBefore w:val="0"/>
        <w:tabs>
          <w:tab w:val="left" w:pos="0"/>
        </w:tabs>
        <w:kinsoku/>
        <w:wordWrap/>
        <w:overflowPunct/>
        <w:topLinePunct w:val="0"/>
        <w:bidi w:val="0"/>
        <w:spacing w:line="300" w:lineRule="exact"/>
        <w:ind w:firstLine="480" w:firstLineChars="200"/>
        <w:textAlignment w:val="auto"/>
        <w:rPr>
          <w:rFonts w:ascii="宋体" w:hAnsi="宋体" w:cs="宋体"/>
          <w:sz w:val="24"/>
        </w:rPr>
      </w:pPr>
      <w:r>
        <w:rPr>
          <w:rFonts w:hint="eastAsia" w:ascii="宋体" w:hAnsi="宋体" w:cs="宋体"/>
          <w:sz w:val="24"/>
        </w:rPr>
        <w:t>1.培训内容：</w:t>
      </w:r>
    </w:p>
    <w:p>
      <w:pPr>
        <w:keepNext w:val="0"/>
        <w:keepLines w:val="0"/>
        <w:pageBreakBefore w:val="0"/>
        <w:tabs>
          <w:tab w:val="left" w:pos="0"/>
        </w:tabs>
        <w:kinsoku/>
        <w:wordWrap/>
        <w:overflowPunct/>
        <w:topLinePunct w:val="0"/>
        <w:bidi w:val="0"/>
        <w:spacing w:line="300" w:lineRule="exact"/>
        <w:ind w:firstLine="480" w:firstLineChars="200"/>
        <w:textAlignment w:val="auto"/>
        <w:rPr>
          <w:rFonts w:ascii="宋体" w:hAnsi="宋体" w:cs="宋体"/>
          <w:sz w:val="24"/>
        </w:rPr>
      </w:pPr>
      <w:r>
        <w:rPr>
          <w:rFonts w:hint="eastAsia" w:ascii="宋体" w:hAnsi="宋体" w:cs="宋体"/>
          <w:sz w:val="24"/>
        </w:rPr>
        <w:t>1.1技术人员管理、安装培训；</w:t>
      </w:r>
    </w:p>
    <w:p>
      <w:pPr>
        <w:keepNext w:val="0"/>
        <w:keepLines w:val="0"/>
        <w:pageBreakBefore w:val="0"/>
        <w:tabs>
          <w:tab w:val="left" w:pos="0"/>
        </w:tabs>
        <w:kinsoku/>
        <w:wordWrap/>
        <w:overflowPunct/>
        <w:topLinePunct w:val="0"/>
        <w:bidi w:val="0"/>
        <w:spacing w:line="300" w:lineRule="exact"/>
        <w:ind w:firstLine="480" w:firstLineChars="200"/>
        <w:textAlignment w:val="auto"/>
        <w:rPr>
          <w:rFonts w:ascii="宋体" w:hAnsi="宋体" w:cs="宋体"/>
          <w:sz w:val="24"/>
        </w:rPr>
      </w:pPr>
      <w:r>
        <w:rPr>
          <w:rFonts w:hint="eastAsia" w:ascii="宋体" w:hAnsi="宋体" w:cs="宋体"/>
          <w:sz w:val="24"/>
        </w:rPr>
        <w:t>1.2维修人员维护、保养培训。</w:t>
      </w:r>
    </w:p>
    <w:p>
      <w:pPr>
        <w:keepNext w:val="0"/>
        <w:keepLines w:val="0"/>
        <w:pageBreakBefore w:val="0"/>
        <w:tabs>
          <w:tab w:val="left" w:pos="0"/>
        </w:tabs>
        <w:kinsoku/>
        <w:wordWrap/>
        <w:overflowPunct/>
        <w:topLinePunct w:val="0"/>
        <w:bidi w:val="0"/>
        <w:spacing w:line="300" w:lineRule="exact"/>
        <w:ind w:firstLine="480" w:firstLineChars="200"/>
        <w:textAlignment w:val="auto"/>
        <w:rPr>
          <w:rFonts w:ascii="宋体" w:hAnsi="宋体" w:cs="宋体"/>
          <w:sz w:val="24"/>
        </w:rPr>
      </w:pPr>
      <w:r>
        <w:rPr>
          <w:rFonts w:hint="eastAsia" w:ascii="宋体" w:hAnsi="宋体" w:cs="宋体"/>
          <w:sz w:val="24"/>
        </w:rPr>
        <w:t>2、技术人员管理、安装培训：中标人应为</w:t>
      </w:r>
      <w:r>
        <w:rPr>
          <w:rFonts w:hint="eastAsia" w:cs="宋体"/>
          <w:sz w:val="24"/>
        </w:rPr>
        <w:t>采购人</w:t>
      </w:r>
      <w:r>
        <w:rPr>
          <w:rFonts w:hint="eastAsia" w:ascii="宋体" w:hAnsi="宋体" w:cs="宋体"/>
          <w:sz w:val="24"/>
        </w:rPr>
        <w:t>受训人员（5名）提供培训，培训前应提供中文操作手册，经过培训，使受训人员能够了解设备结构、工作原理、工作性能，主要掌握设备安装的相关技术。</w:t>
      </w:r>
    </w:p>
    <w:p>
      <w:pPr>
        <w:keepNext w:val="0"/>
        <w:keepLines w:val="0"/>
        <w:pageBreakBefore w:val="0"/>
        <w:tabs>
          <w:tab w:val="left" w:pos="0"/>
        </w:tabs>
        <w:kinsoku/>
        <w:wordWrap/>
        <w:overflowPunct/>
        <w:topLinePunct w:val="0"/>
        <w:bidi w:val="0"/>
        <w:spacing w:line="300" w:lineRule="exact"/>
        <w:ind w:firstLine="480" w:firstLineChars="200"/>
        <w:textAlignment w:val="auto"/>
        <w:rPr>
          <w:rFonts w:ascii="宋体" w:hAnsi="宋体" w:cs="宋体"/>
          <w:sz w:val="24"/>
        </w:rPr>
      </w:pPr>
      <w:r>
        <w:rPr>
          <w:rFonts w:hint="eastAsia" w:ascii="宋体" w:hAnsi="宋体" w:cs="宋体"/>
          <w:sz w:val="24"/>
        </w:rPr>
        <w:t>3、维修人员维护、保养培训：中标人应为</w:t>
      </w:r>
      <w:r>
        <w:rPr>
          <w:rFonts w:hint="eastAsia" w:cs="宋体"/>
          <w:sz w:val="24"/>
        </w:rPr>
        <w:t>采购人</w:t>
      </w:r>
      <w:r>
        <w:rPr>
          <w:rFonts w:hint="eastAsia" w:ascii="宋体" w:hAnsi="宋体" w:cs="宋体"/>
          <w:sz w:val="24"/>
        </w:rPr>
        <w:t>受训人员（5名）提供培训，进行实际操作培训、一般故障排除培训和一般维护维修培训。现场培训一切费用由中标人负责。</w:t>
      </w:r>
    </w:p>
    <w:p>
      <w:pPr>
        <w:keepNext w:val="0"/>
        <w:keepLines w:val="0"/>
        <w:pageBreakBefore w:val="0"/>
        <w:numPr>
          <w:ilvl w:val="0"/>
          <w:numId w:val="0"/>
        </w:numPr>
        <w:tabs>
          <w:tab w:val="left" w:pos="8280"/>
        </w:tabs>
        <w:kinsoku/>
        <w:wordWrap/>
        <w:overflowPunct/>
        <w:topLinePunct w:val="0"/>
        <w:autoSpaceDE w:val="0"/>
        <w:autoSpaceDN w:val="0"/>
        <w:bidi w:val="0"/>
        <w:adjustRightInd w:val="0"/>
        <w:spacing w:line="300" w:lineRule="exact"/>
        <w:ind w:left="420" w:leftChars="0"/>
        <w:textAlignment w:val="auto"/>
        <w:rPr>
          <w:rFonts w:asciiTheme="minorEastAsia" w:hAnsiTheme="minorEastAsia" w:eastAsiaTheme="minorEastAsia"/>
          <w:b/>
          <w:color w:val="000000" w:themeColor="text1"/>
          <w:sz w:val="24"/>
          <w14:textFill>
            <w14:solidFill>
              <w14:schemeClr w14:val="tx1"/>
            </w14:solidFill>
          </w14:textFill>
        </w:rPr>
      </w:pPr>
      <w:bookmarkStart w:id="12" w:name="_Toc26677"/>
      <w:bookmarkStart w:id="13" w:name="_Toc43050422"/>
      <w:r>
        <w:rPr>
          <w:rFonts w:hint="eastAsia" w:asciiTheme="minorEastAsia" w:hAnsiTheme="minorEastAsia" w:eastAsiaTheme="minorEastAsia"/>
          <w:b/>
          <w:color w:val="000000" w:themeColor="text1"/>
          <w:sz w:val="24"/>
          <w:lang w:val="en-US" w:eastAsia="zh-CN"/>
          <w14:textFill>
            <w14:solidFill>
              <w14:schemeClr w14:val="tx1"/>
            </w14:solidFill>
          </w14:textFill>
        </w:rPr>
        <w:t>十六、</w:t>
      </w:r>
      <w:r>
        <w:rPr>
          <w:rFonts w:hint="eastAsia" w:asciiTheme="minorEastAsia" w:hAnsiTheme="minorEastAsia" w:eastAsiaTheme="minorEastAsia"/>
          <w:b/>
          <w:color w:val="000000" w:themeColor="text1"/>
          <w:sz w:val="24"/>
          <w14:textFill>
            <w14:solidFill>
              <w14:schemeClr w14:val="tx1"/>
            </w14:solidFill>
          </w14:textFill>
        </w:rPr>
        <w:t xml:space="preserve"> 质量保证</w:t>
      </w:r>
      <w:bookmarkEnd w:id="12"/>
      <w:bookmarkEnd w:id="13"/>
    </w:p>
    <w:p>
      <w:pPr>
        <w:keepNext w:val="0"/>
        <w:keepLines w:val="0"/>
        <w:pageBreakBefore w:val="0"/>
        <w:tabs>
          <w:tab w:val="left" w:pos="0"/>
        </w:tabs>
        <w:kinsoku/>
        <w:wordWrap/>
        <w:overflowPunct/>
        <w:topLinePunct w:val="0"/>
        <w:bidi w:val="0"/>
        <w:spacing w:line="300" w:lineRule="exact"/>
        <w:ind w:firstLine="480" w:firstLineChars="200"/>
        <w:textAlignment w:val="auto"/>
        <w:rPr>
          <w:rFonts w:ascii="宋体" w:hAnsi="宋体" w:cs="宋体"/>
          <w:b/>
          <w:bCs/>
          <w:sz w:val="24"/>
        </w:rPr>
      </w:pPr>
      <w:r>
        <w:rPr>
          <w:rFonts w:hint="eastAsia" w:ascii="宋体" w:hAnsi="宋体" w:cs="宋体"/>
          <w:sz w:val="24"/>
        </w:rPr>
        <w:t>采购人和项目监理有权对送达工地的所有设备随机抽检。若发现中标人以伪劣产品充抵采购人确认的设备和材料，采购人可要求中标人重新采购；伪劣产品已被安装的，采购人有权要求中标人拆除返工；经抽验为伪劣产品而发生的设备、材料损失，</w:t>
      </w:r>
      <w:r>
        <w:rPr>
          <w:rFonts w:hint="eastAsia" w:ascii="宋体" w:hAnsi="宋体" w:cs="宋体"/>
          <w:b/>
          <w:bCs/>
          <w:sz w:val="24"/>
        </w:rPr>
        <w:t>均由中标人承担全额责任。</w:t>
      </w:r>
    </w:p>
    <w:p>
      <w:pPr>
        <w:keepNext w:val="0"/>
        <w:keepLines w:val="0"/>
        <w:pageBreakBefore w:val="0"/>
        <w:numPr>
          <w:ilvl w:val="0"/>
          <w:numId w:val="0"/>
        </w:numPr>
        <w:tabs>
          <w:tab w:val="left" w:pos="8280"/>
        </w:tabs>
        <w:kinsoku/>
        <w:wordWrap/>
        <w:overflowPunct/>
        <w:topLinePunct w:val="0"/>
        <w:autoSpaceDE w:val="0"/>
        <w:autoSpaceDN w:val="0"/>
        <w:bidi w:val="0"/>
        <w:adjustRightInd w:val="0"/>
        <w:spacing w:line="300" w:lineRule="exact"/>
        <w:ind w:left="420" w:leftChars="0"/>
        <w:textAlignment w:val="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lang w:val="en-US" w:eastAsia="zh-CN"/>
          <w14:textFill>
            <w14:solidFill>
              <w14:schemeClr w14:val="tx1"/>
            </w14:solidFill>
          </w14:textFill>
        </w:rPr>
        <w:t>十七、</w:t>
      </w:r>
      <w:r>
        <w:rPr>
          <w:rFonts w:hint="eastAsia" w:asciiTheme="minorEastAsia" w:hAnsiTheme="minorEastAsia" w:eastAsiaTheme="minorEastAsia"/>
          <w:b/>
          <w:bCs/>
          <w:color w:val="000000" w:themeColor="text1"/>
          <w:sz w:val="24"/>
          <w14:textFill>
            <w14:solidFill>
              <w14:schemeClr w14:val="tx1"/>
            </w14:solidFill>
          </w14:textFill>
        </w:rPr>
        <w:t>付款方式</w:t>
      </w:r>
    </w:p>
    <w:p>
      <w:pPr>
        <w:pStyle w:val="59"/>
        <w:keepNext w:val="0"/>
        <w:keepLines w:val="0"/>
        <w:pageBreakBefore w:val="0"/>
        <w:widowControl/>
        <w:kinsoku/>
        <w:wordWrap/>
        <w:overflowPunct/>
        <w:topLinePunct w:val="0"/>
        <w:bidi w:val="0"/>
        <w:adjustRightInd w:val="0"/>
        <w:snapToGrid w:val="0"/>
        <w:spacing w:line="300" w:lineRule="exact"/>
        <w:ind w:firstLine="422" w:firstLineChars="200"/>
        <w:jc w:val="left"/>
        <w:textAlignment w:val="auto"/>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w:t>
      </w:r>
      <w:r>
        <w:rPr>
          <w:rFonts w:hint="eastAsia" w:cs="宋体" w:asciiTheme="minorEastAsia" w:hAnsiTheme="minorEastAsia" w:eastAsiaTheme="minorEastAsia"/>
          <w:b/>
          <w:bCs/>
          <w:color w:val="000000"/>
          <w:szCs w:val="21"/>
          <w:lang w:val="en-US" w:eastAsia="zh-CN"/>
        </w:rPr>
        <w:t>1</w:t>
      </w:r>
      <w:r>
        <w:rPr>
          <w:rFonts w:hint="eastAsia" w:cs="宋体" w:asciiTheme="minorEastAsia" w:hAnsiTheme="minorEastAsia" w:eastAsiaTheme="minorEastAsia"/>
          <w:b/>
          <w:bCs/>
          <w:color w:val="000000"/>
          <w:szCs w:val="21"/>
        </w:rPr>
        <w:t>）合同签订并生效后，经</w:t>
      </w:r>
      <w:r>
        <w:rPr>
          <w:rFonts w:hint="eastAsia" w:cs="宋体" w:asciiTheme="minorEastAsia" w:hAnsiTheme="minorEastAsia" w:eastAsiaTheme="minorEastAsia"/>
          <w:b/>
          <w:bCs/>
          <w:color w:val="000000"/>
          <w:szCs w:val="21"/>
          <w:lang w:val="en-US" w:eastAsia="zh-CN"/>
        </w:rPr>
        <w:t>采购人</w:t>
      </w:r>
      <w:r>
        <w:rPr>
          <w:rFonts w:hint="eastAsia" w:cs="宋体" w:asciiTheme="minorEastAsia" w:hAnsiTheme="minorEastAsia" w:eastAsiaTheme="minorEastAsia"/>
          <w:b/>
          <w:bCs/>
          <w:color w:val="000000"/>
          <w:szCs w:val="21"/>
        </w:rPr>
        <w:t>审核后10个工作日内支付</w:t>
      </w:r>
      <w:r>
        <w:rPr>
          <w:rFonts w:hint="eastAsia" w:cs="宋体" w:asciiTheme="minorEastAsia" w:hAnsiTheme="minorEastAsia" w:eastAsiaTheme="minorEastAsia"/>
          <w:b/>
          <w:bCs/>
          <w:color w:val="000000"/>
          <w:szCs w:val="21"/>
          <w:lang w:eastAsia="zh-CN"/>
        </w:rPr>
        <w:t>签约合同</w:t>
      </w:r>
      <w:r>
        <w:rPr>
          <w:rFonts w:hint="eastAsia" w:cs="宋体" w:asciiTheme="minorEastAsia" w:hAnsiTheme="minorEastAsia" w:eastAsiaTheme="minorEastAsia"/>
          <w:b/>
          <w:bCs/>
          <w:color w:val="000000"/>
          <w:szCs w:val="21"/>
          <w:highlight w:val="yellow"/>
          <w:lang w:eastAsia="zh-CN"/>
        </w:rPr>
        <w:t>价</w:t>
      </w:r>
      <w:r>
        <w:rPr>
          <w:rFonts w:hint="eastAsia" w:cs="宋体" w:asciiTheme="minorEastAsia" w:hAnsiTheme="minorEastAsia" w:eastAsiaTheme="minorEastAsia"/>
          <w:b/>
          <w:bCs/>
          <w:color w:val="000000"/>
          <w:szCs w:val="21"/>
          <w:highlight w:val="yellow"/>
        </w:rPr>
        <w:t>的</w:t>
      </w:r>
      <w:r>
        <w:rPr>
          <w:rFonts w:hint="eastAsia" w:cs="宋体" w:asciiTheme="minorEastAsia" w:hAnsiTheme="minorEastAsia" w:eastAsiaTheme="minorEastAsia"/>
          <w:b/>
          <w:bCs/>
          <w:color w:val="0000FF"/>
          <w:szCs w:val="21"/>
          <w:highlight w:val="yellow"/>
          <w:lang w:val="en-US" w:eastAsia="zh-CN"/>
        </w:rPr>
        <w:t>4</w:t>
      </w:r>
      <w:r>
        <w:rPr>
          <w:rFonts w:hint="eastAsia" w:cs="宋体" w:asciiTheme="minorEastAsia" w:hAnsiTheme="minorEastAsia" w:eastAsiaTheme="minorEastAsia"/>
          <w:b/>
          <w:bCs/>
          <w:color w:val="0000FF"/>
          <w:szCs w:val="21"/>
          <w:highlight w:val="yellow"/>
        </w:rPr>
        <w:t>0%</w:t>
      </w:r>
      <w:r>
        <w:rPr>
          <w:rFonts w:hint="eastAsia" w:cs="宋体" w:asciiTheme="minorEastAsia" w:hAnsiTheme="minorEastAsia" w:eastAsiaTheme="minorEastAsia"/>
          <w:b/>
          <w:bCs/>
          <w:color w:val="000000"/>
          <w:szCs w:val="21"/>
          <w:highlight w:val="yellow"/>
        </w:rPr>
        <w:t>作</w:t>
      </w:r>
      <w:r>
        <w:rPr>
          <w:rFonts w:hint="eastAsia" w:cs="宋体" w:asciiTheme="minorEastAsia" w:hAnsiTheme="minorEastAsia" w:eastAsiaTheme="minorEastAsia"/>
          <w:b/>
          <w:bCs/>
          <w:color w:val="000000"/>
          <w:szCs w:val="21"/>
        </w:rPr>
        <w:t>为预付款。</w:t>
      </w:r>
    </w:p>
    <w:p>
      <w:pPr>
        <w:pStyle w:val="59"/>
        <w:keepNext w:val="0"/>
        <w:keepLines w:val="0"/>
        <w:pageBreakBefore w:val="0"/>
        <w:widowControl/>
        <w:kinsoku/>
        <w:wordWrap/>
        <w:overflowPunct/>
        <w:topLinePunct w:val="0"/>
        <w:bidi w:val="0"/>
        <w:adjustRightInd w:val="0"/>
        <w:snapToGrid w:val="0"/>
        <w:spacing w:line="300" w:lineRule="exact"/>
        <w:ind w:firstLine="422" w:firstLineChars="200"/>
        <w:jc w:val="left"/>
        <w:textAlignment w:val="auto"/>
        <w:rPr>
          <w:rFonts w:cs="宋体" w:asciiTheme="minorEastAsia" w:hAnsiTheme="minorEastAsia" w:eastAsiaTheme="minorEastAsia"/>
          <w:b/>
          <w:bCs/>
          <w:color w:val="000000"/>
          <w:szCs w:val="21"/>
          <w:highlight w:val="yellow"/>
        </w:rPr>
      </w:pPr>
      <w:r>
        <w:rPr>
          <w:rFonts w:hint="eastAsia" w:cs="宋体" w:asciiTheme="minorEastAsia" w:hAnsiTheme="minorEastAsia" w:eastAsiaTheme="minorEastAsia"/>
          <w:b/>
          <w:bCs/>
          <w:color w:val="000000"/>
          <w:szCs w:val="21"/>
        </w:rPr>
        <w:t>（</w:t>
      </w:r>
      <w:r>
        <w:rPr>
          <w:rFonts w:hint="eastAsia" w:cs="宋体" w:asciiTheme="minorEastAsia" w:hAnsiTheme="minorEastAsia" w:eastAsiaTheme="minorEastAsia"/>
          <w:b/>
          <w:bCs/>
          <w:color w:val="000000"/>
          <w:szCs w:val="21"/>
          <w:lang w:val="en-US" w:eastAsia="zh-CN"/>
        </w:rPr>
        <w:t>2</w:t>
      </w:r>
      <w:r>
        <w:rPr>
          <w:rFonts w:hint="eastAsia" w:cs="宋体" w:asciiTheme="minorEastAsia" w:hAnsiTheme="minorEastAsia" w:eastAsiaTheme="minorEastAsia"/>
          <w:b/>
          <w:bCs/>
          <w:color w:val="000000"/>
          <w:szCs w:val="21"/>
        </w:rPr>
        <w:t>）大楼内管道井主管及楼层内主管道到货并安装完毕经</w:t>
      </w:r>
      <w:r>
        <w:rPr>
          <w:rFonts w:hint="eastAsia" w:cs="宋体" w:asciiTheme="minorEastAsia" w:hAnsiTheme="minorEastAsia" w:eastAsiaTheme="minorEastAsia"/>
          <w:b/>
          <w:bCs/>
          <w:color w:val="000000"/>
          <w:szCs w:val="21"/>
          <w:lang w:val="en-US" w:eastAsia="zh-CN"/>
        </w:rPr>
        <w:t>采购人</w:t>
      </w:r>
      <w:r>
        <w:rPr>
          <w:rFonts w:hint="eastAsia" w:cs="宋体" w:asciiTheme="minorEastAsia" w:hAnsiTheme="minorEastAsia" w:eastAsiaTheme="minorEastAsia"/>
          <w:b/>
          <w:bCs/>
          <w:color w:val="000000"/>
          <w:szCs w:val="21"/>
        </w:rPr>
        <w:t>单位初验合格后（该验收并不免除</w:t>
      </w:r>
      <w:r>
        <w:rPr>
          <w:rFonts w:hint="eastAsia" w:cs="宋体" w:asciiTheme="minorEastAsia" w:hAnsiTheme="minorEastAsia" w:eastAsiaTheme="minorEastAsia"/>
          <w:b/>
          <w:bCs/>
          <w:color w:val="000000"/>
          <w:szCs w:val="21"/>
          <w:lang w:val="en-US" w:eastAsia="zh-CN"/>
        </w:rPr>
        <w:t>中标人</w:t>
      </w:r>
      <w:r>
        <w:rPr>
          <w:rFonts w:hint="eastAsia" w:cs="宋体" w:asciiTheme="minorEastAsia" w:hAnsiTheme="minorEastAsia" w:eastAsiaTheme="minorEastAsia"/>
          <w:b/>
          <w:bCs/>
          <w:color w:val="000000"/>
          <w:szCs w:val="21"/>
        </w:rPr>
        <w:t>的产品质量保证责任）10个工作日内支付</w:t>
      </w:r>
      <w:r>
        <w:rPr>
          <w:rFonts w:hint="eastAsia" w:cs="宋体" w:asciiTheme="minorEastAsia" w:hAnsiTheme="minorEastAsia" w:eastAsiaTheme="minorEastAsia"/>
          <w:b/>
          <w:bCs/>
          <w:color w:val="000000"/>
          <w:szCs w:val="21"/>
          <w:lang w:eastAsia="zh-CN"/>
        </w:rPr>
        <w:t>签约</w:t>
      </w:r>
      <w:r>
        <w:rPr>
          <w:rFonts w:hint="eastAsia" w:cs="宋体" w:asciiTheme="minorEastAsia" w:hAnsiTheme="minorEastAsia" w:eastAsiaTheme="minorEastAsia"/>
          <w:b/>
          <w:bCs/>
          <w:color w:val="000000"/>
          <w:szCs w:val="21"/>
          <w:highlight w:val="yellow"/>
          <w:lang w:eastAsia="zh-CN"/>
        </w:rPr>
        <w:t>合同价</w:t>
      </w:r>
      <w:r>
        <w:rPr>
          <w:rFonts w:hint="eastAsia" w:cs="宋体" w:asciiTheme="minorEastAsia" w:hAnsiTheme="minorEastAsia" w:eastAsiaTheme="minorEastAsia"/>
          <w:b/>
          <w:bCs/>
          <w:color w:val="000000"/>
          <w:szCs w:val="21"/>
          <w:highlight w:val="yellow"/>
        </w:rPr>
        <w:t>的</w:t>
      </w:r>
      <w:r>
        <w:rPr>
          <w:rFonts w:hint="eastAsia" w:cs="宋体" w:asciiTheme="minorEastAsia" w:hAnsiTheme="minorEastAsia" w:eastAsiaTheme="minorEastAsia"/>
          <w:b/>
          <w:bCs/>
          <w:color w:val="0000FF"/>
          <w:szCs w:val="21"/>
          <w:highlight w:val="yellow"/>
          <w:lang w:val="en-US" w:eastAsia="zh-CN"/>
        </w:rPr>
        <w:t>15</w:t>
      </w:r>
      <w:r>
        <w:rPr>
          <w:rFonts w:hint="eastAsia" w:cs="宋体" w:asciiTheme="minorEastAsia" w:hAnsiTheme="minorEastAsia" w:eastAsiaTheme="minorEastAsia"/>
          <w:b/>
          <w:bCs/>
          <w:color w:val="0000FF"/>
          <w:szCs w:val="21"/>
          <w:highlight w:val="yellow"/>
        </w:rPr>
        <w:t>%</w:t>
      </w:r>
      <w:r>
        <w:rPr>
          <w:rFonts w:hint="eastAsia" w:cs="宋体" w:asciiTheme="minorEastAsia" w:hAnsiTheme="minorEastAsia" w:eastAsiaTheme="minorEastAsia"/>
          <w:b/>
          <w:bCs/>
          <w:color w:val="000000"/>
          <w:szCs w:val="21"/>
          <w:highlight w:val="yellow"/>
        </w:rPr>
        <w:t xml:space="preserve">。 </w:t>
      </w:r>
    </w:p>
    <w:p>
      <w:pPr>
        <w:pStyle w:val="59"/>
        <w:keepNext w:val="0"/>
        <w:keepLines w:val="0"/>
        <w:pageBreakBefore w:val="0"/>
        <w:widowControl/>
        <w:kinsoku/>
        <w:wordWrap/>
        <w:overflowPunct/>
        <w:topLinePunct w:val="0"/>
        <w:bidi w:val="0"/>
        <w:adjustRightInd w:val="0"/>
        <w:snapToGrid w:val="0"/>
        <w:spacing w:line="300" w:lineRule="exact"/>
        <w:ind w:firstLine="422" w:firstLineChars="200"/>
        <w:jc w:val="left"/>
        <w:textAlignment w:val="auto"/>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w:t>
      </w:r>
      <w:r>
        <w:rPr>
          <w:rFonts w:hint="eastAsia" w:cs="宋体" w:asciiTheme="minorEastAsia" w:hAnsiTheme="minorEastAsia" w:eastAsiaTheme="minorEastAsia"/>
          <w:b/>
          <w:bCs/>
          <w:color w:val="000000"/>
          <w:szCs w:val="21"/>
          <w:lang w:val="en-US" w:eastAsia="zh-CN"/>
        </w:rPr>
        <w:t>3</w:t>
      </w:r>
      <w:r>
        <w:rPr>
          <w:rFonts w:hint="eastAsia" w:cs="宋体" w:asciiTheme="minorEastAsia" w:hAnsiTheme="minorEastAsia" w:eastAsiaTheme="minorEastAsia"/>
          <w:b/>
          <w:bCs/>
          <w:color w:val="000000"/>
          <w:szCs w:val="21"/>
        </w:rPr>
        <w:t>）病房设备带及站房设备到场后经</w:t>
      </w:r>
      <w:r>
        <w:rPr>
          <w:rFonts w:hint="eastAsia" w:cs="宋体" w:asciiTheme="minorEastAsia" w:hAnsiTheme="minorEastAsia" w:eastAsiaTheme="minorEastAsia"/>
          <w:b/>
          <w:bCs/>
          <w:color w:val="000000"/>
          <w:szCs w:val="21"/>
          <w:lang w:val="en-US" w:eastAsia="zh-CN"/>
        </w:rPr>
        <w:t>采购人</w:t>
      </w:r>
      <w:r>
        <w:rPr>
          <w:rFonts w:hint="eastAsia" w:cs="宋体" w:asciiTheme="minorEastAsia" w:hAnsiTheme="minorEastAsia" w:eastAsiaTheme="minorEastAsia"/>
          <w:b/>
          <w:bCs/>
          <w:color w:val="000000"/>
          <w:szCs w:val="21"/>
        </w:rPr>
        <w:t>单位初验合格后（该验收并不免除</w:t>
      </w:r>
      <w:r>
        <w:rPr>
          <w:rFonts w:hint="eastAsia" w:cs="宋体" w:asciiTheme="minorEastAsia" w:hAnsiTheme="minorEastAsia" w:eastAsiaTheme="minorEastAsia"/>
          <w:b/>
          <w:bCs/>
          <w:color w:val="000000"/>
          <w:szCs w:val="21"/>
          <w:lang w:val="en-US" w:eastAsia="zh-CN"/>
        </w:rPr>
        <w:t>中标人</w:t>
      </w:r>
      <w:r>
        <w:rPr>
          <w:rFonts w:hint="eastAsia" w:cs="宋体" w:asciiTheme="minorEastAsia" w:hAnsiTheme="minorEastAsia" w:eastAsiaTheme="minorEastAsia"/>
          <w:b/>
          <w:bCs/>
          <w:color w:val="000000"/>
          <w:szCs w:val="21"/>
        </w:rPr>
        <w:t>的产品质量保证责任）10个工作日内支付</w:t>
      </w:r>
      <w:r>
        <w:rPr>
          <w:rFonts w:hint="eastAsia" w:cs="宋体" w:asciiTheme="minorEastAsia" w:hAnsiTheme="minorEastAsia" w:eastAsiaTheme="minorEastAsia"/>
          <w:b/>
          <w:bCs/>
          <w:color w:val="000000"/>
          <w:szCs w:val="21"/>
          <w:lang w:eastAsia="zh-CN"/>
        </w:rPr>
        <w:t>签约合同价</w:t>
      </w:r>
      <w:r>
        <w:rPr>
          <w:rFonts w:hint="eastAsia" w:cs="宋体" w:asciiTheme="minorEastAsia" w:hAnsiTheme="minorEastAsia" w:eastAsiaTheme="minorEastAsia"/>
          <w:b/>
          <w:bCs/>
          <w:color w:val="000000"/>
          <w:szCs w:val="21"/>
        </w:rPr>
        <w:t>的2</w:t>
      </w:r>
      <w:r>
        <w:rPr>
          <w:rFonts w:hint="eastAsia" w:cs="宋体" w:asciiTheme="minorEastAsia" w:hAnsiTheme="minorEastAsia" w:eastAsiaTheme="minorEastAsia"/>
          <w:b/>
          <w:bCs/>
          <w:color w:val="000000"/>
          <w:szCs w:val="21"/>
          <w:lang w:val="en-US" w:eastAsia="zh-CN"/>
        </w:rPr>
        <w:t>0</w:t>
      </w:r>
      <w:r>
        <w:rPr>
          <w:rFonts w:hint="eastAsia" w:cs="宋体" w:asciiTheme="minorEastAsia" w:hAnsiTheme="minorEastAsia" w:eastAsiaTheme="minorEastAsia"/>
          <w:b/>
          <w:bCs/>
          <w:color w:val="000000"/>
          <w:szCs w:val="21"/>
        </w:rPr>
        <w:t xml:space="preserve">%。 </w:t>
      </w:r>
    </w:p>
    <w:p>
      <w:pPr>
        <w:pStyle w:val="59"/>
        <w:keepNext w:val="0"/>
        <w:keepLines w:val="0"/>
        <w:pageBreakBefore w:val="0"/>
        <w:widowControl/>
        <w:kinsoku/>
        <w:wordWrap/>
        <w:overflowPunct/>
        <w:topLinePunct w:val="0"/>
        <w:bidi w:val="0"/>
        <w:adjustRightInd w:val="0"/>
        <w:snapToGrid w:val="0"/>
        <w:spacing w:line="300" w:lineRule="exact"/>
        <w:ind w:firstLine="422" w:firstLineChars="200"/>
        <w:jc w:val="left"/>
        <w:textAlignment w:val="auto"/>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w:t>
      </w:r>
      <w:r>
        <w:rPr>
          <w:rFonts w:hint="eastAsia" w:cs="宋体" w:asciiTheme="minorEastAsia" w:hAnsiTheme="minorEastAsia" w:eastAsiaTheme="minorEastAsia"/>
          <w:b/>
          <w:bCs/>
          <w:color w:val="000000"/>
          <w:szCs w:val="21"/>
          <w:lang w:val="en-US" w:eastAsia="zh-CN"/>
        </w:rPr>
        <w:t>4</w:t>
      </w:r>
      <w:r>
        <w:rPr>
          <w:rFonts w:hint="eastAsia" w:cs="宋体" w:asciiTheme="minorEastAsia" w:hAnsiTheme="minorEastAsia" w:eastAsiaTheme="minorEastAsia"/>
          <w:b/>
          <w:bCs/>
          <w:color w:val="000000"/>
          <w:szCs w:val="21"/>
        </w:rPr>
        <w:t>）在所有设备安装、调试完成，经过试运行，通过验收并按</w:t>
      </w:r>
      <w:r>
        <w:rPr>
          <w:rFonts w:hint="eastAsia" w:cs="宋体" w:asciiTheme="minorEastAsia" w:hAnsiTheme="minorEastAsia" w:eastAsiaTheme="minorEastAsia"/>
          <w:b/>
          <w:bCs/>
          <w:color w:val="000000"/>
          <w:szCs w:val="21"/>
          <w:lang w:val="en-US" w:eastAsia="zh-CN"/>
        </w:rPr>
        <w:t>采购人</w:t>
      </w:r>
      <w:r>
        <w:rPr>
          <w:rFonts w:hint="eastAsia" w:cs="宋体" w:asciiTheme="minorEastAsia" w:hAnsiTheme="minorEastAsia" w:eastAsiaTheme="minorEastAsia"/>
          <w:b/>
          <w:bCs/>
          <w:color w:val="000000"/>
          <w:szCs w:val="21"/>
        </w:rPr>
        <w:t>要求移交所有资料后10个工作日内支付</w:t>
      </w:r>
      <w:r>
        <w:rPr>
          <w:rFonts w:hint="eastAsia" w:cs="宋体" w:asciiTheme="minorEastAsia" w:hAnsiTheme="minorEastAsia" w:eastAsiaTheme="minorEastAsia"/>
          <w:b/>
          <w:bCs/>
          <w:color w:val="000000"/>
          <w:szCs w:val="21"/>
          <w:lang w:eastAsia="zh-CN"/>
        </w:rPr>
        <w:t>签约合同价</w:t>
      </w:r>
      <w:r>
        <w:rPr>
          <w:rFonts w:hint="eastAsia" w:cs="宋体" w:asciiTheme="minorEastAsia" w:hAnsiTheme="minorEastAsia" w:eastAsiaTheme="minorEastAsia"/>
          <w:b/>
          <w:bCs/>
          <w:color w:val="000000"/>
          <w:szCs w:val="21"/>
        </w:rPr>
        <w:t>的</w:t>
      </w:r>
      <w:r>
        <w:rPr>
          <w:rFonts w:hint="eastAsia" w:cs="宋体" w:asciiTheme="minorEastAsia" w:hAnsiTheme="minorEastAsia" w:eastAsiaTheme="minorEastAsia"/>
          <w:b/>
          <w:bCs/>
          <w:color w:val="000000"/>
          <w:szCs w:val="21"/>
          <w:lang w:val="en-US" w:eastAsia="zh-CN"/>
        </w:rPr>
        <w:t>10</w:t>
      </w:r>
      <w:r>
        <w:rPr>
          <w:rFonts w:hint="eastAsia" w:cs="宋体" w:asciiTheme="minorEastAsia" w:hAnsiTheme="minorEastAsia" w:eastAsiaTheme="minorEastAsia"/>
          <w:b/>
          <w:bCs/>
          <w:color w:val="000000"/>
          <w:szCs w:val="21"/>
        </w:rPr>
        <w:t>%，并退还履约保证金。</w:t>
      </w:r>
    </w:p>
    <w:p>
      <w:pPr>
        <w:pStyle w:val="59"/>
        <w:keepNext w:val="0"/>
        <w:keepLines w:val="0"/>
        <w:pageBreakBefore w:val="0"/>
        <w:widowControl/>
        <w:kinsoku/>
        <w:wordWrap/>
        <w:overflowPunct/>
        <w:topLinePunct w:val="0"/>
        <w:bidi w:val="0"/>
        <w:adjustRightInd w:val="0"/>
        <w:snapToGrid w:val="0"/>
        <w:spacing w:line="340" w:lineRule="exact"/>
        <w:ind w:firstLine="422" w:firstLineChars="200"/>
        <w:jc w:val="left"/>
        <w:textAlignment w:val="auto"/>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w:t>
      </w:r>
      <w:r>
        <w:rPr>
          <w:rFonts w:hint="eastAsia" w:cs="宋体" w:asciiTheme="minorEastAsia" w:hAnsiTheme="minorEastAsia" w:eastAsiaTheme="minorEastAsia"/>
          <w:b/>
          <w:bCs/>
          <w:color w:val="000000"/>
          <w:szCs w:val="21"/>
          <w:lang w:val="en-US" w:eastAsia="zh-CN"/>
        </w:rPr>
        <w:t>5</w:t>
      </w:r>
      <w:r>
        <w:rPr>
          <w:rFonts w:hint="eastAsia" w:cs="宋体" w:asciiTheme="minorEastAsia" w:hAnsiTheme="minorEastAsia" w:eastAsiaTheme="minorEastAsia"/>
          <w:b/>
          <w:bCs/>
          <w:color w:val="000000"/>
          <w:szCs w:val="21"/>
        </w:rPr>
        <w:t>）</w:t>
      </w:r>
      <w:r>
        <w:rPr>
          <w:rFonts w:hint="eastAsia" w:cs="宋体" w:asciiTheme="minorEastAsia" w:hAnsiTheme="minorEastAsia" w:eastAsiaTheme="minorEastAsia"/>
          <w:b/>
          <w:bCs/>
          <w:color w:val="FF0000"/>
          <w:szCs w:val="21"/>
          <w:lang w:val="en-US" w:eastAsia="zh-CN"/>
        </w:rPr>
        <w:t>在双方共同签署验收合格证书后</w:t>
      </w:r>
      <w:r>
        <w:rPr>
          <w:rFonts w:hint="eastAsia" w:cs="宋体" w:asciiTheme="minorEastAsia" w:hAnsiTheme="minorEastAsia" w:eastAsiaTheme="minorEastAsia"/>
          <w:b/>
          <w:bCs/>
          <w:color w:val="000000"/>
          <w:szCs w:val="21"/>
        </w:rPr>
        <w:t>10个工作日内支付至结算总价的</w:t>
      </w:r>
      <w:r>
        <w:rPr>
          <w:rFonts w:hint="eastAsia" w:cs="宋体" w:asciiTheme="minorEastAsia" w:hAnsiTheme="minorEastAsia" w:eastAsiaTheme="minorEastAsia"/>
          <w:b/>
          <w:bCs/>
          <w:color w:val="0000FF"/>
          <w:szCs w:val="21"/>
        </w:rPr>
        <w:t>9</w:t>
      </w:r>
      <w:r>
        <w:rPr>
          <w:rFonts w:hint="eastAsia" w:cs="宋体" w:asciiTheme="minorEastAsia" w:hAnsiTheme="minorEastAsia" w:eastAsiaTheme="minorEastAsia"/>
          <w:b/>
          <w:bCs/>
          <w:color w:val="0000FF"/>
          <w:szCs w:val="21"/>
          <w:lang w:val="en-US" w:eastAsia="zh-CN"/>
        </w:rPr>
        <w:t>8</w:t>
      </w:r>
      <w:r>
        <w:rPr>
          <w:rFonts w:hint="eastAsia" w:cs="宋体" w:asciiTheme="minorEastAsia" w:hAnsiTheme="minorEastAsia" w:eastAsiaTheme="minorEastAsia"/>
          <w:b/>
          <w:bCs/>
          <w:color w:val="0000FF"/>
          <w:szCs w:val="21"/>
        </w:rPr>
        <w:t>.5%，</w:t>
      </w:r>
      <w:r>
        <w:rPr>
          <w:rFonts w:hint="eastAsia" w:cs="宋体" w:asciiTheme="minorEastAsia" w:hAnsiTheme="minorEastAsia" w:eastAsiaTheme="minorEastAsia"/>
          <w:b/>
          <w:bCs/>
          <w:color w:val="000000"/>
          <w:szCs w:val="21"/>
        </w:rPr>
        <w:t>结算方式按合同第1</w:t>
      </w:r>
      <w:r>
        <w:rPr>
          <w:rFonts w:hint="eastAsia" w:cs="宋体" w:asciiTheme="minorEastAsia" w:hAnsiTheme="minorEastAsia" w:eastAsiaTheme="minorEastAsia"/>
          <w:b/>
          <w:bCs/>
          <w:color w:val="000000"/>
          <w:szCs w:val="21"/>
          <w:lang w:val="en-US" w:eastAsia="zh-CN"/>
        </w:rPr>
        <w:t>0</w:t>
      </w:r>
      <w:r>
        <w:rPr>
          <w:rFonts w:hint="eastAsia" w:cs="宋体" w:asciiTheme="minorEastAsia" w:hAnsiTheme="minorEastAsia" w:eastAsiaTheme="minorEastAsia"/>
          <w:b/>
          <w:bCs/>
          <w:color w:val="000000"/>
          <w:szCs w:val="21"/>
        </w:rPr>
        <w:t>条付款变更与结算方式的第2条结算方式办理。余款</w:t>
      </w:r>
      <w:r>
        <w:rPr>
          <w:rFonts w:hint="eastAsia" w:cs="宋体" w:asciiTheme="minorEastAsia" w:hAnsiTheme="minorEastAsia" w:eastAsiaTheme="minorEastAsia"/>
          <w:b/>
          <w:bCs/>
          <w:color w:val="0000FF"/>
          <w:szCs w:val="21"/>
          <w:lang w:val="en-US" w:eastAsia="zh-CN"/>
        </w:rPr>
        <w:t>1</w:t>
      </w:r>
      <w:r>
        <w:rPr>
          <w:rFonts w:hint="eastAsia" w:cs="宋体" w:asciiTheme="minorEastAsia" w:hAnsiTheme="minorEastAsia" w:eastAsiaTheme="minorEastAsia"/>
          <w:b/>
          <w:bCs/>
          <w:color w:val="0000FF"/>
          <w:szCs w:val="21"/>
        </w:rPr>
        <w:t>.5%</w:t>
      </w:r>
      <w:r>
        <w:rPr>
          <w:rFonts w:hint="eastAsia" w:cs="宋体" w:asciiTheme="minorEastAsia" w:hAnsiTheme="minorEastAsia" w:eastAsiaTheme="minorEastAsia"/>
          <w:b/>
          <w:bCs/>
          <w:color w:val="000000"/>
          <w:szCs w:val="21"/>
        </w:rPr>
        <w:t>待质量保证期满无质量问题</w:t>
      </w:r>
      <w:r>
        <w:rPr>
          <w:rFonts w:hint="eastAsia" w:cs="宋体" w:asciiTheme="minorEastAsia" w:hAnsiTheme="minorEastAsia" w:eastAsiaTheme="minorEastAsia"/>
          <w:b/>
          <w:bCs/>
          <w:color w:val="000000"/>
          <w:szCs w:val="21"/>
          <w:lang w:val="en-US" w:eastAsia="zh-CN"/>
        </w:rPr>
        <w:t>采购人</w:t>
      </w:r>
      <w:r>
        <w:rPr>
          <w:rFonts w:hint="eastAsia" w:cs="宋体" w:asciiTheme="minorEastAsia" w:hAnsiTheme="minorEastAsia" w:eastAsiaTheme="minorEastAsia"/>
          <w:b/>
          <w:bCs/>
          <w:color w:val="000000"/>
          <w:szCs w:val="21"/>
        </w:rPr>
        <w:t>确认后10工作日内付清（不计利息）。</w:t>
      </w:r>
    </w:p>
    <w:p>
      <w:pPr>
        <w:keepNext w:val="0"/>
        <w:keepLines w:val="0"/>
        <w:pageBreakBefore w:val="0"/>
        <w:numPr>
          <w:ilvl w:val="0"/>
          <w:numId w:val="0"/>
        </w:numPr>
        <w:tabs>
          <w:tab w:val="left" w:pos="8280"/>
        </w:tabs>
        <w:kinsoku/>
        <w:wordWrap/>
        <w:overflowPunct/>
        <w:topLinePunct w:val="0"/>
        <w:autoSpaceDE w:val="0"/>
        <w:autoSpaceDN w:val="0"/>
        <w:bidi w:val="0"/>
        <w:adjustRightInd w:val="0"/>
        <w:spacing w:line="340" w:lineRule="exact"/>
        <w:ind w:left="420" w:leftChars="0"/>
        <w:textAlignment w:val="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lang w:val="en-US" w:eastAsia="zh-CN"/>
          <w14:textFill>
            <w14:solidFill>
              <w14:schemeClr w14:val="tx1"/>
            </w14:solidFill>
          </w14:textFill>
        </w:rPr>
        <w:t>十八、</w:t>
      </w:r>
      <w:r>
        <w:rPr>
          <w:rFonts w:hint="eastAsia" w:asciiTheme="minorEastAsia" w:hAnsiTheme="minorEastAsia" w:eastAsiaTheme="minorEastAsia"/>
          <w:b/>
          <w:bCs/>
          <w:color w:val="000000" w:themeColor="text1"/>
          <w:sz w:val="24"/>
          <w14:textFill>
            <w14:solidFill>
              <w14:schemeClr w14:val="tx1"/>
            </w14:solidFill>
          </w14:textFill>
        </w:rPr>
        <w:t>售后服务及要求</w:t>
      </w:r>
    </w:p>
    <w:p>
      <w:pPr>
        <w:keepNext w:val="0"/>
        <w:keepLines w:val="0"/>
        <w:pageBreakBefore w:val="0"/>
        <w:kinsoku/>
        <w:wordWrap/>
        <w:overflowPunct/>
        <w:topLinePunct w:val="0"/>
        <w:bidi w:val="0"/>
        <w:spacing w:line="340" w:lineRule="exact"/>
        <w:ind w:firstLine="482" w:firstLineChars="200"/>
        <w:textAlignment w:val="auto"/>
        <w:outlineLvl w:val="2"/>
        <w:rPr>
          <w:rFonts w:ascii="宋体" w:hAnsi="宋体" w:cs="宋体"/>
          <w:b/>
          <w:bCs/>
          <w:sz w:val="24"/>
        </w:rPr>
      </w:pPr>
      <w:r>
        <w:rPr>
          <w:rFonts w:hint="eastAsia" w:ascii="宋体" w:hAnsi="宋体" w:cs="宋体"/>
          <w:b/>
          <w:bCs/>
          <w:sz w:val="24"/>
        </w:rPr>
        <w:t>1.质保要求</w:t>
      </w:r>
    </w:p>
    <w:p>
      <w:pPr>
        <w:keepNext w:val="0"/>
        <w:keepLines w:val="0"/>
        <w:pageBreakBefore w:val="0"/>
        <w:kinsoku/>
        <w:wordWrap/>
        <w:overflowPunct/>
        <w:topLinePunct w:val="0"/>
        <w:autoSpaceDE w:val="0"/>
        <w:autoSpaceDN w:val="0"/>
        <w:bidi w:val="0"/>
        <w:adjustRightInd w:val="0"/>
        <w:spacing w:line="340" w:lineRule="exact"/>
        <w:ind w:firstLine="482" w:firstLineChars="200"/>
        <w:textAlignment w:val="auto"/>
        <w:rPr>
          <w:rFonts w:ascii="宋体" w:hAnsi="宋体" w:cs="宋体"/>
          <w:b/>
          <w:bCs/>
          <w:sz w:val="24"/>
        </w:rPr>
      </w:pPr>
      <w:r>
        <w:rPr>
          <w:rFonts w:hint="eastAsia" w:ascii="宋体" w:hAnsi="宋体" w:cs="宋体"/>
          <w:b/>
          <w:bCs/>
          <w:sz w:val="24"/>
        </w:rPr>
        <w:t xml:space="preserve">1.1 </w:t>
      </w:r>
      <w:r>
        <w:rPr>
          <w:rFonts w:hint="eastAsia" w:ascii="宋体" w:hAnsi="宋体" w:cs="宋体"/>
          <w:b/>
          <w:bCs/>
          <w:sz w:val="24"/>
          <w:lang w:eastAsia="zh-CN"/>
        </w:rPr>
        <w:t>供应商</w:t>
      </w:r>
      <w:r>
        <w:rPr>
          <w:rFonts w:hint="eastAsia" w:ascii="宋体" w:hAnsi="宋体" w:cs="宋体"/>
          <w:b/>
          <w:bCs/>
          <w:sz w:val="24"/>
        </w:rPr>
        <w:t>须对合同中规定的设备，提供验收合格后至少</w:t>
      </w:r>
      <w:r>
        <w:rPr>
          <w:rFonts w:hint="eastAsia" w:ascii="宋体" w:hAnsi="宋体" w:cs="宋体"/>
          <w:b/>
          <w:bCs/>
          <w:sz w:val="24"/>
          <w:u w:val="single"/>
        </w:rPr>
        <w:t xml:space="preserve"> 24 </w:t>
      </w:r>
      <w:r>
        <w:rPr>
          <w:rFonts w:hint="eastAsia" w:ascii="宋体" w:hAnsi="宋体" w:cs="宋体"/>
          <w:b/>
          <w:bCs/>
          <w:sz w:val="24"/>
        </w:rPr>
        <w:t>个月的质保期，在此期间，因产品质量不良而产生损坏或不能正常工作，</w:t>
      </w:r>
      <w:r>
        <w:rPr>
          <w:rFonts w:hint="eastAsia" w:ascii="宋体" w:hAnsi="宋体" w:cs="宋体"/>
          <w:b/>
          <w:bCs/>
          <w:sz w:val="24"/>
          <w:lang w:eastAsia="zh-CN"/>
        </w:rPr>
        <w:t>供应商</w:t>
      </w:r>
      <w:r>
        <w:rPr>
          <w:rFonts w:hint="eastAsia" w:ascii="宋体" w:hAnsi="宋体" w:cs="宋体"/>
          <w:b/>
          <w:bCs/>
          <w:sz w:val="24"/>
        </w:rPr>
        <w:t>应免费维修和正常保养。</w:t>
      </w:r>
    </w:p>
    <w:p>
      <w:pPr>
        <w:keepNext w:val="0"/>
        <w:keepLines w:val="0"/>
        <w:pageBreakBefore w:val="0"/>
        <w:kinsoku/>
        <w:wordWrap/>
        <w:overflowPunct/>
        <w:topLinePunct w:val="0"/>
        <w:bidi w:val="0"/>
        <w:spacing w:line="340" w:lineRule="exact"/>
        <w:ind w:firstLine="482" w:firstLineChars="200"/>
        <w:textAlignment w:val="auto"/>
        <w:outlineLvl w:val="2"/>
        <w:rPr>
          <w:rFonts w:ascii="宋体" w:hAnsi="宋体" w:cs="宋体"/>
          <w:b/>
          <w:bCs/>
          <w:sz w:val="24"/>
        </w:rPr>
      </w:pPr>
      <w:r>
        <w:rPr>
          <w:rFonts w:hint="eastAsia" w:ascii="宋体" w:hAnsi="宋体" w:cs="宋体"/>
          <w:b/>
          <w:bCs/>
          <w:sz w:val="24"/>
        </w:rPr>
        <w:t>2.维修服务要求</w:t>
      </w:r>
    </w:p>
    <w:p>
      <w:pPr>
        <w:keepNext w:val="0"/>
        <w:keepLines w:val="0"/>
        <w:pageBreakBefore w:val="0"/>
        <w:widowControl/>
        <w:kinsoku/>
        <w:wordWrap/>
        <w:overflowPunct/>
        <w:topLinePunct w:val="0"/>
        <w:bidi w:val="0"/>
        <w:spacing w:line="340" w:lineRule="exact"/>
        <w:ind w:firstLine="482"/>
        <w:jc w:val="left"/>
        <w:textAlignment w:val="auto"/>
        <w:rPr>
          <w:rFonts w:ascii="宋体" w:hAnsi="宋体" w:cs="宋体"/>
          <w:b/>
          <w:bCs/>
          <w:sz w:val="24"/>
        </w:rPr>
      </w:pPr>
      <w:r>
        <w:rPr>
          <w:rFonts w:hint="eastAsia" w:ascii="宋体" w:hAnsi="宋体" w:cs="宋体"/>
          <w:b/>
          <w:bCs/>
          <w:sz w:val="24"/>
        </w:rPr>
        <w:t>2.1 无论在质保期内还是质保期满后，一旦设备发生故障，而</w:t>
      </w:r>
      <w:r>
        <w:rPr>
          <w:rFonts w:hint="eastAsia" w:cs="宋体"/>
          <w:b/>
          <w:bCs/>
          <w:sz w:val="24"/>
        </w:rPr>
        <w:t>采购人</w:t>
      </w:r>
      <w:r>
        <w:rPr>
          <w:rFonts w:hint="eastAsia" w:ascii="宋体" w:hAnsi="宋体" w:cs="宋体"/>
          <w:b/>
          <w:bCs/>
          <w:sz w:val="24"/>
        </w:rPr>
        <w:t>无法自行排除时，在接到</w:t>
      </w:r>
      <w:r>
        <w:rPr>
          <w:rFonts w:hint="eastAsia" w:cs="宋体"/>
          <w:b/>
          <w:bCs/>
          <w:sz w:val="24"/>
        </w:rPr>
        <w:t>采购人</w:t>
      </w:r>
      <w:r>
        <w:rPr>
          <w:rFonts w:hint="eastAsia" w:ascii="宋体" w:hAnsi="宋体" w:cs="宋体"/>
          <w:b/>
          <w:bCs/>
          <w:sz w:val="24"/>
        </w:rPr>
        <w:t>通知后，</w:t>
      </w:r>
      <w:r>
        <w:rPr>
          <w:rFonts w:hint="eastAsia" w:cs="宋体"/>
          <w:b/>
          <w:bCs/>
          <w:sz w:val="24"/>
        </w:rPr>
        <w:t>中标人</w:t>
      </w:r>
      <w:r>
        <w:rPr>
          <w:rFonts w:hint="eastAsia" w:ascii="宋体" w:hAnsi="宋体" w:cs="宋体"/>
          <w:b/>
          <w:bCs/>
          <w:sz w:val="24"/>
        </w:rPr>
        <w:t>承诺在所供货物发生故障1小时内响应，协助</w:t>
      </w:r>
      <w:r>
        <w:rPr>
          <w:rFonts w:hint="eastAsia" w:cs="宋体"/>
          <w:b/>
          <w:bCs/>
          <w:sz w:val="24"/>
        </w:rPr>
        <w:t>采购人</w:t>
      </w:r>
      <w:r>
        <w:rPr>
          <w:rFonts w:hint="eastAsia" w:ascii="宋体" w:hAnsi="宋体" w:cs="宋体"/>
          <w:b/>
          <w:bCs/>
          <w:sz w:val="24"/>
        </w:rPr>
        <w:t>排除故障。一般故障6小时内排除，较大故障12小时内排除，重大故障24小时内排除，并及时提供备品备件。质保期内备品备件免费更换。质保期结束前免费对设备进行一次系统测试，并提供一次测试报告。</w:t>
      </w:r>
    </w:p>
    <w:p>
      <w:pPr>
        <w:keepNext w:val="0"/>
        <w:keepLines w:val="0"/>
        <w:pageBreakBefore w:val="0"/>
        <w:widowControl/>
        <w:kinsoku/>
        <w:wordWrap/>
        <w:overflowPunct/>
        <w:topLinePunct w:val="0"/>
        <w:bidi w:val="0"/>
        <w:spacing w:line="340" w:lineRule="exact"/>
        <w:ind w:firstLine="482"/>
        <w:jc w:val="left"/>
        <w:textAlignment w:val="auto"/>
        <w:rPr>
          <w:rFonts w:ascii="宋体" w:hAnsi="宋体" w:cs="宋体"/>
          <w:b/>
          <w:bCs/>
          <w:sz w:val="24"/>
        </w:rPr>
      </w:pPr>
      <w:r>
        <w:rPr>
          <w:rFonts w:hint="eastAsia" w:ascii="宋体" w:hAnsi="宋体" w:cs="宋体"/>
          <w:b/>
          <w:bCs/>
          <w:sz w:val="24"/>
        </w:rPr>
        <w:t>注：一般故障是指设备参数设置故障，需要对设备进行参数调整或者程序重新设置；较大故障是指设备非关键部位损坏，需要更换备品备件；重大故障是指设备核心部件损坏，需要更换核心部件。</w:t>
      </w:r>
    </w:p>
    <w:p>
      <w:pPr>
        <w:keepNext w:val="0"/>
        <w:keepLines w:val="0"/>
        <w:pageBreakBefore w:val="0"/>
        <w:widowControl/>
        <w:kinsoku/>
        <w:wordWrap/>
        <w:overflowPunct/>
        <w:topLinePunct w:val="0"/>
        <w:bidi w:val="0"/>
        <w:spacing w:line="340" w:lineRule="exact"/>
        <w:ind w:firstLine="482"/>
        <w:jc w:val="left"/>
        <w:textAlignment w:val="auto"/>
        <w:rPr>
          <w:rFonts w:ascii="宋体" w:hAnsi="宋体" w:cs="宋体"/>
          <w:b/>
          <w:bCs/>
          <w:sz w:val="24"/>
        </w:rPr>
      </w:pPr>
      <w:r>
        <w:rPr>
          <w:rFonts w:hint="eastAsia" w:ascii="宋体" w:hAnsi="宋体" w:cs="宋体"/>
          <w:b/>
          <w:bCs/>
          <w:sz w:val="24"/>
        </w:rPr>
        <w:t xml:space="preserve">2.2 </w:t>
      </w:r>
      <w:r>
        <w:rPr>
          <w:rFonts w:hint="eastAsia" w:cs="宋体"/>
          <w:b/>
          <w:bCs/>
          <w:sz w:val="24"/>
        </w:rPr>
        <w:t>中标人</w:t>
      </w:r>
      <w:r>
        <w:rPr>
          <w:rFonts w:hint="eastAsia" w:ascii="宋体" w:hAnsi="宋体" w:cs="宋体"/>
          <w:b/>
          <w:bCs/>
          <w:sz w:val="24"/>
        </w:rPr>
        <w:t>需安排设备使用维护的现场培训，培训的人数和深度必须满足投标文件的要求，费用已包含在合同价中，</w:t>
      </w:r>
      <w:r>
        <w:rPr>
          <w:rFonts w:hint="eastAsia" w:cs="宋体"/>
          <w:b/>
          <w:bCs/>
          <w:sz w:val="24"/>
        </w:rPr>
        <w:t>采购人</w:t>
      </w:r>
      <w:r>
        <w:rPr>
          <w:rFonts w:hint="eastAsia" w:ascii="宋体" w:hAnsi="宋体" w:cs="宋体"/>
          <w:b/>
          <w:bCs/>
          <w:sz w:val="24"/>
        </w:rPr>
        <w:t>不再另行支付。</w:t>
      </w:r>
    </w:p>
    <w:p>
      <w:pPr>
        <w:keepNext w:val="0"/>
        <w:keepLines w:val="0"/>
        <w:pageBreakBefore w:val="0"/>
        <w:widowControl/>
        <w:kinsoku/>
        <w:wordWrap/>
        <w:overflowPunct/>
        <w:topLinePunct w:val="0"/>
        <w:bidi w:val="0"/>
        <w:spacing w:line="340" w:lineRule="exact"/>
        <w:ind w:firstLine="482"/>
        <w:jc w:val="left"/>
        <w:textAlignment w:val="auto"/>
        <w:rPr>
          <w:rFonts w:ascii="宋体" w:hAnsi="宋体" w:cs="宋体"/>
          <w:b/>
          <w:bCs/>
          <w:sz w:val="24"/>
        </w:rPr>
      </w:pPr>
      <w:r>
        <w:rPr>
          <w:rFonts w:hint="eastAsia" w:ascii="宋体" w:hAnsi="宋体" w:cs="宋体"/>
          <w:b/>
          <w:bCs/>
          <w:sz w:val="24"/>
        </w:rPr>
        <w:t xml:space="preserve">2.3 </w:t>
      </w:r>
      <w:r>
        <w:rPr>
          <w:rFonts w:hint="eastAsia" w:cs="宋体"/>
          <w:b/>
          <w:bCs/>
          <w:sz w:val="24"/>
        </w:rPr>
        <w:t>中标人</w:t>
      </w:r>
      <w:r>
        <w:rPr>
          <w:rFonts w:hint="eastAsia" w:ascii="宋体" w:hAnsi="宋体" w:cs="宋体"/>
          <w:b/>
          <w:bCs/>
          <w:sz w:val="24"/>
        </w:rPr>
        <w:t>每年免费提供备品备件及常用材料的价目表。</w:t>
      </w:r>
    </w:p>
    <w:p>
      <w:pPr>
        <w:keepNext w:val="0"/>
        <w:keepLines w:val="0"/>
        <w:pageBreakBefore w:val="0"/>
        <w:widowControl/>
        <w:kinsoku/>
        <w:wordWrap/>
        <w:overflowPunct/>
        <w:topLinePunct w:val="0"/>
        <w:bidi w:val="0"/>
        <w:spacing w:line="340" w:lineRule="exact"/>
        <w:ind w:firstLine="482"/>
        <w:jc w:val="left"/>
        <w:textAlignment w:val="auto"/>
        <w:rPr>
          <w:rFonts w:asciiTheme="minorEastAsia" w:hAnsiTheme="minorEastAsia" w:eastAsiaTheme="minorEastAsia"/>
          <w:b/>
          <w:bCs/>
          <w:color w:val="auto"/>
          <w:sz w:val="24"/>
        </w:rPr>
      </w:pPr>
      <w:r>
        <w:rPr>
          <w:rFonts w:hint="eastAsia" w:ascii="宋体" w:hAnsi="宋体" w:cs="宋体"/>
          <w:b/>
          <w:bCs/>
          <w:sz w:val="24"/>
        </w:rPr>
        <w:t>2.4 中标人进行就位、安装、调试，以及进行维修、保养等工作时，应当遵守劳动安全等规章制度，听从</w:t>
      </w:r>
      <w:r>
        <w:rPr>
          <w:rFonts w:hint="eastAsia" w:cs="宋体"/>
          <w:b/>
          <w:bCs/>
          <w:sz w:val="24"/>
        </w:rPr>
        <w:t>采购人</w:t>
      </w:r>
      <w:r>
        <w:rPr>
          <w:rFonts w:hint="eastAsia" w:ascii="宋体" w:hAnsi="宋体" w:cs="宋体"/>
          <w:b/>
          <w:bCs/>
          <w:sz w:val="24"/>
        </w:rPr>
        <w:t>的安全指挥，对因</w:t>
      </w:r>
      <w:r>
        <w:rPr>
          <w:rFonts w:hint="eastAsia" w:cs="宋体"/>
          <w:b/>
          <w:bCs/>
          <w:sz w:val="24"/>
        </w:rPr>
        <w:t>中标人</w:t>
      </w:r>
      <w:r>
        <w:rPr>
          <w:rFonts w:hint="eastAsia" w:ascii="宋体" w:hAnsi="宋体" w:cs="宋体"/>
          <w:b/>
          <w:bCs/>
          <w:sz w:val="24"/>
        </w:rPr>
        <w:t>履行上述工作给</w:t>
      </w:r>
      <w:r>
        <w:rPr>
          <w:rFonts w:hint="eastAsia" w:cs="宋体"/>
          <w:b/>
          <w:bCs/>
          <w:sz w:val="24"/>
        </w:rPr>
        <w:t>采购人</w:t>
      </w:r>
      <w:r>
        <w:rPr>
          <w:rFonts w:hint="eastAsia" w:ascii="宋体" w:hAnsi="宋体" w:cs="宋体"/>
          <w:b/>
          <w:bCs/>
          <w:sz w:val="24"/>
        </w:rPr>
        <w:t>与第三人造成的损害责任(包括但不限于人身损害、财产损害等)，以及造成</w:t>
      </w:r>
      <w:r>
        <w:rPr>
          <w:rFonts w:hint="eastAsia" w:cs="宋体"/>
          <w:b/>
          <w:bCs/>
          <w:sz w:val="24"/>
        </w:rPr>
        <w:t>中标人</w:t>
      </w:r>
      <w:r>
        <w:rPr>
          <w:rFonts w:hint="eastAsia" w:ascii="宋体" w:hAnsi="宋体" w:cs="宋体"/>
          <w:b/>
          <w:bCs/>
          <w:sz w:val="24"/>
        </w:rPr>
        <w:t>自身的损害责任，均由</w:t>
      </w:r>
      <w:r>
        <w:rPr>
          <w:rFonts w:hint="eastAsia" w:cs="宋体"/>
          <w:b/>
          <w:bCs/>
          <w:sz w:val="24"/>
        </w:rPr>
        <w:t>中标人</w:t>
      </w:r>
      <w:r>
        <w:rPr>
          <w:rFonts w:hint="eastAsia" w:ascii="宋体" w:hAnsi="宋体" w:cs="宋体"/>
          <w:b/>
          <w:bCs/>
          <w:sz w:val="24"/>
        </w:rPr>
        <w:t>承担。如</w:t>
      </w:r>
      <w:r>
        <w:rPr>
          <w:rFonts w:hint="eastAsia" w:cs="宋体"/>
          <w:b/>
          <w:bCs/>
          <w:sz w:val="24"/>
        </w:rPr>
        <w:t>采购人</w:t>
      </w:r>
      <w:r>
        <w:rPr>
          <w:rFonts w:hint="eastAsia" w:ascii="宋体" w:hAnsi="宋体" w:cs="宋体"/>
          <w:b/>
          <w:bCs/>
          <w:sz w:val="24"/>
        </w:rPr>
        <w:t>先行承担责任的，</w:t>
      </w:r>
      <w:r>
        <w:rPr>
          <w:rFonts w:hint="eastAsia" w:cs="宋体"/>
          <w:b/>
          <w:bCs/>
          <w:sz w:val="24"/>
        </w:rPr>
        <w:t>采购人</w:t>
      </w:r>
      <w:r>
        <w:rPr>
          <w:rFonts w:hint="eastAsia" w:ascii="宋体" w:hAnsi="宋体" w:cs="宋体"/>
          <w:b/>
          <w:bCs/>
          <w:sz w:val="24"/>
        </w:rPr>
        <w:t>有权向</w:t>
      </w:r>
      <w:r>
        <w:rPr>
          <w:rFonts w:hint="eastAsia" w:cs="宋体"/>
          <w:b/>
          <w:bCs/>
          <w:sz w:val="24"/>
        </w:rPr>
        <w:t>中标</w:t>
      </w:r>
      <w:r>
        <w:rPr>
          <w:rFonts w:hint="eastAsia" w:cs="宋体"/>
          <w:b/>
          <w:bCs/>
          <w:color w:val="auto"/>
          <w:sz w:val="24"/>
        </w:rPr>
        <w:t>人</w:t>
      </w:r>
      <w:r>
        <w:rPr>
          <w:rFonts w:hint="eastAsia" w:ascii="宋体" w:hAnsi="宋体" w:cs="宋体"/>
          <w:b/>
          <w:bCs/>
          <w:color w:val="auto"/>
          <w:sz w:val="24"/>
        </w:rPr>
        <w:t>追偿损失（包括但不限于赔偿费、诉讼费、律师费等），并有权从任何应该支付或将要支付给</w:t>
      </w:r>
      <w:r>
        <w:rPr>
          <w:rFonts w:hint="eastAsia" w:cs="宋体"/>
          <w:b/>
          <w:bCs/>
          <w:color w:val="auto"/>
          <w:sz w:val="24"/>
        </w:rPr>
        <w:t>中标人</w:t>
      </w:r>
      <w:r>
        <w:rPr>
          <w:rFonts w:hint="eastAsia" w:ascii="宋体" w:hAnsi="宋体" w:cs="宋体"/>
          <w:b/>
          <w:bCs/>
          <w:color w:val="auto"/>
          <w:sz w:val="24"/>
        </w:rPr>
        <w:t>的金额中扣除该偿还金额。</w:t>
      </w:r>
    </w:p>
    <w:p>
      <w:pPr>
        <w:keepNext w:val="0"/>
        <w:keepLines w:val="0"/>
        <w:pageBreakBefore w:val="0"/>
        <w:numPr>
          <w:ilvl w:val="0"/>
          <w:numId w:val="0"/>
        </w:numPr>
        <w:tabs>
          <w:tab w:val="left" w:pos="8280"/>
        </w:tabs>
        <w:kinsoku/>
        <w:wordWrap/>
        <w:overflowPunct/>
        <w:topLinePunct w:val="0"/>
        <w:autoSpaceDE w:val="0"/>
        <w:autoSpaceDN w:val="0"/>
        <w:bidi w:val="0"/>
        <w:adjustRightInd w:val="0"/>
        <w:spacing w:line="340" w:lineRule="exact"/>
        <w:ind w:left="420" w:leftChars="0"/>
        <w:textAlignment w:val="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lang w:val="en-US" w:eastAsia="zh-CN"/>
        </w:rPr>
        <w:t>十九、</w:t>
      </w:r>
      <w:r>
        <w:rPr>
          <w:rFonts w:hint="eastAsia" w:asciiTheme="minorEastAsia" w:hAnsiTheme="minorEastAsia" w:eastAsiaTheme="minorEastAsia"/>
          <w:b/>
          <w:bCs/>
          <w:color w:val="auto"/>
          <w:sz w:val="24"/>
        </w:rPr>
        <w:t>履约保证金</w:t>
      </w:r>
    </w:p>
    <w:p>
      <w:pPr>
        <w:keepNext w:val="0"/>
        <w:keepLines w:val="0"/>
        <w:pageBreakBefore w:val="0"/>
        <w:numPr>
          <w:ilvl w:val="0"/>
          <w:numId w:val="9"/>
        </w:numPr>
        <w:tabs>
          <w:tab w:val="left" w:pos="8280"/>
        </w:tabs>
        <w:kinsoku/>
        <w:wordWrap/>
        <w:overflowPunct/>
        <w:topLinePunct w:val="0"/>
        <w:autoSpaceDE w:val="0"/>
        <w:autoSpaceDN w:val="0"/>
        <w:bidi w:val="0"/>
        <w:adjustRightInd w:val="0"/>
        <w:spacing w:line="340" w:lineRule="exact"/>
        <w:textAlignment w:val="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履约保证金金额：合同价的1%</w:t>
      </w:r>
    </w:p>
    <w:p>
      <w:pPr>
        <w:keepNext w:val="0"/>
        <w:keepLines w:val="0"/>
        <w:pageBreakBefore w:val="0"/>
        <w:numPr>
          <w:ilvl w:val="0"/>
          <w:numId w:val="9"/>
        </w:numPr>
        <w:tabs>
          <w:tab w:val="left" w:pos="8280"/>
        </w:tabs>
        <w:kinsoku/>
        <w:wordWrap/>
        <w:overflowPunct/>
        <w:topLinePunct w:val="0"/>
        <w:autoSpaceDE w:val="0"/>
        <w:autoSpaceDN w:val="0"/>
        <w:bidi w:val="0"/>
        <w:adjustRightInd w:val="0"/>
        <w:spacing w:line="340" w:lineRule="exact"/>
        <w:textAlignment w:val="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履约保证金交纳形式：支票、汇票、本票或者金融机构、保险公司、担保机构出具的保函等形式</w:t>
      </w:r>
    </w:p>
    <w:p>
      <w:pPr>
        <w:keepNext w:val="0"/>
        <w:keepLines w:val="0"/>
        <w:pageBreakBefore w:val="0"/>
        <w:numPr>
          <w:ilvl w:val="0"/>
          <w:numId w:val="9"/>
        </w:numPr>
        <w:tabs>
          <w:tab w:val="left" w:pos="8280"/>
        </w:tabs>
        <w:kinsoku/>
        <w:wordWrap/>
        <w:overflowPunct/>
        <w:topLinePunct w:val="0"/>
        <w:autoSpaceDE w:val="0"/>
        <w:autoSpaceDN w:val="0"/>
        <w:bidi w:val="0"/>
        <w:adjustRightInd w:val="0"/>
        <w:spacing w:line="340" w:lineRule="exact"/>
        <w:textAlignment w:val="auto"/>
        <w:rPr>
          <w:rFonts w:asciiTheme="minorEastAsia" w:hAnsiTheme="minorEastAsia" w:eastAsiaTheme="minorEastAsia"/>
          <w:b/>
          <w:bCs/>
          <w:sz w:val="24"/>
        </w:rPr>
      </w:pPr>
      <w:r>
        <w:rPr>
          <w:rFonts w:hint="eastAsia" w:asciiTheme="minorEastAsia" w:hAnsiTheme="minorEastAsia" w:eastAsiaTheme="minorEastAsia"/>
          <w:b/>
          <w:bCs/>
          <w:sz w:val="24"/>
        </w:rPr>
        <w:t>履约保证金交纳时间：合同签订前</w:t>
      </w:r>
    </w:p>
    <w:p>
      <w:pPr>
        <w:keepNext w:val="0"/>
        <w:keepLines w:val="0"/>
        <w:pageBreakBefore w:val="0"/>
        <w:numPr>
          <w:ilvl w:val="0"/>
          <w:numId w:val="9"/>
        </w:numPr>
        <w:tabs>
          <w:tab w:val="left" w:pos="8280"/>
        </w:tabs>
        <w:kinsoku/>
        <w:wordWrap/>
        <w:overflowPunct/>
        <w:topLinePunct w:val="0"/>
        <w:autoSpaceDE w:val="0"/>
        <w:autoSpaceDN w:val="0"/>
        <w:bidi w:val="0"/>
        <w:adjustRightInd w:val="0"/>
        <w:spacing w:line="340" w:lineRule="exact"/>
        <w:textAlignment w:val="auto"/>
        <w:rPr>
          <w:rFonts w:asciiTheme="minorEastAsia" w:hAnsiTheme="minorEastAsia" w:eastAsiaTheme="minorEastAsia"/>
          <w:b/>
          <w:bCs/>
          <w:sz w:val="24"/>
        </w:rPr>
      </w:pPr>
      <w:r>
        <w:rPr>
          <w:rFonts w:hint="eastAsia" w:asciiTheme="minorEastAsia" w:hAnsiTheme="minorEastAsia" w:eastAsiaTheme="minorEastAsia"/>
          <w:b/>
          <w:bCs/>
          <w:sz w:val="24"/>
        </w:rPr>
        <w:t>履约保证金退还：项目验收合格</w:t>
      </w:r>
      <w:r>
        <w:rPr>
          <w:rFonts w:hint="eastAsia" w:asciiTheme="minorEastAsia" w:hAnsiTheme="minorEastAsia" w:eastAsiaTheme="minorEastAsia"/>
          <w:b/>
          <w:bCs/>
          <w:sz w:val="24"/>
          <w:lang w:val="en-US" w:eastAsia="zh-CN"/>
        </w:rPr>
        <w:t>并移交采购人</w:t>
      </w:r>
      <w:r>
        <w:rPr>
          <w:rFonts w:hint="eastAsia" w:asciiTheme="minorEastAsia" w:hAnsiTheme="minorEastAsia" w:eastAsiaTheme="minorEastAsia"/>
          <w:b/>
          <w:bCs/>
          <w:sz w:val="24"/>
        </w:rPr>
        <w:t>后7天内，</w:t>
      </w:r>
      <w:r>
        <w:rPr>
          <w:rFonts w:hint="eastAsia" w:asciiTheme="minorEastAsia" w:hAnsiTheme="minorEastAsia" w:eastAsiaTheme="minorEastAsia"/>
          <w:b/>
          <w:bCs/>
          <w:sz w:val="24"/>
          <w:lang w:val="en-US" w:eastAsia="zh-CN"/>
        </w:rPr>
        <w:t>采购人</w:t>
      </w:r>
      <w:r>
        <w:rPr>
          <w:rFonts w:hint="eastAsia" w:asciiTheme="minorEastAsia" w:hAnsiTheme="minorEastAsia" w:eastAsiaTheme="minorEastAsia"/>
          <w:b/>
          <w:bCs/>
          <w:sz w:val="24"/>
        </w:rPr>
        <w:t>无息退还履约保证金（由于</w:t>
      </w:r>
      <w:r>
        <w:rPr>
          <w:rFonts w:hint="eastAsia" w:asciiTheme="minorEastAsia" w:hAnsiTheme="minorEastAsia" w:eastAsiaTheme="minorEastAsia"/>
          <w:b/>
          <w:bCs/>
          <w:sz w:val="24"/>
          <w:lang w:val="en-US" w:eastAsia="zh-CN"/>
        </w:rPr>
        <w:t>中标人</w:t>
      </w:r>
      <w:r>
        <w:rPr>
          <w:rFonts w:hint="eastAsia" w:asciiTheme="minorEastAsia" w:hAnsiTheme="minorEastAsia" w:eastAsiaTheme="minorEastAsia"/>
          <w:b/>
          <w:bCs/>
          <w:sz w:val="24"/>
        </w:rPr>
        <w:t>引起的工期延误的，则履约担保有</w:t>
      </w:r>
      <w:r>
        <w:rPr>
          <w:rFonts w:hint="eastAsia" w:asciiTheme="minorEastAsia" w:hAnsiTheme="minorEastAsia" w:eastAsiaTheme="minorEastAsia"/>
          <w:b/>
          <w:bCs/>
          <w:sz w:val="24"/>
          <w:lang w:val="en-US" w:eastAsia="zh-CN"/>
        </w:rPr>
        <w:t>效</w:t>
      </w:r>
      <w:r>
        <w:rPr>
          <w:rFonts w:hint="eastAsia" w:asciiTheme="minorEastAsia" w:hAnsiTheme="minorEastAsia" w:eastAsiaTheme="minorEastAsia"/>
          <w:b/>
          <w:bCs/>
          <w:sz w:val="24"/>
        </w:rPr>
        <w:t>期顺延）。</w:t>
      </w:r>
    </w:p>
    <w:p>
      <w:pPr>
        <w:rPr>
          <w:rFonts w:asciiTheme="minorEastAsia" w:hAnsiTheme="minorEastAsia" w:eastAsiaTheme="minorEastAsia"/>
          <w:b/>
          <w:bCs/>
          <w:sz w:val="24"/>
        </w:rPr>
      </w:pPr>
      <w:r>
        <w:rPr>
          <w:rFonts w:hint="eastAsia" w:asciiTheme="minorEastAsia" w:hAnsiTheme="minorEastAsia" w:eastAsiaTheme="minorEastAsia"/>
          <w:b/>
          <w:bCs/>
          <w:sz w:val="24"/>
        </w:rPr>
        <w:br w:type="page"/>
      </w:r>
    </w:p>
    <w:p>
      <w:pPr>
        <w:numPr>
          <w:ilvl w:val="0"/>
          <w:numId w:val="4"/>
        </w:numPr>
        <w:spacing w:line="360" w:lineRule="auto"/>
        <w:jc w:val="center"/>
        <w:rPr>
          <w:rFonts w:asciiTheme="minorEastAsia" w:hAnsiTheme="minorEastAsia" w:eastAsiaTheme="minorEastAsia"/>
          <w:b/>
          <w:sz w:val="36"/>
          <w:szCs w:val="36"/>
        </w:rPr>
      </w:pPr>
      <w:bookmarkStart w:id="14" w:name="_Toc496_WPSOffice_Level1"/>
      <w:r>
        <w:rPr>
          <w:rFonts w:hint="eastAsia" w:asciiTheme="minorEastAsia" w:hAnsiTheme="minorEastAsia" w:eastAsiaTheme="minorEastAsia"/>
          <w:b/>
          <w:sz w:val="36"/>
          <w:szCs w:val="36"/>
        </w:rPr>
        <w:t>政府采购合同主要条款</w:t>
      </w:r>
      <w:bookmarkEnd w:id="14"/>
    </w:p>
    <w:p>
      <w:pPr>
        <w:pStyle w:val="7"/>
        <w:spacing w:line="360" w:lineRule="auto"/>
        <w:jc w:val="center"/>
      </w:pPr>
      <w:r>
        <w:rPr>
          <w:rFonts w:hint="eastAsia"/>
        </w:rPr>
        <w:t>（本合同为参考合同，具体以最终签订合同为准）</w:t>
      </w:r>
    </w:p>
    <w:p>
      <w:pPr>
        <w:pStyle w:val="12"/>
        <w:snapToGrid w:val="0"/>
        <w:spacing w:line="360" w:lineRule="auto"/>
        <w:rPr>
          <w:rFonts w:asciiTheme="minorEastAsia" w:hAnsiTheme="minorEastAsia" w:eastAsiaTheme="minorEastAsia"/>
          <w:szCs w:val="21"/>
        </w:rPr>
      </w:pPr>
      <w:r>
        <w:rPr>
          <w:rFonts w:asciiTheme="minorEastAsia" w:hAnsiTheme="minorEastAsia" w:eastAsiaTheme="minorEastAsia"/>
          <w:szCs w:val="21"/>
        </w:rPr>
        <w:t>项目名称：</w:t>
      </w:r>
      <w:r>
        <w:rPr>
          <w:rFonts w:hint="eastAsia" w:asciiTheme="minorEastAsia" w:hAnsiTheme="minorEastAsia" w:eastAsiaTheme="minorEastAsia"/>
          <w:szCs w:val="21"/>
          <w:lang w:eastAsia="zh-CN"/>
        </w:rPr>
        <w:t>医用气体成套设备采购项目</w:t>
      </w:r>
      <w:r>
        <w:rPr>
          <w:rFonts w:asciiTheme="minorEastAsia" w:hAnsiTheme="minorEastAsia" w:eastAsiaTheme="minorEastAsia"/>
          <w:szCs w:val="21"/>
        </w:rPr>
        <w:t xml:space="preserve">                                </w:t>
      </w:r>
    </w:p>
    <w:p>
      <w:pPr>
        <w:pStyle w:val="12"/>
        <w:snapToGrid w:val="0"/>
        <w:spacing w:line="360" w:lineRule="auto"/>
        <w:rPr>
          <w:rFonts w:hint="eastAsia" w:asciiTheme="minorEastAsia" w:hAnsiTheme="minorEastAsia" w:eastAsiaTheme="minorEastAsia"/>
          <w:szCs w:val="21"/>
          <w:lang w:eastAsia="zh-CN"/>
        </w:rPr>
      </w:pPr>
      <w:r>
        <w:rPr>
          <w:rFonts w:asciiTheme="minorEastAsia" w:hAnsiTheme="minorEastAsia" w:eastAsiaTheme="minorEastAsia"/>
          <w:szCs w:val="21"/>
        </w:rPr>
        <w:t>项目编号：</w:t>
      </w:r>
      <w:r>
        <w:rPr>
          <w:rFonts w:hint="eastAsia" w:asciiTheme="minorEastAsia" w:hAnsiTheme="minorEastAsia" w:eastAsiaTheme="minorEastAsia"/>
          <w:szCs w:val="21"/>
          <w:lang w:val="en-US" w:eastAsia="zh-CN"/>
        </w:rPr>
        <w:t>临【2022】574号</w:t>
      </w:r>
    </w:p>
    <w:p>
      <w:pPr>
        <w:pStyle w:val="12"/>
        <w:snapToGrid w:val="0"/>
        <w:spacing w:line="360" w:lineRule="auto"/>
        <w:rPr>
          <w:rFonts w:asciiTheme="minorEastAsia" w:hAnsiTheme="minorEastAsia" w:eastAsiaTheme="minorEastAsia"/>
          <w:szCs w:val="21"/>
        </w:rPr>
      </w:pPr>
      <w:r>
        <w:rPr>
          <w:rFonts w:asciiTheme="minorEastAsia" w:hAnsiTheme="minorEastAsia" w:eastAsiaTheme="minorEastAsia"/>
          <w:szCs w:val="21"/>
        </w:rPr>
        <w:t>甲方（</w:t>
      </w:r>
      <w:r>
        <w:rPr>
          <w:rFonts w:hint="eastAsia" w:asciiTheme="minorEastAsia" w:hAnsiTheme="minorEastAsia" w:eastAsiaTheme="minorEastAsia"/>
          <w:szCs w:val="21"/>
        </w:rPr>
        <w:t>采购人</w:t>
      </w:r>
      <w:r>
        <w:rPr>
          <w:rFonts w:asciiTheme="minorEastAsia" w:hAnsiTheme="minorEastAsia" w:eastAsiaTheme="minorEastAsia"/>
          <w:szCs w:val="21"/>
        </w:rPr>
        <w:t>）：</w:t>
      </w:r>
      <w:r>
        <w:rPr>
          <w:rFonts w:hint="eastAsia" w:asciiTheme="minorEastAsia" w:hAnsiTheme="minorEastAsia" w:eastAsiaTheme="minorEastAsia"/>
          <w:szCs w:val="21"/>
        </w:rPr>
        <w:t xml:space="preserve">                           </w:t>
      </w:r>
    </w:p>
    <w:p>
      <w:pPr>
        <w:pStyle w:val="12"/>
        <w:snapToGrid w:val="0"/>
        <w:spacing w:line="360" w:lineRule="auto"/>
        <w:rPr>
          <w:rFonts w:asciiTheme="minorEastAsia" w:hAnsiTheme="minorEastAsia" w:eastAsiaTheme="minorEastAsia"/>
          <w:szCs w:val="21"/>
        </w:rPr>
      </w:pPr>
      <w:r>
        <w:rPr>
          <w:rFonts w:asciiTheme="minorEastAsia" w:hAnsiTheme="minorEastAsia" w:eastAsiaTheme="minorEastAsia"/>
          <w:szCs w:val="21"/>
        </w:rPr>
        <w:t>乙方（</w:t>
      </w:r>
      <w:r>
        <w:rPr>
          <w:rFonts w:hint="eastAsia" w:asciiTheme="minorEastAsia" w:hAnsiTheme="minorEastAsia" w:eastAsiaTheme="minorEastAsia"/>
          <w:szCs w:val="21"/>
        </w:rPr>
        <w:t>中标人</w:t>
      </w:r>
      <w:r>
        <w:rPr>
          <w:rFonts w:asciiTheme="minorEastAsia" w:hAnsiTheme="minorEastAsia" w:eastAsiaTheme="minorEastAsia"/>
          <w:szCs w:val="21"/>
        </w:rPr>
        <w:t>）：</w:t>
      </w:r>
      <w:r>
        <w:rPr>
          <w:rFonts w:hint="eastAsia" w:asciiTheme="minorEastAsia" w:hAnsiTheme="minorEastAsia" w:eastAsiaTheme="minorEastAsia"/>
          <w:szCs w:val="21"/>
        </w:rPr>
        <w:t xml:space="preserve">                        </w:t>
      </w:r>
    </w:p>
    <w:p>
      <w:pPr>
        <w:pStyle w:val="12"/>
        <w:snapToGrid w:val="0"/>
        <w:spacing w:line="360" w:lineRule="auto"/>
        <w:ind w:firstLine="420" w:firstLineChars="200"/>
        <w:rPr>
          <w:rFonts w:asciiTheme="minorEastAsia" w:hAnsiTheme="minorEastAsia" w:eastAsiaTheme="minorEastAsia"/>
          <w:b/>
          <w:szCs w:val="21"/>
        </w:rPr>
      </w:pPr>
      <w:r>
        <w:rPr>
          <w:rFonts w:asciiTheme="minorEastAsia" w:hAnsiTheme="minorEastAsia" w:eastAsiaTheme="minorEastAsia"/>
          <w:szCs w:val="21"/>
        </w:rPr>
        <w:t>甲、乙双方根据</w:t>
      </w:r>
      <w:r>
        <w:rPr>
          <w:rFonts w:hint="eastAsia" w:cs="Arial" w:asciiTheme="minorEastAsia" w:hAnsiTheme="minorEastAsia" w:eastAsiaTheme="minorEastAsia"/>
          <w:szCs w:val="21"/>
        </w:rPr>
        <w:t>台州市建设咨询有限公司</w:t>
      </w:r>
      <w:r>
        <w:rPr>
          <w:rFonts w:asciiTheme="minorEastAsia" w:hAnsiTheme="minorEastAsia" w:eastAsiaTheme="minorEastAsia"/>
          <w:szCs w:val="21"/>
        </w:rPr>
        <w:t>关于</w:t>
      </w:r>
      <w:r>
        <w:rPr>
          <w:rFonts w:hint="eastAsia" w:cs="Arial" w:asciiTheme="minorEastAsia" w:hAnsiTheme="minorEastAsia" w:eastAsiaTheme="minorEastAsia"/>
          <w:szCs w:val="21"/>
          <w:u w:val="single"/>
          <w:lang w:eastAsia="zh-CN"/>
        </w:rPr>
        <w:t>医用气体成套设备采购项目</w:t>
      </w:r>
      <w:r>
        <w:rPr>
          <w:rFonts w:hint="eastAsia" w:cs="Arial" w:asciiTheme="minorEastAsia" w:hAnsiTheme="minorEastAsia" w:eastAsiaTheme="minorEastAsia"/>
          <w:szCs w:val="21"/>
          <w:u w:val="single"/>
        </w:rPr>
        <w:t>（项目编号：</w:t>
      </w:r>
      <w:r>
        <w:rPr>
          <w:rFonts w:hint="eastAsia" w:asciiTheme="minorEastAsia" w:hAnsiTheme="minorEastAsia" w:eastAsiaTheme="minorEastAsia"/>
          <w:szCs w:val="21"/>
          <w:u w:val="single"/>
          <w:lang w:val="en-US" w:eastAsia="zh-CN"/>
        </w:rPr>
        <w:t>临【2022】574号</w:t>
      </w:r>
      <w:r>
        <w:rPr>
          <w:rFonts w:hint="eastAsia" w:cs="Arial" w:asciiTheme="minorEastAsia" w:hAnsiTheme="minorEastAsia" w:eastAsiaTheme="minorEastAsia"/>
          <w:szCs w:val="21"/>
          <w:u w:val="single"/>
        </w:rPr>
        <w:t>）</w:t>
      </w:r>
      <w:r>
        <w:rPr>
          <w:rFonts w:asciiTheme="minorEastAsia" w:hAnsiTheme="minorEastAsia" w:eastAsiaTheme="minorEastAsia"/>
          <w:szCs w:val="21"/>
        </w:rPr>
        <w:t>公开招标的结果，签署本合同。</w:t>
      </w:r>
    </w:p>
    <w:p>
      <w:pPr>
        <w:numPr>
          <w:ilvl w:val="0"/>
          <w:numId w:val="10"/>
        </w:numPr>
        <w:spacing w:line="360" w:lineRule="auto"/>
        <w:rPr>
          <w:rFonts w:asciiTheme="minorEastAsia" w:hAnsiTheme="minorEastAsia" w:eastAsiaTheme="minorEastAsia"/>
          <w:b/>
          <w:bCs/>
          <w:color w:val="auto"/>
          <w:szCs w:val="21"/>
          <w:lang w:val="zh-CN"/>
        </w:rPr>
      </w:pPr>
      <w:r>
        <w:rPr>
          <w:rFonts w:hint="eastAsia" w:asciiTheme="minorEastAsia" w:hAnsiTheme="minorEastAsia" w:eastAsiaTheme="minorEastAsia"/>
          <w:b/>
          <w:bCs/>
          <w:color w:val="auto"/>
          <w:szCs w:val="21"/>
          <w:lang w:val="zh-CN"/>
        </w:rPr>
        <w:t>承包内容</w:t>
      </w:r>
    </w:p>
    <w:p>
      <w:pPr>
        <w:pStyle w:val="12"/>
        <w:snapToGrid w:val="0"/>
        <w:spacing w:line="360" w:lineRule="auto"/>
        <w:ind w:firstLine="420" w:firstLineChars="200"/>
        <w:rPr>
          <w:rFonts w:asciiTheme="minorEastAsia" w:hAnsiTheme="minorEastAsia" w:eastAsiaTheme="minorEastAsia"/>
          <w:color w:val="auto"/>
          <w:szCs w:val="21"/>
          <w:lang w:val="zh-CN"/>
        </w:rPr>
      </w:pPr>
      <w:r>
        <w:rPr>
          <w:rFonts w:hint="eastAsia" w:cs="宋体" w:asciiTheme="minorEastAsia" w:hAnsiTheme="minorEastAsia" w:eastAsiaTheme="minorEastAsia"/>
          <w:bCs/>
          <w:color w:val="auto"/>
          <w:szCs w:val="21"/>
        </w:rPr>
        <w:t>主要包括医用气体设备的采购，运输装卸、就位、安装、调试、试运行、验收、抽样检测、培训及售后服务等工作</w:t>
      </w:r>
      <w:r>
        <w:rPr>
          <w:rFonts w:hint="eastAsia" w:asciiTheme="minorEastAsia" w:hAnsiTheme="minorEastAsia" w:eastAsiaTheme="minorEastAsia"/>
          <w:color w:val="auto"/>
          <w:szCs w:val="21"/>
          <w:lang w:val="zh-CN"/>
        </w:rPr>
        <w:t>。</w:t>
      </w:r>
    </w:p>
    <w:p>
      <w:pPr>
        <w:numPr>
          <w:ilvl w:val="0"/>
          <w:numId w:val="10"/>
        </w:numPr>
        <w:spacing w:line="360" w:lineRule="auto"/>
        <w:rPr>
          <w:rFonts w:asciiTheme="minorEastAsia" w:hAnsiTheme="minorEastAsia" w:eastAsiaTheme="minorEastAsia"/>
          <w:b/>
          <w:color w:val="auto"/>
          <w:szCs w:val="21"/>
        </w:rPr>
      </w:pPr>
      <w:r>
        <w:rPr>
          <w:rFonts w:asciiTheme="minorEastAsia" w:hAnsiTheme="minorEastAsia" w:eastAsiaTheme="minorEastAsia"/>
          <w:b/>
          <w:color w:val="auto"/>
          <w:szCs w:val="21"/>
        </w:rPr>
        <w:t>合同金额</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r>
        <w:rPr>
          <w:rFonts w:hint="eastAsia" w:cs="宋体" w:asciiTheme="minorEastAsia" w:hAnsiTheme="minorEastAsia" w:eastAsiaTheme="minorEastAsia"/>
          <w:b/>
          <w:bCs/>
          <w:color w:val="000000"/>
          <w:szCs w:val="21"/>
          <w:lang w:val="en-US" w:eastAsia="zh-CN"/>
        </w:rPr>
        <w:t>签约合同价</w:t>
      </w:r>
      <w:r>
        <w:rPr>
          <w:rFonts w:hint="eastAsia" w:cs="宋体" w:asciiTheme="minorEastAsia" w:hAnsiTheme="minorEastAsia" w:eastAsiaTheme="minorEastAsia"/>
          <w:b/>
          <w:bCs/>
          <w:color w:val="000000"/>
          <w:szCs w:val="21"/>
        </w:rPr>
        <w:t>：</w:t>
      </w:r>
      <w:r>
        <w:rPr>
          <w:rFonts w:hint="eastAsia" w:cs="宋体" w:asciiTheme="minorEastAsia" w:hAnsiTheme="minorEastAsia" w:eastAsiaTheme="minorEastAsia"/>
          <w:color w:val="000000"/>
          <w:szCs w:val="21"/>
        </w:rPr>
        <w:t xml:space="preserve">人民币 </w:t>
      </w:r>
      <w:r>
        <w:rPr>
          <w:rFonts w:hint="eastAsia" w:cs="宋体" w:asciiTheme="minorEastAsia" w:hAnsiTheme="minorEastAsia" w:eastAsiaTheme="minorEastAsia"/>
          <w:color w:val="000000"/>
          <w:szCs w:val="21"/>
          <w:u w:val="single"/>
        </w:rPr>
        <w:t xml:space="preserve">           </w:t>
      </w:r>
      <w:r>
        <w:rPr>
          <w:rFonts w:hint="eastAsia" w:cs="宋体" w:asciiTheme="minorEastAsia" w:hAnsiTheme="minorEastAsia" w:eastAsiaTheme="minorEastAsia"/>
          <w:color w:val="000000"/>
          <w:szCs w:val="21"/>
        </w:rPr>
        <w:t>元整（小写：￥</w:t>
      </w:r>
      <w:r>
        <w:rPr>
          <w:rFonts w:hint="eastAsia" w:cs="宋体" w:asciiTheme="minorEastAsia" w:hAnsiTheme="minorEastAsia" w:eastAsiaTheme="minorEastAsia"/>
          <w:color w:val="000000"/>
          <w:szCs w:val="21"/>
          <w:u w:val="single"/>
        </w:rPr>
        <w:t xml:space="preserve">      </w:t>
      </w:r>
      <w:r>
        <w:rPr>
          <w:rFonts w:hint="eastAsia" w:cs="宋体" w:asciiTheme="minorEastAsia" w:hAnsiTheme="minorEastAsia" w:eastAsiaTheme="minorEastAsia"/>
          <w:color w:val="000000"/>
          <w:szCs w:val="21"/>
        </w:rPr>
        <w:t>万元）。</w:t>
      </w:r>
    </w:p>
    <w:p>
      <w:pPr>
        <w:pStyle w:val="59"/>
        <w:widowControl/>
        <w:adjustRightInd w:val="0"/>
        <w:snapToGrid w:val="0"/>
        <w:spacing w:line="360" w:lineRule="auto"/>
        <w:ind w:firstLine="420" w:firstLineChars="200"/>
        <w:jc w:val="left"/>
        <w:rPr>
          <w:rFonts w:cs="宋体" w:asciiTheme="minorEastAsia" w:hAnsiTheme="minorEastAsia" w:eastAsiaTheme="minorEastAsia"/>
          <w:b/>
          <w:bCs/>
          <w:color w:val="000000"/>
          <w:szCs w:val="21"/>
        </w:rPr>
      </w:pPr>
      <w:r>
        <w:rPr>
          <w:rFonts w:hint="eastAsia" w:cs="宋体" w:asciiTheme="minorEastAsia" w:hAnsiTheme="minorEastAsia" w:eastAsiaTheme="minorEastAsia"/>
          <w:color w:val="000000"/>
          <w:szCs w:val="21"/>
        </w:rPr>
        <w:t>1.1</w:t>
      </w:r>
      <w:r>
        <w:rPr>
          <w:rFonts w:hint="eastAsia" w:cs="宋体" w:asciiTheme="minorEastAsia" w:hAnsiTheme="minorEastAsia" w:eastAsiaTheme="minorEastAsia"/>
          <w:color w:val="000000"/>
          <w:szCs w:val="21"/>
          <w:lang w:val="en-US" w:eastAsia="zh-CN"/>
        </w:rPr>
        <w:t>本项目具体要求详见图纸及本项目采购需求</w:t>
      </w:r>
      <w:r>
        <w:rPr>
          <w:rFonts w:hint="eastAsia" w:cs="宋体" w:asciiTheme="minorEastAsia" w:hAnsiTheme="minorEastAsia" w:eastAsiaTheme="minorEastAsia"/>
          <w:color w:val="000000"/>
          <w:szCs w:val="21"/>
        </w:rPr>
        <w:t>。</w:t>
      </w:r>
    </w:p>
    <w:p>
      <w:pPr>
        <w:pStyle w:val="2"/>
        <w:adjustRightInd w:val="0"/>
        <w:snapToGrid w:val="0"/>
        <w:spacing w:line="320" w:lineRule="exact"/>
        <w:ind w:firstLine="422" w:firstLineChars="200"/>
        <w:rPr>
          <w:rFonts w:hint="eastAsia" w:cs="宋体" w:asciiTheme="minorEastAsia" w:hAnsiTheme="minorEastAsia" w:eastAsiaTheme="minorEastAsia"/>
          <w:b/>
          <w:bCs/>
          <w:color w:val="auto"/>
          <w:szCs w:val="21"/>
          <w:u w:val="none"/>
        </w:rPr>
      </w:pPr>
      <w:r>
        <w:rPr>
          <w:rFonts w:hint="eastAsia" w:cs="宋体" w:asciiTheme="minorEastAsia" w:hAnsiTheme="minorEastAsia" w:eastAsiaTheme="minorEastAsia"/>
          <w:b/>
          <w:bCs/>
          <w:color w:val="auto"/>
          <w:szCs w:val="21"/>
          <w:u w:val="none"/>
        </w:rPr>
        <w:t xml:space="preserve">1.2本项目采用 </w:t>
      </w:r>
      <w:r>
        <w:rPr>
          <w:rFonts w:hint="eastAsia" w:cs="宋体" w:asciiTheme="minorEastAsia" w:hAnsiTheme="minorEastAsia" w:eastAsiaTheme="minorEastAsia"/>
          <w:b/>
          <w:bCs/>
          <w:color w:val="auto"/>
          <w:szCs w:val="21"/>
          <w:u w:val="single"/>
          <w:lang w:val="en-US" w:eastAsia="zh-CN"/>
        </w:rPr>
        <w:t xml:space="preserve">  </w:t>
      </w:r>
      <w:r>
        <w:rPr>
          <w:rFonts w:hint="eastAsia" w:cs="宋体" w:asciiTheme="minorEastAsia" w:hAnsiTheme="minorEastAsia" w:eastAsiaTheme="minorEastAsia"/>
          <w:b/>
          <w:bCs/>
          <w:color w:val="auto"/>
          <w:szCs w:val="21"/>
          <w:u w:val="single"/>
        </w:rPr>
        <w:t>固定</w:t>
      </w:r>
      <w:r>
        <w:rPr>
          <w:rFonts w:hint="eastAsia" w:cs="宋体" w:asciiTheme="minorEastAsia" w:hAnsiTheme="minorEastAsia" w:eastAsiaTheme="minorEastAsia"/>
          <w:b/>
          <w:bCs/>
          <w:color w:val="auto"/>
          <w:szCs w:val="21"/>
          <w:u w:val="single"/>
          <w:lang w:val="en-US" w:eastAsia="zh-CN"/>
        </w:rPr>
        <w:t xml:space="preserve">总价   </w:t>
      </w:r>
      <w:r>
        <w:rPr>
          <w:rFonts w:hint="eastAsia" w:cs="宋体" w:asciiTheme="minorEastAsia" w:hAnsiTheme="minorEastAsia" w:eastAsiaTheme="minorEastAsia"/>
          <w:b/>
          <w:bCs/>
          <w:color w:val="auto"/>
          <w:szCs w:val="21"/>
          <w:u w:val="none"/>
        </w:rPr>
        <w:t>形式</w:t>
      </w:r>
      <w:r>
        <w:rPr>
          <w:rFonts w:hint="eastAsia" w:cs="宋体" w:asciiTheme="minorEastAsia" w:hAnsiTheme="minorEastAsia" w:eastAsiaTheme="minorEastAsia"/>
          <w:b/>
          <w:bCs/>
          <w:color w:val="auto"/>
          <w:szCs w:val="21"/>
          <w:u w:val="none"/>
          <w:lang w:eastAsia="zh-CN"/>
        </w:rPr>
        <w:t>（</w:t>
      </w:r>
      <w:r>
        <w:rPr>
          <w:rFonts w:hint="eastAsia" w:ascii="宋体" w:hAnsi="宋体" w:cs="宋体"/>
          <w:b/>
          <w:bCs/>
          <w:color w:val="auto"/>
          <w:szCs w:val="21"/>
          <w:lang w:val="en-US" w:eastAsia="zh-CN"/>
        </w:rPr>
        <w:t>甲方</w:t>
      </w:r>
      <w:r>
        <w:rPr>
          <w:rFonts w:hint="eastAsia" w:cs="宋体" w:asciiTheme="minorEastAsia" w:hAnsiTheme="minorEastAsia" w:eastAsiaTheme="minorEastAsia"/>
          <w:b/>
          <w:bCs/>
          <w:color w:val="auto"/>
          <w:szCs w:val="21"/>
          <w:u w:val="none"/>
          <w:lang w:val="en-US" w:eastAsia="zh-CN"/>
        </w:rPr>
        <w:t>要求变更除外</w:t>
      </w:r>
      <w:r>
        <w:rPr>
          <w:rFonts w:hint="eastAsia" w:cs="宋体" w:asciiTheme="minorEastAsia" w:hAnsiTheme="minorEastAsia" w:eastAsiaTheme="minorEastAsia"/>
          <w:b/>
          <w:bCs/>
          <w:color w:val="auto"/>
          <w:szCs w:val="21"/>
          <w:u w:val="none"/>
          <w:lang w:eastAsia="zh-CN"/>
        </w:rPr>
        <w:t>）</w:t>
      </w:r>
      <w:r>
        <w:rPr>
          <w:rFonts w:hint="eastAsia" w:cs="宋体" w:asciiTheme="minorEastAsia" w:hAnsiTheme="minorEastAsia" w:eastAsiaTheme="minorEastAsia"/>
          <w:b/>
          <w:bCs/>
          <w:color w:val="auto"/>
          <w:szCs w:val="21"/>
          <w:u w:val="none"/>
        </w:rPr>
        <w:t>，</w:t>
      </w:r>
      <w:r>
        <w:rPr>
          <w:rFonts w:hint="eastAsia" w:cs="宋体" w:asciiTheme="minorEastAsia" w:hAnsiTheme="minorEastAsia" w:eastAsiaTheme="minorEastAsia"/>
          <w:b/>
          <w:bCs/>
          <w:color w:val="auto"/>
          <w:szCs w:val="21"/>
          <w:u w:val="none"/>
          <w:lang w:val="en-US" w:eastAsia="zh-CN"/>
        </w:rPr>
        <w:t>签约合同价中</w:t>
      </w:r>
      <w:r>
        <w:rPr>
          <w:rFonts w:hint="eastAsia" w:cs="宋体" w:asciiTheme="minorEastAsia" w:hAnsiTheme="minorEastAsia" w:eastAsiaTheme="minorEastAsia"/>
          <w:b/>
          <w:bCs/>
          <w:color w:val="auto"/>
          <w:szCs w:val="21"/>
          <w:u w:val="none"/>
        </w:rPr>
        <w:t>均已包括不限于主材费、包装费、运输费、运输损耗、装卸费、安装费、安装所用水电费、辅料、配件、</w:t>
      </w:r>
      <w:r>
        <w:rPr>
          <w:rFonts w:hint="eastAsia" w:cs="宋体" w:asciiTheme="minorEastAsia" w:hAnsiTheme="minorEastAsia" w:eastAsiaTheme="minorEastAsia"/>
          <w:b/>
          <w:bCs/>
          <w:color w:val="auto"/>
          <w:szCs w:val="21"/>
          <w:u w:val="none"/>
          <w:lang w:eastAsia="zh-CN"/>
        </w:rPr>
        <w:t>工具、设计优化费、</w:t>
      </w:r>
      <w:r>
        <w:rPr>
          <w:rFonts w:hint="eastAsia" w:cs="宋体" w:asciiTheme="minorEastAsia" w:hAnsiTheme="minorEastAsia" w:eastAsiaTheme="minorEastAsia"/>
          <w:b/>
          <w:bCs/>
          <w:color w:val="auto"/>
          <w:szCs w:val="21"/>
          <w:u w:val="none"/>
        </w:rPr>
        <w:t>保管费、单机调试及联动调试费、第三方检验费、保修费、管理费、相关配合费、现场可能发生的二次搬运、临时设施费、成品保护费、利润、保险、税金等设备安装验收合格直至交付甲方以及售后服务的一切费用，以及其他不可预见的所有费用，且不因劳务、市场设备价格、政策变化而调整。</w:t>
      </w:r>
    </w:p>
    <w:p>
      <w:pPr>
        <w:adjustRightInd w:val="0"/>
        <w:snapToGrid w:val="0"/>
        <w:spacing w:line="360" w:lineRule="auto"/>
        <w:ind w:firstLine="422" w:firstLineChars="200"/>
        <w:jc w:val="left"/>
        <w:rPr>
          <w:rFonts w:hint="eastAsia" w:cs="宋体" w:asciiTheme="minorEastAsia" w:hAnsiTheme="minorEastAsia" w:eastAsiaTheme="minorEastAsia"/>
          <w:b/>
          <w:bCs/>
          <w:color w:val="auto"/>
          <w:kern w:val="2"/>
          <w:sz w:val="21"/>
          <w:szCs w:val="21"/>
          <w:u w:val="none"/>
          <w:lang w:val="en-US" w:eastAsia="zh-CN" w:bidi="ar-SA"/>
        </w:rPr>
      </w:pPr>
      <w:r>
        <w:rPr>
          <w:rFonts w:hint="eastAsia" w:cs="宋体" w:asciiTheme="minorEastAsia" w:hAnsiTheme="minorEastAsia" w:eastAsiaTheme="minorEastAsia"/>
          <w:b/>
          <w:bCs/>
          <w:color w:val="auto"/>
          <w:kern w:val="2"/>
          <w:sz w:val="21"/>
          <w:szCs w:val="21"/>
          <w:u w:val="none"/>
          <w:lang w:val="en-US" w:eastAsia="zh-CN" w:bidi="ar-SA"/>
        </w:rPr>
        <w:t>整个合同履行期间，若甲方要求变更的，则变更部分按照甲方的签证价格进行结算。</w:t>
      </w:r>
    </w:p>
    <w:p>
      <w:pPr>
        <w:adjustRightInd w:val="0"/>
        <w:snapToGrid w:val="0"/>
        <w:spacing w:line="360" w:lineRule="auto"/>
        <w:ind w:firstLine="422" w:firstLineChars="200"/>
        <w:jc w:val="left"/>
        <w:rPr>
          <w:rFonts w:hint="eastAsia" w:ascii="宋体" w:hAnsi="宋体" w:cs="宋体"/>
          <w:b/>
          <w:bCs/>
          <w:color w:val="auto"/>
          <w:u w:val="none"/>
        </w:rPr>
      </w:pPr>
      <w:r>
        <w:rPr>
          <w:rFonts w:hint="eastAsia" w:ascii="宋体" w:hAnsi="宋体" w:cs="宋体"/>
          <w:b/>
          <w:bCs/>
          <w:color w:val="auto"/>
          <w:u w:val="none"/>
          <w:lang w:val="en-US" w:eastAsia="zh-CN"/>
        </w:rPr>
        <w:t>1.2.1乙方必须依</w:t>
      </w:r>
      <w:r>
        <w:rPr>
          <w:rFonts w:hint="eastAsia" w:ascii="宋体" w:hAnsi="宋体" w:cs="宋体"/>
          <w:b/>
          <w:bCs/>
          <w:color w:val="auto"/>
          <w:u w:val="none"/>
        </w:rPr>
        <w:t>据法律法规、政策规定、各类规范标准、现场条件、周边环境条件、自然环境条件、质量、工期等对项目的招标图纸进行深化设计，其设计内容包括但不限于对原设计图纸的深化、优化，材料加工图、节点图、大样图、安装图及竣工图等编制、报审报批工作。</w:t>
      </w:r>
    </w:p>
    <w:p>
      <w:pPr>
        <w:adjustRightInd w:val="0"/>
        <w:snapToGrid w:val="0"/>
        <w:spacing w:line="360" w:lineRule="auto"/>
        <w:ind w:firstLine="422" w:firstLineChars="200"/>
        <w:jc w:val="left"/>
        <w:rPr>
          <w:rFonts w:ascii="宋体" w:hAnsi="宋体" w:cs="宋体"/>
          <w:b/>
          <w:bCs/>
          <w:color w:val="auto"/>
          <w:szCs w:val="21"/>
          <w:u w:val="none"/>
        </w:rPr>
      </w:pPr>
      <w:r>
        <w:rPr>
          <w:rFonts w:hint="eastAsia" w:ascii="宋体" w:hAnsi="宋体" w:cs="宋体"/>
          <w:b/>
          <w:bCs/>
          <w:color w:val="auto"/>
          <w:u w:val="none"/>
          <w:lang w:val="en-US" w:eastAsia="zh-CN"/>
        </w:rPr>
        <w:t>1.2.2</w:t>
      </w:r>
      <w:r>
        <w:rPr>
          <w:rFonts w:hint="eastAsia" w:ascii="宋体" w:hAnsi="宋体" w:cs="Arial"/>
          <w:b/>
          <w:bCs/>
          <w:color w:val="auto"/>
          <w:u w:val="none"/>
          <w:lang w:val="en-US" w:eastAsia="zh-CN"/>
        </w:rPr>
        <w:t>乙方</w:t>
      </w:r>
      <w:r>
        <w:rPr>
          <w:rFonts w:ascii="宋体" w:hAnsi="宋体" w:cs="Arial"/>
          <w:b/>
          <w:bCs/>
          <w:color w:val="auto"/>
          <w:u w:val="none"/>
        </w:rPr>
        <w:t>的深化设计应经过</w:t>
      </w:r>
      <w:r>
        <w:rPr>
          <w:rFonts w:hint="eastAsia" w:ascii="宋体" w:hAnsi="宋体" w:cs="Arial"/>
          <w:b/>
          <w:bCs/>
          <w:color w:val="auto"/>
          <w:u w:val="none"/>
          <w:lang w:val="en-US" w:eastAsia="zh-CN"/>
        </w:rPr>
        <w:t>甲方</w:t>
      </w:r>
      <w:r>
        <w:rPr>
          <w:rFonts w:ascii="宋体" w:hAnsi="宋体" w:cs="Arial"/>
          <w:b/>
          <w:bCs/>
          <w:color w:val="auto"/>
          <w:u w:val="none"/>
        </w:rPr>
        <w:t>、设计人</w:t>
      </w:r>
      <w:r>
        <w:rPr>
          <w:rFonts w:hint="eastAsia" w:ascii="宋体" w:hAnsi="宋体" w:cs="Arial"/>
          <w:b/>
          <w:bCs/>
          <w:color w:val="auto"/>
          <w:u w:val="none"/>
          <w:lang w:val="en-US" w:eastAsia="zh-CN"/>
        </w:rPr>
        <w:t>等</w:t>
      </w:r>
      <w:r>
        <w:rPr>
          <w:rFonts w:ascii="宋体" w:hAnsi="宋体" w:cs="Arial"/>
          <w:b/>
          <w:bCs/>
          <w:color w:val="auto"/>
          <w:u w:val="none"/>
        </w:rPr>
        <w:t>确认后方可进行</w:t>
      </w:r>
      <w:r>
        <w:rPr>
          <w:rFonts w:hint="eastAsia" w:ascii="宋体" w:hAnsi="宋体" w:cs="Arial"/>
          <w:b/>
          <w:bCs/>
          <w:color w:val="auto"/>
          <w:u w:val="none"/>
          <w:lang w:val="en-US" w:eastAsia="zh-CN"/>
        </w:rPr>
        <w:t>施工</w:t>
      </w:r>
      <w:r>
        <w:rPr>
          <w:rFonts w:ascii="宋体" w:hAnsi="宋体" w:cs="Arial"/>
          <w:b/>
          <w:bCs/>
          <w:color w:val="auto"/>
          <w:u w:val="none"/>
        </w:rPr>
        <w:t>。</w:t>
      </w:r>
      <w:r>
        <w:rPr>
          <w:rFonts w:hint="eastAsia" w:ascii="宋体" w:hAnsi="宋体" w:cs="Arial"/>
          <w:b/>
          <w:bCs/>
          <w:color w:val="auto"/>
          <w:u w:val="none"/>
          <w:lang w:val="en-US" w:eastAsia="zh-CN"/>
        </w:rPr>
        <w:t>乙方</w:t>
      </w:r>
      <w:r>
        <w:rPr>
          <w:rFonts w:ascii="宋体" w:hAnsi="宋体" w:cs="Arial"/>
          <w:b/>
          <w:bCs/>
          <w:color w:val="auto"/>
          <w:u w:val="none"/>
        </w:rPr>
        <w:t>对自行或委托设计的图纸负有相应的法律责任，无论在何种情况下对</w:t>
      </w:r>
      <w:r>
        <w:rPr>
          <w:rFonts w:hint="eastAsia" w:ascii="宋体" w:hAnsi="宋体" w:cs="Arial"/>
          <w:b/>
          <w:bCs/>
          <w:color w:val="auto"/>
          <w:u w:val="none"/>
          <w:lang w:val="en-US" w:eastAsia="zh-CN"/>
        </w:rPr>
        <w:t>采购</w:t>
      </w:r>
      <w:r>
        <w:rPr>
          <w:rFonts w:ascii="宋体" w:hAnsi="宋体" w:cs="Arial"/>
          <w:b/>
          <w:bCs/>
          <w:color w:val="auto"/>
          <w:u w:val="none"/>
        </w:rPr>
        <w:t>人负有技术和经济责任。</w:t>
      </w:r>
      <w:r>
        <w:rPr>
          <w:rFonts w:hint="eastAsia" w:ascii="宋体" w:hAnsi="宋体" w:cs="Arial"/>
          <w:b/>
          <w:bCs/>
          <w:color w:val="auto"/>
          <w:u w:val="none"/>
          <w:lang w:val="en-US" w:eastAsia="zh-CN"/>
        </w:rPr>
        <w:t>甲方</w:t>
      </w:r>
      <w:r>
        <w:rPr>
          <w:rFonts w:ascii="宋体" w:hAnsi="宋体" w:cs="Arial"/>
          <w:b/>
          <w:bCs/>
          <w:color w:val="auto"/>
          <w:u w:val="none"/>
        </w:rPr>
        <w:t>、设计人的审批不能免除或减轻</w:t>
      </w:r>
      <w:r>
        <w:rPr>
          <w:rFonts w:hint="eastAsia" w:ascii="宋体" w:hAnsi="宋体" w:cs="Arial"/>
          <w:b/>
          <w:bCs/>
          <w:color w:val="auto"/>
          <w:u w:val="none"/>
          <w:lang w:val="en-US" w:eastAsia="zh-CN"/>
        </w:rPr>
        <w:t>乙方</w:t>
      </w:r>
      <w:r>
        <w:rPr>
          <w:rFonts w:ascii="宋体" w:hAnsi="宋体" w:cs="Arial"/>
          <w:b/>
          <w:bCs/>
          <w:color w:val="auto"/>
          <w:u w:val="none"/>
        </w:rPr>
        <w:t>按本合同文件所应承担的责任，因为</w:t>
      </w:r>
      <w:r>
        <w:rPr>
          <w:rFonts w:hint="eastAsia" w:ascii="宋体" w:hAnsi="宋体" w:cs="Arial"/>
          <w:b/>
          <w:bCs/>
          <w:color w:val="auto"/>
          <w:u w:val="none"/>
          <w:lang w:val="en-US" w:eastAsia="zh-CN"/>
        </w:rPr>
        <w:t>乙方</w:t>
      </w:r>
      <w:r>
        <w:rPr>
          <w:rFonts w:ascii="宋体" w:hAnsi="宋体" w:cs="Arial"/>
          <w:b/>
          <w:bCs/>
          <w:color w:val="auto"/>
          <w:u w:val="none"/>
        </w:rPr>
        <w:t>已被视为一名合格的专业设计人</w:t>
      </w:r>
      <w:r>
        <w:rPr>
          <w:rFonts w:hint="eastAsia" w:ascii="宋体" w:hAnsi="宋体" w:cs="宋体"/>
          <w:b/>
          <w:bCs/>
          <w:color w:val="auto"/>
          <w:szCs w:val="21"/>
          <w:u w:val="none"/>
        </w:rPr>
        <w:t>。</w:t>
      </w:r>
    </w:p>
    <w:p>
      <w:pPr>
        <w:adjustRightInd w:val="0"/>
        <w:snapToGrid w:val="0"/>
        <w:spacing w:line="360" w:lineRule="auto"/>
        <w:ind w:firstLine="422" w:firstLineChars="200"/>
        <w:jc w:val="left"/>
        <w:rPr>
          <w:rFonts w:ascii="宋体" w:hAnsi="宋体" w:cs="宋体"/>
          <w:b/>
          <w:bCs/>
          <w:color w:val="auto"/>
          <w:szCs w:val="21"/>
          <w:u w:val="none"/>
        </w:rPr>
      </w:pPr>
      <w:r>
        <w:rPr>
          <w:rFonts w:hint="eastAsia" w:ascii="宋体" w:hAnsi="宋体" w:cs="宋体"/>
          <w:b/>
          <w:bCs/>
          <w:color w:val="auto"/>
          <w:u w:val="none"/>
          <w:lang w:val="en-US" w:eastAsia="zh-CN"/>
        </w:rPr>
        <w:t>1.2.3</w:t>
      </w:r>
      <w:r>
        <w:rPr>
          <w:rFonts w:hint="eastAsia" w:ascii="宋体" w:hAnsi="宋体" w:cs="Arial"/>
          <w:b/>
          <w:bCs/>
          <w:color w:val="auto"/>
          <w:u w:val="none"/>
        </w:rPr>
        <w:t>深化设计</w:t>
      </w:r>
      <w:r>
        <w:rPr>
          <w:rFonts w:ascii="宋体" w:hAnsi="宋体" w:cs="Arial"/>
          <w:b/>
          <w:bCs/>
          <w:color w:val="auto"/>
          <w:u w:val="none"/>
        </w:rPr>
        <w:t>的费用：</w:t>
      </w:r>
      <w:r>
        <w:rPr>
          <w:rFonts w:hint="eastAsia" w:ascii="宋体" w:hAnsi="宋体" w:cs="Arial"/>
          <w:b/>
          <w:bCs/>
          <w:color w:val="auto"/>
          <w:szCs w:val="21"/>
          <w:u w:val="none"/>
        </w:rPr>
        <w:t>指在</w:t>
      </w:r>
      <w:r>
        <w:rPr>
          <w:rFonts w:hint="eastAsia" w:ascii="宋体" w:hAnsi="宋体" w:cs="Arial"/>
          <w:b/>
          <w:bCs/>
          <w:color w:val="auto"/>
          <w:szCs w:val="21"/>
          <w:u w:val="none"/>
          <w:lang w:val="en-US" w:eastAsia="zh-CN"/>
        </w:rPr>
        <w:t>甲方提供的图纸基础上</w:t>
      </w:r>
      <w:r>
        <w:rPr>
          <w:rFonts w:hint="eastAsia" w:ascii="宋体" w:hAnsi="宋体" w:cs="Arial"/>
          <w:b/>
          <w:bCs/>
          <w:color w:val="auto"/>
          <w:szCs w:val="21"/>
          <w:u w:val="none"/>
        </w:rPr>
        <w:t>对各系统主要节点深化、优化设计所涉及的费用，</w:t>
      </w:r>
      <w:r>
        <w:rPr>
          <w:rFonts w:ascii="宋体" w:hAnsi="宋体" w:cs="Arial"/>
          <w:b/>
          <w:bCs/>
          <w:color w:val="auto"/>
          <w:szCs w:val="21"/>
          <w:u w:val="none"/>
        </w:rPr>
        <w:t>深化设计费用已包含在</w:t>
      </w:r>
      <w:r>
        <w:rPr>
          <w:rFonts w:hint="eastAsia" w:ascii="宋体" w:hAnsi="宋体" w:cs="Arial"/>
          <w:b/>
          <w:bCs/>
          <w:color w:val="auto"/>
          <w:szCs w:val="21"/>
          <w:u w:val="none"/>
        </w:rPr>
        <w:t>签约</w:t>
      </w:r>
      <w:r>
        <w:rPr>
          <w:rFonts w:ascii="宋体" w:hAnsi="宋体" w:cs="Arial"/>
          <w:b/>
          <w:bCs/>
          <w:color w:val="auto"/>
          <w:szCs w:val="21"/>
          <w:u w:val="none"/>
        </w:rPr>
        <w:t>合同价中。深化设计不做设计变更处理，深化设计所涉及的工程费用增加已包含在</w:t>
      </w:r>
      <w:r>
        <w:rPr>
          <w:rFonts w:hint="eastAsia" w:ascii="宋体" w:hAnsi="宋体" w:cs="Arial"/>
          <w:b/>
          <w:bCs/>
          <w:color w:val="auto"/>
          <w:szCs w:val="21"/>
          <w:u w:val="none"/>
        </w:rPr>
        <w:t>签约</w:t>
      </w:r>
      <w:r>
        <w:rPr>
          <w:rFonts w:ascii="宋体" w:hAnsi="宋体" w:cs="Arial"/>
          <w:b/>
          <w:bCs/>
          <w:color w:val="auto"/>
          <w:szCs w:val="21"/>
          <w:u w:val="none"/>
        </w:rPr>
        <w:t>合同价中</w:t>
      </w:r>
      <w:r>
        <w:rPr>
          <w:rFonts w:hint="eastAsia" w:ascii="宋体" w:hAnsi="宋体" w:cs="Arial"/>
          <w:b/>
          <w:bCs/>
          <w:color w:val="auto"/>
          <w:szCs w:val="21"/>
          <w:u w:val="none"/>
          <w:lang w:eastAsia="zh-CN"/>
        </w:rPr>
        <w:t>，</w:t>
      </w:r>
      <w:r>
        <w:rPr>
          <w:rFonts w:hint="eastAsia" w:ascii="宋体" w:hAnsi="宋体" w:cs="Arial"/>
          <w:b/>
          <w:bCs/>
          <w:color w:val="auto"/>
          <w:szCs w:val="21"/>
          <w:u w:val="none"/>
          <w:lang w:val="en-US" w:eastAsia="zh-CN"/>
        </w:rPr>
        <w:t>不再另行计取</w:t>
      </w:r>
      <w:r>
        <w:rPr>
          <w:rFonts w:hint="eastAsia" w:ascii="宋体" w:hAnsi="宋体" w:cs="宋体"/>
          <w:b/>
          <w:bCs/>
          <w:color w:val="auto"/>
          <w:szCs w:val="21"/>
          <w:u w:val="none"/>
        </w:rPr>
        <w:t>。</w:t>
      </w:r>
    </w:p>
    <w:p>
      <w:pPr>
        <w:adjustRightInd w:val="0"/>
        <w:snapToGrid w:val="0"/>
        <w:spacing w:line="360" w:lineRule="auto"/>
        <w:ind w:firstLine="422" w:firstLineChars="200"/>
        <w:jc w:val="left"/>
        <w:rPr>
          <w:rFonts w:ascii="宋体" w:hAnsi="宋体" w:cs="宋体"/>
          <w:b/>
          <w:bCs/>
          <w:color w:val="auto"/>
          <w:szCs w:val="21"/>
          <w:u w:val="none"/>
        </w:rPr>
      </w:pPr>
      <w:r>
        <w:rPr>
          <w:rFonts w:hint="eastAsia" w:ascii="宋体" w:hAnsi="宋体" w:cs="宋体"/>
          <w:b/>
          <w:bCs/>
          <w:color w:val="auto"/>
          <w:u w:val="none"/>
          <w:lang w:val="en-US" w:eastAsia="zh-CN"/>
        </w:rPr>
        <w:t>1.2.4</w:t>
      </w:r>
      <w:r>
        <w:rPr>
          <w:rFonts w:ascii="宋体" w:hAnsi="宋体" w:cs="Arial"/>
          <w:b/>
          <w:bCs/>
          <w:color w:val="auto"/>
          <w:szCs w:val="21"/>
          <w:u w:val="none"/>
        </w:rPr>
        <w:t>施工过程中因图纸深化、细化等因素引起的调改及错漏碰缺所增加的工程费用已包含在签约合同价中</w:t>
      </w:r>
      <w:r>
        <w:rPr>
          <w:rFonts w:hint="eastAsia" w:ascii="宋体" w:hAnsi="宋体" w:cs="Arial"/>
          <w:b/>
          <w:bCs/>
          <w:color w:val="auto"/>
          <w:szCs w:val="21"/>
          <w:u w:val="none"/>
          <w:lang w:eastAsia="zh-CN"/>
        </w:rPr>
        <w:t>，</w:t>
      </w:r>
      <w:r>
        <w:rPr>
          <w:rFonts w:hint="eastAsia" w:ascii="宋体" w:hAnsi="宋体" w:cs="Arial"/>
          <w:b/>
          <w:bCs/>
          <w:color w:val="auto"/>
          <w:szCs w:val="21"/>
          <w:u w:val="none"/>
          <w:lang w:val="en-US" w:eastAsia="zh-CN"/>
        </w:rPr>
        <w:t>结算时不再另行计取</w:t>
      </w:r>
      <w:r>
        <w:rPr>
          <w:rFonts w:hint="eastAsia" w:ascii="宋体" w:hAnsi="宋体" w:cs="宋体"/>
          <w:b/>
          <w:bCs/>
          <w:color w:val="auto"/>
          <w:szCs w:val="21"/>
          <w:u w:val="none"/>
        </w:rPr>
        <w:t>。</w:t>
      </w:r>
    </w:p>
    <w:p>
      <w:pPr>
        <w:adjustRightInd w:val="0"/>
        <w:snapToGrid w:val="0"/>
        <w:spacing w:line="360" w:lineRule="auto"/>
        <w:ind w:firstLine="422" w:firstLineChars="200"/>
        <w:jc w:val="left"/>
        <w:rPr>
          <w:rFonts w:ascii="宋体" w:hAnsi="宋体" w:cs="宋体"/>
          <w:b/>
          <w:bCs/>
          <w:color w:val="auto"/>
          <w:szCs w:val="21"/>
          <w:u w:val="none"/>
        </w:rPr>
      </w:pPr>
      <w:r>
        <w:rPr>
          <w:rFonts w:hint="eastAsia" w:ascii="宋体" w:hAnsi="宋体" w:cs="宋体"/>
          <w:b/>
          <w:bCs/>
          <w:color w:val="auto"/>
          <w:u w:val="none"/>
          <w:lang w:val="en-US" w:eastAsia="zh-CN"/>
        </w:rPr>
        <w:t>1.2.5</w:t>
      </w:r>
      <w:r>
        <w:rPr>
          <w:rFonts w:ascii="宋体" w:hAnsi="宋体" w:cs="Arial"/>
          <w:b/>
          <w:bCs/>
          <w:color w:val="auto"/>
          <w:szCs w:val="21"/>
          <w:u w:val="none"/>
        </w:rPr>
        <w:t>合同图纸等相关设计文件、</w:t>
      </w:r>
      <w:r>
        <w:rPr>
          <w:rFonts w:hint="eastAsia" w:ascii="宋体" w:hAnsi="宋体" w:cs="Arial"/>
          <w:b/>
          <w:bCs/>
          <w:color w:val="auto"/>
          <w:szCs w:val="21"/>
          <w:u w:val="none"/>
          <w:lang w:val="en-US" w:eastAsia="zh-CN"/>
        </w:rPr>
        <w:t>乙方</w:t>
      </w:r>
      <w:r>
        <w:rPr>
          <w:rFonts w:ascii="宋体" w:hAnsi="宋体" w:cs="Arial"/>
          <w:b/>
          <w:bCs/>
          <w:color w:val="auto"/>
          <w:szCs w:val="21"/>
          <w:u w:val="none"/>
        </w:rPr>
        <w:t>今后提供的图纸等相关设计文件和本合同条件均视为具有互为解释能力。如</w:t>
      </w:r>
      <w:r>
        <w:rPr>
          <w:rFonts w:hint="eastAsia" w:ascii="宋体" w:hAnsi="宋体" w:cs="Arial"/>
          <w:b/>
          <w:bCs/>
          <w:color w:val="auto"/>
          <w:szCs w:val="21"/>
          <w:u w:val="none"/>
          <w:lang w:val="en-US" w:eastAsia="zh-CN"/>
        </w:rPr>
        <w:t>乙方</w:t>
      </w:r>
      <w:r>
        <w:rPr>
          <w:rFonts w:ascii="宋体" w:hAnsi="宋体" w:cs="Arial"/>
          <w:b/>
          <w:bCs/>
          <w:color w:val="auto"/>
          <w:szCs w:val="21"/>
          <w:u w:val="none"/>
        </w:rPr>
        <w:t>发现文件间有任何不一致和歧异时，</w:t>
      </w:r>
      <w:r>
        <w:rPr>
          <w:rFonts w:hint="eastAsia" w:ascii="宋体" w:hAnsi="宋体" w:cs="Arial"/>
          <w:b/>
          <w:bCs/>
          <w:color w:val="auto"/>
          <w:szCs w:val="21"/>
          <w:u w:val="none"/>
          <w:lang w:val="en-US" w:eastAsia="zh-CN"/>
        </w:rPr>
        <w:t>乙方</w:t>
      </w:r>
      <w:r>
        <w:rPr>
          <w:rFonts w:ascii="宋体" w:hAnsi="宋体" w:cs="Arial"/>
          <w:b/>
          <w:bCs/>
          <w:color w:val="auto"/>
          <w:szCs w:val="21"/>
          <w:u w:val="none"/>
        </w:rPr>
        <w:t>应立刻以书面通知</w:t>
      </w:r>
      <w:r>
        <w:rPr>
          <w:rFonts w:hint="eastAsia" w:ascii="宋体" w:hAnsi="宋体" w:cs="Arial"/>
          <w:b/>
          <w:bCs/>
          <w:color w:val="auto"/>
          <w:szCs w:val="21"/>
          <w:u w:val="none"/>
          <w:lang w:val="en-US" w:eastAsia="zh-CN"/>
        </w:rPr>
        <w:t>甲方并</w:t>
      </w:r>
      <w:r>
        <w:rPr>
          <w:rFonts w:ascii="宋体" w:hAnsi="宋体" w:cs="Arial"/>
          <w:b/>
          <w:bCs/>
          <w:color w:val="auto"/>
          <w:szCs w:val="21"/>
          <w:u w:val="none"/>
        </w:rPr>
        <w:t>指出不一致和歧异，并按最高要求（包括质量、数量、技术、时间等）执行设计、采购、</w:t>
      </w:r>
      <w:r>
        <w:rPr>
          <w:rFonts w:hint="eastAsia" w:ascii="宋体" w:hAnsi="宋体" w:cs="Arial"/>
          <w:b/>
          <w:bCs/>
          <w:color w:val="auto"/>
          <w:szCs w:val="21"/>
          <w:u w:val="none"/>
          <w:lang w:val="en-US" w:eastAsia="zh-CN"/>
        </w:rPr>
        <w:t>安装</w:t>
      </w:r>
      <w:r>
        <w:rPr>
          <w:rFonts w:ascii="宋体" w:hAnsi="宋体" w:cs="Arial"/>
          <w:b/>
          <w:bCs/>
          <w:color w:val="auto"/>
          <w:szCs w:val="21"/>
          <w:u w:val="none"/>
        </w:rPr>
        <w:t>等工作，不得另外索赔费用及要求延长施工时间，而</w:t>
      </w:r>
      <w:r>
        <w:rPr>
          <w:rFonts w:hint="eastAsia" w:ascii="宋体" w:hAnsi="宋体" w:cs="Arial"/>
          <w:b/>
          <w:bCs/>
          <w:color w:val="auto"/>
          <w:szCs w:val="21"/>
          <w:u w:val="none"/>
          <w:lang w:val="en-US" w:eastAsia="zh-CN"/>
        </w:rPr>
        <w:t>甲方</w:t>
      </w:r>
      <w:r>
        <w:rPr>
          <w:rFonts w:ascii="宋体" w:hAnsi="宋体" w:cs="Arial"/>
          <w:b/>
          <w:bCs/>
          <w:color w:val="auto"/>
          <w:szCs w:val="21"/>
          <w:u w:val="none"/>
        </w:rPr>
        <w:t>应就此作出解释或发出有关指令。在任何情况下，上述不一致或缺漏的地方应向</w:t>
      </w:r>
      <w:r>
        <w:rPr>
          <w:rFonts w:hint="eastAsia" w:ascii="宋体" w:hAnsi="宋体" w:cs="Arial"/>
          <w:b/>
          <w:bCs/>
          <w:color w:val="auto"/>
          <w:szCs w:val="21"/>
          <w:u w:val="none"/>
          <w:lang w:val="en-US" w:eastAsia="zh-CN"/>
        </w:rPr>
        <w:t>甲方</w:t>
      </w:r>
      <w:r>
        <w:rPr>
          <w:rFonts w:ascii="宋体" w:hAnsi="宋体" w:cs="Arial"/>
          <w:b/>
          <w:bCs/>
          <w:color w:val="auto"/>
          <w:szCs w:val="21"/>
          <w:u w:val="none"/>
        </w:rPr>
        <w:t>以书面形式提出，并在任何订购工作进行前取得</w:t>
      </w:r>
      <w:r>
        <w:rPr>
          <w:rFonts w:hint="eastAsia" w:ascii="宋体" w:hAnsi="宋体" w:cs="Arial"/>
          <w:b/>
          <w:bCs/>
          <w:color w:val="auto"/>
          <w:szCs w:val="21"/>
          <w:u w:val="none"/>
          <w:lang w:val="en-US" w:eastAsia="zh-CN"/>
        </w:rPr>
        <w:t>甲方</w:t>
      </w:r>
      <w:r>
        <w:rPr>
          <w:rFonts w:ascii="宋体" w:hAnsi="宋体" w:cs="Arial"/>
          <w:b/>
          <w:bCs/>
          <w:color w:val="auto"/>
          <w:szCs w:val="21"/>
          <w:u w:val="none"/>
        </w:rPr>
        <w:t>的指示，其指示为最终决定，</w:t>
      </w:r>
      <w:r>
        <w:rPr>
          <w:rFonts w:hint="eastAsia" w:ascii="宋体" w:hAnsi="宋体" w:cs="Arial"/>
          <w:b/>
          <w:bCs/>
          <w:color w:val="auto"/>
          <w:szCs w:val="21"/>
          <w:u w:val="none"/>
          <w:lang w:val="en-US" w:eastAsia="zh-CN"/>
        </w:rPr>
        <w:t>乙方</w:t>
      </w:r>
      <w:r>
        <w:rPr>
          <w:rFonts w:ascii="宋体" w:hAnsi="宋体" w:cs="Arial"/>
          <w:b/>
          <w:bCs/>
          <w:color w:val="auto"/>
          <w:szCs w:val="21"/>
          <w:u w:val="none"/>
        </w:rPr>
        <w:t>不得索偿任何因遵照指示而产生的额外费用及时间</w:t>
      </w:r>
      <w:r>
        <w:rPr>
          <w:rFonts w:hint="eastAsia" w:ascii="宋体" w:hAnsi="宋体" w:cs="宋体"/>
          <w:b/>
          <w:bCs/>
          <w:color w:val="auto"/>
          <w:szCs w:val="21"/>
          <w:u w:val="none"/>
        </w:rPr>
        <w:t>。</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.甲方有权随时派员到乙方工厂了解生产工艺、产品质量、并对所供产品进行监制，乙方应予以配合和提供便利。</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.甲方有权根据工期的提前或延期相应调整乙方的供货时间，并不需要因此对乙方承担任何责任。</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.在整个合同履行期间，乙方自身的人员工伤事故保险、机具设备和运输工具的财产保险、人身意外伤害、材料、设备等均由乙方自行投保，费用已包含在投标报价中。</w:t>
      </w:r>
    </w:p>
    <w:p>
      <w:pPr>
        <w:pStyle w:val="59"/>
        <w:widowControl/>
        <w:adjustRightInd w:val="0"/>
        <w:snapToGrid w:val="0"/>
        <w:spacing w:line="360" w:lineRule="auto"/>
        <w:ind w:firstLine="422" w:firstLineChars="200"/>
        <w:jc w:val="left"/>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lang w:val="en-US" w:eastAsia="zh-CN"/>
        </w:rPr>
        <w:t>5</w:t>
      </w:r>
      <w:r>
        <w:rPr>
          <w:rFonts w:hint="eastAsia" w:cs="宋体" w:asciiTheme="minorEastAsia" w:hAnsiTheme="minorEastAsia" w:eastAsiaTheme="minorEastAsia"/>
          <w:b/>
          <w:bCs/>
          <w:color w:val="auto"/>
          <w:szCs w:val="21"/>
          <w:highlight w:val="none"/>
        </w:rPr>
        <w:t>.本项目与室内装修工程存在交叉施工，因交叉施工增加的费用由乙方负责，乙方在投标报价时已经综合考虑此项因素，结算时费用不再另行计取。</w:t>
      </w:r>
    </w:p>
    <w:p>
      <w:pPr>
        <w:pStyle w:val="59"/>
        <w:widowControl/>
        <w:adjustRightInd w:val="0"/>
        <w:snapToGrid w:val="0"/>
        <w:spacing w:line="360" w:lineRule="auto"/>
        <w:ind w:firstLine="422" w:firstLineChars="200"/>
        <w:jc w:val="left"/>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lang w:val="en-US" w:eastAsia="zh-CN"/>
        </w:rPr>
        <w:t>6</w:t>
      </w:r>
      <w:r>
        <w:rPr>
          <w:rFonts w:hint="eastAsia" w:cs="宋体" w:asciiTheme="minorEastAsia" w:hAnsiTheme="minorEastAsia" w:eastAsiaTheme="minorEastAsia"/>
          <w:b/>
          <w:bCs/>
          <w:color w:val="auto"/>
          <w:szCs w:val="21"/>
          <w:highlight w:val="none"/>
        </w:rPr>
        <w:t>.本项目</w:t>
      </w:r>
      <w:r>
        <w:rPr>
          <w:rFonts w:hint="eastAsia" w:cs="宋体" w:asciiTheme="minorEastAsia" w:hAnsiTheme="minorEastAsia" w:eastAsiaTheme="minorEastAsia"/>
          <w:b/>
          <w:bCs/>
          <w:color w:val="auto"/>
          <w:szCs w:val="21"/>
          <w:highlight w:val="none"/>
          <w:lang w:val="en-US" w:eastAsia="zh-CN"/>
        </w:rPr>
        <w:t>乙方</w:t>
      </w:r>
      <w:r>
        <w:rPr>
          <w:rFonts w:hint="eastAsia" w:cs="宋体" w:asciiTheme="minorEastAsia" w:hAnsiTheme="minorEastAsia" w:eastAsiaTheme="minorEastAsia"/>
          <w:b/>
          <w:bCs/>
          <w:color w:val="auto"/>
          <w:szCs w:val="21"/>
          <w:highlight w:val="none"/>
        </w:rPr>
        <w:t>施工过程中需用到的水</w:t>
      </w:r>
      <w:r>
        <w:rPr>
          <w:rFonts w:hint="eastAsia" w:cs="宋体" w:asciiTheme="minorEastAsia" w:hAnsiTheme="minorEastAsia" w:eastAsiaTheme="minorEastAsia"/>
          <w:b/>
          <w:bCs/>
          <w:color w:val="auto"/>
          <w:szCs w:val="21"/>
          <w:highlight w:val="none"/>
          <w:lang w:eastAsia="zh-CN"/>
        </w:rPr>
        <w:t>、</w:t>
      </w:r>
      <w:r>
        <w:rPr>
          <w:rFonts w:hint="eastAsia" w:cs="宋体" w:asciiTheme="minorEastAsia" w:hAnsiTheme="minorEastAsia" w:eastAsiaTheme="minorEastAsia"/>
          <w:b/>
          <w:bCs/>
          <w:color w:val="auto"/>
          <w:szCs w:val="21"/>
          <w:highlight w:val="none"/>
        </w:rPr>
        <w:t>电</w:t>
      </w:r>
      <w:r>
        <w:rPr>
          <w:rFonts w:hint="eastAsia" w:cs="宋体" w:asciiTheme="minorEastAsia" w:hAnsiTheme="minorEastAsia" w:eastAsiaTheme="minorEastAsia"/>
          <w:b/>
          <w:bCs/>
          <w:color w:val="auto"/>
          <w:szCs w:val="21"/>
          <w:highlight w:val="none"/>
          <w:lang w:eastAsia="zh-CN"/>
        </w:rPr>
        <w:t>、</w:t>
      </w:r>
      <w:r>
        <w:rPr>
          <w:rFonts w:hint="eastAsia" w:cs="宋体" w:asciiTheme="minorEastAsia" w:hAnsiTheme="minorEastAsia" w:eastAsiaTheme="minorEastAsia"/>
          <w:b/>
          <w:bCs/>
          <w:color w:val="auto"/>
          <w:szCs w:val="21"/>
          <w:highlight w:val="none"/>
        </w:rPr>
        <w:t>吊车运送及材料场地占用等</w:t>
      </w:r>
      <w:r>
        <w:rPr>
          <w:rFonts w:hint="eastAsia" w:cs="宋体" w:asciiTheme="minorEastAsia" w:hAnsiTheme="minorEastAsia" w:eastAsiaTheme="minorEastAsia"/>
          <w:b/>
          <w:bCs/>
          <w:color w:val="auto"/>
          <w:szCs w:val="21"/>
          <w:highlight w:val="none"/>
          <w:lang w:val="en-US" w:eastAsia="zh-CN"/>
        </w:rPr>
        <w:t>涉</w:t>
      </w:r>
      <w:r>
        <w:rPr>
          <w:rFonts w:hint="eastAsia" w:cs="宋体" w:asciiTheme="minorEastAsia" w:hAnsiTheme="minorEastAsia" w:eastAsiaTheme="minorEastAsia"/>
          <w:b/>
          <w:bCs/>
          <w:color w:val="auto"/>
          <w:szCs w:val="21"/>
          <w:highlight w:val="none"/>
        </w:rPr>
        <w:t>及到的施工配合费</w:t>
      </w:r>
      <w:r>
        <w:rPr>
          <w:rFonts w:hint="eastAsia" w:cs="宋体" w:asciiTheme="minorEastAsia" w:hAnsiTheme="minorEastAsia" w:eastAsiaTheme="minorEastAsia"/>
          <w:b/>
          <w:bCs/>
          <w:color w:val="auto"/>
          <w:szCs w:val="21"/>
          <w:highlight w:val="none"/>
          <w:lang w:val="en-US" w:eastAsia="zh-CN"/>
        </w:rPr>
        <w:t>用</w:t>
      </w:r>
      <w:r>
        <w:rPr>
          <w:rFonts w:hint="eastAsia" w:cs="宋体" w:asciiTheme="minorEastAsia" w:hAnsiTheme="minorEastAsia" w:eastAsiaTheme="minorEastAsia"/>
          <w:b/>
          <w:bCs/>
          <w:color w:val="auto"/>
          <w:szCs w:val="21"/>
          <w:highlight w:val="none"/>
        </w:rPr>
        <w:t>，由乙方</w:t>
      </w:r>
      <w:r>
        <w:rPr>
          <w:rFonts w:hint="eastAsia" w:cs="宋体" w:asciiTheme="minorEastAsia" w:hAnsiTheme="minorEastAsia" w:eastAsiaTheme="minorEastAsia"/>
          <w:b/>
          <w:bCs/>
          <w:color w:val="auto"/>
          <w:szCs w:val="21"/>
          <w:highlight w:val="none"/>
          <w:lang w:val="en-US" w:eastAsia="zh-CN"/>
        </w:rPr>
        <w:t>与总包方协商确定，</w:t>
      </w:r>
      <w:r>
        <w:rPr>
          <w:rFonts w:hint="eastAsia" w:cs="宋体" w:asciiTheme="minorEastAsia" w:hAnsiTheme="minorEastAsia" w:eastAsiaTheme="minorEastAsia"/>
          <w:b/>
          <w:bCs/>
          <w:color w:val="auto"/>
          <w:szCs w:val="21"/>
          <w:highlight w:val="none"/>
        </w:rPr>
        <w:t>负责支付给总包方。</w:t>
      </w:r>
    </w:p>
    <w:p>
      <w:pPr>
        <w:numPr>
          <w:ilvl w:val="0"/>
          <w:numId w:val="10"/>
        </w:numPr>
        <w:spacing w:line="360" w:lineRule="auto"/>
        <w:rPr>
          <w:rFonts w:asciiTheme="minorEastAsia" w:hAnsiTheme="minorEastAsia" w:eastAsiaTheme="minorEastAsia"/>
          <w:b/>
          <w:color w:val="auto"/>
          <w:szCs w:val="21"/>
        </w:rPr>
      </w:pPr>
      <w:r>
        <w:rPr>
          <w:rFonts w:asciiTheme="minorEastAsia" w:hAnsiTheme="minorEastAsia" w:eastAsiaTheme="minorEastAsia"/>
          <w:b/>
          <w:color w:val="auto"/>
          <w:szCs w:val="21"/>
        </w:rPr>
        <w:t>技术资料</w:t>
      </w:r>
    </w:p>
    <w:p>
      <w:pPr>
        <w:pStyle w:val="59"/>
        <w:spacing w:line="360" w:lineRule="auto"/>
        <w:ind w:firstLine="420" w:firstLineChars="200"/>
        <w:rPr>
          <w:rFonts w:cs="宋体" w:asciiTheme="minorEastAsia" w:hAnsiTheme="minorEastAsia" w:eastAsiaTheme="minorEastAsia"/>
          <w:color w:val="000000"/>
          <w:szCs w:val="21"/>
        </w:rPr>
      </w:pPr>
      <w:r>
        <w:rPr>
          <w:rFonts w:hint="eastAsia" w:asciiTheme="minorEastAsia" w:hAnsiTheme="minorEastAsia" w:eastAsiaTheme="minorEastAsia"/>
          <w:szCs w:val="21"/>
        </w:rPr>
        <w:t>1.</w:t>
      </w:r>
      <w:r>
        <w:rPr>
          <w:rFonts w:hint="eastAsia" w:cs="宋体" w:asciiTheme="minorEastAsia" w:hAnsiTheme="minorEastAsia" w:eastAsiaTheme="minorEastAsia"/>
          <w:color w:val="000000"/>
          <w:szCs w:val="21"/>
        </w:rPr>
        <w:t>设备交货时乙方向甲方提供下列技术资料和文件（一式四套）：</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（1）产品合格证或质量检验证书；</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（2）设备安装图、电气和仪表系统原理图、接线图；</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（3）安装、使用、维护说明书或有关手册；</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（4）易损件清单；</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（5）备品备件和专用工具清单；</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（6）乙方认为有必要提供的其他文件和技术资料；</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（7）有进口部件和零件的必须提供进关的相应证明材料。</w:t>
      </w:r>
    </w:p>
    <w:p>
      <w:pPr>
        <w:pStyle w:val="12"/>
        <w:snapToGrid w:val="0"/>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color w:val="000000"/>
          <w:szCs w:val="21"/>
        </w:rPr>
        <w:t>2.如果乙方提供的技术资料、图纸和文件等不完整或在运输过程中丢失，视为未按合同约定供货，乙方应在收到甲方通知后3天内将这些资料免费补交甲方，因此导致逾期交付的，由乙方承担相关的违约责任。</w:t>
      </w:r>
    </w:p>
    <w:p>
      <w:pPr>
        <w:numPr>
          <w:ilvl w:val="0"/>
          <w:numId w:val="10"/>
        </w:numPr>
        <w:spacing w:line="360" w:lineRule="auto"/>
        <w:rPr>
          <w:rFonts w:asciiTheme="minorEastAsia" w:hAnsiTheme="minorEastAsia" w:eastAsiaTheme="minorEastAsia"/>
          <w:b/>
          <w:szCs w:val="21"/>
        </w:rPr>
      </w:pPr>
      <w:r>
        <w:rPr>
          <w:rFonts w:asciiTheme="minorEastAsia" w:hAnsiTheme="minorEastAsia" w:eastAsiaTheme="minorEastAsia"/>
          <w:b/>
          <w:szCs w:val="21"/>
        </w:rPr>
        <w:t>知识产权</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（一）乙方应保证所提供的货物或其任何一部分均不会侵犯任何第三方的知识产权</w:t>
      </w:r>
      <w:r>
        <w:rPr>
          <w:rFonts w:asciiTheme="minorEastAsia" w:hAnsiTheme="minorEastAsia" w:eastAsiaTheme="minorEastAsia"/>
          <w:szCs w:val="21"/>
        </w:rPr>
        <w:t>。</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（二）若侵犯，由乙方赔偿甲方因此遭受的损失（包括但不限于应对及追偿过程中所支付的律师费、差旅费、诉讼费、保全费、鉴定费、评估费等）。</w:t>
      </w:r>
    </w:p>
    <w:p>
      <w:pPr>
        <w:numPr>
          <w:ilvl w:val="0"/>
          <w:numId w:val="10"/>
        </w:numPr>
        <w:spacing w:line="360" w:lineRule="auto"/>
        <w:rPr>
          <w:rFonts w:asciiTheme="minorEastAsia" w:hAnsiTheme="minorEastAsia" w:eastAsiaTheme="minorEastAsia"/>
          <w:b/>
          <w:bCs/>
          <w:szCs w:val="21"/>
          <w:u w:val="single"/>
        </w:rPr>
      </w:pPr>
      <w:r>
        <w:rPr>
          <w:rFonts w:hint="eastAsia" w:asciiTheme="minorEastAsia" w:hAnsiTheme="minorEastAsia" w:eastAsiaTheme="minorEastAsia"/>
          <w:b/>
          <w:bCs/>
          <w:szCs w:val="21"/>
          <w:lang w:val="zh-CN"/>
        </w:rPr>
        <w:t>产权</w:t>
      </w:r>
      <w:r>
        <w:rPr>
          <w:rFonts w:asciiTheme="minorEastAsia" w:hAnsiTheme="minorEastAsia" w:eastAsiaTheme="minorEastAsia"/>
          <w:b/>
          <w:bCs/>
          <w:szCs w:val="21"/>
        </w:rPr>
        <w:t>担保</w:t>
      </w:r>
    </w:p>
    <w:p>
      <w:pPr>
        <w:pStyle w:val="12"/>
        <w:snapToGrid w:val="0"/>
        <w:spacing w:line="360" w:lineRule="auto"/>
        <w:ind w:firstLine="420" w:firstLineChars="200"/>
        <w:rPr>
          <w:rFonts w:asciiTheme="minorEastAsia" w:hAnsiTheme="minorEastAsia" w:eastAsiaTheme="minorEastAsia"/>
          <w:szCs w:val="21"/>
          <w:u w:val="single"/>
        </w:rPr>
      </w:pPr>
      <w:r>
        <w:rPr>
          <w:rFonts w:asciiTheme="minorEastAsia" w:hAnsiTheme="minorEastAsia" w:eastAsiaTheme="minorEastAsia"/>
          <w:szCs w:val="21"/>
        </w:rPr>
        <w:t>乙方保证所交付的货物的所有权完全属于乙方且无任何抵押、查封等产权瑕疵。</w:t>
      </w:r>
    </w:p>
    <w:p>
      <w:pPr>
        <w:numPr>
          <w:ilvl w:val="0"/>
          <w:numId w:val="10"/>
        </w:numPr>
        <w:spacing w:line="360" w:lineRule="auto"/>
        <w:rPr>
          <w:rFonts w:asciiTheme="minorEastAsia" w:hAnsiTheme="minorEastAsia" w:eastAsiaTheme="minorEastAsia"/>
          <w:b/>
          <w:szCs w:val="21"/>
        </w:rPr>
      </w:pPr>
      <w:r>
        <w:rPr>
          <w:rFonts w:asciiTheme="minorEastAsia" w:hAnsiTheme="minorEastAsia" w:eastAsiaTheme="minorEastAsia"/>
          <w:b/>
          <w:szCs w:val="21"/>
        </w:rPr>
        <w:t>履约保证金</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本项目履约保证金为合同金额的</w:t>
      </w:r>
      <w:r>
        <w:rPr>
          <w:rFonts w:hint="eastAsia" w:asciiTheme="minorEastAsia" w:hAnsiTheme="minorEastAsia" w:eastAsiaTheme="minorEastAsia" w:cstheme="minorBidi"/>
          <w:szCs w:val="21"/>
          <w:u w:val="single"/>
        </w:rPr>
        <w:t xml:space="preserve">  </w:t>
      </w:r>
      <w:r>
        <w:rPr>
          <w:rFonts w:hint="eastAsia" w:asciiTheme="minorEastAsia" w:hAnsiTheme="minorEastAsia" w:eastAsiaTheme="minorEastAsia" w:cstheme="minorBidi"/>
          <w:szCs w:val="21"/>
          <w:u w:val="single"/>
          <w:lang w:val="en-US" w:eastAsia="zh-CN"/>
        </w:rPr>
        <w:t>1</w:t>
      </w:r>
      <w:r>
        <w:rPr>
          <w:rFonts w:hint="eastAsia" w:asciiTheme="minorEastAsia" w:hAnsiTheme="minorEastAsia" w:eastAsiaTheme="minorEastAsia" w:cstheme="minorBidi"/>
          <w:szCs w:val="21"/>
          <w:u w:val="single"/>
        </w:rPr>
        <w:t xml:space="preserve">  </w:t>
      </w:r>
      <w:r>
        <w:rPr>
          <w:rFonts w:hint="eastAsia" w:asciiTheme="minorEastAsia" w:hAnsiTheme="minorEastAsia" w:eastAsiaTheme="minorEastAsia" w:cstheme="minorBidi"/>
          <w:szCs w:val="21"/>
        </w:rPr>
        <w:t>%。</w:t>
      </w:r>
      <w:r>
        <w:rPr>
          <w:rFonts w:hint="eastAsia" w:asciiTheme="minorEastAsia" w:hAnsiTheme="minorEastAsia" w:eastAsiaTheme="minorEastAsia" w:cstheme="minorBidi"/>
          <w:szCs w:val="21"/>
          <w:lang w:val="zh-CN"/>
        </w:rPr>
        <w:t>[</w:t>
      </w:r>
      <w:r>
        <w:rPr>
          <w:rFonts w:hint="eastAsia" w:asciiTheme="minorEastAsia" w:hAnsiTheme="minorEastAsia" w:eastAsiaTheme="minorEastAsia" w:cstheme="minorBidi"/>
          <w:szCs w:val="21"/>
        </w:rPr>
        <w:t>合同签订前</w:t>
      </w:r>
      <w:r>
        <w:rPr>
          <w:rFonts w:hint="eastAsia" w:asciiTheme="minorEastAsia" w:hAnsiTheme="minorEastAsia" w:eastAsiaTheme="minorEastAsia" w:cstheme="minorBidi"/>
          <w:szCs w:val="21"/>
          <w:lang w:val="zh-CN"/>
        </w:rPr>
        <w:t>交至采购人处，</w:t>
      </w:r>
      <w:r>
        <w:rPr>
          <w:rFonts w:hint="eastAsia" w:asciiTheme="minorEastAsia" w:hAnsiTheme="minorEastAsia" w:eastAsiaTheme="minorEastAsia" w:cstheme="minorBidi"/>
          <w:szCs w:val="21"/>
          <w:lang w:val="en-US" w:eastAsia="zh-CN"/>
        </w:rPr>
        <w:t>在项目验收合格并完成移交手续</w:t>
      </w:r>
      <w:r>
        <w:rPr>
          <w:rFonts w:hint="eastAsia" w:asciiTheme="minorEastAsia" w:hAnsiTheme="minorEastAsia" w:eastAsiaTheme="minorEastAsia" w:cstheme="minorBidi"/>
          <w:szCs w:val="21"/>
        </w:rPr>
        <w:t>后</w:t>
      </w:r>
      <w:r>
        <w:rPr>
          <w:rFonts w:hint="eastAsia" w:asciiTheme="minorEastAsia" w:hAnsiTheme="minorEastAsia" w:eastAsiaTheme="minorEastAsia" w:cstheme="minorBidi"/>
          <w:szCs w:val="21"/>
          <w:lang w:val="en-US" w:eastAsia="zh-CN"/>
        </w:rPr>
        <w:t>7天内</w:t>
      </w:r>
      <w:r>
        <w:rPr>
          <w:rFonts w:hint="eastAsia" w:asciiTheme="minorEastAsia" w:hAnsiTheme="minorEastAsia" w:eastAsiaTheme="minorEastAsia" w:cstheme="minorBidi"/>
          <w:szCs w:val="21"/>
          <w:lang w:val="zh-CN"/>
        </w:rPr>
        <w:t>无息退还]</w:t>
      </w:r>
    </w:p>
    <w:p>
      <w:pPr>
        <w:numPr>
          <w:ilvl w:val="0"/>
          <w:numId w:val="10"/>
        </w:num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转包或分包</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（一）本合同范围的货物，应由</w:t>
      </w:r>
      <w:r>
        <w:rPr>
          <w:rFonts w:asciiTheme="minorEastAsia" w:hAnsiTheme="minorEastAsia" w:eastAsiaTheme="minorEastAsia"/>
          <w:szCs w:val="21"/>
        </w:rPr>
        <w:t>乙</w:t>
      </w:r>
      <w:r>
        <w:rPr>
          <w:rFonts w:hint="eastAsia" w:asciiTheme="minorEastAsia" w:hAnsiTheme="minorEastAsia" w:eastAsiaTheme="minorEastAsia"/>
          <w:szCs w:val="21"/>
        </w:rPr>
        <w:t>方直接供应，不得转让他人供应。</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（二）除非得到</w:t>
      </w:r>
      <w:r>
        <w:rPr>
          <w:rFonts w:asciiTheme="minorEastAsia" w:hAnsiTheme="minorEastAsia" w:eastAsiaTheme="minorEastAsia"/>
          <w:szCs w:val="21"/>
        </w:rPr>
        <w:t>甲</w:t>
      </w:r>
      <w:r>
        <w:rPr>
          <w:rFonts w:hint="eastAsia" w:asciiTheme="minorEastAsia" w:hAnsiTheme="minorEastAsia" w:eastAsiaTheme="minorEastAsia"/>
          <w:szCs w:val="21"/>
        </w:rPr>
        <w:t>方的书面同意，</w:t>
      </w:r>
      <w:r>
        <w:rPr>
          <w:rFonts w:asciiTheme="minorEastAsia" w:hAnsiTheme="minorEastAsia" w:eastAsiaTheme="minorEastAsia"/>
          <w:szCs w:val="21"/>
        </w:rPr>
        <w:t>乙</w:t>
      </w:r>
      <w:r>
        <w:rPr>
          <w:rFonts w:hint="eastAsia" w:asciiTheme="minorEastAsia" w:hAnsiTheme="minorEastAsia" w:eastAsiaTheme="minorEastAsia"/>
          <w:szCs w:val="21"/>
        </w:rPr>
        <w:t>方不得将本合同范围的货物全部或部分分包给他人供应。</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（三）如有转让和未经</w:t>
      </w:r>
      <w:r>
        <w:rPr>
          <w:rFonts w:asciiTheme="minorEastAsia" w:hAnsiTheme="minorEastAsia" w:eastAsiaTheme="minorEastAsia"/>
          <w:szCs w:val="21"/>
        </w:rPr>
        <w:t>甲</w:t>
      </w:r>
      <w:r>
        <w:rPr>
          <w:rFonts w:hint="eastAsia" w:asciiTheme="minorEastAsia" w:hAnsiTheme="minorEastAsia" w:eastAsiaTheme="minorEastAsia"/>
          <w:szCs w:val="21"/>
        </w:rPr>
        <w:t>方同意的分包行为，</w:t>
      </w:r>
      <w:r>
        <w:rPr>
          <w:rFonts w:asciiTheme="minorEastAsia" w:hAnsiTheme="minorEastAsia" w:eastAsiaTheme="minorEastAsia"/>
          <w:szCs w:val="21"/>
        </w:rPr>
        <w:t>甲</w:t>
      </w:r>
      <w:r>
        <w:rPr>
          <w:rFonts w:hint="eastAsia" w:asciiTheme="minorEastAsia" w:hAnsiTheme="minorEastAsia" w:eastAsiaTheme="minorEastAsia"/>
          <w:szCs w:val="21"/>
        </w:rPr>
        <w:t>方有权解除合同，没收履约保证金并追究乙方的违约责任。</w:t>
      </w:r>
    </w:p>
    <w:p>
      <w:pPr>
        <w:numPr>
          <w:ilvl w:val="0"/>
          <w:numId w:val="10"/>
        </w:numPr>
        <w:spacing w:line="360" w:lineRule="auto"/>
        <w:rPr>
          <w:rFonts w:asciiTheme="minorEastAsia" w:hAnsiTheme="minorEastAsia" w:eastAsiaTheme="minorEastAsia"/>
          <w:b/>
          <w:szCs w:val="21"/>
        </w:rPr>
      </w:pPr>
      <w:r>
        <w:rPr>
          <w:rFonts w:asciiTheme="minorEastAsia" w:hAnsiTheme="minorEastAsia" w:eastAsiaTheme="minorEastAsia"/>
          <w:b/>
          <w:szCs w:val="21"/>
        </w:rPr>
        <w:t>质保期</w:t>
      </w:r>
    </w:p>
    <w:p>
      <w:pPr>
        <w:pStyle w:val="12"/>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质保期</w:t>
      </w:r>
      <w:r>
        <w:rPr>
          <w:rFonts w:cs="Times New Roman" w:asciiTheme="minorEastAsia" w:hAnsiTheme="minorEastAsia" w:eastAsiaTheme="minorEastAsia"/>
          <w:szCs w:val="21"/>
        </w:rPr>
        <w:t>___</w:t>
      </w:r>
      <w:r>
        <w:rPr>
          <w:rFonts w:asciiTheme="minorEastAsia" w:hAnsiTheme="minorEastAsia" w:eastAsiaTheme="minorEastAsia"/>
          <w:szCs w:val="21"/>
        </w:rPr>
        <w:t>年。（自</w:t>
      </w:r>
      <w:r>
        <w:rPr>
          <w:rFonts w:hint="eastAsia" w:asciiTheme="minorEastAsia" w:hAnsiTheme="minorEastAsia" w:eastAsiaTheme="minorEastAsia" w:cstheme="minorBidi"/>
          <w:szCs w:val="21"/>
          <w:lang w:val="en-US" w:eastAsia="zh-CN"/>
        </w:rPr>
        <w:t>项目通过最终验收并完成移交手续</w:t>
      </w:r>
      <w:r>
        <w:rPr>
          <w:rFonts w:asciiTheme="minorEastAsia" w:hAnsiTheme="minorEastAsia" w:eastAsiaTheme="minorEastAsia"/>
          <w:szCs w:val="21"/>
        </w:rPr>
        <w:t>之日起计）</w:t>
      </w:r>
    </w:p>
    <w:p>
      <w:pPr>
        <w:numPr>
          <w:ilvl w:val="0"/>
          <w:numId w:val="10"/>
        </w:numPr>
        <w:spacing w:line="360" w:lineRule="auto"/>
        <w:rPr>
          <w:rFonts w:asciiTheme="minorEastAsia" w:hAnsiTheme="minorEastAsia" w:eastAsiaTheme="minorEastAsia"/>
          <w:b/>
          <w:szCs w:val="21"/>
        </w:rPr>
      </w:pPr>
      <w:r>
        <w:rPr>
          <w:rFonts w:hint="eastAsia" w:asciiTheme="minorEastAsia" w:hAnsiTheme="minorEastAsia" w:eastAsiaTheme="minorEastAsia"/>
          <w:b/>
          <w:bCs/>
          <w:szCs w:val="21"/>
          <w:lang w:val="zh-CN"/>
        </w:rPr>
        <w:t>交货期</w:t>
      </w:r>
      <w:r>
        <w:rPr>
          <w:rFonts w:asciiTheme="minorEastAsia" w:hAnsiTheme="minorEastAsia" w:eastAsiaTheme="minorEastAsia"/>
          <w:b/>
          <w:szCs w:val="21"/>
        </w:rPr>
        <w:t>、交货方式及交货地点</w:t>
      </w:r>
    </w:p>
    <w:p>
      <w:pPr>
        <w:pStyle w:val="12"/>
        <w:snapToGri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（一）</w:t>
      </w:r>
      <w:r>
        <w:rPr>
          <w:rFonts w:asciiTheme="minorEastAsia" w:hAnsiTheme="minorEastAsia" w:eastAsiaTheme="minorEastAsia"/>
          <w:bCs/>
          <w:szCs w:val="21"/>
        </w:rPr>
        <w:t>交货期：</w:t>
      </w:r>
    </w:p>
    <w:p>
      <w:pPr>
        <w:pStyle w:val="12"/>
        <w:snapToGri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（二）</w:t>
      </w:r>
      <w:r>
        <w:rPr>
          <w:rFonts w:asciiTheme="minorEastAsia" w:hAnsiTheme="minorEastAsia" w:eastAsiaTheme="minorEastAsia"/>
          <w:bCs/>
          <w:szCs w:val="21"/>
        </w:rPr>
        <w:t>交货方式：</w:t>
      </w:r>
    </w:p>
    <w:p>
      <w:pPr>
        <w:pStyle w:val="12"/>
        <w:snapToGrid w:val="0"/>
        <w:spacing w:line="360" w:lineRule="auto"/>
        <w:ind w:firstLine="420" w:firstLineChars="200"/>
        <w:rPr>
          <w:rFonts w:asciiTheme="minorEastAsia" w:hAnsiTheme="minorEastAsia" w:eastAsiaTheme="minorEastAsia"/>
          <w:b/>
          <w:szCs w:val="21"/>
        </w:rPr>
      </w:pPr>
      <w:r>
        <w:rPr>
          <w:rFonts w:hint="eastAsia" w:asciiTheme="minorEastAsia" w:hAnsiTheme="minorEastAsia" w:eastAsiaTheme="minorEastAsia"/>
          <w:bCs/>
          <w:szCs w:val="21"/>
        </w:rPr>
        <w:t>（三）</w:t>
      </w:r>
      <w:r>
        <w:rPr>
          <w:rFonts w:asciiTheme="minorEastAsia" w:hAnsiTheme="minorEastAsia" w:eastAsiaTheme="minorEastAsia"/>
          <w:bCs/>
          <w:szCs w:val="21"/>
        </w:rPr>
        <w:t>交货地点：</w:t>
      </w:r>
    </w:p>
    <w:p>
      <w:pPr>
        <w:numPr>
          <w:ilvl w:val="0"/>
          <w:numId w:val="10"/>
        </w:numPr>
        <w:spacing w:line="360" w:lineRule="auto"/>
        <w:rPr>
          <w:rFonts w:asciiTheme="minorEastAsia" w:hAnsiTheme="minorEastAsia" w:eastAsiaTheme="minorEastAsia"/>
          <w:b/>
          <w:szCs w:val="21"/>
        </w:rPr>
      </w:pPr>
      <w:r>
        <w:rPr>
          <w:rFonts w:hint="eastAsia" w:cs="宋体" w:asciiTheme="minorEastAsia" w:hAnsiTheme="minorEastAsia" w:eastAsiaTheme="minorEastAsia"/>
          <w:b/>
          <w:bCs/>
          <w:color w:val="000000"/>
          <w:szCs w:val="21"/>
        </w:rPr>
        <w:t>付款、变更与结算方式</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1.付款方式</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000000"/>
          <w:szCs w:val="21"/>
        </w:rPr>
        <w:t>（</w:t>
      </w:r>
      <w:r>
        <w:rPr>
          <w:rFonts w:hint="eastAsia" w:cs="宋体" w:asciiTheme="minorEastAsia" w:hAnsiTheme="minorEastAsia" w:eastAsiaTheme="minorEastAsia"/>
          <w:color w:val="000000"/>
          <w:szCs w:val="21"/>
          <w:lang w:val="en-US" w:eastAsia="zh-CN"/>
        </w:rPr>
        <w:t>1</w:t>
      </w:r>
      <w:r>
        <w:rPr>
          <w:rFonts w:hint="eastAsia" w:cs="宋体" w:asciiTheme="minorEastAsia" w:hAnsiTheme="minorEastAsia" w:eastAsiaTheme="minorEastAsia"/>
          <w:color w:val="000000"/>
          <w:szCs w:val="21"/>
        </w:rPr>
        <w:t>）合同签订并生效后，</w:t>
      </w:r>
      <w:r>
        <w:rPr>
          <w:rFonts w:hint="eastAsia" w:cs="宋体" w:asciiTheme="minorEastAsia" w:hAnsiTheme="minorEastAsia" w:eastAsiaTheme="minorEastAsia"/>
          <w:color w:val="auto"/>
          <w:szCs w:val="21"/>
        </w:rPr>
        <w:t>经甲方审核后10个工作日内支付</w:t>
      </w:r>
      <w:r>
        <w:rPr>
          <w:rFonts w:hint="eastAsia" w:cs="宋体" w:asciiTheme="minorEastAsia" w:hAnsiTheme="minorEastAsia" w:eastAsiaTheme="minorEastAsia"/>
          <w:color w:val="auto"/>
          <w:szCs w:val="21"/>
          <w:lang w:eastAsia="zh-CN"/>
        </w:rPr>
        <w:t>签约合同</w:t>
      </w:r>
      <w:r>
        <w:rPr>
          <w:rFonts w:hint="eastAsia" w:cs="宋体" w:asciiTheme="minorEastAsia" w:hAnsiTheme="minorEastAsia" w:eastAsiaTheme="minorEastAsia"/>
          <w:color w:val="0070C0"/>
          <w:szCs w:val="21"/>
          <w:highlight w:val="yellow"/>
          <w:lang w:eastAsia="zh-CN"/>
        </w:rPr>
        <w:t>价</w:t>
      </w:r>
      <w:r>
        <w:rPr>
          <w:rFonts w:hint="eastAsia" w:cs="宋体" w:asciiTheme="minorEastAsia" w:hAnsiTheme="minorEastAsia" w:eastAsiaTheme="minorEastAsia"/>
          <w:color w:val="0070C0"/>
          <w:szCs w:val="21"/>
          <w:highlight w:val="yellow"/>
        </w:rPr>
        <w:t>的</w:t>
      </w:r>
      <w:r>
        <w:rPr>
          <w:rFonts w:hint="eastAsia" w:cs="宋体" w:asciiTheme="minorEastAsia" w:hAnsiTheme="minorEastAsia" w:eastAsiaTheme="minorEastAsia"/>
          <w:color w:val="0070C0"/>
          <w:szCs w:val="21"/>
          <w:highlight w:val="yellow"/>
          <w:lang w:val="en-US" w:eastAsia="zh-CN"/>
        </w:rPr>
        <w:t>4</w:t>
      </w:r>
      <w:r>
        <w:rPr>
          <w:rFonts w:hint="eastAsia" w:cs="宋体" w:asciiTheme="minorEastAsia" w:hAnsiTheme="minorEastAsia" w:eastAsiaTheme="minorEastAsia"/>
          <w:b/>
          <w:bCs/>
          <w:color w:val="0070C0"/>
          <w:szCs w:val="21"/>
          <w:highlight w:val="yellow"/>
        </w:rPr>
        <w:t>0%</w:t>
      </w:r>
      <w:r>
        <w:rPr>
          <w:rFonts w:hint="eastAsia" w:cs="宋体" w:asciiTheme="minorEastAsia" w:hAnsiTheme="minorEastAsia" w:eastAsiaTheme="minorEastAsia"/>
          <w:color w:val="0070C0"/>
          <w:szCs w:val="21"/>
          <w:highlight w:val="yellow"/>
        </w:rPr>
        <w:t>作为</w:t>
      </w:r>
      <w:r>
        <w:rPr>
          <w:rFonts w:hint="eastAsia" w:cs="宋体" w:asciiTheme="minorEastAsia" w:hAnsiTheme="minorEastAsia" w:eastAsiaTheme="minorEastAsia"/>
          <w:color w:val="auto"/>
          <w:szCs w:val="21"/>
        </w:rPr>
        <w:t>预付款。</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）大楼内管道井主管及楼层内主管道到货并安装完毕经甲方单位初验合格后（该验收并不免除乙方的产品质量保证责任）10个工作日内支付</w:t>
      </w:r>
      <w:r>
        <w:rPr>
          <w:rFonts w:hint="eastAsia" w:cs="宋体" w:asciiTheme="minorEastAsia" w:hAnsiTheme="minorEastAsia" w:eastAsiaTheme="minorEastAsia"/>
          <w:color w:val="auto"/>
          <w:szCs w:val="21"/>
          <w:lang w:eastAsia="zh-CN"/>
        </w:rPr>
        <w:t>签约合同</w:t>
      </w:r>
      <w:r>
        <w:rPr>
          <w:rFonts w:hint="eastAsia" w:cs="宋体" w:asciiTheme="minorEastAsia" w:hAnsiTheme="minorEastAsia" w:eastAsiaTheme="minorEastAsia"/>
          <w:color w:val="0070C0"/>
          <w:szCs w:val="21"/>
          <w:highlight w:val="yellow"/>
          <w:lang w:eastAsia="zh-CN"/>
        </w:rPr>
        <w:t>价</w:t>
      </w:r>
      <w:r>
        <w:rPr>
          <w:rFonts w:hint="eastAsia" w:cs="宋体" w:asciiTheme="minorEastAsia" w:hAnsiTheme="minorEastAsia" w:eastAsiaTheme="minorEastAsia"/>
          <w:color w:val="0070C0"/>
          <w:szCs w:val="21"/>
          <w:highlight w:val="yellow"/>
        </w:rPr>
        <w:t>的</w:t>
      </w:r>
      <w:r>
        <w:rPr>
          <w:rFonts w:hint="eastAsia" w:cs="宋体" w:asciiTheme="minorEastAsia" w:hAnsiTheme="minorEastAsia" w:eastAsiaTheme="minorEastAsia"/>
          <w:color w:val="0070C0"/>
          <w:szCs w:val="21"/>
          <w:highlight w:val="yellow"/>
          <w:lang w:val="en-US" w:eastAsia="zh-CN"/>
        </w:rPr>
        <w:t>1</w:t>
      </w:r>
      <w:r>
        <w:rPr>
          <w:rFonts w:hint="eastAsia" w:cs="宋体" w:asciiTheme="minorEastAsia" w:hAnsiTheme="minorEastAsia" w:eastAsiaTheme="minorEastAsia"/>
          <w:b/>
          <w:bCs/>
          <w:color w:val="0070C0"/>
          <w:szCs w:val="21"/>
          <w:highlight w:val="yellow"/>
          <w:lang w:val="en-US" w:eastAsia="zh-CN"/>
        </w:rPr>
        <w:t>5</w:t>
      </w:r>
      <w:r>
        <w:rPr>
          <w:rFonts w:hint="eastAsia" w:cs="宋体" w:asciiTheme="minorEastAsia" w:hAnsiTheme="minorEastAsia" w:eastAsiaTheme="minorEastAsia"/>
          <w:b/>
          <w:bCs/>
          <w:color w:val="0070C0"/>
          <w:szCs w:val="21"/>
          <w:highlight w:val="yellow"/>
        </w:rPr>
        <w:t>%</w:t>
      </w:r>
      <w:r>
        <w:rPr>
          <w:rFonts w:hint="eastAsia" w:cs="宋体" w:asciiTheme="minorEastAsia" w:hAnsiTheme="minorEastAsia" w:eastAsiaTheme="minorEastAsia"/>
          <w:color w:val="0070C0"/>
          <w:szCs w:val="21"/>
          <w:highlight w:val="yellow"/>
        </w:rPr>
        <w:t xml:space="preserve">。 </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）病房设备带及站房设备到场后经甲方单位初验合格后（该验收并不免除乙方的产品质量保证责任）10个工作日内支付</w:t>
      </w:r>
      <w:r>
        <w:rPr>
          <w:rFonts w:hint="eastAsia" w:cs="宋体" w:asciiTheme="minorEastAsia" w:hAnsiTheme="minorEastAsia" w:eastAsiaTheme="minorEastAsia"/>
          <w:color w:val="auto"/>
          <w:szCs w:val="21"/>
          <w:lang w:eastAsia="zh-CN"/>
        </w:rPr>
        <w:t>签约合同价</w:t>
      </w:r>
      <w:r>
        <w:rPr>
          <w:rFonts w:hint="eastAsia" w:cs="宋体" w:asciiTheme="minorEastAsia" w:hAnsiTheme="minorEastAsia" w:eastAsiaTheme="minorEastAsia"/>
          <w:color w:val="auto"/>
          <w:szCs w:val="21"/>
        </w:rPr>
        <w:t>的2</w:t>
      </w:r>
      <w:r>
        <w:rPr>
          <w:rFonts w:hint="eastAsia" w:cs="宋体" w:asciiTheme="minorEastAsia" w:hAnsiTheme="minorEastAsia" w:eastAsiaTheme="minorEastAsia"/>
          <w:color w:val="auto"/>
          <w:szCs w:val="21"/>
          <w:lang w:val="en-US" w:eastAsia="zh-CN"/>
        </w:rPr>
        <w:t>0</w:t>
      </w:r>
      <w:r>
        <w:rPr>
          <w:rFonts w:hint="eastAsia" w:cs="宋体" w:asciiTheme="minorEastAsia" w:hAnsiTheme="minorEastAsia" w:eastAsiaTheme="minorEastAsia"/>
          <w:color w:val="auto"/>
          <w:szCs w:val="21"/>
        </w:rPr>
        <w:t xml:space="preserve">%。 </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）在所有设备安装、调试完成，经过试运行，通过验收并按甲方要求移交所有资料后10个工作日内支付</w:t>
      </w:r>
      <w:r>
        <w:rPr>
          <w:rFonts w:hint="eastAsia" w:cs="宋体" w:asciiTheme="minorEastAsia" w:hAnsiTheme="minorEastAsia" w:eastAsiaTheme="minorEastAsia"/>
          <w:color w:val="auto"/>
          <w:szCs w:val="21"/>
          <w:lang w:eastAsia="zh-CN"/>
        </w:rPr>
        <w:t>签约合同价</w:t>
      </w:r>
      <w:r>
        <w:rPr>
          <w:rFonts w:hint="eastAsia" w:cs="宋体" w:asciiTheme="minorEastAsia" w:hAnsiTheme="minorEastAsia" w:eastAsiaTheme="minorEastAsia"/>
          <w:color w:val="auto"/>
          <w:szCs w:val="21"/>
        </w:rPr>
        <w:t>的</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%，并退还履约保证金。</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
          <w:bCs/>
          <w:color w:val="FF0000"/>
          <w:szCs w:val="21"/>
          <w:lang w:val="en-US" w:eastAsia="zh-CN"/>
        </w:rPr>
        <w:t>在双方共同签署验收合格证书后</w:t>
      </w:r>
      <w:r>
        <w:rPr>
          <w:rFonts w:hint="eastAsia" w:cs="宋体" w:asciiTheme="minorEastAsia" w:hAnsiTheme="minorEastAsia" w:eastAsiaTheme="minorEastAsia"/>
          <w:color w:val="auto"/>
          <w:szCs w:val="21"/>
        </w:rPr>
        <w:t>10个工作日内支付至结算总价的</w:t>
      </w:r>
      <w:r>
        <w:rPr>
          <w:rFonts w:hint="eastAsia" w:cs="宋体" w:asciiTheme="minorEastAsia" w:hAnsiTheme="minorEastAsia" w:eastAsiaTheme="minorEastAsia"/>
          <w:b/>
          <w:bCs/>
          <w:color w:val="auto"/>
          <w:szCs w:val="21"/>
        </w:rPr>
        <w:t>9</w:t>
      </w:r>
      <w:r>
        <w:rPr>
          <w:rFonts w:hint="eastAsia" w:cs="宋体" w:asciiTheme="minorEastAsia" w:hAnsiTheme="minorEastAsia" w:eastAsiaTheme="minorEastAsia"/>
          <w:b/>
          <w:bCs/>
          <w:color w:val="auto"/>
          <w:szCs w:val="21"/>
          <w:lang w:val="en-US" w:eastAsia="zh-CN"/>
        </w:rPr>
        <w:t>8</w:t>
      </w:r>
      <w:r>
        <w:rPr>
          <w:rFonts w:hint="eastAsia" w:cs="宋体" w:asciiTheme="minorEastAsia" w:hAnsiTheme="minorEastAsia" w:eastAsiaTheme="minorEastAsia"/>
          <w:b/>
          <w:bCs/>
          <w:color w:val="auto"/>
          <w:szCs w:val="21"/>
        </w:rPr>
        <w:t>.5%，</w:t>
      </w:r>
      <w:r>
        <w:rPr>
          <w:rFonts w:hint="eastAsia" w:cs="宋体" w:asciiTheme="minorEastAsia" w:hAnsiTheme="minorEastAsia" w:eastAsiaTheme="minorEastAsia"/>
          <w:color w:val="auto"/>
          <w:szCs w:val="21"/>
        </w:rPr>
        <w:t>结算方式按合同第1</w:t>
      </w:r>
      <w:r>
        <w:rPr>
          <w:rFonts w:hint="eastAsia" w:cs="宋体" w:asciiTheme="minorEastAsia" w:hAnsiTheme="minorEastAsia" w:eastAsiaTheme="minorEastAsia"/>
          <w:color w:val="auto"/>
          <w:szCs w:val="21"/>
          <w:lang w:val="en-US" w:eastAsia="zh-CN"/>
        </w:rPr>
        <w:t>0</w:t>
      </w:r>
      <w:r>
        <w:rPr>
          <w:rFonts w:hint="eastAsia" w:cs="宋体" w:asciiTheme="minorEastAsia" w:hAnsiTheme="minorEastAsia" w:eastAsiaTheme="minorEastAsia"/>
          <w:color w:val="auto"/>
          <w:szCs w:val="21"/>
        </w:rPr>
        <w:t>条付款变更与结算方式的第2条结算方式办理。余款</w:t>
      </w:r>
      <w:r>
        <w:rPr>
          <w:rFonts w:hint="eastAsia" w:cs="宋体" w:asciiTheme="minorEastAsia" w:hAnsiTheme="minorEastAsia" w:eastAsiaTheme="minorEastAsia"/>
          <w:b/>
          <w:bCs/>
          <w:color w:val="auto"/>
          <w:szCs w:val="21"/>
          <w:lang w:val="en-US" w:eastAsia="zh-CN"/>
        </w:rPr>
        <w:t>1</w:t>
      </w:r>
      <w:r>
        <w:rPr>
          <w:rFonts w:hint="eastAsia" w:cs="宋体" w:asciiTheme="minorEastAsia" w:hAnsiTheme="minorEastAsia" w:eastAsiaTheme="minorEastAsia"/>
          <w:b/>
          <w:bCs/>
          <w:color w:val="auto"/>
          <w:szCs w:val="21"/>
        </w:rPr>
        <w:t>.5%</w:t>
      </w:r>
      <w:r>
        <w:rPr>
          <w:rFonts w:hint="eastAsia" w:cs="宋体" w:asciiTheme="minorEastAsia" w:hAnsiTheme="minorEastAsia" w:eastAsiaTheme="minorEastAsia"/>
          <w:color w:val="auto"/>
          <w:szCs w:val="21"/>
        </w:rPr>
        <w:t>待质量保证期满无质量问题甲方确认后10工作日内付清（不计利息）。</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甲方在支付本合同项下的任一合同价款前，乙方须向甲方提供符合相关法律规定的甲方要求的等额有效增值税发票，否则甲方有权拒绝支付合同价款，且不承担因其不支付合同价款或迟延支付合同价款引起的任何责任。</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r>
        <w:rPr>
          <w:rFonts w:hint="eastAsia" w:cs="宋体" w:asciiTheme="minorEastAsia" w:hAnsiTheme="minorEastAsia" w:eastAsiaTheme="minorEastAsia"/>
          <w:color w:val="000000"/>
          <w:szCs w:val="21"/>
          <w:lang w:val="en-US" w:eastAsia="zh-CN"/>
        </w:rPr>
        <w:t>7</w:t>
      </w:r>
      <w:r>
        <w:rPr>
          <w:rFonts w:hint="eastAsia" w:cs="宋体" w:asciiTheme="minorEastAsia" w:hAnsiTheme="minorEastAsia" w:eastAsiaTheme="minorEastAsia"/>
          <w:color w:val="000000"/>
          <w:szCs w:val="21"/>
        </w:rPr>
        <w:t>）乙方应在合同条款规定的支付期限末，按甲方</w:t>
      </w:r>
      <w:r>
        <w:rPr>
          <w:rFonts w:hint="eastAsia" w:cs="宋体" w:asciiTheme="minorEastAsia" w:hAnsiTheme="minorEastAsia" w:eastAsiaTheme="minorEastAsia"/>
          <w:color w:val="000000"/>
          <w:szCs w:val="21"/>
          <w:lang w:val="en-US" w:eastAsia="zh-CN"/>
        </w:rPr>
        <w:t>要求</w:t>
      </w:r>
      <w:r>
        <w:rPr>
          <w:rFonts w:hint="eastAsia" w:cs="宋体" w:asciiTheme="minorEastAsia" w:hAnsiTheme="minorEastAsia" w:eastAsiaTheme="minorEastAsia"/>
          <w:color w:val="000000"/>
          <w:szCs w:val="21"/>
        </w:rPr>
        <w:t>向甲方提交</w:t>
      </w:r>
      <w:r>
        <w:rPr>
          <w:rFonts w:hint="eastAsia" w:cs="宋体" w:asciiTheme="minorEastAsia" w:hAnsiTheme="minorEastAsia" w:eastAsiaTheme="minorEastAsia"/>
          <w:color w:val="000000"/>
          <w:szCs w:val="21"/>
          <w:lang w:val="en-US" w:eastAsia="zh-CN"/>
        </w:rPr>
        <w:t>申请单</w:t>
      </w:r>
      <w:r>
        <w:rPr>
          <w:rFonts w:hint="eastAsia" w:cs="宋体" w:asciiTheme="minorEastAsia" w:hAnsiTheme="minorEastAsia" w:eastAsiaTheme="minorEastAsia"/>
          <w:color w:val="000000"/>
          <w:szCs w:val="21"/>
        </w:rPr>
        <w:t>，因审批程序时间延迟支付甲方不承担违约责任。</w:t>
      </w:r>
    </w:p>
    <w:p>
      <w:pPr>
        <w:pStyle w:val="61"/>
        <w:spacing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 xml:space="preserve">2.结算方式 </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（1）结算造价将由采购人委托咨询单位审核；工程结算审查追加费由供货人承担，采购人</w:t>
      </w:r>
      <w:r>
        <w:rPr>
          <w:rFonts w:hint="eastAsia" w:cs="宋体" w:asciiTheme="minorEastAsia" w:hAnsiTheme="minorEastAsia" w:eastAsiaTheme="minorEastAsia"/>
          <w:color w:val="000000"/>
          <w:szCs w:val="21"/>
          <w:lang w:val="en-US" w:eastAsia="zh-CN"/>
        </w:rPr>
        <w:t>有权</w:t>
      </w:r>
      <w:r>
        <w:rPr>
          <w:rFonts w:hint="eastAsia" w:cs="宋体" w:asciiTheme="minorEastAsia" w:hAnsiTheme="minorEastAsia" w:eastAsiaTheme="minorEastAsia"/>
          <w:color w:val="000000"/>
          <w:szCs w:val="21"/>
        </w:rPr>
        <w:t>采用代扣代付的形式，从工程款或履约保证金中直接扣除后向审核单位支付。</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（2）乙方应充分考虑并消化材料市场价格的波动因素，因此产生的波动，本合同价格不作调整。</w:t>
      </w:r>
    </w:p>
    <w:p>
      <w:pPr>
        <w:pStyle w:val="2"/>
        <w:adjustRightInd w:val="0"/>
        <w:snapToGrid w:val="0"/>
        <w:spacing w:line="32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w:t>
      </w:r>
      <w:r>
        <w:rPr>
          <w:rFonts w:hint="eastAsia" w:cs="宋体" w:asciiTheme="minorEastAsia" w:hAnsiTheme="minorEastAsia" w:eastAsiaTheme="minorEastAsia"/>
          <w:color w:val="000000"/>
          <w:kern w:val="2"/>
          <w:sz w:val="21"/>
          <w:szCs w:val="21"/>
          <w:lang w:val="en-US" w:eastAsia="zh-CN" w:bidi="ar-SA"/>
        </w:rPr>
        <w:t>本项目采用固定总价形式，整个合同履行期间，除甲方要求变更外，按签约合同价款一次性包死。若甲方要求变更的，则变更部分按照甲方的签证价格进行结算。</w:t>
      </w:r>
    </w:p>
    <w:p>
      <w:pPr>
        <w:pStyle w:val="59"/>
        <w:widowControl/>
        <w:adjustRightInd w:val="0"/>
        <w:snapToGrid w:val="0"/>
        <w:spacing w:line="360" w:lineRule="auto"/>
        <w:ind w:firstLine="420" w:firstLineChars="20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w:t>
      </w:r>
      <w:r>
        <w:rPr>
          <w:rFonts w:hint="eastAsia" w:cs="宋体" w:asciiTheme="minorEastAsia" w:hAnsiTheme="minorEastAsia" w:eastAsiaTheme="minorEastAsia"/>
          <w:color w:val="000000"/>
          <w:szCs w:val="21"/>
          <w:lang w:val="en-US" w:eastAsia="zh-CN"/>
        </w:rPr>
        <w:t>因甲方变更</w:t>
      </w:r>
      <w:r>
        <w:rPr>
          <w:rFonts w:hint="eastAsia" w:cs="宋体" w:asciiTheme="minorEastAsia" w:hAnsiTheme="minorEastAsia" w:eastAsiaTheme="minorEastAsia"/>
          <w:color w:val="000000"/>
          <w:szCs w:val="21"/>
        </w:rPr>
        <w:t>引起的相关价格的确定方式如下：合同中已有适用于变更的按合同中已有的价格执行；合同中只有类似于变更的参照合同中类似的单价计算；合同中没有适用于变更或者没有类似于变更的，</w:t>
      </w:r>
      <w:r>
        <w:rPr>
          <w:rFonts w:hint="eastAsia" w:cs="宋体" w:asciiTheme="minorEastAsia" w:hAnsiTheme="minorEastAsia" w:eastAsiaTheme="minorEastAsia"/>
          <w:color w:val="000000"/>
          <w:szCs w:val="21"/>
          <w:lang w:val="en-US" w:eastAsia="zh-CN"/>
        </w:rPr>
        <w:t>由乙方提出，由甲方签证确定</w:t>
      </w:r>
      <w:r>
        <w:rPr>
          <w:rFonts w:hint="eastAsia" w:cs="宋体" w:asciiTheme="minorEastAsia" w:hAnsiTheme="minorEastAsia" w:eastAsiaTheme="minorEastAsia"/>
          <w:color w:val="000000"/>
          <w:szCs w:val="21"/>
        </w:rPr>
        <w:t>。如投标文件中对同一设备报价有两个或两个以上的价格的，</w:t>
      </w:r>
      <w:r>
        <w:rPr>
          <w:rFonts w:hint="eastAsia" w:cs="宋体" w:asciiTheme="minorEastAsia" w:hAnsiTheme="minorEastAsia" w:eastAsiaTheme="minorEastAsia"/>
          <w:color w:val="000000"/>
          <w:szCs w:val="21"/>
          <w:lang w:val="en-US" w:eastAsia="zh-CN"/>
        </w:rPr>
        <w:t>以最低价进行签证确定</w:t>
      </w:r>
      <w:r>
        <w:rPr>
          <w:rFonts w:hint="eastAsia" w:cs="宋体" w:asciiTheme="minorEastAsia" w:hAnsiTheme="minorEastAsia" w:eastAsiaTheme="minorEastAsia"/>
          <w:color w:val="000000"/>
          <w:szCs w:val="21"/>
        </w:rPr>
        <w:t>。</w:t>
      </w:r>
    </w:p>
    <w:p>
      <w:pPr>
        <w:numPr>
          <w:ilvl w:val="0"/>
          <w:numId w:val="10"/>
        </w:num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税费</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本合同执行中相关的一切税费均由</w:t>
      </w:r>
      <w:r>
        <w:rPr>
          <w:rFonts w:asciiTheme="minorEastAsia" w:hAnsiTheme="minorEastAsia" w:eastAsiaTheme="minorEastAsia"/>
          <w:szCs w:val="21"/>
        </w:rPr>
        <w:t>乙</w:t>
      </w:r>
      <w:r>
        <w:rPr>
          <w:rFonts w:hint="eastAsia" w:asciiTheme="minorEastAsia" w:hAnsiTheme="minorEastAsia" w:eastAsiaTheme="minorEastAsia"/>
          <w:szCs w:val="21"/>
        </w:rPr>
        <w:t>方负担。</w:t>
      </w:r>
    </w:p>
    <w:p>
      <w:pPr>
        <w:numPr>
          <w:ilvl w:val="0"/>
          <w:numId w:val="10"/>
        </w:num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质量要求</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1.本合同项下全部产品的设计及制造质量均应符合最新国家、部委、行业有关标准规范、建筑安装施工规范及招标文件技术要求。</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应保证所供货物是全新的、未使用过的，完全符合甲方招标文件、询标纪要、本合同规定及乙方投标承诺的质量、规格和性能的要求，如有冲突的，以要求较高者为准。乙方应保证其货物在正确安装、正常使用和保养条件下，在其使用寿命内应确保设备的正常使用。在货物竣工验收后的质量保证期内，乙方应对由于设计、制造或材料的缺陷而产生的故障负全责。</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乙方保证本合同项下标的货物均采用品牌产品质量标准最高厂区的原厂技术和生产管理工艺，在材料选择和生产过程中的监控均严格按照该品牌产品质量标准最高厂区的原厂技术要求，提供甲方质量最稳定、性能最优异的产品，本合同项下标的货物的重要部件均应具有国际先进水平，其主要部件及产地必须满足投标文件中承诺的要求，否则，甲方有权拒付全部货款并依法追究乙方相应的违约责任。</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根据商检局或有关部门检验结果或在质量保证期内，如果货物的数量、质量或规格与合同不符，或证实货物是有缺陷的，包括潜在的缺陷或使用不符合要求的材料等，甲方以书面形式向乙方提出相关的索赔要求。</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如设备出现故障需要维修及更换时，乙方在收到通知后应免费维修或更换有缺陷的货物或部件，如果乙方在收到通知后，在投标承诺质量保证期期内没有弥补缺陷，甲方可采取必要的补救措施，但其风险和费用将由乙方承担，甲方根据合同规定对乙方行使的其他权力不受影响。</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6.材料设备要求</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6.1乙方采购的材料必须严格按照招投标文件中明确的品牌、规格、质量等要求进行采购，采购的材料设备的质量、品牌、型号等不符合招标文件、投标文件规定的要求，乙方必须无条件更换并承担相关费用。采购的材料必须经甲方、全过程工程咨询单位验收后方能用于本项目，且必须符合施工图纸设计要求及国家有关质量标准。</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6.2本工程所采用的主要材料及设备等到货时，应由甲方、全过程工程咨询单位、乙方就材料设备的种类、产地、品牌、数量、规格等，按投标文件中的品牌和国家制定的有关质量标准规范要求进行验收或抽查试验，乙方并应向验收人员提供有关产品合格证、许可证、准用证等证明和出厂日期等以供核对。</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6.3乙方提供的主要材料设备应按招标文件的规定和乙方在投标文件材料价格表中所明确的材料品牌、厂家一致，乙方在采购前60天向甲方、全过程工程咨询单位提供样品、有关资料和采购计划，经甲方、全过程工程咨询单位书面确认后，方可采购进场，否则甲方有权要求调货，一切责任和费用均由乙方自行承担。所有的进场材料须提供质保书或合格证、并且符合施工图纸和规范要求。</w:t>
      </w:r>
    </w:p>
    <w:p>
      <w:pPr>
        <w:numPr>
          <w:ilvl w:val="0"/>
          <w:numId w:val="10"/>
        </w:num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质量、技术标准</w:t>
      </w:r>
    </w:p>
    <w:p>
      <w:pPr>
        <w:pStyle w:val="12"/>
        <w:snapToGrid w:val="0"/>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1.产品的质量、技术标准</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达到国家验收规范合格标准及招标文件要求和投标文件中的承诺，若不同标准之间不一致的，以要求较高者为准。如国家有新标准的，则应符合国家所颁布的最新版本的质量和技术要求，乙方不得因新标准的实施要求价格调整。</w:t>
      </w:r>
    </w:p>
    <w:p>
      <w:pPr>
        <w:pStyle w:val="12"/>
        <w:snapToGrid w:val="0"/>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2.制造检验和试验工作</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2.1乙方在出厂前性能试验结束后应尽快提交试验报告书（一式三份，提交时间以试验结束后14个工作日内为准）。</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2.2所有检验和试验等费用包括在本</w:t>
      </w:r>
      <w:r>
        <w:rPr>
          <w:rFonts w:hint="eastAsia" w:asciiTheme="minorEastAsia" w:hAnsiTheme="minorEastAsia" w:eastAsiaTheme="minorEastAsia"/>
          <w:szCs w:val="21"/>
          <w:lang w:eastAsia="zh-CN"/>
        </w:rPr>
        <w:t>签约合同价</w:t>
      </w:r>
      <w:r>
        <w:rPr>
          <w:rFonts w:hint="eastAsia" w:asciiTheme="minorEastAsia" w:hAnsiTheme="minorEastAsia" w:eastAsiaTheme="minorEastAsia"/>
          <w:szCs w:val="21"/>
        </w:rPr>
        <w:t>中，甲方不再另行支付。</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本合同项下产品在生产制造期间，甲方有权在合适的时间到乙方制造地，进行质量检验和试验，若一些零部件需在其他地方生产，乙方应为甲方办理手续进入生产场地。在制造监制期间，乙方有责任提供有关设备的各种数据，设备结构图和部件图的详细中文资料，但甲方监制并不解除乙方对所有产品在制造质量上应负的全部责任，也不作为甲方的最终验收。</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2.4主要部件和总体工程的检验都应在工厂内结束，乙方须提供由甲方工程师认可的一整套检验标准和计划，所有检验应严格地按照认可的方式进行，在检验结束后，乙方须提供必要的技术数据和图纸，并提交一式三份检验、试验报告给甲方。</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2.5当设备试验时，乙方应至少在试验前14天以正式的书面形式通知甲方，何种试验将在何时何地进行，经甲方认可后，若甲方不能在指定的时间赶赴现场，乙方将进行试验并被视为甲方在场进行，同时他须及时将试验报告副本送达甲方，若甲方需要，乙方应解释所有的试验事项，直至甲方满意。</w:t>
      </w:r>
    </w:p>
    <w:p>
      <w:pPr>
        <w:numPr>
          <w:ilvl w:val="0"/>
          <w:numId w:val="10"/>
        </w:numPr>
        <w:spacing w:line="360" w:lineRule="auto"/>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免费保修期限及其他优惠措施</w:t>
      </w:r>
    </w:p>
    <w:p>
      <w:pPr>
        <w:pStyle w:val="12"/>
        <w:snapToGrid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1、免费保修期限（质保期）须满足招标要求，具体期限见投标承诺， 时间</w:t>
      </w:r>
      <w:r>
        <w:rPr>
          <w:rFonts w:hint="eastAsia" w:asciiTheme="minorEastAsia" w:hAnsiTheme="minorEastAsia" w:eastAsiaTheme="minorEastAsia"/>
          <w:szCs w:val="21"/>
          <w:highlight w:val="none"/>
          <w:lang w:val="en-US" w:eastAsia="zh-CN"/>
        </w:rPr>
        <w:t>自签署验收合格证书之日起</w:t>
      </w:r>
      <w:r>
        <w:rPr>
          <w:rFonts w:hint="eastAsia" w:asciiTheme="minorEastAsia" w:hAnsiTheme="minorEastAsia" w:eastAsiaTheme="minorEastAsia"/>
          <w:szCs w:val="21"/>
          <w:highlight w:val="none"/>
        </w:rPr>
        <w:t>算。</w:t>
      </w:r>
    </w:p>
    <w:p>
      <w:pPr>
        <w:pStyle w:val="12"/>
        <w:snapToGrid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2、售后服务工作由乙方全部负责，并派资深调试维护工程师进驻现场，确保项目顺利安全可靠动作，工作范围包括：维修保障服务和对现场操作人员的培训等。</w:t>
      </w:r>
    </w:p>
    <w:p>
      <w:pPr>
        <w:pStyle w:val="12"/>
        <w:snapToGrid w:val="0"/>
        <w:spacing w:line="360" w:lineRule="auto"/>
        <w:ind w:firstLine="422" w:firstLineChars="200"/>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3、售后服务工作：</w:t>
      </w:r>
    </w:p>
    <w:p>
      <w:pPr>
        <w:pStyle w:val="12"/>
        <w:snapToGrid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3.1在保修期外，若设备出现故障时，</w:t>
      </w:r>
      <w:r>
        <w:rPr>
          <w:rFonts w:hint="eastAsia" w:asciiTheme="minorEastAsia" w:hAnsiTheme="minorEastAsia" w:eastAsiaTheme="minorEastAsia"/>
          <w:szCs w:val="21"/>
          <w:highlight w:val="none"/>
          <w:lang w:val="en-US" w:eastAsia="zh-CN"/>
        </w:rPr>
        <w:t>如投标时有承诺的，则按投标承诺提供提服务，若投标时没有承诺的，则</w:t>
      </w:r>
      <w:r>
        <w:rPr>
          <w:rFonts w:hint="eastAsia" w:asciiTheme="minorEastAsia" w:hAnsiTheme="minorEastAsia" w:eastAsiaTheme="minorEastAsia"/>
          <w:szCs w:val="21"/>
          <w:highlight w:val="none"/>
        </w:rPr>
        <w:t>乙方承诺比市场优惠20%的价格</w:t>
      </w:r>
      <w:r>
        <w:rPr>
          <w:rFonts w:hint="eastAsia" w:asciiTheme="minorEastAsia" w:hAnsiTheme="minorEastAsia" w:eastAsiaTheme="minorEastAsia"/>
          <w:szCs w:val="21"/>
          <w:highlight w:val="none"/>
          <w:lang w:val="en-US" w:eastAsia="zh-CN"/>
        </w:rPr>
        <w:t>提供</w:t>
      </w:r>
      <w:r>
        <w:rPr>
          <w:rFonts w:hint="eastAsia" w:asciiTheme="minorEastAsia" w:hAnsiTheme="minorEastAsia" w:eastAsiaTheme="minorEastAsia"/>
          <w:szCs w:val="21"/>
          <w:highlight w:val="none"/>
        </w:rPr>
        <w:t>有偿服务。</w:t>
      </w:r>
    </w:p>
    <w:p>
      <w:pPr>
        <w:pStyle w:val="12"/>
        <w:snapToGrid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3.2乙方维修人员接到维修电话后须在1小时内响应，并提供不间断的服务直到修复完毕结束。乙方投标时明确负责此项目维修工作的售后服务公司，该公司维修工作不得转包（此售后服务公司对此项目的维修也要作出明确承诺）。</w:t>
      </w:r>
    </w:p>
    <w:p>
      <w:pPr>
        <w:pStyle w:val="12"/>
        <w:snapToGrid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3.3乙方须对合同中的设备提供投标承诺的质量保修期及免费维修和保养，时间从工程专项验收合格、交付给甲方使用之日算起。在此期间，产品出现任何质量问题，乙方应免费维修和正常保养。</w:t>
      </w:r>
    </w:p>
    <w:p>
      <w:pPr>
        <w:pStyle w:val="12"/>
        <w:snapToGrid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3.4在质保期内的工作应包括对所有机组系统常规检查、调整等; 每季度对设备进行一次总体检测并保养，每年对设备进行一次复调。</w:t>
      </w:r>
    </w:p>
    <w:p>
      <w:pPr>
        <w:pStyle w:val="12"/>
        <w:snapToGrid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3.5乙方须自行付费负责修理和更换任何由于设备自身的质量问题造成的损坏及故障。</w:t>
      </w:r>
    </w:p>
    <w:p>
      <w:pPr>
        <w:pStyle w:val="12"/>
        <w:snapToGrid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3.6在缺陷保修结束时，须由乙方工程师和甲方代表一同对设备进行一次测试，任何故障须由乙方自费解决并取得甲方的书面认可。</w:t>
      </w:r>
    </w:p>
    <w:p>
      <w:pPr>
        <w:pStyle w:val="12"/>
        <w:snapToGrid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3.7故障修复后，乙方需提供一式两份报告给甲方，包括故障原因，解决措施，完成修理所费时间及恢复正常运行日期。</w:t>
      </w:r>
    </w:p>
    <w:p>
      <w:pPr>
        <w:pStyle w:val="12"/>
        <w:snapToGrid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3.8质量保修期要求详见附件《质量保修书》。</w:t>
      </w:r>
    </w:p>
    <w:p>
      <w:pPr>
        <w:pStyle w:val="12"/>
        <w:snapToGrid w:val="0"/>
        <w:spacing w:line="360" w:lineRule="auto"/>
        <w:ind w:firstLine="422" w:firstLineChars="200"/>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4、备件供应</w:t>
      </w:r>
    </w:p>
    <w:p>
      <w:pPr>
        <w:pStyle w:val="12"/>
        <w:snapToGrid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1、乙方确保有足够的备件、附件和易损件满足设备正常运行需要。</w:t>
      </w:r>
    </w:p>
    <w:p>
      <w:pPr>
        <w:pStyle w:val="12"/>
        <w:snapToGrid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2、乙方须在承诺的免费维修期后有报价的按投标报价，无报价的按比市场优惠20%的价格提供零部件、附件或正确的替代件。</w:t>
      </w:r>
    </w:p>
    <w:p>
      <w:pPr>
        <w:pStyle w:val="12"/>
        <w:snapToGrid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3、承诺在5年内对设备控制系统软件提供免费升级（不限次数）。</w:t>
      </w:r>
    </w:p>
    <w:p>
      <w:pPr>
        <w:numPr>
          <w:ilvl w:val="0"/>
          <w:numId w:val="10"/>
        </w:numPr>
        <w:spacing w:line="360" w:lineRule="auto"/>
        <w:rPr>
          <w:rFonts w:cs="宋体" w:asciiTheme="minorEastAsia" w:hAnsiTheme="minorEastAsia" w:eastAsiaTheme="minorEastAsia"/>
          <w:b/>
          <w:bCs/>
          <w:color w:val="000000"/>
          <w:szCs w:val="21"/>
          <w:highlight w:val="none"/>
        </w:rPr>
      </w:pPr>
      <w:r>
        <w:rPr>
          <w:rFonts w:hint="eastAsia" w:asciiTheme="minorEastAsia" w:hAnsiTheme="minorEastAsia" w:eastAsiaTheme="minorEastAsia"/>
          <w:b/>
          <w:szCs w:val="21"/>
          <w:highlight w:val="none"/>
        </w:rPr>
        <w:t>安装</w:t>
      </w:r>
      <w:r>
        <w:rPr>
          <w:rFonts w:hint="eastAsia" w:cs="宋体" w:asciiTheme="minorEastAsia" w:hAnsiTheme="minorEastAsia" w:eastAsiaTheme="minorEastAsia"/>
          <w:b/>
          <w:bCs/>
          <w:color w:val="000000"/>
          <w:szCs w:val="21"/>
          <w:highlight w:val="none"/>
        </w:rPr>
        <w:t>及调试</w:t>
      </w:r>
    </w:p>
    <w:p>
      <w:pPr>
        <w:pStyle w:val="59"/>
        <w:spacing w:line="360" w:lineRule="auto"/>
        <w:ind w:firstLine="48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1.乙方应当严格按照本合同约定以及国家、省、市有关现行规范完成设备安装调试工作。</w:t>
      </w:r>
    </w:p>
    <w:p>
      <w:pPr>
        <w:pStyle w:val="59"/>
        <w:spacing w:line="360" w:lineRule="auto"/>
        <w:ind w:firstLine="48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2.乙方应当承担安装调试期间安全保卫工作及安装照明等工作并承担由此产生的一切费用。安装调试期间发生的一切安全事故、违法违规事件，均由乙方负责处理并承担相应的责任和费用。</w:t>
      </w:r>
    </w:p>
    <w:p>
      <w:pPr>
        <w:pStyle w:val="59"/>
        <w:spacing w:line="360" w:lineRule="auto"/>
        <w:ind w:firstLine="48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3.在安装施工过程中，乙方应当遵守相关法律规定、甲方对施工现场的管理规定，自行协调好与其他施工单位的关系，确保工程顺利完成。否则，因此所产生的一切后果均由乙方自行承担。若因乙方原因导致甲方相关设施损坏或造成第三方损失，则由乙方照价赔偿。 </w:t>
      </w:r>
    </w:p>
    <w:p>
      <w:pPr>
        <w:pStyle w:val="59"/>
        <w:spacing w:line="360" w:lineRule="auto"/>
        <w:ind w:firstLine="48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乙方全权负责其劳务及职员的雇佣、工资的支付，住宿、膳食及运输等安排。乙方在任何时候均应采取一切合理的预防措施，以防止其职员发生任何违法或妨害治安的行为，并且保护工程附近的个人或财产免遭上述行为的破坏。</w:t>
      </w:r>
    </w:p>
    <w:p>
      <w:pPr>
        <w:pStyle w:val="59"/>
        <w:spacing w:line="360" w:lineRule="auto"/>
        <w:ind w:firstLine="48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5.乙方负责本设备安装调试工程全部档案资料的汇总、整理、归档，并在安装验收通过后移交给甲方。</w:t>
      </w:r>
    </w:p>
    <w:p>
      <w:pPr>
        <w:pStyle w:val="59"/>
        <w:spacing w:line="360" w:lineRule="auto"/>
        <w:ind w:firstLine="48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乙方经甲方批准后可在安装现场铺设临时设施，但必须在安装结束后负责清除完毕。由于乙方原因引起工期延长，造成临时设施影响甲方工作计划而需要搬迁的，增加的费用由乙方负责。在合同期间内，因甲方需要乙方提前拆除临时设施的，乙方应在甲方限定的时间内无条件拆除结束，拆除结束后双方再另行商议补偿费用。</w:t>
      </w:r>
    </w:p>
    <w:p>
      <w:pPr>
        <w:pStyle w:val="59"/>
        <w:spacing w:line="360" w:lineRule="auto"/>
        <w:ind w:firstLine="48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安装所需的机械工具由乙方提供并自行运输至安装现场，该费用由乙方承担。在安装结束后，乙方应当按照甲方的要求，将乙方的机械工具搬出安装现场并拆除临时设施。安装调试结束前，乙方负责安装现场的卫生清理，并按甲方的要求堆放垃圾。</w:t>
      </w:r>
    </w:p>
    <w:p>
      <w:pPr>
        <w:numPr>
          <w:ilvl w:val="0"/>
          <w:numId w:val="10"/>
        </w:numPr>
        <w:spacing w:line="360" w:lineRule="auto"/>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验收</w:t>
      </w:r>
    </w:p>
    <w:p>
      <w:pPr>
        <w:pStyle w:val="59"/>
        <w:spacing w:line="360" w:lineRule="auto"/>
        <w:ind w:firstLine="42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1.设备到达现场后，乙方应共同参与设备的开箱检验工作。若发现货物与装箱单数目不符，由乙方负责补齐或收回，如甲方对质量有异议，乙方负责解释及处理，直到符合合同约定为止，同时，甲方保留依法追究乙方违约责任的权利。该检验称为初步清点验收，方式如下：</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szCs w:val="21"/>
        </w:rPr>
        <w:t xml:space="preserve"> </w:t>
      </w:r>
      <w:r>
        <w:rPr>
          <w:rFonts w:hint="eastAsia" w:cs="宋体" w:asciiTheme="minorEastAsia" w:hAnsiTheme="minorEastAsia" w:eastAsiaTheme="minorEastAsia"/>
          <w:color w:val="000000"/>
          <w:kern w:val="24"/>
          <w:szCs w:val="21"/>
        </w:rPr>
        <w:t>1.1乙方在将货物运到甲方指定地点时，甲乙双方及甲方委托的验收参与人员根据本合同约定的计量方式、技术标准和质量要求对乙方交付的货物进行初步清点，主要核对：数量、规格型号、产地、质量等级、尺寸、颜色、铭牌参数、包装及标识完整、完好程度、交货资料，各方签字后即表示初步验收清点完成，可以进行组装就位施工，但并不免除任何乙方对交货产品存在质量、制造、设计、性能、零部件的完整性等各方面的缺陷和不合格的责任、违约责任和对甲方造成损失的赔偿。</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1.2甲乙双方及甲方委托的验收参与人员初步清点时，若发现存在数量、规格型号、产地、质量等级、尺寸、颜色、铭牌参数、包装及标识完整、完好程度、交货资料方面不合格情况的，甲方有权拒收、部分拒收、退货、部分退货、拒付货款直至解除本合同，并向乙方索赔因此造成的损失。如甲方选择不解除合同但要求乙方重新供货的，乙方应当无条件重新供货，且交货期限不顺延，由此导致逾期交货的，乙方应承担相应的违约责任。</w:t>
      </w:r>
    </w:p>
    <w:p>
      <w:pPr>
        <w:pStyle w:val="59"/>
        <w:spacing w:line="360" w:lineRule="auto"/>
        <w:ind w:firstLine="42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2.乙方交货前应按合同规定的检验方法，作出全面检测，其记录附在质量证明书内。但有关质量、规格、性能、数量或重量的检验不应视为最终检验。乙方检验的结果和详细要求应在质量说明书中加以说明。</w:t>
      </w:r>
    </w:p>
    <w:p>
      <w:pPr>
        <w:keepNext w:val="0"/>
        <w:keepLines w:val="0"/>
        <w:pageBreakBefore w:val="0"/>
        <w:kinsoku/>
        <w:wordWrap/>
        <w:overflowPunct/>
        <w:topLinePunct w:val="0"/>
        <w:bidi w:val="0"/>
        <w:snapToGrid w:val="0"/>
        <w:spacing w:line="300" w:lineRule="exact"/>
        <w:ind w:firstLine="420" w:firstLineChars="200"/>
        <w:textAlignment w:val="auto"/>
        <w:rPr>
          <w:rFonts w:cs="宋体" w:asciiTheme="minorEastAsia" w:hAnsiTheme="minorEastAsia" w:eastAsiaTheme="minorEastAsia"/>
          <w:b/>
          <w:bCs/>
          <w:color w:val="FF0000"/>
          <w:kern w:val="24"/>
          <w:szCs w:val="21"/>
        </w:rPr>
      </w:pPr>
      <w:r>
        <w:rPr>
          <w:rFonts w:hint="eastAsia" w:cs="宋体" w:asciiTheme="minorEastAsia" w:hAnsiTheme="minorEastAsia" w:eastAsiaTheme="minorEastAsia"/>
          <w:color w:val="000000"/>
          <w:kern w:val="24"/>
          <w:sz w:val="21"/>
          <w:szCs w:val="21"/>
          <w:lang w:val="en-US" w:eastAsia="zh-CN" w:bidi="ar-SA"/>
        </w:rPr>
        <w:t>3.</w:t>
      </w:r>
      <w:r>
        <w:rPr>
          <w:rFonts w:hint="eastAsia" w:cs="宋体" w:asciiTheme="minorEastAsia" w:hAnsiTheme="minorEastAsia" w:eastAsiaTheme="minorEastAsia"/>
          <w:b/>
          <w:bCs/>
          <w:color w:val="FF0000"/>
          <w:kern w:val="24"/>
          <w:sz w:val="21"/>
          <w:szCs w:val="21"/>
          <w:lang w:val="en-US" w:eastAsia="zh-CN" w:bidi="ar-SA"/>
        </w:rPr>
        <w:t>系统的就位、安装、调试结束，经有关部门的检验合格，并且在医院正式投入使用试运行二个月，经考核无故障后，采购人、中标人共同签署验收合格证书。</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4.其中甲方认为的重要部件不论何时（验收时或日后维修时）发现不符投标文件中的型号规格，乙方均将承担违约责任。乙方必须更换与招标文件相一致的部件并承诺包括组装就位在内的一切费用和相关责任。如乙方拒不更换的，甲方有权要求乙方按该重要部件所在设备的整体价款的一倍支付违约金。所有甲方认为的重要部件和零件的必须提供相应的证明材料，供货时如为进口部件需提供原装原产地五大单据（原产地当局出具的原产地证书正本、原产地出厂合格证正本、原产地装船单正本、中国海关报关证明文件复制件、中国商检检验合格证明文件正本）</w:t>
      </w:r>
      <w:r>
        <w:rPr>
          <w:rFonts w:hint="eastAsia" w:cs="宋体" w:asciiTheme="minorEastAsia" w:hAnsiTheme="minorEastAsia" w:eastAsiaTheme="minorEastAsia"/>
          <w:color w:val="000000"/>
          <w:spacing w:val="6"/>
          <w:kern w:val="24"/>
          <w:szCs w:val="21"/>
        </w:rPr>
        <w:t>。</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5.乙方在交付设备时必须同时需向甲方移交招投标文件所列的备品备件、维修工具（该备品备件不作为保修期内所使用的维保耗材）。</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6.甲方有权派出不超过4人5工作日的专业人员赴乙方生产厂地进行设计联络和监造，相关费用已包含在合同价中。如在监造中发现技术指标不能满足招标文件和投标文件承诺要求的，甲方有权拒付货款或解除合同。</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szCs w:val="21"/>
        </w:rPr>
        <w:t>7.经甲方要求或征得甲方书面同意后，乙方可分批发货，甲方分批验收。</w:t>
      </w:r>
    </w:p>
    <w:p>
      <w:pPr>
        <w:numPr>
          <w:ilvl w:val="0"/>
          <w:numId w:val="10"/>
        </w:numPr>
        <w:spacing w:line="360" w:lineRule="auto"/>
        <w:rPr>
          <w:rFonts w:cs="宋体" w:asciiTheme="minorEastAsia" w:hAnsiTheme="minorEastAsia" w:eastAsiaTheme="minorEastAsia"/>
          <w:b/>
          <w:bCs/>
          <w:color w:val="000000"/>
          <w:szCs w:val="21"/>
        </w:rPr>
      </w:pPr>
      <w:r>
        <w:rPr>
          <w:rFonts w:hint="eastAsia" w:asciiTheme="minorEastAsia" w:hAnsiTheme="minorEastAsia" w:eastAsiaTheme="minorEastAsia"/>
          <w:b/>
          <w:szCs w:val="21"/>
        </w:rPr>
        <w:t>质量</w:t>
      </w:r>
      <w:r>
        <w:rPr>
          <w:rFonts w:hint="eastAsia" w:cs="宋体" w:asciiTheme="minorEastAsia" w:hAnsiTheme="minorEastAsia" w:eastAsiaTheme="minorEastAsia"/>
          <w:b/>
          <w:bCs/>
          <w:color w:val="000000"/>
          <w:szCs w:val="21"/>
        </w:rPr>
        <w:t>保证及售后服务</w:t>
      </w:r>
    </w:p>
    <w:p>
      <w:pPr>
        <w:pStyle w:val="59"/>
        <w:spacing w:after="156" w:line="360" w:lineRule="auto"/>
        <w:ind w:firstLine="422" w:firstLineChars="200"/>
        <w:rPr>
          <w:rFonts w:cs="宋体" w:asciiTheme="minorEastAsia" w:hAnsiTheme="minorEastAsia" w:eastAsiaTheme="minorEastAsia"/>
          <w:b/>
          <w:bCs/>
          <w:color w:val="000000"/>
          <w:szCs w:val="21"/>
          <w:highlight w:val="none"/>
        </w:rPr>
      </w:pPr>
      <w:r>
        <w:rPr>
          <w:rFonts w:hint="eastAsia" w:cs="宋体" w:asciiTheme="minorEastAsia" w:hAnsiTheme="minorEastAsia" w:eastAsiaTheme="minorEastAsia"/>
          <w:b/>
          <w:bCs/>
          <w:color w:val="000000"/>
          <w:szCs w:val="21"/>
        </w:rPr>
        <w:t>（一</w:t>
      </w:r>
      <w:r>
        <w:rPr>
          <w:rFonts w:hint="eastAsia" w:cs="宋体" w:asciiTheme="minorEastAsia" w:hAnsiTheme="minorEastAsia" w:eastAsiaTheme="minorEastAsia"/>
          <w:b/>
          <w:bCs/>
          <w:color w:val="000000"/>
          <w:szCs w:val="21"/>
          <w:highlight w:val="none"/>
        </w:rPr>
        <w:t>）质量保证</w:t>
      </w:r>
    </w:p>
    <w:p>
      <w:pPr>
        <w:pStyle w:val="59"/>
        <w:spacing w:line="360" w:lineRule="auto"/>
        <w:ind w:firstLine="420" w:firstLineChars="200"/>
        <w:rPr>
          <w:rFonts w:cs="宋体" w:asciiTheme="minorEastAsia" w:hAnsiTheme="minorEastAsia" w:eastAsiaTheme="minorEastAsia"/>
          <w:color w:val="000000"/>
          <w:kern w:val="24"/>
          <w:szCs w:val="21"/>
          <w:highlight w:val="none"/>
        </w:rPr>
      </w:pPr>
      <w:r>
        <w:rPr>
          <w:rFonts w:hint="eastAsia" w:cs="宋体" w:asciiTheme="minorEastAsia" w:hAnsiTheme="minorEastAsia" w:eastAsiaTheme="minorEastAsia"/>
          <w:color w:val="000000"/>
          <w:kern w:val="24"/>
          <w:szCs w:val="21"/>
          <w:highlight w:val="none"/>
        </w:rPr>
        <w:t>1.乙方应按本合同和招标文件规定及乙方投标承诺的设备性能、质量标准向甲方提供未经使用的全新的</w:t>
      </w:r>
      <w:r>
        <w:rPr>
          <w:rFonts w:hint="eastAsia" w:cs="宋体" w:asciiTheme="minorEastAsia" w:hAnsiTheme="minorEastAsia" w:eastAsiaTheme="minorEastAsia"/>
          <w:color w:val="000000"/>
          <w:spacing w:val="6"/>
          <w:kern w:val="24"/>
          <w:szCs w:val="21"/>
          <w:highlight w:val="none"/>
        </w:rPr>
        <w:t>、未使用过的</w:t>
      </w:r>
      <w:r>
        <w:rPr>
          <w:rFonts w:hint="eastAsia" w:cs="宋体" w:asciiTheme="minorEastAsia" w:hAnsiTheme="minorEastAsia" w:eastAsiaTheme="minorEastAsia"/>
          <w:color w:val="000000"/>
          <w:kern w:val="24"/>
          <w:szCs w:val="21"/>
          <w:highlight w:val="none"/>
        </w:rPr>
        <w:t>设备。如发生所供货物与本合同、招标文件要求或乙方投标时的承诺不符，甲方有权拒收或退货，由此产生的一切责任和后果由乙方承担。</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2.甲方有权提出在货物制造过程中派人到制造厂进行监造，乙方有义务为甲方监造人员提供方便。</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3.乙方保证按IS09000系列标准(如果已经执行)或相应的质量管理和质量保证体系，对所供设备的设计、采购、制造、检验、涂装、包装、组装就位、调试等各个环节进行严格的质量管理和质量控制。</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4.乙方保证所提供的设备在正确组装就位、正常使用和维护保养的情况下，具有使甲方满意的使用性能和使用寿命。</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5.乙方提供设备的质量保证期</w:t>
      </w:r>
      <w:r>
        <w:rPr>
          <w:rFonts w:hint="eastAsia" w:cs="宋体" w:asciiTheme="minorEastAsia" w:hAnsiTheme="minorEastAsia" w:eastAsiaTheme="minorEastAsia"/>
          <w:color w:val="000000"/>
          <w:kern w:val="24"/>
          <w:szCs w:val="21"/>
          <w:lang w:eastAsia="zh-CN"/>
        </w:rPr>
        <w:t>，</w:t>
      </w:r>
      <w:r>
        <w:rPr>
          <w:rFonts w:hint="eastAsia" w:cs="宋体" w:asciiTheme="minorEastAsia" w:hAnsiTheme="minorEastAsia" w:eastAsiaTheme="minorEastAsia"/>
          <w:color w:val="000000"/>
          <w:kern w:val="24"/>
          <w:szCs w:val="21"/>
          <w:lang w:val="en-US" w:eastAsia="zh-CN"/>
        </w:rPr>
        <w:t>自</w:t>
      </w:r>
      <w:r>
        <w:rPr>
          <w:rFonts w:hint="eastAsia" w:asciiTheme="minorEastAsia" w:hAnsiTheme="minorEastAsia" w:eastAsiaTheme="minorEastAsia"/>
          <w:szCs w:val="21"/>
          <w:highlight w:val="none"/>
          <w:lang w:val="en-US" w:eastAsia="zh-CN"/>
        </w:rPr>
        <w:t>签署验收合格证书之日起</w:t>
      </w:r>
      <w:r>
        <w:rPr>
          <w:rFonts w:hint="eastAsia" w:asciiTheme="minorEastAsia" w:hAnsiTheme="minorEastAsia" w:eastAsiaTheme="minorEastAsia"/>
          <w:szCs w:val="21"/>
          <w:highlight w:val="none"/>
        </w:rPr>
        <w:t>算</w:t>
      </w:r>
      <w:r>
        <w:rPr>
          <w:rFonts w:hint="eastAsia" w:cs="宋体" w:asciiTheme="minorEastAsia" w:hAnsiTheme="minorEastAsia" w:eastAsiaTheme="minorEastAsia"/>
          <w:color w:val="000000"/>
          <w:kern w:val="24"/>
          <w:szCs w:val="21"/>
        </w:rPr>
        <w:t>。在保证期内因设备本身的质量问题发生故障，乙方应负责免费修理和更换零部件。对经过修理和免费更换零部件后仍然达不到使用要求者，甲方可按以下办法处理：</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5.1退货处理：乙方应退还甲方支付的设备款，同时应承担因该设备退货而发生的一切费用与损失(包括但不限于运输、保险、检验、组装就位调试、设备款利息、银行手续费及涉及该项目的其它损失费等)。</w:t>
      </w:r>
    </w:p>
    <w:p>
      <w:pPr>
        <w:pStyle w:val="59"/>
        <w:spacing w:line="360" w:lineRule="auto"/>
        <w:ind w:firstLine="359" w:firstLineChars="171"/>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5.2更换设备：由乙方承担因更换设备所发生的一切费用与损失【包括但不限于设备、运输（包括卸车至现场及卸车至指定地点）、保险、检验、就位、指导安装、调试、设备款利息、银行手续费及涉及该项目的其它损失费等】。</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5.3甲方有权根据质保期内设备本身质量问题发生的故障严重程度，选择以上任意一种方式，乙方须无条件接受。</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6、在设备就位、安装、调试阶段，乙方应及时派出现场服务人员，处理现场发生的有关质量技术问题。</w:t>
      </w:r>
    </w:p>
    <w:p>
      <w:pPr>
        <w:pStyle w:val="59"/>
        <w:spacing w:after="156"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（二）售后服务承诺</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1.无论在质保期内还是质保期满后，一旦设备发生故障，而甲方无法自行排除时，在接到甲方通知后，乙方承诺在所供货物发生故障1小时内响应，协助甲方排除故障。一般故障6小时内排除，较大故障12小时内排除，重大故障24小时内排除，并及时提供备品备件。质保期内备品备件免费更换。质保期结束前免费对设备进行一次系统测试，并提供一次测试报告。</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注：一般故障是指设备参数设置故障，需要对设备进行参数调整或者程序重新设置；较大故障是指设备非关键部位损坏，需要更换备品备件；重大故障是指设备核心部件损坏，需要更换核心部件。</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2.乙方需安排设备使用维护的现场培训，培训的人数和深度必须满足投标文件的要求，费用已包含在合同价中，甲方不再另行支付。</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3.乙方每年免费提供备品备件及常用材料的价目表。</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4.乙方进行就位、安装、调试，以及进行维修、保养等工作时，应当遵守劳动安全等规章制度，听从甲方的安全指挥，对因乙方履行上述工作给甲方与第三人造成的损害责任(包括但不限于人身损害、财产损害等)，以及造成乙方自身的损害责任，均由乙方承担。如甲方先行承担责任的，甲方有权向乙方追偿损失（包括但不限于赔偿费、诉讼费、律师费等），并有权从任何应该支付或将要支付给乙方的金额中扣除该偿还金额。</w:t>
      </w:r>
    </w:p>
    <w:p>
      <w:pPr>
        <w:numPr>
          <w:ilvl w:val="0"/>
          <w:numId w:val="10"/>
        </w:numPr>
        <w:spacing w:line="360" w:lineRule="auto"/>
        <w:rPr>
          <w:rFonts w:asciiTheme="minorEastAsia" w:hAnsiTheme="minorEastAsia" w:eastAsiaTheme="minorEastAsia"/>
          <w:b/>
          <w:szCs w:val="21"/>
        </w:rPr>
      </w:pPr>
      <w:r>
        <w:rPr>
          <w:rFonts w:asciiTheme="minorEastAsia" w:hAnsiTheme="minorEastAsia" w:eastAsiaTheme="minorEastAsia"/>
          <w:b/>
          <w:szCs w:val="21"/>
        </w:rPr>
        <w:t>违约责任</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1.凡设备在开箱检验、就位、安装、调试、设备试运转过程中发现的设备质量问题，由乙方负责处理，实行包换、包退、直至产品符合质量要求。乙方应当承担因调换、退货发生的逾期交货责任、一切费用及因此导致甲方的经济损失，并承担相关责任。</w:t>
      </w:r>
    </w:p>
    <w:p>
      <w:pPr>
        <w:pStyle w:val="59"/>
        <w:spacing w:line="360" w:lineRule="auto"/>
        <w:ind w:firstLine="420" w:firstLineChars="200"/>
        <w:rPr>
          <w:rFonts w:cs="宋体" w:asciiTheme="minorEastAsia" w:hAnsiTheme="minorEastAsia" w:eastAsiaTheme="minorEastAsia"/>
          <w:color w:val="000000"/>
          <w:kern w:val="24"/>
          <w:szCs w:val="21"/>
        </w:rPr>
      </w:pPr>
      <w:r>
        <w:rPr>
          <w:rFonts w:hint="eastAsia" w:cs="宋体" w:asciiTheme="minorEastAsia" w:hAnsiTheme="minorEastAsia" w:eastAsiaTheme="minorEastAsia"/>
          <w:color w:val="000000"/>
          <w:kern w:val="24"/>
          <w:szCs w:val="21"/>
        </w:rPr>
        <w:t>2.乙方应在接到甲方通知后1小时内响应，协助甲方排除故障。若不能按本合同约定时限按时排除故障的，乙方须提供同等性能、同等配置的货物替换。若乙方未及时提供服务，甲方有权自行委托第三方维修，由此产生的费用由乙方承担。</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3.除不可抗力以外，如乙方发生不能按期交货或提供服务，甲方发生中途退货等情况，应及时以书面形式通知对方。甲乙双方应本着友好的态度进行协商，妥善解决。如协商无效，按下列规定计算并支付违约金。</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4.乙方逾期交货应向甲方偿付违约金，每逾期一天，按本</w:t>
      </w:r>
      <w:r>
        <w:rPr>
          <w:rFonts w:hint="eastAsia" w:cs="宋体" w:asciiTheme="minorEastAsia" w:hAnsiTheme="minorEastAsia" w:eastAsiaTheme="minorEastAsia"/>
          <w:color w:val="000000"/>
          <w:szCs w:val="21"/>
          <w:lang w:eastAsia="zh-CN"/>
        </w:rPr>
        <w:t>签约合同价</w:t>
      </w:r>
      <w:r>
        <w:rPr>
          <w:rFonts w:hint="eastAsia" w:cs="宋体" w:asciiTheme="minorEastAsia" w:hAnsiTheme="minorEastAsia" w:eastAsiaTheme="minorEastAsia"/>
          <w:color w:val="000000"/>
          <w:szCs w:val="21"/>
        </w:rPr>
        <w:t>的千分之一赔偿，整机中的零部件逾期交货，按整机逾期交货计算违约金。逾期交货超过90天，甲方有权提前终止本合同。</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5.乙方不能交货或甲方中途退货：</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5.1乙方不能交货或单方解除合同，应全额退还甲方支付的预付款和同期银行利息，同时应向甲方偿付违约金，违约金按本</w:t>
      </w:r>
      <w:r>
        <w:rPr>
          <w:rFonts w:hint="eastAsia" w:cs="宋体" w:asciiTheme="minorEastAsia" w:hAnsiTheme="minorEastAsia" w:eastAsiaTheme="minorEastAsia"/>
          <w:color w:val="000000"/>
          <w:szCs w:val="21"/>
          <w:lang w:eastAsia="zh-CN"/>
        </w:rPr>
        <w:t>签约合同价</w:t>
      </w:r>
      <w:r>
        <w:rPr>
          <w:rFonts w:hint="eastAsia" w:cs="宋体" w:asciiTheme="minorEastAsia" w:hAnsiTheme="minorEastAsia" w:eastAsiaTheme="minorEastAsia"/>
          <w:color w:val="000000"/>
          <w:szCs w:val="21"/>
        </w:rPr>
        <w:t>的10％计付，同时履约担保不予退还，如违约金不足以弥补甲方损失的，超过部分由乙方继续向甲方赔偿。</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5.2甲方中途退货，应向乙方偿付违约金，违约金按退货货款总值的10%计付。</w:t>
      </w:r>
    </w:p>
    <w:p>
      <w:pPr>
        <w:pStyle w:val="59"/>
        <w:spacing w:line="360" w:lineRule="auto"/>
        <w:ind w:firstLine="42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24"/>
          <w:szCs w:val="21"/>
        </w:rPr>
        <w:t>6.</w:t>
      </w:r>
      <w:r>
        <w:rPr>
          <w:rFonts w:hint="eastAsia" w:cs="宋体" w:asciiTheme="minorEastAsia" w:hAnsiTheme="minorEastAsia" w:eastAsiaTheme="minorEastAsia"/>
          <w:color w:val="000000"/>
          <w:szCs w:val="21"/>
        </w:rPr>
        <w:t>乙方逾期交货超过90天的，甲方有权解除合同，乙方需退还甲方已经支付的全部款项，并要求乙方按</w:t>
      </w:r>
      <w:r>
        <w:rPr>
          <w:rFonts w:hint="eastAsia" w:cs="宋体" w:asciiTheme="minorEastAsia" w:hAnsiTheme="minorEastAsia" w:eastAsiaTheme="minorEastAsia"/>
          <w:color w:val="000000"/>
          <w:szCs w:val="21"/>
          <w:lang w:eastAsia="zh-CN"/>
        </w:rPr>
        <w:t>签约合同价</w:t>
      </w:r>
      <w:r>
        <w:rPr>
          <w:rFonts w:hint="eastAsia" w:cs="宋体" w:asciiTheme="minorEastAsia" w:hAnsiTheme="minorEastAsia" w:eastAsiaTheme="minorEastAsia"/>
          <w:color w:val="000000"/>
          <w:szCs w:val="21"/>
        </w:rPr>
        <w:t>的10%承担违约金；同时，其履约保证金不予退还（或据此向履约担保单位无条件索取其履约保证金）。乙方因逾期交货或因其他违约行为导致甲方解除本合同的，乙方应向甲方支付本合同货款总额的10%的违约金且履约保证金不予返还，如造成甲方损失超过违约金的，超出部分由乙方继续承担赔偿责任。</w:t>
      </w:r>
    </w:p>
    <w:p>
      <w:pPr>
        <w:pStyle w:val="59"/>
        <w:spacing w:line="360" w:lineRule="auto"/>
        <w:ind w:firstLine="42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7.乙方逾期指派人员服务不到位的，罚款人民币10000元/人次*天，并需赔偿因此而给甲方造成的全部损失（含甲方需额外支付给其他协作单位的费用）。</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8.乙方违反售后服务承诺的，每违反一次，甲方有权要求乙方支付壹万元违约金，违约超过叁次或给乙方造成壹拾万元以上的损失时，甲方有权罚没其全部质保金，同时，乙方的合同义务并不因此而免除。</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9.乙方未能依约履行保修义务时，甲方为及时止损，有权另行委托其他第三方进行维护保养，相应费用全部由乙方承担，并且甲方有权按发生费用的10%加收管理费，上述费用全部直接从质保金中扣除，若有不足，有权继续向乙方追偿。</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10.因乙方违约解除合同的，合同于甲方发出书面解除合同通知书之日起解除，同时甲方不予退还其履约保证金（或据此向履约担保单位无条件索取其履约保证金）。</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11.如乙方未能履行合同规定的任何一项义务，甲方均有权从履约保证金或货款中直接扣除应由乙方承担的违约金、赔偿款等费用。</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12.如乙方因供货质量问题给甲方造成损失，则全部由乙方负责，并承担返修费用，甲方按照合同法保留索赔的权利。</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13.乙方依据本合同应向甲方承担的损失费用范围包括但不限于甲方遭受的损失、损害赔偿金、违约金、利息、仲裁费、诉讼费、律师费、公证费、鉴定费、检测费、差旅费、甲方向第三方支付的违约金或赔偿金等各项费用。</w:t>
      </w:r>
    </w:p>
    <w:p>
      <w:pPr>
        <w:pStyle w:val="59"/>
        <w:spacing w:after="156"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14.若乙方使用假冒、劣质材料施工或施工中途偷换材料，一经发现，甲方有权制止使用，有权要求停工、返工或终止合同。无论甲方是否发现和制止，由于使用假冒劣质材料施工后所引起的一切损失、费用、责任均由乙方自负，甲方有权对供货人处以违约金，不论使用假冒劣质材料的金额大小和材料种类，违约金额一律以涉及的假冒劣质材料总金额和本合同总金额的2%的二者中的最大金额为准，造成人身伤害的，违约金额不受此限制。</w:t>
      </w:r>
    </w:p>
    <w:p>
      <w:pPr>
        <w:pStyle w:val="59"/>
        <w:spacing w:after="156" w:line="360" w:lineRule="auto"/>
        <w:ind w:firstLine="422"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（二）违约终止合同</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1.甲方在乙方存在如下违约情况时，有权考虑并提出终止全部或部分合同。</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1.1乙方未能在合同规定期限或甲方同意延长的期限内交付全部或部分设备。</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1.2乙方未能履行合同规定的其他义务。</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1.3 在发生上述情况后，乙方收到甲方的违约通知后30天内未能纠正其过失。</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2.乙方应继续执行合同中未终止部分。</w:t>
      </w:r>
    </w:p>
    <w:p>
      <w:pPr>
        <w:pStyle w:val="59"/>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3、在甲方提出终止部分合同的情况下，并不解除乙方未能在合同规定期限或甲方同意延长的期限内交付全部或部分设备的产品质量责任。</w:t>
      </w:r>
    </w:p>
    <w:p>
      <w:pPr>
        <w:numPr>
          <w:ilvl w:val="0"/>
          <w:numId w:val="10"/>
        </w:numPr>
        <w:spacing w:line="360" w:lineRule="auto"/>
        <w:rPr>
          <w:rFonts w:asciiTheme="minorEastAsia" w:hAnsiTheme="minorEastAsia" w:eastAsiaTheme="minorEastAsia"/>
          <w:b/>
          <w:szCs w:val="21"/>
        </w:rPr>
      </w:pPr>
      <w:r>
        <w:rPr>
          <w:rFonts w:asciiTheme="minorEastAsia" w:hAnsiTheme="minorEastAsia" w:eastAsiaTheme="minorEastAsia"/>
          <w:b/>
          <w:szCs w:val="21"/>
        </w:rPr>
        <w:t>不可抗力事件处理</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在合同有效期内，任何一方因不可抗力事件导致不能履行合同，则合同履行期可延长，其延长期与不可抗力影响期相同。</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不可抗力事件发生后，应立即通知对方，并寄送有关权威机构出具的证明。</w:t>
      </w:r>
    </w:p>
    <w:p>
      <w:pPr>
        <w:pStyle w:val="12"/>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w:t>
      </w:r>
      <w:r>
        <w:rPr>
          <w:rFonts w:asciiTheme="minorEastAsia" w:hAnsiTheme="minorEastAsia" w:eastAsiaTheme="minorEastAsia"/>
          <w:szCs w:val="21"/>
        </w:rPr>
        <w:t>不可抗力事件延续120天以上，双方应通过友好协商，确定是否继续履行合同。</w:t>
      </w:r>
    </w:p>
    <w:p>
      <w:pPr>
        <w:numPr>
          <w:ilvl w:val="0"/>
          <w:numId w:val="10"/>
        </w:num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解决争议的方法</w:t>
      </w:r>
    </w:p>
    <w:p>
      <w:pPr>
        <w:pStyle w:val="12"/>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如双方在履行合同时发生纠纷，应协商解决；协商不成时，可提请政府采购管理部门调解；调解不成的通过</w:t>
      </w:r>
      <w:r>
        <w:rPr>
          <w:rFonts w:hint="eastAsia" w:asciiTheme="minorEastAsia" w:hAnsiTheme="minorEastAsia" w:eastAsiaTheme="minorEastAsia"/>
          <w:szCs w:val="21"/>
        </w:rPr>
        <w:t>以下第（ 二 ）方式解决</w:t>
      </w:r>
      <w:r>
        <w:rPr>
          <w:rFonts w:asciiTheme="minorEastAsia" w:hAnsiTheme="minorEastAsia" w:eastAsiaTheme="minorEastAsia"/>
          <w:szCs w:val="21"/>
        </w:rPr>
        <w:t>：</w:t>
      </w:r>
    </w:p>
    <w:p>
      <w:pPr>
        <w:widowControl/>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w:t>
      </w:r>
      <w:r>
        <w:rPr>
          <w:rFonts w:cs="宋体" w:asciiTheme="minorEastAsia" w:hAnsiTheme="minorEastAsia" w:eastAsiaTheme="minorEastAsia"/>
          <w:kern w:val="0"/>
          <w:szCs w:val="21"/>
        </w:rPr>
        <w:t>提交</w:t>
      </w:r>
      <w:r>
        <w:rPr>
          <w:rFonts w:asciiTheme="minorEastAsia" w:hAnsiTheme="minorEastAsia" w:eastAsiaTheme="minorEastAsia"/>
          <w:szCs w:val="21"/>
          <w:u w:val="single"/>
        </w:rPr>
        <w:t>台州</w:t>
      </w:r>
      <w:r>
        <w:rPr>
          <w:rFonts w:cs="宋体" w:asciiTheme="minorEastAsia" w:hAnsiTheme="minorEastAsia" w:eastAsiaTheme="minorEastAsia"/>
          <w:kern w:val="0"/>
          <w:szCs w:val="21"/>
        </w:rPr>
        <w:t>仲裁委员会仲裁。</w:t>
      </w:r>
    </w:p>
    <w:p>
      <w:pPr>
        <w:widowControl/>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（二）</w:t>
      </w:r>
      <w:r>
        <w:rPr>
          <w:rFonts w:cs="宋体" w:asciiTheme="minorEastAsia" w:hAnsiTheme="minorEastAsia" w:eastAsiaTheme="minorEastAsia"/>
          <w:kern w:val="0"/>
          <w:szCs w:val="21"/>
        </w:rPr>
        <w:t xml:space="preserve">依法向人民法院提起诉讼。 </w:t>
      </w:r>
    </w:p>
    <w:p>
      <w:pPr>
        <w:numPr>
          <w:ilvl w:val="0"/>
          <w:numId w:val="10"/>
        </w:numPr>
        <w:spacing w:line="360" w:lineRule="auto"/>
        <w:rPr>
          <w:rFonts w:asciiTheme="minorEastAsia" w:hAnsiTheme="minorEastAsia" w:eastAsiaTheme="minorEastAsia"/>
          <w:b/>
          <w:szCs w:val="21"/>
        </w:rPr>
      </w:pPr>
      <w:r>
        <w:rPr>
          <w:rFonts w:asciiTheme="minorEastAsia" w:hAnsiTheme="minorEastAsia" w:eastAsiaTheme="minorEastAsia"/>
          <w:b/>
          <w:szCs w:val="21"/>
        </w:rPr>
        <w:t>合同生效及其它</w:t>
      </w:r>
      <w:r>
        <w:rPr>
          <w:rFonts w:asciiTheme="minorEastAsia" w:hAnsiTheme="minorEastAsia" w:eastAsiaTheme="minorEastAsia"/>
          <w:b/>
          <w:szCs w:val="21"/>
        </w:rPr>
        <w:tab/>
      </w:r>
    </w:p>
    <w:p>
      <w:pPr>
        <w:pStyle w:val="7"/>
        <w:widowControl/>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（一）</w:t>
      </w:r>
      <w:r>
        <w:rPr>
          <w:rFonts w:asciiTheme="minorEastAsia" w:hAnsiTheme="minorEastAsia" w:eastAsiaTheme="minorEastAsia"/>
          <w:sz w:val="21"/>
          <w:szCs w:val="21"/>
        </w:rPr>
        <w:t>合同经双方法定代表人或授权代表</w:t>
      </w:r>
      <w:r>
        <w:rPr>
          <w:rFonts w:hint="eastAsia" w:asciiTheme="minorEastAsia" w:hAnsiTheme="minorEastAsia" w:eastAsiaTheme="minorEastAsia"/>
          <w:sz w:val="21"/>
          <w:szCs w:val="21"/>
        </w:rPr>
        <w:t>签字</w:t>
      </w:r>
      <w:r>
        <w:rPr>
          <w:rFonts w:asciiTheme="minorEastAsia" w:hAnsiTheme="minorEastAsia" w:eastAsiaTheme="minorEastAsia"/>
          <w:sz w:val="21"/>
          <w:szCs w:val="21"/>
        </w:rPr>
        <w:t>并加盖单位公章后生效。</w:t>
      </w:r>
    </w:p>
    <w:p>
      <w:pPr>
        <w:pStyle w:val="7"/>
        <w:widowControl/>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w:t>
      </w:r>
      <w:r>
        <w:rPr>
          <w:rFonts w:asciiTheme="minorEastAsia" w:hAnsiTheme="minorEastAsia" w:eastAsiaTheme="minorEastAsia"/>
          <w:sz w:val="21"/>
          <w:szCs w:val="21"/>
        </w:rPr>
        <w:t>本合同未尽事宜，遵照</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color w:val="111F2C"/>
          <w:sz w:val="21"/>
          <w:szCs w:val="21"/>
          <w:shd w:val="clear" w:color="auto" w:fill="FFFFFF"/>
        </w:rPr>
        <w:t>中华人民共和国民法典</w:t>
      </w:r>
      <w:r>
        <w:rPr>
          <w:rFonts w:hint="eastAsia" w:cs="宋体" w:asciiTheme="minorEastAsia" w:hAnsiTheme="minorEastAsia" w:eastAsiaTheme="minorEastAsia"/>
          <w:sz w:val="21"/>
          <w:szCs w:val="21"/>
        </w:rPr>
        <w:t>》有关</w:t>
      </w:r>
      <w:r>
        <w:rPr>
          <w:rFonts w:asciiTheme="minorEastAsia" w:hAnsiTheme="minorEastAsia" w:eastAsiaTheme="minorEastAsia"/>
          <w:sz w:val="21"/>
          <w:szCs w:val="21"/>
        </w:rPr>
        <w:t>条文执行。</w:t>
      </w:r>
    </w:p>
    <w:p>
      <w:pPr>
        <w:pStyle w:val="7"/>
        <w:widowControl/>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（三）本合同一式两份，甲、乙双方各执一份。本项目未尽事宜以招标文件、投标文件及澄清文件等为准。</w:t>
      </w:r>
    </w:p>
    <w:p>
      <w:pPr>
        <w:pStyle w:val="7"/>
        <w:widowControl/>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（四） 本合同的附件清单：</w:t>
      </w:r>
    </w:p>
    <w:p>
      <w:pPr>
        <w:pStyle w:val="59"/>
        <w:spacing w:line="360" w:lineRule="auto"/>
        <w:ind w:firstLine="420" w:firstLineChars="200"/>
        <w:rPr>
          <w:rFonts w:hint="eastAsia" w:cs="宋体" w:asciiTheme="minorEastAsia" w:hAnsiTheme="minorEastAsia" w:eastAsiaTheme="minorEastAsia"/>
          <w:color w:val="000000"/>
          <w:szCs w:val="21"/>
          <w:lang w:eastAsia="zh-CN"/>
        </w:rPr>
      </w:pPr>
      <w:r>
        <w:rPr>
          <w:rFonts w:hint="eastAsia" w:cs="宋体" w:asciiTheme="minorEastAsia" w:hAnsiTheme="minorEastAsia" w:eastAsiaTheme="minorEastAsia"/>
          <w:color w:val="000000"/>
          <w:szCs w:val="21"/>
        </w:rPr>
        <w:t>附件：《质量保修书》</w:t>
      </w:r>
      <w:r>
        <w:rPr>
          <w:rFonts w:hint="eastAsia" w:cs="宋体" w:asciiTheme="minorEastAsia" w:hAnsiTheme="minorEastAsia" w:eastAsiaTheme="minorEastAsia"/>
          <w:color w:val="000000"/>
          <w:szCs w:val="21"/>
          <w:lang w:eastAsia="zh-CN"/>
        </w:rPr>
        <w:t>。</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pStyle w:val="4"/>
        <w:rPr>
          <w:rFonts w:cs="宋体"/>
          <w:color w:val="000000"/>
        </w:rPr>
      </w:pPr>
      <w:r>
        <w:rPr>
          <w:rFonts w:hint="eastAsia" w:cs="宋体"/>
          <w:color w:val="000000"/>
        </w:rPr>
        <w:t>附件：</w:t>
      </w:r>
    </w:p>
    <w:p>
      <w:pPr>
        <w:pStyle w:val="22"/>
        <w:spacing w:line="360" w:lineRule="auto"/>
        <w:ind w:firstLine="321"/>
        <w:rPr>
          <w:rFonts w:ascii="宋体" w:hAnsi="宋体" w:cs="宋体"/>
          <w:bCs/>
          <w:color w:val="000000"/>
          <w:kern w:val="2"/>
          <w:sz w:val="30"/>
          <w:szCs w:val="30"/>
          <w:lang w:val="en-US"/>
        </w:rPr>
      </w:pPr>
      <w:r>
        <w:rPr>
          <w:rFonts w:hint="eastAsia" w:ascii="宋体" w:hAnsi="宋体" w:cs="宋体"/>
          <w:bCs/>
          <w:color w:val="000000"/>
          <w:kern w:val="2"/>
          <w:sz w:val="30"/>
          <w:szCs w:val="30"/>
          <w:lang w:val="en-US"/>
        </w:rPr>
        <w:tab/>
      </w:r>
      <w:bookmarkStart w:id="15" w:name="_Toc30226"/>
      <w:r>
        <w:rPr>
          <w:rFonts w:hint="eastAsia" w:ascii="宋体" w:hAnsi="宋体" w:cs="宋体"/>
          <w:bCs/>
          <w:color w:val="000000"/>
          <w:kern w:val="2"/>
          <w:sz w:val="30"/>
          <w:szCs w:val="30"/>
          <w:lang w:val="en-US"/>
        </w:rPr>
        <w:t>质 量 保 修 书</w:t>
      </w:r>
      <w:bookmarkEnd w:id="15"/>
    </w:p>
    <w:p>
      <w:pPr>
        <w:spacing w:line="360" w:lineRule="auto"/>
        <w:rPr>
          <w:rFonts w:ascii="宋体" w:hAnsi="宋体" w:cs="宋体"/>
          <w:color w:val="000000"/>
        </w:rPr>
      </w:pPr>
    </w:p>
    <w:p>
      <w:pPr>
        <w:spacing w:line="360" w:lineRule="auto"/>
        <w:ind w:firstLine="482" w:firstLineChars="200"/>
        <w:rPr>
          <w:rFonts w:ascii="宋体" w:hAnsi="宋体" w:cs="宋体"/>
          <w:color w:val="000000"/>
          <w:spacing w:val="-4"/>
          <w:sz w:val="24"/>
        </w:rPr>
      </w:pPr>
      <w:r>
        <w:rPr>
          <w:rFonts w:hint="eastAsia" w:ascii="宋体" w:hAnsi="宋体" w:cs="宋体"/>
          <w:b/>
          <w:bCs/>
          <w:color w:val="000000"/>
          <w:kern w:val="0"/>
          <w:sz w:val="24"/>
        </w:rPr>
        <w:t>采购人</w:t>
      </w:r>
      <w:r>
        <w:rPr>
          <w:rFonts w:hint="eastAsia" w:ascii="宋体" w:hAnsi="宋体" w:cs="宋体"/>
          <w:b/>
          <w:bCs/>
          <w:color w:val="000000"/>
          <w:spacing w:val="-4"/>
          <w:sz w:val="24"/>
        </w:rPr>
        <w:t>：</w:t>
      </w:r>
      <w:r>
        <w:rPr>
          <w:rFonts w:hint="eastAsia" w:ascii="宋体" w:hAnsi="宋体" w:cs="宋体"/>
          <w:color w:val="000000"/>
          <w:kern w:val="0"/>
          <w:sz w:val="24"/>
          <w:u w:val="single"/>
        </w:rPr>
        <w:t xml:space="preserve"> 台州市黄岩区中医院 </w:t>
      </w:r>
      <w:r>
        <w:rPr>
          <w:rFonts w:hint="eastAsia" w:ascii="宋体" w:hAnsi="宋体" w:cs="宋体"/>
          <w:color w:val="000000"/>
          <w:kern w:val="0"/>
          <w:sz w:val="24"/>
        </w:rPr>
        <w:t>（甲方）</w:t>
      </w:r>
      <w:r>
        <w:rPr>
          <w:rFonts w:hint="eastAsia" w:ascii="宋体" w:hAnsi="宋体" w:cs="宋体"/>
          <w:color w:val="000000"/>
          <w:spacing w:val="-4"/>
          <w:sz w:val="24"/>
        </w:rPr>
        <w:t xml:space="preserve">  </w:t>
      </w:r>
    </w:p>
    <w:p>
      <w:pPr>
        <w:pStyle w:val="63"/>
        <w:tabs>
          <w:tab w:val="left" w:pos="2230"/>
        </w:tabs>
        <w:ind w:firstLine="466" w:firstLineChars="200"/>
        <w:jc w:val="left"/>
        <w:rPr>
          <w:rFonts w:cs="宋体"/>
          <w:color w:val="000000"/>
          <w:sz w:val="24"/>
          <w:szCs w:val="24"/>
        </w:rPr>
      </w:pPr>
      <w:r>
        <w:rPr>
          <w:rFonts w:hint="eastAsia" w:cs="宋体"/>
          <w:b/>
          <w:bCs/>
          <w:color w:val="000000"/>
          <w:spacing w:val="-4"/>
          <w:sz w:val="24"/>
          <w:szCs w:val="24"/>
        </w:rPr>
        <w:t>供货人：</w:t>
      </w:r>
      <w:r>
        <w:rPr>
          <w:rFonts w:hint="eastAsia" w:cs="宋体"/>
          <w:color w:val="000000"/>
          <w:spacing w:val="-4"/>
          <w:sz w:val="24"/>
          <w:szCs w:val="24"/>
          <w:u w:val="single"/>
        </w:rPr>
        <w:t xml:space="preserve">                                                  </w:t>
      </w:r>
      <w:r>
        <w:rPr>
          <w:rFonts w:hint="eastAsia" w:cs="宋体"/>
          <w:color w:val="000000"/>
          <w:kern w:val="0"/>
          <w:sz w:val="24"/>
          <w:szCs w:val="24"/>
        </w:rPr>
        <w:t>（乙方）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为保证</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医用气体成套设备采购项目</w:t>
      </w:r>
      <w:r>
        <w:rPr>
          <w:rFonts w:hint="eastAsia" w:ascii="宋体" w:hAnsi="宋体" w:cs="宋体"/>
          <w:color w:val="000000"/>
          <w:sz w:val="24"/>
          <w:u w:val="single"/>
        </w:rPr>
        <w:t xml:space="preserve"> </w:t>
      </w:r>
      <w:r>
        <w:rPr>
          <w:rFonts w:hint="eastAsia" w:ascii="宋体" w:hAnsi="宋体" w:cs="宋体"/>
          <w:color w:val="000000"/>
          <w:sz w:val="24"/>
        </w:rPr>
        <w:t>的设备在合理使用期限内正常使用，甲乙双方经协商一致签订本质量保修书。乙方在质量保修期内按照有关管理规定及双方约定承担工程及设备质量保修责任。</w:t>
      </w:r>
    </w:p>
    <w:p>
      <w:pPr>
        <w:spacing w:line="360" w:lineRule="auto"/>
        <w:ind w:firstLine="211"/>
        <w:rPr>
          <w:rFonts w:ascii="宋体" w:hAnsi="宋体" w:cs="宋体"/>
          <w:b/>
          <w:color w:val="000000"/>
          <w:sz w:val="24"/>
        </w:rPr>
      </w:pPr>
      <w:r>
        <w:rPr>
          <w:rFonts w:hint="eastAsia" w:ascii="宋体" w:hAnsi="宋体" w:cs="宋体"/>
          <w:b/>
          <w:color w:val="000000"/>
          <w:sz w:val="24"/>
        </w:rPr>
        <w:t>一、质量保修范围和内容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乙方在质量保修期内，按照有关法律、法规、规章的管理规定和双方约定，承担本工程及设备质量保修责任。具体质量保修范围双方约定如下：合同约定范围的所有项目及变更增加项目。   </w:t>
      </w:r>
    </w:p>
    <w:p>
      <w:pPr>
        <w:spacing w:line="360" w:lineRule="auto"/>
        <w:ind w:firstLine="211"/>
        <w:rPr>
          <w:rFonts w:ascii="宋体" w:hAnsi="宋体" w:cs="宋体"/>
          <w:b/>
          <w:color w:val="000000"/>
          <w:sz w:val="24"/>
        </w:rPr>
      </w:pPr>
      <w:r>
        <w:rPr>
          <w:rFonts w:hint="eastAsia" w:ascii="宋体" w:hAnsi="宋体" w:cs="宋体"/>
          <w:b/>
          <w:color w:val="000000"/>
          <w:sz w:val="24"/>
        </w:rPr>
        <w:t>二、质量保修期</w:t>
      </w:r>
    </w:p>
    <w:p>
      <w:pPr>
        <w:shd w:val="clear" w:color="auto" w:fill="FFFF00"/>
        <w:spacing w:line="360" w:lineRule="auto"/>
        <w:ind w:firstLine="480" w:firstLineChars="200"/>
        <w:rPr>
          <w:rFonts w:ascii="宋体" w:hAnsi="宋体" w:cs="宋体"/>
          <w:color w:val="000000"/>
          <w:sz w:val="24"/>
        </w:rPr>
      </w:pPr>
      <w:r>
        <w:rPr>
          <w:rFonts w:hint="eastAsia" w:ascii="宋体" w:hAnsi="宋体" w:cs="宋体"/>
          <w:color w:val="000000"/>
          <w:sz w:val="24"/>
        </w:rPr>
        <w:t>质量保修期为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年</w:t>
      </w:r>
      <w:r>
        <w:rPr>
          <w:rFonts w:hint="eastAsia" w:ascii="宋体" w:hAnsi="宋体" w:cs="宋体"/>
          <w:color w:val="000000"/>
          <w:sz w:val="24"/>
        </w:rPr>
        <w:t>，</w:t>
      </w:r>
      <w:r>
        <w:rPr>
          <w:rFonts w:hint="eastAsia" w:ascii="宋体" w:hAnsi="宋体" w:cs="宋体"/>
          <w:color w:val="000000"/>
          <w:sz w:val="24"/>
          <w:lang w:val="en-US" w:eastAsia="zh-CN"/>
        </w:rPr>
        <w:t>自签署验收合格证书之日起</w:t>
      </w:r>
      <w:r>
        <w:rPr>
          <w:rFonts w:hint="eastAsia" w:ascii="宋体" w:hAnsi="宋体" w:cs="宋体"/>
          <w:color w:val="000000"/>
          <w:sz w:val="24"/>
        </w:rPr>
        <w:t>算。</w:t>
      </w:r>
    </w:p>
    <w:p>
      <w:pPr>
        <w:spacing w:line="360" w:lineRule="auto"/>
        <w:ind w:firstLine="210"/>
        <w:rPr>
          <w:rFonts w:ascii="宋体" w:hAnsi="宋体" w:cs="宋体"/>
          <w:b/>
          <w:color w:val="000000"/>
          <w:sz w:val="24"/>
        </w:rPr>
      </w:pPr>
      <w:r>
        <w:rPr>
          <w:rFonts w:hint="eastAsia" w:ascii="宋体" w:hAnsi="宋体" w:cs="宋体"/>
          <w:b/>
          <w:color w:val="000000"/>
          <w:sz w:val="24"/>
        </w:rPr>
        <w:t>三、质量保修责任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1．在质量保证期之内，乙方对由于产品设计、工艺、材料、配套件的缺陷及其安装质量而造成的任何产品质量问题或故障负全部责任。</w:t>
      </w:r>
    </w:p>
    <w:p>
      <w:pPr>
        <w:spacing w:line="360" w:lineRule="auto"/>
        <w:ind w:firstLine="480" w:firstLineChars="200"/>
        <w:rPr>
          <w:rFonts w:ascii="宋体" w:hAnsi="宋体" w:cs="宋体"/>
          <w:color w:val="000000"/>
          <w:sz w:val="24"/>
        </w:rPr>
      </w:pPr>
      <w:r>
        <w:rPr>
          <w:rFonts w:hint="eastAsia" w:ascii="宋体" w:hAnsi="宋体" w:cs="宋体"/>
          <w:color w:val="000000"/>
          <w:sz w:val="24"/>
        </w:rPr>
        <w:t>2．属于保修范围、内容的项目，乙方应当在接到保修通知起</w:t>
      </w:r>
      <w:r>
        <w:rPr>
          <w:rFonts w:hint="eastAsia" w:ascii="宋体" w:hAnsi="宋体" w:cs="宋体"/>
          <w:color w:val="000000"/>
          <w:sz w:val="24"/>
          <w:u w:val="single"/>
        </w:rPr>
        <w:t xml:space="preserve">  2  </w:t>
      </w:r>
      <w:r>
        <w:rPr>
          <w:rFonts w:hint="eastAsia" w:ascii="宋体" w:hAnsi="宋体" w:cs="宋体"/>
          <w:color w:val="000000"/>
          <w:sz w:val="24"/>
        </w:rPr>
        <w:t>小时内赶到现场进行维修，并提供不间断的服务直到结束。</w:t>
      </w:r>
    </w:p>
    <w:p>
      <w:pPr>
        <w:spacing w:line="360" w:lineRule="auto"/>
        <w:ind w:firstLine="480" w:firstLineChars="200"/>
        <w:rPr>
          <w:rFonts w:ascii="宋体" w:hAnsi="宋体" w:cs="宋体"/>
          <w:color w:val="000000"/>
          <w:sz w:val="24"/>
        </w:rPr>
      </w:pPr>
      <w:r>
        <w:rPr>
          <w:rFonts w:hint="eastAsia" w:ascii="宋体" w:hAnsi="宋体" w:cs="宋体"/>
          <w:color w:val="000000"/>
          <w:sz w:val="24"/>
        </w:rPr>
        <w:t>3．如设备暂时不能修复，乙方应做好故障设备的相关的围挡保护及明显的故障告示通知，直至故障设备完全修复为止。</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4. 乙方不在约定期限内派人保修的，甲方可以委托他人修理，由此产生的费用从质量保修金内扣除。 </w:t>
      </w:r>
    </w:p>
    <w:p>
      <w:pPr>
        <w:spacing w:line="360" w:lineRule="auto"/>
        <w:ind w:firstLine="480" w:firstLineChars="200"/>
        <w:rPr>
          <w:rFonts w:ascii="宋体" w:hAnsi="宋体" w:cs="宋体"/>
          <w:color w:val="000000"/>
          <w:sz w:val="24"/>
        </w:rPr>
      </w:pPr>
      <w:r>
        <w:rPr>
          <w:rFonts w:hint="eastAsia" w:ascii="宋体" w:hAnsi="宋体" w:cs="宋体"/>
          <w:color w:val="000000"/>
          <w:sz w:val="24"/>
        </w:rPr>
        <w:t>5. 每次维修及维保好后，乙方需一式两份报告给甲方，包括故障原因，解决措施（或维保内容），完成修理（或维保）所费时间及恢复正常运行日期。</w:t>
      </w:r>
    </w:p>
    <w:p>
      <w:pPr>
        <w:spacing w:line="360" w:lineRule="auto"/>
        <w:ind w:firstLine="480" w:firstLineChars="200"/>
        <w:rPr>
          <w:rFonts w:ascii="宋体" w:hAnsi="宋体" w:cs="宋体"/>
          <w:color w:val="000000"/>
          <w:sz w:val="24"/>
        </w:rPr>
      </w:pPr>
      <w:r>
        <w:rPr>
          <w:rFonts w:hint="eastAsia" w:ascii="宋体" w:hAnsi="宋体" w:cs="宋体"/>
          <w:color w:val="000000"/>
          <w:sz w:val="24"/>
        </w:rPr>
        <w:t>6. 乙方如未按上述要求履行保修义务，每违反一次，从质量保修金中扣除违约金壹仟元整（10000.00元）；</w:t>
      </w:r>
    </w:p>
    <w:p>
      <w:pPr>
        <w:spacing w:line="360" w:lineRule="auto"/>
        <w:ind w:firstLine="480" w:firstLineChars="200"/>
        <w:rPr>
          <w:rFonts w:ascii="宋体" w:hAnsi="宋体" w:cs="宋体"/>
          <w:color w:val="000000"/>
          <w:sz w:val="24"/>
        </w:rPr>
      </w:pPr>
      <w:r>
        <w:rPr>
          <w:rFonts w:hint="eastAsia" w:ascii="宋体" w:hAnsi="宋体" w:cs="宋体"/>
          <w:color w:val="000000"/>
          <w:sz w:val="24"/>
        </w:rPr>
        <w:t>7.在质保期结束时，须由专业工程师对设备进行另一次测试，任何故障须由乙方自费解决并取得甲方的同意。</w:t>
      </w:r>
    </w:p>
    <w:p>
      <w:pPr>
        <w:spacing w:line="360" w:lineRule="auto"/>
        <w:ind w:firstLine="480" w:firstLineChars="200"/>
        <w:rPr>
          <w:rFonts w:ascii="宋体" w:hAnsi="宋体" w:cs="宋体"/>
          <w:color w:val="000000"/>
          <w:sz w:val="24"/>
        </w:rPr>
      </w:pPr>
      <w:r>
        <w:rPr>
          <w:rFonts w:hint="eastAsia" w:ascii="宋体" w:hAnsi="宋体" w:cs="宋体"/>
          <w:color w:val="000000"/>
          <w:sz w:val="24"/>
        </w:rPr>
        <w:t>8.在质保期结束前，乙方需按照设备检验检测要求对设备进行一次检验，并取得相关管理部门颁发的检验合格证，相关费用由乙方承担。</w:t>
      </w:r>
    </w:p>
    <w:p>
      <w:pPr>
        <w:spacing w:line="360" w:lineRule="auto"/>
        <w:ind w:firstLine="480" w:firstLineChars="200"/>
        <w:rPr>
          <w:rFonts w:ascii="宋体" w:hAnsi="宋体" w:cs="宋体"/>
          <w:color w:val="000000"/>
          <w:sz w:val="24"/>
        </w:rPr>
      </w:pPr>
      <w:r>
        <w:rPr>
          <w:rFonts w:hint="eastAsia" w:ascii="宋体" w:hAnsi="宋体" w:cs="宋体"/>
          <w:color w:val="000000"/>
          <w:sz w:val="24"/>
        </w:rPr>
        <w:t>9.保修费用由乙方承担。</w:t>
      </w:r>
    </w:p>
    <w:p>
      <w:pPr>
        <w:spacing w:line="360" w:lineRule="auto"/>
        <w:ind w:firstLine="569" w:firstLineChars="236"/>
        <w:rPr>
          <w:rFonts w:ascii="宋体" w:hAnsi="宋体" w:cs="宋体"/>
          <w:b/>
          <w:color w:val="000000"/>
          <w:sz w:val="24"/>
        </w:rPr>
      </w:pPr>
      <w:r>
        <w:rPr>
          <w:rFonts w:hint="eastAsia" w:ascii="宋体" w:hAnsi="宋体" w:cs="宋体"/>
          <w:b/>
          <w:color w:val="000000"/>
          <w:sz w:val="24"/>
        </w:rPr>
        <w:t>四、质量保修金的支付</w:t>
      </w:r>
    </w:p>
    <w:p>
      <w:pPr>
        <w:shd w:val="clear" w:color="auto" w:fill="FFFF00"/>
        <w:spacing w:line="360" w:lineRule="auto"/>
        <w:ind w:firstLine="480" w:firstLineChars="200"/>
        <w:rPr>
          <w:rFonts w:ascii="宋体" w:hAnsi="宋体" w:cs="宋体"/>
          <w:color w:val="000000"/>
          <w:sz w:val="24"/>
        </w:rPr>
      </w:pPr>
      <w:r>
        <w:rPr>
          <w:rFonts w:hint="eastAsia" w:ascii="宋体" w:hAnsi="宋体" w:cs="宋体"/>
          <w:color w:val="000000"/>
          <w:sz w:val="24"/>
        </w:rPr>
        <w:t>本项目质量保修金为结算总价款的</w:t>
      </w:r>
      <w:r>
        <w:rPr>
          <w:rFonts w:hint="eastAsia" w:ascii="宋体" w:hAnsi="宋体" w:cs="宋体"/>
          <w:color w:val="000000"/>
          <w:sz w:val="24"/>
          <w:lang w:val="en-US" w:eastAsia="zh-CN"/>
        </w:rPr>
        <w:t>1</w:t>
      </w:r>
      <w:r>
        <w:rPr>
          <w:rFonts w:hint="eastAsia" w:ascii="宋体" w:hAnsi="宋体" w:cs="宋体"/>
          <w:color w:val="000000"/>
          <w:sz w:val="24"/>
          <w:u w:val="single"/>
        </w:rPr>
        <w:t>.5 %</w:t>
      </w:r>
      <w:r>
        <w:rPr>
          <w:rFonts w:hint="eastAsia" w:ascii="宋体" w:hAnsi="宋体" w:cs="宋体"/>
          <w:color w:val="000000"/>
          <w:sz w:val="24"/>
        </w:rPr>
        <w:t>，在工程竣工结算时一次性扣留。质量保修金返还时</w:t>
      </w:r>
      <w:r>
        <w:rPr>
          <w:rFonts w:hint="eastAsia" w:ascii="宋体" w:hAnsi="宋体" w:cs="宋体"/>
          <w:color w:val="000000"/>
          <w:sz w:val="24"/>
          <w:u w:val="single"/>
        </w:rPr>
        <w:t>不计银行利息</w:t>
      </w:r>
      <w:r>
        <w:rPr>
          <w:rFonts w:hint="eastAsia" w:ascii="宋体" w:hAnsi="宋体" w:cs="宋体"/>
          <w:color w:val="000000"/>
          <w:sz w:val="24"/>
        </w:rPr>
        <w:t>。</w:t>
      </w:r>
    </w:p>
    <w:p>
      <w:pPr>
        <w:spacing w:line="360" w:lineRule="auto"/>
        <w:ind w:firstLine="472" w:firstLineChars="196"/>
        <w:rPr>
          <w:rFonts w:ascii="宋体" w:hAnsi="宋体" w:cs="宋体"/>
          <w:b/>
          <w:color w:val="000000"/>
          <w:sz w:val="24"/>
        </w:rPr>
      </w:pPr>
      <w:r>
        <w:rPr>
          <w:rFonts w:hint="eastAsia" w:ascii="宋体" w:hAnsi="宋体" w:cs="宋体"/>
          <w:b/>
          <w:color w:val="000000"/>
          <w:sz w:val="24"/>
        </w:rPr>
        <w:t>五、质量保修金的返还</w:t>
      </w:r>
    </w:p>
    <w:p>
      <w:pPr>
        <w:spacing w:line="360" w:lineRule="auto"/>
        <w:ind w:firstLine="480" w:firstLineChars="200"/>
        <w:rPr>
          <w:rFonts w:ascii="宋体" w:hAnsi="宋体" w:cs="宋体"/>
          <w:color w:val="000000"/>
          <w:sz w:val="24"/>
        </w:rPr>
      </w:pPr>
      <w:r>
        <w:rPr>
          <w:rFonts w:hint="eastAsia" w:ascii="宋体" w:hAnsi="宋体" w:cs="宋体"/>
          <w:color w:val="000000"/>
          <w:sz w:val="24"/>
        </w:rPr>
        <w:t>质量保修期满后，经甲方组织验收，如合同约定范围的所有项目及变更增加项目无任何产品质量问题或故障，甲方在扣除相应的维修保养违约金和相应赔偿金（如有）后，30日历天内返还剩余质量保修金（不计息）。</w:t>
      </w:r>
    </w:p>
    <w:p>
      <w:pPr>
        <w:spacing w:line="360" w:lineRule="auto"/>
        <w:ind w:firstLine="472" w:firstLineChars="196"/>
        <w:rPr>
          <w:rFonts w:ascii="宋体" w:hAnsi="宋体" w:cs="宋体"/>
          <w:b/>
          <w:color w:val="000000"/>
          <w:sz w:val="24"/>
        </w:rPr>
      </w:pPr>
      <w:r>
        <w:rPr>
          <w:rFonts w:hint="eastAsia" w:ascii="宋体" w:hAnsi="宋体" w:cs="宋体"/>
          <w:b/>
          <w:color w:val="000000"/>
          <w:sz w:val="24"/>
        </w:rPr>
        <w:t>六、其他</w:t>
      </w:r>
    </w:p>
    <w:p>
      <w:pPr>
        <w:spacing w:line="360" w:lineRule="auto"/>
        <w:ind w:firstLine="480" w:firstLineChars="200"/>
        <w:rPr>
          <w:rFonts w:ascii="宋体" w:hAnsi="宋体" w:cs="宋体"/>
          <w:color w:val="000000"/>
          <w:sz w:val="24"/>
        </w:rPr>
      </w:pPr>
      <w:r>
        <w:rPr>
          <w:rFonts w:hint="eastAsia" w:ascii="宋体" w:hAnsi="宋体" w:cs="宋体"/>
          <w:color w:val="000000"/>
          <w:sz w:val="24"/>
        </w:rPr>
        <w:t>双方约定的其他工程质量保修事项：按有关规定执行。</w:t>
      </w:r>
    </w:p>
    <w:p>
      <w:pPr>
        <w:spacing w:line="360" w:lineRule="auto"/>
        <w:ind w:firstLine="480" w:firstLineChars="200"/>
        <w:rPr>
          <w:rFonts w:ascii="宋体" w:hAnsi="宋体" w:cs="宋体"/>
          <w:color w:val="000000"/>
          <w:sz w:val="24"/>
        </w:rPr>
      </w:pPr>
      <w:r>
        <w:rPr>
          <w:rFonts w:hint="eastAsia" w:ascii="宋体" w:hAnsi="宋体" w:cs="宋体"/>
          <w:color w:val="000000"/>
          <w:sz w:val="24"/>
        </w:rPr>
        <w:t>工程质量保修书由卖买双方共同签署，作为合同附件，其有效期限至保修期满。</w:t>
      </w:r>
    </w:p>
    <w:p>
      <w:pPr>
        <w:rPr>
          <w:rFonts w:ascii="宋体" w:hAnsi="宋体" w:cs="宋体"/>
          <w:color w:val="000000"/>
          <w:sz w:val="24"/>
        </w:rPr>
      </w:pPr>
      <w:r>
        <w:rPr>
          <w:rFonts w:hint="eastAsia" w:ascii="宋体" w:hAnsi="宋体" w:cs="宋体"/>
          <w:color w:val="000000"/>
          <w:sz w:val="24"/>
        </w:rPr>
        <w:br w:type="page"/>
      </w:r>
    </w:p>
    <w:p>
      <w:pPr>
        <w:jc w:val="center"/>
        <w:rPr>
          <w:rFonts w:asciiTheme="minorEastAsia" w:hAnsiTheme="minorEastAsia" w:eastAsiaTheme="minorEastAsia"/>
          <w:b/>
          <w:sz w:val="36"/>
          <w:szCs w:val="36"/>
        </w:rPr>
      </w:pPr>
      <w:bookmarkStart w:id="16" w:name="_Toc6521_WPSOffice_Level1"/>
      <w:bookmarkStart w:id="17" w:name="_Toc13364_WPSOffice_Level1"/>
      <w:r>
        <w:rPr>
          <w:rFonts w:hint="eastAsia" w:asciiTheme="minorEastAsia" w:hAnsiTheme="minorEastAsia" w:eastAsiaTheme="minorEastAsia"/>
          <w:b/>
          <w:sz w:val="36"/>
          <w:szCs w:val="36"/>
        </w:rPr>
        <w:t>第六章 投标文件格式</w:t>
      </w:r>
      <w:bookmarkEnd w:id="16"/>
      <w:bookmarkEnd w:id="17"/>
    </w:p>
    <w:p>
      <w:pPr>
        <w:rPr>
          <w:rFonts w:hint="eastAsia" w:ascii="宋体" w:hAnsi="宋体" w:eastAsia="宋体"/>
          <w:b/>
          <w:kern w:val="0"/>
          <w:sz w:val="28"/>
          <w:szCs w:val="28"/>
          <w:lang w:eastAsia="zh-CN"/>
        </w:rPr>
      </w:pPr>
      <w:r>
        <w:rPr>
          <w:rFonts w:hint="eastAsia" w:ascii="宋体" w:hAnsi="宋体"/>
          <w:b/>
          <w:kern w:val="0"/>
          <w:sz w:val="28"/>
          <w:szCs w:val="28"/>
        </w:rPr>
        <w:t xml:space="preserve"> </w:t>
      </w:r>
      <w:r>
        <w:rPr>
          <w:rFonts w:hint="eastAsia" w:ascii="宋体" w:hAnsi="宋体"/>
          <w:b w:val="0"/>
          <w:bCs/>
          <w:kern w:val="0"/>
          <w:sz w:val="21"/>
          <w:szCs w:val="21"/>
          <w:lang w:eastAsia="zh-CN"/>
        </w:rPr>
        <w:t>（</w:t>
      </w:r>
      <w:r>
        <w:rPr>
          <w:rFonts w:hint="eastAsia" w:ascii="宋体" w:hAnsi="宋体"/>
          <w:b w:val="0"/>
          <w:bCs/>
          <w:kern w:val="0"/>
          <w:sz w:val="21"/>
          <w:szCs w:val="21"/>
        </w:rPr>
        <w:t>本章提供格式仅供参考，各</w:t>
      </w:r>
      <w:r>
        <w:rPr>
          <w:rFonts w:hint="eastAsia" w:ascii="宋体" w:hAnsi="宋体"/>
          <w:b w:val="0"/>
          <w:bCs/>
          <w:kern w:val="0"/>
          <w:sz w:val="21"/>
          <w:szCs w:val="21"/>
          <w:lang w:val="en-US" w:eastAsia="zh-CN"/>
        </w:rPr>
        <w:t>供应商</w:t>
      </w:r>
      <w:r>
        <w:rPr>
          <w:rFonts w:hint="eastAsia" w:ascii="宋体" w:hAnsi="宋体"/>
          <w:b w:val="0"/>
          <w:bCs/>
          <w:kern w:val="0"/>
          <w:sz w:val="21"/>
          <w:szCs w:val="21"/>
        </w:rPr>
        <w:t>可根据自己的需求进行调整，但不得变更实质性内容</w:t>
      </w:r>
      <w:r>
        <w:rPr>
          <w:rFonts w:hint="eastAsia" w:ascii="宋体" w:hAnsi="宋体"/>
          <w:b w:val="0"/>
          <w:bCs/>
          <w:kern w:val="0"/>
          <w:sz w:val="21"/>
          <w:szCs w:val="21"/>
          <w:lang w:eastAsia="zh-CN"/>
        </w:rPr>
        <w:t>）</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rFonts w:hint="eastAsia" w:eastAsia="宋体"/>
          <w:sz w:val="34"/>
          <w:szCs w:val="34"/>
          <w:lang w:eastAsia="zh-CN"/>
        </w:rPr>
      </w:pPr>
      <w:r>
        <w:rPr>
          <w:rFonts w:hint="eastAsia"/>
          <w:sz w:val="34"/>
          <w:szCs w:val="34"/>
          <w:lang w:eastAsia="zh-CN"/>
        </w:rPr>
        <w:t>医用气体成套设备采购项目</w:t>
      </w:r>
    </w:p>
    <w:p>
      <w:pPr>
        <w:spacing w:before="312" w:beforeLines="100" w:line="360" w:lineRule="auto"/>
        <w:ind w:right="-108"/>
        <w:jc w:val="center"/>
        <w:rPr>
          <w:rFonts w:ascii="宋体" w:hAnsi="宋体"/>
          <w:sz w:val="36"/>
          <w:szCs w:val="36"/>
        </w:rPr>
      </w:pPr>
      <w:r>
        <w:rPr>
          <w:rFonts w:hint="eastAsia" w:ascii="宋体" w:hAnsi="宋体"/>
          <w:sz w:val="36"/>
          <w:szCs w:val="36"/>
        </w:rPr>
        <w:t>项</w:t>
      </w:r>
      <w:r>
        <w:rPr>
          <w:rFonts w:hint="eastAsia" w:ascii="宋体" w:hAnsi="宋体" w:eastAsia="宋体" w:cs="Times New Roman"/>
          <w:sz w:val="36"/>
          <w:szCs w:val="36"/>
        </w:rPr>
        <w:t>目编号：</w:t>
      </w:r>
      <w:r>
        <w:rPr>
          <w:rFonts w:hint="eastAsia" w:ascii="宋体" w:hAnsi="宋体" w:eastAsia="宋体" w:cs="Times New Roman"/>
          <w:sz w:val="36"/>
          <w:szCs w:val="36"/>
          <w:lang w:val="en-US" w:eastAsia="zh-CN"/>
        </w:rPr>
        <w:t>临【2022】574号</w:t>
      </w:r>
    </w:p>
    <w:p>
      <w:pPr>
        <w:pStyle w:val="17"/>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w:t>
      </w:r>
      <w:r>
        <w:rPr>
          <w:rFonts w:hint="eastAsia" w:ascii="宋体" w:hAnsi="宋体"/>
          <w:b/>
          <w:sz w:val="28"/>
          <w:szCs w:val="28"/>
          <w:lang w:val="en-US" w:eastAsia="zh-CN"/>
        </w:rPr>
        <w:t>及商务技术文件/报价文件</w:t>
      </w:r>
      <w:r>
        <w:rPr>
          <w:rFonts w:hint="eastAsia" w:ascii="宋体" w:hAnsi="宋体"/>
          <w:b/>
          <w:sz w:val="28"/>
          <w:szCs w:val="28"/>
        </w:rPr>
        <w:t>）</w:t>
      </w:r>
    </w:p>
    <w:p>
      <w:pPr>
        <w:pStyle w:val="17"/>
      </w:pPr>
    </w:p>
    <w:p>
      <w:pPr>
        <w:spacing w:line="360" w:lineRule="auto"/>
        <w:ind w:right="532" w:firstLine="640" w:firstLineChars="200"/>
        <w:rPr>
          <w:rFonts w:ascii="宋体" w:hAnsi="宋体"/>
          <w:sz w:val="32"/>
          <w:szCs w:val="32"/>
        </w:rPr>
      </w:pPr>
      <w:r>
        <w:rPr>
          <w:rFonts w:hint="eastAsia" w:ascii="宋体" w:hAnsi="宋体"/>
          <w:sz w:val="32"/>
          <w:szCs w:val="32"/>
          <w:lang w:eastAsia="zh-CN"/>
        </w:rPr>
        <w:t>供应商</w:t>
      </w:r>
      <w:r>
        <w:rPr>
          <w:rFonts w:hint="eastAsia" w:ascii="宋体" w:hAnsi="宋体"/>
          <w:sz w:val="32"/>
          <w:szCs w:val="32"/>
        </w:rPr>
        <w:t>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r>
        <w:rPr>
          <w:rFonts w:ascii="仿宋_GB2312" w:hAnsi="宋体" w:eastAsia="仿宋_GB2312"/>
          <w:b/>
          <w:sz w:val="36"/>
          <w:szCs w:val="36"/>
        </w:rPr>
        <w:br w:type="page"/>
      </w:r>
    </w:p>
    <w:p>
      <w:pPr>
        <w:spacing w:line="360" w:lineRule="auto"/>
        <w:jc w:val="center"/>
        <w:rPr>
          <w:b/>
          <w:bCs/>
          <w:sz w:val="36"/>
          <w:szCs w:val="36"/>
        </w:rPr>
      </w:pPr>
      <w:r>
        <w:rPr>
          <w:rFonts w:hint="eastAsia"/>
          <w:b/>
          <w:bCs/>
          <w:sz w:val="36"/>
          <w:szCs w:val="36"/>
        </w:rPr>
        <w:t>资格证明文件目录</w:t>
      </w:r>
    </w:p>
    <w:p>
      <w:pPr>
        <w:pStyle w:val="2"/>
      </w:pPr>
    </w:p>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（1）投标声明书（格式见附件1）；</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（2）授权委托书（格式见附件2）</w:t>
      </w:r>
      <w:r>
        <w:rPr>
          <w:rFonts w:hint="eastAsia" w:ascii="宋体" w:hAnsi="宋体" w:cs="宋体"/>
          <w:szCs w:val="32"/>
          <w:lang w:eastAsia="zh-CN"/>
        </w:rPr>
        <w:t>（</w:t>
      </w:r>
      <w:r>
        <w:rPr>
          <w:rFonts w:hint="eastAsia" w:ascii="宋体" w:hAnsi="宋体" w:cs="宋体"/>
          <w:szCs w:val="32"/>
        </w:rPr>
        <w:t>法定代表人</w:t>
      </w:r>
      <w:r>
        <w:rPr>
          <w:rFonts w:hint="eastAsia" w:ascii="宋体" w:hAnsi="宋体" w:cs="宋体"/>
          <w:szCs w:val="32"/>
          <w:lang w:val="en-US" w:eastAsia="zh-CN"/>
        </w:rPr>
        <w:t>亲自</w:t>
      </w:r>
      <w:r>
        <w:rPr>
          <w:rFonts w:hint="eastAsia" w:ascii="宋体" w:hAnsi="宋体" w:cs="宋体"/>
          <w:szCs w:val="32"/>
        </w:rPr>
        <w:t>参加投标</w:t>
      </w:r>
      <w:r>
        <w:rPr>
          <w:rFonts w:hint="eastAsia" w:ascii="宋体" w:hAnsi="宋体" w:cs="宋体"/>
          <w:szCs w:val="32"/>
          <w:lang w:val="en-US" w:eastAsia="zh-CN"/>
        </w:rPr>
        <w:t>的事宜的，则无需提交）</w:t>
      </w:r>
      <w:r>
        <w:rPr>
          <w:rFonts w:hint="eastAsia" w:ascii="宋体" w:hAnsi="宋体" w:cs="宋体"/>
          <w:szCs w:val="32"/>
        </w:rPr>
        <w:t>；</w:t>
      </w:r>
    </w:p>
    <w:p>
      <w:pPr>
        <w:spacing w:line="360" w:lineRule="auto"/>
        <w:ind w:firstLine="420" w:firstLineChars="200"/>
        <w:rPr>
          <w:rFonts w:ascii="宋体" w:hAnsi="宋体" w:cs="宋体"/>
          <w:color w:val="auto"/>
          <w:szCs w:val="32"/>
          <w:lang w:eastAsia="zh-CN"/>
        </w:rPr>
      </w:pPr>
      <w:r>
        <w:rPr>
          <w:rFonts w:hint="eastAsia" w:ascii="宋体" w:hAnsi="宋体" w:cs="宋体"/>
          <w:szCs w:val="32"/>
        </w:rPr>
        <w:t>（3）</w:t>
      </w:r>
      <w:r>
        <w:rPr>
          <w:rFonts w:hint="eastAsia" w:ascii="宋体" w:hAnsi="宋体" w:cs="宋体"/>
          <w:color w:val="auto"/>
          <w:szCs w:val="32"/>
          <w:lang w:eastAsia="zh-CN"/>
        </w:rPr>
        <w:t>法人或者其他组织的营业执照等证明文件，自然人的身份证明；</w:t>
      </w:r>
    </w:p>
    <w:p>
      <w:pPr>
        <w:spacing w:line="360" w:lineRule="auto"/>
        <w:ind w:firstLine="420" w:firstLineChars="200"/>
        <w:rPr>
          <w:rFonts w:ascii="宋体" w:hAnsi="宋体" w:cs="宋体"/>
          <w:color w:val="auto"/>
          <w:szCs w:val="32"/>
          <w:lang w:eastAsia="zh-CN"/>
        </w:rPr>
      </w:pPr>
      <w:r>
        <w:rPr>
          <w:rFonts w:hint="eastAsia" w:ascii="宋体" w:hAnsi="宋体" w:cs="宋体"/>
          <w:color w:val="auto"/>
          <w:szCs w:val="32"/>
        </w:rPr>
        <w:t>（4）</w:t>
      </w:r>
      <w:r>
        <w:rPr>
          <w:rFonts w:hint="eastAsia" w:ascii="宋体" w:hAnsi="宋体" w:cs="宋体"/>
          <w:color w:val="auto"/>
          <w:szCs w:val="32"/>
          <w:lang w:eastAsia="zh-CN"/>
        </w:rPr>
        <w:t>良好财务状况证明材料（新成立的公司提供银行资信证明或担保机构的担保函扫描件），依法缴纳税收和社会保障资金的相关材料（附件3）；</w:t>
      </w:r>
    </w:p>
    <w:p>
      <w:pPr>
        <w:tabs>
          <w:tab w:val="left" w:pos="1418"/>
        </w:tabs>
        <w:autoSpaceDE w:val="0"/>
        <w:autoSpaceDN w:val="0"/>
        <w:adjustRightInd w:val="0"/>
        <w:spacing w:line="360" w:lineRule="auto"/>
        <w:ind w:firstLine="420" w:firstLineChars="200"/>
        <w:rPr>
          <w:rFonts w:ascii="宋体" w:hAnsi="宋体" w:cs="宋体"/>
          <w:color w:val="auto"/>
          <w:szCs w:val="32"/>
        </w:rPr>
      </w:pPr>
      <w:r>
        <w:rPr>
          <w:rFonts w:hint="eastAsia" w:ascii="宋体" w:hAnsi="宋体" w:cs="宋体"/>
          <w:color w:val="auto"/>
          <w:szCs w:val="32"/>
        </w:rPr>
        <w:t>（5）落实政府采购政策需满足的资格要求所对应的证明材料（附件4）；</w:t>
      </w:r>
    </w:p>
    <w:p>
      <w:pPr>
        <w:tabs>
          <w:tab w:val="left" w:pos="1418"/>
        </w:tabs>
        <w:autoSpaceDE w:val="0"/>
        <w:autoSpaceDN w:val="0"/>
        <w:adjustRightInd w:val="0"/>
        <w:spacing w:line="360" w:lineRule="auto"/>
        <w:ind w:firstLine="420" w:firstLineChars="200"/>
        <w:rPr>
          <w:rFonts w:ascii="宋体" w:hAnsi="宋体" w:cs="宋体"/>
          <w:color w:val="auto"/>
          <w:szCs w:val="32"/>
        </w:rPr>
      </w:pPr>
      <w:r>
        <w:rPr>
          <w:rFonts w:hint="eastAsia" w:ascii="宋体" w:hAnsi="宋体" w:cs="宋体"/>
          <w:color w:val="auto"/>
          <w:szCs w:val="32"/>
        </w:rPr>
        <w:t>（</w:t>
      </w:r>
      <w:r>
        <w:rPr>
          <w:rFonts w:hint="eastAsia" w:ascii="宋体" w:hAnsi="宋体" w:cs="宋体"/>
          <w:color w:val="auto"/>
          <w:szCs w:val="32"/>
          <w:lang w:val="en-US" w:eastAsia="zh-CN"/>
        </w:rPr>
        <w:t>6</w:t>
      </w:r>
      <w:r>
        <w:rPr>
          <w:rFonts w:hint="eastAsia" w:ascii="宋体" w:hAnsi="宋体" w:cs="宋体"/>
          <w:color w:val="auto"/>
          <w:szCs w:val="32"/>
        </w:rPr>
        <w:t>）提供采购公告中符合</w:t>
      </w:r>
      <w:r>
        <w:rPr>
          <w:rFonts w:hint="eastAsia" w:ascii="宋体" w:hAnsi="宋体" w:cs="宋体"/>
          <w:color w:val="auto"/>
          <w:szCs w:val="32"/>
          <w:lang w:eastAsia="zh-CN"/>
        </w:rPr>
        <w:t>供应商</w:t>
      </w:r>
      <w:r>
        <w:rPr>
          <w:rFonts w:hint="eastAsia" w:ascii="宋体" w:hAnsi="宋体" w:cs="宋体"/>
          <w:color w:val="auto"/>
          <w:szCs w:val="32"/>
        </w:rPr>
        <w:t>特定条件的有效资质证书扫描件，以及需要说明的其他资料。</w:t>
      </w:r>
    </w:p>
    <w:p>
      <w:pPr>
        <w:spacing w:line="360" w:lineRule="auto"/>
        <w:ind w:firstLine="482" w:firstLineChars="200"/>
        <w:rPr>
          <w:rFonts w:ascii="宋体" w:hAnsi="宋体"/>
          <w:b/>
          <w:sz w:val="24"/>
        </w:rPr>
      </w:pPr>
    </w:p>
    <w:p>
      <w:pPr>
        <w:widowControl/>
        <w:jc w:val="left"/>
        <w:rPr>
          <w:rFonts w:ascii="宋体" w:hAnsi="宋体"/>
          <w:b/>
          <w:sz w:val="28"/>
        </w:rPr>
      </w:pPr>
      <w:r>
        <w:rPr>
          <w:rFonts w:ascii="宋体" w:hAnsi="宋体"/>
          <w:b/>
          <w:sz w:val="28"/>
        </w:rPr>
        <w:br w:type="page"/>
      </w:r>
    </w:p>
    <w:p>
      <w:pPr>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18" w:name="_Toc31708_WPSOffice_Level1"/>
      <w:bookmarkStart w:id="19" w:name="_Toc30723_WPSOffice_Level1"/>
      <w:r>
        <w:rPr>
          <w:rFonts w:hint="eastAsia" w:ascii="宋体" w:hAnsi="宋体"/>
          <w:b/>
          <w:kern w:val="0"/>
          <w:sz w:val="32"/>
          <w:szCs w:val="32"/>
          <w:lang w:val="zh-CN"/>
        </w:rPr>
        <w:t>投标声明书</w:t>
      </w:r>
      <w:bookmarkEnd w:id="18"/>
      <w:bookmarkEnd w:id="19"/>
    </w:p>
    <w:p>
      <w:pPr>
        <w:keepNext w:val="0"/>
        <w:keepLines w:val="0"/>
        <w:pageBreakBefore w:val="0"/>
        <w:widowControl w:val="0"/>
        <w:kinsoku/>
        <w:wordWrap/>
        <w:overflowPunct/>
        <w:topLinePunct w:val="0"/>
        <w:autoSpaceDE/>
        <w:autoSpaceDN/>
        <w:bidi w:val="0"/>
        <w:adjustRightInd/>
        <w:snapToGrid w:val="0"/>
        <w:spacing w:before="156" w:beforeLines="50" w:after="50" w:line="400" w:lineRule="exact"/>
        <w:textAlignment w:val="auto"/>
        <w:rPr>
          <w:rFonts w:ascii="宋体" w:hAnsi="宋体" w:cs="宋体"/>
          <w:kern w:val="0"/>
          <w:sz w:val="24"/>
        </w:rPr>
      </w:pPr>
      <w:r>
        <w:rPr>
          <w:rFonts w:hint="eastAsia" w:ascii="宋体" w:hAnsi="宋体" w:cstheme="minorBidi"/>
          <w:sz w:val="24"/>
          <w:u w:val="single"/>
        </w:rPr>
        <w:t>台州市建设咨询有限公司</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kern w:val="0"/>
          <w:sz w:val="24"/>
        </w:rPr>
      </w:pPr>
      <w:r>
        <w:rPr>
          <w:rFonts w:hint="eastAsia" w:ascii="宋体" w:hAnsi="宋体" w:cs="宋体"/>
          <w:kern w:val="0"/>
          <w:sz w:val="24"/>
          <w:u w:val="single"/>
        </w:rPr>
        <w:t>（</w:t>
      </w:r>
      <w:r>
        <w:rPr>
          <w:rFonts w:hint="eastAsia" w:ascii="宋体" w:hAnsi="宋体" w:cs="宋体"/>
          <w:kern w:val="0"/>
          <w:sz w:val="24"/>
          <w:u w:val="single"/>
          <w:lang w:eastAsia="zh-CN"/>
        </w:rPr>
        <w:t>供应商</w:t>
      </w:r>
      <w:r>
        <w:rPr>
          <w:rFonts w:hint="eastAsia" w:ascii="宋体" w:hAnsi="宋体" w:cs="宋体"/>
          <w:kern w:val="0"/>
          <w:sz w:val="24"/>
          <w:u w:val="single"/>
        </w:rPr>
        <w:t>名称）</w:t>
      </w:r>
      <w:r>
        <w:rPr>
          <w:rFonts w:hint="eastAsia" w:ascii="宋体" w:hAnsi="宋体" w:cs="宋体"/>
          <w:kern w:val="0"/>
          <w:sz w:val="24"/>
        </w:rPr>
        <w:t>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u w:val="single"/>
          <w:lang w:eastAsia="zh-CN"/>
        </w:rPr>
        <w:t>供应商</w:t>
      </w:r>
      <w:r>
        <w:rPr>
          <w:rFonts w:hint="eastAsia" w:ascii="宋体" w:hAnsi="宋体" w:cs="宋体"/>
          <w:kern w:val="0"/>
          <w:sz w:val="24"/>
          <w:u w:val="single"/>
        </w:rPr>
        <w:t xml:space="preserve">名称 </w:t>
      </w:r>
      <w:r>
        <w:rPr>
          <w:rFonts w:hint="eastAsia" w:ascii="宋体" w:hAnsi="宋体" w:cs="宋体"/>
          <w:kern w:val="0"/>
          <w:sz w:val="24"/>
        </w:rPr>
        <w:t>）的法定代表人，我公司自愿参加贵方组织的</w:t>
      </w:r>
      <w:r>
        <w:rPr>
          <w:rFonts w:hint="eastAsia" w:ascii="宋体" w:hAnsi="宋体" w:cs="宋体"/>
          <w:kern w:val="0"/>
          <w:sz w:val="24"/>
          <w:u w:val="single"/>
          <w:lang w:eastAsia="zh-CN"/>
        </w:rPr>
        <w:t>医用气体成套设备采购项目</w:t>
      </w:r>
      <w:r>
        <w:rPr>
          <w:rFonts w:hint="eastAsia" w:ascii="宋体" w:hAnsi="宋体" w:cs="宋体"/>
          <w:kern w:val="0"/>
          <w:sz w:val="24"/>
        </w:rPr>
        <w:t>（编号</w:t>
      </w:r>
      <w:r>
        <w:rPr>
          <w:rFonts w:hint="eastAsia" w:ascii="宋体" w:hAnsi="宋体" w:cs="宋体"/>
          <w:kern w:val="0"/>
          <w:sz w:val="24"/>
          <w:u w:val="single"/>
        </w:rPr>
        <w:t>为临【2022】574号</w:t>
      </w:r>
      <w:r>
        <w:rPr>
          <w:rFonts w:hint="eastAsia" w:ascii="宋体" w:hAnsi="宋体" w:cs="宋体"/>
          <w:kern w:val="0"/>
          <w:sz w:val="24"/>
        </w:rPr>
        <w:t>）的投标，为此，我公司就本次投标有关事项郑重声明如下：</w:t>
      </w:r>
    </w:p>
    <w:p>
      <w:pPr>
        <w:keepNext w:val="0"/>
        <w:keepLines w:val="0"/>
        <w:pageBreakBefore w:val="0"/>
        <w:widowControl w:val="0"/>
        <w:numPr>
          <w:ilvl w:val="0"/>
          <w:numId w:val="11"/>
        </w:numPr>
        <w:kinsoku/>
        <w:wordWrap/>
        <w:overflowPunct/>
        <w:topLinePunct w:val="0"/>
        <w:autoSpaceDE/>
        <w:autoSpaceDN/>
        <w:bidi w:val="0"/>
        <w:adjustRightInd/>
        <w:snapToGrid w:val="0"/>
        <w:spacing w:line="400" w:lineRule="exact"/>
        <w:ind w:left="5" w:firstLine="415"/>
        <w:textAlignment w:val="auto"/>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w:t>
      </w:r>
      <w:r>
        <w:rPr>
          <w:rFonts w:hint="eastAsia" w:ascii="宋体" w:hAnsi="宋体" w:cs="宋体"/>
          <w:kern w:val="0"/>
          <w:sz w:val="24"/>
          <w:lang w:eastAsia="zh-CN"/>
        </w:rPr>
        <w:t>供应商</w:t>
      </w:r>
      <w:r>
        <w:rPr>
          <w:rFonts w:hint="eastAsia" w:ascii="宋体" w:hAnsi="宋体" w:cs="宋体"/>
          <w:kern w:val="0"/>
          <w:sz w:val="24"/>
        </w:rPr>
        <w:t>在截止投标时间近三年以来，如有上述所列情形，但限制期届满的，可按实陈述，并提供相应证明文件】。</w:t>
      </w:r>
    </w:p>
    <w:p>
      <w:pPr>
        <w:keepNext w:val="0"/>
        <w:keepLines w:val="0"/>
        <w:pageBreakBefore w:val="0"/>
        <w:widowControl w:val="0"/>
        <w:numPr>
          <w:ilvl w:val="0"/>
          <w:numId w:val="11"/>
        </w:numPr>
        <w:kinsoku/>
        <w:wordWrap/>
        <w:overflowPunct/>
        <w:topLinePunct w:val="0"/>
        <w:autoSpaceDE/>
        <w:autoSpaceDN/>
        <w:bidi w:val="0"/>
        <w:adjustRightInd/>
        <w:snapToGrid w:val="0"/>
        <w:spacing w:line="400" w:lineRule="exact"/>
        <w:ind w:left="5" w:firstLine="415"/>
        <w:textAlignment w:val="auto"/>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w:t>
      </w:r>
      <w:r>
        <w:rPr>
          <w:rFonts w:hint="eastAsia" w:ascii="宋体" w:hAnsi="宋体" w:cs="宋体"/>
          <w:color w:val="000000" w:themeColor="text1"/>
          <w:kern w:val="0"/>
          <w:sz w:val="24"/>
          <w:lang w:eastAsia="zh-CN"/>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的内容，我方对招标文</w:t>
      </w:r>
      <w:r>
        <w:rPr>
          <w:rFonts w:hint="eastAsia" w:ascii="宋体" w:hAnsi="宋体" w:cs="宋体"/>
          <w:kern w:val="0"/>
          <w:sz w:val="24"/>
        </w:rPr>
        <w:t>件的所有内容没有任何异议，不申请澄清和质疑。</w:t>
      </w:r>
    </w:p>
    <w:p>
      <w:pPr>
        <w:keepNext w:val="0"/>
        <w:keepLines w:val="0"/>
        <w:pageBreakBefore w:val="0"/>
        <w:widowControl w:val="0"/>
        <w:numPr>
          <w:ilvl w:val="0"/>
          <w:numId w:val="11"/>
        </w:numPr>
        <w:kinsoku/>
        <w:wordWrap/>
        <w:overflowPunct/>
        <w:topLinePunct w:val="0"/>
        <w:autoSpaceDE/>
        <w:autoSpaceDN/>
        <w:bidi w:val="0"/>
        <w:adjustRightInd/>
        <w:snapToGrid w:val="0"/>
        <w:spacing w:line="400" w:lineRule="exact"/>
        <w:ind w:left="5" w:firstLine="415"/>
        <w:textAlignment w:val="auto"/>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keepNext w:val="0"/>
        <w:keepLines w:val="0"/>
        <w:pageBreakBefore w:val="0"/>
        <w:widowControl w:val="0"/>
        <w:numPr>
          <w:ilvl w:val="0"/>
          <w:numId w:val="11"/>
        </w:numPr>
        <w:kinsoku/>
        <w:wordWrap/>
        <w:overflowPunct/>
        <w:topLinePunct w:val="0"/>
        <w:autoSpaceDE/>
        <w:autoSpaceDN/>
        <w:bidi w:val="0"/>
        <w:adjustRightInd/>
        <w:snapToGrid w:val="0"/>
        <w:spacing w:line="400" w:lineRule="exact"/>
        <w:ind w:left="5" w:firstLine="415"/>
        <w:textAlignment w:val="auto"/>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keepNext w:val="0"/>
        <w:keepLines w:val="0"/>
        <w:pageBreakBefore w:val="0"/>
        <w:widowControl w:val="0"/>
        <w:numPr>
          <w:ilvl w:val="0"/>
          <w:numId w:val="11"/>
        </w:numPr>
        <w:kinsoku/>
        <w:wordWrap/>
        <w:overflowPunct/>
        <w:topLinePunct w:val="0"/>
        <w:autoSpaceDE/>
        <w:autoSpaceDN/>
        <w:bidi w:val="0"/>
        <w:adjustRightInd/>
        <w:snapToGrid w:val="0"/>
        <w:spacing w:line="400" w:lineRule="exact"/>
        <w:ind w:left="5" w:firstLine="415"/>
        <w:textAlignment w:val="auto"/>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keepNext w:val="0"/>
        <w:keepLines w:val="0"/>
        <w:pageBreakBefore w:val="0"/>
        <w:widowControl w:val="0"/>
        <w:numPr>
          <w:ilvl w:val="0"/>
          <w:numId w:val="11"/>
        </w:numPr>
        <w:kinsoku/>
        <w:wordWrap/>
        <w:overflowPunct/>
        <w:topLinePunct w:val="0"/>
        <w:autoSpaceDE/>
        <w:autoSpaceDN/>
        <w:bidi w:val="0"/>
        <w:adjustRightInd/>
        <w:snapToGrid w:val="0"/>
        <w:spacing w:line="400" w:lineRule="exact"/>
        <w:ind w:left="5" w:firstLine="415"/>
        <w:textAlignment w:val="auto"/>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lang w:val="zh-CN" w:eastAsia="zh-CN"/>
        </w:rPr>
      </w:pPr>
      <w:r>
        <w:rPr>
          <w:rFonts w:hint="eastAsia" w:ascii="宋体"/>
          <w:lang w:val="zh-CN" w:eastAsia="zh-CN"/>
        </w:rPr>
        <w:t>本单位若违反以上承诺，将无条件接受项目主管部门和有关监督管理部门的调查，并愿意承担取消中标资格及限制在本地区参与投标等一切法律责任。</w:t>
      </w:r>
    </w:p>
    <w:p>
      <w:pPr>
        <w:adjustRightInd w:val="0"/>
        <w:snapToGrid w:val="0"/>
        <w:spacing w:before="312" w:beforeLines="100" w:line="360" w:lineRule="auto"/>
        <w:rPr>
          <w:rFonts w:ascii="宋体" w:hAnsi="宋体" w:cs="仿宋_GB2312"/>
          <w:kern w:val="0"/>
          <w:sz w:val="24"/>
          <w:lang w:val="zh-CN"/>
        </w:rPr>
      </w:pPr>
      <w:r>
        <w:rPr>
          <w:rFonts w:hint="eastAsia" w:ascii="宋体" w:hAnsi="宋体" w:cs="仿宋_GB2312"/>
          <w:kern w:val="0"/>
          <w:sz w:val="24"/>
          <w:lang w:val="zh-CN"/>
        </w:rPr>
        <w:t>供应商名称（公章）：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法定代表人或授权委托人签字</w:t>
      </w:r>
      <w:r>
        <w:rPr>
          <w:rFonts w:hint="eastAsia" w:ascii="宋体" w:hAnsi="宋体" w:cs="仿宋_GB2312"/>
          <w:kern w:val="0"/>
          <w:sz w:val="24"/>
        </w:rPr>
        <w:t>或盖章</w:t>
      </w:r>
      <w:r>
        <w:rPr>
          <w:rFonts w:hint="eastAsia" w:ascii="宋体" w:hAnsi="宋体" w:cs="仿宋_GB2312"/>
          <w:kern w:val="0"/>
          <w:sz w:val="24"/>
          <w:lang w:val="zh-CN"/>
        </w:rPr>
        <w:t>：</w:t>
      </w:r>
    </w:p>
    <w:p>
      <w:pPr>
        <w:adjustRightInd w:val="0"/>
        <w:snapToGrid w:val="0"/>
        <w:spacing w:line="360" w:lineRule="auto"/>
        <w:ind w:right="480"/>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 xml:space="preserve">   </w:t>
      </w:r>
      <w:r>
        <w:rPr>
          <w:rFonts w:hint="eastAsia" w:ascii="宋体" w:hAnsi="宋体" w:cs="仿宋_GB2312"/>
          <w:kern w:val="0"/>
          <w:sz w:val="24"/>
          <w:lang w:val="zh-CN"/>
        </w:rPr>
        <w:t xml:space="preserve">年 </w:t>
      </w:r>
      <w:r>
        <w:rPr>
          <w:rFonts w:hint="eastAsia" w:ascii="宋体" w:hAnsi="宋体" w:cstheme="minorBidi"/>
          <w:sz w:val="24"/>
        </w:rPr>
        <w:t xml:space="preserve">  </w:t>
      </w:r>
      <w:r>
        <w:rPr>
          <w:rFonts w:hint="eastAsia" w:ascii="宋体" w:hAnsi="宋体" w:cs="仿宋_GB2312"/>
          <w:kern w:val="0"/>
          <w:sz w:val="24"/>
          <w:lang w:val="zh-CN"/>
        </w:rPr>
        <w:t xml:space="preserve"> 月 </w:t>
      </w:r>
      <w:r>
        <w:rPr>
          <w:rFonts w:hint="eastAsia" w:ascii="宋体" w:hAnsi="宋体" w:cs="仿宋_GB2312"/>
          <w:kern w:val="0"/>
          <w:sz w:val="24"/>
        </w:rPr>
        <w:t xml:space="preserve">  </w:t>
      </w:r>
      <w:r>
        <w:rPr>
          <w:rFonts w:hint="eastAsia" w:ascii="宋体" w:hAnsi="宋体" w:cstheme="minorBidi"/>
          <w:sz w:val="24"/>
        </w:rPr>
        <w:t xml:space="preserve"> </w:t>
      </w:r>
      <w:r>
        <w:rPr>
          <w:rFonts w:hint="eastAsia" w:ascii="宋体" w:hAnsi="宋体" w:cs="仿宋_GB2312"/>
          <w:kern w:val="0"/>
          <w:sz w:val="24"/>
          <w:lang w:val="zh-CN"/>
        </w:rPr>
        <w:t>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20" w:name="_Toc6870_WPSOffice_Level1"/>
      <w:bookmarkStart w:id="21" w:name="_Toc24373_WPSOffice_Level1"/>
      <w:r>
        <w:rPr>
          <w:b/>
          <w:sz w:val="32"/>
          <w:szCs w:val="32"/>
        </w:rPr>
        <w:t>授权</w:t>
      </w:r>
      <w:r>
        <w:rPr>
          <w:rFonts w:hint="eastAsia"/>
          <w:b/>
          <w:sz w:val="32"/>
          <w:szCs w:val="32"/>
        </w:rPr>
        <w:t>委托</w:t>
      </w:r>
      <w:r>
        <w:rPr>
          <w:b/>
          <w:sz w:val="32"/>
          <w:szCs w:val="32"/>
        </w:rPr>
        <w:t>书</w:t>
      </w:r>
      <w:bookmarkEnd w:id="20"/>
      <w:bookmarkEnd w:id="21"/>
    </w:p>
    <w:p>
      <w:pPr>
        <w:snapToGrid w:val="0"/>
        <w:spacing w:before="156" w:beforeLines="50" w:after="50" w:line="360" w:lineRule="auto"/>
        <w:rPr>
          <w:rFonts w:ascii="宋体" w:hAnsi="宋体" w:cs="宋体"/>
          <w:kern w:val="0"/>
          <w:sz w:val="24"/>
        </w:rPr>
      </w:pPr>
      <w:r>
        <w:rPr>
          <w:rFonts w:hint="eastAsia" w:ascii="宋体" w:hAnsi="宋体" w:cstheme="minorBidi"/>
          <w:sz w:val="24"/>
          <w:u w:val="single"/>
        </w:rPr>
        <w:t>台州市建设咨询有限公司</w:t>
      </w:r>
      <w:r>
        <w:rPr>
          <w:rFonts w:hint="eastAsia" w:ascii="宋体" w:hAnsi="宋体" w:cs="宋体"/>
          <w:kern w:val="0"/>
          <w:sz w:val="24"/>
        </w:rPr>
        <w:t>（采购代理机构名称）：</w:t>
      </w:r>
    </w:p>
    <w:p>
      <w:pPr>
        <w:pStyle w:val="12"/>
        <w:spacing w:line="360" w:lineRule="auto"/>
        <w:ind w:firstLine="480" w:firstLineChars="200"/>
        <w:rPr>
          <w:rFonts w:hAnsi="宋体"/>
          <w:sz w:val="24"/>
        </w:rPr>
      </w:pPr>
      <w:r>
        <w:rPr>
          <w:rFonts w:hAnsi="宋体"/>
          <w:sz w:val="24"/>
          <w:u w:val="single"/>
        </w:rPr>
        <w:t xml:space="preserve">  （</w:t>
      </w:r>
      <w:r>
        <w:rPr>
          <w:rFonts w:hint="eastAsia" w:hAnsi="宋体"/>
          <w:sz w:val="24"/>
          <w:u w:val="single"/>
          <w:lang w:eastAsia="zh-CN"/>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lang w:eastAsia="zh-CN"/>
        </w:rPr>
        <w:t>医用气体成套设备采购项目</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lang w:eastAsia="zh-CN"/>
        </w:rPr>
        <w:t>供应商</w:t>
      </w:r>
      <w:r>
        <w:rPr>
          <w:rFonts w:hint="eastAsia" w:ascii="宋体"/>
          <w:sz w:val="24"/>
        </w:rPr>
        <w:t>全称（公章）：                              日期：</w:t>
      </w:r>
    </w:p>
    <w:p>
      <w:pPr>
        <w:spacing w:line="360" w:lineRule="auto"/>
        <w:rPr>
          <w:sz w:val="24"/>
        </w:rPr>
      </w:pPr>
    </w:p>
    <w:p>
      <w:pPr>
        <w:spacing w:line="360" w:lineRule="auto"/>
        <w:rPr>
          <w:b/>
          <w:szCs w:val="21"/>
        </w:rPr>
      </w:pPr>
      <w:bookmarkStart w:id="22" w:name="_Toc26389_WPSOffice_Level1"/>
      <w:bookmarkStart w:id="23" w:name="_Toc12331_WPSOffice_Level1"/>
      <w:bookmarkStart w:id="24" w:name="_Toc16825_WPSOffice_Level1"/>
      <w:r>
        <w:rPr>
          <w:rFonts w:hint="eastAsia" w:ascii="宋体"/>
          <w:b/>
          <w:szCs w:val="21"/>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Cs w:val="21"/>
              </w:rPr>
            </w:pPr>
          </w:p>
          <w:p>
            <w:pPr>
              <w:spacing w:line="360" w:lineRule="auto"/>
              <w:ind w:firstLine="316" w:firstLineChars="150"/>
              <w:rPr>
                <w:rFonts w:ascii="宋体"/>
                <w:b/>
                <w:szCs w:val="21"/>
              </w:rPr>
            </w:pPr>
            <w:r>
              <w:rPr>
                <w:rFonts w:hint="eastAsia" w:ascii="宋体"/>
                <w:b/>
                <w:szCs w:val="21"/>
              </w:rPr>
              <w:t>法定代表身份证正反面</w:t>
            </w:r>
            <w:r>
              <w:rPr>
                <w:rFonts w:hint="eastAsia" w:ascii="宋体"/>
                <w:b/>
                <w:szCs w:val="21"/>
                <w:lang w:eastAsia="zh-CN"/>
              </w:rPr>
              <w:t>扫描件</w:t>
            </w:r>
            <w:r>
              <w:rPr>
                <w:rFonts w:hint="eastAsia" w:ascii="宋体"/>
                <w:b/>
                <w:szCs w:val="21"/>
              </w:rPr>
              <w:t>粘帖处</w:t>
            </w:r>
          </w:p>
        </w:tc>
      </w:tr>
    </w:tbl>
    <w:p>
      <w:pPr>
        <w:spacing w:line="360" w:lineRule="auto"/>
        <w:rPr>
          <w:szCs w:val="21"/>
        </w:rPr>
      </w:pPr>
      <w:r>
        <w:rPr>
          <w:rFonts w:hint="eastAsia" w:ascii="宋体"/>
          <w:szCs w:val="21"/>
        </w:rPr>
        <w:t xml:space="preserve">法定代表人姓名：                                 </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ascii="宋体"/>
          <w:szCs w:val="21"/>
        </w:rPr>
      </w:pPr>
      <w:r>
        <w:rPr>
          <w:rFonts w:hint="eastAsia" w:ascii="宋体"/>
          <w:szCs w:val="21"/>
        </w:rPr>
        <w:t>邮政编码：</w:t>
      </w:r>
    </w:p>
    <w:p>
      <w:pPr>
        <w:spacing w:line="360" w:lineRule="auto"/>
        <w:rPr>
          <w:b/>
          <w:szCs w:val="21"/>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Cs w:val="21"/>
              </w:rPr>
            </w:pPr>
          </w:p>
          <w:p>
            <w:pPr>
              <w:spacing w:line="360" w:lineRule="auto"/>
              <w:ind w:firstLine="316" w:firstLineChars="150"/>
              <w:rPr>
                <w:rFonts w:ascii="宋体"/>
                <w:b/>
                <w:szCs w:val="21"/>
              </w:rPr>
            </w:pPr>
            <w:r>
              <w:rPr>
                <w:rFonts w:hint="eastAsia" w:ascii="宋体"/>
                <w:b/>
                <w:szCs w:val="21"/>
              </w:rPr>
              <w:t>全权代表身份证正反面</w:t>
            </w:r>
            <w:r>
              <w:rPr>
                <w:rFonts w:hint="eastAsia" w:ascii="宋体"/>
                <w:b/>
                <w:szCs w:val="21"/>
                <w:lang w:eastAsia="zh-CN"/>
              </w:rPr>
              <w:t>扫描件</w:t>
            </w:r>
            <w:r>
              <w:rPr>
                <w:rFonts w:hint="eastAsia" w:ascii="宋体"/>
                <w:b/>
                <w:szCs w:val="21"/>
              </w:rPr>
              <w:t>粘帖处</w:t>
            </w:r>
          </w:p>
        </w:tc>
      </w:tr>
    </w:tbl>
    <w:p>
      <w:pPr>
        <w:spacing w:line="360" w:lineRule="auto"/>
        <w:rPr>
          <w:rFonts w:ascii="宋体"/>
          <w:szCs w:val="21"/>
        </w:rPr>
      </w:pPr>
      <w:r>
        <w:rPr>
          <w:rFonts w:hint="eastAsia" w:ascii="宋体"/>
          <w:szCs w:val="21"/>
        </w:rPr>
        <w:t xml:space="preserve">全权代表姓名：       </w:t>
      </w:r>
    </w:p>
    <w:p>
      <w:pPr>
        <w:spacing w:line="360" w:lineRule="auto"/>
        <w:rPr>
          <w:szCs w:val="21"/>
        </w:rPr>
      </w:pPr>
      <w:r>
        <w:rPr>
          <w:rFonts w:hint="eastAsia" w:ascii="宋体"/>
          <w:szCs w:val="21"/>
        </w:rPr>
        <w:t xml:space="preserve">职务：                           </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hint="eastAsia" w:ascii="宋体" w:hAnsi="宋体"/>
          <w:b/>
          <w:sz w:val="28"/>
        </w:rPr>
      </w:pPr>
      <w:r>
        <w:rPr>
          <w:rFonts w:hint="eastAsia" w:ascii="宋体"/>
          <w:szCs w:val="21"/>
        </w:rPr>
        <w:t>邮政编码：</w:t>
      </w:r>
    </w:p>
    <w:p>
      <w:pPr>
        <w:spacing w:line="360" w:lineRule="auto"/>
        <w:rPr>
          <w:rFonts w:ascii="宋体" w:hAnsi="宋体" w:cs="宋体"/>
          <w:b/>
          <w:bCs/>
          <w:sz w:val="28"/>
          <w:szCs w:val="36"/>
        </w:rPr>
      </w:pPr>
      <w:r>
        <w:rPr>
          <w:rFonts w:hint="eastAsia" w:ascii="宋体" w:hAnsi="宋体" w:cs="宋体"/>
          <w:b/>
          <w:bCs/>
          <w:sz w:val="28"/>
          <w:szCs w:val="36"/>
        </w:rPr>
        <w:t>附件3</w:t>
      </w:r>
    </w:p>
    <w:p>
      <w:pPr>
        <w:pStyle w:val="7"/>
        <w:spacing w:line="360" w:lineRule="auto"/>
        <w:rPr>
          <w:rFonts w:ascii="宋体" w:hAnsi="宋体" w:cs="宋体"/>
        </w:rPr>
      </w:pPr>
      <w:r>
        <w:rPr>
          <w:rFonts w:hint="eastAsia" w:ascii="宋体" w:hAnsi="宋体" w:cs="宋体"/>
          <w:b/>
          <w:sz w:val="32"/>
          <w:szCs w:val="32"/>
          <w:lang w:val="zh-CN"/>
        </w:rPr>
        <w:t>良好财务状况证明材料（新成立的公司提供银行资信证明或担保机构的担保函扫描件）（扫描件需要盖章确认）</w:t>
      </w:r>
    </w:p>
    <w:p>
      <w:pPr>
        <w:snapToGrid w:val="0"/>
        <w:spacing w:before="50" w:after="50" w:line="360" w:lineRule="auto"/>
        <w:jc w:val="center"/>
        <w:rPr>
          <w:rFonts w:ascii="宋体" w:hAnsi="宋体" w:cs="宋体"/>
          <w:b/>
          <w:bCs/>
          <w:sz w:val="32"/>
          <w:szCs w:val="32"/>
          <w:lang w:val="zh-CN"/>
        </w:rPr>
      </w:pPr>
    </w:p>
    <w:p>
      <w:pPr>
        <w:spacing w:line="360" w:lineRule="auto"/>
        <w:jc w:val="center"/>
        <w:rPr>
          <w:rFonts w:ascii="宋体" w:hAnsi="宋体" w:cs="宋体"/>
          <w:b/>
          <w:sz w:val="32"/>
          <w:szCs w:val="32"/>
        </w:rPr>
      </w:pPr>
      <w:r>
        <w:rPr>
          <w:rFonts w:hint="eastAsia" w:ascii="宋体" w:hAnsi="宋体" w:cs="宋体"/>
          <w:b/>
          <w:sz w:val="32"/>
          <w:szCs w:val="32"/>
        </w:rPr>
        <w:t>依法缴纳税收和社会保障资金</w:t>
      </w:r>
    </w:p>
    <w:p>
      <w:pPr>
        <w:pStyle w:val="70"/>
        <w:spacing w:line="360" w:lineRule="auto"/>
        <w:rPr>
          <w:rFonts w:ascii="宋体" w:hAnsi="宋体" w:cs="宋体"/>
          <w:b/>
          <w:sz w:val="24"/>
          <w:szCs w:val="24"/>
        </w:rPr>
      </w:pPr>
      <w:r>
        <w:rPr>
          <w:rFonts w:hint="eastAsia" w:ascii="宋体" w:hAnsi="宋体" w:cs="宋体"/>
          <w:b/>
          <w:sz w:val="24"/>
          <w:szCs w:val="24"/>
        </w:rPr>
        <w:t>依法缴纳税收和社会保障资金的相关材料要求：</w:t>
      </w:r>
    </w:p>
    <w:p>
      <w:pPr>
        <w:pStyle w:val="70"/>
        <w:spacing w:line="360" w:lineRule="auto"/>
        <w:ind w:firstLine="540" w:firstLineChars="225"/>
        <w:rPr>
          <w:rFonts w:ascii="宋体" w:hAnsi="宋体" w:cs="宋体"/>
          <w:b/>
          <w:sz w:val="24"/>
          <w:szCs w:val="24"/>
        </w:rPr>
      </w:pPr>
      <w:r>
        <w:rPr>
          <w:rFonts w:hint="eastAsia" w:ascii="宋体" w:hAnsi="宋体" w:cs="宋体"/>
          <w:sz w:val="24"/>
          <w:szCs w:val="24"/>
        </w:rPr>
        <w:t>营业执照属于三证合一的，则不需要提供税务登记证</w:t>
      </w:r>
      <w:r>
        <w:rPr>
          <w:rFonts w:hint="eastAsia" w:ascii="宋体" w:hAnsi="宋体" w:cs="宋体"/>
          <w:sz w:val="24"/>
          <w:szCs w:val="24"/>
          <w:lang w:eastAsia="zh-CN"/>
        </w:rPr>
        <w:t>扫描件</w:t>
      </w:r>
      <w:r>
        <w:rPr>
          <w:rFonts w:hint="eastAsia" w:ascii="宋体" w:hAnsi="宋体" w:cs="宋体"/>
          <w:sz w:val="24"/>
          <w:szCs w:val="24"/>
        </w:rPr>
        <w:t>。营业执照属于五证合一的，则不需要提供税务登记证和社会保险登记证</w:t>
      </w:r>
      <w:r>
        <w:rPr>
          <w:rFonts w:hint="eastAsia" w:ascii="宋体" w:hAnsi="宋体" w:cs="宋体"/>
          <w:sz w:val="24"/>
          <w:szCs w:val="24"/>
          <w:lang w:eastAsia="zh-CN"/>
        </w:rPr>
        <w:t>扫描件</w:t>
      </w:r>
      <w:r>
        <w:rPr>
          <w:rFonts w:hint="eastAsia" w:ascii="宋体" w:hAnsi="宋体" w:cs="宋体"/>
          <w:sz w:val="24"/>
          <w:szCs w:val="24"/>
        </w:rPr>
        <w:t>。</w:t>
      </w:r>
    </w:p>
    <w:p>
      <w:pPr>
        <w:pStyle w:val="70"/>
        <w:spacing w:line="360" w:lineRule="auto"/>
        <w:ind w:firstLine="420"/>
        <w:rPr>
          <w:rFonts w:ascii="宋体" w:hAnsi="宋体" w:cs="宋体"/>
          <w:sz w:val="24"/>
          <w:szCs w:val="24"/>
        </w:rPr>
      </w:pPr>
      <w:r>
        <w:rPr>
          <w:rFonts w:hint="eastAsia" w:ascii="宋体" w:hAnsi="宋体" w:cs="宋体"/>
          <w:sz w:val="24"/>
          <w:szCs w:val="24"/>
        </w:rPr>
        <w:t>1.提供</w:t>
      </w:r>
      <w:r>
        <w:rPr>
          <w:rFonts w:hint="eastAsia" w:ascii="宋体" w:hAnsi="宋体" w:cs="宋体"/>
          <w:sz w:val="24"/>
          <w:szCs w:val="24"/>
          <w:lang w:eastAsia="zh-CN"/>
        </w:rPr>
        <w:t>供应商</w:t>
      </w:r>
      <w:r>
        <w:rPr>
          <w:rFonts w:hint="eastAsia" w:ascii="宋体" w:hAnsi="宋体" w:cs="宋体"/>
          <w:sz w:val="24"/>
          <w:szCs w:val="24"/>
        </w:rPr>
        <w:t>税务登记证（国税、地税）和参加本项目采购活动前近三个月内相应税务机关出具的完税证明，包括缴纳增值税、企业所得税等凭据的</w:t>
      </w:r>
      <w:r>
        <w:rPr>
          <w:rFonts w:hint="eastAsia" w:ascii="宋体" w:hAnsi="宋体" w:cs="宋体"/>
          <w:sz w:val="24"/>
          <w:szCs w:val="24"/>
          <w:lang w:eastAsia="zh-CN"/>
        </w:rPr>
        <w:t>扫描件</w:t>
      </w:r>
      <w:r>
        <w:rPr>
          <w:rFonts w:hint="eastAsia" w:ascii="宋体" w:hAnsi="宋体" w:cs="宋体"/>
          <w:sz w:val="24"/>
          <w:szCs w:val="24"/>
        </w:rPr>
        <w:t>；</w:t>
      </w:r>
    </w:p>
    <w:p>
      <w:pPr>
        <w:pStyle w:val="70"/>
        <w:spacing w:line="360" w:lineRule="auto"/>
        <w:ind w:firstLine="420"/>
        <w:rPr>
          <w:rFonts w:ascii="宋体" w:hAnsi="宋体" w:cs="宋体"/>
          <w:sz w:val="24"/>
          <w:szCs w:val="24"/>
        </w:rPr>
      </w:pPr>
      <w:r>
        <w:rPr>
          <w:rFonts w:hint="eastAsia" w:ascii="宋体" w:hAnsi="宋体" w:cs="宋体"/>
          <w:sz w:val="24"/>
          <w:szCs w:val="24"/>
        </w:rPr>
        <w:t>2.提供</w:t>
      </w:r>
      <w:r>
        <w:rPr>
          <w:rFonts w:hint="eastAsia" w:ascii="宋体" w:hAnsi="宋体" w:cs="宋体"/>
          <w:sz w:val="24"/>
          <w:szCs w:val="24"/>
          <w:lang w:eastAsia="zh-CN"/>
        </w:rPr>
        <w:t>供应商</w:t>
      </w:r>
      <w:r>
        <w:rPr>
          <w:rFonts w:hint="eastAsia" w:ascii="宋体" w:hAnsi="宋体" w:cs="宋体"/>
          <w:sz w:val="24"/>
          <w:szCs w:val="24"/>
        </w:rPr>
        <w:t>社会保险登记证和参加政府采购活动前近三个月内缴纳社会保险的凭据（专用收据或社会保险缴纳清单）</w:t>
      </w:r>
      <w:r>
        <w:rPr>
          <w:rFonts w:hint="eastAsia" w:ascii="宋体" w:hAnsi="宋体" w:cs="宋体"/>
          <w:sz w:val="24"/>
          <w:szCs w:val="24"/>
          <w:lang w:eastAsia="zh-CN"/>
        </w:rPr>
        <w:t>扫描件</w:t>
      </w:r>
      <w:r>
        <w:rPr>
          <w:rFonts w:hint="eastAsia" w:ascii="宋体" w:hAnsi="宋体" w:cs="宋体"/>
          <w:sz w:val="24"/>
          <w:szCs w:val="24"/>
        </w:rPr>
        <w:t>；</w:t>
      </w:r>
    </w:p>
    <w:p>
      <w:pPr>
        <w:pStyle w:val="70"/>
        <w:spacing w:line="360" w:lineRule="auto"/>
        <w:ind w:firstLine="420"/>
        <w:rPr>
          <w:rFonts w:ascii="宋体" w:hAnsi="宋体" w:cs="宋体"/>
          <w:sz w:val="24"/>
          <w:szCs w:val="24"/>
        </w:rPr>
      </w:pPr>
      <w:r>
        <w:rPr>
          <w:rFonts w:hint="eastAsia" w:ascii="宋体" w:hAnsi="宋体" w:cs="宋体"/>
          <w:sz w:val="24"/>
          <w:szCs w:val="24"/>
        </w:rPr>
        <w:t>3.依法免税或不需要缴纳社会保障资金的</w:t>
      </w:r>
      <w:r>
        <w:rPr>
          <w:rFonts w:hint="eastAsia" w:ascii="宋体" w:hAnsi="宋体" w:cs="宋体"/>
          <w:sz w:val="24"/>
          <w:szCs w:val="24"/>
          <w:lang w:eastAsia="zh-CN"/>
        </w:rPr>
        <w:t>供应商</w:t>
      </w:r>
      <w:r>
        <w:rPr>
          <w:rFonts w:hint="eastAsia" w:ascii="宋体" w:hAnsi="宋体" w:cs="宋体"/>
          <w:sz w:val="24"/>
          <w:szCs w:val="24"/>
        </w:rPr>
        <w:t>，应提供相应文件证明其依法免税或不需要缴纳社会保障资金的材料</w:t>
      </w:r>
      <w:r>
        <w:rPr>
          <w:rFonts w:hint="eastAsia" w:ascii="宋体" w:hAnsi="宋体" w:cs="宋体"/>
          <w:sz w:val="24"/>
          <w:szCs w:val="24"/>
          <w:lang w:eastAsia="zh-CN"/>
        </w:rPr>
        <w:t>扫描件</w:t>
      </w:r>
      <w:r>
        <w:rPr>
          <w:rFonts w:hint="eastAsia" w:ascii="宋体" w:hAnsi="宋体" w:cs="宋体"/>
          <w:sz w:val="24"/>
          <w:szCs w:val="24"/>
        </w:rPr>
        <w:t>；</w:t>
      </w:r>
    </w:p>
    <w:p>
      <w:pPr>
        <w:pStyle w:val="70"/>
        <w:spacing w:line="360" w:lineRule="auto"/>
        <w:ind w:firstLine="42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扫描件</w:t>
      </w:r>
      <w:r>
        <w:rPr>
          <w:rFonts w:hint="eastAsia" w:ascii="宋体" w:hAnsi="宋体" w:cs="宋体"/>
          <w:sz w:val="24"/>
          <w:szCs w:val="24"/>
        </w:rPr>
        <w:t>需要盖章确认。</w:t>
      </w:r>
    </w:p>
    <w:p>
      <w:pPr>
        <w:jc w:val="center"/>
        <w:rPr>
          <w:sz w:val="52"/>
          <w:szCs w:val="52"/>
        </w:rPr>
      </w:pPr>
    </w:p>
    <w:bookmarkEnd w:id="22"/>
    <w:bookmarkEnd w:id="23"/>
    <w:bookmarkEnd w:id="24"/>
    <w:p>
      <w:pPr>
        <w:widowControl/>
        <w:jc w:val="left"/>
        <w:rPr>
          <w:sz w:val="34"/>
          <w:szCs w:val="34"/>
        </w:rPr>
      </w:pPr>
      <w:bookmarkStart w:id="25" w:name="_Toc16702_WPSOffice_Level1"/>
      <w:bookmarkStart w:id="26" w:name="_Toc24348_WPSOffice_Level1"/>
      <w:bookmarkStart w:id="27" w:name="_Toc3702_WPSOffice_Level1"/>
      <w:r>
        <w:rPr>
          <w:sz w:val="34"/>
          <w:szCs w:val="34"/>
        </w:rPr>
        <w:br w:type="page"/>
      </w:r>
    </w:p>
    <w:p>
      <w:pPr>
        <w:rPr>
          <w:rFonts w:ascii="宋体" w:hAnsi="宋体" w:cs="宋体"/>
          <w:b/>
          <w:bCs/>
          <w:sz w:val="28"/>
          <w:szCs w:val="36"/>
        </w:rPr>
      </w:pPr>
      <w:r>
        <w:rPr>
          <w:rFonts w:hint="eastAsia" w:ascii="宋体" w:hAnsi="宋体" w:cs="宋体"/>
          <w:b/>
          <w:bCs/>
          <w:sz w:val="28"/>
          <w:szCs w:val="36"/>
        </w:rPr>
        <w:t>附件4　落实政府采购政策需满足的资格要求所对应的证明材料</w:t>
      </w:r>
    </w:p>
    <w:p>
      <w:pPr>
        <w:spacing w:line="276" w:lineRule="auto"/>
        <w:ind w:firstLine="420" w:firstLineChars="200"/>
        <w:rPr>
          <w:rFonts w:ascii="宋体" w:hAnsi="宋体" w:cs="宋体"/>
          <w:bCs/>
        </w:rPr>
      </w:pPr>
      <w:r>
        <w:rPr>
          <w:rFonts w:hint="eastAsia" w:ascii="宋体" w:hAnsi="宋体" w:cs="宋体"/>
          <w:bCs/>
        </w:rPr>
        <w:t>a.中小企业声明函；</w:t>
      </w:r>
    </w:p>
    <w:p>
      <w:pPr>
        <w:spacing w:line="276" w:lineRule="auto"/>
        <w:ind w:firstLine="420" w:firstLineChars="200"/>
        <w:rPr>
          <w:rFonts w:ascii="宋体" w:hAnsi="宋体" w:cs="宋体"/>
          <w:bCs/>
        </w:rPr>
      </w:pPr>
      <w:r>
        <w:rPr>
          <w:rFonts w:hint="eastAsia" w:ascii="宋体" w:hAnsi="宋体" w:cs="宋体"/>
          <w:bCs/>
        </w:rPr>
        <w:t xml:space="preserve">中小企业应当按照《政府采购促进中小企业发展管理办法》规定和《中小企业划型标准规定》（工信部联企业〔2011〕300 号），如实填写并提交《中小企业声明函》。 </w:t>
      </w:r>
    </w:p>
    <w:p>
      <w:pPr>
        <w:spacing w:line="276" w:lineRule="auto"/>
        <w:ind w:firstLine="420" w:firstLineChars="200"/>
        <w:rPr>
          <w:rFonts w:ascii="宋体" w:hAnsi="宋体" w:cs="宋体"/>
          <w:bCs/>
        </w:rPr>
      </w:pPr>
      <w:r>
        <w:rPr>
          <w:rFonts w:hint="eastAsia" w:ascii="宋体" w:hAnsi="宋体" w:cs="宋体"/>
          <w:bCs/>
        </w:rPr>
        <w:t xml:space="preserve">中小企业对其声明内容的真实性负责，声明函内容不实的，属于提供虚假材料谋取中标、成交，依照《中华人民共和国政府采购法》等国家有关规定追究相应责任。 </w:t>
      </w:r>
    </w:p>
    <w:p>
      <w:pPr>
        <w:spacing w:line="276" w:lineRule="auto"/>
        <w:ind w:firstLine="420" w:firstLineChars="200"/>
        <w:rPr>
          <w:rFonts w:ascii="宋体" w:hAnsi="宋体" w:cs="宋体"/>
          <w:bCs/>
          <w:lang w:val="zh-CN"/>
        </w:rPr>
      </w:pPr>
      <w:r>
        <w:rPr>
          <w:rFonts w:hint="eastAsia" w:ascii="宋体" w:hAnsi="宋体" w:cs="宋体"/>
          <w:bCs/>
        </w:rPr>
        <w:t>b.</w:t>
      </w:r>
      <w:r>
        <w:rPr>
          <w:rFonts w:hint="eastAsia" w:ascii="宋体" w:hAnsi="宋体" w:cs="宋体"/>
          <w:bCs/>
          <w:lang w:eastAsia="zh-CN"/>
        </w:rPr>
        <w:t>供应商</w:t>
      </w:r>
      <w:r>
        <w:rPr>
          <w:rFonts w:hint="eastAsia" w:ascii="宋体" w:hAnsi="宋体" w:cs="宋体"/>
          <w:bCs/>
        </w:rPr>
        <w:t>为监狱企业的证明文件：省级以上监狱管理局、戒毒管理局（含新疆生产建设兵团）出具。（如是）</w:t>
      </w:r>
      <w:r>
        <w:rPr>
          <w:rFonts w:hint="eastAsia" w:ascii="宋体" w:hAnsi="宋体" w:cs="宋体"/>
          <w:bCs/>
          <w:lang w:val="zh-CN"/>
        </w:rPr>
        <w:t>。</w:t>
      </w:r>
    </w:p>
    <w:p>
      <w:pPr>
        <w:spacing w:line="276" w:lineRule="auto"/>
        <w:ind w:firstLine="420" w:firstLineChars="200"/>
        <w:rPr>
          <w:rFonts w:ascii="宋体" w:hAnsi="宋体" w:cs="宋体"/>
          <w:bCs/>
        </w:rPr>
      </w:pPr>
      <w:r>
        <w:rPr>
          <w:rFonts w:hint="eastAsia" w:ascii="宋体" w:hAnsi="宋体" w:cs="宋体"/>
          <w:bCs/>
        </w:rPr>
        <w:t>c.</w:t>
      </w:r>
      <w:r>
        <w:rPr>
          <w:rFonts w:hint="eastAsia" w:ascii="宋体" w:hAnsi="宋体" w:cs="宋体"/>
          <w:bCs/>
          <w:lang w:eastAsia="zh-CN"/>
        </w:rPr>
        <w:t>供应商</w:t>
      </w:r>
      <w:r>
        <w:rPr>
          <w:rFonts w:hint="eastAsia" w:ascii="宋体" w:hAnsi="宋体" w:cs="宋体"/>
          <w:bCs/>
        </w:rPr>
        <w:t>如符合《财政部、民政部、中国残疾人联合会关于促进残疾人就业政府采购政策的通知》 （财库〔2017〕141 号）政策规定的，须提供《残疾人福利性单位声明函》；（如是）</w:t>
      </w:r>
    </w:p>
    <w:p>
      <w:pPr>
        <w:spacing w:line="360" w:lineRule="auto"/>
        <w:jc w:val="center"/>
        <w:rPr>
          <w:rFonts w:hint="eastAsia" w:ascii="宋体" w:hAnsi="宋体" w:eastAsia="宋体" w:cs="宋体"/>
          <w:b/>
          <w:color w:val="auto"/>
          <w:sz w:val="32"/>
          <w:szCs w:val="32"/>
          <w:lang w:eastAsia="zh-CN"/>
        </w:rPr>
      </w:pPr>
      <w:r>
        <w:rPr>
          <w:rFonts w:hint="eastAsia" w:ascii="宋体" w:hAnsi="宋体" w:cs="宋体"/>
          <w:b/>
          <w:color w:val="auto"/>
          <w:sz w:val="32"/>
          <w:szCs w:val="32"/>
        </w:rPr>
        <w:t>中小企业声明函</w:t>
      </w:r>
      <w:r>
        <w:rPr>
          <w:rFonts w:hint="eastAsia" w:ascii="宋体" w:hAnsi="宋体" w:cs="宋体"/>
          <w:b/>
          <w:color w:val="auto"/>
          <w:sz w:val="32"/>
          <w:szCs w:val="32"/>
          <w:lang w:val="en-US" w:eastAsia="zh-CN"/>
        </w:rPr>
        <w:t xml:space="preserve"> </w:t>
      </w:r>
    </w:p>
    <w:p>
      <w:pPr>
        <w:spacing w:line="360" w:lineRule="auto"/>
        <w:ind w:firstLine="420" w:firstLineChars="200"/>
        <w:rPr>
          <w:rFonts w:ascii="宋体" w:hAnsi="宋体" w:cs="宋体"/>
          <w:bCs/>
        </w:rPr>
      </w:pPr>
      <w:r>
        <w:rPr>
          <w:rFonts w:hint="eastAsia" w:ascii="宋体" w:hAnsi="宋体" w:cs="宋体"/>
          <w:bCs/>
        </w:rPr>
        <w:t>本公司郑重声明，根据《政府采购促进中小企业发展管理办法》（财库﹝2020﹞46 号）的规定，本公司参加</w:t>
      </w:r>
      <w:r>
        <w:rPr>
          <w:rFonts w:hint="eastAsia" w:ascii="宋体" w:hAnsi="宋体" w:cs="宋体"/>
          <w:bCs/>
          <w:u w:val="single"/>
        </w:rPr>
        <w:t>（单位名称）</w:t>
      </w:r>
      <w:r>
        <w:rPr>
          <w:rFonts w:hint="eastAsia" w:ascii="宋体" w:hAnsi="宋体" w:cs="宋体"/>
          <w:bCs/>
        </w:rPr>
        <w:t>的</w:t>
      </w:r>
      <w:r>
        <w:rPr>
          <w:rFonts w:hint="eastAsia" w:ascii="宋体" w:hAnsi="宋体" w:cs="宋体"/>
          <w:bCs/>
          <w:u w:val="single"/>
        </w:rPr>
        <w:t>（项目名称）</w:t>
      </w:r>
      <w:r>
        <w:rPr>
          <w:rFonts w:hint="eastAsia" w:ascii="宋体" w:hAnsi="宋体" w:cs="宋体"/>
          <w:bCs/>
        </w:rPr>
        <w:t>采购活动，工程的施工单位全部为符合政策要求的中小企业（或者：服务全部由符合政策要求的中小企业承接）。相关企业的具体情况如下：</w:t>
      </w:r>
    </w:p>
    <w:p>
      <w:pPr>
        <w:spacing w:line="360" w:lineRule="auto"/>
        <w:ind w:firstLine="420" w:firstLineChars="200"/>
        <w:rPr>
          <w:rFonts w:ascii="宋体" w:hAnsi="宋体" w:cs="宋体"/>
          <w:bCs/>
        </w:rPr>
      </w:pPr>
      <w:r>
        <w:rPr>
          <w:rFonts w:hint="eastAsia" w:ascii="宋体" w:hAnsi="宋体" w:cs="宋体"/>
          <w:bCs/>
        </w:rPr>
        <w:t>1.</w:t>
      </w:r>
      <w:r>
        <w:rPr>
          <w:rFonts w:hint="eastAsia" w:ascii="宋体" w:hAnsi="宋体" w:cs="宋体"/>
          <w:bCs/>
          <w:u w:val="single"/>
        </w:rPr>
        <w:t>（标的名称）</w:t>
      </w:r>
      <w:r>
        <w:rPr>
          <w:rFonts w:hint="eastAsia" w:ascii="宋体" w:hAnsi="宋体" w:cs="宋体"/>
          <w:bCs/>
        </w:rPr>
        <w:t>，属于</w:t>
      </w:r>
      <w:r>
        <w:rPr>
          <w:rFonts w:hint="eastAsia" w:ascii="宋体" w:hAnsi="宋体" w:cs="宋体"/>
          <w:bCs/>
          <w:u w:val="single"/>
        </w:rPr>
        <w:t>（采购文件中明确的所属行业）</w:t>
      </w:r>
      <w:r>
        <w:rPr>
          <w:rFonts w:hint="eastAsia" w:ascii="宋体" w:hAnsi="宋体" w:cs="宋体"/>
          <w:bCs/>
        </w:rPr>
        <w:t>；承建（承接）企业为</w:t>
      </w:r>
      <w:r>
        <w:rPr>
          <w:rFonts w:hint="eastAsia" w:ascii="宋体" w:hAnsi="宋体" w:cs="宋体"/>
          <w:bCs/>
          <w:u w:val="single"/>
        </w:rPr>
        <w:t>（企业名称）</w:t>
      </w:r>
      <w:r>
        <w:rPr>
          <w:rFonts w:hint="eastAsia" w:ascii="宋体" w:hAnsi="宋体" w:cs="宋体"/>
          <w:bCs/>
        </w:rPr>
        <w:t>，从业人员</w:t>
      </w:r>
      <w:r>
        <w:rPr>
          <w:rFonts w:hint="eastAsia" w:ascii="宋体" w:hAnsi="宋体" w:cs="宋体"/>
          <w:bCs/>
          <w:u w:val="single"/>
        </w:rPr>
        <w:t xml:space="preserve">     </w:t>
      </w:r>
      <w:r>
        <w:rPr>
          <w:rFonts w:hint="eastAsia" w:ascii="宋体" w:hAnsi="宋体" w:cs="宋体"/>
          <w:bCs/>
        </w:rPr>
        <w:t>人，营业收入为</w:t>
      </w:r>
      <w:r>
        <w:rPr>
          <w:rFonts w:hint="eastAsia" w:ascii="宋体" w:hAnsi="宋体" w:cs="宋体"/>
          <w:bCs/>
          <w:u w:val="single"/>
        </w:rPr>
        <w:t xml:space="preserve">     </w:t>
      </w:r>
      <w:r>
        <w:rPr>
          <w:rFonts w:hint="eastAsia" w:ascii="宋体" w:hAnsi="宋体" w:cs="宋体"/>
          <w:bCs/>
        </w:rPr>
        <w:t>万元，资产总额为</w:t>
      </w:r>
      <w:r>
        <w:rPr>
          <w:rFonts w:hint="eastAsia" w:ascii="宋体" w:hAnsi="宋体" w:cs="宋体"/>
          <w:bCs/>
          <w:u w:val="single"/>
        </w:rPr>
        <w:t xml:space="preserve">     </w:t>
      </w:r>
      <w:r>
        <w:rPr>
          <w:rFonts w:hint="eastAsia" w:ascii="宋体" w:hAnsi="宋体" w:cs="宋体"/>
          <w:bCs/>
        </w:rPr>
        <w:t>万元</w:t>
      </w:r>
      <w:r>
        <w:rPr>
          <w:rStyle w:val="28"/>
          <w:rFonts w:hint="eastAsia" w:ascii="宋体" w:hAnsi="宋体" w:cs="宋体"/>
          <w:bCs/>
        </w:rPr>
        <w:footnoteReference w:id="0"/>
      </w:r>
      <w:r>
        <w:rPr>
          <w:rFonts w:hint="eastAsia" w:ascii="宋体" w:hAnsi="宋体" w:cs="宋体"/>
          <w:bCs/>
        </w:rPr>
        <w:t>，属于</w:t>
      </w:r>
      <w:r>
        <w:rPr>
          <w:rFonts w:hint="eastAsia" w:ascii="宋体" w:hAnsi="宋体" w:cs="宋体"/>
          <w:bCs/>
          <w:u w:val="single"/>
        </w:rPr>
        <w:t>（中型企业、小型企业、微型企业）</w:t>
      </w:r>
      <w:r>
        <w:rPr>
          <w:rFonts w:hint="eastAsia" w:ascii="宋体" w:hAnsi="宋体" w:cs="宋体"/>
          <w:bCs/>
        </w:rPr>
        <w:t>；</w:t>
      </w:r>
    </w:p>
    <w:p>
      <w:pPr>
        <w:spacing w:line="360" w:lineRule="auto"/>
        <w:ind w:firstLine="420" w:firstLineChars="200"/>
        <w:rPr>
          <w:rFonts w:ascii="宋体" w:hAnsi="宋体" w:cs="宋体"/>
          <w:bCs/>
        </w:rPr>
      </w:pPr>
      <w:r>
        <w:rPr>
          <w:rFonts w:hint="eastAsia" w:ascii="宋体" w:hAnsi="宋体" w:cs="宋体"/>
          <w:bCs/>
        </w:rPr>
        <w:t>2.</w:t>
      </w:r>
      <w:r>
        <w:rPr>
          <w:rFonts w:hint="eastAsia" w:ascii="宋体" w:hAnsi="宋体" w:cs="宋体"/>
          <w:bCs/>
          <w:u w:val="single"/>
        </w:rPr>
        <w:t>（标的名称）</w:t>
      </w:r>
      <w:r>
        <w:rPr>
          <w:rFonts w:hint="eastAsia" w:ascii="宋体" w:hAnsi="宋体" w:cs="宋体"/>
          <w:bCs/>
        </w:rPr>
        <w:t>，属于</w:t>
      </w:r>
      <w:r>
        <w:rPr>
          <w:rFonts w:hint="eastAsia" w:ascii="宋体" w:hAnsi="宋体" w:cs="宋体"/>
          <w:bCs/>
          <w:u w:val="single"/>
        </w:rPr>
        <w:t>（采购文件中明确的所属行业）</w:t>
      </w:r>
      <w:r>
        <w:rPr>
          <w:rFonts w:hint="eastAsia" w:ascii="宋体" w:hAnsi="宋体" w:cs="宋体"/>
          <w:bCs/>
        </w:rPr>
        <w:t>；承建（承接）企业为</w:t>
      </w:r>
      <w:r>
        <w:rPr>
          <w:rFonts w:hint="eastAsia" w:ascii="宋体" w:hAnsi="宋体" w:cs="宋体"/>
          <w:bCs/>
          <w:u w:val="single"/>
        </w:rPr>
        <w:t>（企业名称）</w:t>
      </w:r>
      <w:r>
        <w:rPr>
          <w:rFonts w:hint="eastAsia" w:ascii="宋体" w:hAnsi="宋体" w:cs="宋体"/>
          <w:bCs/>
        </w:rPr>
        <w:t>，从业人员</w:t>
      </w:r>
      <w:r>
        <w:rPr>
          <w:rFonts w:hint="eastAsia" w:ascii="宋体" w:hAnsi="宋体" w:cs="宋体"/>
          <w:bCs/>
          <w:u w:val="single"/>
        </w:rPr>
        <w:t xml:space="preserve">     </w:t>
      </w:r>
      <w:r>
        <w:rPr>
          <w:rFonts w:hint="eastAsia" w:ascii="宋体" w:hAnsi="宋体" w:cs="宋体"/>
          <w:bCs/>
        </w:rPr>
        <w:t>人，营业收入为</w:t>
      </w:r>
      <w:r>
        <w:rPr>
          <w:rFonts w:hint="eastAsia" w:ascii="宋体" w:hAnsi="宋体" w:cs="宋体"/>
          <w:bCs/>
          <w:u w:val="single"/>
        </w:rPr>
        <w:t xml:space="preserve">     </w:t>
      </w:r>
      <w:r>
        <w:rPr>
          <w:rFonts w:hint="eastAsia" w:ascii="宋体" w:hAnsi="宋体" w:cs="宋体"/>
          <w:bCs/>
        </w:rPr>
        <w:t>万元，资产总额为</w:t>
      </w:r>
      <w:r>
        <w:rPr>
          <w:rFonts w:hint="eastAsia" w:ascii="宋体" w:hAnsi="宋体" w:cs="宋体"/>
          <w:bCs/>
          <w:u w:val="single"/>
        </w:rPr>
        <w:t xml:space="preserve">     </w:t>
      </w:r>
      <w:r>
        <w:rPr>
          <w:rFonts w:hint="eastAsia" w:ascii="宋体" w:hAnsi="宋体" w:cs="宋体"/>
          <w:bCs/>
        </w:rPr>
        <w:t>万元，属于</w:t>
      </w:r>
      <w:r>
        <w:rPr>
          <w:rFonts w:hint="eastAsia" w:ascii="宋体" w:hAnsi="宋体" w:cs="宋体"/>
          <w:bCs/>
          <w:u w:val="single"/>
        </w:rPr>
        <w:t>（中型企业、小型企业、微型企业）</w:t>
      </w:r>
      <w:r>
        <w:rPr>
          <w:rFonts w:hint="eastAsia" w:ascii="宋体" w:hAnsi="宋体" w:cs="宋体"/>
          <w:bCs/>
        </w:rPr>
        <w:t>；</w:t>
      </w:r>
    </w:p>
    <w:p>
      <w:pPr>
        <w:spacing w:line="360" w:lineRule="auto"/>
        <w:ind w:firstLine="420" w:firstLineChars="200"/>
        <w:rPr>
          <w:rFonts w:ascii="宋体" w:hAnsi="宋体" w:cs="宋体"/>
          <w:bCs/>
        </w:rPr>
      </w:pPr>
      <w:r>
        <w:rPr>
          <w:rFonts w:hint="eastAsia" w:ascii="宋体" w:hAnsi="宋体" w:cs="宋体"/>
          <w:bCs/>
        </w:rPr>
        <w:t>……</w:t>
      </w:r>
    </w:p>
    <w:p>
      <w:pPr>
        <w:spacing w:line="360" w:lineRule="auto"/>
        <w:ind w:firstLine="420" w:firstLineChars="200"/>
        <w:rPr>
          <w:rFonts w:ascii="宋体" w:hAnsi="宋体" w:cs="宋体"/>
          <w:bCs/>
        </w:rPr>
      </w:pPr>
      <w:r>
        <w:rPr>
          <w:rFonts w:hint="eastAsia" w:ascii="宋体" w:hAnsi="宋体" w:cs="宋体"/>
          <w:bCs/>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宋体"/>
          <w:bCs/>
        </w:rPr>
      </w:pPr>
      <w:r>
        <w:rPr>
          <w:rFonts w:hint="eastAsia" w:ascii="宋体" w:hAnsi="宋体" w:cs="宋体"/>
          <w:bCs/>
        </w:rPr>
        <w:t xml:space="preserve">本企业对上述声明内容的真实性负责。如有虚假，将依法承担相应责任。 </w:t>
      </w:r>
    </w:p>
    <w:p>
      <w:pPr>
        <w:spacing w:line="360" w:lineRule="auto"/>
        <w:rPr>
          <w:rFonts w:ascii="宋体" w:hAnsi="宋体" w:cs="宋体"/>
          <w:bCs/>
        </w:rPr>
      </w:pPr>
    </w:p>
    <w:p>
      <w:pPr>
        <w:spacing w:line="360" w:lineRule="auto"/>
        <w:ind w:firstLine="4200" w:firstLineChars="2000"/>
        <w:rPr>
          <w:rFonts w:ascii="宋体" w:hAnsi="宋体" w:cs="宋体"/>
          <w:bCs/>
        </w:rPr>
      </w:pPr>
      <w:r>
        <w:rPr>
          <w:rFonts w:hint="eastAsia" w:ascii="宋体" w:hAnsi="宋体" w:cs="宋体"/>
          <w:bCs/>
        </w:rPr>
        <w:t>企业名称（盖章）：</w:t>
      </w:r>
    </w:p>
    <w:p>
      <w:pPr>
        <w:spacing w:line="360" w:lineRule="auto"/>
        <w:ind w:firstLine="4200" w:firstLineChars="2000"/>
        <w:rPr>
          <w:rFonts w:ascii="宋体" w:hAnsi="宋体" w:cs="宋体"/>
          <w:bCs/>
        </w:rPr>
      </w:pPr>
      <w:r>
        <w:rPr>
          <w:rFonts w:hint="eastAsia" w:ascii="宋体" w:hAnsi="宋体" w:cs="宋体"/>
          <w:bCs/>
        </w:rPr>
        <w:t>日 期：</w:t>
      </w:r>
    </w:p>
    <w:p>
      <w:pPr>
        <w:spacing w:line="360" w:lineRule="auto"/>
        <w:ind w:left="-2" w:hanging="2"/>
        <w:jc w:val="center"/>
        <w:rPr>
          <w:rFonts w:ascii="宋体" w:hAnsi="宋体" w:cs="宋体"/>
          <w:b/>
          <w:sz w:val="32"/>
          <w:szCs w:val="32"/>
          <w:lang w:val="en-GB"/>
        </w:rPr>
      </w:pPr>
      <w:r>
        <w:rPr>
          <w:rFonts w:hint="eastAsia" w:ascii="宋体" w:hAnsi="宋体" w:cs="宋体"/>
          <w:b/>
          <w:sz w:val="32"/>
          <w:szCs w:val="32"/>
          <w:lang w:val="en-GB"/>
        </w:rPr>
        <w:t>残疾人福利性单位声明函</w:t>
      </w:r>
    </w:p>
    <w:p>
      <w:pPr>
        <w:spacing w:line="360" w:lineRule="auto"/>
        <w:ind w:firstLine="420" w:firstLineChars="200"/>
        <w:rPr>
          <w:rFonts w:ascii="宋体" w:hAnsi="宋体" w:cs="宋体"/>
        </w:rPr>
      </w:pPr>
      <w:r>
        <w:rPr>
          <w:rFonts w:hint="eastAsia" w:ascii="宋体" w:hAnsi="宋体" w:cs="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rPr>
      </w:pPr>
      <w:r>
        <w:rPr>
          <w:rFonts w:hint="eastAsia" w:ascii="宋体" w:hAnsi="宋体" w:cs="宋体"/>
        </w:rPr>
        <w:t>本单位对上述声明的真实性负责。如有虚假，将依法承担相应责任。</w:t>
      </w:r>
    </w:p>
    <w:p>
      <w:pPr>
        <w:spacing w:line="360" w:lineRule="auto"/>
        <w:ind w:firstLine="2730" w:firstLineChars="1300"/>
        <w:rPr>
          <w:rFonts w:ascii="宋体" w:hAnsi="宋体" w:cs="宋体"/>
          <w:bCs/>
        </w:rPr>
      </w:pPr>
      <w:r>
        <w:rPr>
          <w:rFonts w:hint="eastAsia" w:ascii="宋体" w:hAnsi="宋体" w:cs="宋体"/>
          <w:bCs/>
        </w:rPr>
        <w:t>单位名称（单位公章）：</w:t>
      </w:r>
    </w:p>
    <w:p>
      <w:pPr>
        <w:spacing w:line="360" w:lineRule="auto"/>
        <w:ind w:firstLine="4410" w:firstLineChars="2100"/>
        <w:rPr>
          <w:rFonts w:ascii="宋体" w:hAnsi="宋体" w:cs="宋体"/>
        </w:rPr>
      </w:pPr>
      <w:r>
        <w:rPr>
          <w:rFonts w:hint="eastAsia" w:ascii="宋体" w:hAnsi="宋体" w:cs="宋体"/>
          <w:bCs/>
        </w:rPr>
        <w:t>日期：</w:t>
      </w: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w:t>
      </w:r>
    </w:p>
    <w:p>
      <w:pPr>
        <w:spacing w:line="360" w:lineRule="auto"/>
        <w:rPr>
          <w:rFonts w:ascii="宋体" w:hAnsi="宋体" w:cs="宋体"/>
          <w:b/>
          <w:bCs/>
        </w:rPr>
      </w:pPr>
    </w:p>
    <w:p>
      <w:pPr>
        <w:pStyle w:val="7"/>
        <w:rPr>
          <w:rFonts w:ascii="宋体" w:hAnsi="宋体" w:cs="宋体"/>
          <w:b/>
          <w:bCs/>
        </w:rPr>
      </w:pPr>
    </w:p>
    <w:p>
      <w:pPr>
        <w:pStyle w:val="6"/>
        <w:spacing w:before="120"/>
        <w:ind w:left="5250" w:firstLine="480"/>
      </w:pPr>
    </w:p>
    <w:p>
      <w:pPr>
        <w:spacing w:line="360" w:lineRule="auto"/>
        <w:rPr>
          <w:rFonts w:ascii="宋体" w:hAnsi="宋体" w:cs="宋体"/>
          <w:b/>
          <w:bCs/>
        </w:rPr>
      </w:pPr>
      <w:r>
        <w:rPr>
          <w:rFonts w:hint="eastAsia" w:ascii="宋体" w:hAnsi="宋体" w:cs="宋体"/>
          <w:b/>
          <w:bCs/>
        </w:rPr>
        <w:t>填表说明：</w:t>
      </w:r>
    </w:p>
    <w:p>
      <w:pPr>
        <w:spacing w:line="360" w:lineRule="auto"/>
        <w:ind w:firstLine="422" w:firstLineChars="200"/>
        <w:rPr>
          <w:rFonts w:ascii="宋体" w:hAnsi="宋体" w:cs="宋体"/>
          <w:b/>
          <w:bCs/>
        </w:rPr>
      </w:pPr>
      <w:r>
        <w:rPr>
          <w:rFonts w:hint="eastAsia" w:ascii="宋体" w:hAnsi="宋体" w:cs="宋体"/>
          <w:b/>
          <w:bCs/>
        </w:rPr>
        <w:t>1.从业人员、营业收入、资产总额填报上一年度数据，无上一年度数据的新成立企业可不填报。</w:t>
      </w:r>
    </w:p>
    <w:p>
      <w:pPr>
        <w:spacing w:line="360" w:lineRule="auto"/>
        <w:ind w:firstLine="211" w:firstLineChars="100"/>
        <w:rPr>
          <w:rFonts w:hint="eastAsia" w:ascii="宋体" w:hAnsi="宋体" w:eastAsia="宋体" w:cs="宋体"/>
          <w:b/>
          <w:bCs/>
          <w:lang w:eastAsia="zh-CN"/>
        </w:rPr>
      </w:pPr>
      <w:r>
        <w:rPr>
          <w:rFonts w:hint="eastAsia" w:ascii="宋体" w:hAnsi="宋体" w:cs="宋体"/>
          <w:b/>
          <w:bCs/>
        </w:rPr>
        <w:t>2.为了更加准确判定制造商是否为小微企业，请供应商根据工业和信息化部官方网站---中小企业规模类型自测小程序来辨别制造商企业规模类型</w:t>
      </w:r>
      <w:r>
        <w:rPr>
          <w:rFonts w:hint="eastAsia" w:ascii="宋体" w:hAnsi="宋体" w:cs="宋体"/>
          <w:b/>
          <w:bCs/>
          <w:lang w:eastAsia="zh-CN"/>
        </w:rPr>
        <w:t>。</w:t>
      </w:r>
    </w:p>
    <w:p>
      <w:pPr>
        <w:spacing w:line="360" w:lineRule="auto"/>
        <w:ind w:firstLine="422" w:firstLineChars="200"/>
        <w:rPr>
          <w:rFonts w:ascii="宋体" w:hAnsi="宋体" w:cs="宋体"/>
          <w:b/>
          <w:bCs/>
        </w:rPr>
      </w:pPr>
      <w:r>
        <w:rPr>
          <w:rFonts w:hint="eastAsia" w:ascii="宋体" w:hAnsi="宋体" w:cs="宋体"/>
          <w:b/>
          <w:bCs/>
          <w:lang w:val="en-US" w:eastAsia="zh-CN"/>
        </w:rPr>
        <w:t>3</w:t>
      </w:r>
      <w:r>
        <w:rPr>
          <w:rFonts w:hint="eastAsia" w:ascii="宋体" w:hAnsi="宋体" w:cs="宋体"/>
          <w:b/>
          <w:bCs/>
        </w:rPr>
        <w:t>.如国家对中小企业划型标准有新的规定的，从其规定。 </w:t>
      </w:r>
    </w:p>
    <w:p>
      <w:pPr>
        <w:spacing w:line="360" w:lineRule="auto"/>
        <w:rPr>
          <w:rFonts w:ascii="宋体" w:hAnsi="宋体" w:cs="宋体"/>
          <w:b/>
          <w:bCs/>
        </w:rPr>
      </w:pPr>
      <w:r>
        <w:rPr>
          <w:rFonts w:hint="eastAsia" w:ascii="宋体" w:hAnsi="宋体" w:cs="宋体"/>
          <w:b/>
          <w:bCs/>
        </w:rPr>
        <w:t> </w:t>
      </w:r>
    </w:p>
    <w:p>
      <w:pPr>
        <w:pStyle w:val="7"/>
      </w:pPr>
    </w:p>
    <w:p>
      <w:pPr>
        <w:pStyle w:val="6"/>
        <w:ind w:firstLine="480"/>
      </w:pPr>
    </w:p>
    <w:p>
      <w:pPr>
        <w:pStyle w:val="8"/>
      </w:pPr>
    </w:p>
    <w:p/>
    <w:p>
      <w:pPr>
        <w:pStyle w:val="6"/>
      </w:pPr>
    </w:p>
    <w:p>
      <w:pPr>
        <w:pStyle w:val="8"/>
      </w:pPr>
    </w:p>
    <w:p/>
    <w:p>
      <w:pPr>
        <w:pStyle w:val="31"/>
      </w:pPr>
    </w:p>
    <w:p>
      <w:pPr>
        <w:pStyle w:val="31"/>
      </w:pPr>
    </w:p>
    <w:p>
      <w:pPr>
        <w:pStyle w:val="6"/>
      </w:pPr>
    </w:p>
    <w:p>
      <w:pPr>
        <w:pStyle w:val="8"/>
      </w:pPr>
    </w:p>
    <w:p/>
    <w:p>
      <w:pPr>
        <w:pStyle w:val="7"/>
      </w:pPr>
    </w:p>
    <w:bookmarkEnd w:id="25"/>
    <w:bookmarkEnd w:id="26"/>
    <w:bookmarkEnd w:id="27"/>
    <w:p>
      <w:pPr>
        <w:pStyle w:val="17"/>
      </w:pPr>
    </w:p>
    <w:p>
      <w:pPr>
        <w:spacing w:line="360" w:lineRule="auto"/>
        <w:jc w:val="center"/>
        <w:rPr>
          <w:sz w:val="28"/>
          <w:szCs w:val="28"/>
        </w:rPr>
      </w:pPr>
      <w:bookmarkStart w:id="28" w:name="_Toc11308_WPSOffice_Level1"/>
      <w:bookmarkStart w:id="29" w:name="_Toc5889_WPSOffice_Level1"/>
      <w:r>
        <w:rPr>
          <w:rFonts w:hint="eastAsia"/>
          <w:b/>
          <w:bCs/>
          <w:sz w:val="36"/>
          <w:szCs w:val="36"/>
          <w:lang w:val="zh-CN"/>
        </w:rPr>
        <w:t>商务与技术文件目录</w:t>
      </w:r>
      <w:bookmarkEnd w:id="28"/>
      <w:bookmarkEnd w:id="29"/>
    </w:p>
    <w:p>
      <w:pPr>
        <w:spacing w:line="360" w:lineRule="auto"/>
        <w:ind w:left="420"/>
        <w:rPr>
          <w:sz w:val="28"/>
          <w:szCs w:val="28"/>
        </w:rPr>
      </w:pP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1</w:t>
      </w:r>
      <w:r>
        <w:rPr>
          <w:rFonts w:hint="eastAsia" w:ascii="宋体" w:hAnsi="宋体" w:cs="宋体"/>
          <w:szCs w:val="32"/>
        </w:rPr>
        <w:t>）</w:t>
      </w:r>
      <w:r>
        <w:rPr>
          <w:rFonts w:hint="eastAsia" w:ascii="宋体" w:hAnsi="宋体" w:cs="宋体"/>
          <w:szCs w:val="32"/>
          <w:lang w:eastAsia="zh-CN"/>
        </w:rPr>
        <w:t>供应商</w:t>
      </w:r>
      <w:r>
        <w:rPr>
          <w:rFonts w:hint="eastAsia" w:ascii="宋体" w:hAnsi="宋体" w:cs="宋体"/>
          <w:szCs w:val="32"/>
        </w:rPr>
        <w:t>商务技术文件中资信分自评表（格式见附件</w:t>
      </w:r>
      <w:r>
        <w:rPr>
          <w:rFonts w:hint="eastAsia" w:ascii="宋体" w:hAnsi="宋体" w:cs="宋体"/>
          <w:szCs w:val="32"/>
          <w:lang w:val="en-US" w:eastAsia="zh-CN"/>
        </w:rPr>
        <w:t>5</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2</w:t>
      </w:r>
      <w:r>
        <w:rPr>
          <w:rFonts w:hint="eastAsia" w:ascii="宋体" w:hAnsi="宋体" w:cs="宋体"/>
          <w:szCs w:val="32"/>
        </w:rPr>
        <w:t>）</w:t>
      </w:r>
      <w:r>
        <w:rPr>
          <w:rFonts w:hint="eastAsia" w:ascii="宋体" w:hAnsi="宋体" w:cs="宋体"/>
          <w:szCs w:val="32"/>
          <w:lang w:eastAsia="zh-CN"/>
        </w:rPr>
        <w:t>供应商</w:t>
      </w:r>
      <w:r>
        <w:rPr>
          <w:rFonts w:hint="eastAsia" w:ascii="宋体" w:hAnsi="宋体" w:cs="宋体"/>
          <w:szCs w:val="32"/>
        </w:rPr>
        <w:t>基本情况表（格式见附件</w:t>
      </w:r>
      <w:r>
        <w:rPr>
          <w:rFonts w:hint="eastAsia" w:ascii="宋体" w:hAnsi="宋体" w:cs="宋体"/>
          <w:szCs w:val="32"/>
          <w:lang w:val="en-US" w:eastAsia="zh-CN"/>
        </w:rPr>
        <w:t>6</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3</w:t>
      </w:r>
      <w:r>
        <w:rPr>
          <w:rFonts w:hint="eastAsia" w:ascii="宋体" w:hAnsi="宋体" w:cs="宋体"/>
          <w:szCs w:val="32"/>
        </w:rPr>
        <w:t>）项目实施人员一览表（格式见附件</w:t>
      </w:r>
      <w:r>
        <w:rPr>
          <w:rFonts w:hint="eastAsia" w:ascii="宋体" w:hAnsi="宋体" w:cs="宋体"/>
          <w:szCs w:val="32"/>
          <w:lang w:val="en-US" w:eastAsia="zh-CN"/>
        </w:rPr>
        <w:t>7</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4</w:t>
      </w:r>
      <w:r>
        <w:rPr>
          <w:rFonts w:hint="eastAsia" w:ascii="宋体" w:hAnsi="宋体" w:cs="宋体"/>
          <w:szCs w:val="32"/>
        </w:rPr>
        <w:t>）项目负责人资格情况表（格式见附件</w:t>
      </w:r>
      <w:r>
        <w:rPr>
          <w:rFonts w:hint="eastAsia" w:ascii="宋体" w:hAnsi="宋体" w:cs="宋体"/>
          <w:szCs w:val="32"/>
          <w:lang w:val="en-US" w:eastAsia="zh-CN"/>
        </w:rPr>
        <w:t>8</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5</w:t>
      </w:r>
      <w:r>
        <w:rPr>
          <w:rFonts w:hint="eastAsia" w:ascii="宋体" w:hAnsi="宋体" w:cs="宋体"/>
          <w:szCs w:val="32"/>
        </w:rPr>
        <w:t>）证书一览表（格式见附件</w:t>
      </w:r>
      <w:r>
        <w:rPr>
          <w:rFonts w:hint="eastAsia" w:ascii="宋体" w:hAnsi="宋体" w:cs="宋体"/>
          <w:szCs w:val="32"/>
          <w:lang w:val="en-US" w:eastAsia="zh-CN"/>
        </w:rPr>
        <w:t>9</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6</w:t>
      </w:r>
      <w:r>
        <w:rPr>
          <w:rFonts w:hint="eastAsia" w:ascii="宋体" w:hAnsi="宋体" w:cs="宋体"/>
          <w:szCs w:val="32"/>
        </w:rPr>
        <w:t>）</w:t>
      </w:r>
      <w:r>
        <w:rPr>
          <w:rFonts w:hint="eastAsia" w:ascii="宋体" w:hAnsi="宋体" w:cs="宋体"/>
          <w:szCs w:val="32"/>
          <w:lang w:eastAsia="zh-CN"/>
        </w:rPr>
        <w:t>供应商</w:t>
      </w:r>
      <w:r>
        <w:rPr>
          <w:rFonts w:hint="eastAsia" w:ascii="宋体" w:hAnsi="宋体" w:cs="宋体"/>
          <w:szCs w:val="32"/>
        </w:rPr>
        <w:t>类似项目实施情况一览表；（格式见附件1</w:t>
      </w:r>
      <w:r>
        <w:rPr>
          <w:rFonts w:hint="eastAsia" w:ascii="宋体" w:hAnsi="宋体" w:cs="宋体"/>
          <w:szCs w:val="32"/>
          <w:lang w:val="en-US" w:eastAsia="zh-CN"/>
        </w:rPr>
        <w:t>0</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7</w:t>
      </w:r>
      <w:r>
        <w:rPr>
          <w:rFonts w:hint="eastAsia" w:ascii="宋体" w:hAnsi="宋体" w:cs="宋体"/>
          <w:szCs w:val="32"/>
        </w:rPr>
        <w:t>）技术需求响应表（格式见附件1</w:t>
      </w:r>
      <w:r>
        <w:rPr>
          <w:rFonts w:hint="eastAsia" w:ascii="宋体" w:hAnsi="宋体" w:cs="宋体"/>
          <w:szCs w:val="32"/>
          <w:lang w:val="en-US" w:eastAsia="zh-CN"/>
        </w:rPr>
        <w:t>1</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szCs w:val="32"/>
        </w:rPr>
      </w:pPr>
      <w:r>
        <w:rPr>
          <w:rFonts w:hint="eastAsia" w:ascii="宋体" w:hAnsi="宋体" w:cs="宋体"/>
          <w:szCs w:val="32"/>
        </w:rPr>
        <w:t>（</w:t>
      </w:r>
      <w:r>
        <w:rPr>
          <w:rFonts w:hint="eastAsia" w:ascii="宋体" w:hAnsi="宋体" w:cs="宋体"/>
          <w:szCs w:val="32"/>
          <w:lang w:val="en-US" w:eastAsia="zh-CN"/>
        </w:rPr>
        <w:t>8</w:t>
      </w:r>
      <w:r>
        <w:rPr>
          <w:rFonts w:hint="eastAsia" w:ascii="宋体" w:hAnsi="宋体" w:cs="宋体"/>
          <w:szCs w:val="32"/>
        </w:rPr>
        <w:t>）商务需求响应表（格式见附件1</w:t>
      </w:r>
      <w:r>
        <w:rPr>
          <w:rFonts w:hint="eastAsia" w:ascii="宋体" w:hAnsi="宋体" w:cs="宋体"/>
          <w:szCs w:val="32"/>
          <w:lang w:val="en-US" w:eastAsia="zh-CN"/>
        </w:rPr>
        <w:t>2</w:t>
      </w:r>
      <w:r>
        <w:rPr>
          <w:rFonts w:hint="eastAsia" w:ascii="宋体" w:hAnsi="宋体" w:cs="宋体"/>
          <w:szCs w:val="32"/>
        </w:rPr>
        <w:t>）；</w:t>
      </w:r>
    </w:p>
    <w:p>
      <w:pPr>
        <w:tabs>
          <w:tab w:val="left" w:pos="1418"/>
        </w:tabs>
        <w:autoSpaceDE w:val="0"/>
        <w:autoSpaceDN w:val="0"/>
        <w:adjustRightInd w:val="0"/>
        <w:spacing w:line="360" w:lineRule="auto"/>
        <w:ind w:firstLine="420" w:firstLineChars="200"/>
        <w:rPr>
          <w:rFonts w:ascii="宋体" w:hAnsi="宋体" w:cs="宋体"/>
          <w:color w:val="auto"/>
          <w:szCs w:val="32"/>
        </w:rPr>
      </w:pPr>
      <w:r>
        <w:rPr>
          <w:rFonts w:hint="eastAsia" w:ascii="宋体" w:hAnsi="宋体" w:cs="宋体"/>
          <w:szCs w:val="32"/>
        </w:rPr>
        <w:t>（</w:t>
      </w:r>
      <w:r>
        <w:rPr>
          <w:rFonts w:hint="eastAsia" w:ascii="宋体" w:hAnsi="宋体" w:cs="宋体"/>
          <w:szCs w:val="32"/>
          <w:lang w:val="en-US" w:eastAsia="zh-CN"/>
        </w:rPr>
        <w:t>9</w:t>
      </w:r>
      <w:r>
        <w:rPr>
          <w:rFonts w:hint="eastAsia" w:ascii="宋体" w:hAnsi="宋体" w:cs="宋体"/>
          <w:szCs w:val="32"/>
        </w:rPr>
        <w:t>）投标项目</w:t>
      </w:r>
      <w:r>
        <w:rPr>
          <w:rFonts w:hint="eastAsia" w:ascii="宋体" w:hAnsi="宋体" w:cs="宋体"/>
          <w:color w:val="auto"/>
          <w:szCs w:val="32"/>
        </w:rPr>
        <w:t>明细清单（含货物、服务等）（格式见附件1</w:t>
      </w:r>
      <w:r>
        <w:rPr>
          <w:rFonts w:hint="eastAsia" w:ascii="宋体" w:hAnsi="宋体" w:cs="宋体"/>
          <w:color w:val="auto"/>
          <w:szCs w:val="32"/>
          <w:lang w:val="en-US" w:eastAsia="zh-CN"/>
        </w:rPr>
        <w:t>3</w:t>
      </w:r>
      <w:r>
        <w:rPr>
          <w:rFonts w:hint="eastAsia" w:ascii="宋体" w:hAnsi="宋体" w:cs="宋体"/>
          <w:color w:val="auto"/>
          <w:szCs w:val="32"/>
        </w:rPr>
        <w:t>）；</w:t>
      </w:r>
    </w:p>
    <w:p>
      <w:pPr>
        <w:tabs>
          <w:tab w:val="left" w:pos="1418"/>
        </w:tabs>
        <w:autoSpaceDE w:val="0"/>
        <w:autoSpaceDN w:val="0"/>
        <w:adjustRightInd w:val="0"/>
        <w:spacing w:line="360" w:lineRule="auto"/>
        <w:ind w:firstLine="420" w:firstLineChars="200"/>
        <w:rPr>
          <w:rFonts w:ascii="宋体" w:hAnsi="宋体" w:cs="宋体"/>
          <w:color w:val="auto"/>
          <w:szCs w:val="32"/>
        </w:rPr>
      </w:pPr>
      <w:r>
        <w:rPr>
          <w:rFonts w:hint="eastAsia" w:ascii="宋体" w:hAnsi="宋体" w:cs="宋体"/>
          <w:color w:val="auto"/>
          <w:szCs w:val="32"/>
        </w:rPr>
        <w:t>（</w:t>
      </w:r>
      <w:r>
        <w:rPr>
          <w:rFonts w:hint="eastAsia" w:ascii="宋体" w:hAnsi="宋体" w:cs="宋体"/>
          <w:color w:val="auto"/>
          <w:szCs w:val="32"/>
          <w:lang w:val="en-US" w:eastAsia="zh-CN"/>
        </w:rPr>
        <w:t>10</w:t>
      </w:r>
      <w:r>
        <w:rPr>
          <w:rFonts w:hint="eastAsia" w:ascii="宋体" w:hAnsi="宋体" w:cs="宋体"/>
          <w:color w:val="auto"/>
          <w:szCs w:val="32"/>
        </w:rPr>
        <w:t>）随机专用工具及备品备件明细表（格式见附件1</w:t>
      </w:r>
      <w:r>
        <w:rPr>
          <w:rFonts w:hint="eastAsia" w:ascii="宋体" w:hAnsi="宋体" w:cs="宋体"/>
          <w:color w:val="auto"/>
          <w:szCs w:val="32"/>
          <w:lang w:val="en-US" w:eastAsia="zh-CN"/>
        </w:rPr>
        <w:t>4</w:t>
      </w:r>
      <w:r>
        <w:rPr>
          <w:rFonts w:hint="eastAsia" w:ascii="宋体" w:hAnsi="宋体" w:cs="宋体"/>
          <w:color w:val="auto"/>
          <w:szCs w:val="32"/>
        </w:rPr>
        <w:t>）；</w:t>
      </w:r>
    </w:p>
    <w:p>
      <w:pPr>
        <w:tabs>
          <w:tab w:val="left" w:pos="1418"/>
        </w:tabs>
        <w:autoSpaceDE w:val="0"/>
        <w:autoSpaceDN w:val="0"/>
        <w:adjustRightInd w:val="0"/>
        <w:spacing w:line="360" w:lineRule="auto"/>
        <w:ind w:firstLine="420" w:firstLineChars="200"/>
        <w:rPr>
          <w:rFonts w:ascii="宋体" w:hAnsi="宋体" w:cs="宋体"/>
          <w:color w:val="auto"/>
          <w:szCs w:val="32"/>
        </w:rPr>
      </w:pPr>
      <w:r>
        <w:rPr>
          <w:rFonts w:hint="eastAsia" w:ascii="宋体" w:hAnsi="宋体" w:cs="宋体"/>
          <w:color w:val="auto"/>
          <w:szCs w:val="32"/>
        </w:rPr>
        <w:t>（12）</w:t>
      </w:r>
      <w:r>
        <w:rPr>
          <w:rFonts w:hint="eastAsia" w:ascii="宋体" w:hAnsi="宋体" w:cs="宋体"/>
          <w:color w:val="auto"/>
          <w:szCs w:val="32"/>
          <w:lang w:eastAsia="zh-CN"/>
        </w:rPr>
        <w:t>供应商</w:t>
      </w:r>
      <w:r>
        <w:rPr>
          <w:rFonts w:hint="eastAsia" w:ascii="宋体" w:hAnsi="宋体" w:cs="宋体"/>
          <w:color w:val="auto"/>
          <w:szCs w:val="32"/>
        </w:rPr>
        <w:t>推荐的供选择的配套零部件及价格表（格式见附件1</w:t>
      </w:r>
      <w:r>
        <w:rPr>
          <w:rFonts w:hint="eastAsia" w:ascii="宋体" w:hAnsi="宋体" w:cs="宋体"/>
          <w:color w:val="auto"/>
          <w:szCs w:val="32"/>
          <w:lang w:val="en-US" w:eastAsia="zh-CN"/>
        </w:rPr>
        <w:t>5</w:t>
      </w:r>
      <w:r>
        <w:rPr>
          <w:rFonts w:hint="eastAsia" w:ascii="宋体" w:hAnsi="宋体" w:cs="宋体"/>
          <w:color w:val="auto"/>
          <w:szCs w:val="32"/>
        </w:rPr>
        <w:t>）；</w:t>
      </w:r>
    </w:p>
    <w:p>
      <w:pPr>
        <w:tabs>
          <w:tab w:val="left" w:pos="1418"/>
        </w:tabs>
        <w:autoSpaceDE w:val="0"/>
        <w:autoSpaceDN w:val="0"/>
        <w:adjustRightInd w:val="0"/>
        <w:spacing w:line="360" w:lineRule="auto"/>
        <w:ind w:firstLine="420" w:firstLineChars="200"/>
        <w:rPr>
          <w:rFonts w:ascii="宋体" w:hAnsi="宋体" w:cs="宋体"/>
          <w:color w:val="auto"/>
          <w:szCs w:val="32"/>
        </w:rPr>
      </w:pPr>
      <w:r>
        <w:rPr>
          <w:rFonts w:hint="eastAsia" w:ascii="宋体" w:hAnsi="宋体" w:cs="宋体"/>
          <w:color w:val="auto"/>
          <w:szCs w:val="32"/>
        </w:rPr>
        <w:t>（13）根据招标文件评标办法及评分标准进行商务技术标的编制；</w:t>
      </w:r>
    </w:p>
    <w:p>
      <w:pPr>
        <w:spacing w:line="360" w:lineRule="auto"/>
        <w:ind w:left="425"/>
        <w:rPr>
          <w:rFonts w:ascii="宋体" w:hAnsi="宋体" w:cs="宋体"/>
          <w:color w:val="auto"/>
          <w:szCs w:val="32"/>
        </w:rPr>
      </w:pPr>
      <w:r>
        <w:rPr>
          <w:rFonts w:hint="eastAsia" w:ascii="宋体" w:hAnsi="宋体" w:cs="宋体"/>
          <w:color w:val="auto"/>
          <w:szCs w:val="32"/>
        </w:rPr>
        <w:t>（14）</w:t>
      </w:r>
      <w:r>
        <w:rPr>
          <w:rFonts w:hint="eastAsia" w:ascii="宋体" w:hAnsi="宋体" w:cs="宋体"/>
          <w:color w:val="auto"/>
          <w:szCs w:val="32"/>
          <w:lang w:eastAsia="zh-CN"/>
        </w:rPr>
        <w:t>供应商</w:t>
      </w:r>
      <w:r>
        <w:rPr>
          <w:rFonts w:hint="eastAsia" w:ascii="宋体" w:hAnsi="宋体" w:cs="宋体"/>
          <w:color w:val="auto"/>
          <w:szCs w:val="32"/>
        </w:rPr>
        <w:t>认为需要提供的其他资料（包括可能影响</w:t>
      </w:r>
      <w:r>
        <w:rPr>
          <w:rFonts w:hint="eastAsia" w:ascii="宋体" w:hAnsi="宋体" w:cs="宋体"/>
          <w:color w:val="auto"/>
          <w:szCs w:val="32"/>
          <w:lang w:eastAsia="zh-CN"/>
        </w:rPr>
        <w:t>供应商</w:t>
      </w:r>
      <w:r>
        <w:rPr>
          <w:rFonts w:hint="eastAsia" w:ascii="宋体" w:hAnsi="宋体" w:cs="宋体"/>
          <w:color w:val="auto"/>
          <w:szCs w:val="32"/>
        </w:rPr>
        <w:t>商务与技术文件评分的各类证明材料）。</w:t>
      </w:r>
    </w:p>
    <w:p>
      <w:pPr>
        <w:rPr>
          <w:rFonts w:ascii="宋体" w:hAnsi="宋体" w:cs="宋体"/>
          <w:color w:val="auto"/>
        </w:rPr>
      </w:pPr>
      <w:r>
        <w:rPr>
          <w:rFonts w:hint="eastAsia" w:ascii="宋体" w:hAnsi="宋体" w:cs="宋体"/>
          <w:color w:val="auto"/>
        </w:rPr>
        <w:br w:type="page"/>
      </w:r>
    </w:p>
    <w:p>
      <w:pPr>
        <w:adjustRightInd w:val="0"/>
        <w:snapToGrid w:val="0"/>
        <w:spacing w:line="360" w:lineRule="auto"/>
        <w:ind w:right="480"/>
        <w:rPr>
          <w:rFonts w:ascii="宋体" w:hAnsi="宋体"/>
          <w:b/>
          <w:sz w:val="28"/>
        </w:rPr>
      </w:pPr>
      <w:r>
        <w:rPr>
          <w:rFonts w:hint="eastAsia" w:ascii="宋体" w:hAnsi="宋体"/>
          <w:b/>
          <w:sz w:val="28"/>
        </w:rPr>
        <w:t>附件</w:t>
      </w:r>
      <w:r>
        <w:rPr>
          <w:rFonts w:hint="eastAsia" w:ascii="宋体" w:hAnsi="宋体"/>
          <w:b/>
          <w:sz w:val="28"/>
          <w:lang w:val="en-US" w:eastAsia="zh-CN"/>
        </w:rPr>
        <w:t>5</w:t>
      </w:r>
      <w:r>
        <w:rPr>
          <w:rFonts w:hint="eastAsia" w:ascii="宋体" w:hAnsi="宋体"/>
          <w:b/>
          <w:sz w:val="28"/>
        </w:rPr>
        <w:t>：</w:t>
      </w:r>
    </w:p>
    <w:p>
      <w:pPr>
        <w:spacing w:line="360" w:lineRule="auto"/>
        <w:jc w:val="center"/>
        <w:rPr>
          <w:rFonts w:ascii="宋体" w:hAnsi="宋体" w:cs="宋体"/>
          <w:b/>
          <w:sz w:val="32"/>
          <w:szCs w:val="32"/>
        </w:rPr>
      </w:pPr>
      <w:r>
        <w:rPr>
          <w:rFonts w:hint="eastAsia" w:ascii="宋体" w:hAnsi="宋体" w:cs="宋体"/>
          <w:b/>
          <w:bCs/>
          <w:sz w:val="32"/>
          <w:szCs w:val="32"/>
          <w:lang w:eastAsia="zh-CN"/>
        </w:rPr>
        <w:t>供应商</w:t>
      </w:r>
      <w:r>
        <w:rPr>
          <w:rFonts w:hint="eastAsia" w:ascii="宋体" w:hAnsi="宋体" w:cs="宋体"/>
          <w:b/>
          <w:bCs/>
          <w:sz w:val="32"/>
          <w:szCs w:val="32"/>
        </w:rPr>
        <w:t>商务技术文件中资信分自评表</w:t>
      </w:r>
    </w:p>
    <w:p>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项目名称：</w:t>
      </w:r>
      <w:r>
        <w:rPr>
          <w:rFonts w:hint="eastAsia" w:ascii="宋体" w:hAnsi="宋体" w:cs="宋体"/>
          <w:b/>
          <w:bCs/>
          <w:sz w:val="24"/>
          <w:lang w:eastAsia="zh-CN"/>
        </w:rPr>
        <w:t>医用气体成套设备采购项目</w:t>
      </w:r>
    </w:p>
    <w:p>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项目编号：</w:t>
      </w:r>
      <w:r>
        <w:rPr>
          <w:rFonts w:hint="eastAsia" w:ascii="宋体" w:hAnsi="宋体" w:eastAsia="宋体" w:cs="宋体"/>
          <w:b/>
          <w:bCs/>
          <w:sz w:val="24"/>
          <w:lang w:val="en-US" w:eastAsia="zh-CN"/>
        </w:rPr>
        <w:t>临【2022】574号</w:t>
      </w:r>
    </w:p>
    <w:tbl>
      <w:tblPr>
        <w:tblStyle w:val="29"/>
        <w:tblW w:w="899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2387" w:type="dxa"/>
            <w:vAlign w:val="center"/>
          </w:tcPr>
          <w:p>
            <w:pPr>
              <w:spacing w:line="360" w:lineRule="auto"/>
              <w:jc w:val="center"/>
              <w:rPr>
                <w:rFonts w:ascii="宋体" w:hAnsi="宋体" w:cs="宋体"/>
                <w:sz w:val="24"/>
              </w:rPr>
            </w:pPr>
            <w:r>
              <w:rPr>
                <w:rFonts w:hint="eastAsia" w:ascii="宋体" w:hAnsi="宋体" w:cs="宋体"/>
                <w:sz w:val="24"/>
              </w:rPr>
              <w:t>资信分内容</w:t>
            </w:r>
          </w:p>
        </w:tc>
        <w:tc>
          <w:tcPr>
            <w:tcW w:w="1462" w:type="dxa"/>
            <w:vAlign w:val="center"/>
          </w:tcPr>
          <w:p>
            <w:pPr>
              <w:spacing w:line="360" w:lineRule="auto"/>
              <w:jc w:val="center"/>
              <w:rPr>
                <w:rFonts w:ascii="宋体" w:hAnsi="宋体" w:cs="宋体"/>
                <w:sz w:val="24"/>
              </w:rPr>
            </w:pPr>
            <w:r>
              <w:rPr>
                <w:rFonts w:hint="eastAsia" w:ascii="宋体" w:hAnsi="宋体" w:cs="宋体"/>
                <w:sz w:val="24"/>
              </w:rPr>
              <w:t>自评得分</w:t>
            </w:r>
          </w:p>
        </w:tc>
        <w:tc>
          <w:tcPr>
            <w:tcW w:w="2415" w:type="dxa"/>
            <w:tcBorders>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投标文件对应资料</w:t>
            </w:r>
          </w:p>
        </w:tc>
        <w:tc>
          <w:tcPr>
            <w:tcW w:w="1746" w:type="dxa"/>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spacing w:line="360" w:lineRule="auto"/>
              <w:jc w:val="center"/>
              <w:rPr>
                <w:rFonts w:ascii="宋体" w:hAnsi="宋体" w:cs="宋体"/>
                <w:sz w:val="24"/>
              </w:rPr>
            </w:pPr>
            <w:r>
              <w:rPr>
                <w:rFonts w:hint="eastAsia" w:ascii="宋体" w:hAnsi="宋体" w:cs="宋体"/>
                <w:sz w:val="24"/>
              </w:rPr>
              <w:t>1</w:t>
            </w:r>
          </w:p>
        </w:tc>
        <w:tc>
          <w:tcPr>
            <w:tcW w:w="2387" w:type="dxa"/>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类似业绩</w:t>
            </w:r>
          </w:p>
        </w:tc>
        <w:tc>
          <w:tcPr>
            <w:tcW w:w="1462" w:type="dxa"/>
          </w:tcPr>
          <w:p>
            <w:pPr>
              <w:spacing w:line="360" w:lineRule="auto"/>
              <w:jc w:val="center"/>
              <w:rPr>
                <w:rFonts w:ascii="宋体" w:hAnsi="宋体" w:cs="宋体"/>
                <w:sz w:val="24"/>
              </w:rPr>
            </w:pPr>
          </w:p>
        </w:tc>
        <w:tc>
          <w:tcPr>
            <w:tcW w:w="2415" w:type="dxa"/>
            <w:tcBorders>
              <w:right w:val="single" w:color="auto" w:sz="4" w:space="0"/>
            </w:tcBorders>
          </w:tcPr>
          <w:p>
            <w:pPr>
              <w:spacing w:line="360" w:lineRule="auto"/>
              <w:jc w:val="center"/>
              <w:rPr>
                <w:rFonts w:ascii="宋体" w:hAnsi="宋体" w:cs="宋体"/>
                <w:sz w:val="24"/>
              </w:rPr>
            </w:pPr>
          </w:p>
        </w:tc>
        <w:tc>
          <w:tcPr>
            <w:tcW w:w="1746" w:type="dxa"/>
            <w:tcBorders>
              <w:left w:val="single" w:color="auto" w:sz="4" w:space="0"/>
            </w:tcBorders>
          </w:tcPr>
          <w:p>
            <w:pPr>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spacing w:line="360" w:lineRule="auto"/>
              <w:jc w:val="center"/>
              <w:rPr>
                <w:rFonts w:ascii="宋体" w:hAnsi="宋体" w:cs="宋体"/>
                <w:sz w:val="24"/>
              </w:rPr>
            </w:pPr>
            <w:r>
              <w:rPr>
                <w:rFonts w:hint="eastAsia" w:ascii="宋体" w:hAnsi="宋体" w:cs="宋体"/>
                <w:sz w:val="24"/>
              </w:rPr>
              <w:t>2</w:t>
            </w:r>
          </w:p>
        </w:tc>
        <w:tc>
          <w:tcPr>
            <w:tcW w:w="2387" w:type="dxa"/>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项目负责人</w:t>
            </w:r>
          </w:p>
        </w:tc>
        <w:tc>
          <w:tcPr>
            <w:tcW w:w="1462" w:type="dxa"/>
          </w:tcPr>
          <w:p>
            <w:pPr>
              <w:spacing w:line="360" w:lineRule="auto"/>
              <w:jc w:val="center"/>
              <w:rPr>
                <w:rFonts w:ascii="宋体" w:hAnsi="宋体" w:cs="宋体"/>
                <w:sz w:val="24"/>
              </w:rPr>
            </w:pPr>
          </w:p>
        </w:tc>
        <w:tc>
          <w:tcPr>
            <w:tcW w:w="2415" w:type="dxa"/>
            <w:tcBorders>
              <w:right w:val="single" w:color="auto" w:sz="4" w:space="0"/>
            </w:tcBorders>
          </w:tcPr>
          <w:p>
            <w:pPr>
              <w:spacing w:line="360" w:lineRule="auto"/>
              <w:jc w:val="center"/>
              <w:rPr>
                <w:rFonts w:ascii="宋体" w:hAnsi="宋体" w:cs="宋体"/>
                <w:sz w:val="24"/>
              </w:rPr>
            </w:pPr>
          </w:p>
        </w:tc>
        <w:tc>
          <w:tcPr>
            <w:tcW w:w="1746" w:type="dxa"/>
            <w:tcBorders>
              <w:left w:val="single" w:color="auto" w:sz="4" w:space="0"/>
            </w:tcBorders>
          </w:tcPr>
          <w:p>
            <w:pPr>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spacing w:line="360" w:lineRule="auto"/>
              <w:jc w:val="center"/>
              <w:rPr>
                <w:rFonts w:ascii="宋体" w:hAnsi="宋体" w:cs="宋体"/>
                <w:sz w:val="24"/>
              </w:rPr>
            </w:pPr>
            <w:r>
              <w:rPr>
                <w:rFonts w:hint="eastAsia" w:ascii="宋体" w:hAnsi="宋体" w:cs="宋体"/>
                <w:sz w:val="24"/>
              </w:rPr>
              <w:t>3</w:t>
            </w:r>
          </w:p>
        </w:tc>
        <w:tc>
          <w:tcPr>
            <w:tcW w:w="2387" w:type="dxa"/>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技术负责人</w:t>
            </w:r>
          </w:p>
        </w:tc>
        <w:tc>
          <w:tcPr>
            <w:tcW w:w="1462" w:type="dxa"/>
          </w:tcPr>
          <w:p>
            <w:pPr>
              <w:spacing w:line="360" w:lineRule="auto"/>
              <w:jc w:val="center"/>
              <w:rPr>
                <w:rFonts w:ascii="宋体" w:hAnsi="宋体" w:cs="宋体"/>
                <w:sz w:val="24"/>
              </w:rPr>
            </w:pPr>
          </w:p>
        </w:tc>
        <w:tc>
          <w:tcPr>
            <w:tcW w:w="2415" w:type="dxa"/>
            <w:tcBorders>
              <w:right w:val="single" w:color="auto" w:sz="4" w:space="0"/>
            </w:tcBorders>
          </w:tcPr>
          <w:p>
            <w:pPr>
              <w:spacing w:line="360" w:lineRule="auto"/>
              <w:jc w:val="center"/>
              <w:rPr>
                <w:rFonts w:ascii="宋体" w:hAnsi="宋体" w:cs="宋体"/>
                <w:sz w:val="24"/>
              </w:rPr>
            </w:pPr>
          </w:p>
        </w:tc>
        <w:tc>
          <w:tcPr>
            <w:tcW w:w="1746" w:type="dxa"/>
            <w:tcBorders>
              <w:left w:val="single" w:color="auto" w:sz="4" w:space="0"/>
            </w:tcBorders>
          </w:tcPr>
          <w:p>
            <w:pPr>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982" w:type="dxa"/>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387" w:type="dxa"/>
          </w:tcPr>
          <w:p>
            <w:pPr>
              <w:spacing w:line="360" w:lineRule="auto"/>
              <w:jc w:val="center"/>
              <w:rPr>
                <w:rFonts w:ascii="宋体" w:hAnsi="宋体" w:cs="宋体"/>
                <w:sz w:val="24"/>
              </w:rPr>
            </w:pPr>
            <w:r>
              <w:rPr>
                <w:rFonts w:hint="eastAsia" w:ascii="宋体" w:hAnsi="宋体" w:cs="宋体"/>
                <w:sz w:val="24"/>
              </w:rPr>
              <w:t>合计</w:t>
            </w:r>
          </w:p>
        </w:tc>
        <w:tc>
          <w:tcPr>
            <w:tcW w:w="1462" w:type="dxa"/>
          </w:tcPr>
          <w:p>
            <w:pPr>
              <w:spacing w:line="360" w:lineRule="auto"/>
              <w:jc w:val="center"/>
              <w:rPr>
                <w:rFonts w:ascii="宋体" w:hAnsi="宋体" w:cs="宋体"/>
                <w:sz w:val="24"/>
              </w:rPr>
            </w:pPr>
          </w:p>
        </w:tc>
        <w:tc>
          <w:tcPr>
            <w:tcW w:w="2415" w:type="dxa"/>
            <w:tcBorders>
              <w:right w:val="single" w:color="auto" w:sz="4" w:space="0"/>
            </w:tcBorders>
          </w:tcPr>
          <w:p>
            <w:pPr>
              <w:spacing w:line="360" w:lineRule="auto"/>
              <w:jc w:val="center"/>
              <w:rPr>
                <w:rFonts w:ascii="宋体" w:hAnsi="宋体" w:cs="宋体"/>
                <w:sz w:val="24"/>
              </w:rPr>
            </w:pPr>
          </w:p>
        </w:tc>
        <w:tc>
          <w:tcPr>
            <w:tcW w:w="1746" w:type="dxa"/>
            <w:tcBorders>
              <w:left w:val="single" w:color="auto" w:sz="4" w:space="0"/>
            </w:tcBorders>
          </w:tcPr>
          <w:p>
            <w:pPr>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全称（公章）：</w:t>
      </w: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 xml:space="preserve">代表签名（或盖章）：                       </w:t>
      </w:r>
    </w:p>
    <w:p>
      <w:pPr>
        <w:spacing w:line="480" w:lineRule="auto"/>
        <w:rPr>
          <w:rFonts w:ascii="宋体" w:hAnsi="宋体" w:cs="宋体"/>
          <w:sz w:val="24"/>
        </w:rPr>
      </w:pPr>
      <w:r>
        <w:rPr>
          <w:rFonts w:hint="eastAsia" w:ascii="宋体" w:hAnsi="宋体" w:cs="宋体"/>
          <w:sz w:val="24"/>
        </w:rPr>
        <w:t>日 期：</w:t>
      </w:r>
    </w:p>
    <w:p>
      <w:pPr>
        <w:rPr>
          <w:b/>
          <w:sz w:val="28"/>
        </w:rPr>
      </w:pPr>
      <w:r>
        <w:rPr>
          <w:b/>
          <w:sz w:val="28"/>
        </w:rPr>
        <w:br w:type="page"/>
      </w:r>
    </w:p>
    <w:p>
      <w:pPr>
        <w:pStyle w:val="37"/>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6</w:t>
      </w:r>
    </w:p>
    <w:p>
      <w:pPr>
        <w:pStyle w:val="37"/>
        <w:spacing w:before="0" w:beforeAutospacing="0" w:after="0" w:afterAutospacing="0" w:line="360" w:lineRule="auto"/>
        <w:jc w:val="center"/>
        <w:rPr>
          <w:rFonts w:eastAsia="微软雅黑"/>
          <w:sz w:val="36"/>
          <w:szCs w:val="36"/>
        </w:rPr>
      </w:pPr>
      <w:r>
        <w:rPr>
          <w:rFonts w:hint="eastAsia"/>
          <w:b/>
          <w:sz w:val="32"/>
          <w:szCs w:val="32"/>
        </w:rPr>
        <w:t xml:space="preserve">  </w:t>
      </w:r>
      <w:bookmarkStart w:id="30" w:name="_Toc13307_WPSOffice_Level1"/>
      <w:bookmarkStart w:id="31" w:name="_Toc14261_WPSOffice_Level1"/>
      <w:r>
        <w:rPr>
          <w:rFonts w:hint="eastAsia"/>
          <w:b/>
          <w:sz w:val="32"/>
          <w:szCs w:val="32"/>
          <w:lang w:eastAsia="zh-CN"/>
        </w:rPr>
        <w:t>供应商</w:t>
      </w:r>
      <w:r>
        <w:rPr>
          <w:rFonts w:hint="eastAsia"/>
          <w:b/>
          <w:bCs/>
          <w:sz w:val="32"/>
          <w:szCs w:val="32"/>
        </w:rPr>
        <w:t>基本情况表</w:t>
      </w:r>
      <w:bookmarkEnd w:id="30"/>
      <w:bookmarkEnd w:id="31"/>
    </w:p>
    <w:tbl>
      <w:tblPr>
        <w:tblStyle w:val="29"/>
        <w:tblpPr w:leftFromText="181" w:rightFromText="181" w:bottomFromText="170" w:vertAnchor="text" w:tblpXSpec="center" w:tblpY="1"/>
        <w:tblOverlap w:val="never"/>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7"/>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7"/>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7"/>
              <w:spacing w:before="0" w:beforeAutospacing="0" w:after="0" w:afterAutospacing="0"/>
              <w:jc w:val="center"/>
              <w:rPr>
                <w:rFonts w:asciiTheme="minorEastAsia" w:hAnsiTheme="minorEastAsia" w:eastAsiaTheme="minorEastAsia" w:cstheme="minorEastAsia"/>
                <w:bCs/>
                <w:sz w:val="21"/>
                <w:szCs w:val="21"/>
              </w:rPr>
            </w:pPr>
          </w:p>
        </w:tc>
      </w:tr>
    </w:tbl>
    <w:p>
      <w:pPr>
        <w:pStyle w:val="37"/>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7"/>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全称（公章）：</w:t>
      </w: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 xml:space="preserve">代表签名（或盖章）：                       </w:t>
      </w:r>
    </w:p>
    <w:p>
      <w:pPr>
        <w:spacing w:line="480" w:lineRule="auto"/>
        <w:rPr>
          <w:rFonts w:ascii="宋体" w:hAnsi="宋体" w:cs="宋体"/>
          <w:sz w:val="24"/>
        </w:rPr>
      </w:pPr>
      <w:r>
        <w:rPr>
          <w:rFonts w:hint="eastAsia" w:ascii="宋体" w:hAnsi="宋体" w:cs="宋体"/>
          <w:sz w:val="24"/>
        </w:rPr>
        <w:t>日 期：</w:t>
      </w:r>
    </w:p>
    <w:p>
      <w:pPr>
        <w:pStyle w:val="37"/>
        <w:spacing w:before="0" w:beforeAutospacing="0" w:after="0" w:afterAutospacing="0" w:line="360" w:lineRule="auto"/>
        <w:ind w:firstLine="426" w:firstLineChars="177"/>
        <w:rPr>
          <w:b/>
          <w:bCs/>
        </w:rPr>
      </w:pPr>
    </w:p>
    <w:p>
      <w:pPr>
        <w:rPr>
          <w:rFonts w:ascii="宋体" w:hAnsi="宋体"/>
          <w:b/>
          <w:sz w:val="28"/>
        </w:rPr>
      </w:pPr>
      <w:r>
        <w:rPr>
          <w:rFonts w:hint="eastAsia" w:ascii="宋体" w:hAnsi="宋体"/>
          <w:b/>
          <w:sz w:val="28"/>
        </w:rPr>
        <w:br w:type="page"/>
      </w:r>
    </w:p>
    <w:p>
      <w:pPr>
        <w:pStyle w:val="40"/>
        <w:spacing w:line="360" w:lineRule="auto"/>
        <w:jc w:val="left"/>
        <w:rPr>
          <w:rFonts w:ascii="宋体" w:hAnsi="宋体"/>
          <w:b/>
          <w:sz w:val="28"/>
        </w:rPr>
      </w:pPr>
      <w:bookmarkStart w:id="32" w:name="_Toc19888_WPSOffice_Level1"/>
      <w:bookmarkStart w:id="33" w:name="_Toc1613_WPSOffice_Level1"/>
      <w:bookmarkStart w:id="34" w:name="_Toc20989_WPSOffice_Level1"/>
      <w:r>
        <w:rPr>
          <w:rFonts w:hint="eastAsia" w:ascii="宋体" w:hAnsi="宋体"/>
          <w:b/>
          <w:sz w:val="28"/>
        </w:rPr>
        <w:t>附件</w:t>
      </w:r>
      <w:r>
        <w:rPr>
          <w:rFonts w:hint="eastAsia" w:ascii="宋体" w:hAnsi="宋体"/>
          <w:b/>
          <w:sz w:val="28"/>
          <w:lang w:val="en-US" w:eastAsia="zh-CN"/>
        </w:rPr>
        <w:t>7</w:t>
      </w:r>
      <w:r>
        <w:rPr>
          <w:rFonts w:hint="eastAsia" w:ascii="宋体" w:hAnsi="宋体"/>
          <w:b/>
          <w:sz w:val="28"/>
        </w:rPr>
        <w:t>：</w:t>
      </w:r>
      <w:bookmarkEnd w:id="32"/>
      <w:bookmarkEnd w:id="33"/>
      <w:bookmarkEnd w:id="34"/>
    </w:p>
    <w:p>
      <w:pPr>
        <w:snapToGrid w:val="0"/>
        <w:spacing w:before="156" w:beforeLines="50" w:after="50" w:line="360" w:lineRule="auto"/>
        <w:jc w:val="center"/>
        <w:rPr>
          <w:rFonts w:ascii="宋体" w:hAnsi="宋体"/>
          <w:b/>
          <w:sz w:val="36"/>
          <w:szCs w:val="36"/>
        </w:rPr>
      </w:pPr>
      <w:bookmarkStart w:id="35" w:name="_Toc30226_WPSOffice_Level1"/>
      <w:r>
        <w:rPr>
          <w:rFonts w:hint="eastAsia" w:ascii="宋体" w:hAnsi="宋体"/>
          <w:b/>
          <w:sz w:val="32"/>
          <w:szCs w:val="32"/>
        </w:rPr>
        <w:t>项目实施人员一览表</w:t>
      </w:r>
    </w:p>
    <w:p>
      <w:pPr>
        <w:snapToGrid w:val="0"/>
        <w:spacing w:before="156" w:beforeLines="50" w:after="50" w:line="360" w:lineRule="auto"/>
        <w:jc w:val="center"/>
        <w:rPr>
          <w:rFonts w:ascii="宋体" w:hAnsi="宋体"/>
          <w:sz w:val="24"/>
        </w:rPr>
      </w:pPr>
      <w:r>
        <w:rPr>
          <w:rFonts w:hint="eastAsia" w:ascii="宋体" w:hAnsi="宋体"/>
          <w:sz w:val="24"/>
        </w:rPr>
        <w:t>（主要从业人员及其技术资格）</w:t>
      </w:r>
    </w:p>
    <w:tbl>
      <w:tblPr>
        <w:tblStyle w:val="29"/>
        <w:tblpPr w:leftFromText="181" w:rightFromText="181" w:bottomFromText="170" w:vertAnchor="text" w:tblpXSpec="center" w:tblpY="1"/>
        <w:tblOverlap w:val="never"/>
        <w:tblW w:w="889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hint="default" w:asciiTheme="minorEastAsia" w:hAnsiTheme="minorEastAsia" w:eastAsiaTheme="minorEastAsia" w:cstheme="minorEastAsia"/>
                <w:b/>
                <w:kern w:val="44"/>
                <w:szCs w:val="21"/>
                <w:lang w:val="en-US" w:eastAsia="zh-CN"/>
              </w:rPr>
            </w:pPr>
            <w:r>
              <w:rPr>
                <w:rFonts w:hint="eastAsia" w:asciiTheme="minorEastAsia" w:hAnsiTheme="minorEastAsia" w:eastAsiaTheme="minorEastAsia" w:cstheme="minorEastAsia"/>
                <w:b/>
                <w:kern w:val="44"/>
                <w:szCs w:val="21"/>
                <w:lang w:val="en-US" w:eastAsia="zh-CN"/>
              </w:rPr>
              <w:t>项目负责人</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hint="default" w:asciiTheme="minorEastAsia" w:hAnsiTheme="minorEastAsia" w:eastAsiaTheme="minorEastAsia" w:cstheme="minorEastAsia"/>
                <w:b/>
                <w:kern w:val="44"/>
                <w:szCs w:val="21"/>
                <w:lang w:val="en-US" w:eastAsia="zh-CN"/>
              </w:rPr>
            </w:pPr>
            <w:r>
              <w:rPr>
                <w:rFonts w:hint="eastAsia" w:asciiTheme="minorEastAsia" w:hAnsiTheme="minorEastAsia" w:eastAsiaTheme="minorEastAsia" w:cstheme="minorEastAsia"/>
                <w:b/>
                <w:kern w:val="44"/>
                <w:szCs w:val="21"/>
                <w:lang w:val="en-US" w:eastAsia="zh-CN"/>
              </w:rPr>
              <w:t>技术负责人</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156"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156"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szCs w:val="21"/>
        </w:rPr>
        <w:t>1.在填写时，如本表格不适合投标单位的实际情况，可根据本表格式自行划表填写。</w:t>
      </w:r>
    </w:p>
    <w:p>
      <w:pPr>
        <w:pStyle w:val="38"/>
        <w:spacing w:line="360" w:lineRule="auto"/>
        <w:ind w:left="424" w:leftChars="202"/>
        <w:rPr>
          <w:rFonts w:ascii="宋体" w:hAnsi="宋体"/>
          <w:szCs w:val="21"/>
        </w:rPr>
      </w:pPr>
      <w:r>
        <w:rPr>
          <w:rFonts w:hint="eastAsia" w:ascii="宋体" w:hAnsi="宋体"/>
          <w:szCs w:val="21"/>
        </w:rPr>
        <w:t>2.附人员证书。</w:t>
      </w:r>
    </w:p>
    <w:p>
      <w:pPr>
        <w:pStyle w:val="38"/>
        <w:spacing w:line="360" w:lineRule="auto"/>
        <w:ind w:left="424" w:hanging="424" w:hangingChars="202"/>
        <w:rPr>
          <w:rFonts w:ascii="宋体" w:hAnsi="宋体"/>
          <w:szCs w:val="21"/>
        </w:rPr>
      </w:pPr>
      <w:r>
        <w:rPr>
          <w:rFonts w:hint="eastAsia" w:ascii="宋体" w:hAnsi="宋体"/>
          <w:szCs w:val="21"/>
        </w:rPr>
        <w:t>　　</w:t>
      </w:r>
      <w:r>
        <w:rPr>
          <w:rFonts w:hint="eastAsia" w:ascii="宋体" w:hAnsi="宋体" w:eastAsia="宋体" w:cs="Times New Roman"/>
          <w:kern w:val="2"/>
          <w:sz w:val="21"/>
          <w:szCs w:val="21"/>
          <w:lang w:val="en-US" w:eastAsia="zh-CN" w:bidi="ar-SA"/>
        </w:rPr>
        <w:t>3.出具上述人员自2022年4月1日以来在</w:t>
      </w:r>
      <w:r>
        <w:rPr>
          <w:rFonts w:hint="eastAsia" w:ascii="宋体" w:hAnsi="宋体" w:cs="Times New Roman"/>
          <w:kern w:val="2"/>
          <w:sz w:val="21"/>
          <w:szCs w:val="21"/>
          <w:lang w:val="en-US" w:eastAsia="zh-CN" w:bidi="ar-SA"/>
        </w:rPr>
        <w:t>本</w:t>
      </w:r>
      <w:r>
        <w:rPr>
          <w:rFonts w:hint="eastAsia" w:ascii="宋体" w:hAnsi="宋体" w:eastAsia="宋体" w:cs="Times New Roman"/>
          <w:kern w:val="2"/>
          <w:sz w:val="21"/>
          <w:szCs w:val="21"/>
          <w:lang w:val="en-US" w:eastAsia="zh-CN" w:bidi="ar-SA"/>
        </w:rPr>
        <w:t>单位连续三个月的社保证明。</w:t>
      </w:r>
    </w:p>
    <w:p>
      <w:pPr>
        <w:snapToGrid w:val="0"/>
        <w:spacing w:before="50" w:after="156" w:afterLines="50" w:line="360" w:lineRule="auto"/>
        <w:jc w:val="left"/>
        <w:rPr>
          <w:rFonts w:ascii="宋体" w:hAnsi="宋体"/>
          <w:sz w:val="24"/>
          <w:szCs w:val="20"/>
        </w:rPr>
      </w:pPr>
    </w:p>
    <w:p>
      <w:pPr>
        <w:snapToGrid w:val="0"/>
        <w:spacing w:before="50" w:after="156" w:afterLines="50" w:line="360" w:lineRule="auto"/>
        <w:jc w:val="left"/>
        <w:rPr>
          <w:rFonts w:ascii="宋体" w:hAnsi="宋体"/>
          <w:sz w:val="24"/>
          <w:szCs w:val="20"/>
        </w:rPr>
      </w:pP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全称（公章）：</w:t>
      </w: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 xml:space="preserve">代表签名（或盖章）：                       </w:t>
      </w:r>
    </w:p>
    <w:p>
      <w:pPr>
        <w:spacing w:line="480" w:lineRule="auto"/>
        <w:rPr>
          <w:rFonts w:ascii="宋体" w:hAnsi="宋体" w:cs="宋体"/>
          <w:sz w:val="24"/>
        </w:rPr>
      </w:pPr>
      <w:r>
        <w:rPr>
          <w:rFonts w:hint="eastAsia" w:ascii="宋体" w:hAnsi="宋体" w:cs="宋体"/>
          <w:sz w:val="24"/>
        </w:rPr>
        <w:t>日 期：</w:t>
      </w:r>
    </w:p>
    <w:p>
      <w:pPr>
        <w:spacing w:line="360" w:lineRule="auto"/>
        <w:rPr>
          <w:rFonts w:ascii="宋体" w:hAnsi="宋体"/>
          <w:b/>
          <w:sz w:val="28"/>
        </w:rPr>
      </w:pPr>
      <w:r>
        <w:rPr>
          <w:rFonts w:hint="eastAsia" w:ascii="宋体" w:hAnsi="宋体"/>
          <w:sz w:val="24"/>
        </w:rPr>
        <w:br w:type="page"/>
      </w:r>
    </w:p>
    <w:p>
      <w:pPr>
        <w:spacing w:line="360" w:lineRule="auto"/>
        <w:rPr>
          <w:rFonts w:ascii="宋体" w:hAnsi="宋体"/>
        </w:rPr>
      </w:pPr>
      <w:r>
        <w:rPr>
          <w:rFonts w:hint="eastAsia" w:ascii="宋体" w:hAnsi="宋体"/>
          <w:b/>
          <w:sz w:val="28"/>
        </w:rPr>
        <w:t>附件</w:t>
      </w:r>
      <w:r>
        <w:rPr>
          <w:rFonts w:hint="eastAsia" w:ascii="宋体" w:hAnsi="宋体"/>
          <w:b/>
          <w:sz w:val="28"/>
          <w:lang w:val="en-US" w:eastAsia="zh-CN"/>
        </w:rPr>
        <w:t>8</w:t>
      </w:r>
      <w:r>
        <w:rPr>
          <w:rFonts w:hint="eastAsia" w:ascii="宋体" w:hAnsi="宋体"/>
          <w:b/>
          <w:sz w:val="28"/>
        </w:rPr>
        <w:t>：</w:t>
      </w:r>
      <w:bookmarkEnd w:id="35"/>
    </w:p>
    <w:p>
      <w:pPr>
        <w:spacing w:before="156" w:beforeLines="50" w:after="156" w:afterLines="50" w:line="360" w:lineRule="auto"/>
        <w:ind w:right="-10"/>
        <w:jc w:val="center"/>
        <w:rPr>
          <w:rFonts w:ascii="宋体" w:hAnsi="宋体"/>
          <w:b/>
          <w:bCs/>
          <w:sz w:val="32"/>
          <w:szCs w:val="32"/>
        </w:rPr>
      </w:pPr>
      <w:bookmarkStart w:id="36" w:name="_Toc12710_WPSOffice_Level1"/>
      <w:bookmarkStart w:id="37" w:name="_Toc18155_WPSOffice_Level1"/>
      <w:bookmarkStart w:id="38" w:name="_Toc23055_WPSOffice_Level1"/>
      <w:bookmarkStart w:id="39" w:name="_Toc5829_WPSOffice_Level1"/>
      <w:r>
        <w:rPr>
          <w:rFonts w:hint="eastAsia" w:ascii="宋体" w:hAnsi="宋体"/>
          <w:b/>
          <w:bCs/>
          <w:sz w:val="32"/>
          <w:szCs w:val="32"/>
        </w:rPr>
        <w:t>项目负责人资格情况表</w:t>
      </w:r>
      <w:bookmarkEnd w:id="36"/>
      <w:bookmarkEnd w:id="37"/>
      <w:bookmarkEnd w:id="38"/>
      <w:bookmarkEnd w:id="39"/>
    </w:p>
    <w:tbl>
      <w:tblPr>
        <w:tblStyle w:val="29"/>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全称（公章）：</w:t>
      </w: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 xml:space="preserve">代表签名（或盖章）：                       </w:t>
      </w:r>
    </w:p>
    <w:p>
      <w:pPr>
        <w:spacing w:line="480" w:lineRule="auto"/>
        <w:rPr>
          <w:rFonts w:ascii="宋体" w:hAnsi="宋体" w:cs="宋体"/>
          <w:sz w:val="24"/>
        </w:rPr>
      </w:pPr>
      <w:r>
        <w:rPr>
          <w:rFonts w:hint="eastAsia" w:ascii="宋体" w:hAnsi="宋体" w:cs="宋体"/>
          <w:sz w:val="24"/>
        </w:rPr>
        <w:t>日 期：</w:t>
      </w:r>
    </w:p>
    <w:p>
      <w:pPr>
        <w:rPr>
          <w:rFonts w:ascii="宋体" w:hAnsi="宋体"/>
          <w:b/>
          <w:sz w:val="28"/>
        </w:rPr>
      </w:pPr>
      <w:r>
        <w:rPr>
          <w:rFonts w:hint="eastAsia" w:ascii="宋体" w:hAnsi="宋体"/>
          <w:b/>
          <w:sz w:val="28"/>
        </w:rPr>
        <w:br w:type="page"/>
      </w:r>
    </w:p>
    <w:p>
      <w:pPr>
        <w:spacing w:line="360" w:lineRule="auto"/>
        <w:rPr>
          <w:rFonts w:ascii="宋体" w:hAnsi="宋体"/>
          <w:sz w:val="24"/>
        </w:rPr>
      </w:pPr>
      <w:bookmarkStart w:id="40" w:name="_Toc14467_WPSOffice_Level1"/>
      <w:r>
        <w:rPr>
          <w:rFonts w:hint="eastAsia" w:ascii="宋体" w:hAnsi="宋体"/>
          <w:b/>
          <w:sz w:val="28"/>
        </w:rPr>
        <w:t>附件</w:t>
      </w:r>
      <w:r>
        <w:rPr>
          <w:rFonts w:hint="eastAsia" w:ascii="宋体" w:hAnsi="宋体"/>
          <w:b/>
          <w:sz w:val="28"/>
          <w:lang w:val="en-US" w:eastAsia="zh-CN"/>
        </w:rPr>
        <w:t>9</w:t>
      </w:r>
      <w:r>
        <w:rPr>
          <w:rFonts w:hint="eastAsia" w:ascii="宋体" w:hAnsi="宋体"/>
          <w:b/>
          <w:sz w:val="28"/>
        </w:rPr>
        <w:t>：</w:t>
      </w:r>
      <w:bookmarkEnd w:id="40"/>
    </w:p>
    <w:p>
      <w:pPr>
        <w:pStyle w:val="41"/>
        <w:spacing w:line="360" w:lineRule="auto"/>
        <w:jc w:val="center"/>
        <w:rPr>
          <w:rFonts w:ascii="宋体" w:hAnsi="宋体"/>
          <w:b/>
          <w:sz w:val="32"/>
          <w:szCs w:val="32"/>
        </w:rPr>
      </w:pPr>
      <w:bookmarkStart w:id="41" w:name="_Toc11030_WPSOffice_Level1"/>
      <w:bookmarkStart w:id="42" w:name="_Toc17944_WPSOffice_Level1"/>
      <w:bookmarkStart w:id="43" w:name="_Toc17604_WPSOffice_Level1"/>
      <w:bookmarkStart w:id="44" w:name="_Toc21528_WPSOffice_Level1"/>
      <w:bookmarkStart w:id="45" w:name="_Toc20569_WPSOffice_Level1"/>
      <w:bookmarkStart w:id="46" w:name="_Toc22527_WPSOffice_Level1"/>
      <w:bookmarkStart w:id="47" w:name="_Toc23671_WPSOffice_Level1"/>
      <w:bookmarkStart w:id="48" w:name="_Toc20275_WPSOffice_Level1"/>
      <w:r>
        <w:rPr>
          <w:rFonts w:hint="eastAsia" w:ascii="宋体" w:hAnsi="宋体"/>
          <w:b/>
          <w:sz w:val="32"/>
          <w:szCs w:val="32"/>
        </w:rPr>
        <w:t>证书一览表</w:t>
      </w:r>
      <w:bookmarkEnd w:id="41"/>
      <w:bookmarkEnd w:id="42"/>
      <w:bookmarkEnd w:id="43"/>
      <w:bookmarkEnd w:id="44"/>
    </w:p>
    <w:tbl>
      <w:tblPr>
        <w:tblStyle w:val="29"/>
        <w:tblpPr w:leftFromText="181" w:rightFromText="181" w:bottomFromText="170" w:vertAnchor="text" w:tblpXSpec="center" w:tblpY="1"/>
        <w:tblOverlap w:val="never"/>
        <w:tblW w:w="8963"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41"/>
              <w:spacing w:line="360" w:lineRule="auto"/>
              <w:jc w:val="center"/>
              <w:rPr>
                <w:rFonts w:asciiTheme="minorEastAsia" w:hAnsiTheme="minorEastAsia" w:eastAsiaTheme="minorEastAsia" w:cstheme="minorEastAsia"/>
                <w:szCs w:val="21"/>
              </w:rPr>
            </w:pPr>
          </w:p>
        </w:tc>
      </w:tr>
    </w:tbl>
    <w:p>
      <w:pPr>
        <w:pStyle w:val="41"/>
        <w:tabs>
          <w:tab w:val="left" w:pos="1050"/>
        </w:tabs>
        <w:spacing w:line="360" w:lineRule="auto"/>
        <w:rPr>
          <w:rFonts w:ascii="宋体" w:hAnsi="宋体"/>
          <w:szCs w:val="21"/>
        </w:rPr>
      </w:pPr>
      <w:r>
        <w:rPr>
          <w:rFonts w:hint="eastAsia" w:ascii="宋体" w:hAnsi="宋体"/>
          <w:b/>
          <w:szCs w:val="21"/>
        </w:rPr>
        <w:t>要求：</w:t>
      </w:r>
    </w:p>
    <w:p>
      <w:pPr>
        <w:pStyle w:val="41"/>
        <w:tabs>
          <w:tab w:val="left" w:pos="1050"/>
        </w:tabs>
        <w:spacing w:line="360" w:lineRule="auto"/>
        <w:ind w:firstLine="420" w:firstLineChars="200"/>
        <w:rPr>
          <w:rFonts w:ascii="宋体" w:hAnsi="宋体"/>
          <w:szCs w:val="21"/>
        </w:rPr>
      </w:pPr>
      <w:r>
        <w:rPr>
          <w:rFonts w:hint="eastAsia" w:ascii="宋体" w:hAnsi="宋体"/>
          <w:szCs w:val="21"/>
        </w:rPr>
        <w:t>1.填写</w:t>
      </w:r>
      <w:r>
        <w:rPr>
          <w:rFonts w:hint="eastAsia" w:ascii="宋体" w:hAnsi="宋体"/>
          <w:szCs w:val="21"/>
          <w:lang w:eastAsia="zh-CN"/>
        </w:rPr>
        <w:t>供应商</w:t>
      </w:r>
      <w:r>
        <w:rPr>
          <w:rFonts w:hint="eastAsia" w:ascii="宋体" w:hAnsi="宋体"/>
          <w:szCs w:val="21"/>
        </w:rPr>
        <w:t>获得资质、认证或企业信誉证书。</w:t>
      </w:r>
    </w:p>
    <w:p>
      <w:pPr>
        <w:pStyle w:val="41"/>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41"/>
        <w:tabs>
          <w:tab w:val="left" w:pos="1050"/>
        </w:tabs>
        <w:spacing w:line="360" w:lineRule="auto"/>
        <w:rPr>
          <w:rFonts w:ascii="仿宋_GB2312" w:hAnsi="宋体" w:eastAsia="仿宋_GB2312"/>
          <w:sz w:val="24"/>
        </w:rPr>
      </w:pPr>
    </w:p>
    <w:p>
      <w:pPr>
        <w:pStyle w:val="41"/>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cs="宋体"/>
          <w:sz w:val="24"/>
          <w:lang w:eastAsia="zh-CN"/>
        </w:rPr>
        <w:t>供应商</w:t>
      </w:r>
      <w:r>
        <w:rPr>
          <w:rFonts w:hint="eastAsia" w:ascii="宋体" w:hAnsi="宋体" w:cs="宋体"/>
          <w:sz w:val="24"/>
        </w:rPr>
        <w:t xml:space="preserve">代表签名（或盖章）：  </w:t>
      </w:r>
    </w:p>
    <w:p>
      <w:pPr>
        <w:spacing w:line="360" w:lineRule="auto"/>
        <w:rPr>
          <w:rFonts w:ascii="宋体" w:hAnsi="宋体"/>
          <w:sz w:val="24"/>
        </w:rPr>
      </w:pPr>
    </w:p>
    <w:p>
      <w:pPr>
        <w:rPr>
          <w:rFonts w:ascii="宋体" w:hAnsi="宋体"/>
          <w:b/>
          <w:sz w:val="24"/>
        </w:rPr>
      </w:pPr>
      <w:r>
        <w:rPr>
          <w:rFonts w:hint="eastAsia"/>
        </w:rPr>
        <w:t>日        期：</w:t>
      </w:r>
      <w:r>
        <w:rPr>
          <w:rFonts w:ascii="宋体" w:hAnsi="宋体"/>
          <w:b/>
          <w:sz w:val="24"/>
        </w:rPr>
        <w:br w:type="page"/>
      </w:r>
    </w:p>
    <w:bookmarkEnd w:id="45"/>
    <w:bookmarkEnd w:id="46"/>
    <w:bookmarkEnd w:id="47"/>
    <w:bookmarkEnd w:id="48"/>
    <w:p>
      <w:pPr>
        <w:spacing w:line="360" w:lineRule="auto"/>
        <w:rPr>
          <w:rFonts w:ascii="宋体" w:hAnsi="宋体"/>
          <w:b/>
          <w:sz w:val="28"/>
        </w:rPr>
      </w:pPr>
      <w:bookmarkStart w:id="49" w:name="_Toc19361_WPSOffice_Level1"/>
      <w:r>
        <w:rPr>
          <w:rFonts w:hint="eastAsia" w:ascii="宋体" w:hAnsi="宋体"/>
          <w:b/>
          <w:sz w:val="28"/>
        </w:rPr>
        <w:t>附件1</w:t>
      </w:r>
      <w:r>
        <w:rPr>
          <w:rFonts w:hint="eastAsia" w:ascii="宋体" w:hAnsi="宋体"/>
          <w:b/>
          <w:sz w:val="28"/>
          <w:lang w:val="en-US" w:eastAsia="zh-CN"/>
        </w:rPr>
        <w:t>0</w:t>
      </w:r>
      <w:r>
        <w:rPr>
          <w:rFonts w:hint="eastAsia" w:ascii="宋体" w:hAnsi="宋体"/>
          <w:b/>
          <w:sz w:val="28"/>
        </w:rPr>
        <w:t>：</w:t>
      </w:r>
      <w:bookmarkEnd w:id="49"/>
    </w:p>
    <w:p>
      <w:pPr>
        <w:pStyle w:val="40"/>
        <w:spacing w:line="360" w:lineRule="auto"/>
        <w:jc w:val="center"/>
        <w:rPr>
          <w:rFonts w:ascii="仿宋_GB2312" w:eastAsia="仿宋_GB2312"/>
          <w:b/>
          <w:sz w:val="28"/>
          <w:szCs w:val="28"/>
        </w:rPr>
      </w:pPr>
      <w:bookmarkStart w:id="50" w:name="_Toc21046_WPSOffice_Level1"/>
      <w:bookmarkStart w:id="51" w:name="_Toc19231_WPSOffice_Level1"/>
      <w:bookmarkStart w:id="52" w:name="_Toc7134_WPSOffice_Level1"/>
      <w:bookmarkStart w:id="53" w:name="_Toc13577_WPSOffice_Level1"/>
      <w:r>
        <w:rPr>
          <w:rFonts w:hint="eastAsia" w:ascii="宋体" w:hAnsi="宋体"/>
          <w:b/>
          <w:sz w:val="32"/>
          <w:szCs w:val="32"/>
          <w:lang w:eastAsia="zh-CN"/>
        </w:rPr>
        <w:t>供应商</w:t>
      </w:r>
      <w:r>
        <w:rPr>
          <w:rFonts w:hint="eastAsia" w:ascii="宋体" w:hAnsi="宋体"/>
          <w:b/>
          <w:sz w:val="32"/>
          <w:szCs w:val="32"/>
        </w:rPr>
        <w:t>类似项目实施情况一览表</w:t>
      </w:r>
      <w:bookmarkEnd w:id="50"/>
      <w:bookmarkEnd w:id="51"/>
      <w:bookmarkEnd w:id="52"/>
      <w:bookmarkEnd w:id="53"/>
    </w:p>
    <w:tbl>
      <w:tblPr>
        <w:tblStyle w:val="29"/>
        <w:tblpPr w:leftFromText="181" w:rightFromText="181" w:bottomFromText="170" w:vertAnchor="text" w:tblpXSpec="center" w:tblpY="1"/>
        <w:tblOverlap w:val="never"/>
        <w:tblW w:w="910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spacing w:line="360" w:lineRule="auto"/>
              <w:jc w:val="center"/>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lang w:eastAsia="zh-CN"/>
              </w:rPr>
              <w:t>签约合同价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numPr>
          <w:ilvl w:val="0"/>
          <w:numId w:val="12"/>
        </w:numPr>
        <w:autoSpaceDE w:val="0"/>
        <w:autoSpaceDN w:val="0"/>
        <w:adjustRightInd w:val="0"/>
        <w:spacing w:before="156" w:beforeLines="50" w:line="360" w:lineRule="auto"/>
        <w:ind w:firstLine="424" w:firstLineChars="202"/>
        <w:rPr>
          <w:rFonts w:ascii="宋体" w:hAnsi="宋体" w:cs="Arial"/>
          <w:szCs w:val="21"/>
        </w:rPr>
      </w:pPr>
      <w:r>
        <w:rPr>
          <w:rFonts w:hint="eastAsia" w:ascii="宋体" w:hAnsi="宋体" w:cs="Arial"/>
          <w:szCs w:val="21"/>
          <w:lang w:val="en-US" w:eastAsia="zh-CN"/>
        </w:rPr>
        <w:t>表后附业绩</w:t>
      </w:r>
      <w:r>
        <w:rPr>
          <w:rFonts w:ascii="宋体" w:hAnsi="宋体" w:cs="Arial"/>
          <w:szCs w:val="21"/>
        </w:rPr>
        <w:t>业绩</w:t>
      </w:r>
      <w:r>
        <w:rPr>
          <w:rFonts w:hint="eastAsia" w:ascii="宋体" w:hAnsi="宋体" w:cs="Arial"/>
          <w:szCs w:val="21"/>
          <w:lang w:val="en-US" w:eastAsia="zh-CN"/>
        </w:rPr>
        <w:t>的中标通知书、合同</w:t>
      </w:r>
      <w:r>
        <w:rPr>
          <w:rFonts w:ascii="宋体" w:hAnsi="宋体" w:cs="Arial"/>
          <w:szCs w:val="21"/>
        </w:rPr>
        <w:t>（</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lang w:val="en-US" w:eastAsia="zh-CN"/>
        </w:rPr>
        <w:t>、竣工验收报告原件的扫描件，竣工验收报告证明须由建设单位、设计单位、监理单位、供应商共同盖公章。</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w:t>
      </w:r>
      <w:r>
        <w:rPr>
          <w:rFonts w:hint="eastAsia" w:ascii="宋体" w:hAnsi="宋体" w:cs="Arial"/>
          <w:szCs w:val="21"/>
          <w:lang w:eastAsia="zh-CN"/>
        </w:rPr>
        <w:t>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cs="宋体"/>
          <w:sz w:val="24"/>
          <w:lang w:eastAsia="zh-CN"/>
        </w:rPr>
        <w:t>供应商</w:t>
      </w:r>
      <w:r>
        <w:rPr>
          <w:rFonts w:hint="eastAsia" w:ascii="宋体" w:hAnsi="宋体" w:cs="宋体"/>
          <w:sz w:val="24"/>
        </w:rPr>
        <w:t xml:space="preserve">代表签名（或盖章）：  </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r>
        <w:rPr>
          <w:rFonts w:ascii="仿宋" w:hAnsi="仿宋" w:eastAsia="仿宋"/>
          <w:snapToGrid w:val="0"/>
          <w:kern w:val="0"/>
          <w:sz w:val="24"/>
        </w:rPr>
        <w:br w:type="page"/>
      </w:r>
      <w:bookmarkStart w:id="54" w:name="_Toc5096_WPSOffice_Level1"/>
      <w:r>
        <w:rPr>
          <w:rFonts w:hint="eastAsia" w:ascii="宋体" w:hAnsi="宋体"/>
          <w:b/>
          <w:sz w:val="28"/>
        </w:rPr>
        <w:t>附件1</w:t>
      </w:r>
      <w:r>
        <w:rPr>
          <w:rFonts w:hint="eastAsia" w:ascii="宋体" w:hAnsi="宋体"/>
          <w:b/>
          <w:sz w:val="28"/>
          <w:lang w:val="en-US" w:eastAsia="zh-CN"/>
        </w:rPr>
        <w:t>1</w:t>
      </w:r>
      <w:r>
        <w:rPr>
          <w:rFonts w:hint="eastAsia" w:ascii="宋体" w:hAnsi="宋体"/>
          <w:b/>
          <w:sz w:val="28"/>
        </w:rPr>
        <w:t>：</w:t>
      </w:r>
      <w:bookmarkEnd w:id="54"/>
    </w:p>
    <w:p>
      <w:pPr>
        <w:spacing w:line="360" w:lineRule="auto"/>
        <w:ind w:left="480"/>
        <w:jc w:val="center"/>
        <w:rPr>
          <w:rFonts w:ascii="宋体" w:hAnsi="宋体"/>
          <w:b/>
          <w:sz w:val="32"/>
          <w:szCs w:val="32"/>
        </w:rPr>
      </w:pPr>
      <w:bookmarkStart w:id="55" w:name="_Toc26601_WPSOffice_Level1"/>
      <w:bookmarkStart w:id="56" w:name="_Toc318_WPSOffice_Level1"/>
      <w:bookmarkStart w:id="57" w:name="_Toc17996_WPSOffice_Level1"/>
      <w:bookmarkStart w:id="58"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55"/>
      <w:bookmarkEnd w:id="56"/>
      <w:bookmarkEnd w:id="57"/>
      <w:bookmarkEnd w:id="58"/>
    </w:p>
    <w:tbl>
      <w:tblPr>
        <w:tblStyle w:val="29"/>
        <w:tblpPr w:leftFromText="181" w:rightFromText="181" w:bottomFromText="170" w:vertAnchor="text" w:tblpXSpec="center" w:tblpY="1"/>
        <w:tblOverlap w:val="never"/>
        <w:tblW w:w="9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39"/>
        <w:tabs>
          <w:tab w:val="left" w:pos="360"/>
        </w:tabs>
        <w:spacing w:line="360" w:lineRule="auto"/>
        <w:jc w:val="both"/>
        <w:rPr>
          <w:rFonts w:ascii="宋体"/>
          <w:b/>
          <w:szCs w:val="21"/>
        </w:rPr>
      </w:pPr>
      <w:r>
        <w:rPr>
          <w:rFonts w:hint="eastAsia" w:ascii="宋体"/>
          <w:b/>
          <w:szCs w:val="21"/>
        </w:rPr>
        <w:t>要求：</w:t>
      </w:r>
    </w:p>
    <w:p>
      <w:pPr>
        <w:pStyle w:val="39"/>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9"/>
        <w:spacing w:line="360" w:lineRule="auto"/>
        <w:ind w:firstLine="420" w:firstLineChars="200"/>
        <w:jc w:val="both"/>
        <w:rPr>
          <w:rFonts w:ascii="宋体"/>
          <w:szCs w:val="21"/>
        </w:rPr>
      </w:pPr>
      <w:r>
        <w:rPr>
          <w:rFonts w:hint="eastAsia" w:ascii="宋体"/>
          <w:szCs w:val="21"/>
        </w:rPr>
        <w:t>2.本表参照本招标文件第二部分“</w:t>
      </w:r>
      <w:r>
        <w:rPr>
          <w:rFonts w:hint="eastAsia" w:ascii="宋体"/>
          <w:szCs w:val="21"/>
          <w:lang w:eastAsia="zh-CN"/>
        </w:rPr>
        <w:t>采购需求</w:t>
      </w:r>
      <w:r>
        <w:rPr>
          <w:rFonts w:hint="eastAsia" w:ascii="宋体"/>
          <w:szCs w:val="21"/>
        </w:rPr>
        <w:t>”内第二条“具体技术需求”填制，</w:t>
      </w:r>
      <w:r>
        <w:rPr>
          <w:rFonts w:hint="eastAsia" w:ascii="宋体"/>
          <w:szCs w:val="21"/>
          <w:lang w:eastAsia="zh-CN"/>
        </w:rPr>
        <w:t>供应商</w:t>
      </w:r>
      <w:r>
        <w:rPr>
          <w:rFonts w:hint="eastAsia" w:ascii="宋体"/>
          <w:szCs w:val="21"/>
        </w:rPr>
        <w:t>应根据投标设备的性能指标、服务指标，对照招标文件要求在“偏离情况”栏注明“正偏离”、“负偏离”或“无偏离”。</w:t>
      </w:r>
    </w:p>
    <w:p>
      <w:pPr>
        <w:pStyle w:val="39"/>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17"/>
      </w:pP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全称（公章）：</w:t>
      </w: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 xml:space="preserve">代表签名（或盖章）：                       </w:t>
      </w:r>
    </w:p>
    <w:p>
      <w:pPr>
        <w:spacing w:line="480" w:lineRule="auto"/>
        <w:rPr>
          <w:rFonts w:ascii="宋体" w:hAnsi="宋体" w:cs="宋体"/>
          <w:sz w:val="24"/>
        </w:rPr>
      </w:pPr>
      <w:r>
        <w:rPr>
          <w:rFonts w:hint="eastAsia" w:ascii="宋体" w:hAnsi="宋体" w:cs="宋体"/>
          <w:sz w:val="24"/>
        </w:rPr>
        <w:t>日 期：</w:t>
      </w:r>
    </w:p>
    <w:p>
      <w:pPr>
        <w:rPr>
          <w:rFonts w:ascii="仿宋" w:hAnsi="仿宋" w:eastAsia="仿宋"/>
          <w:snapToGrid w:val="0"/>
          <w:kern w:val="0"/>
          <w:sz w:val="24"/>
        </w:rPr>
      </w:pPr>
      <w:r>
        <w:rPr>
          <w:rFonts w:ascii="宋体" w:hAnsi="宋体"/>
          <w:b/>
          <w:sz w:val="28"/>
        </w:rPr>
        <w:br w:type="page"/>
      </w:r>
    </w:p>
    <w:p>
      <w:pPr>
        <w:pStyle w:val="41"/>
        <w:tabs>
          <w:tab w:val="left" w:pos="1050"/>
        </w:tabs>
        <w:spacing w:line="360" w:lineRule="auto"/>
        <w:rPr>
          <w:rFonts w:ascii="仿宋_GB2312" w:hAnsi="宋体"/>
          <w:sz w:val="24"/>
        </w:rPr>
      </w:pPr>
      <w:bookmarkStart w:id="59" w:name="_Toc17245_WPSOffice_Level1"/>
      <w:r>
        <w:rPr>
          <w:rFonts w:hint="eastAsia" w:ascii="宋体" w:hAnsi="宋体"/>
          <w:b/>
          <w:sz w:val="28"/>
        </w:rPr>
        <w:t>附件1</w:t>
      </w:r>
      <w:r>
        <w:rPr>
          <w:rFonts w:hint="eastAsia" w:ascii="宋体" w:hAnsi="宋体"/>
          <w:b/>
          <w:sz w:val="28"/>
          <w:lang w:val="en-US" w:eastAsia="zh-CN"/>
        </w:rPr>
        <w:t>2</w:t>
      </w:r>
      <w:r>
        <w:rPr>
          <w:rFonts w:hint="eastAsia" w:ascii="宋体" w:hAnsi="宋体"/>
          <w:b/>
          <w:sz w:val="28"/>
        </w:rPr>
        <w:t>：</w:t>
      </w:r>
      <w:bookmarkEnd w:id="59"/>
    </w:p>
    <w:p>
      <w:pPr>
        <w:spacing w:line="360" w:lineRule="auto"/>
        <w:ind w:hanging="9"/>
        <w:jc w:val="center"/>
        <w:rPr>
          <w:rFonts w:ascii="宋体" w:hAnsi="宋体"/>
          <w:b/>
          <w:sz w:val="18"/>
          <w:szCs w:val="18"/>
        </w:rPr>
      </w:pPr>
      <w:bookmarkStart w:id="60" w:name="_Toc19917_WPSOffice_Level1"/>
      <w:bookmarkStart w:id="61" w:name="_Toc21582_WPSOffice_Level1"/>
      <w:bookmarkStart w:id="62" w:name="_Toc21796_WPSOffice_Level1"/>
      <w:bookmarkStart w:id="63" w:name="_Toc3068_WPSOffice_Level1"/>
      <w:r>
        <w:rPr>
          <w:rFonts w:hint="eastAsia" w:ascii="宋体" w:hAnsi="宋体"/>
          <w:b/>
          <w:sz w:val="32"/>
          <w:szCs w:val="32"/>
        </w:rPr>
        <w:t>商务需求响应表</w:t>
      </w:r>
      <w:bookmarkEnd w:id="60"/>
      <w:bookmarkEnd w:id="61"/>
      <w:bookmarkEnd w:id="62"/>
      <w:bookmarkEnd w:id="63"/>
    </w:p>
    <w:tbl>
      <w:tblPr>
        <w:tblStyle w:val="29"/>
        <w:tblpPr w:leftFromText="181" w:rightFromText="181" w:bottomFromText="170" w:vertAnchor="text" w:tblpXSpec="center" w:tblpY="1"/>
        <w:tblOverlap w:val="never"/>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hint="eastAsia" w:ascii="宋体" w:hAnsi="宋体" w:eastAsia="宋体"/>
                <w:b/>
                <w:sz w:val="24"/>
                <w:lang w:eastAsia="zh-CN"/>
              </w:rPr>
            </w:pPr>
            <w:r>
              <w:rPr>
                <w:rFonts w:hint="eastAsia" w:ascii="宋体" w:hAnsi="宋体"/>
                <w:b/>
                <w:sz w:val="24"/>
                <w:lang w:eastAsia="zh-CN"/>
              </w:rPr>
              <w:t>采购需求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lang w:eastAsia="zh-CN"/>
              </w:rPr>
              <w:t>供应商</w:t>
            </w:r>
            <w:r>
              <w:rPr>
                <w:rFonts w:hint="eastAsia" w:ascii="宋体" w:hAnsi="宋体"/>
                <w:b/>
                <w:sz w:val="24"/>
              </w:rPr>
              <w:t>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 w:val="22"/>
                <w:szCs w:val="22"/>
              </w:rPr>
            </w:pPr>
            <w:r>
              <w:rPr>
                <w:rFonts w:hint="eastAsia" w:ascii="宋体" w:hAnsi="宋体" w:cs="宋体"/>
                <w:sz w:val="22"/>
                <w:szCs w:val="22"/>
              </w:rPr>
              <w:t>售后服务响应情况</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 w:val="22"/>
                <w:szCs w:val="22"/>
              </w:rPr>
            </w:pPr>
            <w:r>
              <w:rPr>
                <w:rFonts w:hint="eastAsia" w:ascii="宋体" w:hAnsi="宋体" w:cs="Arial"/>
                <w:bCs/>
                <w:sz w:val="22"/>
                <w:szCs w:val="22"/>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 w:val="22"/>
                <w:szCs w:val="22"/>
              </w:rPr>
            </w:pPr>
            <w:r>
              <w:rPr>
                <w:rFonts w:hint="eastAsia" w:ascii="宋体" w:hAnsi="宋体" w:cs="Arial"/>
                <w:bCs/>
                <w:sz w:val="22"/>
                <w:szCs w:val="22"/>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 w:val="22"/>
                <w:szCs w:val="22"/>
              </w:rPr>
            </w:pPr>
            <w:r>
              <w:rPr>
                <w:rFonts w:hint="eastAsia" w:ascii="宋体" w:hAnsi="宋体" w:cs="宋体"/>
                <w:sz w:val="22"/>
                <w:szCs w:val="22"/>
              </w:rPr>
              <w:t>交货期及地点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 w:val="22"/>
                <w:szCs w:val="22"/>
              </w:rPr>
            </w:pPr>
            <w:r>
              <w:rPr>
                <w:rFonts w:hint="eastAsia" w:ascii="宋体" w:hAnsi="宋体" w:cs="Arial"/>
                <w:bCs/>
                <w:sz w:val="22"/>
                <w:szCs w:val="22"/>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 w:val="22"/>
                <w:szCs w:val="22"/>
              </w:rPr>
            </w:pPr>
            <w:r>
              <w:rPr>
                <w:rFonts w:hint="eastAsia" w:ascii="宋体" w:hAnsi="宋体" w:cs="Arial"/>
                <w:bCs/>
                <w:sz w:val="22"/>
                <w:szCs w:val="22"/>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全称（公章）：</w:t>
      </w: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 xml:space="preserve">代表签名（或盖章）：                       </w:t>
      </w:r>
    </w:p>
    <w:p>
      <w:pPr>
        <w:rPr>
          <w:rFonts w:ascii="仿宋" w:hAnsi="仿宋" w:eastAsia="仿宋"/>
          <w:snapToGrid w:val="0"/>
          <w:kern w:val="0"/>
          <w:sz w:val="24"/>
        </w:rPr>
      </w:pPr>
      <w:r>
        <w:rPr>
          <w:rFonts w:hint="eastAsia" w:ascii="宋体" w:hAnsi="宋体" w:cs="宋体"/>
          <w:sz w:val="24"/>
        </w:rPr>
        <w:t>日 期：</w:t>
      </w:r>
    </w:p>
    <w:p>
      <w:pPr>
        <w:rPr>
          <w:rFonts w:ascii="宋体" w:hAnsi="宋体"/>
          <w:b/>
          <w:sz w:val="28"/>
        </w:rPr>
      </w:pPr>
      <w:r>
        <w:rPr>
          <w:rFonts w:hint="eastAsia" w:ascii="宋体" w:hAnsi="宋体"/>
          <w:b/>
          <w:sz w:val="28"/>
        </w:rPr>
        <w:br w:type="page"/>
      </w:r>
    </w:p>
    <w:p>
      <w:pPr>
        <w:spacing w:line="360" w:lineRule="auto"/>
        <w:rPr>
          <w:rFonts w:ascii="宋体" w:hAnsi="宋体"/>
          <w:b/>
          <w:sz w:val="28"/>
        </w:rPr>
      </w:pPr>
      <w:bookmarkStart w:id="64" w:name="_Toc13453_WPSOffice_Level1"/>
      <w:r>
        <w:rPr>
          <w:rFonts w:hint="eastAsia" w:ascii="宋体" w:hAnsi="宋体"/>
          <w:b/>
          <w:sz w:val="28"/>
        </w:rPr>
        <w:t>附件1</w:t>
      </w:r>
      <w:r>
        <w:rPr>
          <w:rFonts w:hint="eastAsia" w:ascii="宋体" w:hAnsi="宋体"/>
          <w:b/>
          <w:sz w:val="28"/>
          <w:lang w:val="en-US" w:eastAsia="zh-CN"/>
        </w:rPr>
        <w:t>3</w:t>
      </w:r>
      <w:r>
        <w:rPr>
          <w:rFonts w:hint="eastAsia" w:ascii="宋体" w:hAnsi="宋体"/>
          <w:b/>
          <w:sz w:val="28"/>
        </w:rPr>
        <w:t>：</w:t>
      </w:r>
      <w:bookmarkEnd w:id="64"/>
    </w:p>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投标项目明细清单</w:t>
      </w: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29"/>
        <w:tblW w:w="91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1668"/>
        <w:gridCol w:w="832"/>
        <w:gridCol w:w="1271"/>
        <w:gridCol w:w="1408"/>
        <w:gridCol w:w="2209"/>
        <w:gridCol w:w="1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r>
              <w:rPr>
                <w:rFonts w:hint="eastAsia" w:ascii="宋体" w:hAnsi="宋体" w:cs="宋体"/>
                <w:sz w:val="24"/>
              </w:rPr>
              <w:t>序号</w:t>
            </w:r>
          </w:p>
        </w:tc>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r>
              <w:rPr>
                <w:rFonts w:hint="eastAsia" w:ascii="宋体" w:hAnsi="宋体" w:cs="宋体"/>
                <w:sz w:val="24"/>
              </w:rPr>
              <w:t>货物名称</w:t>
            </w:r>
          </w:p>
        </w:tc>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r>
              <w:rPr>
                <w:rFonts w:hint="eastAsia" w:ascii="宋体" w:hAnsi="宋体" w:cs="宋体"/>
                <w:sz w:val="24"/>
              </w:rPr>
              <w:t>品牌</w:t>
            </w:r>
          </w:p>
        </w:tc>
        <w:tc>
          <w:tcPr>
            <w:tcW w:w="12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r>
              <w:rPr>
                <w:rFonts w:hint="eastAsia" w:ascii="宋体" w:hAnsi="宋体" w:cs="宋体"/>
                <w:sz w:val="24"/>
              </w:rPr>
              <w:t>规格</w:t>
            </w:r>
          </w:p>
          <w:p>
            <w:pPr>
              <w:snapToGrid w:val="0"/>
              <w:spacing w:before="50" w:after="50" w:line="360" w:lineRule="auto"/>
              <w:jc w:val="center"/>
              <w:rPr>
                <w:rFonts w:ascii="宋体" w:hAnsi="宋体" w:cs="宋体"/>
                <w:sz w:val="24"/>
              </w:rPr>
            </w:pPr>
            <w:r>
              <w:rPr>
                <w:rFonts w:hint="eastAsia" w:ascii="宋体" w:hAnsi="宋体" w:cs="宋体"/>
                <w:sz w:val="24"/>
              </w:rPr>
              <w:t>型号</w:t>
            </w: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r>
              <w:rPr>
                <w:rFonts w:hint="eastAsia" w:ascii="宋体" w:hAnsi="宋体" w:cs="宋体"/>
                <w:sz w:val="24"/>
              </w:rPr>
              <w:t>单位及</w:t>
            </w:r>
          </w:p>
          <w:p>
            <w:pPr>
              <w:snapToGrid w:val="0"/>
              <w:spacing w:before="50" w:after="50" w:line="360" w:lineRule="auto"/>
              <w:jc w:val="center"/>
              <w:rPr>
                <w:rFonts w:ascii="宋体" w:hAnsi="宋体" w:cs="宋体"/>
                <w:sz w:val="24"/>
              </w:rPr>
            </w:pPr>
            <w:r>
              <w:rPr>
                <w:rFonts w:hint="eastAsia" w:ascii="宋体" w:hAnsi="宋体" w:cs="宋体"/>
                <w:sz w:val="24"/>
              </w:rPr>
              <w:t>数量</w:t>
            </w:r>
          </w:p>
        </w:tc>
        <w:tc>
          <w:tcPr>
            <w:tcW w:w="22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r>
              <w:rPr>
                <w:rFonts w:hint="eastAsia" w:ascii="宋体" w:hAnsi="宋体" w:cs="宋体"/>
                <w:sz w:val="24"/>
              </w:rPr>
              <w:t>性能及指标</w:t>
            </w:r>
          </w:p>
        </w:tc>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r>
              <w:rPr>
                <w:rFonts w:hint="eastAsia" w:ascii="宋体" w:hAnsi="宋体" w:cs="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hanging="480"/>
              <w:jc w:val="center"/>
              <w:rPr>
                <w:rFonts w:ascii="宋体" w:hAnsi="宋体" w:cs="宋体"/>
                <w:sz w:val="24"/>
              </w:rPr>
            </w:pPr>
          </w:p>
        </w:tc>
        <w:tc>
          <w:tcPr>
            <w:tcW w:w="12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22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hanging="480"/>
              <w:jc w:val="center"/>
              <w:rPr>
                <w:rFonts w:ascii="宋体" w:hAnsi="宋体" w:cs="宋体"/>
                <w:sz w:val="24"/>
              </w:rPr>
            </w:pPr>
          </w:p>
        </w:tc>
        <w:tc>
          <w:tcPr>
            <w:tcW w:w="12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22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hanging="480"/>
              <w:jc w:val="center"/>
              <w:rPr>
                <w:rFonts w:ascii="宋体" w:hAnsi="宋体" w:cs="宋体"/>
                <w:sz w:val="24"/>
              </w:rPr>
            </w:pPr>
          </w:p>
        </w:tc>
        <w:tc>
          <w:tcPr>
            <w:tcW w:w="12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22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8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hanging="480"/>
              <w:jc w:val="center"/>
              <w:rPr>
                <w:rFonts w:ascii="宋体" w:hAnsi="宋体" w:cs="宋体"/>
                <w:sz w:val="24"/>
              </w:rPr>
            </w:pPr>
          </w:p>
        </w:tc>
        <w:tc>
          <w:tcPr>
            <w:tcW w:w="12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22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z w:val="24"/>
              </w:rPr>
            </w:pPr>
          </w:p>
        </w:tc>
      </w:tr>
    </w:tbl>
    <w:p>
      <w:pPr>
        <w:spacing w:line="480" w:lineRule="auto"/>
        <w:rPr>
          <w:rFonts w:ascii="宋体" w:hAnsi="宋体" w:cs="宋体"/>
          <w:sz w:val="24"/>
        </w:rPr>
      </w:pPr>
      <w:r>
        <w:rPr>
          <w:rFonts w:hint="eastAsia" w:ascii="宋体" w:hAnsi="宋体" w:cs="宋体"/>
          <w:sz w:val="24"/>
        </w:rPr>
        <w:t>注：在填写时，如上表不适合本项目的实际情况，可在确保投标明细内容完整的情况下，根据上表格式自行划表填写。</w:t>
      </w:r>
    </w:p>
    <w:p>
      <w:pPr>
        <w:pStyle w:val="4"/>
      </w:pP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全称（公章）：</w:t>
      </w: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 xml:space="preserve">代表签名（或盖章）：                       </w:t>
      </w:r>
    </w:p>
    <w:p>
      <w:pPr>
        <w:spacing w:line="480" w:lineRule="auto"/>
        <w:rPr>
          <w:rFonts w:ascii="宋体" w:hAnsi="宋体" w:cs="宋体"/>
          <w:sz w:val="24"/>
        </w:rPr>
      </w:pPr>
      <w:r>
        <w:rPr>
          <w:rFonts w:hint="eastAsia" w:ascii="宋体" w:hAnsi="宋体" w:cs="宋体"/>
          <w:sz w:val="24"/>
        </w:rPr>
        <w:t>日 期：</w:t>
      </w:r>
    </w:p>
    <w:p>
      <w:pPr>
        <w:rPr>
          <w:rFonts w:ascii="宋体" w:hAnsi="宋体" w:cs="宋体"/>
          <w:sz w:val="24"/>
        </w:rPr>
      </w:pPr>
      <w:r>
        <w:rPr>
          <w:rFonts w:hint="eastAsia" w:ascii="宋体" w:hAnsi="宋体" w:cs="宋体"/>
          <w:sz w:val="24"/>
        </w:rPr>
        <w:br w:type="page"/>
      </w:r>
    </w:p>
    <w:p>
      <w:pPr>
        <w:spacing w:line="360" w:lineRule="auto"/>
        <w:rPr>
          <w:rFonts w:ascii="宋体" w:hAnsi="宋体"/>
          <w:b/>
          <w:sz w:val="28"/>
        </w:rPr>
      </w:pPr>
      <w:bookmarkStart w:id="65" w:name="_Toc22789_WPSOffice_Level1"/>
      <w:r>
        <w:rPr>
          <w:rFonts w:hint="eastAsia" w:ascii="宋体" w:hAnsi="宋体"/>
          <w:b/>
          <w:sz w:val="28"/>
        </w:rPr>
        <w:t>附件1</w:t>
      </w:r>
      <w:r>
        <w:rPr>
          <w:rFonts w:hint="eastAsia" w:ascii="宋体" w:hAnsi="宋体"/>
          <w:b/>
          <w:sz w:val="28"/>
          <w:lang w:val="en-US" w:eastAsia="zh-CN"/>
        </w:rPr>
        <w:t>4</w:t>
      </w:r>
      <w:r>
        <w:rPr>
          <w:rFonts w:hint="eastAsia" w:ascii="宋体" w:hAnsi="宋体"/>
          <w:b/>
          <w:sz w:val="28"/>
        </w:rPr>
        <w:t>：</w:t>
      </w:r>
      <w:bookmarkEnd w:id="65"/>
    </w:p>
    <w:p>
      <w:pPr>
        <w:jc w:val="center"/>
        <w:rPr>
          <w:rFonts w:ascii="宋体" w:hAnsi="宋体" w:cs="宋体"/>
          <w:b/>
          <w:bCs/>
          <w:sz w:val="32"/>
          <w:szCs w:val="40"/>
        </w:rPr>
      </w:pPr>
      <w:bookmarkStart w:id="66" w:name="_Toc10270_WPSOffice_Level1"/>
      <w:bookmarkStart w:id="67" w:name="_Toc23270_WPSOffice_Level1"/>
      <w:r>
        <w:rPr>
          <w:rFonts w:hint="eastAsia" w:ascii="宋体" w:hAnsi="宋体" w:cs="宋体"/>
          <w:b/>
          <w:bCs/>
          <w:sz w:val="32"/>
          <w:szCs w:val="40"/>
        </w:rPr>
        <w:t>随机专用工具及备品备件明细表</w:t>
      </w:r>
      <w:bookmarkEnd w:id="66"/>
      <w:bookmarkEnd w:id="67"/>
    </w:p>
    <w:tbl>
      <w:tblPr>
        <w:tblStyle w:val="2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325"/>
        <w:gridCol w:w="797"/>
        <w:gridCol w:w="796"/>
        <w:gridCol w:w="929"/>
        <w:gridCol w:w="932"/>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2313" w:type="dxa"/>
            <w:vMerge w:val="restart"/>
            <w:vAlign w:val="center"/>
          </w:tcPr>
          <w:p>
            <w:pPr>
              <w:snapToGrid w:val="0"/>
              <w:spacing w:after="120"/>
              <w:jc w:val="center"/>
              <w:rPr>
                <w:rFonts w:ascii="宋体" w:hAnsi="宋体" w:cs="宋体"/>
                <w:sz w:val="24"/>
              </w:rPr>
            </w:pPr>
            <w:r>
              <w:rPr>
                <w:rFonts w:hint="eastAsia" w:ascii="宋体" w:hAnsi="宋体" w:cs="宋体"/>
                <w:sz w:val="24"/>
              </w:rPr>
              <w:t xml:space="preserve"> 投标设备名称及编号</w:t>
            </w:r>
          </w:p>
        </w:tc>
        <w:tc>
          <w:tcPr>
            <w:tcW w:w="1325" w:type="dxa"/>
            <w:vMerge w:val="restart"/>
            <w:vAlign w:val="center"/>
          </w:tcPr>
          <w:p>
            <w:pPr>
              <w:snapToGrid w:val="0"/>
              <w:spacing w:after="120"/>
              <w:jc w:val="center"/>
              <w:rPr>
                <w:rFonts w:ascii="宋体" w:hAnsi="宋体" w:cs="宋体"/>
                <w:sz w:val="24"/>
              </w:rPr>
            </w:pPr>
            <w:r>
              <w:rPr>
                <w:rFonts w:hint="eastAsia" w:ascii="宋体" w:hAnsi="宋体" w:cs="宋体"/>
                <w:sz w:val="24"/>
              </w:rPr>
              <w:t>名称</w:t>
            </w:r>
          </w:p>
        </w:tc>
        <w:tc>
          <w:tcPr>
            <w:tcW w:w="797" w:type="dxa"/>
            <w:vMerge w:val="restart"/>
            <w:vAlign w:val="center"/>
          </w:tcPr>
          <w:p>
            <w:pPr>
              <w:snapToGrid w:val="0"/>
              <w:spacing w:after="120"/>
              <w:jc w:val="center"/>
              <w:rPr>
                <w:rFonts w:ascii="宋体" w:hAnsi="宋体" w:cs="宋体"/>
                <w:sz w:val="24"/>
              </w:rPr>
            </w:pPr>
            <w:r>
              <w:rPr>
                <w:rFonts w:hint="eastAsia" w:ascii="宋体" w:hAnsi="宋体" w:cs="宋体"/>
                <w:sz w:val="24"/>
              </w:rPr>
              <w:t>数量</w:t>
            </w:r>
          </w:p>
        </w:tc>
        <w:tc>
          <w:tcPr>
            <w:tcW w:w="796" w:type="dxa"/>
            <w:vMerge w:val="restart"/>
            <w:vAlign w:val="center"/>
          </w:tcPr>
          <w:p>
            <w:pPr>
              <w:snapToGrid w:val="0"/>
              <w:spacing w:after="120"/>
              <w:jc w:val="center"/>
              <w:rPr>
                <w:rFonts w:ascii="宋体" w:hAnsi="宋体" w:cs="宋体"/>
                <w:sz w:val="24"/>
              </w:rPr>
            </w:pPr>
            <w:r>
              <w:rPr>
                <w:rFonts w:hint="eastAsia" w:ascii="宋体" w:hAnsi="宋体" w:cs="宋体"/>
                <w:sz w:val="24"/>
              </w:rPr>
              <w:t>单位</w:t>
            </w:r>
          </w:p>
        </w:tc>
        <w:tc>
          <w:tcPr>
            <w:tcW w:w="1861" w:type="dxa"/>
            <w:gridSpan w:val="2"/>
            <w:vAlign w:val="center"/>
          </w:tcPr>
          <w:p>
            <w:pPr>
              <w:snapToGrid w:val="0"/>
              <w:spacing w:after="120"/>
              <w:jc w:val="center"/>
              <w:rPr>
                <w:rFonts w:ascii="宋体" w:hAnsi="宋体" w:cs="宋体"/>
                <w:sz w:val="24"/>
              </w:rPr>
            </w:pPr>
            <w:r>
              <w:rPr>
                <w:rFonts w:hint="eastAsia" w:ascii="宋体" w:hAnsi="宋体" w:cs="宋体"/>
                <w:sz w:val="24"/>
              </w:rPr>
              <w:t>价格（元）</w:t>
            </w:r>
          </w:p>
        </w:tc>
        <w:tc>
          <w:tcPr>
            <w:tcW w:w="1428" w:type="dxa"/>
            <w:vMerge w:val="restart"/>
            <w:vAlign w:val="center"/>
          </w:tcPr>
          <w:p>
            <w:pPr>
              <w:snapToGrid w:val="0"/>
              <w:spacing w:after="12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2313" w:type="dxa"/>
            <w:vMerge w:val="continue"/>
          </w:tcPr>
          <w:p>
            <w:pPr>
              <w:snapToGrid w:val="0"/>
              <w:spacing w:after="120" w:line="300" w:lineRule="auto"/>
              <w:rPr>
                <w:rFonts w:ascii="宋体" w:hAnsi="宋体" w:cs="宋体"/>
                <w:sz w:val="24"/>
              </w:rPr>
            </w:pPr>
          </w:p>
        </w:tc>
        <w:tc>
          <w:tcPr>
            <w:tcW w:w="1325" w:type="dxa"/>
            <w:vMerge w:val="continue"/>
          </w:tcPr>
          <w:p>
            <w:pPr>
              <w:snapToGrid w:val="0"/>
              <w:spacing w:after="120" w:line="300" w:lineRule="auto"/>
              <w:rPr>
                <w:rFonts w:ascii="宋体" w:hAnsi="宋体" w:cs="宋体"/>
                <w:sz w:val="24"/>
              </w:rPr>
            </w:pPr>
          </w:p>
        </w:tc>
        <w:tc>
          <w:tcPr>
            <w:tcW w:w="797" w:type="dxa"/>
            <w:vMerge w:val="continue"/>
          </w:tcPr>
          <w:p>
            <w:pPr>
              <w:snapToGrid w:val="0"/>
              <w:spacing w:after="120" w:line="300" w:lineRule="auto"/>
              <w:rPr>
                <w:rFonts w:ascii="宋体" w:hAnsi="宋体" w:cs="宋体"/>
                <w:sz w:val="24"/>
              </w:rPr>
            </w:pPr>
          </w:p>
        </w:tc>
        <w:tc>
          <w:tcPr>
            <w:tcW w:w="796" w:type="dxa"/>
            <w:vMerge w:val="continue"/>
          </w:tcPr>
          <w:p>
            <w:pPr>
              <w:snapToGrid w:val="0"/>
              <w:spacing w:after="120" w:line="300" w:lineRule="auto"/>
              <w:rPr>
                <w:rFonts w:ascii="宋体" w:hAnsi="宋体" w:cs="宋体"/>
                <w:sz w:val="24"/>
              </w:rPr>
            </w:pPr>
          </w:p>
        </w:tc>
        <w:tc>
          <w:tcPr>
            <w:tcW w:w="929" w:type="dxa"/>
            <w:vAlign w:val="center"/>
          </w:tcPr>
          <w:p>
            <w:pPr>
              <w:snapToGrid w:val="0"/>
              <w:spacing w:after="120"/>
              <w:jc w:val="center"/>
              <w:rPr>
                <w:rFonts w:ascii="宋体" w:hAnsi="宋体" w:cs="宋体"/>
                <w:sz w:val="24"/>
              </w:rPr>
            </w:pPr>
            <w:r>
              <w:rPr>
                <w:rFonts w:hint="eastAsia" w:ascii="宋体" w:hAnsi="宋体" w:cs="宋体"/>
                <w:sz w:val="24"/>
              </w:rPr>
              <w:t>单价</w:t>
            </w:r>
          </w:p>
        </w:tc>
        <w:tc>
          <w:tcPr>
            <w:tcW w:w="932" w:type="dxa"/>
            <w:vAlign w:val="center"/>
          </w:tcPr>
          <w:p>
            <w:pPr>
              <w:snapToGrid w:val="0"/>
              <w:spacing w:after="120"/>
              <w:jc w:val="center"/>
              <w:rPr>
                <w:rFonts w:ascii="宋体" w:hAnsi="宋体" w:cs="宋体"/>
                <w:sz w:val="24"/>
              </w:rPr>
            </w:pPr>
            <w:r>
              <w:rPr>
                <w:rFonts w:hint="eastAsia" w:ascii="宋体" w:hAnsi="宋体" w:cs="宋体"/>
                <w:sz w:val="24"/>
              </w:rPr>
              <w:t>总价</w:t>
            </w:r>
          </w:p>
        </w:tc>
        <w:tc>
          <w:tcPr>
            <w:tcW w:w="1428" w:type="dxa"/>
            <w:vMerge w:val="continue"/>
          </w:tcPr>
          <w:p>
            <w:pPr>
              <w:snapToGrid w:val="0"/>
              <w:spacing w:after="12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8520" w:type="dxa"/>
            <w:gridSpan w:val="7"/>
            <w:vAlign w:val="center"/>
          </w:tcPr>
          <w:p>
            <w:pPr>
              <w:snapToGrid w:val="0"/>
              <w:spacing w:after="120" w:line="300" w:lineRule="auto"/>
              <w:rPr>
                <w:rFonts w:ascii="宋体" w:hAnsi="宋体" w:cs="宋体"/>
                <w:b/>
                <w:sz w:val="24"/>
              </w:rPr>
            </w:pPr>
            <w:r>
              <w:rPr>
                <w:rFonts w:hint="eastAsia" w:ascii="宋体" w:hAnsi="宋体" w:cs="宋体"/>
                <w:b/>
                <w:sz w:val="24"/>
              </w:rPr>
              <w:t>专用工具：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2313" w:type="dxa"/>
            <w:vMerge w:val="restart"/>
            <w:vAlign w:val="center"/>
          </w:tcPr>
          <w:p>
            <w:pPr>
              <w:snapToGrid w:val="0"/>
              <w:spacing w:after="120" w:line="300" w:lineRule="auto"/>
              <w:rPr>
                <w:rFonts w:ascii="宋体" w:hAnsi="宋体" w:cs="宋体"/>
                <w:sz w:val="24"/>
              </w:rPr>
            </w:pPr>
          </w:p>
        </w:tc>
        <w:tc>
          <w:tcPr>
            <w:tcW w:w="1325" w:type="dxa"/>
            <w:vAlign w:val="center"/>
          </w:tcPr>
          <w:p>
            <w:pPr>
              <w:snapToGrid w:val="0"/>
              <w:spacing w:after="120" w:line="300" w:lineRule="auto"/>
              <w:rPr>
                <w:rFonts w:ascii="宋体" w:hAnsi="宋体" w:cs="宋体"/>
                <w:sz w:val="24"/>
              </w:rPr>
            </w:pPr>
          </w:p>
        </w:tc>
        <w:tc>
          <w:tcPr>
            <w:tcW w:w="797" w:type="dxa"/>
            <w:vAlign w:val="center"/>
          </w:tcPr>
          <w:p>
            <w:pPr>
              <w:snapToGrid w:val="0"/>
              <w:spacing w:after="120" w:line="300" w:lineRule="auto"/>
              <w:rPr>
                <w:rFonts w:ascii="宋体" w:hAnsi="宋体" w:cs="宋体"/>
                <w:sz w:val="24"/>
              </w:rPr>
            </w:pPr>
          </w:p>
        </w:tc>
        <w:tc>
          <w:tcPr>
            <w:tcW w:w="796" w:type="dxa"/>
            <w:vAlign w:val="center"/>
          </w:tcPr>
          <w:p>
            <w:pPr>
              <w:snapToGrid w:val="0"/>
              <w:spacing w:after="120" w:line="300" w:lineRule="auto"/>
              <w:rPr>
                <w:rFonts w:ascii="宋体" w:hAnsi="宋体" w:cs="宋体"/>
                <w:sz w:val="24"/>
              </w:rPr>
            </w:pPr>
          </w:p>
        </w:tc>
        <w:tc>
          <w:tcPr>
            <w:tcW w:w="929" w:type="dxa"/>
            <w:vAlign w:val="center"/>
          </w:tcPr>
          <w:p>
            <w:pPr>
              <w:snapToGrid w:val="0"/>
              <w:spacing w:after="120" w:line="300" w:lineRule="auto"/>
              <w:rPr>
                <w:rFonts w:ascii="宋体" w:hAnsi="宋体" w:cs="宋体"/>
                <w:sz w:val="24"/>
              </w:rPr>
            </w:pPr>
          </w:p>
        </w:tc>
        <w:tc>
          <w:tcPr>
            <w:tcW w:w="932" w:type="dxa"/>
            <w:vAlign w:val="center"/>
          </w:tcPr>
          <w:p>
            <w:pPr>
              <w:snapToGrid w:val="0"/>
              <w:spacing w:after="120" w:line="300" w:lineRule="auto"/>
              <w:rPr>
                <w:rFonts w:ascii="宋体" w:hAnsi="宋体" w:cs="宋体"/>
                <w:sz w:val="24"/>
              </w:rPr>
            </w:pPr>
          </w:p>
        </w:tc>
        <w:tc>
          <w:tcPr>
            <w:tcW w:w="1428" w:type="dxa"/>
            <w:vAlign w:val="center"/>
          </w:tcPr>
          <w:p>
            <w:pPr>
              <w:snapToGrid w:val="0"/>
              <w:spacing w:after="120"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2313" w:type="dxa"/>
            <w:vMerge w:val="continue"/>
            <w:vAlign w:val="center"/>
          </w:tcPr>
          <w:p>
            <w:pPr>
              <w:snapToGrid w:val="0"/>
              <w:spacing w:after="120" w:line="300" w:lineRule="auto"/>
              <w:rPr>
                <w:rFonts w:ascii="宋体" w:hAnsi="宋体" w:cs="宋体"/>
                <w:sz w:val="24"/>
              </w:rPr>
            </w:pPr>
          </w:p>
        </w:tc>
        <w:tc>
          <w:tcPr>
            <w:tcW w:w="1325" w:type="dxa"/>
            <w:vAlign w:val="center"/>
          </w:tcPr>
          <w:p>
            <w:pPr>
              <w:snapToGrid w:val="0"/>
              <w:spacing w:after="120" w:line="300" w:lineRule="auto"/>
              <w:rPr>
                <w:rFonts w:ascii="宋体" w:hAnsi="宋体" w:cs="宋体"/>
                <w:sz w:val="24"/>
              </w:rPr>
            </w:pPr>
          </w:p>
        </w:tc>
        <w:tc>
          <w:tcPr>
            <w:tcW w:w="797" w:type="dxa"/>
            <w:vAlign w:val="center"/>
          </w:tcPr>
          <w:p>
            <w:pPr>
              <w:snapToGrid w:val="0"/>
              <w:spacing w:after="120" w:line="300" w:lineRule="auto"/>
              <w:rPr>
                <w:rFonts w:ascii="宋体" w:hAnsi="宋体" w:cs="宋体"/>
                <w:sz w:val="24"/>
              </w:rPr>
            </w:pPr>
          </w:p>
        </w:tc>
        <w:tc>
          <w:tcPr>
            <w:tcW w:w="796" w:type="dxa"/>
            <w:vAlign w:val="center"/>
          </w:tcPr>
          <w:p>
            <w:pPr>
              <w:snapToGrid w:val="0"/>
              <w:spacing w:after="120" w:line="300" w:lineRule="auto"/>
              <w:rPr>
                <w:rFonts w:ascii="宋体" w:hAnsi="宋体" w:cs="宋体"/>
                <w:sz w:val="24"/>
              </w:rPr>
            </w:pPr>
          </w:p>
        </w:tc>
        <w:tc>
          <w:tcPr>
            <w:tcW w:w="929" w:type="dxa"/>
            <w:vAlign w:val="center"/>
          </w:tcPr>
          <w:p>
            <w:pPr>
              <w:snapToGrid w:val="0"/>
              <w:spacing w:after="120" w:line="300" w:lineRule="auto"/>
              <w:rPr>
                <w:rFonts w:ascii="宋体" w:hAnsi="宋体" w:cs="宋体"/>
                <w:sz w:val="24"/>
              </w:rPr>
            </w:pPr>
          </w:p>
        </w:tc>
        <w:tc>
          <w:tcPr>
            <w:tcW w:w="932" w:type="dxa"/>
            <w:vAlign w:val="center"/>
          </w:tcPr>
          <w:p>
            <w:pPr>
              <w:snapToGrid w:val="0"/>
              <w:spacing w:after="120" w:line="300" w:lineRule="auto"/>
              <w:rPr>
                <w:rFonts w:ascii="宋体" w:hAnsi="宋体" w:cs="宋体"/>
                <w:sz w:val="24"/>
              </w:rPr>
            </w:pPr>
          </w:p>
        </w:tc>
        <w:tc>
          <w:tcPr>
            <w:tcW w:w="1428" w:type="dxa"/>
            <w:vAlign w:val="center"/>
          </w:tcPr>
          <w:p>
            <w:pPr>
              <w:snapToGrid w:val="0"/>
              <w:spacing w:after="120"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2313" w:type="dxa"/>
            <w:vMerge w:val="restart"/>
            <w:vAlign w:val="center"/>
          </w:tcPr>
          <w:p>
            <w:pPr>
              <w:snapToGrid w:val="0"/>
              <w:spacing w:after="120" w:line="300" w:lineRule="auto"/>
              <w:rPr>
                <w:rFonts w:ascii="宋体" w:hAnsi="宋体" w:cs="宋体"/>
                <w:sz w:val="24"/>
              </w:rPr>
            </w:pPr>
          </w:p>
          <w:p>
            <w:pPr>
              <w:snapToGrid w:val="0"/>
              <w:spacing w:after="120" w:line="300" w:lineRule="auto"/>
              <w:rPr>
                <w:rFonts w:ascii="宋体" w:hAnsi="宋体" w:cs="宋体"/>
                <w:sz w:val="24"/>
              </w:rPr>
            </w:pPr>
          </w:p>
        </w:tc>
        <w:tc>
          <w:tcPr>
            <w:tcW w:w="1325" w:type="dxa"/>
            <w:vAlign w:val="center"/>
          </w:tcPr>
          <w:p>
            <w:pPr>
              <w:snapToGrid w:val="0"/>
              <w:spacing w:after="120" w:line="300" w:lineRule="auto"/>
              <w:rPr>
                <w:rFonts w:ascii="宋体" w:hAnsi="宋体" w:cs="宋体"/>
                <w:sz w:val="24"/>
              </w:rPr>
            </w:pPr>
          </w:p>
        </w:tc>
        <w:tc>
          <w:tcPr>
            <w:tcW w:w="797" w:type="dxa"/>
            <w:vAlign w:val="center"/>
          </w:tcPr>
          <w:p>
            <w:pPr>
              <w:snapToGrid w:val="0"/>
              <w:spacing w:after="120" w:line="300" w:lineRule="auto"/>
              <w:rPr>
                <w:rFonts w:ascii="宋体" w:hAnsi="宋体" w:cs="宋体"/>
                <w:sz w:val="24"/>
              </w:rPr>
            </w:pPr>
          </w:p>
        </w:tc>
        <w:tc>
          <w:tcPr>
            <w:tcW w:w="796" w:type="dxa"/>
            <w:vAlign w:val="center"/>
          </w:tcPr>
          <w:p>
            <w:pPr>
              <w:snapToGrid w:val="0"/>
              <w:spacing w:after="120" w:line="300" w:lineRule="auto"/>
              <w:rPr>
                <w:rFonts w:ascii="宋体" w:hAnsi="宋体" w:cs="宋体"/>
                <w:sz w:val="24"/>
              </w:rPr>
            </w:pPr>
          </w:p>
        </w:tc>
        <w:tc>
          <w:tcPr>
            <w:tcW w:w="929" w:type="dxa"/>
            <w:vAlign w:val="center"/>
          </w:tcPr>
          <w:p>
            <w:pPr>
              <w:snapToGrid w:val="0"/>
              <w:spacing w:after="120" w:line="300" w:lineRule="auto"/>
              <w:rPr>
                <w:rFonts w:ascii="宋体" w:hAnsi="宋体" w:cs="宋体"/>
                <w:sz w:val="24"/>
              </w:rPr>
            </w:pPr>
          </w:p>
        </w:tc>
        <w:tc>
          <w:tcPr>
            <w:tcW w:w="932" w:type="dxa"/>
            <w:vAlign w:val="center"/>
          </w:tcPr>
          <w:p>
            <w:pPr>
              <w:snapToGrid w:val="0"/>
              <w:spacing w:after="120" w:line="300" w:lineRule="auto"/>
              <w:rPr>
                <w:rFonts w:ascii="宋体" w:hAnsi="宋体" w:cs="宋体"/>
                <w:sz w:val="24"/>
              </w:rPr>
            </w:pPr>
          </w:p>
        </w:tc>
        <w:tc>
          <w:tcPr>
            <w:tcW w:w="1428" w:type="dxa"/>
            <w:vAlign w:val="center"/>
          </w:tcPr>
          <w:p>
            <w:pPr>
              <w:snapToGrid w:val="0"/>
              <w:spacing w:after="120"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2313" w:type="dxa"/>
            <w:vMerge w:val="continue"/>
            <w:vAlign w:val="center"/>
          </w:tcPr>
          <w:p>
            <w:pPr>
              <w:snapToGrid w:val="0"/>
              <w:spacing w:after="120" w:line="300" w:lineRule="auto"/>
              <w:rPr>
                <w:rFonts w:ascii="宋体" w:hAnsi="宋体" w:cs="宋体"/>
                <w:sz w:val="24"/>
              </w:rPr>
            </w:pPr>
          </w:p>
        </w:tc>
        <w:tc>
          <w:tcPr>
            <w:tcW w:w="1325" w:type="dxa"/>
            <w:vAlign w:val="center"/>
          </w:tcPr>
          <w:p>
            <w:pPr>
              <w:snapToGrid w:val="0"/>
              <w:spacing w:after="120" w:line="300" w:lineRule="auto"/>
              <w:rPr>
                <w:rFonts w:ascii="宋体" w:hAnsi="宋体" w:cs="宋体"/>
                <w:sz w:val="24"/>
              </w:rPr>
            </w:pPr>
          </w:p>
        </w:tc>
        <w:tc>
          <w:tcPr>
            <w:tcW w:w="797" w:type="dxa"/>
            <w:vAlign w:val="center"/>
          </w:tcPr>
          <w:p>
            <w:pPr>
              <w:snapToGrid w:val="0"/>
              <w:spacing w:after="120" w:line="300" w:lineRule="auto"/>
              <w:rPr>
                <w:rFonts w:ascii="宋体" w:hAnsi="宋体" w:cs="宋体"/>
                <w:sz w:val="24"/>
              </w:rPr>
            </w:pPr>
          </w:p>
        </w:tc>
        <w:tc>
          <w:tcPr>
            <w:tcW w:w="796" w:type="dxa"/>
            <w:vAlign w:val="center"/>
          </w:tcPr>
          <w:p>
            <w:pPr>
              <w:snapToGrid w:val="0"/>
              <w:spacing w:after="120" w:line="300" w:lineRule="auto"/>
              <w:rPr>
                <w:rFonts w:ascii="宋体" w:hAnsi="宋体" w:cs="宋体"/>
                <w:sz w:val="24"/>
              </w:rPr>
            </w:pPr>
          </w:p>
        </w:tc>
        <w:tc>
          <w:tcPr>
            <w:tcW w:w="929" w:type="dxa"/>
            <w:vAlign w:val="center"/>
          </w:tcPr>
          <w:p>
            <w:pPr>
              <w:snapToGrid w:val="0"/>
              <w:spacing w:after="120" w:line="300" w:lineRule="auto"/>
              <w:rPr>
                <w:rFonts w:ascii="宋体" w:hAnsi="宋体" w:cs="宋体"/>
                <w:sz w:val="24"/>
              </w:rPr>
            </w:pPr>
          </w:p>
        </w:tc>
        <w:tc>
          <w:tcPr>
            <w:tcW w:w="932" w:type="dxa"/>
            <w:vAlign w:val="center"/>
          </w:tcPr>
          <w:p>
            <w:pPr>
              <w:snapToGrid w:val="0"/>
              <w:spacing w:after="120" w:line="300" w:lineRule="auto"/>
              <w:rPr>
                <w:rFonts w:ascii="宋体" w:hAnsi="宋体" w:cs="宋体"/>
                <w:sz w:val="24"/>
              </w:rPr>
            </w:pPr>
          </w:p>
        </w:tc>
        <w:tc>
          <w:tcPr>
            <w:tcW w:w="1428" w:type="dxa"/>
            <w:vAlign w:val="center"/>
          </w:tcPr>
          <w:p>
            <w:pPr>
              <w:snapToGrid w:val="0"/>
              <w:spacing w:after="120"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2313" w:type="dxa"/>
            <w:vMerge w:val="restart"/>
            <w:vAlign w:val="center"/>
          </w:tcPr>
          <w:p>
            <w:pPr>
              <w:snapToGrid w:val="0"/>
              <w:spacing w:after="120" w:line="300" w:lineRule="auto"/>
              <w:rPr>
                <w:rFonts w:ascii="宋体" w:hAnsi="宋体" w:cs="宋体"/>
                <w:sz w:val="24"/>
              </w:rPr>
            </w:pPr>
          </w:p>
        </w:tc>
        <w:tc>
          <w:tcPr>
            <w:tcW w:w="1325" w:type="dxa"/>
            <w:vAlign w:val="center"/>
          </w:tcPr>
          <w:p>
            <w:pPr>
              <w:snapToGrid w:val="0"/>
              <w:spacing w:after="120" w:line="300" w:lineRule="auto"/>
              <w:rPr>
                <w:rFonts w:ascii="宋体" w:hAnsi="宋体" w:cs="宋体"/>
                <w:sz w:val="24"/>
              </w:rPr>
            </w:pPr>
          </w:p>
        </w:tc>
        <w:tc>
          <w:tcPr>
            <w:tcW w:w="797" w:type="dxa"/>
            <w:vAlign w:val="center"/>
          </w:tcPr>
          <w:p>
            <w:pPr>
              <w:snapToGrid w:val="0"/>
              <w:spacing w:after="120" w:line="300" w:lineRule="auto"/>
              <w:rPr>
                <w:rFonts w:ascii="宋体" w:hAnsi="宋体" w:cs="宋体"/>
                <w:sz w:val="24"/>
              </w:rPr>
            </w:pPr>
          </w:p>
        </w:tc>
        <w:tc>
          <w:tcPr>
            <w:tcW w:w="796" w:type="dxa"/>
            <w:vAlign w:val="center"/>
          </w:tcPr>
          <w:p>
            <w:pPr>
              <w:snapToGrid w:val="0"/>
              <w:spacing w:after="120" w:line="300" w:lineRule="auto"/>
              <w:rPr>
                <w:rFonts w:ascii="宋体" w:hAnsi="宋体" w:cs="宋体"/>
                <w:sz w:val="24"/>
              </w:rPr>
            </w:pPr>
          </w:p>
        </w:tc>
        <w:tc>
          <w:tcPr>
            <w:tcW w:w="929" w:type="dxa"/>
            <w:vAlign w:val="center"/>
          </w:tcPr>
          <w:p>
            <w:pPr>
              <w:snapToGrid w:val="0"/>
              <w:spacing w:after="120" w:line="300" w:lineRule="auto"/>
              <w:rPr>
                <w:rFonts w:ascii="宋体" w:hAnsi="宋体" w:cs="宋体"/>
                <w:sz w:val="24"/>
              </w:rPr>
            </w:pPr>
          </w:p>
        </w:tc>
        <w:tc>
          <w:tcPr>
            <w:tcW w:w="932" w:type="dxa"/>
            <w:vAlign w:val="center"/>
          </w:tcPr>
          <w:p>
            <w:pPr>
              <w:snapToGrid w:val="0"/>
              <w:spacing w:after="120" w:line="300" w:lineRule="auto"/>
              <w:rPr>
                <w:rFonts w:ascii="宋体" w:hAnsi="宋体" w:cs="宋体"/>
                <w:sz w:val="24"/>
              </w:rPr>
            </w:pPr>
          </w:p>
        </w:tc>
        <w:tc>
          <w:tcPr>
            <w:tcW w:w="1428" w:type="dxa"/>
            <w:vAlign w:val="center"/>
          </w:tcPr>
          <w:p>
            <w:pPr>
              <w:snapToGrid w:val="0"/>
              <w:spacing w:after="120"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2313" w:type="dxa"/>
            <w:vMerge w:val="continue"/>
            <w:vAlign w:val="center"/>
          </w:tcPr>
          <w:p>
            <w:pPr>
              <w:snapToGrid w:val="0"/>
              <w:spacing w:after="120" w:line="300" w:lineRule="auto"/>
              <w:rPr>
                <w:rFonts w:ascii="宋体" w:hAnsi="宋体" w:cs="宋体"/>
                <w:sz w:val="24"/>
              </w:rPr>
            </w:pPr>
          </w:p>
        </w:tc>
        <w:tc>
          <w:tcPr>
            <w:tcW w:w="1325" w:type="dxa"/>
            <w:vAlign w:val="center"/>
          </w:tcPr>
          <w:p>
            <w:pPr>
              <w:snapToGrid w:val="0"/>
              <w:spacing w:after="120" w:line="300" w:lineRule="auto"/>
              <w:rPr>
                <w:rFonts w:ascii="宋体" w:hAnsi="宋体" w:cs="宋体"/>
                <w:sz w:val="24"/>
              </w:rPr>
            </w:pPr>
          </w:p>
        </w:tc>
        <w:tc>
          <w:tcPr>
            <w:tcW w:w="797" w:type="dxa"/>
            <w:vAlign w:val="center"/>
          </w:tcPr>
          <w:p>
            <w:pPr>
              <w:snapToGrid w:val="0"/>
              <w:spacing w:after="120" w:line="300" w:lineRule="auto"/>
              <w:rPr>
                <w:rFonts w:ascii="宋体" w:hAnsi="宋体" w:cs="宋体"/>
                <w:sz w:val="24"/>
              </w:rPr>
            </w:pPr>
          </w:p>
        </w:tc>
        <w:tc>
          <w:tcPr>
            <w:tcW w:w="796" w:type="dxa"/>
            <w:vAlign w:val="center"/>
          </w:tcPr>
          <w:p>
            <w:pPr>
              <w:snapToGrid w:val="0"/>
              <w:spacing w:after="120" w:line="300" w:lineRule="auto"/>
              <w:rPr>
                <w:rFonts w:ascii="宋体" w:hAnsi="宋体" w:cs="宋体"/>
                <w:sz w:val="24"/>
              </w:rPr>
            </w:pPr>
          </w:p>
        </w:tc>
        <w:tc>
          <w:tcPr>
            <w:tcW w:w="929" w:type="dxa"/>
            <w:vAlign w:val="center"/>
          </w:tcPr>
          <w:p>
            <w:pPr>
              <w:snapToGrid w:val="0"/>
              <w:spacing w:after="120" w:line="300" w:lineRule="auto"/>
              <w:rPr>
                <w:rFonts w:ascii="宋体" w:hAnsi="宋体" w:cs="宋体"/>
                <w:sz w:val="24"/>
              </w:rPr>
            </w:pPr>
          </w:p>
        </w:tc>
        <w:tc>
          <w:tcPr>
            <w:tcW w:w="932" w:type="dxa"/>
            <w:vAlign w:val="center"/>
          </w:tcPr>
          <w:p>
            <w:pPr>
              <w:snapToGrid w:val="0"/>
              <w:spacing w:after="120" w:line="300" w:lineRule="auto"/>
              <w:rPr>
                <w:rFonts w:ascii="宋体" w:hAnsi="宋体" w:cs="宋体"/>
                <w:sz w:val="24"/>
              </w:rPr>
            </w:pPr>
          </w:p>
        </w:tc>
        <w:tc>
          <w:tcPr>
            <w:tcW w:w="1428" w:type="dxa"/>
            <w:vAlign w:val="center"/>
          </w:tcPr>
          <w:p>
            <w:pPr>
              <w:snapToGrid w:val="0"/>
              <w:spacing w:after="120"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8520" w:type="dxa"/>
            <w:gridSpan w:val="7"/>
            <w:vAlign w:val="center"/>
          </w:tcPr>
          <w:p>
            <w:pPr>
              <w:snapToGrid w:val="0"/>
              <w:spacing w:after="120" w:line="300" w:lineRule="auto"/>
              <w:rPr>
                <w:rFonts w:ascii="宋体" w:hAnsi="宋体" w:cs="宋体"/>
                <w:b/>
                <w:sz w:val="24"/>
              </w:rPr>
            </w:pPr>
            <w:r>
              <w:rPr>
                <w:rFonts w:hint="eastAsia" w:ascii="宋体" w:hAnsi="宋体" w:cs="宋体"/>
                <w:b/>
                <w:sz w:val="24"/>
              </w:rPr>
              <w:t>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2313" w:type="dxa"/>
            <w:vMerge w:val="restart"/>
          </w:tcPr>
          <w:p>
            <w:pPr>
              <w:snapToGrid w:val="0"/>
              <w:spacing w:after="120" w:line="300" w:lineRule="auto"/>
              <w:rPr>
                <w:rFonts w:ascii="宋体" w:hAnsi="宋体" w:cs="宋体"/>
                <w:sz w:val="24"/>
              </w:rPr>
            </w:pPr>
          </w:p>
        </w:tc>
        <w:tc>
          <w:tcPr>
            <w:tcW w:w="1325" w:type="dxa"/>
          </w:tcPr>
          <w:p>
            <w:pPr>
              <w:snapToGrid w:val="0"/>
              <w:spacing w:after="120" w:line="300" w:lineRule="auto"/>
              <w:rPr>
                <w:rFonts w:ascii="宋体" w:hAnsi="宋体" w:cs="宋体"/>
                <w:sz w:val="24"/>
              </w:rPr>
            </w:pPr>
          </w:p>
        </w:tc>
        <w:tc>
          <w:tcPr>
            <w:tcW w:w="797" w:type="dxa"/>
          </w:tcPr>
          <w:p>
            <w:pPr>
              <w:snapToGrid w:val="0"/>
              <w:spacing w:after="120" w:line="300" w:lineRule="auto"/>
              <w:rPr>
                <w:rFonts w:ascii="宋体" w:hAnsi="宋体" w:cs="宋体"/>
                <w:sz w:val="24"/>
              </w:rPr>
            </w:pPr>
          </w:p>
        </w:tc>
        <w:tc>
          <w:tcPr>
            <w:tcW w:w="796" w:type="dxa"/>
          </w:tcPr>
          <w:p>
            <w:pPr>
              <w:snapToGrid w:val="0"/>
              <w:spacing w:after="120" w:line="300" w:lineRule="auto"/>
              <w:rPr>
                <w:rFonts w:ascii="宋体" w:hAnsi="宋体" w:cs="宋体"/>
                <w:sz w:val="24"/>
              </w:rPr>
            </w:pPr>
          </w:p>
        </w:tc>
        <w:tc>
          <w:tcPr>
            <w:tcW w:w="929" w:type="dxa"/>
          </w:tcPr>
          <w:p>
            <w:pPr>
              <w:snapToGrid w:val="0"/>
              <w:spacing w:after="120" w:line="300" w:lineRule="auto"/>
              <w:jc w:val="center"/>
              <w:rPr>
                <w:rFonts w:ascii="宋体" w:hAnsi="宋体" w:cs="宋体"/>
                <w:sz w:val="24"/>
              </w:rPr>
            </w:pPr>
          </w:p>
        </w:tc>
        <w:tc>
          <w:tcPr>
            <w:tcW w:w="932" w:type="dxa"/>
          </w:tcPr>
          <w:p>
            <w:pPr>
              <w:snapToGrid w:val="0"/>
              <w:spacing w:after="120" w:line="300" w:lineRule="auto"/>
              <w:jc w:val="center"/>
              <w:rPr>
                <w:rFonts w:ascii="宋体" w:hAnsi="宋体" w:cs="宋体"/>
                <w:sz w:val="24"/>
              </w:rPr>
            </w:pPr>
          </w:p>
        </w:tc>
        <w:tc>
          <w:tcPr>
            <w:tcW w:w="1428" w:type="dxa"/>
          </w:tcPr>
          <w:p>
            <w:pPr>
              <w:snapToGrid w:val="0"/>
              <w:spacing w:after="120"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2313" w:type="dxa"/>
            <w:vMerge w:val="continue"/>
          </w:tcPr>
          <w:p>
            <w:pPr>
              <w:snapToGrid w:val="0"/>
              <w:spacing w:after="120" w:line="300" w:lineRule="auto"/>
              <w:rPr>
                <w:rFonts w:ascii="宋体" w:hAnsi="宋体" w:cs="宋体"/>
                <w:sz w:val="24"/>
              </w:rPr>
            </w:pPr>
          </w:p>
        </w:tc>
        <w:tc>
          <w:tcPr>
            <w:tcW w:w="1325" w:type="dxa"/>
          </w:tcPr>
          <w:p>
            <w:pPr>
              <w:snapToGrid w:val="0"/>
              <w:spacing w:after="120" w:line="300" w:lineRule="auto"/>
              <w:rPr>
                <w:rFonts w:ascii="宋体" w:hAnsi="宋体" w:cs="宋体"/>
                <w:sz w:val="24"/>
              </w:rPr>
            </w:pPr>
          </w:p>
        </w:tc>
        <w:tc>
          <w:tcPr>
            <w:tcW w:w="797" w:type="dxa"/>
          </w:tcPr>
          <w:p>
            <w:pPr>
              <w:snapToGrid w:val="0"/>
              <w:spacing w:after="120" w:line="300" w:lineRule="auto"/>
              <w:rPr>
                <w:rFonts w:ascii="宋体" w:hAnsi="宋体" w:cs="宋体"/>
                <w:sz w:val="24"/>
              </w:rPr>
            </w:pPr>
          </w:p>
        </w:tc>
        <w:tc>
          <w:tcPr>
            <w:tcW w:w="796" w:type="dxa"/>
          </w:tcPr>
          <w:p>
            <w:pPr>
              <w:snapToGrid w:val="0"/>
              <w:spacing w:after="120" w:line="300" w:lineRule="auto"/>
              <w:rPr>
                <w:rFonts w:ascii="宋体" w:hAnsi="宋体" w:cs="宋体"/>
                <w:sz w:val="24"/>
              </w:rPr>
            </w:pPr>
          </w:p>
        </w:tc>
        <w:tc>
          <w:tcPr>
            <w:tcW w:w="929" w:type="dxa"/>
          </w:tcPr>
          <w:p>
            <w:pPr>
              <w:snapToGrid w:val="0"/>
              <w:spacing w:after="120" w:line="300" w:lineRule="auto"/>
              <w:rPr>
                <w:rFonts w:ascii="宋体" w:hAnsi="宋体" w:cs="宋体"/>
                <w:sz w:val="24"/>
              </w:rPr>
            </w:pPr>
          </w:p>
        </w:tc>
        <w:tc>
          <w:tcPr>
            <w:tcW w:w="932" w:type="dxa"/>
          </w:tcPr>
          <w:p>
            <w:pPr>
              <w:snapToGrid w:val="0"/>
              <w:spacing w:after="120" w:line="300" w:lineRule="auto"/>
              <w:rPr>
                <w:rFonts w:ascii="宋体" w:hAnsi="宋体" w:cs="宋体"/>
                <w:sz w:val="24"/>
              </w:rPr>
            </w:pPr>
          </w:p>
        </w:tc>
        <w:tc>
          <w:tcPr>
            <w:tcW w:w="1428" w:type="dxa"/>
          </w:tcPr>
          <w:p>
            <w:pPr>
              <w:snapToGrid w:val="0"/>
              <w:spacing w:after="120"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2313" w:type="dxa"/>
            <w:vMerge w:val="restart"/>
          </w:tcPr>
          <w:p>
            <w:pPr>
              <w:snapToGrid w:val="0"/>
              <w:spacing w:after="120" w:line="300" w:lineRule="auto"/>
              <w:rPr>
                <w:rFonts w:ascii="宋体" w:hAnsi="宋体" w:cs="宋体"/>
                <w:sz w:val="24"/>
              </w:rPr>
            </w:pPr>
          </w:p>
          <w:p>
            <w:pPr>
              <w:snapToGrid w:val="0"/>
              <w:spacing w:after="120" w:line="300" w:lineRule="auto"/>
              <w:rPr>
                <w:rFonts w:ascii="宋体" w:hAnsi="宋体" w:cs="宋体"/>
                <w:sz w:val="24"/>
              </w:rPr>
            </w:pPr>
          </w:p>
        </w:tc>
        <w:tc>
          <w:tcPr>
            <w:tcW w:w="1325" w:type="dxa"/>
          </w:tcPr>
          <w:p>
            <w:pPr>
              <w:snapToGrid w:val="0"/>
              <w:spacing w:after="120" w:line="300" w:lineRule="auto"/>
              <w:rPr>
                <w:rFonts w:ascii="宋体" w:hAnsi="宋体" w:cs="宋体"/>
                <w:sz w:val="24"/>
              </w:rPr>
            </w:pPr>
          </w:p>
        </w:tc>
        <w:tc>
          <w:tcPr>
            <w:tcW w:w="797" w:type="dxa"/>
          </w:tcPr>
          <w:p>
            <w:pPr>
              <w:snapToGrid w:val="0"/>
              <w:spacing w:after="120" w:line="300" w:lineRule="auto"/>
              <w:rPr>
                <w:rFonts w:ascii="宋体" w:hAnsi="宋体" w:cs="宋体"/>
                <w:sz w:val="24"/>
              </w:rPr>
            </w:pPr>
          </w:p>
        </w:tc>
        <w:tc>
          <w:tcPr>
            <w:tcW w:w="796" w:type="dxa"/>
          </w:tcPr>
          <w:p>
            <w:pPr>
              <w:snapToGrid w:val="0"/>
              <w:spacing w:after="120" w:line="300" w:lineRule="auto"/>
              <w:rPr>
                <w:rFonts w:ascii="宋体" w:hAnsi="宋体" w:cs="宋体"/>
                <w:sz w:val="24"/>
              </w:rPr>
            </w:pPr>
          </w:p>
        </w:tc>
        <w:tc>
          <w:tcPr>
            <w:tcW w:w="929" w:type="dxa"/>
          </w:tcPr>
          <w:p>
            <w:pPr>
              <w:snapToGrid w:val="0"/>
              <w:spacing w:after="120" w:line="300" w:lineRule="auto"/>
              <w:rPr>
                <w:rFonts w:ascii="宋体" w:hAnsi="宋体" w:cs="宋体"/>
                <w:sz w:val="24"/>
              </w:rPr>
            </w:pPr>
          </w:p>
        </w:tc>
        <w:tc>
          <w:tcPr>
            <w:tcW w:w="932" w:type="dxa"/>
          </w:tcPr>
          <w:p>
            <w:pPr>
              <w:snapToGrid w:val="0"/>
              <w:spacing w:after="120" w:line="300" w:lineRule="auto"/>
              <w:rPr>
                <w:rFonts w:ascii="宋体" w:hAnsi="宋体" w:cs="宋体"/>
                <w:sz w:val="24"/>
              </w:rPr>
            </w:pPr>
          </w:p>
        </w:tc>
        <w:tc>
          <w:tcPr>
            <w:tcW w:w="1428" w:type="dxa"/>
          </w:tcPr>
          <w:p>
            <w:pPr>
              <w:snapToGrid w:val="0"/>
              <w:spacing w:after="120"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2313" w:type="dxa"/>
            <w:vMerge w:val="continue"/>
          </w:tcPr>
          <w:p>
            <w:pPr>
              <w:snapToGrid w:val="0"/>
              <w:spacing w:after="120" w:line="300" w:lineRule="auto"/>
              <w:rPr>
                <w:rFonts w:ascii="宋体" w:hAnsi="宋体" w:cs="宋体"/>
                <w:sz w:val="24"/>
              </w:rPr>
            </w:pPr>
          </w:p>
        </w:tc>
        <w:tc>
          <w:tcPr>
            <w:tcW w:w="1325" w:type="dxa"/>
          </w:tcPr>
          <w:p>
            <w:pPr>
              <w:snapToGrid w:val="0"/>
              <w:spacing w:after="120" w:line="300" w:lineRule="auto"/>
              <w:rPr>
                <w:rFonts w:ascii="宋体" w:hAnsi="宋体" w:cs="宋体"/>
                <w:sz w:val="24"/>
              </w:rPr>
            </w:pPr>
          </w:p>
        </w:tc>
        <w:tc>
          <w:tcPr>
            <w:tcW w:w="797" w:type="dxa"/>
          </w:tcPr>
          <w:p>
            <w:pPr>
              <w:snapToGrid w:val="0"/>
              <w:spacing w:after="120" w:line="300" w:lineRule="auto"/>
              <w:rPr>
                <w:rFonts w:ascii="宋体" w:hAnsi="宋体" w:cs="宋体"/>
                <w:sz w:val="24"/>
              </w:rPr>
            </w:pPr>
          </w:p>
        </w:tc>
        <w:tc>
          <w:tcPr>
            <w:tcW w:w="796" w:type="dxa"/>
          </w:tcPr>
          <w:p>
            <w:pPr>
              <w:snapToGrid w:val="0"/>
              <w:spacing w:after="120" w:line="300" w:lineRule="auto"/>
              <w:rPr>
                <w:rFonts w:ascii="宋体" w:hAnsi="宋体" w:cs="宋体"/>
                <w:sz w:val="24"/>
              </w:rPr>
            </w:pPr>
          </w:p>
        </w:tc>
        <w:tc>
          <w:tcPr>
            <w:tcW w:w="929" w:type="dxa"/>
          </w:tcPr>
          <w:p>
            <w:pPr>
              <w:snapToGrid w:val="0"/>
              <w:spacing w:after="120" w:line="300" w:lineRule="auto"/>
              <w:rPr>
                <w:rFonts w:ascii="宋体" w:hAnsi="宋体" w:cs="宋体"/>
                <w:sz w:val="24"/>
              </w:rPr>
            </w:pPr>
          </w:p>
        </w:tc>
        <w:tc>
          <w:tcPr>
            <w:tcW w:w="932" w:type="dxa"/>
          </w:tcPr>
          <w:p>
            <w:pPr>
              <w:snapToGrid w:val="0"/>
              <w:spacing w:after="120" w:line="300" w:lineRule="auto"/>
              <w:rPr>
                <w:rFonts w:ascii="宋体" w:hAnsi="宋体" w:cs="宋体"/>
                <w:sz w:val="24"/>
              </w:rPr>
            </w:pPr>
          </w:p>
        </w:tc>
        <w:tc>
          <w:tcPr>
            <w:tcW w:w="1428" w:type="dxa"/>
          </w:tcPr>
          <w:p>
            <w:pPr>
              <w:snapToGrid w:val="0"/>
              <w:spacing w:after="120"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2313" w:type="dxa"/>
            <w:vMerge w:val="restart"/>
          </w:tcPr>
          <w:p>
            <w:pPr>
              <w:snapToGrid w:val="0"/>
              <w:spacing w:after="120" w:line="300" w:lineRule="auto"/>
              <w:rPr>
                <w:rFonts w:ascii="宋体" w:hAnsi="宋体" w:cs="宋体"/>
                <w:sz w:val="24"/>
              </w:rPr>
            </w:pPr>
          </w:p>
        </w:tc>
        <w:tc>
          <w:tcPr>
            <w:tcW w:w="1325" w:type="dxa"/>
          </w:tcPr>
          <w:p>
            <w:pPr>
              <w:snapToGrid w:val="0"/>
              <w:spacing w:after="120" w:line="300" w:lineRule="auto"/>
              <w:rPr>
                <w:rFonts w:ascii="宋体" w:hAnsi="宋体" w:cs="宋体"/>
                <w:sz w:val="24"/>
              </w:rPr>
            </w:pPr>
          </w:p>
        </w:tc>
        <w:tc>
          <w:tcPr>
            <w:tcW w:w="797" w:type="dxa"/>
          </w:tcPr>
          <w:p>
            <w:pPr>
              <w:snapToGrid w:val="0"/>
              <w:spacing w:after="120" w:line="300" w:lineRule="auto"/>
              <w:rPr>
                <w:rFonts w:ascii="宋体" w:hAnsi="宋体" w:cs="宋体"/>
                <w:sz w:val="24"/>
              </w:rPr>
            </w:pPr>
          </w:p>
        </w:tc>
        <w:tc>
          <w:tcPr>
            <w:tcW w:w="796" w:type="dxa"/>
          </w:tcPr>
          <w:p>
            <w:pPr>
              <w:snapToGrid w:val="0"/>
              <w:spacing w:after="120" w:line="300" w:lineRule="auto"/>
              <w:rPr>
                <w:rFonts w:ascii="宋体" w:hAnsi="宋体" w:cs="宋体"/>
                <w:sz w:val="24"/>
              </w:rPr>
            </w:pPr>
          </w:p>
        </w:tc>
        <w:tc>
          <w:tcPr>
            <w:tcW w:w="929" w:type="dxa"/>
          </w:tcPr>
          <w:p>
            <w:pPr>
              <w:snapToGrid w:val="0"/>
              <w:spacing w:after="120" w:line="300" w:lineRule="auto"/>
              <w:rPr>
                <w:rFonts w:ascii="宋体" w:hAnsi="宋体" w:cs="宋体"/>
                <w:sz w:val="24"/>
              </w:rPr>
            </w:pPr>
          </w:p>
        </w:tc>
        <w:tc>
          <w:tcPr>
            <w:tcW w:w="932" w:type="dxa"/>
          </w:tcPr>
          <w:p>
            <w:pPr>
              <w:snapToGrid w:val="0"/>
              <w:spacing w:after="120" w:line="300" w:lineRule="auto"/>
              <w:rPr>
                <w:rFonts w:ascii="宋体" w:hAnsi="宋体" w:cs="宋体"/>
                <w:sz w:val="24"/>
              </w:rPr>
            </w:pPr>
          </w:p>
        </w:tc>
        <w:tc>
          <w:tcPr>
            <w:tcW w:w="1428" w:type="dxa"/>
          </w:tcPr>
          <w:p>
            <w:pPr>
              <w:snapToGrid w:val="0"/>
              <w:spacing w:after="120" w:line="30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2313" w:type="dxa"/>
            <w:vMerge w:val="continue"/>
          </w:tcPr>
          <w:p>
            <w:pPr>
              <w:snapToGrid w:val="0"/>
              <w:spacing w:after="120" w:line="300" w:lineRule="auto"/>
              <w:rPr>
                <w:rFonts w:ascii="宋体" w:hAnsi="宋体" w:cs="宋体"/>
                <w:sz w:val="24"/>
              </w:rPr>
            </w:pPr>
          </w:p>
        </w:tc>
        <w:tc>
          <w:tcPr>
            <w:tcW w:w="1325" w:type="dxa"/>
          </w:tcPr>
          <w:p>
            <w:pPr>
              <w:snapToGrid w:val="0"/>
              <w:spacing w:after="120" w:line="300" w:lineRule="auto"/>
              <w:rPr>
                <w:rFonts w:ascii="宋体" w:hAnsi="宋体" w:cs="宋体"/>
                <w:sz w:val="24"/>
              </w:rPr>
            </w:pPr>
          </w:p>
        </w:tc>
        <w:tc>
          <w:tcPr>
            <w:tcW w:w="797" w:type="dxa"/>
          </w:tcPr>
          <w:p>
            <w:pPr>
              <w:snapToGrid w:val="0"/>
              <w:spacing w:after="120" w:line="300" w:lineRule="auto"/>
              <w:rPr>
                <w:rFonts w:ascii="宋体" w:hAnsi="宋体" w:cs="宋体"/>
                <w:sz w:val="24"/>
              </w:rPr>
            </w:pPr>
          </w:p>
        </w:tc>
        <w:tc>
          <w:tcPr>
            <w:tcW w:w="796" w:type="dxa"/>
          </w:tcPr>
          <w:p>
            <w:pPr>
              <w:snapToGrid w:val="0"/>
              <w:spacing w:after="120" w:line="300" w:lineRule="auto"/>
              <w:rPr>
                <w:rFonts w:ascii="宋体" w:hAnsi="宋体" w:cs="宋体"/>
                <w:sz w:val="24"/>
              </w:rPr>
            </w:pPr>
          </w:p>
        </w:tc>
        <w:tc>
          <w:tcPr>
            <w:tcW w:w="929" w:type="dxa"/>
          </w:tcPr>
          <w:p>
            <w:pPr>
              <w:snapToGrid w:val="0"/>
              <w:spacing w:after="120" w:line="300" w:lineRule="auto"/>
              <w:rPr>
                <w:rFonts w:ascii="宋体" w:hAnsi="宋体" w:cs="宋体"/>
                <w:sz w:val="24"/>
              </w:rPr>
            </w:pPr>
          </w:p>
        </w:tc>
        <w:tc>
          <w:tcPr>
            <w:tcW w:w="932" w:type="dxa"/>
          </w:tcPr>
          <w:p>
            <w:pPr>
              <w:snapToGrid w:val="0"/>
              <w:spacing w:after="120" w:line="300" w:lineRule="auto"/>
              <w:rPr>
                <w:rFonts w:ascii="宋体" w:hAnsi="宋体" w:cs="宋体"/>
                <w:sz w:val="24"/>
              </w:rPr>
            </w:pPr>
          </w:p>
        </w:tc>
        <w:tc>
          <w:tcPr>
            <w:tcW w:w="1428" w:type="dxa"/>
          </w:tcPr>
          <w:p>
            <w:pPr>
              <w:snapToGrid w:val="0"/>
              <w:spacing w:after="120" w:line="300" w:lineRule="auto"/>
              <w:rPr>
                <w:rFonts w:ascii="宋体" w:hAnsi="宋体" w:cs="宋体"/>
                <w:sz w:val="24"/>
              </w:rPr>
            </w:pPr>
          </w:p>
        </w:tc>
      </w:tr>
    </w:tbl>
    <w:p>
      <w:pPr>
        <w:snapToGrid w:val="0"/>
        <w:spacing w:line="360" w:lineRule="auto"/>
        <w:rPr>
          <w:rFonts w:ascii="宋体" w:hAnsi="宋体" w:cs="宋体"/>
          <w:sz w:val="24"/>
        </w:rPr>
      </w:pPr>
      <w:r>
        <w:rPr>
          <w:rFonts w:hint="eastAsia" w:ascii="宋体" w:hAnsi="宋体" w:cs="宋体"/>
          <w:sz w:val="24"/>
        </w:rPr>
        <w:t>注：1. 本表所列为随投标设备所带的专用工具和备品备件。</w:t>
      </w:r>
    </w:p>
    <w:p>
      <w:pPr>
        <w:snapToGrid w:val="0"/>
        <w:spacing w:line="360" w:lineRule="auto"/>
        <w:rPr>
          <w:rFonts w:ascii="宋体" w:hAnsi="宋体" w:cs="宋体"/>
          <w:sz w:val="24"/>
        </w:rPr>
      </w:pPr>
      <w:r>
        <w:rPr>
          <w:rFonts w:hint="eastAsia" w:ascii="宋体" w:hAnsi="宋体" w:cs="宋体"/>
          <w:sz w:val="24"/>
        </w:rPr>
        <w:t xml:space="preserve">    2. 本表中所列价格应计入投标总价。</w:t>
      </w:r>
    </w:p>
    <w:p>
      <w:pPr>
        <w:spacing w:line="360" w:lineRule="auto"/>
        <w:rPr>
          <w:rFonts w:ascii="宋体" w:hAnsi="宋体" w:cs="宋体"/>
          <w:sz w:val="24"/>
        </w:rPr>
      </w:pPr>
      <w:r>
        <w:rPr>
          <w:rFonts w:hint="eastAsia" w:ascii="宋体" w:hAnsi="宋体" w:cs="宋体"/>
          <w:sz w:val="24"/>
        </w:rPr>
        <w:t xml:space="preserve">    3. 此表仅提供了表格形式，</w:t>
      </w:r>
      <w:r>
        <w:rPr>
          <w:rFonts w:hint="eastAsia" w:ascii="宋体" w:hAnsi="宋体" w:cs="宋体"/>
          <w:sz w:val="24"/>
          <w:lang w:eastAsia="zh-CN"/>
        </w:rPr>
        <w:t>供应商</w:t>
      </w:r>
      <w:r>
        <w:rPr>
          <w:rFonts w:hint="eastAsia" w:ascii="宋体" w:hAnsi="宋体" w:cs="宋体"/>
          <w:sz w:val="24"/>
        </w:rPr>
        <w:t>应根据需要准备足够数量的表格来填写。</w:t>
      </w:r>
    </w:p>
    <w:p>
      <w:pPr>
        <w:spacing w:line="360" w:lineRule="auto"/>
        <w:ind w:firstLine="480" w:firstLineChars="200"/>
        <w:rPr>
          <w:rFonts w:ascii="宋体" w:hAnsi="宋体" w:cs="宋体"/>
          <w:sz w:val="24"/>
        </w:rPr>
      </w:pPr>
      <w:r>
        <w:rPr>
          <w:rFonts w:hint="eastAsia" w:ascii="宋体" w:hAnsi="宋体" w:cs="宋体"/>
          <w:sz w:val="24"/>
        </w:rPr>
        <w:t>4. 如无此项内容，投标时需说明。</w:t>
      </w:r>
    </w:p>
    <w:p>
      <w:pPr>
        <w:pStyle w:val="2"/>
        <w:rPr>
          <w:rFonts w:ascii="宋体" w:hAnsi="宋体" w:cs="宋体"/>
          <w:bCs/>
          <w:sz w:val="24"/>
        </w:rPr>
      </w:pP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全称（公章）：</w:t>
      </w: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 xml:space="preserve">代表签名（或盖章）：                       </w:t>
      </w:r>
    </w:p>
    <w:p>
      <w:pPr>
        <w:spacing w:line="480" w:lineRule="auto"/>
        <w:rPr>
          <w:rFonts w:ascii="宋体" w:hAnsi="宋体" w:cs="宋体"/>
          <w:sz w:val="24"/>
        </w:rPr>
      </w:pPr>
      <w:r>
        <w:rPr>
          <w:rFonts w:hint="eastAsia" w:ascii="宋体" w:hAnsi="宋体" w:cs="宋体"/>
          <w:sz w:val="24"/>
        </w:rPr>
        <w:t>日 期：</w:t>
      </w:r>
    </w:p>
    <w:p>
      <w:pPr>
        <w:spacing w:line="360" w:lineRule="auto"/>
        <w:rPr>
          <w:rFonts w:ascii="宋体" w:hAnsi="宋体"/>
          <w:b/>
          <w:sz w:val="28"/>
        </w:rPr>
      </w:pPr>
    </w:p>
    <w:p>
      <w:pPr>
        <w:spacing w:line="360" w:lineRule="auto"/>
        <w:rPr>
          <w:rFonts w:ascii="宋体" w:hAnsi="宋体"/>
          <w:b/>
          <w:sz w:val="28"/>
        </w:rPr>
      </w:pPr>
      <w:bookmarkStart w:id="68" w:name="_Toc24442_WPSOffice_Level1"/>
      <w:r>
        <w:rPr>
          <w:rFonts w:hint="eastAsia" w:ascii="宋体" w:hAnsi="宋体"/>
          <w:b/>
          <w:sz w:val="28"/>
        </w:rPr>
        <w:t>附件1</w:t>
      </w:r>
      <w:r>
        <w:rPr>
          <w:rFonts w:hint="eastAsia" w:ascii="宋体" w:hAnsi="宋体"/>
          <w:b/>
          <w:sz w:val="28"/>
          <w:lang w:val="en-US" w:eastAsia="zh-CN"/>
        </w:rPr>
        <w:t>5</w:t>
      </w:r>
      <w:r>
        <w:rPr>
          <w:rFonts w:hint="eastAsia" w:ascii="宋体" w:hAnsi="宋体"/>
          <w:b/>
          <w:sz w:val="28"/>
        </w:rPr>
        <w:t>：</w:t>
      </w:r>
      <w:bookmarkEnd w:id="68"/>
    </w:p>
    <w:p>
      <w:pPr>
        <w:spacing w:line="360" w:lineRule="auto"/>
        <w:jc w:val="center"/>
        <w:rPr>
          <w:rFonts w:ascii="宋体" w:hAnsi="宋体" w:cs="宋体"/>
          <w:b/>
          <w:sz w:val="32"/>
          <w:szCs w:val="32"/>
        </w:rPr>
      </w:pPr>
      <w:bookmarkStart w:id="69" w:name="_Toc6128_WPSOffice_Level1"/>
      <w:bookmarkStart w:id="70" w:name="_Toc7835_WPSOffice_Level1"/>
      <w:r>
        <w:rPr>
          <w:rFonts w:hint="eastAsia" w:ascii="宋体" w:hAnsi="宋体" w:cs="宋体"/>
          <w:b/>
          <w:sz w:val="32"/>
          <w:szCs w:val="32"/>
          <w:lang w:eastAsia="zh-CN"/>
        </w:rPr>
        <w:t>供应商</w:t>
      </w:r>
      <w:r>
        <w:rPr>
          <w:rFonts w:hint="eastAsia" w:ascii="宋体" w:hAnsi="宋体" w:cs="宋体"/>
          <w:b/>
          <w:sz w:val="32"/>
          <w:szCs w:val="32"/>
        </w:rPr>
        <w:t>推荐的供选择的配套零部件及价格表</w:t>
      </w:r>
      <w:bookmarkEnd w:id="69"/>
      <w:bookmarkEnd w:id="70"/>
    </w:p>
    <w:p>
      <w:pPr>
        <w:ind w:firstLine="1108" w:firstLineChars="345"/>
        <w:rPr>
          <w:rFonts w:ascii="宋体" w:hAnsi="宋体" w:cs="宋体"/>
          <w:b/>
          <w:sz w:val="32"/>
          <w:szCs w:val="32"/>
        </w:rPr>
      </w:pPr>
      <w:r>
        <w:rPr>
          <w:rFonts w:hint="eastAsia" w:ascii="宋体" w:hAnsi="宋体" w:cs="宋体"/>
          <w:b/>
          <w:sz w:val="32"/>
          <w:szCs w:val="32"/>
        </w:rPr>
        <w:t xml:space="preserve">               （质保期外）</w:t>
      </w:r>
    </w:p>
    <w:tbl>
      <w:tblPr>
        <w:tblStyle w:val="29"/>
        <w:tblW w:w="85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2074"/>
        <w:gridCol w:w="842"/>
        <w:gridCol w:w="1009"/>
        <w:gridCol w:w="1095"/>
        <w:gridCol w:w="1095"/>
        <w:gridCol w:w="11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Merge w:val="restart"/>
            <w:vAlign w:val="center"/>
          </w:tcPr>
          <w:p>
            <w:pPr>
              <w:spacing w:line="500" w:lineRule="exact"/>
              <w:jc w:val="center"/>
              <w:rPr>
                <w:rFonts w:ascii="宋体" w:hAnsi="宋体" w:cs="宋体"/>
                <w:sz w:val="24"/>
              </w:rPr>
            </w:pPr>
            <w:r>
              <w:rPr>
                <w:rFonts w:hint="eastAsia" w:ascii="宋体" w:hAnsi="宋体" w:cs="宋体"/>
                <w:sz w:val="24"/>
              </w:rPr>
              <w:t>名称及编号</w:t>
            </w:r>
          </w:p>
        </w:tc>
        <w:tc>
          <w:tcPr>
            <w:tcW w:w="2074" w:type="dxa"/>
            <w:vMerge w:val="restart"/>
            <w:vAlign w:val="center"/>
          </w:tcPr>
          <w:p>
            <w:pPr>
              <w:spacing w:line="500" w:lineRule="exact"/>
              <w:jc w:val="center"/>
              <w:rPr>
                <w:rFonts w:ascii="宋体" w:hAnsi="宋体" w:cs="宋体"/>
                <w:sz w:val="24"/>
              </w:rPr>
            </w:pPr>
            <w:r>
              <w:rPr>
                <w:rFonts w:hint="eastAsia" w:ascii="宋体" w:hAnsi="宋体" w:cs="宋体"/>
                <w:sz w:val="24"/>
              </w:rPr>
              <w:t>备件名称</w:t>
            </w:r>
          </w:p>
        </w:tc>
        <w:tc>
          <w:tcPr>
            <w:tcW w:w="842" w:type="dxa"/>
            <w:vMerge w:val="restart"/>
            <w:vAlign w:val="center"/>
          </w:tcPr>
          <w:p>
            <w:pPr>
              <w:spacing w:line="500" w:lineRule="exact"/>
              <w:jc w:val="center"/>
              <w:rPr>
                <w:rFonts w:ascii="宋体" w:hAnsi="宋体" w:cs="宋体"/>
                <w:sz w:val="24"/>
              </w:rPr>
            </w:pPr>
            <w:r>
              <w:rPr>
                <w:rFonts w:hint="eastAsia" w:ascii="宋体" w:hAnsi="宋体" w:cs="宋体"/>
                <w:sz w:val="24"/>
              </w:rPr>
              <w:t>数量</w:t>
            </w:r>
          </w:p>
        </w:tc>
        <w:tc>
          <w:tcPr>
            <w:tcW w:w="1009" w:type="dxa"/>
            <w:vMerge w:val="restart"/>
            <w:vAlign w:val="center"/>
          </w:tcPr>
          <w:p>
            <w:pPr>
              <w:spacing w:line="500" w:lineRule="exact"/>
              <w:jc w:val="center"/>
              <w:rPr>
                <w:rFonts w:ascii="宋体" w:hAnsi="宋体" w:cs="宋体"/>
                <w:sz w:val="24"/>
              </w:rPr>
            </w:pPr>
            <w:r>
              <w:rPr>
                <w:rFonts w:hint="eastAsia" w:ascii="宋体" w:hAnsi="宋体" w:cs="宋体"/>
                <w:sz w:val="24"/>
              </w:rPr>
              <w:t>单位</w:t>
            </w:r>
          </w:p>
        </w:tc>
        <w:tc>
          <w:tcPr>
            <w:tcW w:w="2190" w:type="dxa"/>
            <w:gridSpan w:val="2"/>
            <w:vAlign w:val="center"/>
          </w:tcPr>
          <w:p>
            <w:pPr>
              <w:spacing w:line="500" w:lineRule="exact"/>
              <w:jc w:val="center"/>
              <w:rPr>
                <w:rFonts w:ascii="宋体" w:hAnsi="宋体" w:cs="宋体"/>
                <w:sz w:val="24"/>
              </w:rPr>
            </w:pPr>
            <w:r>
              <w:rPr>
                <w:rFonts w:hint="eastAsia" w:ascii="宋体" w:hAnsi="宋体" w:cs="宋体"/>
                <w:sz w:val="24"/>
              </w:rPr>
              <w:t>价格（元）</w:t>
            </w:r>
          </w:p>
        </w:tc>
        <w:tc>
          <w:tcPr>
            <w:tcW w:w="1125" w:type="dxa"/>
            <w:vMerge w:val="restart"/>
            <w:vAlign w:val="center"/>
          </w:tcPr>
          <w:p>
            <w:pPr>
              <w:spacing w:line="500" w:lineRule="exact"/>
              <w:jc w:val="center"/>
              <w:rPr>
                <w:rFonts w:ascii="宋体" w:hAnsi="宋体" w:cs="宋体"/>
                <w:sz w:val="24"/>
              </w:rPr>
            </w:pPr>
            <w:r>
              <w:rPr>
                <w:rFonts w:hint="eastAsia" w:ascii="宋体" w:hAnsi="宋体" w:cs="宋体"/>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Merge w:val="continue"/>
            <w:vAlign w:val="center"/>
          </w:tcPr>
          <w:p>
            <w:pPr>
              <w:spacing w:line="500" w:lineRule="exact"/>
              <w:jc w:val="center"/>
              <w:rPr>
                <w:rFonts w:ascii="宋体" w:hAnsi="宋体" w:cs="宋体"/>
                <w:sz w:val="24"/>
              </w:rPr>
            </w:pPr>
          </w:p>
        </w:tc>
        <w:tc>
          <w:tcPr>
            <w:tcW w:w="2074" w:type="dxa"/>
            <w:vMerge w:val="continue"/>
            <w:vAlign w:val="center"/>
          </w:tcPr>
          <w:p>
            <w:pPr>
              <w:spacing w:line="500" w:lineRule="exact"/>
              <w:jc w:val="center"/>
              <w:rPr>
                <w:rFonts w:ascii="宋体" w:hAnsi="宋体" w:cs="宋体"/>
                <w:sz w:val="24"/>
              </w:rPr>
            </w:pPr>
          </w:p>
        </w:tc>
        <w:tc>
          <w:tcPr>
            <w:tcW w:w="842" w:type="dxa"/>
            <w:vMerge w:val="continue"/>
            <w:vAlign w:val="center"/>
          </w:tcPr>
          <w:p>
            <w:pPr>
              <w:spacing w:line="500" w:lineRule="exact"/>
              <w:jc w:val="center"/>
              <w:rPr>
                <w:rFonts w:ascii="宋体" w:hAnsi="宋体" w:cs="宋体"/>
                <w:sz w:val="24"/>
              </w:rPr>
            </w:pPr>
          </w:p>
        </w:tc>
        <w:tc>
          <w:tcPr>
            <w:tcW w:w="1009" w:type="dxa"/>
            <w:vMerge w:val="continue"/>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r>
              <w:rPr>
                <w:rFonts w:hint="eastAsia" w:ascii="宋体" w:hAnsi="宋体" w:cs="宋体"/>
                <w:sz w:val="24"/>
              </w:rPr>
              <w:t>单价</w:t>
            </w:r>
          </w:p>
        </w:tc>
        <w:tc>
          <w:tcPr>
            <w:tcW w:w="1095" w:type="dxa"/>
            <w:vAlign w:val="center"/>
          </w:tcPr>
          <w:p>
            <w:pPr>
              <w:spacing w:line="500" w:lineRule="exact"/>
              <w:jc w:val="center"/>
              <w:rPr>
                <w:rFonts w:ascii="宋体" w:hAnsi="宋体" w:cs="宋体"/>
                <w:sz w:val="24"/>
              </w:rPr>
            </w:pPr>
            <w:r>
              <w:rPr>
                <w:rFonts w:hint="eastAsia" w:ascii="宋体" w:hAnsi="宋体" w:cs="宋体"/>
                <w:sz w:val="24"/>
              </w:rPr>
              <w:t>总价</w:t>
            </w:r>
          </w:p>
        </w:tc>
        <w:tc>
          <w:tcPr>
            <w:tcW w:w="1125" w:type="dxa"/>
            <w:vMerge w:val="continue"/>
            <w:vAlign w:val="center"/>
          </w:tcPr>
          <w:p>
            <w:pPr>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Align w:val="center"/>
          </w:tcPr>
          <w:p>
            <w:pPr>
              <w:spacing w:line="500" w:lineRule="exact"/>
              <w:jc w:val="center"/>
              <w:rPr>
                <w:rFonts w:ascii="宋体" w:hAnsi="宋体" w:cs="宋体"/>
                <w:sz w:val="24"/>
              </w:rPr>
            </w:pPr>
          </w:p>
        </w:tc>
        <w:tc>
          <w:tcPr>
            <w:tcW w:w="2074" w:type="dxa"/>
            <w:vAlign w:val="center"/>
          </w:tcPr>
          <w:p>
            <w:pPr>
              <w:spacing w:line="500" w:lineRule="exact"/>
              <w:jc w:val="center"/>
              <w:rPr>
                <w:rFonts w:ascii="宋体" w:hAnsi="宋体" w:cs="宋体"/>
                <w:sz w:val="24"/>
              </w:rPr>
            </w:pPr>
          </w:p>
        </w:tc>
        <w:tc>
          <w:tcPr>
            <w:tcW w:w="842" w:type="dxa"/>
            <w:vAlign w:val="center"/>
          </w:tcPr>
          <w:p>
            <w:pPr>
              <w:spacing w:line="500" w:lineRule="exact"/>
              <w:jc w:val="center"/>
              <w:rPr>
                <w:rFonts w:ascii="宋体" w:hAnsi="宋体" w:cs="宋体"/>
                <w:sz w:val="24"/>
              </w:rPr>
            </w:pPr>
          </w:p>
        </w:tc>
        <w:tc>
          <w:tcPr>
            <w:tcW w:w="1009"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125" w:type="dxa"/>
            <w:vAlign w:val="center"/>
          </w:tcPr>
          <w:p>
            <w:pPr>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Align w:val="center"/>
          </w:tcPr>
          <w:p>
            <w:pPr>
              <w:spacing w:line="500" w:lineRule="exact"/>
              <w:jc w:val="center"/>
              <w:rPr>
                <w:rFonts w:ascii="宋体" w:hAnsi="宋体" w:cs="宋体"/>
                <w:sz w:val="24"/>
              </w:rPr>
            </w:pPr>
          </w:p>
        </w:tc>
        <w:tc>
          <w:tcPr>
            <w:tcW w:w="2074" w:type="dxa"/>
            <w:vAlign w:val="center"/>
          </w:tcPr>
          <w:p>
            <w:pPr>
              <w:spacing w:line="500" w:lineRule="exact"/>
              <w:jc w:val="center"/>
              <w:rPr>
                <w:rFonts w:ascii="宋体" w:hAnsi="宋体" w:cs="宋体"/>
                <w:sz w:val="24"/>
              </w:rPr>
            </w:pPr>
          </w:p>
        </w:tc>
        <w:tc>
          <w:tcPr>
            <w:tcW w:w="842" w:type="dxa"/>
            <w:vAlign w:val="center"/>
          </w:tcPr>
          <w:p>
            <w:pPr>
              <w:spacing w:line="500" w:lineRule="exact"/>
              <w:jc w:val="center"/>
              <w:rPr>
                <w:rFonts w:ascii="宋体" w:hAnsi="宋体" w:cs="宋体"/>
                <w:sz w:val="24"/>
              </w:rPr>
            </w:pPr>
          </w:p>
        </w:tc>
        <w:tc>
          <w:tcPr>
            <w:tcW w:w="1009"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125" w:type="dxa"/>
            <w:vAlign w:val="center"/>
          </w:tcPr>
          <w:p>
            <w:pPr>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Align w:val="center"/>
          </w:tcPr>
          <w:p>
            <w:pPr>
              <w:spacing w:line="500" w:lineRule="exact"/>
              <w:jc w:val="center"/>
              <w:rPr>
                <w:rFonts w:ascii="宋体" w:hAnsi="宋体" w:cs="宋体"/>
                <w:sz w:val="24"/>
              </w:rPr>
            </w:pPr>
          </w:p>
        </w:tc>
        <w:tc>
          <w:tcPr>
            <w:tcW w:w="2074" w:type="dxa"/>
            <w:vAlign w:val="center"/>
          </w:tcPr>
          <w:p>
            <w:pPr>
              <w:spacing w:line="500" w:lineRule="exact"/>
              <w:jc w:val="center"/>
              <w:rPr>
                <w:rFonts w:ascii="宋体" w:hAnsi="宋体" w:cs="宋体"/>
                <w:sz w:val="24"/>
              </w:rPr>
            </w:pPr>
          </w:p>
        </w:tc>
        <w:tc>
          <w:tcPr>
            <w:tcW w:w="842" w:type="dxa"/>
            <w:vAlign w:val="center"/>
          </w:tcPr>
          <w:p>
            <w:pPr>
              <w:spacing w:line="500" w:lineRule="exact"/>
              <w:jc w:val="center"/>
              <w:rPr>
                <w:rFonts w:ascii="宋体" w:hAnsi="宋体" w:cs="宋体"/>
                <w:sz w:val="24"/>
              </w:rPr>
            </w:pPr>
          </w:p>
        </w:tc>
        <w:tc>
          <w:tcPr>
            <w:tcW w:w="1009"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125" w:type="dxa"/>
            <w:vAlign w:val="center"/>
          </w:tcPr>
          <w:p>
            <w:pPr>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Align w:val="center"/>
          </w:tcPr>
          <w:p>
            <w:pPr>
              <w:spacing w:line="500" w:lineRule="exact"/>
              <w:jc w:val="center"/>
              <w:rPr>
                <w:rFonts w:ascii="宋体" w:hAnsi="宋体" w:cs="宋体"/>
                <w:sz w:val="24"/>
              </w:rPr>
            </w:pPr>
          </w:p>
        </w:tc>
        <w:tc>
          <w:tcPr>
            <w:tcW w:w="2074" w:type="dxa"/>
            <w:vAlign w:val="center"/>
          </w:tcPr>
          <w:p>
            <w:pPr>
              <w:spacing w:line="500" w:lineRule="exact"/>
              <w:jc w:val="center"/>
              <w:rPr>
                <w:rFonts w:ascii="宋体" w:hAnsi="宋体" w:cs="宋体"/>
                <w:sz w:val="24"/>
              </w:rPr>
            </w:pPr>
          </w:p>
        </w:tc>
        <w:tc>
          <w:tcPr>
            <w:tcW w:w="842" w:type="dxa"/>
            <w:vAlign w:val="center"/>
          </w:tcPr>
          <w:p>
            <w:pPr>
              <w:spacing w:line="500" w:lineRule="exact"/>
              <w:jc w:val="center"/>
              <w:rPr>
                <w:rFonts w:ascii="宋体" w:hAnsi="宋体" w:cs="宋体"/>
                <w:sz w:val="24"/>
              </w:rPr>
            </w:pPr>
          </w:p>
        </w:tc>
        <w:tc>
          <w:tcPr>
            <w:tcW w:w="1009"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125" w:type="dxa"/>
            <w:vAlign w:val="center"/>
          </w:tcPr>
          <w:p>
            <w:pPr>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Align w:val="center"/>
          </w:tcPr>
          <w:p>
            <w:pPr>
              <w:spacing w:line="500" w:lineRule="exact"/>
              <w:jc w:val="center"/>
              <w:rPr>
                <w:rFonts w:ascii="宋体" w:hAnsi="宋体" w:cs="宋体"/>
                <w:sz w:val="24"/>
              </w:rPr>
            </w:pPr>
          </w:p>
        </w:tc>
        <w:tc>
          <w:tcPr>
            <w:tcW w:w="2074" w:type="dxa"/>
            <w:vAlign w:val="center"/>
          </w:tcPr>
          <w:p>
            <w:pPr>
              <w:spacing w:line="500" w:lineRule="exact"/>
              <w:jc w:val="center"/>
              <w:rPr>
                <w:rFonts w:ascii="宋体" w:hAnsi="宋体" w:cs="宋体"/>
                <w:sz w:val="24"/>
              </w:rPr>
            </w:pPr>
          </w:p>
        </w:tc>
        <w:tc>
          <w:tcPr>
            <w:tcW w:w="842" w:type="dxa"/>
            <w:vAlign w:val="center"/>
          </w:tcPr>
          <w:p>
            <w:pPr>
              <w:spacing w:line="500" w:lineRule="exact"/>
              <w:jc w:val="center"/>
              <w:rPr>
                <w:rFonts w:ascii="宋体" w:hAnsi="宋体" w:cs="宋体"/>
                <w:sz w:val="24"/>
              </w:rPr>
            </w:pPr>
          </w:p>
        </w:tc>
        <w:tc>
          <w:tcPr>
            <w:tcW w:w="1009"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125" w:type="dxa"/>
            <w:vAlign w:val="center"/>
          </w:tcPr>
          <w:p>
            <w:pPr>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Align w:val="center"/>
          </w:tcPr>
          <w:p>
            <w:pPr>
              <w:spacing w:line="500" w:lineRule="exact"/>
              <w:jc w:val="center"/>
              <w:rPr>
                <w:rFonts w:ascii="宋体" w:hAnsi="宋体" w:cs="宋体"/>
                <w:sz w:val="24"/>
              </w:rPr>
            </w:pPr>
          </w:p>
        </w:tc>
        <w:tc>
          <w:tcPr>
            <w:tcW w:w="2074" w:type="dxa"/>
            <w:vAlign w:val="center"/>
          </w:tcPr>
          <w:p>
            <w:pPr>
              <w:spacing w:line="500" w:lineRule="exact"/>
              <w:jc w:val="center"/>
              <w:rPr>
                <w:rFonts w:ascii="宋体" w:hAnsi="宋体" w:cs="宋体"/>
                <w:sz w:val="24"/>
              </w:rPr>
            </w:pPr>
          </w:p>
        </w:tc>
        <w:tc>
          <w:tcPr>
            <w:tcW w:w="842" w:type="dxa"/>
            <w:vAlign w:val="center"/>
          </w:tcPr>
          <w:p>
            <w:pPr>
              <w:spacing w:line="500" w:lineRule="exact"/>
              <w:jc w:val="center"/>
              <w:rPr>
                <w:rFonts w:ascii="宋体" w:hAnsi="宋体" w:cs="宋体"/>
                <w:sz w:val="24"/>
              </w:rPr>
            </w:pPr>
          </w:p>
        </w:tc>
        <w:tc>
          <w:tcPr>
            <w:tcW w:w="1009"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125" w:type="dxa"/>
            <w:vAlign w:val="center"/>
          </w:tcPr>
          <w:p>
            <w:pPr>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Align w:val="center"/>
          </w:tcPr>
          <w:p>
            <w:pPr>
              <w:spacing w:line="500" w:lineRule="exact"/>
              <w:jc w:val="center"/>
              <w:rPr>
                <w:rFonts w:ascii="宋体" w:hAnsi="宋体" w:cs="宋体"/>
                <w:sz w:val="24"/>
              </w:rPr>
            </w:pPr>
          </w:p>
        </w:tc>
        <w:tc>
          <w:tcPr>
            <w:tcW w:w="2074" w:type="dxa"/>
            <w:vAlign w:val="center"/>
          </w:tcPr>
          <w:p>
            <w:pPr>
              <w:spacing w:line="500" w:lineRule="exact"/>
              <w:jc w:val="center"/>
              <w:rPr>
                <w:rFonts w:ascii="宋体" w:hAnsi="宋体" w:cs="宋体"/>
                <w:sz w:val="24"/>
              </w:rPr>
            </w:pPr>
          </w:p>
        </w:tc>
        <w:tc>
          <w:tcPr>
            <w:tcW w:w="842" w:type="dxa"/>
            <w:vAlign w:val="center"/>
          </w:tcPr>
          <w:p>
            <w:pPr>
              <w:spacing w:line="500" w:lineRule="exact"/>
              <w:jc w:val="center"/>
              <w:rPr>
                <w:rFonts w:ascii="宋体" w:hAnsi="宋体" w:cs="宋体"/>
                <w:sz w:val="24"/>
              </w:rPr>
            </w:pPr>
          </w:p>
        </w:tc>
        <w:tc>
          <w:tcPr>
            <w:tcW w:w="1009"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125" w:type="dxa"/>
            <w:vAlign w:val="center"/>
          </w:tcPr>
          <w:p>
            <w:pPr>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Align w:val="center"/>
          </w:tcPr>
          <w:p>
            <w:pPr>
              <w:spacing w:line="500" w:lineRule="exact"/>
              <w:jc w:val="center"/>
              <w:rPr>
                <w:rFonts w:ascii="宋体" w:hAnsi="宋体" w:cs="宋体"/>
                <w:sz w:val="24"/>
              </w:rPr>
            </w:pPr>
          </w:p>
        </w:tc>
        <w:tc>
          <w:tcPr>
            <w:tcW w:w="2074" w:type="dxa"/>
            <w:vAlign w:val="center"/>
          </w:tcPr>
          <w:p>
            <w:pPr>
              <w:spacing w:line="500" w:lineRule="exact"/>
              <w:jc w:val="center"/>
              <w:rPr>
                <w:rFonts w:ascii="宋体" w:hAnsi="宋体" w:cs="宋体"/>
                <w:sz w:val="24"/>
              </w:rPr>
            </w:pPr>
          </w:p>
        </w:tc>
        <w:tc>
          <w:tcPr>
            <w:tcW w:w="842" w:type="dxa"/>
            <w:vAlign w:val="center"/>
          </w:tcPr>
          <w:p>
            <w:pPr>
              <w:spacing w:line="500" w:lineRule="exact"/>
              <w:jc w:val="center"/>
              <w:rPr>
                <w:rFonts w:ascii="宋体" w:hAnsi="宋体" w:cs="宋体"/>
                <w:sz w:val="24"/>
              </w:rPr>
            </w:pPr>
          </w:p>
        </w:tc>
        <w:tc>
          <w:tcPr>
            <w:tcW w:w="1009"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125" w:type="dxa"/>
            <w:vAlign w:val="center"/>
          </w:tcPr>
          <w:p>
            <w:pPr>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Align w:val="center"/>
          </w:tcPr>
          <w:p>
            <w:pPr>
              <w:spacing w:line="500" w:lineRule="exact"/>
              <w:jc w:val="center"/>
              <w:rPr>
                <w:rFonts w:ascii="宋体" w:hAnsi="宋体" w:cs="宋体"/>
                <w:sz w:val="24"/>
              </w:rPr>
            </w:pPr>
          </w:p>
        </w:tc>
        <w:tc>
          <w:tcPr>
            <w:tcW w:w="2074" w:type="dxa"/>
            <w:vAlign w:val="center"/>
          </w:tcPr>
          <w:p>
            <w:pPr>
              <w:spacing w:line="500" w:lineRule="exact"/>
              <w:jc w:val="center"/>
              <w:rPr>
                <w:rFonts w:ascii="宋体" w:hAnsi="宋体" w:cs="宋体"/>
                <w:sz w:val="24"/>
              </w:rPr>
            </w:pPr>
          </w:p>
        </w:tc>
        <w:tc>
          <w:tcPr>
            <w:tcW w:w="842" w:type="dxa"/>
            <w:vAlign w:val="center"/>
          </w:tcPr>
          <w:p>
            <w:pPr>
              <w:spacing w:line="500" w:lineRule="exact"/>
              <w:jc w:val="center"/>
              <w:rPr>
                <w:rFonts w:ascii="宋体" w:hAnsi="宋体" w:cs="宋体"/>
                <w:sz w:val="24"/>
              </w:rPr>
            </w:pPr>
          </w:p>
        </w:tc>
        <w:tc>
          <w:tcPr>
            <w:tcW w:w="1009"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125" w:type="dxa"/>
            <w:vAlign w:val="center"/>
          </w:tcPr>
          <w:p>
            <w:pPr>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Align w:val="center"/>
          </w:tcPr>
          <w:p>
            <w:pPr>
              <w:spacing w:line="500" w:lineRule="exact"/>
              <w:jc w:val="center"/>
              <w:rPr>
                <w:rFonts w:ascii="宋体" w:hAnsi="宋体" w:cs="宋体"/>
                <w:sz w:val="24"/>
              </w:rPr>
            </w:pPr>
          </w:p>
        </w:tc>
        <w:tc>
          <w:tcPr>
            <w:tcW w:w="2074" w:type="dxa"/>
            <w:vAlign w:val="center"/>
          </w:tcPr>
          <w:p>
            <w:pPr>
              <w:spacing w:line="500" w:lineRule="exact"/>
              <w:jc w:val="center"/>
              <w:rPr>
                <w:rFonts w:ascii="宋体" w:hAnsi="宋体" w:cs="宋体"/>
                <w:sz w:val="24"/>
              </w:rPr>
            </w:pPr>
          </w:p>
        </w:tc>
        <w:tc>
          <w:tcPr>
            <w:tcW w:w="842" w:type="dxa"/>
            <w:vAlign w:val="center"/>
          </w:tcPr>
          <w:p>
            <w:pPr>
              <w:spacing w:line="500" w:lineRule="exact"/>
              <w:jc w:val="center"/>
              <w:rPr>
                <w:rFonts w:ascii="宋体" w:hAnsi="宋体" w:cs="宋体"/>
                <w:sz w:val="24"/>
              </w:rPr>
            </w:pPr>
          </w:p>
        </w:tc>
        <w:tc>
          <w:tcPr>
            <w:tcW w:w="1009"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125" w:type="dxa"/>
            <w:vAlign w:val="center"/>
          </w:tcPr>
          <w:p>
            <w:pPr>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Align w:val="center"/>
          </w:tcPr>
          <w:p>
            <w:pPr>
              <w:spacing w:line="500" w:lineRule="exact"/>
              <w:jc w:val="center"/>
              <w:rPr>
                <w:rFonts w:ascii="宋体" w:hAnsi="宋体" w:cs="宋体"/>
                <w:sz w:val="24"/>
              </w:rPr>
            </w:pPr>
          </w:p>
        </w:tc>
        <w:tc>
          <w:tcPr>
            <w:tcW w:w="2074" w:type="dxa"/>
            <w:vAlign w:val="center"/>
          </w:tcPr>
          <w:p>
            <w:pPr>
              <w:spacing w:line="500" w:lineRule="exact"/>
              <w:jc w:val="center"/>
              <w:rPr>
                <w:rFonts w:ascii="宋体" w:hAnsi="宋体" w:cs="宋体"/>
                <w:sz w:val="24"/>
              </w:rPr>
            </w:pPr>
          </w:p>
        </w:tc>
        <w:tc>
          <w:tcPr>
            <w:tcW w:w="842" w:type="dxa"/>
            <w:vAlign w:val="center"/>
          </w:tcPr>
          <w:p>
            <w:pPr>
              <w:spacing w:line="500" w:lineRule="exact"/>
              <w:jc w:val="center"/>
              <w:rPr>
                <w:rFonts w:ascii="宋体" w:hAnsi="宋体" w:cs="宋体"/>
                <w:sz w:val="24"/>
              </w:rPr>
            </w:pPr>
          </w:p>
        </w:tc>
        <w:tc>
          <w:tcPr>
            <w:tcW w:w="1009"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125" w:type="dxa"/>
            <w:vAlign w:val="center"/>
          </w:tcPr>
          <w:p>
            <w:pPr>
              <w:spacing w:line="500" w:lineRule="exact"/>
              <w:jc w:val="center"/>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279" w:type="dxa"/>
            <w:vAlign w:val="center"/>
          </w:tcPr>
          <w:p>
            <w:pPr>
              <w:spacing w:line="500" w:lineRule="exact"/>
              <w:jc w:val="center"/>
              <w:rPr>
                <w:rFonts w:ascii="宋体" w:hAnsi="宋体" w:cs="宋体"/>
                <w:sz w:val="24"/>
              </w:rPr>
            </w:pPr>
          </w:p>
        </w:tc>
        <w:tc>
          <w:tcPr>
            <w:tcW w:w="2074" w:type="dxa"/>
            <w:vAlign w:val="center"/>
          </w:tcPr>
          <w:p>
            <w:pPr>
              <w:spacing w:line="500" w:lineRule="exact"/>
              <w:jc w:val="center"/>
              <w:rPr>
                <w:rFonts w:ascii="宋体" w:hAnsi="宋体" w:cs="宋体"/>
                <w:sz w:val="24"/>
              </w:rPr>
            </w:pPr>
          </w:p>
        </w:tc>
        <w:tc>
          <w:tcPr>
            <w:tcW w:w="842" w:type="dxa"/>
            <w:vAlign w:val="center"/>
          </w:tcPr>
          <w:p>
            <w:pPr>
              <w:spacing w:line="500" w:lineRule="exact"/>
              <w:jc w:val="center"/>
              <w:rPr>
                <w:rFonts w:ascii="宋体" w:hAnsi="宋体" w:cs="宋体"/>
                <w:sz w:val="24"/>
              </w:rPr>
            </w:pPr>
          </w:p>
        </w:tc>
        <w:tc>
          <w:tcPr>
            <w:tcW w:w="1009"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095" w:type="dxa"/>
            <w:vAlign w:val="center"/>
          </w:tcPr>
          <w:p>
            <w:pPr>
              <w:spacing w:line="500" w:lineRule="exact"/>
              <w:jc w:val="center"/>
              <w:rPr>
                <w:rFonts w:ascii="宋体" w:hAnsi="宋体" w:cs="宋体"/>
                <w:sz w:val="24"/>
              </w:rPr>
            </w:pPr>
          </w:p>
        </w:tc>
        <w:tc>
          <w:tcPr>
            <w:tcW w:w="1125" w:type="dxa"/>
            <w:vAlign w:val="center"/>
          </w:tcPr>
          <w:p>
            <w:pPr>
              <w:spacing w:line="500" w:lineRule="exact"/>
              <w:jc w:val="center"/>
              <w:rPr>
                <w:rFonts w:ascii="宋体" w:hAnsi="宋体" w:cs="宋体"/>
                <w:sz w:val="24"/>
              </w:rPr>
            </w:pPr>
          </w:p>
        </w:tc>
      </w:tr>
    </w:tbl>
    <w:p>
      <w:pPr>
        <w:rPr>
          <w:rFonts w:ascii="宋体" w:hAnsi="宋体" w:cs="宋体"/>
          <w:sz w:val="24"/>
        </w:rPr>
      </w:pPr>
      <w:r>
        <w:rPr>
          <w:rFonts w:hint="eastAsia" w:ascii="宋体" w:hAnsi="宋体" w:cs="宋体"/>
          <w:sz w:val="24"/>
        </w:rPr>
        <w:t>注：1、本表中所列价格不计入投标总价，仅供采购人选购时参考。</w:t>
      </w:r>
    </w:p>
    <w:p>
      <w:pPr>
        <w:ind w:left="839" w:leftChars="228" w:hanging="360" w:hangingChars="150"/>
        <w:rPr>
          <w:rFonts w:ascii="宋体" w:hAnsi="宋体" w:cs="宋体"/>
          <w:sz w:val="24"/>
        </w:rPr>
      </w:pPr>
      <w:r>
        <w:rPr>
          <w:rFonts w:hint="eastAsia" w:ascii="宋体" w:hAnsi="宋体" w:cs="宋体"/>
          <w:sz w:val="24"/>
        </w:rPr>
        <w:t>2、单价为现场交货价。</w:t>
      </w:r>
    </w:p>
    <w:p>
      <w:pPr>
        <w:ind w:left="839" w:leftChars="228" w:hanging="360" w:hangingChars="150"/>
        <w:rPr>
          <w:rFonts w:ascii="宋体" w:hAnsi="宋体" w:cs="宋体"/>
          <w:sz w:val="24"/>
        </w:rPr>
      </w:pPr>
    </w:p>
    <w:p>
      <w:pPr>
        <w:spacing w:line="440" w:lineRule="exact"/>
        <w:ind w:left="315" w:leftChars="150" w:firstLine="2848" w:firstLineChars="1187"/>
        <w:rPr>
          <w:rFonts w:ascii="宋体" w:hAnsi="宋体" w:cs="宋体"/>
          <w:sz w:val="24"/>
        </w:rPr>
      </w:pP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全称（公章）：</w:t>
      </w:r>
    </w:p>
    <w:p>
      <w:pPr>
        <w:spacing w:line="48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 xml:space="preserve">代表签名（或盖章）：                       </w:t>
      </w:r>
    </w:p>
    <w:p>
      <w:pPr>
        <w:spacing w:line="480" w:lineRule="auto"/>
        <w:rPr>
          <w:rFonts w:ascii="宋体" w:hAnsi="宋体" w:cs="宋体"/>
          <w:sz w:val="24"/>
        </w:rPr>
      </w:pPr>
      <w:r>
        <w:rPr>
          <w:rFonts w:hint="eastAsia" w:ascii="宋体" w:hAnsi="宋体" w:cs="宋体"/>
          <w:sz w:val="24"/>
        </w:rPr>
        <w:t>日 期：</w:t>
      </w:r>
    </w:p>
    <w:p>
      <w:pPr>
        <w:rPr>
          <w:rFonts w:ascii="宋体" w:hAnsi="宋体" w:cs="宋体"/>
        </w:rPr>
      </w:pPr>
    </w:p>
    <w:p>
      <w:pPr>
        <w:rPr>
          <w:rFonts w:ascii="宋体" w:hAnsi="宋体"/>
          <w:b/>
          <w:sz w:val="28"/>
        </w:rPr>
      </w:pPr>
    </w:p>
    <w:p>
      <w:pPr>
        <w:rPr>
          <w:rFonts w:ascii="宋体" w:hAnsi="宋体"/>
          <w:b/>
          <w:sz w:val="28"/>
        </w:rPr>
      </w:pPr>
      <w:r>
        <w:rPr>
          <w:rFonts w:hint="eastAsia" w:ascii="宋体" w:hAnsi="宋体"/>
          <w:b/>
          <w:sz w:val="28"/>
        </w:rPr>
        <w:br w:type="page"/>
      </w:r>
    </w:p>
    <w:p>
      <w:pPr>
        <w:rPr>
          <w:sz w:val="34"/>
          <w:szCs w:val="34"/>
        </w:rPr>
      </w:pPr>
    </w:p>
    <w:p>
      <w:pPr>
        <w:spacing w:line="480" w:lineRule="auto"/>
        <w:jc w:val="center"/>
        <w:rPr>
          <w:rFonts w:ascii="宋体" w:hAnsi="宋体"/>
          <w:b/>
          <w:bCs/>
          <w:sz w:val="36"/>
          <w:szCs w:val="36"/>
        </w:rPr>
      </w:pPr>
      <w:bookmarkStart w:id="71" w:name="_Toc29537_WPSOffice_Level1"/>
      <w:bookmarkStart w:id="72" w:name="_Toc19972_WPSOffice_Level1"/>
      <w:r>
        <w:rPr>
          <w:rFonts w:hint="eastAsia" w:ascii="宋体" w:hAnsi="宋体"/>
          <w:b/>
          <w:bCs/>
          <w:sz w:val="36"/>
          <w:szCs w:val="36"/>
          <w:lang w:val="en-US" w:eastAsia="zh-CN"/>
        </w:rPr>
        <w:t>报</w:t>
      </w:r>
      <w:r>
        <w:rPr>
          <w:rFonts w:hint="eastAsia" w:ascii="宋体" w:hAnsi="宋体"/>
          <w:b/>
          <w:bCs/>
          <w:sz w:val="36"/>
          <w:szCs w:val="36"/>
        </w:rPr>
        <w:t>价文件目录</w:t>
      </w:r>
      <w:bookmarkEnd w:id="71"/>
      <w:bookmarkEnd w:id="72"/>
    </w:p>
    <w:p>
      <w:pPr>
        <w:pStyle w:val="17"/>
      </w:pPr>
    </w:p>
    <w:p>
      <w:pPr>
        <w:spacing w:line="360" w:lineRule="auto"/>
        <w:ind w:firstLine="480" w:firstLineChars="200"/>
        <w:rPr>
          <w:sz w:val="24"/>
        </w:rPr>
      </w:pPr>
    </w:p>
    <w:p>
      <w:pPr>
        <w:numPr>
          <w:ilvl w:val="0"/>
          <w:numId w:val="13"/>
        </w:numPr>
        <w:spacing w:line="360" w:lineRule="auto"/>
        <w:rPr>
          <w:rFonts w:asciiTheme="minorEastAsia" w:hAnsiTheme="minorEastAsia" w:eastAsiaTheme="minorEastAsia" w:cstheme="minorEastAsia"/>
          <w:sz w:val="28"/>
          <w:szCs w:val="28"/>
        </w:rPr>
      </w:pPr>
      <w:bookmarkStart w:id="73" w:name="_Toc29962_WPSOffice_Level1"/>
      <w:bookmarkStart w:id="74" w:name="_Toc6778_WPSOffice_Level1"/>
      <w:bookmarkStart w:id="75" w:name="_Toc29988_WPSOffice_Level1"/>
      <w:bookmarkStart w:id="76" w:name="_Toc8719_WPSOffice_Level1"/>
      <w:bookmarkStart w:id="77" w:name="_Toc15894_WPSOffice_Level1"/>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bookmarkEnd w:id="73"/>
      <w:bookmarkEnd w:id="74"/>
      <w:bookmarkEnd w:id="75"/>
      <w:bookmarkEnd w:id="76"/>
      <w:bookmarkEnd w:id="77"/>
    </w:p>
    <w:p>
      <w:pPr>
        <w:numPr>
          <w:ilvl w:val="0"/>
          <w:numId w:val="13"/>
        </w:numPr>
        <w:spacing w:line="360" w:lineRule="auto"/>
        <w:rPr>
          <w:rFonts w:asciiTheme="minorEastAsia" w:hAnsiTheme="minorEastAsia" w:eastAsiaTheme="minorEastAsia" w:cstheme="minorEastAsia"/>
          <w:sz w:val="28"/>
          <w:szCs w:val="28"/>
        </w:rPr>
      </w:pPr>
      <w:bookmarkStart w:id="78" w:name="_Toc27877_WPSOffice_Level1"/>
      <w:bookmarkStart w:id="79" w:name="_Toc15601_WPSOffice_Level1"/>
      <w:bookmarkStart w:id="80" w:name="_Toc27253_WPSOffice_Level1"/>
      <w:bookmarkStart w:id="81" w:name="_Toc22627_WPSOffice_Level1"/>
      <w:bookmarkStart w:id="82" w:name="_Toc11601_WPSOffice_Level1"/>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78"/>
      <w:bookmarkEnd w:id="79"/>
      <w:bookmarkEnd w:id="80"/>
      <w:bookmarkEnd w:id="81"/>
      <w:bookmarkEnd w:id="82"/>
    </w:p>
    <w:p>
      <w:pPr>
        <w:numPr>
          <w:ilvl w:val="0"/>
          <w:numId w:val="13"/>
        </w:numPr>
        <w:spacing w:line="360" w:lineRule="auto"/>
        <w:rPr>
          <w:rFonts w:asciiTheme="minorEastAsia" w:hAnsiTheme="minorEastAsia" w:eastAsiaTheme="minorEastAsia" w:cstheme="minorEastAsia"/>
          <w:sz w:val="28"/>
          <w:szCs w:val="28"/>
        </w:rPr>
      </w:pPr>
      <w:bookmarkStart w:id="83" w:name="_Toc27072_WPSOffice_Level1"/>
      <w:bookmarkStart w:id="84" w:name="_Toc8630_WPSOffice_Level1"/>
      <w:bookmarkStart w:id="85" w:name="_Toc26694_WPSOffice_Level1"/>
      <w:r>
        <w:rPr>
          <w:rFonts w:hint="eastAsia" w:asciiTheme="minorEastAsia" w:hAnsiTheme="minorEastAsia" w:eastAsiaTheme="minorEastAsia" w:cstheme="minorEastAsia"/>
          <w:sz w:val="28"/>
          <w:szCs w:val="28"/>
        </w:rPr>
        <w:t>针对报价</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认为其他需要说明的</w:t>
      </w:r>
      <w:bookmarkEnd w:id="83"/>
      <w:bookmarkEnd w:id="84"/>
      <w:bookmarkEnd w:id="85"/>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r>
        <w:rPr>
          <w:rFonts w:hint="eastAsia" w:ascii="宋体" w:hAnsi="宋体"/>
          <w:b/>
          <w:sz w:val="28"/>
        </w:rPr>
        <w:t>附件1</w:t>
      </w:r>
      <w:r>
        <w:rPr>
          <w:rFonts w:hint="eastAsia" w:ascii="宋体" w:hAnsi="宋体"/>
          <w:b/>
          <w:sz w:val="28"/>
          <w:lang w:val="en-US" w:eastAsia="zh-CN"/>
        </w:rPr>
        <w:t>6</w:t>
      </w:r>
      <w:r>
        <w:rPr>
          <w:rFonts w:hint="eastAsia" w:ascii="宋体" w:hAnsi="宋体"/>
          <w:b/>
          <w:sz w:val="28"/>
        </w:rPr>
        <w:t>：</w:t>
      </w:r>
    </w:p>
    <w:p>
      <w:pPr>
        <w:spacing w:line="360" w:lineRule="auto"/>
        <w:ind w:left="-2" w:hanging="2"/>
        <w:jc w:val="center"/>
        <w:rPr>
          <w:rFonts w:ascii="宋体" w:hAnsi="宋体"/>
          <w:b/>
          <w:sz w:val="32"/>
          <w:szCs w:val="32"/>
        </w:rPr>
      </w:pPr>
      <w:bookmarkStart w:id="86" w:name="_Toc30363_WPSOffice_Level1"/>
      <w:bookmarkStart w:id="87" w:name="_Toc16144_WPSOffice_Level1"/>
      <w:r>
        <w:rPr>
          <w:rFonts w:hint="eastAsia" w:ascii="宋体" w:hAnsi="宋体"/>
          <w:b/>
          <w:sz w:val="32"/>
          <w:szCs w:val="32"/>
        </w:rPr>
        <w:t>开标一览表</w:t>
      </w:r>
      <w:bookmarkEnd w:id="86"/>
      <w:bookmarkEnd w:id="87"/>
    </w:p>
    <w:p>
      <w:pPr>
        <w:pStyle w:val="17"/>
      </w:pPr>
    </w:p>
    <w:p>
      <w:pPr>
        <w:pStyle w:val="12"/>
        <w:spacing w:line="360" w:lineRule="auto"/>
        <w:ind w:firstLine="482" w:firstLineChars="200"/>
        <w:rPr>
          <w:rFonts w:hAnsi="宋体"/>
          <w:b/>
          <w:sz w:val="24"/>
        </w:rPr>
      </w:pPr>
      <w:r>
        <w:rPr>
          <w:rFonts w:hAnsi="宋体"/>
          <w:b/>
          <w:sz w:val="24"/>
        </w:rPr>
        <w:t>项目编</w:t>
      </w:r>
      <w:r>
        <w:rPr>
          <w:rFonts w:ascii="宋体" w:hAnsi="宋体" w:eastAsia="宋体"/>
          <w:b/>
          <w:sz w:val="24"/>
        </w:rPr>
        <w:t>号：</w:t>
      </w:r>
      <w:r>
        <w:rPr>
          <w:rFonts w:hint="eastAsia" w:ascii="宋体" w:hAnsi="宋体" w:eastAsia="宋体"/>
          <w:b/>
          <w:sz w:val="24"/>
          <w:lang w:val="en-US" w:eastAsia="zh-CN"/>
        </w:rPr>
        <w:t>临【2022】574号</w:t>
      </w:r>
    </w:p>
    <w:p>
      <w:pPr>
        <w:pStyle w:val="46"/>
        <w:spacing w:line="360" w:lineRule="auto"/>
        <w:ind w:right="480" w:firstLine="482" w:firstLineChars="200"/>
        <w:jc w:val="left"/>
        <w:rPr>
          <w:rFonts w:hAnsi="宋体"/>
          <w:sz w:val="24"/>
        </w:rPr>
      </w:pPr>
      <w:r>
        <w:rPr>
          <w:rFonts w:hAnsi="宋体"/>
          <w:b/>
          <w:sz w:val="24"/>
        </w:rPr>
        <w:t>项目名称：</w:t>
      </w:r>
      <w:r>
        <w:rPr>
          <w:rFonts w:hint="eastAsia" w:ascii="宋体" w:hAnsi="宋体" w:cs="宋体"/>
          <w:b/>
          <w:bCs/>
          <w:sz w:val="24"/>
          <w:lang w:eastAsia="zh-CN"/>
        </w:rPr>
        <w:t>医用气体成套设备采购项目</w:t>
      </w:r>
      <w:r>
        <w:rPr>
          <w:rFonts w:hint="eastAsia" w:ascii="宋体" w:hAnsi="宋体"/>
          <w:sz w:val="24"/>
        </w:rPr>
        <w:t xml:space="preserve">         [货币单位：人民币元]</w:t>
      </w:r>
    </w:p>
    <w:tbl>
      <w:tblPr>
        <w:tblStyle w:val="29"/>
        <w:tblpPr w:leftFromText="181" w:rightFromText="181" w:bottomFromText="170" w:vertAnchor="text" w:tblpXSpec="center" w:tblpY="1"/>
        <w:tblOverlap w:val="never"/>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pStyle w:val="2"/>
        <w:spacing w:line="360" w:lineRule="auto"/>
        <w:ind w:firstLine="422" w:firstLineChars="200"/>
        <w:rPr>
          <w:rFonts w:ascii="宋体" w:hAnsi="宋体"/>
          <w:b/>
          <w:szCs w:val="21"/>
        </w:rPr>
      </w:pPr>
      <w:r>
        <w:rPr>
          <w:rFonts w:hint="eastAsia" w:ascii="宋体" w:hAnsi="宋体"/>
          <w:b/>
          <w:szCs w:val="21"/>
        </w:rPr>
        <w:t>填报要求：</w:t>
      </w:r>
    </w:p>
    <w:p>
      <w:pPr>
        <w:pStyle w:val="2"/>
        <w:numPr>
          <w:ilvl w:val="0"/>
          <w:numId w:val="14"/>
        </w:numPr>
        <w:spacing w:line="360" w:lineRule="auto"/>
        <w:ind w:left="420" w:leftChars="200"/>
        <w:rPr>
          <w:rFonts w:asciiTheme="minorEastAsia" w:hAnsiTheme="minorEastAsia" w:eastAsiaTheme="minorEastAsia"/>
          <w:bCs/>
          <w:kern w:val="0"/>
          <w:szCs w:val="21"/>
        </w:rPr>
      </w:pPr>
      <w:r>
        <w:rPr>
          <w:rFonts w:hint="eastAsia" w:asciiTheme="minorEastAsia" w:hAnsiTheme="minorEastAsia" w:eastAsiaTheme="minorEastAsia"/>
          <w:bCs/>
          <w:kern w:val="0"/>
          <w:szCs w:val="21"/>
        </w:rPr>
        <w:t>投标报价包括本项目采购需求和投入使用的所有费用，设备费（含辅材）、包装费、运输费、运输损耗、装卸费、安装费、安装所用水电费、辅料、配件、工具、保管费、单机调试及联动调试费、第三方检验费、保修费、管理费、相关配合费、现场可能发生的二次搬运、临时设施费、成品保护费、利润、保险、税金等设备安装验收合格直至交付甲方以及售后服务的一切费用，以及其他不可预见的所有费用。</w:t>
      </w:r>
    </w:p>
    <w:p>
      <w:pPr>
        <w:pStyle w:val="2"/>
        <w:numPr>
          <w:ilvl w:val="0"/>
          <w:numId w:val="14"/>
        </w:numPr>
        <w:spacing w:line="360" w:lineRule="auto"/>
        <w:ind w:left="420" w:leftChars="200"/>
        <w:rPr>
          <w:rFonts w:asciiTheme="minorEastAsia" w:hAnsiTheme="minorEastAsia" w:eastAsiaTheme="minorEastAsia"/>
          <w:bCs/>
          <w:kern w:val="0"/>
          <w:szCs w:val="21"/>
        </w:rPr>
      </w:pPr>
      <w:r>
        <w:rPr>
          <w:rFonts w:hint="eastAsia" w:asciiTheme="minorEastAsia" w:hAnsiTheme="minorEastAsia" w:eastAsiaTheme="minorEastAsia"/>
          <w:bCs/>
          <w:kern w:val="0"/>
          <w:szCs w:val="21"/>
        </w:rPr>
        <w:t>投标报价不得为选择性报价和附有条件的报价，</w:t>
      </w:r>
      <w:r>
        <w:rPr>
          <w:rFonts w:hint="eastAsia" w:ascii="宋体" w:hAnsi="宋体" w:cs="宋体"/>
          <w:szCs w:val="21"/>
        </w:rPr>
        <w:t>且不允许出现报价优惠、赠送等字样。</w:t>
      </w:r>
    </w:p>
    <w:p>
      <w:pPr>
        <w:pStyle w:val="17"/>
      </w:pPr>
    </w:p>
    <w:p>
      <w:pPr>
        <w:spacing w:line="360" w:lineRule="auto"/>
        <w:ind w:left="420"/>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cs="宋体"/>
          <w:sz w:val="24"/>
          <w:lang w:eastAsia="zh-CN"/>
        </w:rPr>
        <w:t>供应商</w:t>
      </w:r>
      <w:r>
        <w:rPr>
          <w:rFonts w:hint="eastAsia" w:ascii="宋体" w:hAnsi="宋体" w:cs="宋体"/>
          <w:sz w:val="24"/>
        </w:rPr>
        <w:t>代表签名（或盖章）：</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r>
        <w:rPr>
          <w:rFonts w:hint="eastAsia" w:ascii="宋体" w:hAnsi="宋体"/>
          <w:b/>
          <w:sz w:val="28"/>
        </w:rPr>
        <w:t>附件1</w:t>
      </w:r>
      <w:r>
        <w:rPr>
          <w:rFonts w:hint="eastAsia" w:ascii="宋体" w:hAnsi="宋体"/>
          <w:b/>
          <w:sz w:val="28"/>
          <w:lang w:val="en-US" w:eastAsia="zh-CN"/>
        </w:rPr>
        <w:t>7</w:t>
      </w:r>
      <w:r>
        <w:rPr>
          <w:rFonts w:hint="eastAsia" w:ascii="宋体" w:hAnsi="宋体"/>
          <w:b/>
          <w:sz w:val="28"/>
        </w:rPr>
        <w:t>：</w:t>
      </w:r>
    </w:p>
    <w:p>
      <w:pPr>
        <w:spacing w:line="360" w:lineRule="auto"/>
        <w:jc w:val="center"/>
        <w:rPr>
          <w:rFonts w:ascii="宋体" w:hAnsi="宋体"/>
          <w:sz w:val="24"/>
        </w:rPr>
      </w:pPr>
      <w:bookmarkStart w:id="88" w:name="_Toc22412_WPSOffice_Level1"/>
      <w:bookmarkStart w:id="89" w:name="_Toc8975_WPSOffice_Level1"/>
      <w:r>
        <w:rPr>
          <w:rFonts w:hint="eastAsia" w:ascii="宋体" w:hAnsi="宋体"/>
          <w:b/>
          <w:sz w:val="32"/>
          <w:szCs w:val="32"/>
        </w:rPr>
        <w:t>报价明细表</w:t>
      </w:r>
      <w:bookmarkEnd w:id="88"/>
      <w:bookmarkEnd w:id="89"/>
      <w:r>
        <w:rPr>
          <w:rFonts w:hint="eastAsia" w:ascii="宋体" w:hAnsi="宋体"/>
          <w:sz w:val="24"/>
        </w:rPr>
        <w:t xml:space="preserve">  </w:t>
      </w:r>
    </w:p>
    <w:p>
      <w:pPr>
        <w:spacing w:line="400" w:lineRule="exact"/>
        <w:rPr>
          <w:rFonts w:ascii="Times New Roman" w:hAnsi="宋体" w:eastAsia="宋体" w:cs="Times New Roman"/>
          <w:b/>
          <w:sz w:val="24"/>
        </w:rPr>
      </w:pPr>
      <w:r>
        <w:rPr>
          <w:rFonts w:ascii="Times New Roman" w:hAnsi="宋体" w:eastAsia="宋体" w:cs="Times New Roman"/>
          <w:b/>
          <w:sz w:val="24"/>
        </w:rPr>
        <w:t>项目编号：</w:t>
      </w:r>
      <w:r>
        <w:rPr>
          <w:rFonts w:hint="eastAsia" w:ascii="Times New Roman" w:hAnsi="宋体" w:eastAsia="宋体" w:cs="Times New Roman"/>
          <w:b/>
          <w:sz w:val="24"/>
          <w:lang w:val="en-US" w:eastAsia="zh-CN"/>
        </w:rPr>
        <w:t>临【2022】574号</w:t>
      </w:r>
    </w:p>
    <w:p>
      <w:pPr>
        <w:pStyle w:val="46"/>
        <w:spacing w:line="400" w:lineRule="exact"/>
        <w:ind w:right="480"/>
        <w:jc w:val="left"/>
        <w:rPr>
          <w:rFonts w:ascii="宋体" w:hAnsi="宋体"/>
          <w:sz w:val="24"/>
        </w:rPr>
      </w:pPr>
      <w:r>
        <w:rPr>
          <w:rFonts w:hAnsi="宋体"/>
          <w:b/>
          <w:sz w:val="24"/>
        </w:rPr>
        <w:t>项目名称：</w:t>
      </w:r>
      <w:r>
        <w:rPr>
          <w:rFonts w:hint="eastAsia" w:ascii="宋体" w:hAnsi="宋体" w:cs="宋体"/>
          <w:b/>
          <w:bCs/>
          <w:sz w:val="24"/>
          <w:lang w:eastAsia="zh-CN"/>
        </w:rPr>
        <w:t>医用气体成套设备采购项目</w:t>
      </w:r>
      <w:r>
        <w:rPr>
          <w:rFonts w:hint="eastAsia" w:ascii="宋体" w:hAnsi="宋体"/>
          <w:sz w:val="24"/>
        </w:rPr>
        <w:t xml:space="preserve">                                           </w:t>
      </w:r>
    </w:p>
    <w:p>
      <w:pPr>
        <w:pStyle w:val="46"/>
        <w:spacing w:line="400" w:lineRule="exact"/>
        <w:ind w:right="480"/>
        <w:jc w:val="right"/>
        <w:rPr>
          <w:rFonts w:ascii="宋体" w:hAnsi="宋体"/>
          <w:sz w:val="24"/>
        </w:rPr>
      </w:pPr>
      <w:r>
        <w:rPr>
          <w:rFonts w:hint="eastAsia" w:ascii="宋体" w:hAnsi="宋体"/>
          <w:sz w:val="24"/>
        </w:rPr>
        <w:t>[货币单位：人民币元]</w:t>
      </w:r>
    </w:p>
    <w:tbl>
      <w:tblPr>
        <w:tblStyle w:val="29"/>
        <w:tblW w:w="10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214"/>
        <w:gridCol w:w="2188"/>
        <w:gridCol w:w="1413"/>
        <w:gridCol w:w="756"/>
        <w:gridCol w:w="768"/>
        <w:gridCol w:w="1020"/>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607" w:type="dxa"/>
            <w:vMerge w:val="restart"/>
            <w:vAlign w:val="center"/>
          </w:tcPr>
          <w:p>
            <w:pPr>
              <w:pStyle w:val="12"/>
              <w:spacing w:line="360" w:lineRule="auto"/>
              <w:jc w:val="center"/>
              <w:rPr>
                <w:rFonts w:hAnsi="宋体" w:cs="宋体"/>
                <w:sz w:val="24"/>
              </w:rPr>
            </w:pPr>
            <w:r>
              <w:rPr>
                <w:rFonts w:hint="eastAsia" w:hAnsi="宋体" w:cs="宋体"/>
                <w:sz w:val="24"/>
              </w:rPr>
              <w:t>序</w:t>
            </w:r>
          </w:p>
          <w:p>
            <w:pPr>
              <w:pStyle w:val="12"/>
              <w:spacing w:line="360" w:lineRule="auto"/>
              <w:jc w:val="center"/>
              <w:rPr>
                <w:rFonts w:hAnsi="宋体" w:cs="宋体"/>
                <w:sz w:val="24"/>
              </w:rPr>
            </w:pPr>
            <w:r>
              <w:rPr>
                <w:rFonts w:hint="eastAsia" w:hAnsi="宋体" w:cs="宋体"/>
                <w:sz w:val="24"/>
              </w:rPr>
              <w:t>号</w:t>
            </w:r>
          </w:p>
        </w:tc>
        <w:tc>
          <w:tcPr>
            <w:tcW w:w="1214" w:type="dxa"/>
            <w:vMerge w:val="restart"/>
            <w:vAlign w:val="center"/>
          </w:tcPr>
          <w:p>
            <w:pPr>
              <w:pStyle w:val="12"/>
              <w:spacing w:line="360" w:lineRule="auto"/>
              <w:jc w:val="center"/>
              <w:rPr>
                <w:rFonts w:hAnsi="宋体" w:cs="宋体"/>
                <w:sz w:val="24"/>
              </w:rPr>
            </w:pPr>
            <w:r>
              <w:rPr>
                <w:rFonts w:hint="eastAsia" w:hAnsi="宋体" w:cs="宋体"/>
                <w:sz w:val="24"/>
              </w:rPr>
              <w:t>货物</w:t>
            </w:r>
          </w:p>
          <w:p>
            <w:pPr>
              <w:pStyle w:val="12"/>
              <w:spacing w:line="360" w:lineRule="auto"/>
              <w:jc w:val="center"/>
              <w:rPr>
                <w:rFonts w:hAnsi="宋体" w:cs="宋体"/>
                <w:sz w:val="24"/>
              </w:rPr>
            </w:pPr>
            <w:r>
              <w:rPr>
                <w:rFonts w:hint="eastAsia" w:hAnsi="宋体" w:cs="宋体"/>
                <w:sz w:val="24"/>
              </w:rPr>
              <w:t>名称</w:t>
            </w:r>
          </w:p>
        </w:tc>
        <w:tc>
          <w:tcPr>
            <w:tcW w:w="2188" w:type="dxa"/>
            <w:vMerge w:val="restart"/>
            <w:vAlign w:val="center"/>
          </w:tcPr>
          <w:p>
            <w:pPr>
              <w:pStyle w:val="12"/>
              <w:spacing w:line="360" w:lineRule="auto"/>
              <w:jc w:val="center"/>
              <w:rPr>
                <w:rFonts w:hAnsi="宋体" w:cs="宋体"/>
                <w:sz w:val="24"/>
              </w:rPr>
            </w:pPr>
            <w:r>
              <w:rPr>
                <w:rFonts w:hint="eastAsia" w:hAnsi="宋体" w:cs="宋体"/>
                <w:sz w:val="24"/>
              </w:rPr>
              <w:t>品牌、</w:t>
            </w:r>
          </w:p>
          <w:p>
            <w:pPr>
              <w:pStyle w:val="12"/>
              <w:spacing w:line="360" w:lineRule="auto"/>
              <w:jc w:val="center"/>
              <w:rPr>
                <w:rFonts w:hAnsi="宋体" w:cs="宋体"/>
                <w:sz w:val="24"/>
              </w:rPr>
            </w:pPr>
            <w:r>
              <w:rPr>
                <w:rFonts w:hint="eastAsia" w:hAnsi="宋体" w:cs="宋体"/>
                <w:sz w:val="24"/>
              </w:rPr>
              <w:t>规格型号</w:t>
            </w:r>
          </w:p>
        </w:tc>
        <w:tc>
          <w:tcPr>
            <w:tcW w:w="1413" w:type="dxa"/>
            <w:vMerge w:val="restart"/>
            <w:vAlign w:val="center"/>
          </w:tcPr>
          <w:p>
            <w:pPr>
              <w:pStyle w:val="12"/>
              <w:spacing w:line="360" w:lineRule="auto"/>
              <w:jc w:val="center"/>
              <w:rPr>
                <w:rFonts w:hAnsi="宋体" w:cs="宋体"/>
                <w:sz w:val="24"/>
              </w:rPr>
            </w:pPr>
            <w:r>
              <w:rPr>
                <w:rFonts w:hint="eastAsia" w:hAnsi="宋体" w:cs="宋体"/>
                <w:sz w:val="24"/>
              </w:rPr>
              <w:t>制造商名</w:t>
            </w:r>
          </w:p>
          <w:p>
            <w:pPr>
              <w:pStyle w:val="12"/>
              <w:spacing w:line="360" w:lineRule="auto"/>
              <w:jc w:val="center"/>
              <w:rPr>
                <w:rFonts w:hAnsi="宋体" w:cs="宋体"/>
                <w:sz w:val="24"/>
              </w:rPr>
            </w:pPr>
            <w:r>
              <w:rPr>
                <w:rFonts w:hint="eastAsia" w:hAnsi="宋体" w:cs="宋体"/>
                <w:sz w:val="24"/>
              </w:rPr>
              <w:t>称及产地</w:t>
            </w:r>
          </w:p>
        </w:tc>
        <w:tc>
          <w:tcPr>
            <w:tcW w:w="756" w:type="dxa"/>
            <w:vMerge w:val="restart"/>
            <w:vAlign w:val="center"/>
          </w:tcPr>
          <w:p>
            <w:pPr>
              <w:pStyle w:val="12"/>
              <w:spacing w:line="360" w:lineRule="auto"/>
              <w:jc w:val="center"/>
              <w:rPr>
                <w:rFonts w:hAnsi="宋体" w:cs="宋体"/>
                <w:sz w:val="24"/>
              </w:rPr>
            </w:pPr>
            <w:r>
              <w:rPr>
                <w:rFonts w:hint="eastAsia" w:hAnsi="宋体" w:cs="宋体"/>
                <w:sz w:val="24"/>
              </w:rPr>
              <w:t>单</w:t>
            </w:r>
          </w:p>
          <w:p>
            <w:pPr>
              <w:pStyle w:val="12"/>
              <w:spacing w:line="360" w:lineRule="auto"/>
              <w:jc w:val="center"/>
              <w:rPr>
                <w:rFonts w:hAnsi="宋体" w:cs="宋体"/>
              </w:rPr>
            </w:pPr>
            <w:r>
              <w:rPr>
                <w:rFonts w:hint="eastAsia" w:hAnsi="宋体" w:cs="宋体"/>
                <w:sz w:val="24"/>
              </w:rPr>
              <w:t>位</w:t>
            </w:r>
          </w:p>
        </w:tc>
        <w:tc>
          <w:tcPr>
            <w:tcW w:w="768" w:type="dxa"/>
            <w:vMerge w:val="restart"/>
            <w:vAlign w:val="center"/>
          </w:tcPr>
          <w:p>
            <w:pPr>
              <w:pStyle w:val="12"/>
              <w:spacing w:line="360" w:lineRule="auto"/>
              <w:jc w:val="center"/>
              <w:rPr>
                <w:rFonts w:hint="eastAsia" w:hAnsi="宋体" w:eastAsia="宋体" w:cs="宋体"/>
                <w:sz w:val="24"/>
                <w:lang w:eastAsia="zh-CN"/>
              </w:rPr>
            </w:pPr>
            <w:r>
              <w:rPr>
                <w:rFonts w:hint="eastAsia" w:hAnsi="宋体" w:cs="宋体"/>
                <w:sz w:val="24"/>
              </w:rPr>
              <w:t>数量</w:t>
            </w:r>
            <w:r>
              <w:rPr>
                <w:rFonts w:hint="eastAsia" w:hAnsi="宋体" w:cs="宋体"/>
                <w:sz w:val="24"/>
                <w:lang w:eastAsia="zh-CN"/>
              </w:rPr>
              <w:t>①</w:t>
            </w:r>
          </w:p>
        </w:tc>
        <w:tc>
          <w:tcPr>
            <w:tcW w:w="3214" w:type="dxa"/>
            <w:gridSpan w:val="2"/>
            <w:vAlign w:val="center"/>
          </w:tcPr>
          <w:p>
            <w:pPr>
              <w:pStyle w:val="12"/>
              <w:spacing w:line="360" w:lineRule="auto"/>
              <w:jc w:val="center"/>
              <w:rPr>
                <w:rFonts w:hAnsi="宋体" w:cs="宋体"/>
                <w:sz w:val="24"/>
              </w:rPr>
            </w:pPr>
            <w:r>
              <w:rPr>
                <w:rFonts w:hint="eastAsia" w:hAnsi="宋体" w:cs="宋体"/>
                <w:sz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607" w:type="dxa"/>
            <w:vMerge w:val="continue"/>
            <w:vAlign w:val="center"/>
          </w:tcPr>
          <w:p>
            <w:pPr>
              <w:pStyle w:val="12"/>
              <w:spacing w:line="360" w:lineRule="auto"/>
              <w:jc w:val="center"/>
              <w:rPr>
                <w:rFonts w:hAnsi="宋体" w:cs="宋体"/>
                <w:sz w:val="24"/>
              </w:rPr>
            </w:pPr>
          </w:p>
        </w:tc>
        <w:tc>
          <w:tcPr>
            <w:tcW w:w="1214" w:type="dxa"/>
            <w:vMerge w:val="continue"/>
            <w:vAlign w:val="center"/>
          </w:tcPr>
          <w:p>
            <w:pPr>
              <w:pStyle w:val="12"/>
              <w:spacing w:line="360" w:lineRule="auto"/>
              <w:jc w:val="center"/>
              <w:rPr>
                <w:rFonts w:hAnsi="宋体" w:cs="宋体"/>
                <w:sz w:val="24"/>
              </w:rPr>
            </w:pPr>
          </w:p>
        </w:tc>
        <w:tc>
          <w:tcPr>
            <w:tcW w:w="2188" w:type="dxa"/>
            <w:vMerge w:val="continue"/>
            <w:vAlign w:val="center"/>
          </w:tcPr>
          <w:p>
            <w:pPr>
              <w:pStyle w:val="12"/>
              <w:spacing w:line="360" w:lineRule="auto"/>
              <w:jc w:val="center"/>
              <w:rPr>
                <w:rFonts w:hAnsi="宋体" w:cs="宋体"/>
                <w:sz w:val="24"/>
              </w:rPr>
            </w:pPr>
          </w:p>
        </w:tc>
        <w:tc>
          <w:tcPr>
            <w:tcW w:w="1413" w:type="dxa"/>
            <w:vMerge w:val="continue"/>
            <w:vAlign w:val="center"/>
          </w:tcPr>
          <w:p>
            <w:pPr>
              <w:pStyle w:val="12"/>
              <w:spacing w:line="360" w:lineRule="auto"/>
              <w:jc w:val="center"/>
              <w:rPr>
                <w:rFonts w:hAnsi="宋体" w:cs="宋体"/>
                <w:sz w:val="24"/>
              </w:rPr>
            </w:pPr>
          </w:p>
        </w:tc>
        <w:tc>
          <w:tcPr>
            <w:tcW w:w="756" w:type="dxa"/>
            <w:vMerge w:val="continue"/>
            <w:vAlign w:val="center"/>
          </w:tcPr>
          <w:p>
            <w:pPr>
              <w:pStyle w:val="12"/>
              <w:spacing w:line="360" w:lineRule="auto"/>
              <w:jc w:val="center"/>
              <w:rPr>
                <w:rFonts w:hAnsi="宋体" w:cs="宋体"/>
                <w:sz w:val="24"/>
              </w:rPr>
            </w:pPr>
          </w:p>
        </w:tc>
        <w:tc>
          <w:tcPr>
            <w:tcW w:w="768" w:type="dxa"/>
            <w:vMerge w:val="continue"/>
            <w:vAlign w:val="center"/>
          </w:tcPr>
          <w:p>
            <w:pPr>
              <w:pStyle w:val="12"/>
              <w:spacing w:line="360" w:lineRule="auto"/>
              <w:jc w:val="center"/>
              <w:rPr>
                <w:rFonts w:hAnsi="宋体" w:cs="宋体"/>
                <w:sz w:val="24"/>
              </w:rPr>
            </w:pPr>
          </w:p>
        </w:tc>
        <w:tc>
          <w:tcPr>
            <w:tcW w:w="1020" w:type="dxa"/>
            <w:vAlign w:val="center"/>
          </w:tcPr>
          <w:p>
            <w:pPr>
              <w:pStyle w:val="12"/>
              <w:spacing w:line="360" w:lineRule="auto"/>
              <w:jc w:val="center"/>
              <w:rPr>
                <w:rFonts w:hint="eastAsia" w:hAnsi="宋体" w:eastAsia="宋体" w:cs="宋体"/>
                <w:sz w:val="24"/>
                <w:lang w:eastAsia="zh-CN"/>
              </w:rPr>
            </w:pPr>
            <w:r>
              <w:rPr>
                <w:rFonts w:hint="eastAsia" w:hAnsi="宋体" w:cs="宋体"/>
                <w:sz w:val="24"/>
              </w:rPr>
              <w:t>单价</w:t>
            </w:r>
            <w:r>
              <w:rPr>
                <w:rFonts w:hint="eastAsia" w:hAnsi="宋体" w:cs="宋体"/>
                <w:sz w:val="24"/>
                <w:lang w:eastAsia="zh-CN"/>
              </w:rPr>
              <w:t>②</w:t>
            </w:r>
          </w:p>
        </w:tc>
        <w:tc>
          <w:tcPr>
            <w:tcW w:w="2194" w:type="dxa"/>
            <w:vAlign w:val="center"/>
          </w:tcPr>
          <w:p>
            <w:pPr>
              <w:pStyle w:val="12"/>
              <w:spacing w:line="360" w:lineRule="auto"/>
              <w:jc w:val="center"/>
              <w:rPr>
                <w:rFonts w:hint="eastAsia" w:hAnsi="宋体" w:eastAsia="宋体" w:cs="宋体"/>
                <w:sz w:val="24"/>
                <w:lang w:eastAsia="zh-CN"/>
              </w:rPr>
            </w:pPr>
            <w:r>
              <w:rPr>
                <w:rFonts w:hint="eastAsia" w:hAnsi="宋体" w:cs="宋体"/>
                <w:sz w:val="24"/>
              </w:rPr>
              <w:t>小计</w:t>
            </w:r>
            <w:r>
              <w:rPr>
                <w:rFonts w:hint="eastAsia" w:hAnsi="宋体" w:cs="宋体"/>
                <w:sz w:val="24"/>
                <w:lang w:eastAsia="zh-CN"/>
              </w:rPr>
              <w:t>③</w:t>
            </w:r>
            <w:r>
              <w:rPr>
                <w:rFonts w:hint="eastAsia" w:hAnsi="宋体" w:cs="宋体"/>
                <w:sz w:val="24"/>
                <w:lang w:val="en-US" w:eastAsia="zh-CN"/>
              </w:rPr>
              <w:t>=</w:t>
            </w:r>
            <w:r>
              <w:rPr>
                <w:rFonts w:hint="eastAsia" w:hAnsi="宋体" w:cs="宋体"/>
                <w:sz w:val="24"/>
                <w:lang w:eastAsia="zh-CN"/>
              </w:rPr>
              <w:t>①</w:t>
            </w:r>
            <w:r>
              <w:rPr>
                <w:rFonts w:hint="eastAsia" w:hAnsi="宋体" w:cs="宋体"/>
                <w:sz w:val="24"/>
                <w:lang w:val="en-US" w:eastAsia="zh-CN"/>
              </w:rPr>
              <w:t>*</w:t>
            </w:r>
            <w:r>
              <w:rPr>
                <w:rFonts w:hint="eastAsia" w:hAnsi="宋体" w:cs="宋体"/>
                <w:sz w:val="24"/>
                <w:lang w:eastAsia="zh-C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607" w:type="dxa"/>
            <w:vAlign w:val="center"/>
          </w:tcPr>
          <w:p>
            <w:pPr>
              <w:pStyle w:val="12"/>
              <w:spacing w:line="360" w:lineRule="auto"/>
              <w:jc w:val="center"/>
              <w:rPr>
                <w:rFonts w:hAnsi="宋体" w:cs="宋体"/>
                <w:b/>
                <w:sz w:val="24"/>
              </w:rPr>
            </w:pPr>
          </w:p>
        </w:tc>
        <w:tc>
          <w:tcPr>
            <w:tcW w:w="1214" w:type="dxa"/>
            <w:vAlign w:val="center"/>
          </w:tcPr>
          <w:p>
            <w:pPr>
              <w:pStyle w:val="12"/>
              <w:spacing w:line="360" w:lineRule="auto"/>
              <w:rPr>
                <w:rFonts w:hAnsi="宋体" w:cs="宋体"/>
                <w:b/>
                <w:sz w:val="24"/>
              </w:rPr>
            </w:pPr>
          </w:p>
        </w:tc>
        <w:tc>
          <w:tcPr>
            <w:tcW w:w="2188" w:type="dxa"/>
            <w:vAlign w:val="center"/>
          </w:tcPr>
          <w:p>
            <w:pPr>
              <w:pStyle w:val="12"/>
              <w:spacing w:line="360" w:lineRule="auto"/>
              <w:rPr>
                <w:rFonts w:hAnsi="宋体" w:cs="宋体"/>
                <w:b/>
                <w:sz w:val="24"/>
              </w:rPr>
            </w:pPr>
          </w:p>
        </w:tc>
        <w:tc>
          <w:tcPr>
            <w:tcW w:w="1413" w:type="dxa"/>
            <w:vAlign w:val="center"/>
          </w:tcPr>
          <w:p>
            <w:pPr>
              <w:pStyle w:val="12"/>
              <w:spacing w:line="360" w:lineRule="auto"/>
              <w:rPr>
                <w:rFonts w:hAnsi="宋体" w:cs="宋体"/>
                <w:b/>
                <w:sz w:val="24"/>
              </w:rPr>
            </w:pPr>
          </w:p>
        </w:tc>
        <w:tc>
          <w:tcPr>
            <w:tcW w:w="756" w:type="dxa"/>
            <w:vAlign w:val="center"/>
          </w:tcPr>
          <w:p>
            <w:pPr>
              <w:pStyle w:val="12"/>
              <w:spacing w:line="360" w:lineRule="auto"/>
              <w:rPr>
                <w:rFonts w:hAnsi="宋体" w:cs="宋体"/>
                <w:b/>
                <w:sz w:val="24"/>
              </w:rPr>
            </w:pPr>
          </w:p>
        </w:tc>
        <w:tc>
          <w:tcPr>
            <w:tcW w:w="768" w:type="dxa"/>
            <w:vAlign w:val="center"/>
          </w:tcPr>
          <w:p>
            <w:pPr>
              <w:pStyle w:val="12"/>
              <w:spacing w:line="360" w:lineRule="auto"/>
              <w:rPr>
                <w:rFonts w:hAnsi="宋体" w:cs="宋体"/>
                <w:b/>
                <w:sz w:val="24"/>
              </w:rPr>
            </w:pPr>
          </w:p>
        </w:tc>
        <w:tc>
          <w:tcPr>
            <w:tcW w:w="1020" w:type="dxa"/>
          </w:tcPr>
          <w:p>
            <w:pPr>
              <w:pStyle w:val="12"/>
              <w:spacing w:line="360" w:lineRule="auto"/>
              <w:rPr>
                <w:rFonts w:hAnsi="宋体" w:cs="宋体"/>
                <w:sz w:val="24"/>
              </w:rPr>
            </w:pPr>
          </w:p>
        </w:tc>
        <w:tc>
          <w:tcPr>
            <w:tcW w:w="2194" w:type="dxa"/>
          </w:tcPr>
          <w:p>
            <w:pPr>
              <w:pStyle w:val="12"/>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607" w:type="dxa"/>
            <w:vAlign w:val="center"/>
          </w:tcPr>
          <w:p>
            <w:pPr>
              <w:pStyle w:val="12"/>
              <w:spacing w:line="360" w:lineRule="auto"/>
              <w:jc w:val="center"/>
              <w:rPr>
                <w:rFonts w:hAnsi="宋体" w:cs="宋体"/>
                <w:b/>
                <w:sz w:val="24"/>
              </w:rPr>
            </w:pPr>
          </w:p>
        </w:tc>
        <w:tc>
          <w:tcPr>
            <w:tcW w:w="1214" w:type="dxa"/>
            <w:vAlign w:val="center"/>
          </w:tcPr>
          <w:p>
            <w:pPr>
              <w:pStyle w:val="12"/>
              <w:spacing w:line="360" w:lineRule="auto"/>
              <w:rPr>
                <w:rFonts w:hAnsi="宋体" w:cs="宋体"/>
                <w:b/>
                <w:sz w:val="24"/>
              </w:rPr>
            </w:pPr>
          </w:p>
        </w:tc>
        <w:tc>
          <w:tcPr>
            <w:tcW w:w="2188" w:type="dxa"/>
            <w:vAlign w:val="center"/>
          </w:tcPr>
          <w:p>
            <w:pPr>
              <w:pStyle w:val="12"/>
              <w:spacing w:line="360" w:lineRule="auto"/>
              <w:rPr>
                <w:rFonts w:hAnsi="宋体" w:cs="宋体"/>
                <w:b/>
                <w:sz w:val="24"/>
              </w:rPr>
            </w:pPr>
          </w:p>
        </w:tc>
        <w:tc>
          <w:tcPr>
            <w:tcW w:w="1413" w:type="dxa"/>
            <w:vAlign w:val="center"/>
          </w:tcPr>
          <w:p>
            <w:pPr>
              <w:pStyle w:val="12"/>
              <w:spacing w:line="360" w:lineRule="auto"/>
              <w:rPr>
                <w:rFonts w:hAnsi="宋体" w:cs="宋体"/>
                <w:b/>
                <w:sz w:val="24"/>
              </w:rPr>
            </w:pPr>
          </w:p>
        </w:tc>
        <w:tc>
          <w:tcPr>
            <w:tcW w:w="756" w:type="dxa"/>
            <w:vAlign w:val="center"/>
          </w:tcPr>
          <w:p>
            <w:pPr>
              <w:pStyle w:val="12"/>
              <w:spacing w:line="360" w:lineRule="auto"/>
              <w:rPr>
                <w:rFonts w:hAnsi="宋体" w:cs="宋体"/>
                <w:b/>
                <w:sz w:val="24"/>
              </w:rPr>
            </w:pPr>
          </w:p>
        </w:tc>
        <w:tc>
          <w:tcPr>
            <w:tcW w:w="768" w:type="dxa"/>
            <w:vAlign w:val="center"/>
          </w:tcPr>
          <w:p>
            <w:pPr>
              <w:pStyle w:val="12"/>
              <w:spacing w:line="360" w:lineRule="auto"/>
              <w:rPr>
                <w:rFonts w:hAnsi="宋体" w:cs="宋体"/>
                <w:b/>
                <w:sz w:val="24"/>
              </w:rPr>
            </w:pPr>
          </w:p>
        </w:tc>
        <w:tc>
          <w:tcPr>
            <w:tcW w:w="1020" w:type="dxa"/>
          </w:tcPr>
          <w:p>
            <w:pPr>
              <w:pStyle w:val="12"/>
              <w:spacing w:line="360" w:lineRule="auto"/>
              <w:rPr>
                <w:rFonts w:hAnsi="宋体" w:cs="宋体"/>
                <w:sz w:val="24"/>
              </w:rPr>
            </w:pPr>
          </w:p>
        </w:tc>
        <w:tc>
          <w:tcPr>
            <w:tcW w:w="2194" w:type="dxa"/>
          </w:tcPr>
          <w:p>
            <w:pPr>
              <w:pStyle w:val="12"/>
              <w:spacing w:line="360" w:lineRule="auto"/>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607" w:type="dxa"/>
            <w:vAlign w:val="center"/>
          </w:tcPr>
          <w:p>
            <w:pPr>
              <w:pStyle w:val="12"/>
              <w:spacing w:line="360" w:lineRule="auto"/>
              <w:jc w:val="center"/>
              <w:rPr>
                <w:rFonts w:hAnsi="宋体" w:cs="宋体"/>
                <w:b/>
                <w:color w:val="auto"/>
                <w:sz w:val="24"/>
              </w:rPr>
            </w:pPr>
          </w:p>
        </w:tc>
        <w:tc>
          <w:tcPr>
            <w:tcW w:w="1214" w:type="dxa"/>
            <w:vAlign w:val="center"/>
          </w:tcPr>
          <w:p>
            <w:pPr>
              <w:pStyle w:val="12"/>
              <w:spacing w:line="360" w:lineRule="auto"/>
              <w:rPr>
                <w:rFonts w:hAnsi="宋体" w:cs="宋体"/>
                <w:b/>
                <w:color w:val="auto"/>
                <w:sz w:val="24"/>
              </w:rPr>
            </w:pPr>
          </w:p>
        </w:tc>
        <w:tc>
          <w:tcPr>
            <w:tcW w:w="2188" w:type="dxa"/>
            <w:vAlign w:val="center"/>
          </w:tcPr>
          <w:p>
            <w:pPr>
              <w:pStyle w:val="12"/>
              <w:spacing w:line="360" w:lineRule="auto"/>
              <w:rPr>
                <w:rFonts w:hAnsi="宋体" w:cs="宋体"/>
                <w:b/>
                <w:color w:val="auto"/>
              </w:rPr>
            </w:pPr>
          </w:p>
        </w:tc>
        <w:tc>
          <w:tcPr>
            <w:tcW w:w="1413" w:type="dxa"/>
            <w:vAlign w:val="center"/>
          </w:tcPr>
          <w:p>
            <w:pPr>
              <w:pStyle w:val="12"/>
              <w:spacing w:line="360" w:lineRule="auto"/>
              <w:rPr>
                <w:rFonts w:hAnsi="宋体" w:cs="宋体"/>
                <w:b/>
                <w:color w:val="auto"/>
                <w:sz w:val="24"/>
              </w:rPr>
            </w:pPr>
          </w:p>
        </w:tc>
        <w:tc>
          <w:tcPr>
            <w:tcW w:w="756" w:type="dxa"/>
            <w:vAlign w:val="center"/>
          </w:tcPr>
          <w:p>
            <w:pPr>
              <w:pStyle w:val="12"/>
              <w:spacing w:line="360" w:lineRule="auto"/>
              <w:rPr>
                <w:rFonts w:hAnsi="宋体" w:cs="宋体"/>
                <w:b/>
                <w:color w:val="auto"/>
                <w:sz w:val="24"/>
              </w:rPr>
            </w:pPr>
          </w:p>
        </w:tc>
        <w:tc>
          <w:tcPr>
            <w:tcW w:w="768" w:type="dxa"/>
            <w:vAlign w:val="center"/>
          </w:tcPr>
          <w:p>
            <w:pPr>
              <w:pStyle w:val="12"/>
              <w:spacing w:line="360" w:lineRule="auto"/>
              <w:rPr>
                <w:rFonts w:hAnsi="宋体" w:cs="宋体"/>
                <w:b/>
                <w:color w:val="auto"/>
                <w:sz w:val="24"/>
              </w:rPr>
            </w:pPr>
          </w:p>
        </w:tc>
        <w:tc>
          <w:tcPr>
            <w:tcW w:w="1020" w:type="dxa"/>
          </w:tcPr>
          <w:p>
            <w:pPr>
              <w:pStyle w:val="12"/>
              <w:spacing w:line="360" w:lineRule="auto"/>
              <w:rPr>
                <w:rFonts w:hAnsi="宋体" w:cs="宋体"/>
                <w:color w:val="auto"/>
                <w:sz w:val="24"/>
              </w:rPr>
            </w:pPr>
          </w:p>
        </w:tc>
        <w:tc>
          <w:tcPr>
            <w:tcW w:w="2194" w:type="dxa"/>
          </w:tcPr>
          <w:p>
            <w:pPr>
              <w:pStyle w:val="12"/>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7" w:type="dxa"/>
          </w:tcPr>
          <w:p>
            <w:pPr>
              <w:pStyle w:val="12"/>
              <w:spacing w:line="360" w:lineRule="auto"/>
              <w:rPr>
                <w:rFonts w:hAnsi="宋体" w:cs="宋体"/>
                <w:color w:val="auto"/>
                <w:sz w:val="24"/>
              </w:rPr>
            </w:pPr>
          </w:p>
        </w:tc>
        <w:tc>
          <w:tcPr>
            <w:tcW w:w="1214" w:type="dxa"/>
          </w:tcPr>
          <w:p>
            <w:pPr>
              <w:pStyle w:val="12"/>
              <w:spacing w:line="360" w:lineRule="auto"/>
              <w:rPr>
                <w:rFonts w:hAnsi="宋体" w:cs="宋体"/>
                <w:color w:val="auto"/>
                <w:sz w:val="24"/>
              </w:rPr>
            </w:pPr>
          </w:p>
        </w:tc>
        <w:tc>
          <w:tcPr>
            <w:tcW w:w="2188" w:type="dxa"/>
          </w:tcPr>
          <w:p>
            <w:pPr>
              <w:pStyle w:val="12"/>
              <w:spacing w:line="360" w:lineRule="auto"/>
              <w:rPr>
                <w:rFonts w:hAnsi="宋体" w:cs="宋体"/>
                <w:color w:val="auto"/>
                <w:sz w:val="24"/>
              </w:rPr>
            </w:pPr>
          </w:p>
        </w:tc>
        <w:tc>
          <w:tcPr>
            <w:tcW w:w="1413" w:type="dxa"/>
          </w:tcPr>
          <w:p>
            <w:pPr>
              <w:pStyle w:val="12"/>
              <w:spacing w:line="360" w:lineRule="auto"/>
              <w:rPr>
                <w:rFonts w:hAnsi="宋体" w:cs="宋体"/>
                <w:color w:val="auto"/>
                <w:sz w:val="24"/>
              </w:rPr>
            </w:pPr>
          </w:p>
        </w:tc>
        <w:tc>
          <w:tcPr>
            <w:tcW w:w="756" w:type="dxa"/>
          </w:tcPr>
          <w:p>
            <w:pPr>
              <w:pStyle w:val="12"/>
              <w:spacing w:line="360" w:lineRule="auto"/>
              <w:rPr>
                <w:rFonts w:hAnsi="宋体" w:cs="宋体"/>
                <w:color w:val="auto"/>
                <w:sz w:val="24"/>
              </w:rPr>
            </w:pPr>
          </w:p>
        </w:tc>
        <w:tc>
          <w:tcPr>
            <w:tcW w:w="768" w:type="dxa"/>
          </w:tcPr>
          <w:p>
            <w:pPr>
              <w:pStyle w:val="12"/>
              <w:spacing w:line="360" w:lineRule="auto"/>
              <w:rPr>
                <w:rFonts w:hAnsi="宋体" w:cs="宋体"/>
                <w:color w:val="auto"/>
                <w:sz w:val="24"/>
              </w:rPr>
            </w:pPr>
          </w:p>
        </w:tc>
        <w:tc>
          <w:tcPr>
            <w:tcW w:w="1020" w:type="dxa"/>
          </w:tcPr>
          <w:p>
            <w:pPr>
              <w:pStyle w:val="12"/>
              <w:spacing w:line="360" w:lineRule="auto"/>
              <w:rPr>
                <w:rFonts w:hAnsi="宋体" w:cs="宋体"/>
                <w:color w:val="auto"/>
                <w:sz w:val="24"/>
              </w:rPr>
            </w:pPr>
          </w:p>
        </w:tc>
        <w:tc>
          <w:tcPr>
            <w:tcW w:w="2194" w:type="dxa"/>
          </w:tcPr>
          <w:p>
            <w:pPr>
              <w:pStyle w:val="12"/>
              <w:spacing w:line="360" w:lineRule="auto"/>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1821" w:type="dxa"/>
            <w:gridSpan w:val="2"/>
            <w:vAlign w:val="center"/>
          </w:tcPr>
          <w:p>
            <w:pPr>
              <w:pStyle w:val="12"/>
              <w:spacing w:line="360" w:lineRule="auto"/>
              <w:jc w:val="center"/>
              <w:rPr>
                <w:rFonts w:hAnsi="宋体" w:cs="宋体"/>
                <w:color w:val="auto"/>
                <w:sz w:val="24"/>
              </w:rPr>
            </w:pPr>
            <w:r>
              <w:rPr>
                <w:rFonts w:hint="eastAsia" w:hAnsi="宋体" w:cs="宋体"/>
                <w:color w:val="auto"/>
                <w:sz w:val="24"/>
              </w:rPr>
              <w:t>投标总价</w:t>
            </w:r>
          </w:p>
        </w:tc>
        <w:tc>
          <w:tcPr>
            <w:tcW w:w="8339" w:type="dxa"/>
            <w:gridSpan w:val="6"/>
            <w:vAlign w:val="center"/>
          </w:tcPr>
          <w:p>
            <w:pPr>
              <w:pStyle w:val="12"/>
              <w:spacing w:line="360" w:lineRule="auto"/>
              <w:jc w:val="center"/>
              <w:rPr>
                <w:rFonts w:hAnsi="宋体" w:cs="宋体"/>
                <w:color w:val="auto"/>
                <w:sz w:val="24"/>
              </w:rPr>
            </w:pPr>
            <w:r>
              <w:rPr>
                <w:rFonts w:hint="eastAsia" w:hAnsi="宋体" w:cs="宋体"/>
                <w:color w:val="auto"/>
                <w:sz w:val="24"/>
              </w:rPr>
              <w:t>大写：　　　　                元（小写：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6" w:hRule="atLeast"/>
          <w:jc w:val="center"/>
        </w:trPr>
        <w:tc>
          <w:tcPr>
            <w:tcW w:w="10160" w:type="dxa"/>
            <w:gridSpan w:val="8"/>
          </w:tcPr>
          <w:p>
            <w:pPr>
              <w:pStyle w:val="2"/>
              <w:adjustRightInd w:val="0"/>
              <w:snapToGrid w:val="0"/>
              <w:spacing w:line="320" w:lineRule="exact"/>
              <w:ind w:firstLine="420" w:firstLineChars="200"/>
              <w:rPr>
                <w:rFonts w:hint="eastAsia" w:cs="宋体" w:asciiTheme="minorEastAsia" w:hAnsiTheme="minorEastAsia" w:eastAsiaTheme="minorEastAsia"/>
                <w:b/>
                <w:bCs/>
                <w:color w:val="auto"/>
                <w:szCs w:val="21"/>
                <w:u w:val="none"/>
              </w:rPr>
            </w:pPr>
            <w:r>
              <w:rPr>
                <w:rFonts w:hint="eastAsia" w:hAnsi="宋体" w:cs="宋体"/>
                <w:color w:val="auto"/>
                <w:szCs w:val="21"/>
                <w:shd w:val="clear" w:color="auto"/>
              </w:rPr>
              <w:t>注：</w:t>
            </w:r>
            <w:r>
              <w:rPr>
                <w:rFonts w:hint="eastAsia" w:asciiTheme="minorEastAsia" w:hAnsiTheme="minorEastAsia" w:eastAsiaTheme="minorEastAsia"/>
                <w:b/>
                <w:color w:val="auto"/>
                <w:sz w:val="24"/>
                <w:lang w:val="en-US" w:eastAsia="zh-CN"/>
              </w:rPr>
              <w:t>采购需求中的清单仅供投标时参考，</w:t>
            </w:r>
            <w:r>
              <w:rPr>
                <w:rFonts w:hint="eastAsia" w:ascii="宋体" w:hAnsi="宋体" w:cs="宋体"/>
                <w:b/>
                <w:bCs/>
                <w:color w:val="auto"/>
                <w:szCs w:val="21"/>
                <w:lang w:val="en-US" w:eastAsia="zh-CN"/>
              </w:rPr>
              <w:t>供应商根据采购人提供的图纸及本采购文件进行报价</w:t>
            </w:r>
            <w:r>
              <w:rPr>
                <w:rFonts w:hint="eastAsia" w:asciiTheme="minorEastAsia" w:hAnsiTheme="minorEastAsia" w:eastAsiaTheme="minorEastAsia"/>
                <w:b/>
                <w:color w:val="auto"/>
                <w:sz w:val="24"/>
                <w:lang w:val="en-US" w:eastAsia="zh-CN"/>
              </w:rPr>
              <w:t>，</w:t>
            </w:r>
            <w:r>
              <w:rPr>
                <w:rFonts w:hint="eastAsia" w:cs="宋体" w:asciiTheme="minorEastAsia" w:hAnsiTheme="minorEastAsia" w:eastAsiaTheme="minorEastAsia"/>
                <w:b/>
                <w:bCs/>
                <w:color w:val="auto"/>
                <w:szCs w:val="21"/>
                <w:u w:val="none"/>
              </w:rPr>
              <w:t xml:space="preserve">本项目采用 </w:t>
            </w:r>
            <w:r>
              <w:rPr>
                <w:rFonts w:hint="eastAsia" w:cs="宋体" w:asciiTheme="minorEastAsia" w:hAnsiTheme="minorEastAsia" w:eastAsiaTheme="minorEastAsia"/>
                <w:b/>
                <w:bCs/>
                <w:color w:val="auto"/>
                <w:szCs w:val="21"/>
                <w:u w:val="single"/>
              </w:rPr>
              <w:t>固定</w:t>
            </w:r>
            <w:r>
              <w:rPr>
                <w:rFonts w:hint="eastAsia" w:cs="宋体" w:asciiTheme="minorEastAsia" w:hAnsiTheme="minorEastAsia" w:eastAsiaTheme="minorEastAsia"/>
                <w:b/>
                <w:bCs/>
                <w:color w:val="auto"/>
                <w:szCs w:val="21"/>
                <w:u w:val="single"/>
                <w:lang w:val="en-US" w:eastAsia="zh-CN"/>
              </w:rPr>
              <w:t>总价</w:t>
            </w:r>
            <w:r>
              <w:rPr>
                <w:rFonts w:hint="eastAsia" w:cs="宋体" w:asciiTheme="minorEastAsia" w:hAnsiTheme="minorEastAsia" w:eastAsiaTheme="minorEastAsia"/>
                <w:b/>
                <w:bCs/>
                <w:color w:val="auto"/>
                <w:szCs w:val="21"/>
                <w:u w:val="none"/>
              </w:rPr>
              <w:t>形式</w:t>
            </w:r>
            <w:r>
              <w:rPr>
                <w:rFonts w:hint="eastAsia" w:cs="宋体" w:asciiTheme="minorEastAsia" w:hAnsiTheme="minorEastAsia" w:eastAsiaTheme="minorEastAsia"/>
                <w:b/>
                <w:bCs/>
                <w:color w:val="auto"/>
                <w:szCs w:val="21"/>
                <w:u w:val="none"/>
                <w:lang w:eastAsia="zh-CN"/>
              </w:rPr>
              <w:t>（</w:t>
            </w:r>
            <w:r>
              <w:rPr>
                <w:rFonts w:hint="eastAsia" w:cs="宋体" w:asciiTheme="minorEastAsia" w:hAnsiTheme="minorEastAsia" w:eastAsiaTheme="minorEastAsia"/>
                <w:b/>
                <w:bCs/>
                <w:color w:val="auto"/>
                <w:szCs w:val="21"/>
                <w:u w:val="none"/>
                <w:lang w:val="en-US" w:eastAsia="zh-CN"/>
              </w:rPr>
              <w:t>除</w:t>
            </w:r>
            <w:r>
              <w:rPr>
                <w:rFonts w:hint="eastAsia" w:ascii="宋体" w:hAnsi="宋体" w:cs="宋体"/>
                <w:b/>
                <w:bCs/>
                <w:color w:val="auto"/>
                <w:szCs w:val="21"/>
                <w:lang w:val="en-US" w:eastAsia="zh-CN"/>
              </w:rPr>
              <w:t>甲方</w:t>
            </w:r>
            <w:r>
              <w:rPr>
                <w:rFonts w:hint="eastAsia" w:cs="宋体" w:asciiTheme="minorEastAsia" w:hAnsiTheme="minorEastAsia" w:eastAsiaTheme="minorEastAsia"/>
                <w:b/>
                <w:bCs/>
                <w:color w:val="auto"/>
                <w:szCs w:val="21"/>
                <w:u w:val="none"/>
                <w:lang w:val="en-US" w:eastAsia="zh-CN"/>
              </w:rPr>
              <w:t>要求变更除外</w:t>
            </w:r>
            <w:r>
              <w:rPr>
                <w:rFonts w:hint="eastAsia" w:cs="宋体" w:asciiTheme="minorEastAsia" w:hAnsiTheme="minorEastAsia" w:eastAsiaTheme="minorEastAsia"/>
                <w:b/>
                <w:bCs/>
                <w:color w:val="auto"/>
                <w:szCs w:val="21"/>
                <w:u w:val="none"/>
                <w:lang w:eastAsia="zh-CN"/>
              </w:rPr>
              <w:t>）</w:t>
            </w:r>
            <w:r>
              <w:rPr>
                <w:rFonts w:hint="eastAsia" w:cs="宋体" w:asciiTheme="minorEastAsia" w:hAnsiTheme="minorEastAsia" w:eastAsiaTheme="minorEastAsia"/>
                <w:b/>
                <w:bCs/>
                <w:color w:val="auto"/>
                <w:szCs w:val="21"/>
                <w:u w:val="none"/>
              </w:rPr>
              <w:t>，</w:t>
            </w:r>
            <w:r>
              <w:rPr>
                <w:rFonts w:hint="eastAsia" w:cs="宋体" w:asciiTheme="minorEastAsia" w:hAnsiTheme="minorEastAsia" w:eastAsiaTheme="minorEastAsia"/>
                <w:b/>
                <w:bCs/>
                <w:color w:val="auto"/>
                <w:szCs w:val="21"/>
                <w:u w:val="none"/>
                <w:lang w:val="en-US" w:eastAsia="zh-CN"/>
              </w:rPr>
              <w:t>投标报价</w:t>
            </w:r>
            <w:r>
              <w:rPr>
                <w:rFonts w:hint="eastAsia" w:cs="宋体" w:asciiTheme="minorEastAsia" w:hAnsiTheme="minorEastAsia" w:eastAsiaTheme="minorEastAsia"/>
                <w:b/>
                <w:bCs/>
                <w:color w:val="auto"/>
                <w:szCs w:val="21"/>
                <w:u w:val="none"/>
              </w:rPr>
              <w:t>已包括</w:t>
            </w:r>
            <w:r>
              <w:rPr>
                <w:rFonts w:hint="eastAsia" w:cs="宋体" w:asciiTheme="minorEastAsia" w:hAnsiTheme="minorEastAsia" w:eastAsiaTheme="minorEastAsia"/>
                <w:b/>
                <w:bCs/>
                <w:color w:val="auto"/>
                <w:szCs w:val="21"/>
                <w:u w:val="none"/>
                <w:lang w:val="en-US" w:eastAsia="zh-CN"/>
              </w:rPr>
              <w:t>但</w:t>
            </w:r>
            <w:r>
              <w:rPr>
                <w:rFonts w:hint="eastAsia" w:cs="宋体" w:asciiTheme="minorEastAsia" w:hAnsiTheme="minorEastAsia" w:eastAsiaTheme="minorEastAsia"/>
                <w:b/>
                <w:bCs/>
                <w:color w:val="auto"/>
                <w:szCs w:val="21"/>
                <w:u w:val="none"/>
              </w:rPr>
              <w:t>不限于主材费、包装费、运输费、运输损耗、装卸费、安装费、安装所用水电费、辅料、配件、</w:t>
            </w:r>
            <w:r>
              <w:rPr>
                <w:rFonts w:hint="eastAsia" w:cs="宋体" w:asciiTheme="minorEastAsia" w:hAnsiTheme="minorEastAsia" w:eastAsiaTheme="minorEastAsia"/>
                <w:b/>
                <w:bCs/>
                <w:color w:val="auto"/>
                <w:szCs w:val="21"/>
                <w:u w:val="none"/>
                <w:lang w:eastAsia="zh-CN"/>
              </w:rPr>
              <w:t>工具、设计优化费、</w:t>
            </w:r>
            <w:r>
              <w:rPr>
                <w:rFonts w:hint="eastAsia" w:cs="宋体" w:asciiTheme="minorEastAsia" w:hAnsiTheme="minorEastAsia" w:eastAsiaTheme="minorEastAsia"/>
                <w:b/>
                <w:bCs/>
                <w:color w:val="auto"/>
                <w:szCs w:val="21"/>
                <w:u w:val="none"/>
              </w:rPr>
              <w:t>保管费、单机调试及联动调试费、第三方检验费、保修费、管理费、相关配合费、现场可能发生的二次搬运、临时设施费、成品保护费、利润、保险、税金等设备安装验收合格直至交付</w:t>
            </w:r>
            <w:r>
              <w:rPr>
                <w:rFonts w:hint="eastAsia" w:cs="宋体" w:asciiTheme="minorEastAsia" w:hAnsiTheme="minorEastAsia" w:eastAsiaTheme="minorEastAsia"/>
                <w:b/>
                <w:bCs/>
                <w:color w:val="auto"/>
                <w:szCs w:val="21"/>
                <w:u w:val="none"/>
                <w:lang w:val="en-US" w:eastAsia="zh-CN"/>
              </w:rPr>
              <w:t>采购人</w:t>
            </w:r>
            <w:r>
              <w:rPr>
                <w:rFonts w:hint="eastAsia" w:cs="宋体" w:asciiTheme="minorEastAsia" w:hAnsiTheme="minorEastAsia" w:eastAsiaTheme="minorEastAsia"/>
                <w:b/>
                <w:bCs/>
                <w:color w:val="auto"/>
                <w:szCs w:val="21"/>
                <w:u w:val="none"/>
              </w:rPr>
              <w:t>以及售后服务的一切费用，以及其他不可预见的所有费用，且不因劳务、市场设备价格、政策变化而调整。</w:t>
            </w:r>
          </w:p>
          <w:p>
            <w:pPr>
              <w:adjustRightInd w:val="0"/>
              <w:snapToGrid w:val="0"/>
              <w:spacing w:line="360" w:lineRule="auto"/>
              <w:ind w:firstLine="422" w:firstLineChars="200"/>
              <w:jc w:val="left"/>
              <w:rPr>
                <w:rFonts w:hAnsi="宋体" w:cs="宋体"/>
                <w:color w:val="auto"/>
                <w:sz w:val="24"/>
              </w:rPr>
            </w:pPr>
            <w:r>
              <w:rPr>
                <w:rFonts w:hint="eastAsia" w:cs="宋体" w:asciiTheme="minorEastAsia" w:hAnsiTheme="minorEastAsia" w:eastAsiaTheme="minorEastAsia"/>
                <w:b/>
                <w:bCs/>
                <w:color w:val="auto"/>
                <w:kern w:val="2"/>
                <w:sz w:val="21"/>
                <w:szCs w:val="21"/>
                <w:u w:val="none"/>
                <w:lang w:val="en-US" w:eastAsia="zh-CN" w:bidi="ar-SA"/>
              </w:rPr>
              <w:t>整个合同履行期间，若甲方要求变更的，则变更部分按照甲方的签证价格进行结算。</w:t>
            </w:r>
          </w:p>
        </w:tc>
      </w:tr>
    </w:tbl>
    <w:p>
      <w:pPr>
        <w:spacing w:line="400" w:lineRule="exact"/>
        <w:rPr>
          <w:rFonts w:ascii="宋体" w:hAnsi="宋体"/>
          <w:b/>
          <w:color w:val="auto"/>
          <w:szCs w:val="21"/>
        </w:rPr>
      </w:pPr>
      <w:r>
        <w:rPr>
          <w:rFonts w:hint="eastAsia" w:ascii="宋体" w:hAnsi="宋体"/>
          <w:b/>
          <w:color w:val="auto"/>
          <w:szCs w:val="21"/>
        </w:rPr>
        <w:t>要求：</w:t>
      </w:r>
    </w:p>
    <w:p>
      <w:pPr>
        <w:spacing w:line="400" w:lineRule="exact"/>
        <w:rPr>
          <w:rFonts w:hint="eastAsia" w:ascii="宋体" w:hAnsi="宋体"/>
          <w:b/>
          <w:szCs w:val="21"/>
          <w:lang w:val="zh-CN"/>
        </w:rPr>
      </w:pPr>
      <w:r>
        <w:rPr>
          <w:rFonts w:hint="eastAsia" w:ascii="宋体" w:hAnsi="宋体"/>
          <w:b/>
          <w:color w:val="auto"/>
          <w:szCs w:val="21"/>
        </w:rPr>
        <w:t>1.本表</w:t>
      </w:r>
      <w:r>
        <w:rPr>
          <w:rFonts w:hint="eastAsia" w:ascii="宋体" w:hAnsi="宋体"/>
          <w:b/>
          <w:color w:val="auto"/>
          <w:szCs w:val="21"/>
          <w:lang w:val="zh-CN"/>
        </w:rPr>
        <w:t>为《开标一览表》的报价明细表，如有</w:t>
      </w:r>
      <w:r>
        <w:rPr>
          <w:rFonts w:hint="eastAsia" w:ascii="宋体" w:hAnsi="宋体"/>
          <w:b/>
          <w:szCs w:val="21"/>
          <w:lang w:val="zh-CN"/>
        </w:rPr>
        <w:t>缺项、漏项，视为投标报价中已包含相关费用，采购人无需另外支付任何费用。</w:t>
      </w:r>
    </w:p>
    <w:p>
      <w:pPr>
        <w:spacing w:line="400" w:lineRule="exact"/>
        <w:rPr>
          <w:rFonts w:hint="eastAsia" w:ascii="宋体" w:hAnsi="宋体"/>
          <w:b/>
          <w:szCs w:val="21"/>
          <w:lang w:val="zh-CN"/>
        </w:rPr>
      </w:pPr>
      <w:r>
        <w:rPr>
          <w:rFonts w:hint="eastAsia" w:ascii="宋体" w:hAnsi="宋体"/>
          <w:b/>
          <w:szCs w:val="21"/>
          <w:lang w:val="zh-CN"/>
        </w:rPr>
        <w:t>2.“报价明细表”中的报价合计应与“开标一览表”中的投标总报价相一致，不一致时，以开标一览表为准。</w:t>
      </w:r>
    </w:p>
    <w:p>
      <w:pPr>
        <w:spacing w:line="400" w:lineRule="exact"/>
        <w:rPr>
          <w:rFonts w:hint="eastAsia" w:ascii="宋体" w:hAnsi="宋体"/>
          <w:b/>
          <w:szCs w:val="21"/>
          <w:lang w:val="zh-CN"/>
        </w:rPr>
      </w:pPr>
      <w:r>
        <w:rPr>
          <w:rFonts w:hint="eastAsia" w:ascii="宋体" w:hAnsi="宋体"/>
          <w:b/>
          <w:szCs w:val="21"/>
          <w:lang w:val="zh-CN"/>
        </w:rPr>
        <w:t>3.投标报价明细表所填内容</w:t>
      </w:r>
      <w:r>
        <w:rPr>
          <w:rFonts w:hint="eastAsia" w:ascii="宋体" w:hAnsi="宋体"/>
          <w:b/>
          <w:szCs w:val="21"/>
          <w:lang w:val="en-US" w:eastAsia="zh-CN"/>
        </w:rPr>
        <w:t>以采购人提供的图纸及本采购文件为准进行报价</w:t>
      </w:r>
      <w:r>
        <w:rPr>
          <w:rFonts w:hint="eastAsia" w:ascii="宋体" w:hAnsi="宋体"/>
          <w:b/>
          <w:szCs w:val="21"/>
          <w:lang w:val="zh-CN"/>
        </w:rPr>
        <w:t>。如有漏报的，视同已包含在投标总价内或已作优惠处理。有重大缺项的将作无效标处理。</w:t>
      </w:r>
    </w:p>
    <w:p>
      <w:pPr>
        <w:spacing w:line="400" w:lineRule="exact"/>
        <w:rPr>
          <w:rFonts w:hint="eastAsia" w:ascii="宋体" w:hAnsi="宋体"/>
          <w:b/>
          <w:szCs w:val="21"/>
          <w:lang w:val="zh-CN"/>
        </w:rPr>
      </w:pPr>
      <w:r>
        <w:rPr>
          <w:rFonts w:hint="eastAsia" w:ascii="宋体" w:hAnsi="宋体"/>
          <w:b/>
          <w:szCs w:val="21"/>
          <w:lang w:val="zh-CN"/>
        </w:rPr>
        <w:t>▲4. 本表中的型号规格必须明确，招标文件中明确要求定制的除外。</w:t>
      </w:r>
    </w:p>
    <w:p>
      <w:pPr>
        <w:spacing w:line="400" w:lineRule="exact"/>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lang w:eastAsia="zh-CN"/>
        </w:rPr>
        <w:t>供应商</w:t>
      </w:r>
      <w:r>
        <w:rPr>
          <w:rFonts w:hint="eastAsia" w:ascii="宋体" w:hAnsi="宋体"/>
          <w:sz w:val="24"/>
        </w:rPr>
        <w:t>名称（公章）：</w:t>
      </w:r>
    </w:p>
    <w:p>
      <w:pPr>
        <w:spacing w:line="360" w:lineRule="auto"/>
        <w:ind w:firstLine="435"/>
        <w:rPr>
          <w:rFonts w:ascii="宋体" w:hAnsi="宋体" w:cs="宋体"/>
          <w:sz w:val="24"/>
        </w:rPr>
      </w:pPr>
      <w:r>
        <w:rPr>
          <w:rFonts w:hint="eastAsia" w:ascii="宋体" w:hAnsi="宋体" w:cs="宋体"/>
          <w:sz w:val="24"/>
          <w:lang w:eastAsia="zh-CN"/>
        </w:rPr>
        <w:t>供应商</w:t>
      </w:r>
      <w:r>
        <w:rPr>
          <w:rFonts w:hint="eastAsia" w:ascii="宋体" w:hAnsi="宋体" w:cs="宋体"/>
          <w:sz w:val="24"/>
        </w:rPr>
        <w:t>代表签名（或盖章）：</w:t>
      </w:r>
    </w:p>
    <w:p>
      <w:pPr>
        <w:spacing w:line="360" w:lineRule="auto"/>
        <w:ind w:firstLine="435"/>
        <w:rPr>
          <w:rFonts w:ascii="宋体" w:hAnsi="宋体"/>
          <w:sz w:val="24"/>
        </w:rPr>
      </w:pPr>
      <w:r>
        <w:rPr>
          <w:rFonts w:hint="eastAsia" w:ascii="宋体" w:hAnsi="宋体"/>
          <w:sz w:val="24"/>
        </w:rPr>
        <w:t>日        期：</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lang w:eastAsia="en-US" w:bidi="en-US"/>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0"/>
        <w:ind w:firstLine="360"/>
      </w:pPr>
      <w:r>
        <w:rPr>
          <w:rStyle w:val="28"/>
        </w:rPr>
        <w:footnoteRef/>
      </w:r>
      <w:r>
        <w:t xml:space="preserve"> </w:t>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E4377"/>
    <w:multiLevelType w:val="singleLevel"/>
    <w:tmpl w:val="95AE4377"/>
    <w:lvl w:ilvl="0" w:tentative="0">
      <w:start w:val="1"/>
      <w:numFmt w:val="chineseCounting"/>
      <w:suff w:val="nothing"/>
      <w:lvlText w:val="%1、"/>
      <w:lvlJc w:val="left"/>
      <w:pPr>
        <w:ind w:left="0" w:firstLine="420"/>
      </w:pPr>
      <w:rPr>
        <w:rFonts w:hint="eastAsia"/>
      </w:rPr>
    </w:lvl>
  </w:abstractNum>
  <w:abstractNum w:abstractNumId="1">
    <w:nsid w:val="A9136212"/>
    <w:multiLevelType w:val="singleLevel"/>
    <w:tmpl w:val="A9136212"/>
    <w:lvl w:ilvl="0" w:tentative="0">
      <w:start w:val="2"/>
      <w:numFmt w:val="decimal"/>
      <w:suff w:val="nothing"/>
      <w:lvlText w:val="（%1）"/>
      <w:lvlJc w:val="left"/>
    </w:lvl>
  </w:abstractNum>
  <w:abstractNum w:abstractNumId="2">
    <w:nsid w:val="D13E09F8"/>
    <w:multiLevelType w:val="singleLevel"/>
    <w:tmpl w:val="D13E09F8"/>
    <w:lvl w:ilvl="0" w:tentative="0">
      <w:start w:val="1"/>
      <w:numFmt w:val="decimal"/>
      <w:suff w:val="nothing"/>
      <w:lvlText w:val="%1．"/>
      <w:lvlJc w:val="left"/>
      <w:pPr>
        <w:ind w:left="0" w:firstLine="400"/>
      </w:pPr>
      <w:rPr>
        <w:rFonts w:hint="default"/>
      </w:rPr>
    </w:lvl>
  </w:abstractNum>
  <w:abstractNum w:abstractNumId="3">
    <w:nsid w:val="DFFA6076"/>
    <w:multiLevelType w:val="singleLevel"/>
    <w:tmpl w:val="DFFA6076"/>
    <w:lvl w:ilvl="0" w:tentative="0">
      <w:start w:val="1"/>
      <w:numFmt w:val="decimal"/>
      <w:lvlText w:val="%1)"/>
      <w:lvlJc w:val="left"/>
      <w:pPr>
        <w:ind w:left="425" w:hanging="425"/>
      </w:pPr>
      <w:rPr>
        <w:rFonts w:hint="default"/>
      </w:rPr>
    </w:lvl>
  </w:abstractNum>
  <w:abstractNum w:abstractNumId="4">
    <w:nsid w:val="FF4D4BA8"/>
    <w:multiLevelType w:val="singleLevel"/>
    <w:tmpl w:val="FF4D4BA8"/>
    <w:lvl w:ilvl="0" w:tentative="0">
      <w:start w:val="1"/>
      <w:numFmt w:val="decimal"/>
      <w:lvlText w:val="%1."/>
      <w:lvlJc w:val="left"/>
      <w:pPr>
        <w:ind w:left="425" w:hanging="425"/>
      </w:pPr>
      <w:rPr>
        <w:rFonts w:hint="default"/>
      </w:rPr>
    </w:lvl>
  </w:abstractNum>
  <w:abstractNum w:abstractNumId="5">
    <w:nsid w:val="094B30AB"/>
    <w:multiLevelType w:val="multilevel"/>
    <w:tmpl w:val="094B30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7">
    <w:nsid w:val="1A8D5680"/>
    <w:multiLevelType w:val="singleLevel"/>
    <w:tmpl w:val="1A8D5680"/>
    <w:lvl w:ilvl="0" w:tentative="0">
      <w:start w:val="1"/>
      <w:numFmt w:val="decimal"/>
      <w:lvlText w:val="%1."/>
      <w:lvlJc w:val="left"/>
      <w:pPr>
        <w:tabs>
          <w:tab w:val="left" w:pos="312"/>
        </w:tabs>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C264A08"/>
    <w:multiLevelType w:val="singleLevel"/>
    <w:tmpl w:val="5C264A08"/>
    <w:lvl w:ilvl="0" w:tentative="0">
      <w:start w:val="1"/>
      <w:numFmt w:val="decimal"/>
      <w:lvlText w:val="%1."/>
      <w:lvlJc w:val="left"/>
      <w:pPr>
        <w:ind w:left="425" w:hanging="425"/>
      </w:pPr>
      <w:rPr>
        <w:rFonts w:hint="default"/>
      </w:rPr>
    </w:lvl>
  </w:abstractNum>
  <w:abstractNum w:abstractNumId="1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785B0A88"/>
    <w:multiLevelType w:val="multilevel"/>
    <w:tmpl w:val="785B0A8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E92F494"/>
    <w:multiLevelType w:val="singleLevel"/>
    <w:tmpl w:val="7E92F494"/>
    <w:lvl w:ilvl="0" w:tentative="0">
      <w:start w:val="1"/>
      <w:numFmt w:val="decimal"/>
      <w:lvlText w:val="%1."/>
      <w:lvlJc w:val="left"/>
      <w:pPr>
        <w:ind w:left="425" w:hanging="425"/>
      </w:pPr>
      <w:rPr>
        <w:rFonts w:hint="default"/>
      </w:rPr>
    </w:lvl>
  </w:abstractNum>
  <w:num w:numId="1">
    <w:abstractNumId w:val="10"/>
  </w:num>
  <w:num w:numId="2">
    <w:abstractNumId w:val="6"/>
  </w:num>
  <w:num w:numId="3">
    <w:abstractNumId w:val="11"/>
  </w:num>
  <w:num w:numId="4">
    <w:abstractNumId w:val="8"/>
  </w:num>
  <w:num w:numId="5">
    <w:abstractNumId w:val="12"/>
  </w:num>
  <w:num w:numId="6">
    <w:abstractNumId w:val="5"/>
  </w:num>
  <w:num w:numId="7">
    <w:abstractNumId w:val="1"/>
  </w:num>
  <w:num w:numId="8">
    <w:abstractNumId w:val="3"/>
  </w:num>
  <w:num w:numId="9">
    <w:abstractNumId w:val="2"/>
  </w:num>
  <w:num w:numId="10">
    <w:abstractNumId w:val="0"/>
  </w:num>
  <w:num w:numId="11">
    <w:abstractNumId w:val="1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Nzg2YWQ4OGFlYzkyMjUzNmUwODM4OGJhYzljMGYifQ=="/>
  </w:docVars>
  <w:rsids>
    <w:rsidRoot w:val="685F2B0C"/>
    <w:rsid w:val="0002799D"/>
    <w:rsid w:val="00037F4A"/>
    <w:rsid w:val="00072A3F"/>
    <w:rsid w:val="000851F8"/>
    <w:rsid w:val="000B35C9"/>
    <w:rsid w:val="000E538F"/>
    <w:rsid w:val="001136A2"/>
    <w:rsid w:val="00173A28"/>
    <w:rsid w:val="001B51C8"/>
    <w:rsid w:val="001C4F91"/>
    <w:rsid w:val="001E6CF9"/>
    <w:rsid w:val="00224E1A"/>
    <w:rsid w:val="00241EEB"/>
    <w:rsid w:val="00242A20"/>
    <w:rsid w:val="002A4418"/>
    <w:rsid w:val="002B3154"/>
    <w:rsid w:val="002E0FF6"/>
    <w:rsid w:val="002E3FC0"/>
    <w:rsid w:val="002E6DF5"/>
    <w:rsid w:val="00312C7C"/>
    <w:rsid w:val="00315916"/>
    <w:rsid w:val="003201FA"/>
    <w:rsid w:val="00330F75"/>
    <w:rsid w:val="003C4BB8"/>
    <w:rsid w:val="003E7404"/>
    <w:rsid w:val="00401AC8"/>
    <w:rsid w:val="00494691"/>
    <w:rsid w:val="005240D4"/>
    <w:rsid w:val="00545B22"/>
    <w:rsid w:val="00565F77"/>
    <w:rsid w:val="00595711"/>
    <w:rsid w:val="005A2C26"/>
    <w:rsid w:val="005B7FA6"/>
    <w:rsid w:val="00623A21"/>
    <w:rsid w:val="00627077"/>
    <w:rsid w:val="00627D71"/>
    <w:rsid w:val="0066350B"/>
    <w:rsid w:val="00674D9C"/>
    <w:rsid w:val="006F24A9"/>
    <w:rsid w:val="006F679D"/>
    <w:rsid w:val="0072317A"/>
    <w:rsid w:val="00753BA8"/>
    <w:rsid w:val="007D0BF7"/>
    <w:rsid w:val="007E4962"/>
    <w:rsid w:val="008A7292"/>
    <w:rsid w:val="0093255C"/>
    <w:rsid w:val="00987EDA"/>
    <w:rsid w:val="009F0C6A"/>
    <w:rsid w:val="00A413BD"/>
    <w:rsid w:val="00A921FD"/>
    <w:rsid w:val="00A97E75"/>
    <w:rsid w:val="00AA020C"/>
    <w:rsid w:val="00AB49B7"/>
    <w:rsid w:val="00AF1159"/>
    <w:rsid w:val="00B023A2"/>
    <w:rsid w:val="00B43F6C"/>
    <w:rsid w:val="00B44061"/>
    <w:rsid w:val="00B94CDE"/>
    <w:rsid w:val="00BD378A"/>
    <w:rsid w:val="00C4791F"/>
    <w:rsid w:val="00C53CE9"/>
    <w:rsid w:val="00CE2208"/>
    <w:rsid w:val="00CF3329"/>
    <w:rsid w:val="00D00C48"/>
    <w:rsid w:val="00D0546E"/>
    <w:rsid w:val="00D07E9B"/>
    <w:rsid w:val="00DB1E3F"/>
    <w:rsid w:val="00DC1336"/>
    <w:rsid w:val="00E32B23"/>
    <w:rsid w:val="00E41EBA"/>
    <w:rsid w:val="00E448AC"/>
    <w:rsid w:val="00E66CDC"/>
    <w:rsid w:val="00E67625"/>
    <w:rsid w:val="00EC04A9"/>
    <w:rsid w:val="00EE745E"/>
    <w:rsid w:val="00EF43FF"/>
    <w:rsid w:val="00F26F1C"/>
    <w:rsid w:val="00F7775A"/>
    <w:rsid w:val="00F846A5"/>
    <w:rsid w:val="00FF22EF"/>
    <w:rsid w:val="01004683"/>
    <w:rsid w:val="010742D5"/>
    <w:rsid w:val="01077B6C"/>
    <w:rsid w:val="010D427B"/>
    <w:rsid w:val="011C2867"/>
    <w:rsid w:val="011E4134"/>
    <w:rsid w:val="012355F0"/>
    <w:rsid w:val="012B6D61"/>
    <w:rsid w:val="015C2A86"/>
    <w:rsid w:val="015F789E"/>
    <w:rsid w:val="016E372F"/>
    <w:rsid w:val="017A70CE"/>
    <w:rsid w:val="01814321"/>
    <w:rsid w:val="01851778"/>
    <w:rsid w:val="018856AF"/>
    <w:rsid w:val="01AE11E6"/>
    <w:rsid w:val="01B70CE3"/>
    <w:rsid w:val="01D10A61"/>
    <w:rsid w:val="01D61DCE"/>
    <w:rsid w:val="01F170ED"/>
    <w:rsid w:val="01F53A09"/>
    <w:rsid w:val="01F916C8"/>
    <w:rsid w:val="02040004"/>
    <w:rsid w:val="022115FB"/>
    <w:rsid w:val="02292E42"/>
    <w:rsid w:val="02375009"/>
    <w:rsid w:val="02536BAE"/>
    <w:rsid w:val="026768D8"/>
    <w:rsid w:val="0277756A"/>
    <w:rsid w:val="0294584C"/>
    <w:rsid w:val="029A4E8A"/>
    <w:rsid w:val="02BD7D6C"/>
    <w:rsid w:val="02C73731"/>
    <w:rsid w:val="02D8783E"/>
    <w:rsid w:val="032A675A"/>
    <w:rsid w:val="032C58C3"/>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E746F0"/>
    <w:rsid w:val="04E87471"/>
    <w:rsid w:val="050A0D5B"/>
    <w:rsid w:val="050D23B9"/>
    <w:rsid w:val="05162537"/>
    <w:rsid w:val="051E7487"/>
    <w:rsid w:val="053F0EAC"/>
    <w:rsid w:val="053F23D3"/>
    <w:rsid w:val="056B3DBF"/>
    <w:rsid w:val="057D6BFC"/>
    <w:rsid w:val="057E41A9"/>
    <w:rsid w:val="05B01B1D"/>
    <w:rsid w:val="05BC5BB6"/>
    <w:rsid w:val="05CB2372"/>
    <w:rsid w:val="05CC05A3"/>
    <w:rsid w:val="05FD1629"/>
    <w:rsid w:val="06221E50"/>
    <w:rsid w:val="06653309"/>
    <w:rsid w:val="06653EC4"/>
    <w:rsid w:val="067544C8"/>
    <w:rsid w:val="068B66F5"/>
    <w:rsid w:val="0699402C"/>
    <w:rsid w:val="069C64C8"/>
    <w:rsid w:val="06A0112C"/>
    <w:rsid w:val="06AD7687"/>
    <w:rsid w:val="06B56136"/>
    <w:rsid w:val="06B864B2"/>
    <w:rsid w:val="06D372D6"/>
    <w:rsid w:val="06D64E56"/>
    <w:rsid w:val="06F061D6"/>
    <w:rsid w:val="0703081A"/>
    <w:rsid w:val="07056475"/>
    <w:rsid w:val="070C5153"/>
    <w:rsid w:val="070E765D"/>
    <w:rsid w:val="07157529"/>
    <w:rsid w:val="071747A0"/>
    <w:rsid w:val="071E2C8A"/>
    <w:rsid w:val="07347410"/>
    <w:rsid w:val="07425FC3"/>
    <w:rsid w:val="074273EB"/>
    <w:rsid w:val="07463A3E"/>
    <w:rsid w:val="074E4D14"/>
    <w:rsid w:val="077A5051"/>
    <w:rsid w:val="078033AF"/>
    <w:rsid w:val="079F3EE7"/>
    <w:rsid w:val="07AE41DE"/>
    <w:rsid w:val="07D85507"/>
    <w:rsid w:val="07DF5164"/>
    <w:rsid w:val="07E50580"/>
    <w:rsid w:val="07F46C10"/>
    <w:rsid w:val="07F9224F"/>
    <w:rsid w:val="07FA589D"/>
    <w:rsid w:val="082E5DF2"/>
    <w:rsid w:val="085403A4"/>
    <w:rsid w:val="085E020A"/>
    <w:rsid w:val="086951C1"/>
    <w:rsid w:val="08696EDC"/>
    <w:rsid w:val="087075EB"/>
    <w:rsid w:val="088D6A54"/>
    <w:rsid w:val="08941B48"/>
    <w:rsid w:val="08C60C4A"/>
    <w:rsid w:val="08C72312"/>
    <w:rsid w:val="08DC3175"/>
    <w:rsid w:val="08F0261B"/>
    <w:rsid w:val="08F81693"/>
    <w:rsid w:val="09060203"/>
    <w:rsid w:val="090A0832"/>
    <w:rsid w:val="092B365C"/>
    <w:rsid w:val="095406F9"/>
    <w:rsid w:val="0955362C"/>
    <w:rsid w:val="09566590"/>
    <w:rsid w:val="09583EB5"/>
    <w:rsid w:val="095D7A37"/>
    <w:rsid w:val="09875848"/>
    <w:rsid w:val="09B565E4"/>
    <w:rsid w:val="09BB0BBA"/>
    <w:rsid w:val="09BB6CF7"/>
    <w:rsid w:val="09C77B1C"/>
    <w:rsid w:val="09CA4C01"/>
    <w:rsid w:val="09D745B9"/>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3746E6"/>
    <w:rsid w:val="0B3F5F1E"/>
    <w:rsid w:val="0B556C34"/>
    <w:rsid w:val="0B6C389D"/>
    <w:rsid w:val="0B760351"/>
    <w:rsid w:val="0B846791"/>
    <w:rsid w:val="0B85416B"/>
    <w:rsid w:val="0B8B536A"/>
    <w:rsid w:val="0BCC7711"/>
    <w:rsid w:val="0BCD0049"/>
    <w:rsid w:val="0BE83010"/>
    <w:rsid w:val="0BEA0DB9"/>
    <w:rsid w:val="0C061D9D"/>
    <w:rsid w:val="0C0F3325"/>
    <w:rsid w:val="0C1358B4"/>
    <w:rsid w:val="0C35472E"/>
    <w:rsid w:val="0C4551B9"/>
    <w:rsid w:val="0C480F3E"/>
    <w:rsid w:val="0C4813D5"/>
    <w:rsid w:val="0C585BE0"/>
    <w:rsid w:val="0C621FF6"/>
    <w:rsid w:val="0C640F6F"/>
    <w:rsid w:val="0C7E2237"/>
    <w:rsid w:val="0C9F1CEA"/>
    <w:rsid w:val="0CBE1DF9"/>
    <w:rsid w:val="0CC9599A"/>
    <w:rsid w:val="0CE0341A"/>
    <w:rsid w:val="0D10283C"/>
    <w:rsid w:val="0D3F7F2E"/>
    <w:rsid w:val="0D494870"/>
    <w:rsid w:val="0D5456F5"/>
    <w:rsid w:val="0D5955C7"/>
    <w:rsid w:val="0D705EC6"/>
    <w:rsid w:val="0D7C5049"/>
    <w:rsid w:val="0D83675C"/>
    <w:rsid w:val="0D8C5C53"/>
    <w:rsid w:val="0D8C75B3"/>
    <w:rsid w:val="0D9E0018"/>
    <w:rsid w:val="0DB757B9"/>
    <w:rsid w:val="0DE7555E"/>
    <w:rsid w:val="0DF06351"/>
    <w:rsid w:val="0E0979BF"/>
    <w:rsid w:val="0E516767"/>
    <w:rsid w:val="0E5A014C"/>
    <w:rsid w:val="0E5E4DB8"/>
    <w:rsid w:val="0E5F6E07"/>
    <w:rsid w:val="0E607B1B"/>
    <w:rsid w:val="0E6126CF"/>
    <w:rsid w:val="0E635AF2"/>
    <w:rsid w:val="0E711482"/>
    <w:rsid w:val="0E7F77A7"/>
    <w:rsid w:val="0E8405CA"/>
    <w:rsid w:val="0E8D5133"/>
    <w:rsid w:val="0EB1236A"/>
    <w:rsid w:val="0F197C6F"/>
    <w:rsid w:val="0F270991"/>
    <w:rsid w:val="0F3829BD"/>
    <w:rsid w:val="0F3E6F11"/>
    <w:rsid w:val="0F5565C2"/>
    <w:rsid w:val="0F6F7789"/>
    <w:rsid w:val="0FC27645"/>
    <w:rsid w:val="101E45CB"/>
    <w:rsid w:val="101F02CE"/>
    <w:rsid w:val="105C5738"/>
    <w:rsid w:val="107907CC"/>
    <w:rsid w:val="10843C5D"/>
    <w:rsid w:val="109909D1"/>
    <w:rsid w:val="10B73F1D"/>
    <w:rsid w:val="10BE1B05"/>
    <w:rsid w:val="10C84882"/>
    <w:rsid w:val="10D1178C"/>
    <w:rsid w:val="10E07EE2"/>
    <w:rsid w:val="10F630E0"/>
    <w:rsid w:val="110C23EA"/>
    <w:rsid w:val="11112CBE"/>
    <w:rsid w:val="11163418"/>
    <w:rsid w:val="111818B8"/>
    <w:rsid w:val="113B439C"/>
    <w:rsid w:val="11537715"/>
    <w:rsid w:val="11565610"/>
    <w:rsid w:val="11674F62"/>
    <w:rsid w:val="1171000D"/>
    <w:rsid w:val="118A244C"/>
    <w:rsid w:val="118C2781"/>
    <w:rsid w:val="11950BDB"/>
    <w:rsid w:val="119C5B20"/>
    <w:rsid w:val="11A2124C"/>
    <w:rsid w:val="11AC592C"/>
    <w:rsid w:val="11AD389E"/>
    <w:rsid w:val="11C20C82"/>
    <w:rsid w:val="11C768FF"/>
    <w:rsid w:val="11D675CB"/>
    <w:rsid w:val="11F90599"/>
    <w:rsid w:val="11F97056"/>
    <w:rsid w:val="12063740"/>
    <w:rsid w:val="12067E97"/>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2DA4012"/>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B56B58"/>
    <w:rsid w:val="13C30E6E"/>
    <w:rsid w:val="13E5167D"/>
    <w:rsid w:val="140769BE"/>
    <w:rsid w:val="1413430F"/>
    <w:rsid w:val="141613F9"/>
    <w:rsid w:val="14203CB8"/>
    <w:rsid w:val="143A0B7C"/>
    <w:rsid w:val="143C354F"/>
    <w:rsid w:val="14423079"/>
    <w:rsid w:val="144646A7"/>
    <w:rsid w:val="14545F32"/>
    <w:rsid w:val="14596F4E"/>
    <w:rsid w:val="146F011F"/>
    <w:rsid w:val="147632A2"/>
    <w:rsid w:val="14872049"/>
    <w:rsid w:val="14936552"/>
    <w:rsid w:val="14BF29AF"/>
    <w:rsid w:val="14C272D2"/>
    <w:rsid w:val="14E463A0"/>
    <w:rsid w:val="14EA3450"/>
    <w:rsid w:val="14F767B6"/>
    <w:rsid w:val="14FB222F"/>
    <w:rsid w:val="14FF79DA"/>
    <w:rsid w:val="150F0D42"/>
    <w:rsid w:val="151C2838"/>
    <w:rsid w:val="153E582F"/>
    <w:rsid w:val="159016BB"/>
    <w:rsid w:val="15E5000F"/>
    <w:rsid w:val="15F57284"/>
    <w:rsid w:val="16031113"/>
    <w:rsid w:val="16213B9C"/>
    <w:rsid w:val="16674FC6"/>
    <w:rsid w:val="16692CA6"/>
    <w:rsid w:val="16725D01"/>
    <w:rsid w:val="16777F80"/>
    <w:rsid w:val="168F227C"/>
    <w:rsid w:val="16F45F36"/>
    <w:rsid w:val="16FC1D97"/>
    <w:rsid w:val="171F0861"/>
    <w:rsid w:val="17372639"/>
    <w:rsid w:val="173D243C"/>
    <w:rsid w:val="17534ECF"/>
    <w:rsid w:val="175F0E7A"/>
    <w:rsid w:val="1767434D"/>
    <w:rsid w:val="17BA77C8"/>
    <w:rsid w:val="17C93C3F"/>
    <w:rsid w:val="17D71645"/>
    <w:rsid w:val="17DD1E28"/>
    <w:rsid w:val="17DE7F32"/>
    <w:rsid w:val="17E01BB1"/>
    <w:rsid w:val="17E21891"/>
    <w:rsid w:val="17FE66C0"/>
    <w:rsid w:val="181011F1"/>
    <w:rsid w:val="181C38B0"/>
    <w:rsid w:val="181E053B"/>
    <w:rsid w:val="18205336"/>
    <w:rsid w:val="184F29B3"/>
    <w:rsid w:val="18810539"/>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4D0051"/>
    <w:rsid w:val="1A5A6066"/>
    <w:rsid w:val="1A6A3334"/>
    <w:rsid w:val="1A777345"/>
    <w:rsid w:val="1A7A4184"/>
    <w:rsid w:val="1A8D59A2"/>
    <w:rsid w:val="1A8E3BCD"/>
    <w:rsid w:val="1A8E7E8F"/>
    <w:rsid w:val="1AD15B84"/>
    <w:rsid w:val="1ADA6CD0"/>
    <w:rsid w:val="1AF47380"/>
    <w:rsid w:val="1AF81AB0"/>
    <w:rsid w:val="1B0C0005"/>
    <w:rsid w:val="1B251F48"/>
    <w:rsid w:val="1B3833FF"/>
    <w:rsid w:val="1B396BED"/>
    <w:rsid w:val="1B4C6CA1"/>
    <w:rsid w:val="1B52759D"/>
    <w:rsid w:val="1B612ED3"/>
    <w:rsid w:val="1B6A011C"/>
    <w:rsid w:val="1B6B22AD"/>
    <w:rsid w:val="1B705E15"/>
    <w:rsid w:val="1B8C6B7B"/>
    <w:rsid w:val="1BA0571E"/>
    <w:rsid w:val="1BA72C10"/>
    <w:rsid w:val="1BB91038"/>
    <w:rsid w:val="1BBF65FB"/>
    <w:rsid w:val="1BD162E3"/>
    <w:rsid w:val="1BDE64F1"/>
    <w:rsid w:val="1BEA1EEC"/>
    <w:rsid w:val="1BF657FB"/>
    <w:rsid w:val="1BF868AD"/>
    <w:rsid w:val="1C0503E8"/>
    <w:rsid w:val="1C126363"/>
    <w:rsid w:val="1C2023D8"/>
    <w:rsid w:val="1C6E4769"/>
    <w:rsid w:val="1C766429"/>
    <w:rsid w:val="1C771298"/>
    <w:rsid w:val="1C786858"/>
    <w:rsid w:val="1C800114"/>
    <w:rsid w:val="1C9A155D"/>
    <w:rsid w:val="1CB15134"/>
    <w:rsid w:val="1CC92F95"/>
    <w:rsid w:val="1CFA7EEF"/>
    <w:rsid w:val="1CFB1146"/>
    <w:rsid w:val="1D0E75B6"/>
    <w:rsid w:val="1D2331DE"/>
    <w:rsid w:val="1D297AD8"/>
    <w:rsid w:val="1D312AFC"/>
    <w:rsid w:val="1D325ED3"/>
    <w:rsid w:val="1D37062D"/>
    <w:rsid w:val="1D4105A8"/>
    <w:rsid w:val="1D487EB6"/>
    <w:rsid w:val="1D7B204C"/>
    <w:rsid w:val="1D897244"/>
    <w:rsid w:val="1D905BC0"/>
    <w:rsid w:val="1DB72E7F"/>
    <w:rsid w:val="1E317170"/>
    <w:rsid w:val="1E331E3B"/>
    <w:rsid w:val="1E4914EC"/>
    <w:rsid w:val="1E561B49"/>
    <w:rsid w:val="1E5B5B74"/>
    <w:rsid w:val="1E925E44"/>
    <w:rsid w:val="1EAC5360"/>
    <w:rsid w:val="1EC176C7"/>
    <w:rsid w:val="1EDB21B2"/>
    <w:rsid w:val="1EE21D29"/>
    <w:rsid w:val="1F0B37C8"/>
    <w:rsid w:val="1F280F4B"/>
    <w:rsid w:val="1F3E1D5D"/>
    <w:rsid w:val="1F441C9D"/>
    <w:rsid w:val="1F6E3177"/>
    <w:rsid w:val="1F6F04BA"/>
    <w:rsid w:val="1F6F7A87"/>
    <w:rsid w:val="1F7742A1"/>
    <w:rsid w:val="1F832B7E"/>
    <w:rsid w:val="1F8C15A6"/>
    <w:rsid w:val="1F986F45"/>
    <w:rsid w:val="1F9F6666"/>
    <w:rsid w:val="1FB418BA"/>
    <w:rsid w:val="1FCD4EF2"/>
    <w:rsid w:val="1FCD6552"/>
    <w:rsid w:val="1FE07634"/>
    <w:rsid w:val="1FE41393"/>
    <w:rsid w:val="1FF829ED"/>
    <w:rsid w:val="20027E74"/>
    <w:rsid w:val="201047BC"/>
    <w:rsid w:val="2019412B"/>
    <w:rsid w:val="2024650C"/>
    <w:rsid w:val="204E5FD2"/>
    <w:rsid w:val="20703E6E"/>
    <w:rsid w:val="207A428C"/>
    <w:rsid w:val="207C5EB1"/>
    <w:rsid w:val="20834E72"/>
    <w:rsid w:val="20835E3C"/>
    <w:rsid w:val="20884448"/>
    <w:rsid w:val="208A0C45"/>
    <w:rsid w:val="208F1332"/>
    <w:rsid w:val="20AA71C2"/>
    <w:rsid w:val="20B10A0D"/>
    <w:rsid w:val="20B3282D"/>
    <w:rsid w:val="20B9166B"/>
    <w:rsid w:val="20D02ECC"/>
    <w:rsid w:val="20DC2970"/>
    <w:rsid w:val="20E66F57"/>
    <w:rsid w:val="20FA7410"/>
    <w:rsid w:val="21076B87"/>
    <w:rsid w:val="21094E07"/>
    <w:rsid w:val="21113681"/>
    <w:rsid w:val="21250156"/>
    <w:rsid w:val="212B3666"/>
    <w:rsid w:val="214A38DD"/>
    <w:rsid w:val="21523AD1"/>
    <w:rsid w:val="215C6880"/>
    <w:rsid w:val="216D19EE"/>
    <w:rsid w:val="21860B2C"/>
    <w:rsid w:val="218F0080"/>
    <w:rsid w:val="21D20251"/>
    <w:rsid w:val="21E13F03"/>
    <w:rsid w:val="22084595"/>
    <w:rsid w:val="2225605D"/>
    <w:rsid w:val="222A72A4"/>
    <w:rsid w:val="222F2404"/>
    <w:rsid w:val="22423882"/>
    <w:rsid w:val="224D056C"/>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14A0D"/>
    <w:rsid w:val="23BB34F7"/>
    <w:rsid w:val="23D167C1"/>
    <w:rsid w:val="23FE2934"/>
    <w:rsid w:val="24105169"/>
    <w:rsid w:val="24145543"/>
    <w:rsid w:val="2415164D"/>
    <w:rsid w:val="242853E9"/>
    <w:rsid w:val="24372605"/>
    <w:rsid w:val="24426206"/>
    <w:rsid w:val="247921D2"/>
    <w:rsid w:val="248C2B58"/>
    <w:rsid w:val="24D40FD8"/>
    <w:rsid w:val="24DE5C48"/>
    <w:rsid w:val="24E51E80"/>
    <w:rsid w:val="24F64777"/>
    <w:rsid w:val="24FB1C59"/>
    <w:rsid w:val="24FE0E05"/>
    <w:rsid w:val="253C361D"/>
    <w:rsid w:val="25445C0D"/>
    <w:rsid w:val="25517809"/>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60A07"/>
    <w:rsid w:val="26B424FB"/>
    <w:rsid w:val="26CC1B59"/>
    <w:rsid w:val="26D10ECC"/>
    <w:rsid w:val="26EF57DC"/>
    <w:rsid w:val="27083115"/>
    <w:rsid w:val="27142A2D"/>
    <w:rsid w:val="271B4881"/>
    <w:rsid w:val="27214C90"/>
    <w:rsid w:val="272414C7"/>
    <w:rsid w:val="272A2ED5"/>
    <w:rsid w:val="273161B0"/>
    <w:rsid w:val="2738566F"/>
    <w:rsid w:val="273E547E"/>
    <w:rsid w:val="27415310"/>
    <w:rsid w:val="27685524"/>
    <w:rsid w:val="276959E0"/>
    <w:rsid w:val="276F555C"/>
    <w:rsid w:val="27702C8E"/>
    <w:rsid w:val="27827E3D"/>
    <w:rsid w:val="27A028B7"/>
    <w:rsid w:val="27AB6605"/>
    <w:rsid w:val="27BF3604"/>
    <w:rsid w:val="27CD3179"/>
    <w:rsid w:val="27D26786"/>
    <w:rsid w:val="27E079D9"/>
    <w:rsid w:val="27EA6257"/>
    <w:rsid w:val="27FD3CE9"/>
    <w:rsid w:val="2831638E"/>
    <w:rsid w:val="284F457A"/>
    <w:rsid w:val="28503B39"/>
    <w:rsid w:val="285117F8"/>
    <w:rsid w:val="288445F5"/>
    <w:rsid w:val="28883EBB"/>
    <w:rsid w:val="28885F5E"/>
    <w:rsid w:val="28901CD3"/>
    <w:rsid w:val="28907627"/>
    <w:rsid w:val="28A908AA"/>
    <w:rsid w:val="28C3120E"/>
    <w:rsid w:val="28D9203E"/>
    <w:rsid w:val="290A1459"/>
    <w:rsid w:val="290D2770"/>
    <w:rsid w:val="29152EA0"/>
    <w:rsid w:val="293430C2"/>
    <w:rsid w:val="29394DC3"/>
    <w:rsid w:val="294D3F3D"/>
    <w:rsid w:val="29640DD3"/>
    <w:rsid w:val="296A69AB"/>
    <w:rsid w:val="296E2E4C"/>
    <w:rsid w:val="297A28A9"/>
    <w:rsid w:val="29871168"/>
    <w:rsid w:val="299C3570"/>
    <w:rsid w:val="299C610E"/>
    <w:rsid w:val="299F7580"/>
    <w:rsid w:val="29AD1072"/>
    <w:rsid w:val="29B24934"/>
    <w:rsid w:val="29B661A7"/>
    <w:rsid w:val="29C25DAC"/>
    <w:rsid w:val="29EF59E7"/>
    <w:rsid w:val="29F869C7"/>
    <w:rsid w:val="29FA460F"/>
    <w:rsid w:val="2A081208"/>
    <w:rsid w:val="2A0D0CC4"/>
    <w:rsid w:val="2A19132F"/>
    <w:rsid w:val="2A1E3A2B"/>
    <w:rsid w:val="2A3714C4"/>
    <w:rsid w:val="2A3D0E7D"/>
    <w:rsid w:val="2A4E1459"/>
    <w:rsid w:val="2A5E24DB"/>
    <w:rsid w:val="2A926984"/>
    <w:rsid w:val="2AA908E7"/>
    <w:rsid w:val="2AC017A8"/>
    <w:rsid w:val="2AC36155"/>
    <w:rsid w:val="2AF2488D"/>
    <w:rsid w:val="2B1C1A99"/>
    <w:rsid w:val="2B334F71"/>
    <w:rsid w:val="2B50394A"/>
    <w:rsid w:val="2B74304D"/>
    <w:rsid w:val="2B753191"/>
    <w:rsid w:val="2B7D6E07"/>
    <w:rsid w:val="2B9444D2"/>
    <w:rsid w:val="2BC60CB8"/>
    <w:rsid w:val="2BE340CE"/>
    <w:rsid w:val="2BFC3479"/>
    <w:rsid w:val="2BFD1056"/>
    <w:rsid w:val="2C0D6C96"/>
    <w:rsid w:val="2C1E1CA1"/>
    <w:rsid w:val="2C214447"/>
    <w:rsid w:val="2C232160"/>
    <w:rsid w:val="2C4D6F1B"/>
    <w:rsid w:val="2C587217"/>
    <w:rsid w:val="2C7A5E42"/>
    <w:rsid w:val="2C825683"/>
    <w:rsid w:val="2C8D63B1"/>
    <w:rsid w:val="2CBB44E5"/>
    <w:rsid w:val="2CBC77F6"/>
    <w:rsid w:val="2CDB55D6"/>
    <w:rsid w:val="2D1D236A"/>
    <w:rsid w:val="2D2A12B4"/>
    <w:rsid w:val="2DAB174B"/>
    <w:rsid w:val="2DAC3053"/>
    <w:rsid w:val="2DB21AB3"/>
    <w:rsid w:val="2DC70AE2"/>
    <w:rsid w:val="2DCA6026"/>
    <w:rsid w:val="2DCD4928"/>
    <w:rsid w:val="2DE96603"/>
    <w:rsid w:val="2E096E66"/>
    <w:rsid w:val="2E1729D6"/>
    <w:rsid w:val="2E1A0C6A"/>
    <w:rsid w:val="2E347EE6"/>
    <w:rsid w:val="2E374A38"/>
    <w:rsid w:val="2E3A1850"/>
    <w:rsid w:val="2E3C5510"/>
    <w:rsid w:val="2E4A61BB"/>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1013135"/>
    <w:rsid w:val="31127B0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C25872"/>
    <w:rsid w:val="32D473D1"/>
    <w:rsid w:val="32DA51AD"/>
    <w:rsid w:val="32DC671C"/>
    <w:rsid w:val="33091096"/>
    <w:rsid w:val="33232830"/>
    <w:rsid w:val="33247F6A"/>
    <w:rsid w:val="33442827"/>
    <w:rsid w:val="33462AFF"/>
    <w:rsid w:val="337E52FC"/>
    <w:rsid w:val="33843CA1"/>
    <w:rsid w:val="338604C2"/>
    <w:rsid w:val="338F2A0F"/>
    <w:rsid w:val="33996246"/>
    <w:rsid w:val="339D7F19"/>
    <w:rsid w:val="33DC7649"/>
    <w:rsid w:val="340639D6"/>
    <w:rsid w:val="34105AD1"/>
    <w:rsid w:val="34731AFC"/>
    <w:rsid w:val="347728F4"/>
    <w:rsid w:val="348B54C8"/>
    <w:rsid w:val="34915550"/>
    <w:rsid w:val="349D56AC"/>
    <w:rsid w:val="349D6BA5"/>
    <w:rsid w:val="34A11B7B"/>
    <w:rsid w:val="34A6697A"/>
    <w:rsid w:val="34AF7E71"/>
    <w:rsid w:val="34B33A72"/>
    <w:rsid w:val="34BF1760"/>
    <w:rsid w:val="34C97D71"/>
    <w:rsid w:val="34D5280E"/>
    <w:rsid w:val="34E20D20"/>
    <w:rsid w:val="350606F0"/>
    <w:rsid w:val="350C7DB7"/>
    <w:rsid w:val="3562042D"/>
    <w:rsid w:val="356608C9"/>
    <w:rsid w:val="35850AE6"/>
    <w:rsid w:val="35DE1818"/>
    <w:rsid w:val="35E06871"/>
    <w:rsid w:val="36146F55"/>
    <w:rsid w:val="36787E34"/>
    <w:rsid w:val="36D974F7"/>
    <w:rsid w:val="36E03CF2"/>
    <w:rsid w:val="36E05B33"/>
    <w:rsid w:val="36E77649"/>
    <w:rsid w:val="36FC06E4"/>
    <w:rsid w:val="37002BA5"/>
    <w:rsid w:val="372A57D1"/>
    <w:rsid w:val="373006D6"/>
    <w:rsid w:val="373158C6"/>
    <w:rsid w:val="373215AF"/>
    <w:rsid w:val="37395AAC"/>
    <w:rsid w:val="37533A9C"/>
    <w:rsid w:val="37554C2A"/>
    <w:rsid w:val="37590B14"/>
    <w:rsid w:val="376C2F8C"/>
    <w:rsid w:val="37733C45"/>
    <w:rsid w:val="37EA244F"/>
    <w:rsid w:val="37FC753D"/>
    <w:rsid w:val="3801691A"/>
    <w:rsid w:val="38053C44"/>
    <w:rsid w:val="3816564C"/>
    <w:rsid w:val="382A2A0E"/>
    <w:rsid w:val="383C5D00"/>
    <w:rsid w:val="383F5E4A"/>
    <w:rsid w:val="384445D1"/>
    <w:rsid w:val="38622194"/>
    <w:rsid w:val="38684F32"/>
    <w:rsid w:val="38795776"/>
    <w:rsid w:val="387A7CA5"/>
    <w:rsid w:val="387C0DC3"/>
    <w:rsid w:val="387E3BF1"/>
    <w:rsid w:val="388E0F50"/>
    <w:rsid w:val="38933167"/>
    <w:rsid w:val="38941E98"/>
    <w:rsid w:val="38983F5E"/>
    <w:rsid w:val="38A63490"/>
    <w:rsid w:val="38A6778B"/>
    <w:rsid w:val="38EC1118"/>
    <w:rsid w:val="38F96580"/>
    <w:rsid w:val="38FD1A72"/>
    <w:rsid w:val="39056352"/>
    <w:rsid w:val="390C2146"/>
    <w:rsid w:val="392F5095"/>
    <w:rsid w:val="3938092E"/>
    <w:rsid w:val="39413193"/>
    <w:rsid w:val="39465433"/>
    <w:rsid w:val="395B6912"/>
    <w:rsid w:val="396827C4"/>
    <w:rsid w:val="39750ACE"/>
    <w:rsid w:val="398A61BC"/>
    <w:rsid w:val="399510E7"/>
    <w:rsid w:val="399B683C"/>
    <w:rsid w:val="399C6741"/>
    <w:rsid w:val="399D3FE9"/>
    <w:rsid w:val="39B51F60"/>
    <w:rsid w:val="39BE3B67"/>
    <w:rsid w:val="39C63C50"/>
    <w:rsid w:val="39E932D4"/>
    <w:rsid w:val="39EA0C0C"/>
    <w:rsid w:val="39FA07DD"/>
    <w:rsid w:val="3A1C6D85"/>
    <w:rsid w:val="3A3F6C87"/>
    <w:rsid w:val="3A531373"/>
    <w:rsid w:val="3A5B021A"/>
    <w:rsid w:val="3A772970"/>
    <w:rsid w:val="3A7D6D38"/>
    <w:rsid w:val="3AB971E4"/>
    <w:rsid w:val="3ADF78F0"/>
    <w:rsid w:val="3AE00107"/>
    <w:rsid w:val="3AE428CE"/>
    <w:rsid w:val="3B023CD3"/>
    <w:rsid w:val="3B140F58"/>
    <w:rsid w:val="3B170940"/>
    <w:rsid w:val="3B285CED"/>
    <w:rsid w:val="3B2A2C19"/>
    <w:rsid w:val="3B376B70"/>
    <w:rsid w:val="3B49331D"/>
    <w:rsid w:val="3B7A7129"/>
    <w:rsid w:val="3B7D7576"/>
    <w:rsid w:val="3B7F1E8C"/>
    <w:rsid w:val="3B890DAC"/>
    <w:rsid w:val="3BA25DBC"/>
    <w:rsid w:val="3BC76E9C"/>
    <w:rsid w:val="3BCB467A"/>
    <w:rsid w:val="3BCB57A6"/>
    <w:rsid w:val="3BE90506"/>
    <w:rsid w:val="3BEB6832"/>
    <w:rsid w:val="3BFA06DC"/>
    <w:rsid w:val="3C2E5ED4"/>
    <w:rsid w:val="3C400ACA"/>
    <w:rsid w:val="3C40766B"/>
    <w:rsid w:val="3C7F621D"/>
    <w:rsid w:val="3C8B47EB"/>
    <w:rsid w:val="3CBA6EAF"/>
    <w:rsid w:val="3CBB6AC9"/>
    <w:rsid w:val="3CBD35C8"/>
    <w:rsid w:val="3CC170A2"/>
    <w:rsid w:val="3CDB2AE0"/>
    <w:rsid w:val="3D1456AE"/>
    <w:rsid w:val="3D145DCC"/>
    <w:rsid w:val="3D1C0002"/>
    <w:rsid w:val="3D2962ED"/>
    <w:rsid w:val="3D2D7B94"/>
    <w:rsid w:val="3D340B81"/>
    <w:rsid w:val="3D4E706F"/>
    <w:rsid w:val="3D8311E9"/>
    <w:rsid w:val="3DAA319C"/>
    <w:rsid w:val="3E036111"/>
    <w:rsid w:val="3E231C36"/>
    <w:rsid w:val="3E5D6B5C"/>
    <w:rsid w:val="3E7E4756"/>
    <w:rsid w:val="3E8106B7"/>
    <w:rsid w:val="3E845265"/>
    <w:rsid w:val="3E963826"/>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3B55F7"/>
    <w:rsid w:val="403D5505"/>
    <w:rsid w:val="404C5FC4"/>
    <w:rsid w:val="40632B44"/>
    <w:rsid w:val="407306E6"/>
    <w:rsid w:val="408853C4"/>
    <w:rsid w:val="40B07557"/>
    <w:rsid w:val="40D75E60"/>
    <w:rsid w:val="40F2437B"/>
    <w:rsid w:val="40F510D8"/>
    <w:rsid w:val="40FD48E0"/>
    <w:rsid w:val="40FE1BCF"/>
    <w:rsid w:val="40FE520F"/>
    <w:rsid w:val="414562FD"/>
    <w:rsid w:val="414C3B30"/>
    <w:rsid w:val="41563B9A"/>
    <w:rsid w:val="41731331"/>
    <w:rsid w:val="417B7161"/>
    <w:rsid w:val="418579D7"/>
    <w:rsid w:val="418C6B85"/>
    <w:rsid w:val="4196095F"/>
    <w:rsid w:val="419D72A2"/>
    <w:rsid w:val="41A0236E"/>
    <w:rsid w:val="41A96728"/>
    <w:rsid w:val="41AB6899"/>
    <w:rsid w:val="41BD2B78"/>
    <w:rsid w:val="41F7748B"/>
    <w:rsid w:val="41F95353"/>
    <w:rsid w:val="42076836"/>
    <w:rsid w:val="420F1D94"/>
    <w:rsid w:val="42277FF1"/>
    <w:rsid w:val="423B1FA8"/>
    <w:rsid w:val="424E4424"/>
    <w:rsid w:val="42857CF4"/>
    <w:rsid w:val="429325D1"/>
    <w:rsid w:val="429B53DF"/>
    <w:rsid w:val="429E3CF8"/>
    <w:rsid w:val="42BC7452"/>
    <w:rsid w:val="42D12138"/>
    <w:rsid w:val="42F7079D"/>
    <w:rsid w:val="430D4AC0"/>
    <w:rsid w:val="431E047F"/>
    <w:rsid w:val="431E65EF"/>
    <w:rsid w:val="43522956"/>
    <w:rsid w:val="43624EAD"/>
    <w:rsid w:val="43626C32"/>
    <w:rsid w:val="437750CA"/>
    <w:rsid w:val="438D45B9"/>
    <w:rsid w:val="43985D00"/>
    <w:rsid w:val="43986BA3"/>
    <w:rsid w:val="43AB2F4E"/>
    <w:rsid w:val="43AC3F44"/>
    <w:rsid w:val="43B1210D"/>
    <w:rsid w:val="43BD1B67"/>
    <w:rsid w:val="43DE77F3"/>
    <w:rsid w:val="43EF7EFB"/>
    <w:rsid w:val="43FA2050"/>
    <w:rsid w:val="43FA46EE"/>
    <w:rsid w:val="44004191"/>
    <w:rsid w:val="4400649E"/>
    <w:rsid w:val="441910A9"/>
    <w:rsid w:val="44500782"/>
    <w:rsid w:val="446871A0"/>
    <w:rsid w:val="4478624B"/>
    <w:rsid w:val="447B6681"/>
    <w:rsid w:val="448A35BC"/>
    <w:rsid w:val="4493367B"/>
    <w:rsid w:val="44961F17"/>
    <w:rsid w:val="44A84176"/>
    <w:rsid w:val="44AB74B4"/>
    <w:rsid w:val="44BB301C"/>
    <w:rsid w:val="450A3185"/>
    <w:rsid w:val="450E61CB"/>
    <w:rsid w:val="451037D6"/>
    <w:rsid w:val="45131348"/>
    <w:rsid w:val="452905F3"/>
    <w:rsid w:val="454E00A4"/>
    <w:rsid w:val="45582FC6"/>
    <w:rsid w:val="4568103F"/>
    <w:rsid w:val="45801D53"/>
    <w:rsid w:val="45953C03"/>
    <w:rsid w:val="459B2EDF"/>
    <w:rsid w:val="45AE2DF6"/>
    <w:rsid w:val="45F459D1"/>
    <w:rsid w:val="46052F0A"/>
    <w:rsid w:val="460C379B"/>
    <w:rsid w:val="461C6E93"/>
    <w:rsid w:val="462B2635"/>
    <w:rsid w:val="464A3711"/>
    <w:rsid w:val="466B4F4C"/>
    <w:rsid w:val="469246C4"/>
    <w:rsid w:val="46977D08"/>
    <w:rsid w:val="46AF3AB5"/>
    <w:rsid w:val="46C40630"/>
    <w:rsid w:val="46E25CA4"/>
    <w:rsid w:val="46E37251"/>
    <w:rsid w:val="46F40267"/>
    <w:rsid w:val="47017932"/>
    <w:rsid w:val="47294A71"/>
    <w:rsid w:val="474C71DB"/>
    <w:rsid w:val="475662DB"/>
    <w:rsid w:val="47756FD4"/>
    <w:rsid w:val="47955EBB"/>
    <w:rsid w:val="479B7297"/>
    <w:rsid w:val="47A214C1"/>
    <w:rsid w:val="47C66961"/>
    <w:rsid w:val="47D626EF"/>
    <w:rsid w:val="47DE0285"/>
    <w:rsid w:val="47E81AB8"/>
    <w:rsid w:val="47F3460E"/>
    <w:rsid w:val="47F77566"/>
    <w:rsid w:val="47F94BE6"/>
    <w:rsid w:val="4812405E"/>
    <w:rsid w:val="481A3D49"/>
    <w:rsid w:val="481C1F20"/>
    <w:rsid w:val="48220E04"/>
    <w:rsid w:val="48225672"/>
    <w:rsid w:val="482454C6"/>
    <w:rsid w:val="48297C86"/>
    <w:rsid w:val="482B669A"/>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7C5B68"/>
    <w:rsid w:val="498E2725"/>
    <w:rsid w:val="499C6D01"/>
    <w:rsid w:val="49A3132A"/>
    <w:rsid w:val="49B65DC9"/>
    <w:rsid w:val="49C828D8"/>
    <w:rsid w:val="49D94123"/>
    <w:rsid w:val="49E82B6B"/>
    <w:rsid w:val="49E970EA"/>
    <w:rsid w:val="49EE0415"/>
    <w:rsid w:val="4A0805D0"/>
    <w:rsid w:val="4A0907F4"/>
    <w:rsid w:val="4A26545B"/>
    <w:rsid w:val="4A3E1268"/>
    <w:rsid w:val="4A560AA6"/>
    <w:rsid w:val="4A631F60"/>
    <w:rsid w:val="4A7B659D"/>
    <w:rsid w:val="4A8F76FA"/>
    <w:rsid w:val="4AD018B4"/>
    <w:rsid w:val="4AD122F6"/>
    <w:rsid w:val="4AD1789E"/>
    <w:rsid w:val="4AFB6678"/>
    <w:rsid w:val="4B12483C"/>
    <w:rsid w:val="4B281AD9"/>
    <w:rsid w:val="4B286964"/>
    <w:rsid w:val="4B2A12CD"/>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270CF"/>
    <w:rsid w:val="4C9743B6"/>
    <w:rsid w:val="4CD104DB"/>
    <w:rsid w:val="4CEE4DA0"/>
    <w:rsid w:val="4CFA5EBA"/>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3F2EE6"/>
    <w:rsid w:val="4E457068"/>
    <w:rsid w:val="4E4E4B6D"/>
    <w:rsid w:val="4E625DA3"/>
    <w:rsid w:val="4E7B029B"/>
    <w:rsid w:val="4E94139D"/>
    <w:rsid w:val="4ED36E10"/>
    <w:rsid w:val="4ED61833"/>
    <w:rsid w:val="4EDA18B9"/>
    <w:rsid w:val="4EEA1FB8"/>
    <w:rsid w:val="4F1214F9"/>
    <w:rsid w:val="4F37236C"/>
    <w:rsid w:val="4F400F3C"/>
    <w:rsid w:val="4F573543"/>
    <w:rsid w:val="4FA24E56"/>
    <w:rsid w:val="4FA613D6"/>
    <w:rsid w:val="4FAE4B93"/>
    <w:rsid w:val="4FB43984"/>
    <w:rsid w:val="4FB80520"/>
    <w:rsid w:val="4FCE557D"/>
    <w:rsid w:val="4FCF67B8"/>
    <w:rsid w:val="4FE233E0"/>
    <w:rsid w:val="4FFE7F33"/>
    <w:rsid w:val="500E331C"/>
    <w:rsid w:val="500F7F8E"/>
    <w:rsid w:val="5010363B"/>
    <w:rsid w:val="501802EF"/>
    <w:rsid w:val="501A6EB3"/>
    <w:rsid w:val="501C4E89"/>
    <w:rsid w:val="50401C90"/>
    <w:rsid w:val="50520469"/>
    <w:rsid w:val="50705EA7"/>
    <w:rsid w:val="508208C2"/>
    <w:rsid w:val="50854860"/>
    <w:rsid w:val="508A0BD0"/>
    <w:rsid w:val="508E4B33"/>
    <w:rsid w:val="50DD3BA3"/>
    <w:rsid w:val="50E61CAB"/>
    <w:rsid w:val="50EE7DC2"/>
    <w:rsid w:val="513F7105"/>
    <w:rsid w:val="514136A1"/>
    <w:rsid w:val="514A20B0"/>
    <w:rsid w:val="515463AA"/>
    <w:rsid w:val="517D1FD1"/>
    <w:rsid w:val="51820F0A"/>
    <w:rsid w:val="518708BF"/>
    <w:rsid w:val="51B00924"/>
    <w:rsid w:val="51BF1CEA"/>
    <w:rsid w:val="51C55B60"/>
    <w:rsid w:val="51C720FB"/>
    <w:rsid w:val="51D2101C"/>
    <w:rsid w:val="51E441B2"/>
    <w:rsid w:val="51E878B5"/>
    <w:rsid w:val="51EE3F4A"/>
    <w:rsid w:val="51F8599D"/>
    <w:rsid w:val="52144845"/>
    <w:rsid w:val="522B4481"/>
    <w:rsid w:val="523F3431"/>
    <w:rsid w:val="52433E33"/>
    <w:rsid w:val="52461D9B"/>
    <w:rsid w:val="52556F68"/>
    <w:rsid w:val="526131D0"/>
    <w:rsid w:val="527A0BC1"/>
    <w:rsid w:val="528E5F94"/>
    <w:rsid w:val="52B73817"/>
    <w:rsid w:val="53014F84"/>
    <w:rsid w:val="53081FE2"/>
    <w:rsid w:val="53757657"/>
    <w:rsid w:val="53783262"/>
    <w:rsid w:val="53836E13"/>
    <w:rsid w:val="5399393C"/>
    <w:rsid w:val="53BC34C4"/>
    <w:rsid w:val="53CE29B7"/>
    <w:rsid w:val="5423339D"/>
    <w:rsid w:val="54451376"/>
    <w:rsid w:val="545B0024"/>
    <w:rsid w:val="54623CCF"/>
    <w:rsid w:val="54783F91"/>
    <w:rsid w:val="54C52C01"/>
    <w:rsid w:val="54DE257B"/>
    <w:rsid w:val="551B052F"/>
    <w:rsid w:val="551B1C28"/>
    <w:rsid w:val="551F503D"/>
    <w:rsid w:val="552E7B6C"/>
    <w:rsid w:val="55356F21"/>
    <w:rsid w:val="553B1566"/>
    <w:rsid w:val="553D5A1E"/>
    <w:rsid w:val="554A2F35"/>
    <w:rsid w:val="554E66B4"/>
    <w:rsid w:val="555001C3"/>
    <w:rsid w:val="55623019"/>
    <w:rsid w:val="559508F1"/>
    <w:rsid w:val="55A0704C"/>
    <w:rsid w:val="55CD2AA4"/>
    <w:rsid w:val="55CD5B20"/>
    <w:rsid w:val="55DD38ED"/>
    <w:rsid w:val="55E33C19"/>
    <w:rsid w:val="55E3492A"/>
    <w:rsid w:val="55E63D84"/>
    <w:rsid w:val="55FB5288"/>
    <w:rsid w:val="560F5295"/>
    <w:rsid w:val="563710D7"/>
    <w:rsid w:val="56536DD0"/>
    <w:rsid w:val="569E127C"/>
    <w:rsid w:val="56A16CF1"/>
    <w:rsid w:val="56C569E8"/>
    <w:rsid w:val="56EA1F97"/>
    <w:rsid w:val="56FE7B3D"/>
    <w:rsid w:val="57115A76"/>
    <w:rsid w:val="57356CE5"/>
    <w:rsid w:val="57400691"/>
    <w:rsid w:val="57477A7D"/>
    <w:rsid w:val="574C5991"/>
    <w:rsid w:val="575E0275"/>
    <w:rsid w:val="57624C20"/>
    <w:rsid w:val="57685E63"/>
    <w:rsid w:val="576E359C"/>
    <w:rsid w:val="577410D9"/>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3E5A8D"/>
    <w:rsid w:val="584809DA"/>
    <w:rsid w:val="585858D2"/>
    <w:rsid w:val="587316C8"/>
    <w:rsid w:val="588A1881"/>
    <w:rsid w:val="588C1B3F"/>
    <w:rsid w:val="588C3DE2"/>
    <w:rsid w:val="58952B75"/>
    <w:rsid w:val="589923E8"/>
    <w:rsid w:val="58D3199A"/>
    <w:rsid w:val="58DA5821"/>
    <w:rsid w:val="58E146E6"/>
    <w:rsid w:val="59043E08"/>
    <w:rsid w:val="5934326C"/>
    <w:rsid w:val="593B40E5"/>
    <w:rsid w:val="59444C41"/>
    <w:rsid w:val="59471B28"/>
    <w:rsid w:val="59763E82"/>
    <w:rsid w:val="597F5245"/>
    <w:rsid w:val="598116FF"/>
    <w:rsid w:val="598A3666"/>
    <w:rsid w:val="599C2C1B"/>
    <w:rsid w:val="59A3232E"/>
    <w:rsid w:val="59A63822"/>
    <w:rsid w:val="59AE69B7"/>
    <w:rsid w:val="59B8355B"/>
    <w:rsid w:val="59FE08FA"/>
    <w:rsid w:val="5A151E24"/>
    <w:rsid w:val="5A257E94"/>
    <w:rsid w:val="5A2A02BF"/>
    <w:rsid w:val="5A5106AE"/>
    <w:rsid w:val="5A60741A"/>
    <w:rsid w:val="5A7A608F"/>
    <w:rsid w:val="5A976E36"/>
    <w:rsid w:val="5A9D694A"/>
    <w:rsid w:val="5AA2358A"/>
    <w:rsid w:val="5AA24080"/>
    <w:rsid w:val="5AAD1EF8"/>
    <w:rsid w:val="5ACF7403"/>
    <w:rsid w:val="5B365C08"/>
    <w:rsid w:val="5B46719F"/>
    <w:rsid w:val="5B60313C"/>
    <w:rsid w:val="5B705B09"/>
    <w:rsid w:val="5B9331F3"/>
    <w:rsid w:val="5B983712"/>
    <w:rsid w:val="5B997CCC"/>
    <w:rsid w:val="5B9D7438"/>
    <w:rsid w:val="5BA42A14"/>
    <w:rsid w:val="5BAE1A8A"/>
    <w:rsid w:val="5BC52ADE"/>
    <w:rsid w:val="5C60141A"/>
    <w:rsid w:val="5C691962"/>
    <w:rsid w:val="5C8D4642"/>
    <w:rsid w:val="5CA70BEA"/>
    <w:rsid w:val="5CEF70E4"/>
    <w:rsid w:val="5CFA70E0"/>
    <w:rsid w:val="5CFF3634"/>
    <w:rsid w:val="5D0B0214"/>
    <w:rsid w:val="5D1A0A42"/>
    <w:rsid w:val="5D282771"/>
    <w:rsid w:val="5D3A4C89"/>
    <w:rsid w:val="5D42151C"/>
    <w:rsid w:val="5D4F1710"/>
    <w:rsid w:val="5D5D43F4"/>
    <w:rsid w:val="5D71045F"/>
    <w:rsid w:val="5D9A4060"/>
    <w:rsid w:val="5DA12EF6"/>
    <w:rsid w:val="5DAB19D1"/>
    <w:rsid w:val="5DBE340A"/>
    <w:rsid w:val="5DD263B9"/>
    <w:rsid w:val="5DE41D76"/>
    <w:rsid w:val="5DE555FC"/>
    <w:rsid w:val="5DF27C61"/>
    <w:rsid w:val="5E4A015A"/>
    <w:rsid w:val="5E5D1D1B"/>
    <w:rsid w:val="5E617327"/>
    <w:rsid w:val="5E772D56"/>
    <w:rsid w:val="5E843AB7"/>
    <w:rsid w:val="5E9A1FB9"/>
    <w:rsid w:val="5EB11CC9"/>
    <w:rsid w:val="5EB7165F"/>
    <w:rsid w:val="5EDA2E6C"/>
    <w:rsid w:val="5EDF49B6"/>
    <w:rsid w:val="5EE659E4"/>
    <w:rsid w:val="5EF029BA"/>
    <w:rsid w:val="5EF2401E"/>
    <w:rsid w:val="5EF37A12"/>
    <w:rsid w:val="5F0B09FC"/>
    <w:rsid w:val="5F19063B"/>
    <w:rsid w:val="5F2A58BF"/>
    <w:rsid w:val="5F2D2E3D"/>
    <w:rsid w:val="5F3F28CF"/>
    <w:rsid w:val="5F4D6034"/>
    <w:rsid w:val="5FBE3FE5"/>
    <w:rsid w:val="5FC03792"/>
    <w:rsid w:val="5FC372CE"/>
    <w:rsid w:val="5FC939D5"/>
    <w:rsid w:val="5FDA399F"/>
    <w:rsid w:val="5FDC73A3"/>
    <w:rsid w:val="5FF22D36"/>
    <w:rsid w:val="5FFA79ED"/>
    <w:rsid w:val="60056484"/>
    <w:rsid w:val="60075E39"/>
    <w:rsid w:val="600D0AF4"/>
    <w:rsid w:val="60273573"/>
    <w:rsid w:val="60276DC2"/>
    <w:rsid w:val="602A54A3"/>
    <w:rsid w:val="60315C67"/>
    <w:rsid w:val="60370997"/>
    <w:rsid w:val="604F40FC"/>
    <w:rsid w:val="605A259A"/>
    <w:rsid w:val="605E7A24"/>
    <w:rsid w:val="6060154E"/>
    <w:rsid w:val="606D0EF6"/>
    <w:rsid w:val="60B07C9E"/>
    <w:rsid w:val="60B2485D"/>
    <w:rsid w:val="60C125A0"/>
    <w:rsid w:val="60D06270"/>
    <w:rsid w:val="60EA7F29"/>
    <w:rsid w:val="61013040"/>
    <w:rsid w:val="611128E5"/>
    <w:rsid w:val="611C35B8"/>
    <w:rsid w:val="61315EF6"/>
    <w:rsid w:val="6136633A"/>
    <w:rsid w:val="613A0A49"/>
    <w:rsid w:val="614E56CB"/>
    <w:rsid w:val="615440FF"/>
    <w:rsid w:val="616E368F"/>
    <w:rsid w:val="6184566A"/>
    <w:rsid w:val="619012C2"/>
    <w:rsid w:val="61A550A1"/>
    <w:rsid w:val="61AE7556"/>
    <w:rsid w:val="61C8750F"/>
    <w:rsid w:val="61D41854"/>
    <w:rsid w:val="61E3363C"/>
    <w:rsid w:val="62282B27"/>
    <w:rsid w:val="623743B3"/>
    <w:rsid w:val="623E7108"/>
    <w:rsid w:val="62517918"/>
    <w:rsid w:val="625A6442"/>
    <w:rsid w:val="625E4D1D"/>
    <w:rsid w:val="626A1CE1"/>
    <w:rsid w:val="626C134E"/>
    <w:rsid w:val="626D3BC6"/>
    <w:rsid w:val="629B22CB"/>
    <w:rsid w:val="62A3229B"/>
    <w:rsid w:val="62A45588"/>
    <w:rsid w:val="62A57C35"/>
    <w:rsid w:val="62B952CA"/>
    <w:rsid w:val="62E07553"/>
    <w:rsid w:val="63081C9E"/>
    <w:rsid w:val="63421845"/>
    <w:rsid w:val="634A387E"/>
    <w:rsid w:val="6361478E"/>
    <w:rsid w:val="636E52EB"/>
    <w:rsid w:val="63865A9E"/>
    <w:rsid w:val="63895685"/>
    <w:rsid w:val="638B4892"/>
    <w:rsid w:val="639279AF"/>
    <w:rsid w:val="63944825"/>
    <w:rsid w:val="63D762DC"/>
    <w:rsid w:val="63EC2A57"/>
    <w:rsid w:val="63FE5C95"/>
    <w:rsid w:val="640E22EE"/>
    <w:rsid w:val="641222ED"/>
    <w:rsid w:val="64156B80"/>
    <w:rsid w:val="64292416"/>
    <w:rsid w:val="642B5582"/>
    <w:rsid w:val="642F3826"/>
    <w:rsid w:val="643B040A"/>
    <w:rsid w:val="645D1336"/>
    <w:rsid w:val="64643953"/>
    <w:rsid w:val="649122E0"/>
    <w:rsid w:val="6491381F"/>
    <w:rsid w:val="64B77EFF"/>
    <w:rsid w:val="64BB209D"/>
    <w:rsid w:val="64FB2F8F"/>
    <w:rsid w:val="65055E29"/>
    <w:rsid w:val="65077676"/>
    <w:rsid w:val="651722E7"/>
    <w:rsid w:val="652E22D7"/>
    <w:rsid w:val="65347231"/>
    <w:rsid w:val="655A2A77"/>
    <w:rsid w:val="65642697"/>
    <w:rsid w:val="65740427"/>
    <w:rsid w:val="6577651D"/>
    <w:rsid w:val="658C66C4"/>
    <w:rsid w:val="65A05658"/>
    <w:rsid w:val="65AC2EFD"/>
    <w:rsid w:val="65B46375"/>
    <w:rsid w:val="65D37A5B"/>
    <w:rsid w:val="65F4511D"/>
    <w:rsid w:val="65F47DC0"/>
    <w:rsid w:val="65FF7596"/>
    <w:rsid w:val="66096B05"/>
    <w:rsid w:val="660D0ADE"/>
    <w:rsid w:val="6627721E"/>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96339F"/>
    <w:rsid w:val="67B406DA"/>
    <w:rsid w:val="67BB52EE"/>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F77559"/>
    <w:rsid w:val="693053C2"/>
    <w:rsid w:val="69577852"/>
    <w:rsid w:val="697A46A8"/>
    <w:rsid w:val="69AA61FA"/>
    <w:rsid w:val="69B022B6"/>
    <w:rsid w:val="69B72806"/>
    <w:rsid w:val="69B83AE8"/>
    <w:rsid w:val="69C21FC2"/>
    <w:rsid w:val="69D05774"/>
    <w:rsid w:val="69DD68EF"/>
    <w:rsid w:val="69F431E5"/>
    <w:rsid w:val="6A0B12F9"/>
    <w:rsid w:val="6A217AD4"/>
    <w:rsid w:val="6A387A83"/>
    <w:rsid w:val="6A4E3481"/>
    <w:rsid w:val="6A623C54"/>
    <w:rsid w:val="6AAD2FF2"/>
    <w:rsid w:val="6AB0358F"/>
    <w:rsid w:val="6AC81DFB"/>
    <w:rsid w:val="6ACC4B2B"/>
    <w:rsid w:val="6AD5470C"/>
    <w:rsid w:val="6B156F01"/>
    <w:rsid w:val="6B1823F4"/>
    <w:rsid w:val="6B302155"/>
    <w:rsid w:val="6B5061B8"/>
    <w:rsid w:val="6B5541CC"/>
    <w:rsid w:val="6B594757"/>
    <w:rsid w:val="6B794694"/>
    <w:rsid w:val="6BB10ECA"/>
    <w:rsid w:val="6BB80CD3"/>
    <w:rsid w:val="6BD97443"/>
    <w:rsid w:val="6BE154D6"/>
    <w:rsid w:val="6BEE0F35"/>
    <w:rsid w:val="6BFA34BF"/>
    <w:rsid w:val="6C1D762E"/>
    <w:rsid w:val="6C1E27AA"/>
    <w:rsid w:val="6C2317C9"/>
    <w:rsid w:val="6C253A83"/>
    <w:rsid w:val="6C282E9B"/>
    <w:rsid w:val="6C3107D9"/>
    <w:rsid w:val="6C4C1DDE"/>
    <w:rsid w:val="6C60775B"/>
    <w:rsid w:val="6C66274E"/>
    <w:rsid w:val="6C787CBB"/>
    <w:rsid w:val="6C8A4E5F"/>
    <w:rsid w:val="6C8C5CC8"/>
    <w:rsid w:val="6C9165B6"/>
    <w:rsid w:val="6CA31781"/>
    <w:rsid w:val="6CA87474"/>
    <w:rsid w:val="6CAE0CBE"/>
    <w:rsid w:val="6CBA4949"/>
    <w:rsid w:val="6D1075E9"/>
    <w:rsid w:val="6D2F4343"/>
    <w:rsid w:val="6D353D8C"/>
    <w:rsid w:val="6D4E6285"/>
    <w:rsid w:val="6D5C18AC"/>
    <w:rsid w:val="6D6B1613"/>
    <w:rsid w:val="6D886D51"/>
    <w:rsid w:val="6DCC4C0D"/>
    <w:rsid w:val="6DEA0A67"/>
    <w:rsid w:val="6DEC6437"/>
    <w:rsid w:val="6DFC561D"/>
    <w:rsid w:val="6E0F76B0"/>
    <w:rsid w:val="6E233458"/>
    <w:rsid w:val="6E336D40"/>
    <w:rsid w:val="6E3563A1"/>
    <w:rsid w:val="6E382FA7"/>
    <w:rsid w:val="6E395E9E"/>
    <w:rsid w:val="6E4341AC"/>
    <w:rsid w:val="6E5126B4"/>
    <w:rsid w:val="6E567C0C"/>
    <w:rsid w:val="6E5D6868"/>
    <w:rsid w:val="6E5E1DD6"/>
    <w:rsid w:val="6E63528F"/>
    <w:rsid w:val="6E683231"/>
    <w:rsid w:val="6E7C1EB5"/>
    <w:rsid w:val="6EA64465"/>
    <w:rsid w:val="6EB664D0"/>
    <w:rsid w:val="6ED36BB1"/>
    <w:rsid w:val="6EE110A6"/>
    <w:rsid w:val="6EF03BAE"/>
    <w:rsid w:val="6F0331C4"/>
    <w:rsid w:val="6F155D21"/>
    <w:rsid w:val="6F1E3244"/>
    <w:rsid w:val="6F286746"/>
    <w:rsid w:val="6F2B2506"/>
    <w:rsid w:val="6F436F8F"/>
    <w:rsid w:val="6F451BBF"/>
    <w:rsid w:val="6F634567"/>
    <w:rsid w:val="6F8D6B1D"/>
    <w:rsid w:val="6FAE4748"/>
    <w:rsid w:val="6FD91F90"/>
    <w:rsid w:val="6FE31AA8"/>
    <w:rsid w:val="70045D42"/>
    <w:rsid w:val="700A0D6E"/>
    <w:rsid w:val="703D0162"/>
    <w:rsid w:val="704D2ABA"/>
    <w:rsid w:val="706717CB"/>
    <w:rsid w:val="707200F0"/>
    <w:rsid w:val="707663A9"/>
    <w:rsid w:val="707F274F"/>
    <w:rsid w:val="70950CE0"/>
    <w:rsid w:val="709D2458"/>
    <w:rsid w:val="70A2698B"/>
    <w:rsid w:val="70AA312E"/>
    <w:rsid w:val="70C24A2F"/>
    <w:rsid w:val="70CC0C4C"/>
    <w:rsid w:val="70D26D86"/>
    <w:rsid w:val="70E41087"/>
    <w:rsid w:val="70E65326"/>
    <w:rsid w:val="70E80F60"/>
    <w:rsid w:val="70F11D57"/>
    <w:rsid w:val="71014D29"/>
    <w:rsid w:val="710A2B65"/>
    <w:rsid w:val="71191A27"/>
    <w:rsid w:val="711F713E"/>
    <w:rsid w:val="71217371"/>
    <w:rsid w:val="712E54D4"/>
    <w:rsid w:val="71321C7C"/>
    <w:rsid w:val="714A1780"/>
    <w:rsid w:val="7170146E"/>
    <w:rsid w:val="71705776"/>
    <w:rsid w:val="717268C8"/>
    <w:rsid w:val="71802D0E"/>
    <w:rsid w:val="71880353"/>
    <w:rsid w:val="718F5890"/>
    <w:rsid w:val="71C06F6A"/>
    <w:rsid w:val="71C16BD6"/>
    <w:rsid w:val="71C363B8"/>
    <w:rsid w:val="71D14144"/>
    <w:rsid w:val="72143089"/>
    <w:rsid w:val="72150CEA"/>
    <w:rsid w:val="721F1006"/>
    <w:rsid w:val="721F4F40"/>
    <w:rsid w:val="7227177D"/>
    <w:rsid w:val="723419F5"/>
    <w:rsid w:val="7235573F"/>
    <w:rsid w:val="72477BAC"/>
    <w:rsid w:val="7255330E"/>
    <w:rsid w:val="726C56B8"/>
    <w:rsid w:val="72760CB0"/>
    <w:rsid w:val="7288771C"/>
    <w:rsid w:val="729326C7"/>
    <w:rsid w:val="72935BA2"/>
    <w:rsid w:val="72A458E1"/>
    <w:rsid w:val="72B13FB1"/>
    <w:rsid w:val="72C13E7C"/>
    <w:rsid w:val="72CD388B"/>
    <w:rsid w:val="72CE592F"/>
    <w:rsid w:val="72D21B1B"/>
    <w:rsid w:val="73014E33"/>
    <w:rsid w:val="730770A2"/>
    <w:rsid w:val="73197AE0"/>
    <w:rsid w:val="73221860"/>
    <w:rsid w:val="732B6D90"/>
    <w:rsid w:val="732F2FC7"/>
    <w:rsid w:val="733A4EF6"/>
    <w:rsid w:val="733D0234"/>
    <w:rsid w:val="733D1497"/>
    <w:rsid w:val="735F4C52"/>
    <w:rsid w:val="73773239"/>
    <w:rsid w:val="739D4E7F"/>
    <w:rsid w:val="73A52CA9"/>
    <w:rsid w:val="73BA6569"/>
    <w:rsid w:val="73C82E30"/>
    <w:rsid w:val="73FA14E3"/>
    <w:rsid w:val="73FD29BB"/>
    <w:rsid w:val="740A7F35"/>
    <w:rsid w:val="740B686A"/>
    <w:rsid w:val="74193434"/>
    <w:rsid w:val="7436153F"/>
    <w:rsid w:val="744401CE"/>
    <w:rsid w:val="74485A21"/>
    <w:rsid w:val="745819FD"/>
    <w:rsid w:val="746C366D"/>
    <w:rsid w:val="748200B4"/>
    <w:rsid w:val="74860C0A"/>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DE044C"/>
    <w:rsid w:val="75FA2F4D"/>
    <w:rsid w:val="761406EB"/>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BC1562"/>
    <w:rsid w:val="77CA7AD8"/>
    <w:rsid w:val="77F04589"/>
    <w:rsid w:val="780776F7"/>
    <w:rsid w:val="785D4AC2"/>
    <w:rsid w:val="78755AD9"/>
    <w:rsid w:val="78867CFB"/>
    <w:rsid w:val="7895518B"/>
    <w:rsid w:val="78DA375A"/>
    <w:rsid w:val="78EA1950"/>
    <w:rsid w:val="78F32B60"/>
    <w:rsid w:val="78FB6861"/>
    <w:rsid w:val="790C30F7"/>
    <w:rsid w:val="79182F94"/>
    <w:rsid w:val="791E6626"/>
    <w:rsid w:val="791F15A3"/>
    <w:rsid w:val="791F1ABD"/>
    <w:rsid w:val="792A6014"/>
    <w:rsid w:val="792A77CA"/>
    <w:rsid w:val="792C1C9C"/>
    <w:rsid w:val="79473DEA"/>
    <w:rsid w:val="79534836"/>
    <w:rsid w:val="795F47C4"/>
    <w:rsid w:val="79607369"/>
    <w:rsid w:val="79880110"/>
    <w:rsid w:val="79894347"/>
    <w:rsid w:val="799447B2"/>
    <w:rsid w:val="79993DEC"/>
    <w:rsid w:val="79A91848"/>
    <w:rsid w:val="79B155D3"/>
    <w:rsid w:val="79B344B9"/>
    <w:rsid w:val="79BE02AE"/>
    <w:rsid w:val="79C44E91"/>
    <w:rsid w:val="79D75B18"/>
    <w:rsid w:val="79F9227E"/>
    <w:rsid w:val="7A03141B"/>
    <w:rsid w:val="7A2F5A98"/>
    <w:rsid w:val="7A340EA4"/>
    <w:rsid w:val="7A3F5F0E"/>
    <w:rsid w:val="7A402127"/>
    <w:rsid w:val="7A677819"/>
    <w:rsid w:val="7A75750A"/>
    <w:rsid w:val="7A7C3110"/>
    <w:rsid w:val="7A9E603E"/>
    <w:rsid w:val="7AA5799A"/>
    <w:rsid w:val="7AAE7A48"/>
    <w:rsid w:val="7ABD11A1"/>
    <w:rsid w:val="7AF259C5"/>
    <w:rsid w:val="7AFE1885"/>
    <w:rsid w:val="7B12265C"/>
    <w:rsid w:val="7B4E1237"/>
    <w:rsid w:val="7B557668"/>
    <w:rsid w:val="7B5721B8"/>
    <w:rsid w:val="7B5C6BFD"/>
    <w:rsid w:val="7B5C70B9"/>
    <w:rsid w:val="7B627357"/>
    <w:rsid w:val="7B884D33"/>
    <w:rsid w:val="7BA630A7"/>
    <w:rsid w:val="7BBB6A08"/>
    <w:rsid w:val="7BBE446F"/>
    <w:rsid w:val="7BCB5994"/>
    <w:rsid w:val="7BCD518A"/>
    <w:rsid w:val="7BED154E"/>
    <w:rsid w:val="7BED6B05"/>
    <w:rsid w:val="7C1946E0"/>
    <w:rsid w:val="7C1B35F1"/>
    <w:rsid w:val="7C42078B"/>
    <w:rsid w:val="7C953CBE"/>
    <w:rsid w:val="7C9C6D51"/>
    <w:rsid w:val="7CA326C8"/>
    <w:rsid w:val="7CAA5F0D"/>
    <w:rsid w:val="7D25417D"/>
    <w:rsid w:val="7D470375"/>
    <w:rsid w:val="7D5A124C"/>
    <w:rsid w:val="7D6B3C9C"/>
    <w:rsid w:val="7D6C7837"/>
    <w:rsid w:val="7D87483A"/>
    <w:rsid w:val="7D886B89"/>
    <w:rsid w:val="7D8A3047"/>
    <w:rsid w:val="7D92427A"/>
    <w:rsid w:val="7DA653E8"/>
    <w:rsid w:val="7DAB4450"/>
    <w:rsid w:val="7DAE4568"/>
    <w:rsid w:val="7DC3009F"/>
    <w:rsid w:val="7DC80DDA"/>
    <w:rsid w:val="7DDC30D5"/>
    <w:rsid w:val="7E0B16A2"/>
    <w:rsid w:val="7E12506E"/>
    <w:rsid w:val="7E1B5179"/>
    <w:rsid w:val="7E3610F8"/>
    <w:rsid w:val="7E594E0B"/>
    <w:rsid w:val="7E646F31"/>
    <w:rsid w:val="7E7C766D"/>
    <w:rsid w:val="7E833262"/>
    <w:rsid w:val="7E932FC5"/>
    <w:rsid w:val="7E9B5F2D"/>
    <w:rsid w:val="7ECE4E91"/>
    <w:rsid w:val="7ECE6209"/>
    <w:rsid w:val="7EDB5D8D"/>
    <w:rsid w:val="7EDD4604"/>
    <w:rsid w:val="7EE626A2"/>
    <w:rsid w:val="7EF9557C"/>
    <w:rsid w:val="7F0A31ED"/>
    <w:rsid w:val="7F165CD8"/>
    <w:rsid w:val="7F243837"/>
    <w:rsid w:val="7F2B17D8"/>
    <w:rsid w:val="7F3C05D3"/>
    <w:rsid w:val="7F4E60A4"/>
    <w:rsid w:val="7F676C28"/>
    <w:rsid w:val="7F751E64"/>
    <w:rsid w:val="7F7A4953"/>
    <w:rsid w:val="7F806C96"/>
    <w:rsid w:val="7F90721E"/>
    <w:rsid w:val="7F990359"/>
    <w:rsid w:val="7FAC08C1"/>
    <w:rsid w:val="7FAD0277"/>
    <w:rsid w:val="7FB44E0C"/>
    <w:rsid w:val="7FCF5193"/>
    <w:rsid w:val="7FD06104"/>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2"/>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3">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Body Text First Indent"/>
    <w:basedOn w:val="7"/>
    <w:next w:val="8"/>
    <w:qFormat/>
    <w:uiPriority w:val="0"/>
    <w:pPr>
      <w:ind w:firstLine="200" w:firstLineChars="200"/>
    </w:pPr>
  </w:style>
  <w:style w:type="paragraph" w:styleId="7">
    <w:name w:val="Body Text"/>
    <w:basedOn w:val="1"/>
    <w:next w:val="6"/>
    <w:qFormat/>
    <w:uiPriority w:val="0"/>
    <w:pPr>
      <w:spacing w:line="360" w:lineRule="exact"/>
    </w:pPr>
    <w:rPr>
      <w:sz w:val="24"/>
    </w:rPr>
  </w:style>
  <w:style w:type="paragraph" w:styleId="8">
    <w:name w:val="toc 6"/>
    <w:basedOn w:val="1"/>
    <w:next w:val="1"/>
    <w:qFormat/>
    <w:uiPriority w:val="39"/>
    <w:pPr>
      <w:widowControl/>
      <w:ind w:left="1000"/>
      <w:jc w:val="left"/>
    </w:pPr>
    <w:rPr>
      <w:kern w:val="0"/>
      <w:sz w:val="18"/>
      <w:szCs w:val="20"/>
    </w:rPr>
  </w:style>
  <w:style w:type="paragraph" w:styleId="9">
    <w:name w:val="List Number"/>
    <w:basedOn w:val="1"/>
    <w:qFormat/>
    <w:uiPriority w:val="0"/>
    <w:pPr>
      <w:numPr>
        <w:ilvl w:val="0"/>
        <w:numId w:val="2"/>
      </w:numPr>
    </w:pPr>
  </w:style>
  <w:style w:type="paragraph" w:styleId="10">
    <w:name w:val="annotation text"/>
    <w:basedOn w:val="1"/>
    <w:qFormat/>
    <w:uiPriority w:val="0"/>
    <w:pPr>
      <w:jc w:val="left"/>
    </w:pPr>
  </w:style>
  <w:style w:type="paragraph" w:styleId="11">
    <w:name w:val="Body Text Indent"/>
    <w:basedOn w:val="1"/>
    <w:next w:val="1"/>
    <w:qFormat/>
    <w:uiPriority w:val="0"/>
    <w:pPr>
      <w:spacing w:after="120"/>
      <w:ind w:left="420" w:leftChars="200"/>
    </w:pPr>
  </w:style>
  <w:style w:type="paragraph" w:styleId="12">
    <w:name w:val="Plain Text"/>
    <w:basedOn w:val="1"/>
    <w:next w:val="1"/>
    <w:link w:val="68"/>
    <w:qFormat/>
    <w:uiPriority w:val="99"/>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56"/>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Body Text First Indent 2"/>
    <w:basedOn w:val="11"/>
    <w:qFormat/>
    <w:uiPriority w:val="0"/>
    <w:pPr>
      <w:ind w:firstLine="420"/>
    </w:p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footnote text"/>
    <w:basedOn w:val="1"/>
    <w:link w:val="71"/>
    <w:qFormat/>
    <w:uiPriority w:val="99"/>
    <w:pPr>
      <w:snapToGrid w:val="0"/>
      <w:jc w:val="left"/>
    </w:pPr>
    <w:rPr>
      <w:sz w:val="18"/>
      <w:szCs w:val="18"/>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character" w:styleId="24">
    <w:name w:val="Strong"/>
    <w:qFormat/>
    <w:uiPriority w:val="99"/>
    <w:rPr>
      <w:b/>
      <w:bCs/>
    </w:rPr>
  </w:style>
  <w:style w:type="character" w:styleId="25">
    <w:name w:val="FollowedHyperlink"/>
    <w:basedOn w:val="23"/>
    <w:qFormat/>
    <w:uiPriority w:val="0"/>
    <w:rPr>
      <w:color w:val="800080"/>
      <w:u w:val="single"/>
    </w:rPr>
  </w:style>
  <w:style w:type="character" w:styleId="26">
    <w:name w:val="Hyperlink"/>
    <w:qFormat/>
    <w:uiPriority w:val="0"/>
    <w:rPr>
      <w:color w:val="0000FF"/>
      <w:u w:val="single"/>
    </w:rPr>
  </w:style>
  <w:style w:type="character" w:styleId="27">
    <w:name w:val="annotation reference"/>
    <w:basedOn w:val="23"/>
    <w:qFormat/>
    <w:uiPriority w:val="0"/>
    <w:rPr>
      <w:sz w:val="21"/>
      <w:szCs w:val="21"/>
    </w:rPr>
  </w:style>
  <w:style w:type="character" w:styleId="28">
    <w:name w:val="footnote reference"/>
    <w:basedOn w:val="23"/>
    <w:qFormat/>
    <w:uiPriority w:val="99"/>
    <w:rPr>
      <w:vertAlign w:val="superscript"/>
    </w:rPr>
  </w:style>
  <w:style w:type="table" w:styleId="30">
    <w:name w:val="Table Grid"/>
    <w:basedOn w:val="29"/>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1">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 w:type="paragraph" w:customStyle="1" w:styleId="32">
    <w:name w:val="Normal Indent1"/>
    <w:basedOn w:val="1"/>
    <w:qFormat/>
    <w:uiPriority w:val="0"/>
    <w:pPr>
      <w:ind w:firstLine="420" w:firstLineChars="200"/>
    </w:p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3"/>
    <w:qFormat/>
    <w:uiPriority w:val="0"/>
    <w:rPr>
      <w:rFonts w:hint="default" w:ascii="Arial" w:hAnsi="Arial" w:cs="Arial"/>
      <w:color w:val="000000"/>
      <w:sz w:val="20"/>
      <w:szCs w:val="20"/>
      <w:u w:val="none"/>
    </w:rPr>
  </w:style>
  <w:style w:type="character" w:customStyle="1" w:styleId="50">
    <w:name w:val="font01"/>
    <w:basedOn w:val="23"/>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character" w:customStyle="1" w:styleId="55">
    <w:name w:val="标题 1 Char Char"/>
    <w:basedOn w:val="23"/>
    <w:qFormat/>
    <w:uiPriority w:val="0"/>
    <w:rPr>
      <w:rFonts w:eastAsia="宋体"/>
      <w:b/>
      <w:spacing w:val="-2"/>
      <w:sz w:val="24"/>
      <w:lang w:val="en-US" w:eastAsia="zh-CN" w:bidi="ar-SA"/>
    </w:rPr>
  </w:style>
  <w:style w:type="character" w:customStyle="1" w:styleId="56">
    <w:name w:val="批注框文本 Char"/>
    <w:basedOn w:val="23"/>
    <w:link w:val="15"/>
    <w:qFormat/>
    <w:uiPriority w:val="0"/>
    <w:rPr>
      <w:kern w:val="2"/>
      <w:sz w:val="18"/>
      <w:szCs w:val="18"/>
    </w:rPr>
  </w:style>
  <w:style w:type="paragraph" w:customStyle="1" w:styleId="57">
    <w:name w:val="表格文字"/>
    <w:basedOn w:val="1"/>
    <w:next w:val="7"/>
    <w:qFormat/>
    <w:uiPriority w:val="99"/>
    <w:pPr>
      <w:adjustRightInd w:val="0"/>
      <w:spacing w:line="420" w:lineRule="atLeast"/>
      <w:jc w:val="left"/>
      <w:textAlignment w:val="baseline"/>
    </w:pPr>
    <w:rPr>
      <w:kern w:val="0"/>
    </w:rPr>
  </w:style>
  <w:style w:type="paragraph" w:customStyle="1" w:styleId="58">
    <w:name w:val="正文2"/>
    <w:basedOn w:val="1"/>
    <w:qFormat/>
    <w:uiPriority w:val="0"/>
    <w:pPr>
      <w:adjustRightInd w:val="0"/>
      <w:spacing w:before="156" w:line="360" w:lineRule="auto"/>
      <w:ind w:firstLine="510" w:firstLineChars="200"/>
    </w:pPr>
    <w:rPr>
      <w:sz w:val="24"/>
      <w:szCs w:val="20"/>
    </w:rPr>
  </w:style>
  <w:style w:type="paragraph" w:customStyle="1" w:styleId="59">
    <w:name w:val="正文_0"/>
    <w:basedOn w:val="60"/>
    <w:qFormat/>
    <w:uiPriority w:val="0"/>
  </w:style>
  <w:style w:type="paragraph" w:customStyle="1" w:styleId="6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_Style 1"/>
    <w:qFormat/>
    <w:uiPriority w:val="0"/>
    <w:rPr>
      <w:rFonts w:ascii="Calibri" w:hAnsi="Calibri" w:eastAsia="宋体" w:cs="Times New Roman"/>
      <w:kern w:val="2"/>
      <w:sz w:val="28"/>
      <w:szCs w:val="22"/>
      <w:lang w:val="en-US" w:eastAsia="zh-CN" w:bidi="ar-SA"/>
    </w:rPr>
  </w:style>
  <w:style w:type="paragraph" w:customStyle="1" w:styleId="63">
    <w:name w:val="Example TEXT"/>
    <w:basedOn w:val="34"/>
    <w:qFormat/>
    <w:uiPriority w:val="0"/>
    <w:pPr>
      <w:spacing w:line="360" w:lineRule="auto"/>
      <w:ind w:firstLine="0" w:firstLineChars="0"/>
      <w:contextualSpacing/>
      <w:jc w:val="center"/>
    </w:pPr>
    <w:rPr>
      <w:rFonts w:ascii="宋体" w:hAnsi="宋体"/>
      <w:szCs w:val="21"/>
    </w:rPr>
  </w:style>
  <w:style w:type="character" w:customStyle="1" w:styleId="64">
    <w:name w:val="font31"/>
    <w:basedOn w:val="23"/>
    <w:qFormat/>
    <w:uiPriority w:val="0"/>
    <w:rPr>
      <w:rFonts w:hint="eastAsia" w:ascii="宋体" w:hAnsi="宋体" w:eastAsia="宋体" w:cs="宋体"/>
      <w:color w:val="000000"/>
      <w:sz w:val="24"/>
      <w:szCs w:val="24"/>
      <w:u w:val="none"/>
    </w:rPr>
  </w:style>
  <w:style w:type="character" w:customStyle="1" w:styleId="65">
    <w:name w:val="font11"/>
    <w:basedOn w:val="23"/>
    <w:qFormat/>
    <w:uiPriority w:val="0"/>
    <w:rPr>
      <w:rFonts w:hint="eastAsia" w:ascii="宋体" w:hAnsi="宋体" w:eastAsia="宋体" w:cs="宋体"/>
      <w:color w:val="000000"/>
      <w:sz w:val="24"/>
      <w:szCs w:val="24"/>
      <w:u w:val="none"/>
    </w:rPr>
  </w:style>
  <w:style w:type="paragraph" w:customStyle="1" w:styleId="66">
    <w:name w:val="正文3"/>
    <w:basedOn w:val="1"/>
    <w:qFormat/>
    <w:uiPriority w:val="0"/>
    <w:rPr>
      <w:rFonts w:ascii="宋体" w:hAnsi="宋体" w:cs="宋体"/>
      <w:szCs w:val="21"/>
    </w:rPr>
  </w:style>
  <w:style w:type="paragraph" w:customStyle="1" w:styleId="67">
    <w:name w:val="[Normal]"/>
    <w:qFormat/>
    <w:uiPriority w:val="0"/>
    <w:rPr>
      <w:rFonts w:ascii="宋体" w:hAnsi="宋体" w:eastAsia="宋体" w:cs="Times New Roman"/>
      <w:sz w:val="24"/>
      <w:szCs w:val="22"/>
      <w:lang w:val="zh-CN" w:eastAsia="zh-CN" w:bidi="ar-SA"/>
    </w:rPr>
  </w:style>
  <w:style w:type="character" w:customStyle="1" w:styleId="68">
    <w:name w:val="纯文本 Char"/>
    <w:link w:val="12"/>
    <w:qFormat/>
    <w:uiPriority w:val="99"/>
    <w:rPr>
      <w:rFonts w:ascii="宋体" w:hAnsi="Courier New" w:cstheme="minorBidi"/>
      <w:kern w:val="2"/>
      <w:sz w:val="21"/>
      <w:szCs w:val="24"/>
    </w:rPr>
  </w:style>
  <w:style w:type="paragraph" w:customStyle="1" w:styleId="69">
    <w:name w:val="首行缩进"/>
    <w:basedOn w:val="1"/>
    <w:qFormat/>
    <w:uiPriority w:val="0"/>
    <w:rPr>
      <w:lang w:val="zh-CN"/>
    </w:rPr>
  </w:style>
  <w:style w:type="paragraph" w:customStyle="1" w:styleId="70">
    <w:name w:val="正文_1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character" w:customStyle="1" w:styleId="71">
    <w:name w:val="脚注文本 Char"/>
    <w:basedOn w:val="23"/>
    <w:link w:val="2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5c5bee4-aff0-405e-8baf-e1474ab6aef2}"/>
        <w:style w:val=""/>
        <w:category>
          <w:name w:val="常规"/>
          <w:gallery w:val="placeholder"/>
        </w:category>
        <w:types>
          <w:type w:val="bbPlcHdr"/>
        </w:types>
        <w:behaviors>
          <w:behavior w:val="content"/>
        </w:behaviors>
        <w:description w:val=""/>
        <w:guid w:val="{15C5BEE4-AFF0-405E-8BAF-E1474AB6AEF2}"/>
      </w:docPartPr>
      <w:docPartBody>
        <w:p>
          <w:r>
            <w:rPr>
              <w:color w:val="808080"/>
            </w:rPr>
            <w:t>单击此处输入文字。</w:t>
          </w:r>
        </w:p>
      </w:docPartBody>
    </w:docPart>
    <w:docPart>
      <w:docPartPr>
        <w:name w:val="{d1008825-9349-424a-bfd1-2a8e42ee5854}"/>
        <w:style w:val=""/>
        <w:category>
          <w:name w:val="常规"/>
          <w:gallery w:val="placeholder"/>
        </w:category>
        <w:types>
          <w:type w:val="bbPlcHdr"/>
        </w:types>
        <w:behaviors>
          <w:behavior w:val="content"/>
        </w:behaviors>
        <w:description w:val=""/>
        <w:guid w:val="{D1008825-9349-424A-BFD1-2A8E42EE5854}"/>
      </w:docPartPr>
      <w:docPartBody>
        <w:p>
          <w:r>
            <w:rPr>
              <w:color w:val="808080"/>
            </w:rPr>
            <w:t>单击此处输入文字。</w:t>
          </w:r>
        </w:p>
      </w:docPartBody>
    </w:docPart>
    <w:docPart>
      <w:docPartPr>
        <w:name w:val="{938f4846-6c85-4e9c-81e4-0ea290204e18}"/>
        <w:style w:val=""/>
        <w:category>
          <w:name w:val="常规"/>
          <w:gallery w:val="placeholder"/>
        </w:category>
        <w:types>
          <w:type w:val="bbPlcHdr"/>
        </w:types>
        <w:behaviors>
          <w:behavior w:val="content"/>
        </w:behaviors>
        <w:description w:val=""/>
        <w:guid w:val="{938F4846-6C85-4E9C-81E4-0EA290204E18}"/>
      </w:docPartPr>
      <w:docPartBody>
        <w:p>
          <w:r>
            <w:rPr>
              <w:color w:val="808080"/>
            </w:rPr>
            <w:t>单击此处输入文字。</w:t>
          </w:r>
        </w:p>
      </w:docPartBody>
    </w:docPart>
    <w:docPart>
      <w:docPartPr>
        <w:name w:val="{87445479-ce5c-480e-930a-de095333bcde}"/>
        <w:style w:val=""/>
        <w:category>
          <w:name w:val="常规"/>
          <w:gallery w:val="placeholder"/>
        </w:category>
        <w:types>
          <w:type w:val="bbPlcHdr"/>
        </w:types>
        <w:behaviors>
          <w:behavior w:val="content"/>
        </w:behaviors>
        <w:description w:val=""/>
        <w:guid w:val="{87445479-CE5C-480E-930A-DE095333BCD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36435B"/>
    <w:rsid w:val="0036435B"/>
    <w:rsid w:val="00ED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88</Pages>
  <Words>49390</Words>
  <Characters>53431</Characters>
  <Lines>431</Lines>
  <Paragraphs>121</Paragraphs>
  <TotalTime>4</TotalTime>
  <ScaleCrop>false</ScaleCrop>
  <LinksUpToDate>false</LinksUpToDate>
  <CharactersWithSpaces>54993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Administrator</cp:lastModifiedBy>
  <cp:lastPrinted>2021-08-18T01:05:00Z</cp:lastPrinted>
  <dcterms:modified xsi:type="dcterms:W3CDTF">2022-08-05T02:17:09Z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56099B2E4D2A4F63A2AAC9078C67EC41</vt:lpwstr>
  </property>
</Properties>
</file>