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宋体" w:eastAsia="宋体"/>
          <w:b/>
          <w:color w:val="auto"/>
          <w:kern w:val="0"/>
          <w:sz w:val="52"/>
          <w:szCs w:val="52"/>
          <w:lang w:val="en-US" w:eastAsia="zh-CN"/>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rPr>
      </w:pPr>
      <w:r>
        <w:rPr>
          <w:rFonts w:hint="eastAsia" w:ascii="宋体"/>
          <w:b/>
          <w:color w:val="auto"/>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rPr>
      </w:pPr>
      <w:r>
        <w:rPr>
          <w:rFonts w:hint="eastAsia" w:ascii="宋体"/>
          <w:b/>
          <w:color w:val="auto"/>
          <w:kern w:val="0"/>
          <w:sz w:val="52"/>
          <w:szCs w:val="52"/>
        </w:rPr>
        <w:t>台州市政府采购招标文件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color w:val="auto"/>
          <w:kern w:val="0"/>
          <w:sz w:val="32"/>
        </w:rPr>
      </w:pPr>
      <w:r>
        <w:rPr>
          <w:rFonts w:hint="eastAsia" w:ascii="宋体"/>
          <w:b/>
          <w:color w:val="auto"/>
          <w:kern w:val="0"/>
          <w:sz w:val="32"/>
        </w:rPr>
        <w:t>TZ</w:t>
      </w:r>
      <w:r>
        <w:rPr>
          <w:rFonts w:ascii="宋体"/>
          <w:b/>
          <w:color w:val="auto"/>
          <w:kern w:val="0"/>
          <w:sz w:val="32"/>
        </w:rPr>
        <w:t>CG-20</w:t>
      </w:r>
      <w:r>
        <w:rPr>
          <w:rFonts w:hint="eastAsia" w:ascii="宋体"/>
          <w:b/>
          <w:color w:val="auto"/>
          <w:kern w:val="0"/>
          <w:sz w:val="32"/>
          <w:lang w:val="en-US" w:eastAsia="zh-CN"/>
        </w:rPr>
        <w:t>21</w:t>
      </w:r>
      <w:r>
        <w:rPr>
          <w:rFonts w:ascii="宋体"/>
          <w:b/>
          <w:color w:val="auto"/>
          <w:kern w:val="0"/>
          <w:sz w:val="32"/>
        </w:rPr>
        <w:t>-</w:t>
      </w:r>
      <w:r>
        <w:rPr>
          <w:rFonts w:hint="eastAsia" w:ascii="宋体"/>
          <w:b/>
          <w:color w:val="auto"/>
          <w:kern w:val="0"/>
          <w:sz w:val="32"/>
        </w:rPr>
        <w:t>GK</w:t>
      </w:r>
      <w:r>
        <w:rPr>
          <w:rFonts w:hint="eastAsia" w:ascii="宋体"/>
          <w:b/>
          <w:color w:val="auto"/>
          <w:kern w:val="0"/>
          <w:sz w:val="32"/>
          <w:lang w:val="en-US" w:eastAsia="zh-CN"/>
        </w:rPr>
        <w:t>014</w:t>
      </w:r>
      <w:r>
        <w:rPr>
          <w:rFonts w:hint="eastAsia" w:ascii="宋体"/>
          <w:b/>
          <w:color w:val="auto"/>
          <w:kern w:val="0"/>
          <w:sz w:val="32"/>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rPr>
      </w:pPr>
    </w:p>
    <w:p>
      <w:pPr>
        <w:autoSpaceDE w:val="0"/>
        <w:autoSpaceDN w:val="0"/>
        <w:adjustRightInd w:val="0"/>
        <w:spacing w:line="360" w:lineRule="auto"/>
        <w:rPr>
          <w:rFonts w:ascii="宋体"/>
          <w:b/>
          <w:color w:val="auto"/>
          <w:kern w:val="0"/>
          <w:sz w:val="52"/>
          <w:szCs w:val="52"/>
        </w:rPr>
      </w:pPr>
    </w:p>
    <w:p>
      <w:pPr>
        <w:autoSpaceDE w:val="0"/>
        <w:autoSpaceDN w:val="0"/>
        <w:adjustRightInd w:val="0"/>
        <w:spacing w:line="360" w:lineRule="auto"/>
        <w:ind w:firstLine="1797" w:firstLineChars="642"/>
        <w:jc w:val="left"/>
        <w:rPr>
          <w:rFonts w:ascii="宋体"/>
          <w:color w:val="auto"/>
          <w:kern w:val="0"/>
          <w:sz w:val="28"/>
        </w:rPr>
      </w:pPr>
    </w:p>
    <w:p>
      <w:pPr>
        <w:autoSpaceDE w:val="0"/>
        <w:autoSpaceDN w:val="0"/>
        <w:adjustRightInd w:val="0"/>
        <w:spacing w:line="360" w:lineRule="auto"/>
        <w:ind w:firstLine="1797" w:firstLineChars="642"/>
        <w:jc w:val="left"/>
        <w:rPr>
          <w:rFonts w:ascii="宋体"/>
          <w:color w:val="auto"/>
          <w:kern w:val="0"/>
          <w:sz w:val="28"/>
        </w:rPr>
      </w:pPr>
    </w:p>
    <w:p>
      <w:pPr>
        <w:autoSpaceDE w:val="0"/>
        <w:autoSpaceDN w:val="0"/>
        <w:adjustRightInd w:val="0"/>
        <w:spacing w:line="360" w:lineRule="auto"/>
        <w:ind w:firstLine="2077" w:firstLineChars="742"/>
        <w:jc w:val="left"/>
        <w:rPr>
          <w:rFonts w:hint="default" w:ascii="宋体" w:eastAsia="宋体"/>
          <w:color w:val="auto"/>
          <w:kern w:val="0"/>
          <w:sz w:val="28"/>
          <w:lang w:val="en-US" w:eastAsia="zh-CN"/>
        </w:rPr>
      </w:pPr>
      <w:r>
        <w:rPr>
          <w:rFonts w:hint="eastAsia" w:ascii="宋体"/>
          <w:color w:val="auto"/>
          <w:kern w:val="0"/>
          <w:sz w:val="28"/>
        </w:rPr>
        <w:t>采购项目：</w:t>
      </w:r>
      <w:r>
        <w:rPr>
          <w:rFonts w:hint="eastAsia" w:ascii="宋体"/>
          <w:color w:val="auto"/>
          <w:kern w:val="0"/>
          <w:sz w:val="28"/>
          <w:lang w:val="en-US" w:eastAsia="zh-CN"/>
        </w:rPr>
        <w:t>台州市</w:t>
      </w:r>
      <w:r>
        <w:rPr>
          <w:rFonts w:hint="eastAsia" w:ascii="宋体"/>
          <w:color w:val="auto"/>
          <w:kern w:val="0"/>
          <w:sz w:val="28"/>
        </w:rPr>
        <w:t>公共安全综合保险项目</w:t>
      </w:r>
      <w:r>
        <w:rPr>
          <w:rFonts w:hint="eastAsia" w:ascii="宋体"/>
          <w:color w:val="auto"/>
          <w:kern w:val="0"/>
          <w:sz w:val="28"/>
          <w:lang w:val="en-US" w:eastAsia="zh-CN"/>
        </w:rPr>
        <w:t xml:space="preserve"> </w:t>
      </w:r>
    </w:p>
    <w:p>
      <w:pPr>
        <w:autoSpaceDE w:val="0"/>
        <w:autoSpaceDN w:val="0"/>
        <w:adjustRightInd w:val="0"/>
        <w:spacing w:line="360" w:lineRule="auto"/>
        <w:ind w:firstLine="2077" w:firstLineChars="742"/>
        <w:jc w:val="left"/>
        <w:rPr>
          <w:rFonts w:hint="eastAsia" w:ascii="宋体" w:eastAsia="宋体"/>
          <w:color w:val="auto"/>
          <w:kern w:val="0"/>
          <w:sz w:val="28"/>
          <w:lang w:val="en-US" w:eastAsia="zh-CN"/>
        </w:rPr>
      </w:pPr>
      <w:r>
        <w:rPr>
          <w:rFonts w:hint="eastAsia" w:ascii="宋体"/>
          <w:color w:val="auto"/>
          <w:kern w:val="0"/>
          <w:sz w:val="28"/>
        </w:rPr>
        <w:t>采购</w:t>
      </w:r>
      <w:r>
        <w:rPr>
          <w:rFonts w:hint="eastAsia" w:ascii="宋体"/>
          <w:color w:val="auto"/>
          <w:kern w:val="0"/>
          <w:sz w:val="28"/>
          <w:lang w:eastAsia="zh-CN"/>
        </w:rPr>
        <w:t>人</w:t>
      </w:r>
      <w:r>
        <w:rPr>
          <w:rFonts w:hint="eastAsia" w:ascii="宋体"/>
          <w:color w:val="auto"/>
          <w:kern w:val="0"/>
          <w:sz w:val="28"/>
        </w:rPr>
        <w:t>：中共台州市委政法委员会</w:t>
      </w:r>
      <w:r>
        <w:rPr>
          <w:rFonts w:hint="eastAsia" w:ascii="宋体"/>
          <w:color w:val="auto"/>
          <w:kern w:val="0"/>
          <w:sz w:val="28"/>
          <w:lang w:val="en-US" w:eastAsia="zh-CN"/>
        </w:rPr>
        <w:t xml:space="preserve"> </w:t>
      </w:r>
    </w:p>
    <w:p>
      <w:pPr>
        <w:autoSpaceDE w:val="0"/>
        <w:autoSpaceDN w:val="0"/>
        <w:adjustRightInd w:val="0"/>
        <w:spacing w:line="360" w:lineRule="auto"/>
        <w:rPr>
          <w:rFonts w:ascii="宋体"/>
          <w:color w:val="auto"/>
          <w:kern w:val="0"/>
          <w:sz w:val="28"/>
        </w:rPr>
      </w:pPr>
    </w:p>
    <w:p>
      <w:pPr>
        <w:autoSpaceDE w:val="0"/>
        <w:autoSpaceDN w:val="0"/>
        <w:adjustRightInd w:val="0"/>
        <w:spacing w:line="360" w:lineRule="auto"/>
        <w:rPr>
          <w:rFonts w:ascii="宋体"/>
          <w:color w:val="auto"/>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auto"/>
          <w:kern w:val="0"/>
          <w:sz w:val="28"/>
          <w:szCs w:val="28"/>
        </w:rPr>
      </w:pPr>
      <w:r>
        <w:rPr>
          <w:rFonts w:hint="eastAsia" w:ascii="宋体" w:hAnsi="宋体" w:cs="宋体"/>
          <w:color w:val="auto"/>
          <w:kern w:val="0"/>
          <w:sz w:val="28"/>
          <w:szCs w:val="28"/>
        </w:rPr>
        <w:t>台州市政府采购中心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color w:val="auto"/>
        </w:rPr>
      </w:pPr>
      <w:r>
        <w:rPr>
          <w:rFonts w:hint="eastAsia" w:ascii="宋体" w:hAnsi="宋体" w:cs="宋体"/>
          <w:color w:val="auto"/>
          <w:kern w:val="0"/>
          <w:sz w:val="28"/>
          <w:szCs w:val="28"/>
          <w:lang w:val="en-US" w:eastAsia="zh-CN"/>
        </w:rPr>
        <w:t xml:space="preserve">  </w:t>
      </w:r>
      <w:r>
        <w:rPr>
          <w:rFonts w:hint="eastAsia" w:ascii="宋体" w:hAnsi="宋体" w:cs="宋体"/>
          <w:color w:val="auto"/>
          <w:kern w:val="0"/>
          <w:sz w:val="28"/>
          <w:szCs w:val="28"/>
        </w:rPr>
        <w:t>年</w:t>
      </w:r>
      <w:r>
        <w:rPr>
          <w:rFonts w:hint="eastAsia" w:ascii="宋体" w:hAnsi="宋体" w:cs="宋体"/>
          <w:color w:val="auto"/>
          <w:kern w:val="0"/>
          <w:sz w:val="28"/>
          <w:szCs w:val="28"/>
          <w:lang w:val="en-US" w:eastAsia="zh-CN"/>
        </w:rPr>
        <w:t xml:space="preserve">  </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 xml:space="preserve">  </w:t>
      </w:r>
      <w:r>
        <w:rPr>
          <w:rFonts w:hint="eastAsia" w:ascii="宋体" w:hAnsi="宋体" w:cs="宋体"/>
          <w:color w:val="auto"/>
          <w:kern w:val="0"/>
          <w:sz w:val="28"/>
          <w:szCs w:val="28"/>
        </w:rPr>
        <w:t>日</w:t>
      </w:r>
    </w:p>
    <w:p>
      <w:pPr>
        <w:spacing w:line="360" w:lineRule="auto"/>
        <w:rPr>
          <w:color w:val="auto"/>
        </w:rPr>
      </w:pPr>
    </w:p>
    <w:p>
      <w:pPr>
        <w:pStyle w:val="27"/>
        <w:rPr>
          <w:color w:val="auto"/>
        </w:rPr>
      </w:pPr>
    </w:p>
    <w:p>
      <w:pPr>
        <w:spacing w:line="360" w:lineRule="auto"/>
        <w:rPr>
          <w:color w:val="auto"/>
        </w:rPr>
      </w:pPr>
    </w:p>
    <w:p>
      <w:pPr>
        <w:jc w:val="center"/>
        <w:rPr>
          <w:rFonts w:ascii="宋体" w:hAnsi="宋体" w:cs="Arial"/>
          <w:b/>
          <w:bCs/>
          <w:color w:val="auto"/>
          <w:sz w:val="36"/>
          <w:szCs w:val="36"/>
        </w:rPr>
      </w:pPr>
      <w:r>
        <w:rPr>
          <w:rFonts w:hint="eastAsia" w:ascii="宋体" w:hAnsi="宋体" w:cs="Arial"/>
          <w:b/>
          <w:bCs/>
          <w:color w:val="auto"/>
          <w:sz w:val="36"/>
          <w:szCs w:val="36"/>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color w:val="auto"/>
          <w:sz w:val="36"/>
        </w:rPr>
      </w:pPr>
    </w:p>
    <w:p>
      <w:pPr>
        <w:spacing w:line="360" w:lineRule="auto"/>
        <w:rPr>
          <w:rFonts w:ascii="新宋体" w:hAnsi="新宋体" w:eastAsia="新宋体"/>
          <w:color w:val="auto"/>
          <w:sz w:val="28"/>
          <w:szCs w:val="28"/>
        </w:rPr>
      </w:pPr>
    </w:p>
    <w:p>
      <w:pPr>
        <w:numPr>
          <w:ilvl w:val="0"/>
          <w:numId w:val="3"/>
        </w:num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公开招标采购公告</w:t>
      </w:r>
    </w:p>
    <w:p>
      <w:pPr>
        <w:numPr>
          <w:ilvl w:val="0"/>
          <w:numId w:val="3"/>
        </w:num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投标人须知</w:t>
      </w:r>
    </w:p>
    <w:p>
      <w:pPr>
        <w:numPr>
          <w:ilvl w:val="0"/>
          <w:numId w:val="3"/>
        </w:num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评标办法及评分标准</w:t>
      </w:r>
    </w:p>
    <w:p>
      <w:pPr>
        <w:numPr>
          <w:ilvl w:val="0"/>
          <w:numId w:val="3"/>
        </w:num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公开招标需求</w:t>
      </w:r>
    </w:p>
    <w:p>
      <w:pPr>
        <w:numPr>
          <w:ilvl w:val="0"/>
          <w:numId w:val="3"/>
        </w:num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政府采购合同主要条款指引</w:t>
      </w:r>
    </w:p>
    <w:p>
      <w:pPr>
        <w:numPr>
          <w:ilvl w:val="0"/>
          <w:numId w:val="3"/>
        </w:num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lang w:eastAsia="zh-CN"/>
        </w:rPr>
        <w:t>电子投标文件</w:t>
      </w:r>
      <w:r>
        <w:rPr>
          <w:rFonts w:hint="eastAsia" w:asciiTheme="minorEastAsia" w:hAnsiTheme="minorEastAsia" w:eastAsiaTheme="minorEastAsia"/>
          <w:b/>
          <w:color w:val="auto"/>
          <w:sz w:val="28"/>
          <w:szCs w:val="28"/>
        </w:rPr>
        <w:t>格式附件</w:t>
      </w: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numPr>
          <w:ilvl w:val="0"/>
          <w:numId w:val="4"/>
        </w:numPr>
        <w:tabs>
          <w:tab w:val="left" w:pos="180"/>
          <w:tab w:val="left" w:pos="360"/>
          <w:tab w:val="left" w:pos="540"/>
          <w:tab w:val="left" w:pos="8280"/>
        </w:tabs>
        <w:autoSpaceDE w:val="0"/>
        <w:autoSpaceDN w:val="0"/>
        <w:adjustRightInd w:val="0"/>
        <w:spacing w:line="360" w:lineRule="auto"/>
        <w:ind w:right="23"/>
        <w:jc w:val="center"/>
        <w:rPr>
          <w:rFonts w:hint="eastAsia" w:asciiTheme="majorEastAsia" w:hAnsiTheme="majorEastAsia" w:eastAsiaTheme="majorEastAsia"/>
          <w:b/>
          <w:color w:val="auto"/>
          <w:sz w:val="36"/>
          <w:szCs w:val="36"/>
        </w:rPr>
      </w:pPr>
      <w:r>
        <w:rPr>
          <w:rFonts w:hint="eastAsia" w:asciiTheme="majorEastAsia" w:hAnsiTheme="majorEastAsia" w:eastAsiaTheme="majorEastAsia"/>
          <w:b/>
          <w:color w:val="auto"/>
          <w:kern w:val="0"/>
          <w:sz w:val="36"/>
          <w:szCs w:val="36"/>
        </w:rPr>
        <w:t xml:space="preserve"> 公开</w:t>
      </w:r>
      <w:r>
        <w:rPr>
          <w:rFonts w:hint="eastAsia" w:asciiTheme="majorEastAsia" w:hAnsiTheme="majorEastAsia" w:eastAsiaTheme="majorEastAsia"/>
          <w:b/>
          <w:color w:val="auto"/>
          <w:sz w:val="36"/>
          <w:szCs w:val="36"/>
        </w:rPr>
        <w:t>招标采购公告</w:t>
      </w:r>
    </w:p>
    <w:p>
      <w:pPr>
        <w:pStyle w:val="2"/>
        <w:widowControl w:val="0"/>
        <w:numPr>
          <w:ilvl w:val="0"/>
          <w:numId w:val="0"/>
        </w:numPr>
        <w:jc w:val="both"/>
      </w:pPr>
    </w:p>
    <w:p>
      <w:pPr>
        <w:pStyle w:val="3"/>
        <w:numPr>
          <w:ilvl w:val="0"/>
          <w:numId w:val="0"/>
        </w:numPr>
        <w:tabs>
          <w:tab w:val="left" w:pos="0"/>
          <w:tab w:val="left" w:pos="3165"/>
          <w:tab w:val="center" w:pos="4153"/>
        </w:tabs>
        <w:autoSpaceDE w:val="0"/>
        <w:autoSpaceDN w:val="0"/>
        <w:adjustRightInd w:val="0"/>
        <w:spacing w:before="0" w:after="0" w:line="360" w:lineRule="auto"/>
        <w:ind w:left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项目概况</w:t>
      </w:r>
    </w:p>
    <w:p>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Theme="minorEastAsia" w:hAnsiTheme="minorEastAsia" w:eastAsiaTheme="minorEastAsia" w:cstheme="minorEastAsia"/>
          <w:sz w:val="28"/>
          <w:szCs w:val="28"/>
        </w:rPr>
      </w:pPr>
      <w:r>
        <w:rPr>
          <w:rFonts w:hint="eastAsia" w:cs="Arial" w:asciiTheme="minorEastAsia" w:hAnsiTheme="minorEastAsia" w:eastAsiaTheme="minorEastAsia"/>
          <w:color w:val="auto"/>
          <w:sz w:val="28"/>
          <w:szCs w:val="28"/>
          <w:lang w:eastAsia="zh-CN"/>
        </w:rPr>
        <w:t xml:space="preserve"> </w:t>
      </w:r>
      <w:r>
        <w:rPr>
          <w:rFonts w:hint="eastAsia" w:cs="Arial" w:asciiTheme="minorEastAsia" w:hAnsiTheme="minorEastAsia" w:eastAsiaTheme="minorEastAsia"/>
          <w:color w:val="auto"/>
          <w:sz w:val="28"/>
          <w:szCs w:val="28"/>
          <w:lang w:val="en-US" w:eastAsia="zh-CN"/>
        </w:rPr>
        <w:t>台州市公共安全综合保险</w:t>
      </w:r>
      <w:r>
        <w:rPr>
          <w:rFonts w:hint="eastAsia" w:cs="Arial" w:asciiTheme="minorEastAsia" w:hAnsiTheme="minorEastAsia" w:eastAsiaTheme="minorEastAsia"/>
          <w:color w:val="auto"/>
          <w:sz w:val="28"/>
          <w:szCs w:val="28"/>
          <w:lang w:eastAsia="zh-CN"/>
        </w:rPr>
        <w:t xml:space="preserve">项目的潜在投标人应在“浙江省政府采购网”（http:// www.zjzfcg.gov.cn）和“台州市公共资源交易中心”（ </w:t>
      </w:r>
      <w:r>
        <w:rPr>
          <w:rFonts w:hint="eastAsia" w:cs="Arial" w:asciiTheme="minorEastAsia" w:hAnsiTheme="minorEastAsia" w:eastAsiaTheme="minorEastAsia"/>
          <w:color w:val="auto"/>
          <w:sz w:val="28"/>
          <w:szCs w:val="28"/>
          <w:lang w:eastAsia="zh-CN"/>
        </w:rPr>
        <w:fldChar w:fldCharType="begin"/>
      </w:r>
      <w:r>
        <w:rPr>
          <w:rFonts w:hint="eastAsia" w:cs="Arial" w:asciiTheme="minorEastAsia" w:hAnsiTheme="minorEastAsia" w:eastAsiaTheme="minorEastAsia"/>
          <w:color w:val="auto"/>
          <w:sz w:val="28"/>
          <w:szCs w:val="28"/>
          <w:lang w:eastAsia="zh-CN"/>
        </w:rPr>
        <w:instrText xml:space="preserve"> HYPERLINK "http://www.xjztb.cn" </w:instrText>
      </w:r>
      <w:r>
        <w:rPr>
          <w:rFonts w:hint="eastAsia" w:cs="Arial" w:asciiTheme="minorEastAsia" w:hAnsiTheme="minorEastAsia" w:eastAsiaTheme="minorEastAsia"/>
          <w:color w:val="auto"/>
          <w:sz w:val="28"/>
          <w:szCs w:val="28"/>
          <w:lang w:eastAsia="zh-CN"/>
        </w:rPr>
        <w:fldChar w:fldCharType="separate"/>
      </w:r>
      <w:r>
        <w:rPr>
          <w:rFonts w:hint="eastAsia" w:cs="Arial" w:asciiTheme="minorEastAsia" w:hAnsiTheme="minorEastAsia" w:eastAsiaTheme="minorEastAsia"/>
          <w:color w:val="auto"/>
          <w:sz w:val="28"/>
          <w:szCs w:val="28"/>
          <w:lang w:eastAsia="zh-CN"/>
        </w:rPr>
        <w:t>http://www.tzztb.com</w:t>
      </w:r>
      <w:r>
        <w:rPr>
          <w:rFonts w:hint="eastAsia" w:cs="Arial" w:asciiTheme="minorEastAsia" w:hAnsiTheme="minorEastAsia" w:eastAsiaTheme="minorEastAsia"/>
          <w:color w:val="auto"/>
          <w:sz w:val="28"/>
          <w:szCs w:val="28"/>
          <w:lang w:eastAsia="zh-CN"/>
        </w:rPr>
        <w:fldChar w:fldCharType="end"/>
      </w:r>
      <w:r>
        <w:rPr>
          <w:rFonts w:hint="eastAsia" w:cs="Arial" w:asciiTheme="minorEastAsia" w:hAnsiTheme="minorEastAsia" w:eastAsiaTheme="minorEastAsia"/>
          <w:color w:val="auto"/>
          <w:sz w:val="28"/>
          <w:szCs w:val="28"/>
          <w:lang w:eastAsia="zh-CN"/>
        </w:rPr>
        <w:t>）获取招标文件，并于</w:t>
      </w:r>
      <w:r>
        <w:rPr>
          <w:rFonts w:hint="eastAsia" w:cs="Arial" w:asciiTheme="minorEastAsia" w:hAnsiTheme="minorEastAsia" w:eastAsiaTheme="minorEastAsia"/>
          <w:color w:val="auto"/>
          <w:sz w:val="28"/>
          <w:szCs w:val="28"/>
          <w:lang w:val="en-US" w:eastAsia="zh-CN"/>
        </w:rPr>
        <w:t>2021</w:t>
      </w:r>
      <w:r>
        <w:rPr>
          <w:rFonts w:hint="eastAsia" w:cs="Arial" w:asciiTheme="minorEastAsia" w:hAnsiTheme="minorEastAsia" w:eastAsiaTheme="minorEastAsia"/>
          <w:color w:val="auto"/>
          <w:sz w:val="28"/>
          <w:szCs w:val="28"/>
          <w:lang w:eastAsia="zh-CN"/>
        </w:rPr>
        <w:t>年</w:t>
      </w:r>
      <w:r>
        <w:rPr>
          <w:rFonts w:hint="eastAsia" w:cs="Arial" w:asciiTheme="minorEastAsia" w:hAnsiTheme="minorEastAsia" w:eastAsiaTheme="minorEastAsia"/>
          <w:color w:val="auto"/>
          <w:sz w:val="28"/>
          <w:szCs w:val="28"/>
          <w:lang w:val="en-US" w:eastAsia="zh-CN"/>
        </w:rPr>
        <w:t>9</w:t>
      </w:r>
      <w:r>
        <w:rPr>
          <w:rFonts w:hint="eastAsia" w:cs="Arial" w:asciiTheme="minorEastAsia" w:hAnsiTheme="minorEastAsia" w:eastAsiaTheme="minorEastAsia"/>
          <w:color w:val="auto"/>
          <w:sz w:val="28"/>
          <w:szCs w:val="28"/>
          <w:lang w:eastAsia="zh-CN"/>
        </w:rPr>
        <w:t>月</w:t>
      </w:r>
      <w:r>
        <w:rPr>
          <w:rFonts w:hint="eastAsia" w:cs="Arial" w:asciiTheme="minorEastAsia" w:hAnsiTheme="minorEastAsia" w:eastAsiaTheme="minorEastAsia"/>
          <w:color w:val="auto"/>
          <w:sz w:val="28"/>
          <w:szCs w:val="28"/>
          <w:lang w:val="en-US" w:eastAsia="zh-CN"/>
        </w:rPr>
        <w:t>3</w:t>
      </w:r>
      <w:r>
        <w:rPr>
          <w:rFonts w:hint="eastAsia" w:cs="Arial" w:asciiTheme="minorEastAsia" w:hAnsiTheme="minorEastAsia" w:eastAsiaTheme="minorEastAsia"/>
          <w:color w:val="auto"/>
          <w:sz w:val="28"/>
          <w:szCs w:val="28"/>
          <w:lang w:eastAsia="zh-CN"/>
        </w:rPr>
        <w:t>日</w:t>
      </w:r>
      <w:r>
        <w:rPr>
          <w:rFonts w:hint="eastAsia" w:cs="Arial" w:asciiTheme="minorEastAsia" w:hAnsiTheme="minorEastAsia" w:eastAsiaTheme="minorEastAsia"/>
          <w:color w:val="auto"/>
          <w:sz w:val="28"/>
          <w:szCs w:val="28"/>
          <w:lang w:val="en-US" w:eastAsia="zh-CN"/>
        </w:rPr>
        <w:t>09</w:t>
      </w:r>
      <w:r>
        <w:rPr>
          <w:rFonts w:hint="eastAsia" w:cs="Arial" w:asciiTheme="minorEastAsia" w:hAnsiTheme="minorEastAsia" w:eastAsiaTheme="minorEastAsia"/>
          <w:color w:val="auto"/>
          <w:sz w:val="28"/>
          <w:szCs w:val="28"/>
          <w:lang w:eastAsia="zh-CN"/>
        </w:rPr>
        <w:t>点</w:t>
      </w:r>
      <w:r>
        <w:rPr>
          <w:rFonts w:hint="eastAsia" w:cs="Arial" w:asciiTheme="minorEastAsia" w:hAnsiTheme="minorEastAsia" w:eastAsiaTheme="minorEastAsia"/>
          <w:color w:val="auto"/>
          <w:sz w:val="28"/>
          <w:szCs w:val="28"/>
          <w:lang w:val="en-US" w:eastAsia="zh-CN"/>
        </w:rPr>
        <w:t>00</w:t>
      </w:r>
      <w:r>
        <w:rPr>
          <w:rFonts w:hint="eastAsia" w:cs="Arial" w:asciiTheme="minorEastAsia" w:hAnsiTheme="minorEastAsia" w:eastAsiaTheme="minorEastAsia"/>
          <w:color w:val="auto"/>
          <w:sz w:val="28"/>
          <w:szCs w:val="28"/>
          <w:lang w:eastAsia="zh-CN"/>
        </w:rPr>
        <w:t>分（北京时间）前在浙江政府采购云平台递</w:t>
      </w:r>
      <w:r>
        <w:rPr>
          <w:rFonts w:hint="eastAsia"/>
          <w:sz w:val="28"/>
          <w:szCs w:val="28"/>
          <w:lang w:eastAsia="zh-CN"/>
        </w:rPr>
        <w:t>交电</w:t>
      </w:r>
      <w:r>
        <w:rPr>
          <w:rFonts w:hint="eastAsia" w:cs="Arial" w:asciiTheme="minorEastAsia" w:hAnsiTheme="minorEastAsia" w:eastAsiaTheme="minorEastAsia"/>
          <w:color w:val="auto"/>
          <w:sz w:val="28"/>
          <w:szCs w:val="28"/>
          <w:lang w:eastAsia="zh-CN"/>
        </w:rPr>
        <w:t>子投标文件。</w:t>
      </w:r>
    </w:p>
    <w:p>
      <w:pPr>
        <w:pStyle w:val="4"/>
        <w:spacing w:line="360" w:lineRule="auto"/>
        <w:rPr>
          <w:rFonts w:hint="eastAsia" w:asciiTheme="minorEastAsia" w:hAnsiTheme="minorEastAsia" w:eastAsiaTheme="minorEastAsia" w:cstheme="minorEastAsia"/>
          <w:b w:val="0"/>
          <w:sz w:val="28"/>
          <w:szCs w:val="28"/>
        </w:rPr>
      </w:pPr>
      <w:bookmarkStart w:id="0" w:name="_Toc35393790"/>
      <w:bookmarkStart w:id="1" w:name="_Toc28359002"/>
      <w:bookmarkStart w:id="2" w:name="_Toc35393621"/>
      <w:bookmarkStart w:id="3" w:name="_Toc28359079"/>
      <w:bookmarkStart w:id="4" w:name="_Hlk24379207"/>
    </w:p>
    <w:p>
      <w:pPr>
        <w:pStyle w:val="4"/>
        <w:spacing w:line="360" w:lineRule="auto"/>
        <w:rPr>
          <w:rFonts w:hint="eastAsia" w:asciiTheme="minorEastAsia" w:hAnsiTheme="minorEastAsia" w:eastAsiaTheme="minorEastAsia" w:cstheme="minorEastAsia"/>
          <w:b w:val="0"/>
          <w:sz w:val="28"/>
          <w:szCs w:val="28"/>
        </w:rPr>
      </w:pPr>
      <w:r>
        <w:rPr>
          <w:rFonts w:hint="eastAsia" w:asciiTheme="minorEastAsia" w:hAnsiTheme="minorEastAsia" w:eastAsiaTheme="minorEastAsia" w:cstheme="minorEastAsia"/>
          <w:b w:val="0"/>
          <w:sz w:val="28"/>
          <w:szCs w:val="28"/>
        </w:rPr>
        <w:t>一、项目基本情况</w:t>
      </w:r>
      <w:bookmarkEnd w:id="0"/>
      <w:bookmarkEnd w:id="1"/>
      <w:bookmarkEnd w:id="2"/>
      <w:bookmarkEnd w:id="3"/>
    </w:p>
    <w:p>
      <w:pPr>
        <w:spacing w:line="360" w:lineRule="auto"/>
        <w:ind w:firstLine="560" w:firstLineChars="200"/>
        <w:rPr>
          <w:rFonts w:hint="eastAsia" w:asciiTheme="minorEastAsia" w:hAnsiTheme="minorEastAsia" w:eastAsiaTheme="minorEastAsia" w:cstheme="minorEastAsia"/>
          <w:b w:val="0"/>
          <w:kern w:val="2"/>
          <w:sz w:val="28"/>
          <w:szCs w:val="28"/>
          <w:lang w:val="en-US" w:eastAsia="zh-CN" w:bidi="ar-SA"/>
        </w:rPr>
      </w:pPr>
      <w:r>
        <w:rPr>
          <w:rFonts w:hint="eastAsia" w:asciiTheme="minorEastAsia" w:hAnsiTheme="minorEastAsia" w:eastAsiaTheme="minorEastAsia" w:cstheme="minorEastAsia"/>
          <w:b w:val="0"/>
          <w:kern w:val="2"/>
          <w:sz w:val="28"/>
          <w:szCs w:val="28"/>
          <w:lang w:val="en-US" w:eastAsia="zh-CN" w:bidi="ar-SA"/>
        </w:rPr>
        <w:t>项目编号：TZCG-2021-</w:t>
      </w:r>
      <w:bookmarkStart w:id="53" w:name="_GoBack"/>
      <w:bookmarkEnd w:id="53"/>
      <w:r>
        <w:rPr>
          <w:rFonts w:hint="eastAsia" w:asciiTheme="minorEastAsia" w:hAnsiTheme="minorEastAsia" w:eastAsiaTheme="minorEastAsia" w:cstheme="minorEastAsia"/>
          <w:b w:val="0"/>
          <w:kern w:val="2"/>
          <w:sz w:val="28"/>
          <w:szCs w:val="28"/>
          <w:lang w:val="en-US" w:eastAsia="zh-CN" w:bidi="ar-SA"/>
        </w:rPr>
        <w:t>GK014号</w:t>
      </w:r>
    </w:p>
    <w:bookmarkEnd w:id="4"/>
    <w:p>
      <w:pPr>
        <w:spacing w:line="360" w:lineRule="auto"/>
        <w:ind w:firstLine="560" w:firstLineChars="200"/>
        <w:rPr>
          <w:rFonts w:hint="eastAsia" w:asciiTheme="minorEastAsia" w:hAnsiTheme="minorEastAsia" w:eastAsiaTheme="minorEastAsia" w:cstheme="minorEastAsia"/>
          <w:b w:val="0"/>
          <w:kern w:val="2"/>
          <w:sz w:val="28"/>
          <w:szCs w:val="28"/>
          <w:lang w:val="en-US" w:eastAsia="zh-CN" w:bidi="ar-SA"/>
        </w:rPr>
      </w:pPr>
      <w:r>
        <w:rPr>
          <w:rFonts w:hint="eastAsia" w:asciiTheme="minorEastAsia" w:hAnsiTheme="minorEastAsia" w:eastAsiaTheme="minorEastAsia" w:cstheme="minorEastAsia"/>
          <w:b w:val="0"/>
          <w:kern w:val="2"/>
          <w:sz w:val="28"/>
          <w:szCs w:val="28"/>
          <w:lang w:val="en-US" w:eastAsia="zh-CN" w:bidi="ar-SA"/>
        </w:rPr>
        <w:t>项目名称：台州市公共安全综合保险项目</w:t>
      </w:r>
    </w:p>
    <w:p>
      <w:pPr>
        <w:spacing w:line="360" w:lineRule="auto"/>
        <w:ind w:firstLine="560" w:firstLineChars="200"/>
        <w:rPr>
          <w:rFonts w:hint="eastAsia"/>
          <w:lang w:val="en-US" w:eastAsia="zh-CN"/>
        </w:rPr>
      </w:pPr>
      <w:r>
        <w:rPr>
          <w:rFonts w:hint="eastAsia" w:asciiTheme="minorEastAsia" w:hAnsiTheme="minorEastAsia" w:eastAsiaTheme="minorEastAsia" w:cstheme="minorEastAsia"/>
          <w:b w:val="0"/>
          <w:kern w:val="2"/>
          <w:sz w:val="28"/>
          <w:szCs w:val="28"/>
          <w:lang w:val="en-US" w:eastAsia="zh-CN" w:bidi="ar-SA"/>
        </w:rPr>
        <w:t>采购需求：</w:t>
      </w:r>
    </w:p>
    <w:tbl>
      <w:tblPr>
        <w:tblStyle w:val="21"/>
        <w:tblW w:w="90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2309"/>
        <w:gridCol w:w="1391"/>
        <w:gridCol w:w="1385"/>
        <w:gridCol w:w="980"/>
        <w:gridCol w:w="1148"/>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106" w:type="dxa"/>
            <w:tcMar>
              <w:left w:w="57" w:type="dxa"/>
              <w:right w:w="57" w:type="dxa"/>
            </w:tcMar>
            <w:vAlign w:val="center"/>
          </w:tcPr>
          <w:p>
            <w:pPr>
              <w:tabs>
                <w:tab w:val="left" w:pos="8280"/>
              </w:tabs>
              <w:autoSpaceDE w:val="0"/>
              <w:autoSpaceDN w:val="0"/>
              <w:adjustRightInd w:val="0"/>
              <w:spacing w:line="300" w:lineRule="exact"/>
              <w:ind w:right="23"/>
              <w:jc w:val="center"/>
              <w:rPr>
                <w:rFonts w:ascii="宋体" w:hAnsi="宋体"/>
                <w:b/>
                <w:color w:val="000000"/>
                <w:sz w:val="24"/>
              </w:rPr>
            </w:pPr>
            <w:r>
              <w:rPr>
                <w:rFonts w:hint="eastAsia" w:ascii="宋体" w:hAnsi="宋体"/>
                <w:b/>
                <w:color w:val="000000"/>
                <w:sz w:val="24"/>
              </w:rPr>
              <w:t>顶目名称</w:t>
            </w:r>
          </w:p>
        </w:tc>
        <w:tc>
          <w:tcPr>
            <w:tcW w:w="2309" w:type="dxa"/>
            <w:tcMar>
              <w:left w:w="57" w:type="dxa"/>
              <w:right w:w="57" w:type="dxa"/>
            </w:tcMar>
            <w:vAlign w:val="center"/>
          </w:tcPr>
          <w:p>
            <w:pPr>
              <w:tabs>
                <w:tab w:val="left" w:pos="8280"/>
              </w:tabs>
              <w:autoSpaceDE w:val="0"/>
              <w:autoSpaceDN w:val="0"/>
              <w:adjustRightInd w:val="0"/>
              <w:spacing w:line="300" w:lineRule="exact"/>
              <w:ind w:right="23" w:firstLine="120" w:firstLineChars="50"/>
              <w:jc w:val="center"/>
              <w:rPr>
                <w:rFonts w:ascii="宋体" w:hAnsi="宋体"/>
                <w:b/>
                <w:color w:val="000000"/>
                <w:sz w:val="24"/>
              </w:rPr>
            </w:pPr>
            <w:r>
              <w:rPr>
                <w:rFonts w:hint="eastAsia" w:ascii="宋体" w:hAnsi="宋体"/>
                <w:b/>
                <w:color w:val="000000"/>
                <w:sz w:val="24"/>
              </w:rPr>
              <w:t>服务内容</w:t>
            </w:r>
          </w:p>
        </w:tc>
        <w:tc>
          <w:tcPr>
            <w:tcW w:w="1391" w:type="dxa"/>
            <w:tcMar>
              <w:left w:w="57" w:type="dxa"/>
              <w:right w:w="57" w:type="dxa"/>
            </w:tcMar>
            <w:vAlign w:val="center"/>
          </w:tcPr>
          <w:p>
            <w:pPr>
              <w:tabs>
                <w:tab w:val="left" w:pos="8280"/>
              </w:tabs>
              <w:autoSpaceDE w:val="0"/>
              <w:autoSpaceDN w:val="0"/>
              <w:adjustRightInd w:val="0"/>
              <w:spacing w:line="300" w:lineRule="exact"/>
              <w:ind w:right="23"/>
              <w:jc w:val="center"/>
              <w:rPr>
                <w:rFonts w:ascii="宋体" w:hAnsi="宋体"/>
                <w:b/>
                <w:color w:val="000000"/>
                <w:sz w:val="24"/>
              </w:rPr>
            </w:pPr>
            <w:r>
              <w:rPr>
                <w:rFonts w:hint="eastAsia" w:ascii="宋体" w:hAnsi="宋体"/>
                <w:b/>
                <w:color w:val="000000"/>
                <w:sz w:val="24"/>
              </w:rPr>
              <w:t>当年参保</w:t>
            </w:r>
          </w:p>
          <w:p>
            <w:pPr>
              <w:tabs>
                <w:tab w:val="left" w:pos="8280"/>
              </w:tabs>
              <w:autoSpaceDE w:val="0"/>
              <w:autoSpaceDN w:val="0"/>
              <w:adjustRightInd w:val="0"/>
              <w:spacing w:line="300" w:lineRule="exact"/>
              <w:ind w:right="23"/>
              <w:jc w:val="center"/>
              <w:rPr>
                <w:rFonts w:ascii="宋体" w:hAnsi="宋体"/>
                <w:b/>
                <w:color w:val="000000"/>
                <w:sz w:val="24"/>
              </w:rPr>
            </w:pPr>
            <w:r>
              <w:rPr>
                <w:rFonts w:hint="eastAsia" w:ascii="宋体" w:hAnsi="宋体"/>
                <w:b/>
                <w:color w:val="000000"/>
                <w:sz w:val="24"/>
              </w:rPr>
              <w:t>人数</w:t>
            </w:r>
          </w:p>
        </w:tc>
        <w:tc>
          <w:tcPr>
            <w:tcW w:w="1385" w:type="dxa"/>
            <w:tcMar>
              <w:left w:w="57" w:type="dxa"/>
              <w:right w:w="57" w:type="dxa"/>
            </w:tcMar>
            <w:vAlign w:val="center"/>
          </w:tcPr>
          <w:p>
            <w:pPr>
              <w:tabs>
                <w:tab w:val="left" w:pos="8280"/>
              </w:tabs>
              <w:autoSpaceDE w:val="0"/>
              <w:autoSpaceDN w:val="0"/>
              <w:adjustRightInd w:val="0"/>
              <w:spacing w:line="300" w:lineRule="exact"/>
              <w:ind w:right="23"/>
              <w:jc w:val="center"/>
              <w:rPr>
                <w:rFonts w:ascii="宋体" w:hAnsi="宋体"/>
                <w:b/>
                <w:color w:val="000000"/>
                <w:sz w:val="24"/>
              </w:rPr>
            </w:pPr>
            <w:r>
              <w:rPr>
                <w:rFonts w:hint="eastAsia" w:ascii="宋体" w:hAnsi="宋体"/>
                <w:b/>
                <w:color w:val="000000"/>
                <w:sz w:val="24"/>
              </w:rPr>
              <w:t>人均保费</w:t>
            </w:r>
          </w:p>
          <w:p>
            <w:pPr>
              <w:tabs>
                <w:tab w:val="left" w:pos="8280"/>
              </w:tabs>
              <w:autoSpaceDE w:val="0"/>
              <w:autoSpaceDN w:val="0"/>
              <w:adjustRightInd w:val="0"/>
              <w:spacing w:line="300" w:lineRule="exact"/>
              <w:ind w:right="23"/>
              <w:jc w:val="center"/>
              <w:rPr>
                <w:rFonts w:ascii="宋体" w:hAnsi="宋体"/>
                <w:b/>
                <w:color w:val="000000"/>
                <w:sz w:val="24"/>
              </w:rPr>
            </w:pPr>
            <w:r>
              <w:rPr>
                <w:rFonts w:hint="eastAsia" w:ascii="宋体" w:hAnsi="宋体"/>
                <w:b/>
                <w:color w:val="000000"/>
                <w:sz w:val="24"/>
              </w:rPr>
              <w:t>限价</w:t>
            </w:r>
          </w:p>
        </w:tc>
        <w:tc>
          <w:tcPr>
            <w:tcW w:w="980" w:type="dxa"/>
            <w:tcMar>
              <w:left w:w="57" w:type="dxa"/>
              <w:right w:w="57" w:type="dxa"/>
            </w:tcMar>
            <w:vAlign w:val="center"/>
          </w:tcPr>
          <w:p>
            <w:pPr>
              <w:tabs>
                <w:tab w:val="left" w:pos="8280"/>
              </w:tabs>
              <w:autoSpaceDE w:val="0"/>
              <w:autoSpaceDN w:val="0"/>
              <w:adjustRightInd w:val="0"/>
              <w:spacing w:line="300" w:lineRule="exact"/>
              <w:ind w:right="23"/>
              <w:jc w:val="center"/>
              <w:rPr>
                <w:rFonts w:ascii="宋体" w:hAnsi="宋体"/>
                <w:b/>
                <w:color w:val="000000"/>
                <w:sz w:val="24"/>
              </w:rPr>
            </w:pPr>
            <w:r>
              <w:rPr>
                <w:rFonts w:hint="eastAsia" w:ascii="宋体" w:hAnsi="宋体"/>
                <w:b/>
                <w:color w:val="000000"/>
                <w:sz w:val="24"/>
                <w:lang w:val="en-US" w:eastAsia="zh-CN"/>
              </w:rPr>
              <w:t>预算</w:t>
            </w:r>
          </w:p>
        </w:tc>
        <w:tc>
          <w:tcPr>
            <w:tcW w:w="1148" w:type="dxa"/>
            <w:tcMar>
              <w:left w:w="57" w:type="dxa"/>
              <w:right w:w="57" w:type="dxa"/>
            </w:tcMar>
            <w:vAlign w:val="center"/>
          </w:tcPr>
          <w:p>
            <w:pPr>
              <w:tabs>
                <w:tab w:val="left" w:pos="8280"/>
              </w:tabs>
              <w:autoSpaceDE w:val="0"/>
              <w:autoSpaceDN w:val="0"/>
              <w:adjustRightInd w:val="0"/>
              <w:spacing w:line="300" w:lineRule="exact"/>
              <w:ind w:right="23"/>
              <w:jc w:val="center"/>
              <w:rPr>
                <w:rFonts w:ascii="宋体" w:hAnsi="宋体"/>
                <w:b/>
                <w:color w:val="000000"/>
                <w:sz w:val="24"/>
              </w:rPr>
            </w:pPr>
            <w:r>
              <w:rPr>
                <w:rFonts w:hint="eastAsia" w:ascii="宋体" w:hAnsi="宋体"/>
                <w:b/>
                <w:color w:val="000000"/>
                <w:sz w:val="24"/>
              </w:rPr>
              <w:t>服务期</w:t>
            </w:r>
          </w:p>
        </w:tc>
        <w:tc>
          <w:tcPr>
            <w:tcW w:w="686" w:type="dxa"/>
            <w:tcMar>
              <w:left w:w="57" w:type="dxa"/>
              <w:right w:w="57" w:type="dxa"/>
            </w:tcMar>
            <w:vAlign w:val="center"/>
          </w:tcPr>
          <w:p>
            <w:pPr>
              <w:tabs>
                <w:tab w:val="left" w:pos="8280"/>
              </w:tabs>
              <w:autoSpaceDE w:val="0"/>
              <w:autoSpaceDN w:val="0"/>
              <w:adjustRightInd w:val="0"/>
              <w:spacing w:line="300" w:lineRule="exact"/>
              <w:ind w:right="23"/>
              <w:jc w:val="center"/>
              <w:rPr>
                <w:rFonts w:ascii="宋体" w:hAnsi="宋体"/>
                <w:b/>
                <w:color w:val="000000"/>
                <w:sz w:val="24"/>
              </w:rPr>
            </w:pPr>
            <w:r>
              <w:rPr>
                <w:rFonts w:hint="eastAsia" w:ascii="宋体" w:hAnsi="宋体"/>
                <w:b/>
                <w:color w:val="000000"/>
                <w:sz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06" w:type="dxa"/>
            <w:tcMar>
              <w:left w:w="57" w:type="dxa"/>
              <w:right w:w="57" w:type="dxa"/>
            </w:tcMar>
            <w:vAlign w:val="center"/>
          </w:tcPr>
          <w:p>
            <w:pPr>
              <w:tabs>
                <w:tab w:val="left" w:pos="8280"/>
              </w:tabs>
              <w:autoSpaceDE w:val="0"/>
              <w:autoSpaceDN w:val="0"/>
              <w:adjustRightInd w:val="0"/>
              <w:ind w:right="25"/>
              <w:rPr>
                <w:rFonts w:ascii="宋体" w:hAnsi="宋体"/>
                <w:sz w:val="24"/>
              </w:rPr>
            </w:pPr>
            <w:r>
              <w:rPr>
                <w:rFonts w:hint="eastAsia" w:ascii="宋体" w:hAnsi="宋体"/>
                <w:sz w:val="24"/>
              </w:rPr>
              <w:t>台州市公共安全综合保险项目</w:t>
            </w:r>
          </w:p>
        </w:tc>
        <w:tc>
          <w:tcPr>
            <w:tcW w:w="2309" w:type="dxa"/>
            <w:tcMar>
              <w:left w:w="57" w:type="dxa"/>
              <w:right w:w="57" w:type="dxa"/>
            </w:tcMar>
            <w:vAlign w:val="center"/>
          </w:tcPr>
          <w:p>
            <w:pPr>
              <w:tabs>
                <w:tab w:val="left" w:pos="8280"/>
              </w:tabs>
              <w:autoSpaceDE w:val="0"/>
              <w:autoSpaceDN w:val="0"/>
              <w:adjustRightInd w:val="0"/>
              <w:ind w:right="25"/>
              <w:rPr>
                <w:rFonts w:ascii="宋体" w:hAnsi="宋体"/>
                <w:sz w:val="24"/>
              </w:rPr>
            </w:pPr>
            <w:r>
              <w:rPr>
                <w:rFonts w:ascii="宋体" w:hAnsi="宋体" w:cs="仿宋"/>
                <w:sz w:val="24"/>
                <w:lang w:val="zh-TW" w:eastAsia="zh-TW"/>
              </w:rPr>
              <w:t>台州市行政区域范围内的所有人员在台州市行政区域内，因</w:t>
            </w:r>
            <w:r>
              <w:rPr>
                <w:rFonts w:hint="eastAsia" w:ascii="宋体" w:hAnsi="宋体" w:cs="仿宋"/>
                <w:sz w:val="24"/>
                <w:lang w:val="zh-TW"/>
              </w:rPr>
              <w:t>火灾爆炸等保险责任</w:t>
            </w:r>
            <w:r>
              <w:rPr>
                <w:rFonts w:ascii="宋体" w:hAnsi="宋体" w:cs="仿宋"/>
                <w:sz w:val="24"/>
                <w:lang w:val="zh-TW" w:eastAsia="zh-TW"/>
              </w:rPr>
              <w:t>造成人身伤害，且无法明确责任主体或责任主体无力赔偿或需由政府救助（赔付）的，由保险公司按约定的</w:t>
            </w:r>
            <w:r>
              <w:rPr>
                <w:rFonts w:hint="eastAsia" w:ascii="宋体" w:hAnsi="宋体" w:cs="仿宋"/>
                <w:sz w:val="24"/>
                <w:lang w:val="zh-TW"/>
              </w:rPr>
              <w:t>保障标准</w:t>
            </w:r>
            <w:r>
              <w:rPr>
                <w:rFonts w:ascii="宋体" w:hAnsi="宋体" w:cs="仿宋"/>
                <w:sz w:val="24"/>
                <w:lang w:val="zh-TW" w:eastAsia="zh-TW"/>
              </w:rPr>
              <w:t>给予赔付</w:t>
            </w:r>
            <w:r>
              <w:rPr>
                <w:rFonts w:hint="eastAsia" w:ascii="宋体" w:hAnsi="宋体" w:cs="仿宋"/>
                <w:sz w:val="24"/>
                <w:lang w:val="zh-TW"/>
              </w:rPr>
              <w:t>。</w:t>
            </w:r>
          </w:p>
        </w:tc>
        <w:tc>
          <w:tcPr>
            <w:tcW w:w="1391" w:type="dxa"/>
            <w:tcMar>
              <w:left w:w="57" w:type="dxa"/>
              <w:right w:w="57" w:type="dxa"/>
            </w:tcMar>
            <w:vAlign w:val="center"/>
          </w:tcPr>
          <w:p>
            <w:pPr>
              <w:tabs>
                <w:tab w:val="left" w:pos="8280"/>
              </w:tabs>
              <w:autoSpaceDE w:val="0"/>
              <w:autoSpaceDN w:val="0"/>
              <w:adjustRightInd w:val="0"/>
              <w:ind w:right="25"/>
              <w:rPr>
                <w:rFonts w:ascii="宋体" w:hAnsi="宋体"/>
                <w:sz w:val="24"/>
              </w:rPr>
            </w:pPr>
            <w:r>
              <w:rPr>
                <w:rFonts w:ascii="宋体" w:hAnsi="宋体" w:cs="仿宋"/>
                <w:sz w:val="24"/>
              </w:rPr>
              <w:t>按台州市统计局</w:t>
            </w:r>
            <w:r>
              <w:rPr>
                <w:rFonts w:hint="eastAsia" w:ascii="宋体" w:hAnsi="宋体" w:cs="仿宋"/>
                <w:sz w:val="24"/>
              </w:rPr>
              <w:t>公布</w:t>
            </w:r>
            <w:r>
              <w:rPr>
                <w:rFonts w:ascii="宋体" w:hAnsi="宋体" w:cs="仿宋"/>
                <w:sz w:val="24"/>
              </w:rPr>
              <w:t>的上一年度全市</w:t>
            </w:r>
            <w:r>
              <w:rPr>
                <w:rFonts w:hint="eastAsia" w:ascii="宋体" w:hAnsi="宋体" w:cs="仿宋"/>
                <w:sz w:val="24"/>
              </w:rPr>
              <w:t>常住</w:t>
            </w:r>
            <w:r>
              <w:rPr>
                <w:rFonts w:ascii="宋体" w:hAnsi="宋体" w:cs="仿宋"/>
                <w:sz w:val="24"/>
              </w:rPr>
              <w:t>人口数量为基数</w:t>
            </w:r>
            <w:r>
              <w:rPr>
                <w:rFonts w:hint="eastAsia" w:ascii="宋体" w:hAnsi="宋体" w:cs="仿宋"/>
                <w:sz w:val="24"/>
              </w:rPr>
              <w:t>。</w:t>
            </w:r>
          </w:p>
        </w:tc>
        <w:tc>
          <w:tcPr>
            <w:tcW w:w="1385" w:type="dxa"/>
            <w:tcMar>
              <w:left w:w="57" w:type="dxa"/>
              <w:right w:w="57" w:type="dxa"/>
            </w:tcMar>
            <w:vAlign w:val="center"/>
          </w:tcPr>
          <w:p>
            <w:pPr>
              <w:tabs>
                <w:tab w:val="left" w:pos="8280"/>
              </w:tabs>
              <w:autoSpaceDE w:val="0"/>
              <w:autoSpaceDN w:val="0"/>
              <w:adjustRightInd w:val="0"/>
              <w:ind w:right="25"/>
              <w:jc w:val="center"/>
              <w:rPr>
                <w:rFonts w:ascii="宋体" w:hAnsi="宋体"/>
                <w:sz w:val="24"/>
              </w:rPr>
            </w:pPr>
            <w:r>
              <w:rPr>
                <w:rFonts w:hint="eastAsia" w:ascii="宋体" w:hAnsi="宋体"/>
                <w:sz w:val="24"/>
              </w:rPr>
              <w:t>2元/人/年</w:t>
            </w:r>
          </w:p>
        </w:tc>
        <w:tc>
          <w:tcPr>
            <w:tcW w:w="980" w:type="dxa"/>
            <w:tcMar>
              <w:left w:w="57" w:type="dxa"/>
              <w:right w:w="57" w:type="dxa"/>
            </w:tcMar>
            <w:vAlign w:val="center"/>
          </w:tcPr>
          <w:p>
            <w:pPr>
              <w:tabs>
                <w:tab w:val="left" w:pos="8280"/>
              </w:tabs>
              <w:autoSpaceDE w:val="0"/>
              <w:autoSpaceDN w:val="0"/>
              <w:adjustRightInd w:val="0"/>
              <w:ind w:right="25"/>
              <w:jc w:val="center"/>
              <w:rPr>
                <w:rFonts w:ascii="宋体" w:hAnsi="宋体"/>
                <w:sz w:val="24"/>
              </w:rPr>
            </w:pPr>
            <w:r>
              <w:rPr>
                <w:rFonts w:hint="eastAsia" w:ascii="宋体" w:hAnsi="宋体"/>
                <w:sz w:val="24"/>
              </w:rPr>
              <w:t>1325</w:t>
            </w:r>
          </w:p>
          <w:p>
            <w:pPr>
              <w:tabs>
                <w:tab w:val="left" w:pos="8280"/>
              </w:tabs>
              <w:autoSpaceDE w:val="0"/>
              <w:autoSpaceDN w:val="0"/>
              <w:adjustRightInd w:val="0"/>
              <w:ind w:right="25"/>
              <w:jc w:val="center"/>
              <w:rPr>
                <w:rFonts w:ascii="宋体" w:hAnsi="宋体"/>
                <w:sz w:val="24"/>
              </w:rPr>
            </w:pPr>
            <w:r>
              <w:rPr>
                <w:rFonts w:hint="eastAsia" w:ascii="宋体" w:hAnsi="宋体"/>
                <w:sz w:val="24"/>
              </w:rPr>
              <w:t>万元</w:t>
            </w:r>
          </w:p>
        </w:tc>
        <w:tc>
          <w:tcPr>
            <w:tcW w:w="1148" w:type="dxa"/>
            <w:tcMar>
              <w:left w:w="57" w:type="dxa"/>
              <w:right w:w="57" w:type="dxa"/>
            </w:tcMar>
            <w:vAlign w:val="center"/>
          </w:tcPr>
          <w:p>
            <w:pPr>
              <w:tabs>
                <w:tab w:val="left" w:pos="8280"/>
              </w:tabs>
              <w:autoSpaceDE w:val="0"/>
              <w:autoSpaceDN w:val="0"/>
              <w:adjustRightInd w:val="0"/>
              <w:ind w:right="25"/>
              <w:rPr>
                <w:rFonts w:ascii="宋体" w:hAnsi="宋体"/>
                <w:sz w:val="24"/>
              </w:rPr>
            </w:pPr>
            <w:r>
              <w:rPr>
                <w:rFonts w:hint="eastAsia" w:ascii="宋体" w:hAnsi="宋体"/>
                <w:sz w:val="24"/>
              </w:rPr>
              <w:t>一年，</w:t>
            </w:r>
            <w:r>
              <w:rPr>
                <w:rFonts w:hint="eastAsia" w:ascii="宋体" w:hAnsi="宋体" w:cs="宋体"/>
                <w:sz w:val="24"/>
              </w:rPr>
              <w:t>且本保单遗留索赔事件处理完成为止。</w:t>
            </w:r>
          </w:p>
        </w:tc>
        <w:tc>
          <w:tcPr>
            <w:tcW w:w="686" w:type="dxa"/>
            <w:tcMar>
              <w:left w:w="57" w:type="dxa"/>
              <w:right w:w="57" w:type="dxa"/>
            </w:tcMar>
            <w:vAlign w:val="center"/>
          </w:tcPr>
          <w:p>
            <w:pPr>
              <w:tabs>
                <w:tab w:val="left" w:pos="8280"/>
              </w:tabs>
              <w:autoSpaceDE w:val="0"/>
              <w:autoSpaceDN w:val="0"/>
              <w:adjustRightInd w:val="0"/>
              <w:ind w:right="25"/>
              <w:jc w:val="center"/>
              <w:rPr>
                <w:rFonts w:ascii="宋体" w:hAnsi="宋体"/>
                <w:sz w:val="24"/>
              </w:rPr>
            </w:pPr>
            <w:r>
              <w:rPr>
                <w:rFonts w:hint="eastAsia" w:ascii="宋体" w:hAnsi="宋体"/>
                <w:sz w:val="24"/>
              </w:rPr>
              <w:t>台州</w:t>
            </w:r>
          </w:p>
        </w:tc>
      </w:tr>
    </w:tbl>
    <w:p>
      <w:pPr>
        <w:pStyle w:val="4"/>
        <w:spacing w:line="360" w:lineRule="auto"/>
        <w:rPr>
          <w:rFonts w:hint="eastAsia" w:asciiTheme="minorEastAsia" w:hAnsiTheme="minorEastAsia" w:eastAsiaTheme="minorEastAsia" w:cstheme="minorEastAsia"/>
          <w:b w:val="0"/>
          <w:sz w:val="28"/>
          <w:szCs w:val="28"/>
        </w:rPr>
      </w:pPr>
      <w:bookmarkStart w:id="5" w:name="_Toc35393622"/>
      <w:bookmarkStart w:id="6" w:name="_Toc28359080"/>
      <w:bookmarkStart w:id="7" w:name="_Toc35393791"/>
      <w:bookmarkStart w:id="8" w:name="_Toc28359003"/>
      <w:r>
        <w:rPr>
          <w:rFonts w:hint="eastAsia" w:asciiTheme="minorEastAsia" w:hAnsiTheme="minorEastAsia" w:eastAsiaTheme="minorEastAsia" w:cstheme="minorEastAsia"/>
          <w:b w:val="0"/>
          <w:sz w:val="28"/>
          <w:szCs w:val="28"/>
        </w:rPr>
        <w:t>二、申请人的资格要求：</w:t>
      </w:r>
      <w:bookmarkEnd w:id="5"/>
      <w:bookmarkEnd w:id="6"/>
      <w:bookmarkEnd w:id="7"/>
      <w:bookmarkEnd w:id="8"/>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一</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满足《中华人民共和国政府采购法》第二十二条规定；</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60" w:lineRule="auto"/>
        <w:ind w:right="23" w:firstLine="560" w:firstLineChars="200"/>
        <w:jc w:val="left"/>
        <w:textAlignment w:val="auto"/>
        <w:outlineLvl w:val="9"/>
        <w:rPr>
          <w:rFonts w:hint="eastAsia" w:asciiTheme="minorEastAsia" w:hAnsiTheme="minorEastAsia" w:eastAsiaTheme="minorEastAsia" w:cstheme="minorEastAsia"/>
          <w:sz w:val="28"/>
          <w:szCs w:val="28"/>
        </w:rPr>
      </w:pPr>
      <w:bookmarkStart w:id="9" w:name="_Toc28359081"/>
      <w:bookmarkStart w:id="10" w:name="_Toc28359004"/>
      <w:r>
        <w:rPr>
          <w:rFonts w:hint="eastAsia" w:asciiTheme="minorEastAsia" w:hAnsiTheme="minorEastAsia" w:eastAsiaTheme="minorEastAsia" w:cstheme="minorEastAsia"/>
          <w:sz w:val="28"/>
          <w:szCs w:val="28"/>
          <w:lang w:val="en-US" w:eastAsia="zh-CN"/>
        </w:rPr>
        <w:t>（二）</w:t>
      </w:r>
      <w:r>
        <w:rPr>
          <w:rFonts w:hint="eastAsia" w:asciiTheme="minorEastAsia" w:hAnsiTheme="minorEastAsia" w:eastAsiaTheme="minorEastAsia" w:cstheme="minorEastAsia"/>
          <w:sz w:val="28"/>
          <w:szCs w:val="28"/>
        </w:rPr>
        <w:t>本项目的特定资格要求：</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60" w:lineRule="auto"/>
        <w:ind w:right="23" w:firstLine="560" w:firstLineChars="200"/>
        <w:jc w:val="left"/>
        <w:textAlignment w:val="auto"/>
        <w:outlineLvl w:val="9"/>
        <w:rPr>
          <w:rFonts w:hint="eastAsia" w:asciiTheme="minorEastAsia" w:hAnsiTheme="minorEastAsia" w:eastAsiaTheme="minorEastAsia" w:cstheme="minorEastAsia"/>
          <w:color w:val="FF0000"/>
          <w:sz w:val="28"/>
          <w:szCs w:val="28"/>
          <w:shd w:val="clear" w:color="auto" w:fill="auto"/>
        </w:rPr>
      </w:pPr>
      <w:r>
        <w:rPr>
          <w:rFonts w:hint="eastAsia" w:asciiTheme="minorEastAsia" w:hAnsiTheme="minorEastAsia" w:eastAsiaTheme="minorEastAsia" w:cstheme="minorEastAsia"/>
          <w:sz w:val="28"/>
          <w:szCs w:val="28"/>
          <w:shd w:val="clear" w:color="auto" w:fill="auto"/>
          <w:lang w:val="en-US" w:eastAsia="zh-CN"/>
        </w:rPr>
        <w:t>1.</w:t>
      </w:r>
      <w:r>
        <w:rPr>
          <w:rFonts w:hint="eastAsia" w:asciiTheme="minorEastAsia" w:hAnsiTheme="minorEastAsia" w:eastAsiaTheme="minorEastAsia" w:cstheme="minorEastAsia"/>
          <w:sz w:val="28"/>
          <w:szCs w:val="28"/>
          <w:shd w:val="clear" w:color="auto" w:fill="auto"/>
        </w:rPr>
        <w:t>投标人必须</w:t>
      </w:r>
      <w:r>
        <w:rPr>
          <w:rFonts w:hint="eastAsia" w:asciiTheme="minorEastAsia" w:hAnsiTheme="minorEastAsia" w:eastAsiaTheme="minorEastAsia" w:cstheme="minorEastAsia"/>
          <w:sz w:val="28"/>
          <w:szCs w:val="28"/>
          <w:shd w:val="clear" w:color="auto" w:fill="auto"/>
          <w:lang w:eastAsia="zh-CN"/>
        </w:rPr>
        <w:t>为</w:t>
      </w:r>
      <w:r>
        <w:rPr>
          <w:rFonts w:hint="eastAsia" w:asciiTheme="minorEastAsia" w:hAnsiTheme="minorEastAsia" w:eastAsiaTheme="minorEastAsia" w:cstheme="minorEastAsia"/>
          <w:sz w:val="28"/>
          <w:szCs w:val="28"/>
          <w:shd w:val="clear" w:color="auto" w:fill="auto"/>
        </w:rPr>
        <w:t>经</w:t>
      </w:r>
      <w:r>
        <w:rPr>
          <w:rFonts w:hint="eastAsia" w:asciiTheme="minorEastAsia" w:hAnsiTheme="minorEastAsia" w:eastAsiaTheme="minorEastAsia" w:cstheme="minorEastAsia"/>
          <w:sz w:val="28"/>
          <w:szCs w:val="28"/>
          <w:shd w:val="clear" w:color="auto" w:fill="auto"/>
          <w:lang w:val="en-US" w:eastAsia="zh-CN"/>
        </w:rPr>
        <w:t>省级</w:t>
      </w:r>
      <w:r>
        <w:rPr>
          <w:rFonts w:hint="eastAsia" w:asciiTheme="minorEastAsia" w:hAnsiTheme="minorEastAsia" w:eastAsiaTheme="minorEastAsia" w:cstheme="minorEastAsia"/>
          <w:sz w:val="28"/>
          <w:szCs w:val="28"/>
          <w:shd w:val="clear" w:color="auto" w:fill="auto"/>
          <w:lang w:eastAsia="zh-CN"/>
        </w:rPr>
        <w:t>（</w:t>
      </w:r>
      <w:r>
        <w:rPr>
          <w:rFonts w:hint="eastAsia" w:asciiTheme="minorEastAsia" w:hAnsiTheme="minorEastAsia" w:eastAsiaTheme="minorEastAsia" w:cstheme="minorEastAsia"/>
          <w:sz w:val="28"/>
          <w:szCs w:val="28"/>
          <w:shd w:val="clear" w:color="auto" w:fill="auto"/>
          <w:lang w:val="en-US" w:eastAsia="zh-CN"/>
        </w:rPr>
        <w:t>或省级以上</w:t>
      </w:r>
      <w:r>
        <w:rPr>
          <w:rFonts w:hint="eastAsia" w:asciiTheme="minorEastAsia" w:hAnsiTheme="minorEastAsia" w:eastAsiaTheme="minorEastAsia" w:cstheme="minorEastAsia"/>
          <w:sz w:val="28"/>
          <w:szCs w:val="28"/>
          <w:shd w:val="clear" w:color="auto" w:fill="auto"/>
          <w:lang w:eastAsia="zh-CN"/>
        </w:rPr>
        <w:t>）</w:t>
      </w:r>
      <w:r>
        <w:rPr>
          <w:rFonts w:hint="eastAsia" w:asciiTheme="minorEastAsia" w:hAnsiTheme="minorEastAsia" w:eastAsiaTheme="minorEastAsia" w:cstheme="minorEastAsia"/>
          <w:sz w:val="28"/>
          <w:szCs w:val="28"/>
          <w:shd w:val="clear" w:color="auto" w:fill="auto"/>
          <w:lang w:val="en-US" w:eastAsia="zh-CN"/>
        </w:rPr>
        <w:t>公司</w:t>
      </w:r>
      <w:r>
        <w:rPr>
          <w:rFonts w:hint="eastAsia" w:asciiTheme="minorEastAsia" w:hAnsiTheme="minorEastAsia" w:eastAsiaTheme="minorEastAsia" w:cstheme="minorEastAsia"/>
          <w:sz w:val="28"/>
          <w:szCs w:val="28"/>
          <w:shd w:val="clear" w:color="auto" w:fill="auto"/>
        </w:rPr>
        <w:t>授权具有独立投标能力</w:t>
      </w:r>
      <w:r>
        <w:rPr>
          <w:rFonts w:hint="eastAsia" w:asciiTheme="minorEastAsia" w:hAnsiTheme="minorEastAsia" w:eastAsiaTheme="minorEastAsia" w:cstheme="minorEastAsia"/>
          <w:sz w:val="28"/>
          <w:szCs w:val="28"/>
          <w:shd w:val="clear" w:color="auto" w:fill="auto"/>
          <w:lang w:eastAsia="zh-CN"/>
        </w:rPr>
        <w:t>且持有</w:t>
      </w:r>
      <w:r>
        <w:rPr>
          <w:rFonts w:hint="eastAsia" w:asciiTheme="minorEastAsia" w:hAnsiTheme="minorEastAsia" w:eastAsiaTheme="minorEastAsia" w:cstheme="minorEastAsia"/>
          <w:sz w:val="28"/>
          <w:szCs w:val="28"/>
          <w:shd w:val="clear" w:color="auto" w:fill="auto"/>
          <w:lang w:val="en-US" w:eastAsia="zh-CN"/>
        </w:rPr>
        <w:t>责任保险业务范围的</w:t>
      </w:r>
      <w:r>
        <w:rPr>
          <w:rFonts w:hint="eastAsia" w:asciiTheme="minorEastAsia" w:hAnsiTheme="minorEastAsia" w:eastAsiaTheme="minorEastAsia" w:cstheme="minorEastAsia"/>
          <w:sz w:val="28"/>
          <w:szCs w:val="28"/>
          <w:shd w:val="clear" w:color="auto" w:fill="auto"/>
          <w:lang w:eastAsia="zh-CN"/>
        </w:rPr>
        <w:t>经营保险业务许可证（中国保险监督管理委员会颁发）的</w:t>
      </w:r>
      <w:r>
        <w:rPr>
          <w:rFonts w:hint="eastAsia" w:asciiTheme="minorEastAsia" w:hAnsiTheme="minorEastAsia" w:eastAsiaTheme="minorEastAsia" w:cstheme="minorEastAsia"/>
          <w:sz w:val="28"/>
          <w:szCs w:val="28"/>
          <w:shd w:val="clear" w:color="auto" w:fill="auto"/>
        </w:rPr>
        <w:t>地市级分公司或中心支公司</w:t>
      </w:r>
      <w:r>
        <w:rPr>
          <w:rFonts w:hint="eastAsia" w:asciiTheme="minorEastAsia" w:hAnsiTheme="minorEastAsia" w:eastAsiaTheme="minorEastAsia" w:cstheme="minorEastAsia"/>
          <w:sz w:val="28"/>
          <w:szCs w:val="28"/>
          <w:shd w:val="clear" w:color="auto" w:fill="auto"/>
          <w:lang w:eastAsia="zh-CN"/>
        </w:rPr>
        <w:t>。</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auto" w:fill="auto"/>
          <w:lang w:val="en-US" w:eastAsia="zh-CN"/>
        </w:rPr>
        <w:t>2.</w:t>
      </w:r>
      <w:r>
        <w:rPr>
          <w:rFonts w:hint="eastAsia" w:asciiTheme="minorEastAsia" w:hAnsiTheme="minorEastAsia" w:eastAsiaTheme="minorEastAsia" w:cstheme="minorEastAsia"/>
          <w:sz w:val="28"/>
          <w:szCs w:val="28"/>
        </w:rPr>
        <w:t>本项目（</w:t>
      </w:r>
      <w:r>
        <w:rPr>
          <w:rFonts w:hint="eastAsia" w:asciiTheme="minorEastAsia" w:hAnsiTheme="minorEastAsia" w:eastAsiaTheme="minorEastAsia" w:cstheme="minorEastAsia"/>
          <w:i w:val="0"/>
          <w:iCs/>
          <w:sz w:val="28"/>
          <w:szCs w:val="28"/>
          <w:lang w:val="en-US" w:eastAsia="zh-CN"/>
        </w:rPr>
        <w:t>否</w:t>
      </w:r>
      <w:r>
        <w:rPr>
          <w:rFonts w:hint="eastAsia" w:asciiTheme="minorEastAsia" w:hAnsiTheme="minorEastAsia" w:eastAsiaTheme="minorEastAsia" w:cstheme="minorEastAsia"/>
          <w:sz w:val="28"/>
          <w:szCs w:val="28"/>
        </w:rPr>
        <w:t>）接受联合体投标。</w:t>
      </w:r>
    </w:p>
    <w:p>
      <w:pPr>
        <w:pStyle w:val="4"/>
        <w:spacing w:line="360" w:lineRule="auto"/>
        <w:rPr>
          <w:rFonts w:hint="eastAsia" w:asciiTheme="minorEastAsia" w:hAnsiTheme="minorEastAsia" w:eastAsiaTheme="minorEastAsia" w:cstheme="minorEastAsia"/>
          <w:b w:val="0"/>
          <w:sz w:val="28"/>
          <w:szCs w:val="28"/>
        </w:rPr>
      </w:pPr>
      <w:bookmarkStart w:id="11" w:name="_Toc35393792"/>
      <w:bookmarkStart w:id="12" w:name="_Toc35393623"/>
      <w:r>
        <w:rPr>
          <w:rFonts w:hint="eastAsia" w:asciiTheme="minorEastAsia" w:hAnsiTheme="minorEastAsia" w:eastAsiaTheme="minorEastAsia" w:cstheme="minorEastAsia"/>
          <w:b w:val="0"/>
          <w:sz w:val="28"/>
          <w:szCs w:val="28"/>
        </w:rPr>
        <w:t>三、获取招标文件</w:t>
      </w:r>
      <w:bookmarkEnd w:id="9"/>
      <w:bookmarkEnd w:id="10"/>
      <w:bookmarkEnd w:id="11"/>
      <w:bookmarkEnd w:id="12"/>
    </w:p>
    <w:p>
      <w:pPr>
        <w:spacing w:line="360" w:lineRule="auto"/>
        <w:ind w:firstLine="540"/>
        <w:rPr>
          <w:rFonts w:hint="eastAsia" w:asciiTheme="minorEastAsia" w:hAnsiTheme="minorEastAsia" w:eastAsiaTheme="minorEastAsia" w:cstheme="minorEastAsia"/>
          <w:i w:val="0"/>
          <w:iCs w:val="0"/>
          <w:sz w:val="28"/>
          <w:szCs w:val="28"/>
        </w:rPr>
      </w:pPr>
      <w:r>
        <w:rPr>
          <w:rFonts w:hint="eastAsia" w:asciiTheme="minorEastAsia" w:hAnsiTheme="minorEastAsia" w:eastAsiaTheme="minorEastAsia" w:cstheme="minorEastAsia"/>
          <w:i w:val="0"/>
          <w:iCs w:val="0"/>
          <w:sz w:val="28"/>
          <w:szCs w:val="28"/>
        </w:rPr>
        <w:t>时间：</w:t>
      </w:r>
      <w:r>
        <w:rPr>
          <w:rFonts w:hint="eastAsia" w:asciiTheme="minorEastAsia" w:hAnsiTheme="minorEastAsia" w:eastAsiaTheme="minorEastAsia" w:cstheme="minorEastAsia"/>
          <w:i w:val="0"/>
          <w:iCs w:val="0"/>
          <w:sz w:val="28"/>
          <w:szCs w:val="28"/>
          <w:u w:val="single"/>
          <w:lang w:val="en-US" w:eastAsia="zh-CN"/>
        </w:rPr>
        <w:t>2020</w:t>
      </w:r>
      <w:r>
        <w:rPr>
          <w:rFonts w:hint="eastAsia" w:asciiTheme="minorEastAsia" w:hAnsiTheme="minorEastAsia" w:eastAsiaTheme="minorEastAsia" w:cstheme="minorEastAsia"/>
          <w:i w:val="0"/>
          <w:iCs w:val="0"/>
          <w:sz w:val="28"/>
          <w:szCs w:val="28"/>
          <w:u w:val="single"/>
        </w:rPr>
        <w:t>年</w:t>
      </w:r>
      <w:r>
        <w:rPr>
          <w:rFonts w:hint="eastAsia" w:asciiTheme="minorEastAsia" w:hAnsiTheme="minorEastAsia" w:eastAsiaTheme="minorEastAsia" w:cstheme="minorEastAsia"/>
          <w:i w:val="0"/>
          <w:iCs w:val="0"/>
          <w:sz w:val="28"/>
          <w:szCs w:val="28"/>
          <w:u w:val="single"/>
          <w:lang w:val="en-US" w:eastAsia="zh-CN"/>
        </w:rPr>
        <w:t>08</w:t>
      </w:r>
      <w:r>
        <w:rPr>
          <w:rFonts w:hint="eastAsia" w:asciiTheme="minorEastAsia" w:hAnsiTheme="minorEastAsia" w:eastAsiaTheme="minorEastAsia" w:cstheme="minorEastAsia"/>
          <w:i w:val="0"/>
          <w:iCs w:val="0"/>
          <w:sz w:val="28"/>
          <w:szCs w:val="28"/>
          <w:u w:val="single"/>
        </w:rPr>
        <w:t>月</w:t>
      </w:r>
      <w:r>
        <w:rPr>
          <w:rFonts w:hint="eastAsia" w:asciiTheme="minorEastAsia" w:hAnsiTheme="minorEastAsia" w:eastAsiaTheme="minorEastAsia" w:cstheme="minorEastAsia"/>
          <w:i w:val="0"/>
          <w:iCs w:val="0"/>
          <w:sz w:val="28"/>
          <w:szCs w:val="28"/>
          <w:u w:val="single"/>
          <w:lang w:val="en-US" w:eastAsia="zh-CN"/>
        </w:rPr>
        <w:t>16</w:t>
      </w:r>
      <w:r>
        <w:rPr>
          <w:rFonts w:hint="eastAsia" w:asciiTheme="minorEastAsia" w:hAnsiTheme="minorEastAsia" w:eastAsiaTheme="minorEastAsia" w:cstheme="minorEastAsia"/>
          <w:i w:val="0"/>
          <w:iCs w:val="0"/>
          <w:sz w:val="28"/>
          <w:szCs w:val="28"/>
          <w:u w:val="single"/>
        </w:rPr>
        <w:t>日</w:t>
      </w:r>
      <w:r>
        <w:rPr>
          <w:rFonts w:hint="eastAsia" w:asciiTheme="minorEastAsia" w:hAnsiTheme="minorEastAsia" w:eastAsiaTheme="minorEastAsia" w:cstheme="minorEastAsia"/>
          <w:i w:val="0"/>
          <w:iCs w:val="0"/>
          <w:sz w:val="28"/>
          <w:szCs w:val="28"/>
        </w:rPr>
        <w:t>至</w:t>
      </w:r>
      <w:r>
        <w:rPr>
          <w:rFonts w:hint="eastAsia" w:asciiTheme="minorEastAsia" w:hAnsiTheme="minorEastAsia" w:eastAsiaTheme="minorEastAsia" w:cstheme="minorEastAsia"/>
          <w:i w:val="0"/>
          <w:iCs w:val="0"/>
          <w:sz w:val="28"/>
          <w:szCs w:val="28"/>
          <w:u w:val="single"/>
          <w:lang w:val="en-US" w:eastAsia="zh-CN"/>
        </w:rPr>
        <w:t>2020</w:t>
      </w:r>
      <w:r>
        <w:rPr>
          <w:rFonts w:hint="eastAsia" w:asciiTheme="minorEastAsia" w:hAnsiTheme="minorEastAsia" w:eastAsiaTheme="minorEastAsia" w:cstheme="minorEastAsia"/>
          <w:i w:val="0"/>
          <w:iCs w:val="0"/>
          <w:sz w:val="28"/>
          <w:szCs w:val="28"/>
          <w:u w:val="single"/>
        </w:rPr>
        <w:t>年</w:t>
      </w:r>
      <w:r>
        <w:rPr>
          <w:rFonts w:hint="eastAsia" w:asciiTheme="minorEastAsia" w:hAnsiTheme="minorEastAsia" w:eastAsiaTheme="minorEastAsia" w:cstheme="minorEastAsia"/>
          <w:i w:val="0"/>
          <w:iCs w:val="0"/>
          <w:sz w:val="28"/>
          <w:szCs w:val="28"/>
          <w:u w:val="single"/>
          <w:lang w:val="en-US" w:eastAsia="zh-CN"/>
        </w:rPr>
        <w:t>08</w:t>
      </w:r>
      <w:r>
        <w:rPr>
          <w:rFonts w:hint="eastAsia" w:asciiTheme="minorEastAsia" w:hAnsiTheme="minorEastAsia" w:eastAsiaTheme="minorEastAsia" w:cstheme="minorEastAsia"/>
          <w:i w:val="0"/>
          <w:iCs w:val="0"/>
          <w:sz w:val="28"/>
          <w:szCs w:val="28"/>
          <w:u w:val="single"/>
        </w:rPr>
        <w:t>月</w:t>
      </w:r>
      <w:r>
        <w:rPr>
          <w:rFonts w:hint="eastAsia" w:asciiTheme="minorEastAsia" w:hAnsiTheme="minorEastAsia" w:eastAsiaTheme="minorEastAsia" w:cstheme="minorEastAsia"/>
          <w:i w:val="0"/>
          <w:iCs w:val="0"/>
          <w:sz w:val="28"/>
          <w:szCs w:val="28"/>
          <w:u w:val="single"/>
          <w:lang w:val="en-US" w:eastAsia="zh-CN"/>
        </w:rPr>
        <w:t>20</w:t>
      </w:r>
      <w:r>
        <w:rPr>
          <w:rFonts w:hint="eastAsia" w:asciiTheme="minorEastAsia" w:hAnsiTheme="minorEastAsia" w:eastAsiaTheme="minorEastAsia" w:cstheme="minorEastAsia"/>
          <w:i w:val="0"/>
          <w:iCs w:val="0"/>
          <w:sz w:val="28"/>
          <w:szCs w:val="28"/>
          <w:u w:val="single"/>
        </w:rPr>
        <w:t>日</w:t>
      </w:r>
    </w:p>
    <w:p>
      <w:pPr>
        <w:snapToGrid w:val="0"/>
        <w:spacing w:line="360" w:lineRule="auto"/>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sz w:val="28"/>
          <w:szCs w:val="28"/>
        </w:rPr>
        <w:t>方式：</w:t>
      </w:r>
      <w:r>
        <w:rPr>
          <w:rFonts w:hint="eastAsia" w:asciiTheme="minorEastAsia" w:hAnsiTheme="minorEastAsia" w:eastAsiaTheme="minorEastAsia" w:cstheme="minorEastAsia"/>
          <w:color w:val="auto"/>
          <w:sz w:val="28"/>
          <w:szCs w:val="28"/>
          <w:lang w:eastAsia="zh-CN"/>
        </w:rPr>
        <w:t>投标人在浙江政府采购云平台（</w:t>
      </w:r>
      <w:r>
        <w:rPr>
          <w:rStyle w:val="25"/>
          <w:rFonts w:hint="eastAsia" w:asciiTheme="minorEastAsia" w:hAnsiTheme="minorEastAsia" w:eastAsiaTheme="minorEastAsia" w:cstheme="minorEastAsia"/>
          <w:bCs/>
          <w:color w:val="auto"/>
          <w:sz w:val="28"/>
          <w:szCs w:val="28"/>
        </w:rPr>
        <w:t>http://www.zcygov.cn</w:t>
      </w:r>
      <w:r>
        <w:rPr>
          <w:rStyle w:val="25"/>
          <w:rFonts w:hint="eastAsia" w:asciiTheme="minorEastAsia" w:hAnsiTheme="minorEastAsia" w:eastAsiaTheme="minorEastAsia" w:cstheme="minorEastAsia"/>
          <w:bCs/>
          <w:color w:val="auto"/>
          <w:sz w:val="28"/>
          <w:szCs w:val="28"/>
          <w:lang w:eastAsia="zh-CN"/>
        </w:rPr>
        <w:t>）</w:t>
      </w:r>
      <w:r>
        <w:rPr>
          <w:rFonts w:hint="eastAsia" w:asciiTheme="minorEastAsia" w:hAnsiTheme="minorEastAsia" w:eastAsiaTheme="minorEastAsia" w:cstheme="minorEastAsia"/>
          <w:color w:val="auto"/>
          <w:sz w:val="28"/>
          <w:szCs w:val="28"/>
          <w:lang w:eastAsia="zh-CN"/>
        </w:rPr>
        <w:t>进行网上报名后可</w:t>
      </w:r>
      <w:r>
        <w:rPr>
          <w:rFonts w:hint="eastAsia" w:asciiTheme="minorEastAsia" w:hAnsiTheme="minorEastAsia" w:eastAsiaTheme="minorEastAsia" w:cstheme="minorEastAsia"/>
          <w:color w:val="auto"/>
          <w:sz w:val="28"/>
          <w:szCs w:val="28"/>
        </w:rPr>
        <w:t>免费下载</w:t>
      </w:r>
      <w:r>
        <w:rPr>
          <w:rFonts w:hint="eastAsia" w:asciiTheme="minorEastAsia" w:hAnsiTheme="minorEastAsia" w:eastAsiaTheme="minorEastAsia" w:cstheme="minorEastAsia"/>
          <w:color w:val="auto"/>
          <w:sz w:val="28"/>
          <w:szCs w:val="28"/>
          <w:lang w:eastAsia="zh-CN"/>
        </w:rPr>
        <w:t>。</w:t>
      </w:r>
    </w:p>
    <w:p>
      <w:pPr>
        <w:pStyle w:val="4"/>
        <w:spacing w:line="360" w:lineRule="auto"/>
        <w:rPr>
          <w:rFonts w:hint="eastAsia" w:asciiTheme="minorEastAsia" w:hAnsiTheme="minorEastAsia" w:eastAsiaTheme="minorEastAsia" w:cstheme="minorEastAsia"/>
          <w:b w:val="0"/>
          <w:sz w:val="28"/>
          <w:szCs w:val="28"/>
        </w:rPr>
      </w:pPr>
      <w:bookmarkStart w:id="13" w:name="_Toc28359005"/>
      <w:bookmarkStart w:id="14" w:name="_Toc28359082"/>
      <w:bookmarkStart w:id="15" w:name="_Toc35393793"/>
      <w:bookmarkStart w:id="16" w:name="_Toc35393624"/>
      <w:r>
        <w:rPr>
          <w:rFonts w:hint="eastAsia" w:asciiTheme="minorEastAsia" w:hAnsiTheme="minorEastAsia" w:eastAsiaTheme="minorEastAsia" w:cstheme="minorEastAsia"/>
          <w:b w:val="0"/>
          <w:sz w:val="28"/>
          <w:szCs w:val="28"/>
        </w:rPr>
        <w:t>四、提交投标文件</w:t>
      </w:r>
      <w:bookmarkEnd w:id="13"/>
      <w:bookmarkEnd w:id="14"/>
      <w:r>
        <w:rPr>
          <w:rFonts w:hint="eastAsia" w:asciiTheme="minorEastAsia" w:hAnsiTheme="minorEastAsia" w:eastAsiaTheme="minorEastAsia" w:cstheme="minorEastAsia"/>
          <w:b w:val="0"/>
          <w:sz w:val="28"/>
          <w:szCs w:val="28"/>
        </w:rPr>
        <w:t>截止时间、开标时间和地点</w:t>
      </w:r>
      <w:bookmarkEnd w:id="15"/>
      <w:bookmarkEnd w:id="16"/>
    </w:p>
    <w:p>
      <w:pPr>
        <w:spacing w:line="360" w:lineRule="auto"/>
        <w:ind w:firstLine="560" w:firstLineChars="200"/>
        <w:rPr>
          <w:rFonts w:hint="eastAsia" w:asciiTheme="minorEastAsia" w:hAnsiTheme="minorEastAsia" w:eastAsiaTheme="minorEastAsia" w:cstheme="minorEastAsia"/>
          <w:i w:val="0"/>
          <w:iCs/>
          <w:sz w:val="28"/>
          <w:szCs w:val="28"/>
          <w:u w:val="single"/>
        </w:rPr>
      </w:pP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u w:val="single"/>
          <w:lang w:val="en-US" w:eastAsia="zh-CN"/>
        </w:rPr>
        <w:t>2020</w:t>
      </w:r>
      <w:r>
        <w:rPr>
          <w:rFonts w:hint="eastAsia" w:asciiTheme="minorEastAsia" w:hAnsiTheme="minorEastAsia" w:eastAsiaTheme="minorEastAsia" w:cstheme="minorEastAsia"/>
          <w:bCs/>
          <w:sz w:val="28"/>
          <w:szCs w:val="28"/>
          <w:u w:val="single"/>
        </w:rPr>
        <w:t>年</w:t>
      </w:r>
      <w:r>
        <w:rPr>
          <w:rFonts w:hint="eastAsia" w:asciiTheme="minorEastAsia" w:hAnsiTheme="minorEastAsia" w:eastAsiaTheme="minorEastAsia" w:cstheme="minorEastAsia"/>
          <w:bCs/>
          <w:sz w:val="28"/>
          <w:szCs w:val="28"/>
          <w:u w:val="single"/>
          <w:lang w:val="en-US" w:eastAsia="zh-CN"/>
        </w:rPr>
        <w:t>09</w:t>
      </w:r>
      <w:r>
        <w:rPr>
          <w:rFonts w:hint="eastAsia" w:asciiTheme="minorEastAsia" w:hAnsiTheme="minorEastAsia" w:eastAsiaTheme="minorEastAsia" w:cstheme="minorEastAsia"/>
          <w:bCs/>
          <w:sz w:val="28"/>
          <w:szCs w:val="28"/>
          <w:u w:val="single"/>
        </w:rPr>
        <w:t>月</w:t>
      </w:r>
      <w:r>
        <w:rPr>
          <w:rFonts w:hint="eastAsia" w:asciiTheme="minorEastAsia" w:hAnsiTheme="minorEastAsia" w:eastAsiaTheme="minorEastAsia" w:cstheme="minorEastAsia"/>
          <w:bCs/>
          <w:sz w:val="28"/>
          <w:szCs w:val="28"/>
          <w:u w:val="single"/>
          <w:lang w:val="en-US" w:eastAsia="zh-CN"/>
        </w:rPr>
        <w:t>03</w:t>
      </w:r>
      <w:r>
        <w:rPr>
          <w:rFonts w:hint="eastAsia" w:asciiTheme="minorEastAsia" w:hAnsiTheme="minorEastAsia" w:eastAsiaTheme="minorEastAsia" w:cstheme="minorEastAsia"/>
          <w:bCs/>
          <w:sz w:val="28"/>
          <w:szCs w:val="28"/>
          <w:u w:val="single"/>
        </w:rPr>
        <w:t>日</w:t>
      </w:r>
      <w:r>
        <w:rPr>
          <w:rFonts w:hint="eastAsia" w:asciiTheme="minorEastAsia" w:hAnsiTheme="minorEastAsia" w:eastAsiaTheme="minorEastAsia" w:cstheme="minorEastAsia"/>
          <w:bCs/>
          <w:sz w:val="28"/>
          <w:szCs w:val="28"/>
          <w:u w:val="single"/>
          <w:lang w:val="en-US" w:eastAsia="zh-CN"/>
        </w:rPr>
        <w:t>9</w:t>
      </w:r>
      <w:r>
        <w:rPr>
          <w:rFonts w:hint="eastAsia" w:asciiTheme="minorEastAsia" w:hAnsiTheme="minorEastAsia" w:eastAsiaTheme="minorEastAsia" w:cstheme="minorEastAsia"/>
          <w:bCs/>
          <w:sz w:val="28"/>
          <w:szCs w:val="28"/>
          <w:u w:val="single"/>
        </w:rPr>
        <w:t>点</w:t>
      </w:r>
      <w:r>
        <w:rPr>
          <w:rFonts w:hint="eastAsia" w:asciiTheme="minorEastAsia" w:hAnsiTheme="minorEastAsia" w:eastAsiaTheme="minorEastAsia" w:cstheme="minorEastAsia"/>
          <w:bCs/>
          <w:sz w:val="28"/>
          <w:szCs w:val="28"/>
          <w:u w:val="single"/>
          <w:lang w:eastAsia="zh-CN"/>
        </w:rPr>
        <w:t>整</w:t>
      </w:r>
      <w:r>
        <w:rPr>
          <w:rFonts w:hint="eastAsia" w:asciiTheme="minorEastAsia" w:hAnsiTheme="minorEastAsia" w:eastAsiaTheme="minorEastAsia" w:cstheme="minorEastAsia"/>
          <w:bCs/>
          <w:sz w:val="28"/>
          <w:szCs w:val="28"/>
        </w:rPr>
        <w:t>（北京时间）</w:t>
      </w:r>
    </w:p>
    <w:p>
      <w:pPr>
        <w:pStyle w:val="2"/>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投标网址：浙江政府采购云平台（</w:t>
      </w:r>
      <w:r>
        <w:rPr>
          <w:rFonts w:hint="eastAsia" w:asciiTheme="minorEastAsia" w:hAnsiTheme="minorEastAsia" w:eastAsiaTheme="minorEastAsia" w:cstheme="minorEastAsia"/>
          <w:color w:val="auto"/>
          <w:kern w:val="2"/>
          <w:sz w:val="28"/>
          <w:szCs w:val="28"/>
          <w:lang w:val="en-US" w:eastAsia="zh-CN" w:bidi="ar-SA"/>
        </w:rPr>
        <w:drawing>
          <wp:inline distT="0" distB="0" distL="114300" distR="114300">
            <wp:extent cx="190500" cy="142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tretch>
                      <a:fillRect/>
                    </a:stretch>
                  </pic:blipFill>
                  <pic:spPr>
                    <a:xfrm>
                      <a:off x="0" y="0"/>
                      <a:ext cx="190500" cy="142875"/>
                    </a:xfrm>
                    <a:prstGeom prst="rect">
                      <a:avLst/>
                    </a:prstGeom>
                    <a:noFill/>
                    <a:ln w="9525">
                      <a:noFill/>
                    </a:ln>
                  </pic:spPr>
                </pic:pic>
              </a:graphicData>
            </a:graphic>
          </wp:inline>
        </w:drawing>
      </w:r>
      <w:r>
        <w:rPr>
          <w:rFonts w:hint="eastAsia" w:asciiTheme="minorEastAsia" w:hAnsiTheme="minorEastAsia" w:eastAsiaTheme="minorEastAsia" w:cstheme="minorEastAsia"/>
          <w:color w:val="auto"/>
          <w:kern w:val="2"/>
          <w:sz w:val="28"/>
          <w:szCs w:val="28"/>
          <w:lang w:val="en-US" w:eastAsia="zh-CN" w:bidi="ar-SA"/>
        </w:rPr>
        <w:t>http://www.zcygov.cn）。</w:t>
      </w:r>
      <w:r>
        <w:rPr>
          <w:rFonts w:hint="eastAsia" w:asciiTheme="minorEastAsia" w:hAnsiTheme="minorEastAsia" w:eastAsiaTheme="minorEastAsia" w:cstheme="minorEastAsia"/>
          <w:color w:val="auto"/>
          <w:kern w:val="2"/>
          <w:sz w:val="28"/>
          <w:szCs w:val="28"/>
          <w:lang w:val="en-US" w:eastAsia="zh-CN" w:bidi="ar-SA"/>
        </w:rPr>
        <w:br w:type="textWrapping"/>
      </w:r>
      <w:r>
        <w:rPr>
          <w:rFonts w:hint="eastAsia" w:asciiTheme="minorEastAsia" w:hAnsiTheme="minorEastAsia" w:eastAsiaTheme="minorEastAsia" w:cstheme="minorEastAsia"/>
          <w:color w:val="auto"/>
          <w:kern w:val="2"/>
          <w:sz w:val="28"/>
          <w:szCs w:val="28"/>
          <w:lang w:val="en-US" w:eastAsia="zh-CN" w:bidi="ar-SA"/>
        </w:rPr>
        <w:t>本项目只接受电子投标文件，具体操作要求见前附表。请在开标当日09:00至09:30完成电子投标文件解密。</w:t>
      </w:r>
    </w:p>
    <w:p>
      <w:pPr>
        <w:pStyle w:val="4"/>
        <w:spacing w:line="360" w:lineRule="auto"/>
        <w:rPr>
          <w:rFonts w:hint="eastAsia" w:asciiTheme="minorEastAsia" w:hAnsiTheme="minorEastAsia" w:eastAsiaTheme="minorEastAsia" w:cstheme="minorEastAsia"/>
          <w:b w:val="0"/>
          <w:sz w:val="28"/>
          <w:szCs w:val="28"/>
        </w:rPr>
      </w:pPr>
      <w:bookmarkStart w:id="17" w:name="_Toc35393794"/>
      <w:bookmarkStart w:id="18" w:name="_Toc35393625"/>
      <w:bookmarkStart w:id="19" w:name="_Toc28359007"/>
      <w:bookmarkStart w:id="20" w:name="_Toc28359084"/>
      <w:r>
        <w:rPr>
          <w:rFonts w:hint="eastAsia" w:asciiTheme="minorEastAsia" w:hAnsiTheme="minorEastAsia" w:eastAsiaTheme="minorEastAsia" w:cstheme="minorEastAsia"/>
          <w:b w:val="0"/>
          <w:sz w:val="28"/>
          <w:szCs w:val="28"/>
        </w:rPr>
        <w:t>五、公告期限</w:t>
      </w:r>
      <w:bookmarkEnd w:id="17"/>
      <w:bookmarkEnd w:id="18"/>
      <w:bookmarkEnd w:id="19"/>
      <w:bookmarkEnd w:id="20"/>
    </w:p>
    <w:p>
      <w:pPr>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自本公告发布之日起5个工作日。</w:t>
      </w:r>
    </w:p>
    <w:p>
      <w:pPr>
        <w:pStyle w:val="4"/>
        <w:numPr>
          <w:ilvl w:val="0"/>
          <w:numId w:val="0"/>
        </w:numPr>
        <w:spacing w:line="360" w:lineRule="auto"/>
        <w:ind w:right="25" w:rightChars="0"/>
        <w:rPr>
          <w:rFonts w:hint="eastAsia" w:asciiTheme="minorEastAsia" w:hAnsiTheme="minorEastAsia" w:eastAsiaTheme="minorEastAsia" w:cstheme="minorEastAsia"/>
          <w:b w:val="0"/>
          <w:sz w:val="28"/>
          <w:szCs w:val="28"/>
        </w:rPr>
      </w:pPr>
      <w:bookmarkStart w:id="21" w:name="_Toc35393626"/>
      <w:bookmarkStart w:id="22" w:name="_Toc35393795"/>
      <w:r>
        <w:rPr>
          <w:rFonts w:hint="eastAsia" w:asciiTheme="minorEastAsia" w:hAnsiTheme="minorEastAsia" w:eastAsiaTheme="minorEastAsia" w:cstheme="minorEastAsia"/>
          <w:b w:val="0"/>
          <w:sz w:val="28"/>
          <w:szCs w:val="28"/>
          <w:lang w:eastAsia="zh-CN"/>
        </w:rPr>
        <w:t>六、</w:t>
      </w:r>
      <w:r>
        <w:rPr>
          <w:rFonts w:hint="eastAsia" w:asciiTheme="minorEastAsia" w:hAnsiTheme="minorEastAsia" w:eastAsiaTheme="minorEastAsia" w:cstheme="minorEastAsia"/>
          <w:b w:val="0"/>
          <w:sz w:val="28"/>
          <w:szCs w:val="28"/>
        </w:rPr>
        <w:t>其他补充事宜</w:t>
      </w:r>
      <w:bookmarkEnd w:id="21"/>
      <w:bookmarkEnd w:id="22"/>
    </w:p>
    <w:p>
      <w:pPr>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1、供应商认为采购文件使自己的权益受到损害的，可以自收到采购文件之日（获取截止日之后收到采购文件的，以获取截止日为准）起7个工作日内且应当在采购</w:t>
      </w:r>
      <w:r>
        <w:rPr>
          <w:rFonts w:hint="eastAsia" w:asciiTheme="minorEastAsia" w:hAnsiTheme="minorEastAsia" w:eastAsiaTheme="minorEastAsia" w:cstheme="minorEastAsia"/>
          <w:color w:val="auto"/>
          <w:sz w:val="28"/>
          <w:szCs w:val="28"/>
          <w:lang w:eastAsia="zh-CN"/>
        </w:rPr>
        <w:t>投标</w:t>
      </w:r>
      <w:r>
        <w:rPr>
          <w:rFonts w:hint="eastAsia" w:asciiTheme="minorEastAsia" w:hAnsiTheme="minorEastAsia" w:eastAsiaTheme="minorEastAsia" w:cstheme="minorEastAsia"/>
          <w:color w:val="auto"/>
          <w:sz w:val="28"/>
          <w:szCs w:val="28"/>
        </w:rPr>
        <w:t>截止时间之前，以书面形式一次性向采购人和集中</w:t>
      </w:r>
      <w:r>
        <w:rPr>
          <w:rFonts w:hint="eastAsia" w:asciiTheme="minorEastAsia" w:hAnsiTheme="minorEastAsia" w:eastAsiaTheme="minorEastAsia" w:cstheme="minorEastAsia"/>
          <w:color w:val="auto"/>
          <w:sz w:val="28"/>
          <w:szCs w:val="28"/>
          <w:lang w:eastAsia="zh-CN"/>
        </w:rPr>
        <w:t>采购</w:t>
      </w:r>
      <w:r>
        <w:rPr>
          <w:rFonts w:hint="eastAsia" w:asciiTheme="minorEastAsia" w:hAnsiTheme="minorEastAsia" w:eastAsiaTheme="minorEastAsia" w:cstheme="minorEastAsia"/>
          <w:color w:val="auto"/>
          <w:sz w:val="28"/>
          <w:szCs w:val="28"/>
        </w:rPr>
        <w:t>机构提出同一环节的质疑。否则，被质疑人可不予接受。质疑供应商对采购人、集中</w:t>
      </w:r>
      <w:r>
        <w:rPr>
          <w:rFonts w:hint="eastAsia" w:asciiTheme="minorEastAsia" w:hAnsiTheme="minorEastAsia" w:eastAsiaTheme="minorEastAsia" w:cstheme="minorEastAsia"/>
          <w:color w:val="auto"/>
          <w:sz w:val="28"/>
          <w:szCs w:val="28"/>
          <w:lang w:eastAsia="zh-CN"/>
        </w:rPr>
        <w:t>采购</w:t>
      </w:r>
      <w:r>
        <w:rPr>
          <w:rFonts w:hint="eastAsia" w:asciiTheme="minorEastAsia" w:hAnsiTheme="minorEastAsia" w:eastAsiaTheme="minorEastAsia" w:cstheme="minorEastAsia"/>
          <w:color w:val="auto"/>
          <w:sz w:val="28"/>
          <w:szCs w:val="28"/>
        </w:rPr>
        <w:t>机构的答复不满意或者采购人、集中</w:t>
      </w:r>
      <w:r>
        <w:rPr>
          <w:rFonts w:hint="eastAsia" w:asciiTheme="minorEastAsia" w:hAnsiTheme="minorEastAsia" w:eastAsiaTheme="minorEastAsia" w:cstheme="minorEastAsia"/>
          <w:color w:val="auto"/>
          <w:sz w:val="28"/>
          <w:szCs w:val="28"/>
          <w:lang w:eastAsia="zh-CN"/>
        </w:rPr>
        <w:t>采购</w:t>
      </w:r>
      <w:r>
        <w:rPr>
          <w:rFonts w:hint="eastAsia" w:asciiTheme="minorEastAsia" w:hAnsiTheme="minorEastAsia" w:eastAsiaTheme="minorEastAsia" w:cstheme="minorEastAsia"/>
          <w:color w:val="auto"/>
          <w:sz w:val="28"/>
          <w:szCs w:val="28"/>
        </w:rPr>
        <w:t>机构未在规定的时间内作出答复的，可以在答复期满后十五个工作日内向同级政府采购监督管理部门投诉。</w:t>
      </w:r>
    </w:p>
    <w:p>
      <w:pPr>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2、根据《浙江省政府采购供应商注册及诚信管理暂行办法》浙财采监【2009】28号文件，请各投标供应商及时办理浙江政府采购网“政府采购供应商注册”手续。</w:t>
      </w:r>
    </w:p>
    <w:p>
      <w:pPr>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rPr>
        <w:t>3、参与政府采购项目的注册供应商，需登录浙江省政府采购网（</w:t>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"http://www.tzztb.com/tzcms/zfcg.jhtml"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http://www.zjzfcg.gov.cn</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t>）进行网上报名；尚未注册的供应商应当先在浙江政府采购网上申请注册，注册后再进行网上报名。</w:t>
      </w:r>
    </w:p>
    <w:p>
      <w:pPr>
        <w:pStyle w:val="4"/>
        <w:spacing w:line="360" w:lineRule="auto"/>
        <w:rPr>
          <w:rFonts w:hint="eastAsia" w:asciiTheme="minorEastAsia" w:hAnsiTheme="minorEastAsia" w:eastAsiaTheme="minorEastAsia" w:cstheme="minorEastAsia"/>
          <w:b w:val="0"/>
          <w:sz w:val="28"/>
          <w:szCs w:val="28"/>
        </w:rPr>
      </w:pPr>
      <w:bookmarkStart w:id="23" w:name="_Toc35393627"/>
      <w:bookmarkStart w:id="24" w:name="_Toc28359085"/>
      <w:bookmarkStart w:id="25" w:name="_Toc35393796"/>
      <w:bookmarkStart w:id="26" w:name="_Toc28359008"/>
      <w:r>
        <w:rPr>
          <w:rFonts w:hint="eastAsia" w:asciiTheme="minorEastAsia" w:hAnsiTheme="minorEastAsia" w:eastAsiaTheme="minorEastAsia" w:cstheme="minorEastAsia"/>
          <w:b w:val="0"/>
          <w:sz w:val="28"/>
          <w:szCs w:val="28"/>
        </w:rPr>
        <w:t>七、对本次招标提出询问，请按以下方式联系。</w:t>
      </w:r>
      <w:bookmarkEnd w:id="23"/>
      <w:bookmarkEnd w:id="24"/>
      <w:bookmarkEnd w:id="25"/>
      <w:bookmarkEnd w:id="26"/>
    </w:p>
    <w:p>
      <w:pPr>
        <w:snapToGrid w:val="0"/>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28"/>
          <w:szCs w:val="28"/>
        </w:rPr>
        <w:t>　1.采购人</w:t>
      </w:r>
      <w:r>
        <w:rPr>
          <w:rFonts w:hint="eastAsia" w:asciiTheme="minorEastAsia" w:hAnsiTheme="minorEastAsia" w:eastAsiaTheme="minorEastAsia" w:cstheme="minorEastAsia"/>
          <w:b/>
          <w:bCs/>
          <w:color w:val="auto"/>
          <w:sz w:val="28"/>
          <w:szCs w:val="28"/>
        </w:rPr>
        <w:t>（受理</w:t>
      </w:r>
      <w:r>
        <w:rPr>
          <w:rFonts w:hint="eastAsia" w:asciiTheme="minorEastAsia" w:hAnsiTheme="minorEastAsia" w:eastAsiaTheme="minorEastAsia" w:cstheme="minorEastAsia"/>
          <w:b/>
          <w:bCs/>
          <w:color w:val="auto"/>
          <w:sz w:val="28"/>
          <w:szCs w:val="28"/>
          <w:lang w:eastAsia="zh-CN"/>
        </w:rPr>
        <w:t>采购</w:t>
      </w:r>
      <w:r>
        <w:rPr>
          <w:rFonts w:hint="eastAsia" w:asciiTheme="minorEastAsia" w:hAnsiTheme="minorEastAsia" w:eastAsiaTheme="minorEastAsia" w:cstheme="minorEastAsia"/>
          <w:b/>
          <w:bCs/>
          <w:color w:val="auto"/>
          <w:sz w:val="28"/>
          <w:szCs w:val="28"/>
        </w:rPr>
        <w:t xml:space="preserve">文件相关质疑及答复） </w:t>
      </w:r>
    </w:p>
    <w:p>
      <w:pPr>
        <w:spacing w:line="360" w:lineRule="auto"/>
        <w:ind w:left="1129" w:leftChars="371" w:hanging="350" w:hangingChars="125"/>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名称：</w:t>
      </w:r>
      <w:r>
        <w:rPr>
          <w:rFonts w:hint="eastAsia" w:asciiTheme="minorEastAsia" w:hAnsiTheme="minorEastAsia" w:eastAsiaTheme="minorEastAsia" w:cstheme="minorEastAsia"/>
          <w:sz w:val="28"/>
          <w:szCs w:val="28"/>
          <w:u w:val="single"/>
          <w:lang w:val="en-US" w:eastAsia="zh-CN"/>
        </w:rPr>
        <w:t>中共台州市委政法委员会</w:t>
      </w:r>
    </w:p>
    <w:p>
      <w:pPr>
        <w:spacing w:line="360" w:lineRule="auto"/>
        <w:ind w:left="1129" w:leftChars="371" w:hanging="350" w:hangingChars="125"/>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w:t>
      </w:r>
      <w:r>
        <w:rPr>
          <w:rFonts w:hint="eastAsia" w:asciiTheme="minorEastAsia" w:hAnsiTheme="minorEastAsia" w:eastAsiaTheme="minorEastAsia" w:cstheme="minorEastAsia"/>
          <w:sz w:val="28"/>
          <w:szCs w:val="28"/>
          <w:u w:val="single"/>
          <w:lang w:val="en-US" w:eastAsia="zh-CN"/>
        </w:rPr>
        <w:t>椒江区白云山南路233号</w:t>
      </w:r>
    </w:p>
    <w:p>
      <w:pPr>
        <w:spacing w:line="360" w:lineRule="auto"/>
        <w:ind w:left="1129" w:leftChars="371" w:hanging="350" w:hangingChars="125"/>
        <w:jc w:val="left"/>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联系</w:t>
      </w:r>
      <w:r>
        <w:rPr>
          <w:rFonts w:hint="eastAsia" w:asciiTheme="minorEastAsia" w:hAnsiTheme="minorEastAsia" w:eastAsiaTheme="minorEastAsia" w:cstheme="minorEastAsia"/>
          <w:sz w:val="28"/>
          <w:szCs w:val="28"/>
          <w:lang w:eastAsia="zh-CN"/>
        </w:rPr>
        <w:t>人</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u w:val="single"/>
          <w:lang w:val="en-US" w:eastAsia="zh-CN"/>
        </w:rPr>
        <w:t>何老师</w:t>
      </w:r>
      <w:r>
        <w:rPr>
          <w:rFonts w:hint="eastAsia" w:asciiTheme="minorEastAsia" w:hAnsiTheme="minorEastAsia" w:eastAsiaTheme="minorEastAsia" w:cstheme="minorEastAsia"/>
          <w:sz w:val="28"/>
          <w:szCs w:val="28"/>
          <w:u w:val="single"/>
        </w:rPr>
        <w:t xml:space="preserve">　　　　　　　　　　 </w:t>
      </w:r>
      <w:bookmarkStart w:id="27" w:name="_Toc28359009"/>
      <w:bookmarkStart w:id="28" w:name="_Toc28359086"/>
    </w:p>
    <w:p>
      <w:pPr>
        <w:spacing w:line="360" w:lineRule="auto"/>
        <w:ind w:left="1129" w:leftChars="371" w:hanging="350" w:hangingChars="125"/>
        <w:jc w:val="left"/>
        <w:rPr>
          <w:rFonts w:hint="eastAsia"/>
        </w:rPr>
      </w:pPr>
      <w:r>
        <w:rPr>
          <w:rFonts w:hint="eastAsia" w:asciiTheme="minorEastAsia" w:hAnsiTheme="minorEastAsia" w:eastAsiaTheme="minorEastAsia" w:cstheme="minorEastAsia"/>
          <w:sz w:val="28"/>
          <w:szCs w:val="28"/>
        </w:rPr>
        <w:t>联系</w:t>
      </w:r>
      <w:r>
        <w:rPr>
          <w:rFonts w:hint="eastAsia" w:asciiTheme="minorEastAsia" w:hAnsiTheme="minorEastAsia" w:eastAsiaTheme="minorEastAsia" w:cstheme="minorEastAsia"/>
          <w:sz w:val="28"/>
          <w:szCs w:val="28"/>
          <w:lang w:eastAsia="zh-CN"/>
        </w:rPr>
        <w:t>电话</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u w:val="single"/>
          <w:lang w:val="en-US" w:eastAsia="zh-CN"/>
        </w:rPr>
        <w:t>0576-88510534/13566667780</w:t>
      </w:r>
    </w:p>
    <w:p>
      <w:pPr>
        <w:spacing w:line="360" w:lineRule="auto"/>
        <w:ind w:firstLine="840" w:firstLineChars="300"/>
        <w:rPr>
          <w:rFonts w:hint="eastAsia" w:asciiTheme="minorEastAsia" w:hAnsiTheme="minorEastAsia" w:eastAsiaTheme="minorEastAsia" w:cstheme="minorEastAsia"/>
          <w:b/>
          <w:color w:val="auto"/>
          <w:sz w:val="28"/>
          <w:szCs w:val="28"/>
          <w:lang w:val="en-US" w:eastAsia="zh-CN"/>
        </w:rPr>
      </w:pPr>
      <w:r>
        <w:rPr>
          <w:rFonts w:hint="eastAsia" w:asciiTheme="minorEastAsia" w:hAnsiTheme="minorEastAsia" w:eastAsiaTheme="minorEastAsia" w:cstheme="minorEastAsia"/>
          <w:sz w:val="28"/>
          <w:szCs w:val="28"/>
        </w:rPr>
        <w:t>2.</w:t>
      </w:r>
      <w:bookmarkEnd w:id="27"/>
      <w:bookmarkEnd w:id="28"/>
      <w:r>
        <w:rPr>
          <w:rFonts w:hint="eastAsia" w:asciiTheme="minorEastAsia" w:hAnsiTheme="minorEastAsia" w:eastAsiaTheme="minorEastAsia" w:cstheme="minorEastAsia"/>
          <w:b/>
          <w:color w:val="auto"/>
          <w:sz w:val="28"/>
          <w:szCs w:val="28"/>
        </w:rPr>
        <w:t>集中采购机构</w:t>
      </w:r>
    </w:p>
    <w:p>
      <w:pPr>
        <w:spacing w:line="360" w:lineRule="auto"/>
        <w:ind w:firstLine="840" w:firstLineChars="3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名 称：</w:t>
      </w:r>
      <w:r>
        <w:rPr>
          <w:rFonts w:hint="eastAsia" w:asciiTheme="minorEastAsia" w:hAnsiTheme="minorEastAsia" w:eastAsiaTheme="minorEastAsia" w:cstheme="minorEastAsia"/>
          <w:sz w:val="28"/>
          <w:szCs w:val="28"/>
          <w:u w:val="single"/>
          <w:lang w:val="en-US" w:eastAsia="zh-CN"/>
        </w:rPr>
        <w:t>台州市政府采购中心</w:t>
      </w:r>
    </w:p>
    <w:p>
      <w:pPr>
        <w:spacing w:line="360" w:lineRule="auto"/>
        <w:ind w:firstLine="840" w:firstLineChars="3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地　址：</w:t>
      </w:r>
      <w:r>
        <w:rPr>
          <w:rFonts w:hint="eastAsia" w:asciiTheme="minorEastAsia" w:hAnsiTheme="minorEastAsia" w:eastAsiaTheme="minorEastAsia" w:cstheme="minorEastAsia"/>
          <w:sz w:val="28"/>
          <w:szCs w:val="28"/>
          <w:u w:val="single"/>
          <w:lang w:val="en-US" w:eastAsia="zh-CN"/>
        </w:rPr>
        <w:t>台州市椒江区市府大道777号</w:t>
      </w:r>
    </w:p>
    <w:p>
      <w:pPr>
        <w:spacing w:line="360" w:lineRule="auto"/>
        <w:ind w:firstLine="840" w:firstLineChars="30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项目联系人：</w:t>
      </w:r>
      <w:bookmarkStart w:id="29" w:name="_Toc28359087"/>
      <w:bookmarkStart w:id="30" w:name="_Toc28359010"/>
      <w:r>
        <w:rPr>
          <w:rFonts w:hint="eastAsia" w:asciiTheme="minorEastAsia" w:hAnsiTheme="minorEastAsia" w:eastAsiaTheme="minorEastAsia" w:cstheme="minorEastAsia"/>
          <w:sz w:val="28"/>
          <w:szCs w:val="28"/>
          <w:u w:val="single"/>
          <w:lang w:val="en-US" w:eastAsia="zh-CN"/>
        </w:rPr>
        <w:t>陶先生</w:t>
      </w:r>
      <w:r>
        <w:rPr>
          <w:rFonts w:hint="eastAsia" w:asciiTheme="minorEastAsia" w:hAnsiTheme="minorEastAsia" w:eastAsiaTheme="minorEastAsia" w:cstheme="minorEastAsia"/>
          <w:sz w:val="28"/>
          <w:szCs w:val="28"/>
          <w:u w:val="single"/>
        </w:rPr>
        <w:t>　　　　　　　　</w:t>
      </w:r>
    </w:p>
    <w:p>
      <w:pPr>
        <w:spacing w:line="360" w:lineRule="auto"/>
        <w:ind w:firstLine="840" w:firstLineChars="30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联系</w:t>
      </w:r>
      <w:r>
        <w:rPr>
          <w:rFonts w:hint="eastAsia" w:asciiTheme="minorEastAsia" w:hAnsiTheme="minorEastAsia" w:eastAsiaTheme="minorEastAsia" w:cstheme="minorEastAsia"/>
          <w:sz w:val="28"/>
          <w:szCs w:val="28"/>
          <w:lang w:eastAsia="zh-CN"/>
        </w:rPr>
        <w:t>电话</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u w:val="single"/>
          <w:lang w:val="en-US" w:eastAsia="zh-CN"/>
        </w:rPr>
        <w:t>0576-88685172</w:t>
      </w:r>
      <w:r>
        <w:rPr>
          <w:rFonts w:hint="eastAsia" w:asciiTheme="minorEastAsia" w:hAnsiTheme="minorEastAsia" w:eastAsiaTheme="minorEastAsia" w:cstheme="minorEastAsia"/>
          <w:sz w:val="28"/>
          <w:szCs w:val="28"/>
          <w:u w:val="single"/>
        </w:rPr>
        <w:t>　　　　　　</w:t>
      </w:r>
    </w:p>
    <w:p>
      <w:pPr>
        <w:spacing w:line="360" w:lineRule="auto"/>
        <w:ind w:left="1678" w:leftChars="399" w:hanging="840" w:hangingChars="3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窗口联系人：</w:t>
      </w:r>
      <w:r>
        <w:rPr>
          <w:rFonts w:hint="eastAsia" w:asciiTheme="minorEastAsia" w:hAnsiTheme="minorEastAsia" w:eastAsiaTheme="minorEastAsia" w:cstheme="minorEastAsia"/>
          <w:sz w:val="28"/>
          <w:szCs w:val="28"/>
          <w:lang w:eastAsia="zh-CN"/>
        </w:rPr>
        <w:t>候女士</w:t>
      </w:r>
      <w:r>
        <w:rPr>
          <w:rFonts w:hint="eastAsia" w:asciiTheme="minorEastAsia" w:hAnsiTheme="minorEastAsia" w:eastAsiaTheme="minorEastAsia" w:cstheme="minorEastAsia"/>
          <w:sz w:val="28"/>
          <w:szCs w:val="28"/>
        </w:rPr>
        <w:t>（受理供应商注册、中标结果相关质疑及答复）</w:t>
      </w:r>
    </w:p>
    <w:p>
      <w:pPr>
        <w:spacing w:line="360" w:lineRule="auto"/>
        <w:ind w:firstLine="840" w:firstLineChars="3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联系电话：</w:t>
      </w:r>
      <w:r>
        <w:rPr>
          <w:rFonts w:hint="eastAsia" w:asciiTheme="minorEastAsia" w:hAnsiTheme="minorEastAsia" w:eastAsiaTheme="minorEastAsia" w:cstheme="minorEastAsia"/>
          <w:sz w:val="28"/>
          <w:szCs w:val="28"/>
          <w:lang w:val="en-US" w:eastAsia="zh-CN"/>
        </w:rPr>
        <w:t>0576-88685121</w:t>
      </w:r>
      <w:r>
        <w:rPr>
          <w:rFonts w:hint="eastAsia" w:asciiTheme="minorEastAsia" w:hAnsiTheme="minorEastAsia" w:eastAsiaTheme="minorEastAsia" w:cstheme="minorEastAsia"/>
          <w:sz w:val="28"/>
          <w:szCs w:val="28"/>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auto"/>
          <w:spacing w:val="0"/>
          <w:sz w:val="28"/>
          <w:szCs w:val="28"/>
          <w:shd w:val="clear" w:fill="FFFFFF"/>
          <w:lang w:val="en-US" w:eastAsia="zh-CN"/>
        </w:rPr>
        <w:t>台州市政府采购中心</w:t>
      </w:r>
      <w:r>
        <w:rPr>
          <w:rFonts w:hint="eastAsia" w:asciiTheme="minorEastAsia" w:hAnsiTheme="minorEastAsia" w:eastAsiaTheme="minorEastAsia" w:cstheme="minorEastAsia"/>
          <w:color w:val="auto"/>
          <w:kern w:val="0"/>
          <w:sz w:val="28"/>
          <w:szCs w:val="28"/>
        </w:rPr>
        <w:t xml:space="preserve"> </w:t>
      </w:r>
    </w:p>
    <w:p>
      <w:pPr>
        <w:widowControl/>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kern w:val="0"/>
          <w:sz w:val="28"/>
          <w:szCs w:val="28"/>
          <w:lang w:val="en-US" w:eastAsia="zh-CN"/>
        </w:rPr>
        <w:t xml:space="preserve"> </w:t>
      </w:r>
      <w:r>
        <w:rPr>
          <w:rFonts w:hint="eastAsia" w:asciiTheme="minorEastAsia" w:hAnsiTheme="minorEastAsia" w:eastAsiaTheme="minorEastAsia" w:cstheme="minorEastAsia"/>
          <w:color w:val="auto"/>
          <w:kern w:val="0"/>
          <w:sz w:val="28"/>
          <w:szCs w:val="28"/>
        </w:rPr>
        <w:t xml:space="preserve">  </w:t>
      </w:r>
      <w:r>
        <w:rPr>
          <w:rFonts w:hint="eastAsia" w:asciiTheme="minorEastAsia" w:hAnsiTheme="minorEastAsia" w:eastAsiaTheme="minorEastAsia" w:cstheme="minorEastAsia"/>
          <w:color w:val="auto"/>
          <w:kern w:val="0"/>
          <w:sz w:val="28"/>
          <w:szCs w:val="28"/>
          <w:lang w:val="en-US" w:eastAsia="zh-CN"/>
        </w:rPr>
        <w:t xml:space="preserve">                                       2021</w:t>
      </w:r>
      <w:r>
        <w:rPr>
          <w:rFonts w:hint="eastAsia" w:asciiTheme="minorEastAsia" w:hAnsiTheme="minorEastAsia" w:eastAsiaTheme="minorEastAsia" w:cstheme="minorEastAsia"/>
          <w:color w:val="auto"/>
          <w:kern w:val="0"/>
          <w:sz w:val="28"/>
          <w:szCs w:val="28"/>
        </w:rPr>
        <w:t>年</w:t>
      </w:r>
      <w:r>
        <w:rPr>
          <w:rFonts w:hint="eastAsia" w:asciiTheme="minorEastAsia" w:hAnsiTheme="minorEastAsia" w:eastAsiaTheme="minorEastAsia" w:cstheme="minorEastAsia"/>
          <w:color w:val="auto"/>
          <w:sz w:val="28"/>
          <w:szCs w:val="28"/>
          <w:lang w:val="en-US" w:eastAsia="zh-CN"/>
        </w:rPr>
        <w:t>08</w:t>
      </w:r>
      <w:r>
        <w:rPr>
          <w:rFonts w:hint="eastAsia" w:asciiTheme="minorEastAsia" w:hAnsiTheme="minorEastAsia" w:eastAsiaTheme="minorEastAsia" w:cstheme="minorEastAsia"/>
          <w:color w:val="auto"/>
          <w:kern w:val="0"/>
          <w:sz w:val="28"/>
          <w:szCs w:val="28"/>
        </w:rPr>
        <w:t>月</w:t>
      </w:r>
      <w:r>
        <w:rPr>
          <w:rFonts w:hint="eastAsia" w:asciiTheme="minorEastAsia" w:hAnsiTheme="minorEastAsia" w:eastAsiaTheme="minorEastAsia" w:cstheme="minorEastAsia"/>
          <w:color w:val="auto"/>
          <w:kern w:val="0"/>
          <w:sz w:val="28"/>
          <w:szCs w:val="28"/>
          <w:lang w:val="en-US" w:eastAsia="zh-CN"/>
        </w:rPr>
        <w:t>13</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kern w:val="0"/>
          <w:sz w:val="28"/>
          <w:szCs w:val="28"/>
        </w:rPr>
        <w:t>日</w:t>
      </w:r>
    </w:p>
    <w:p>
      <w:pPr>
        <w:pStyle w:val="2"/>
        <w:rPr>
          <w:rFonts w:hint="default" w:eastAsiaTheme="minorEastAsia"/>
          <w:lang w:val="en-US" w:eastAsia="zh-CN"/>
        </w:rPr>
      </w:pPr>
    </w:p>
    <w:bookmarkEnd w:id="29"/>
    <w:bookmarkEnd w:id="30"/>
    <w:p>
      <w:pP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br w:type="page"/>
      </w:r>
    </w:p>
    <w:p>
      <w:pPr>
        <w:numPr>
          <w:ilvl w:val="0"/>
          <w:numId w:val="5"/>
        </w:numPr>
        <w:spacing w:line="360" w:lineRule="auto"/>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投标人须知</w:t>
      </w:r>
    </w:p>
    <w:p>
      <w:pPr>
        <w:spacing w:line="360" w:lineRule="auto"/>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前附表</w:t>
      </w:r>
    </w:p>
    <w:tbl>
      <w:tblPr>
        <w:tblStyle w:val="21"/>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954"/>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序号</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项    目</w:t>
            </w:r>
          </w:p>
        </w:tc>
        <w:tc>
          <w:tcPr>
            <w:tcW w:w="67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供应商特定</w:t>
            </w:r>
          </w:p>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资格要求</w:t>
            </w:r>
          </w:p>
        </w:tc>
        <w:tc>
          <w:tcPr>
            <w:tcW w:w="67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rPr>
              <w:t>答疑会或</w:t>
            </w:r>
          </w:p>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现场踏勘</w:t>
            </w:r>
          </w:p>
        </w:tc>
        <w:tc>
          <w:tcPr>
            <w:tcW w:w="67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3</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sz w:val="24"/>
                <w:lang w:eastAsia="zh-CN"/>
              </w:rPr>
              <w:t>电子</w:t>
            </w:r>
            <w:r>
              <w:rPr>
                <w:rFonts w:hint="eastAsia" w:asciiTheme="majorEastAsia" w:hAnsiTheme="majorEastAsia" w:eastAsiaTheme="majorEastAsia" w:cstheme="majorEastAsia"/>
                <w:color w:val="auto"/>
                <w:sz w:val="24"/>
              </w:rPr>
              <w:t>投标要求</w:t>
            </w:r>
          </w:p>
        </w:tc>
        <w:tc>
          <w:tcPr>
            <w:tcW w:w="67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ascii="宋体" w:hAnsi="宋体" w:cs="宋体"/>
                <w:color w:val="auto"/>
                <w:sz w:val="24"/>
                <w:lang w:val="en-US"/>
              </w:rPr>
            </w:pPr>
            <w:r>
              <w:rPr>
                <w:rFonts w:hint="eastAsia" w:ascii="宋体" w:hAnsi="宋体" w:cs="宋体"/>
                <w:color w:val="auto"/>
                <w:sz w:val="24"/>
                <w:lang w:eastAsia="zh-CN"/>
              </w:rPr>
              <w:t>投标</w:t>
            </w:r>
            <w:r>
              <w:rPr>
                <w:rFonts w:hint="eastAsia" w:ascii="宋体" w:hAnsi="宋体" w:eastAsia="宋体" w:cs="宋体"/>
                <w:color w:val="auto"/>
                <w:sz w:val="24"/>
                <w:lang w:eastAsia="zh-CN"/>
              </w:rPr>
              <w:t>人须</w:t>
            </w:r>
            <w:r>
              <w:rPr>
                <w:rFonts w:hint="eastAsia" w:ascii="宋体" w:hAnsi="宋体" w:eastAsia="宋体" w:cs="宋体"/>
                <w:color w:val="auto"/>
                <w:sz w:val="24"/>
                <w:szCs w:val="24"/>
              </w:rPr>
              <w:t>按照采购文件和电子交易平台的要求编制并加密</w:t>
            </w:r>
            <w:r>
              <w:rPr>
                <w:rFonts w:hint="eastAsia" w:ascii="宋体" w:hAnsi="宋体" w:eastAsia="宋体" w:cs="宋体"/>
                <w:color w:val="auto"/>
                <w:sz w:val="24"/>
                <w:szCs w:val="24"/>
                <w:lang w:eastAsia="zh-CN"/>
              </w:rPr>
              <w:t>电子</w:t>
            </w:r>
            <w:r>
              <w:rPr>
                <w:rFonts w:hint="eastAsia" w:ascii="宋体" w:hAnsi="宋体" w:cs="宋体"/>
                <w:color w:val="auto"/>
                <w:sz w:val="24"/>
                <w:szCs w:val="24"/>
                <w:lang w:eastAsia="zh-CN"/>
              </w:rPr>
              <w:t>投标</w:t>
            </w:r>
            <w:r>
              <w:rPr>
                <w:rFonts w:hint="eastAsia" w:ascii="宋体" w:hAnsi="宋体" w:eastAsia="宋体" w:cs="宋体"/>
                <w:color w:val="auto"/>
                <w:sz w:val="24"/>
                <w:szCs w:val="24"/>
              </w:rPr>
              <w:t>文件。</w:t>
            </w:r>
            <w:r>
              <w:rPr>
                <w:rFonts w:hint="eastAsia" w:ascii="宋体" w:hAnsi="宋体" w:eastAsia="宋体" w:cs="宋体"/>
                <w:color w:val="auto"/>
                <w:sz w:val="24"/>
              </w:rPr>
              <w:t>截止时间：</w:t>
            </w:r>
            <w:r>
              <w:rPr>
                <w:rFonts w:hint="eastAsia" w:ascii="宋体" w:hAnsi="宋体" w:cs="宋体"/>
                <w:color w:val="auto"/>
                <w:sz w:val="24"/>
                <w:lang w:val="en-US" w:eastAsia="zh-CN"/>
              </w:rPr>
              <w:t>开标当天</w:t>
            </w:r>
            <w:r>
              <w:rPr>
                <w:rFonts w:hint="eastAsia" w:ascii="宋体" w:hAnsi="宋体" w:cs="Arial"/>
                <w:color w:val="auto"/>
                <w:sz w:val="24"/>
              </w:rPr>
              <w:t>0</w:t>
            </w:r>
            <w:r>
              <w:rPr>
                <w:rFonts w:hint="eastAsia" w:ascii="宋体" w:hAnsi="宋体" w:cs="Arial"/>
                <w:color w:val="auto"/>
                <w:sz w:val="24"/>
                <w:lang w:val="en-US" w:eastAsia="zh-CN"/>
              </w:rPr>
              <w:t>9</w:t>
            </w:r>
            <w:r>
              <w:rPr>
                <w:rFonts w:hint="eastAsia" w:ascii="宋体" w:hAnsi="宋体" w:cs="Arial"/>
                <w:color w:val="auto"/>
                <w:sz w:val="24"/>
              </w:rPr>
              <w:t>:</w:t>
            </w:r>
            <w:r>
              <w:rPr>
                <w:rFonts w:hint="eastAsia" w:ascii="宋体" w:hAnsi="宋体" w:cs="Arial"/>
                <w:color w:val="auto"/>
                <w:sz w:val="24"/>
                <w:lang w:val="en-US" w:eastAsia="zh-CN"/>
              </w:rPr>
              <w:t>00</w:t>
            </w:r>
          </w:p>
          <w:p>
            <w:pPr>
              <w:pStyle w:val="20"/>
              <w:spacing w:line="360" w:lineRule="auto"/>
              <w:ind w:left="0" w:leftChars="0"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投标人应当在投标截止时间前完成</w:t>
            </w:r>
            <w:r>
              <w:rPr>
                <w:rFonts w:hint="eastAsia" w:ascii="宋体" w:hAnsi="宋体" w:cs="宋体"/>
                <w:color w:val="auto"/>
                <w:kern w:val="2"/>
                <w:sz w:val="24"/>
                <w:szCs w:val="24"/>
                <w:lang w:val="en-US" w:eastAsia="zh-CN" w:bidi="ar-SA"/>
              </w:rPr>
              <w:t>电子投标文件</w:t>
            </w:r>
            <w:r>
              <w:rPr>
                <w:rFonts w:hint="eastAsia" w:ascii="宋体" w:hAnsi="宋体" w:eastAsia="宋体" w:cs="宋体"/>
                <w:color w:val="auto"/>
                <w:kern w:val="2"/>
                <w:sz w:val="24"/>
                <w:szCs w:val="24"/>
                <w:lang w:val="en-US" w:eastAsia="zh-CN" w:bidi="ar-SA"/>
              </w:rPr>
              <w:t>的传输递交，并可以补充、修改或者撤回电子投标文件。补充或者修改电子投标文件的，应当先行撤回原文件，补充、修改后重新传输递交。投标截止时间前未完成传输的，视为撤回电子投标文件。逾期上传的</w:t>
            </w:r>
            <w:r>
              <w:rPr>
                <w:rFonts w:hint="eastAsia" w:ascii="宋体" w:hAnsi="宋体" w:cs="宋体"/>
                <w:color w:val="auto"/>
                <w:kern w:val="2"/>
                <w:sz w:val="24"/>
                <w:szCs w:val="24"/>
                <w:lang w:val="en-US" w:eastAsia="zh-CN" w:bidi="ar-SA"/>
              </w:rPr>
              <w:t>电子投标文件</w:t>
            </w:r>
            <w:r>
              <w:rPr>
                <w:rFonts w:hint="eastAsia" w:ascii="宋体" w:hAnsi="宋体" w:eastAsia="宋体" w:cs="宋体"/>
                <w:color w:val="auto"/>
                <w:kern w:val="2"/>
                <w:sz w:val="24"/>
                <w:szCs w:val="24"/>
                <w:lang w:val="en-US" w:eastAsia="zh-CN" w:bidi="ar-SA"/>
              </w:rPr>
              <w:t>恕不接受。</w:t>
            </w:r>
          </w:p>
          <w:p>
            <w:pPr>
              <w:pStyle w:val="9"/>
              <w:spacing w:line="360" w:lineRule="auto"/>
              <w:rPr>
                <w:rFonts w:hint="default"/>
                <w:color w:val="auto"/>
                <w:lang w:val="en-US" w:eastAsia="zh-CN"/>
              </w:rPr>
            </w:pPr>
            <w:r>
              <w:rPr>
                <w:rFonts w:hint="eastAsia"/>
                <w:b/>
                <w:bCs/>
                <w:color w:val="auto"/>
                <w:sz w:val="24"/>
                <w:szCs w:val="24"/>
                <w:lang w:val="en-US" w:eastAsia="zh-CN"/>
              </w:rPr>
              <w:t>温馨提醒：供应商应提前上传，以便在上传时遇到技术问题，有充足的时间请教平台的技术人员。</w:t>
            </w:r>
            <w:r>
              <w:rPr>
                <w:rFonts w:hint="eastAsia"/>
                <w:color w:val="auto"/>
                <w:sz w:val="24"/>
                <w:szCs w:val="24"/>
                <w:lang w:val="en-US" w:eastAsia="zh-CN"/>
              </w:rPr>
              <w:t>平台技术人员联系人：徐女士；联系电话：0576-88685161/18806862938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lang w:val="en-US" w:eastAsia="zh-CN"/>
              </w:rPr>
              <w:t>4</w:t>
            </w:r>
          </w:p>
        </w:tc>
        <w:tc>
          <w:tcPr>
            <w:tcW w:w="1954"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left="0" w:leftChars="0"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电子投标文件解密要求</w:t>
            </w:r>
          </w:p>
        </w:tc>
        <w:tc>
          <w:tcPr>
            <w:tcW w:w="6729"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left="0" w:leftChars="0"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电子投标文件在线解密时间：</w:t>
            </w:r>
            <w:r>
              <w:rPr>
                <w:rFonts w:hint="eastAsia" w:ascii="宋体" w:hAnsi="宋体" w:cs="宋体"/>
                <w:color w:val="auto"/>
                <w:kern w:val="2"/>
                <w:sz w:val="24"/>
                <w:szCs w:val="24"/>
                <w:lang w:val="en-US" w:eastAsia="zh-CN" w:bidi="ar-SA"/>
              </w:rPr>
              <w:t>开标当天</w:t>
            </w:r>
            <w:r>
              <w:rPr>
                <w:rFonts w:hint="eastAsia" w:ascii="宋体" w:hAnsi="宋体" w:eastAsia="宋体" w:cs="宋体"/>
                <w:color w:val="auto"/>
                <w:kern w:val="2"/>
                <w:sz w:val="24"/>
                <w:szCs w:val="24"/>
                <w:lang w:val="en-US" w:eastAsia="zh-CN" w:bidi="ar-SA"/>
              </w:rPr>
              <w:t>09:00至09:30；</w:t>
            </w:r>
          </w:p>
          <w:p>
            <w:pPr>
              <w:pStyle w:val="20"/>
              <w:spacing w:line="360" w:lineRule="auto"/>
              <w:ind w:left="0" w:leftChars="0"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人应当按规定及时解密，若因技术原因导致电子投标文件未能及时解密的，应联系我中心技术人员在采监处的监督下远程协助其完成解密，仍无法完成解密的，应按规定及时递交备份电子投标文件，否则，视同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5</w:t>
            </w:r>
          </w:p>
        </w:tc>
        <w:tc>
          <w:tcPr>
            <w:tcW w:w="1954"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left="0" w:leftChars="0"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备份电子投标</w:t>
            </w:r>
          </w:p>
          <w:p>
            <w:pPr>
              <w:pStyle w:val="20"/>
              <w:spacing w:line="360" w:lineRule="auto"/>
              <w:ind w:left="0" w:leftChars="0" w:firstLine="0" w:firstLineChars="0"/>
              <w:jc w:val="left"/>
              <w:rPr>
                <w:rFonts w:hint="eastAsia" w:asciiTheme="majorEastAsia" w:hAnsiTheme="majorEastAsia" w:eastAsiaTheme="majorEastAsia" w:cstheme="majorEastAsia"/>
                <w:color w:val="auto"/>
                <w:sz w:val="24"/>
                <w:lang w:eastAsia="zh-CN"/>
              </w:rPr>
            </w:pPr>
            <w:r>
              <w:rPr>
                <w:rFonts w:hint="eastAsia" w:ascii="宋体" w:hAnsi="宋体" w:eastAsia="宋体" w:cs="宋体"/>
                <w:color w:val="auto"/>
                <w:kern w:val="2"/>
                <w:sz w:val="24"/>
                <w:szCs w:val="24"/>
                <w:lang w:val="en-US" w:eastAsia="zh-CN" w:bidi="ar-SA"/>
              </w:rPr>
              <w:t>文件制作要求</w:t>
            </w:r>
          </w:p>
        </w:tc>
        <w:tc>
          <w:tcPr>
            <w:tcW w:w="6729"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left="0" w:leftChars="0" w:firstLine="0" w:firstLineChars="0"/>
              <w:jc w:val="left"/>
              <w:rPr>
                <w:rFonts w:hint="default" w:asciiTheme="majorEastAsia" w:hAnsiTheme="majorEastAsia" w:eastAsiaTheme="majorEastAsia" w:cstheme="majorEastAsia"/>
                <w:b/>
                <w:bCs/>
                <w:color w:val="auto"/>
                <w:sz w:val="24"/>
                <w:lang w:val="en-US"/>
              </w:rPr>
            </w:pPr>
            <w:r>
              <w:rPr>
                <w:rFonts w:hint="eastAsia" w:ascii="宋体" w:hAnsi="宋体" w:eastAsia="宋体" w:cs="宋体"/>
                <w:color w:val="auto"/>
                <w:kern w:val="2"/>
                <w:sz w:val="24"/>
                <w:szCs w:val="24"/>
                <w:lang w:val="en-US" w:eastAsia="zh-CN" w:bidi="ar-SA"/>
              </w:rPr>
              <w:t>备份电子投标文件是通过“政采云”平台电子投标工具制作电子投标文件产生的备份文件，请投标人自行妥善保管。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6</w:t>
            </w:r>
          </w:p>
        </w:tc>
        <w:tc>
          <w:tcPr>
            <w:tcW w:w="1954"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left="0" w:leftChars="0" w:firstLine="0" w:firstLineChars="0"/>
              <w:jc w:val="left"/>
              <w:rPr>
                <w:rFonts w:hint="eastAsia" w:asciiTheme="majorEastAsia" w:hAnsiTheme="majorEastAsia" w:eastAsiaTheme="majorEastAsia" w:cstheme="majorEastAsia"/>
                <w:color w:val="auto"/>
                <w:sz w:val="24"/>
              </w:rPr>
            </w:pPr>
            <w:r>
              <w:rPr>
                <w:rFonts w:hint="eastAsia" w:ascii="宋体" w:hAnsi="宋体" w:eastAsia="宋体" w:cs="宋体"/>
                <w:color w:val="auto"/>
                <w:kern w:val="2"/>
                <w:sz w:val="24"/>
                <w:szCs w:val="24"/>
                <w:lang w:val="en-US" w:eastAsia="zh-CN" w:bidi="ar-SA"/>
              </w:rPr>
              <w:t>备份电子投标文件使用、递交有关规定</w:t>
            </w:r>
          </w:p>
        </w:tc>
        <w:tc>
          <w:tcPr>
            <w:tcW w:w="6729" w:type="dxa"/>
            <w:tcBorders>
              <w:top w:val="single" w:color="auto" w:sz="4" w:space="0"/>
              <w:left w:val="single" w:color="auto" w:sz="4" w:space="0"/>
              <w:bottom w:val="single" w:color="auto" w:sz="4" w:space="0"/>
              <w:right w:val="single" w:color="auto" w:sz="4" w:space="0"/>
            </w:tcBorders>
            <w:vAlign w:val="center"/>
          </w:tcPr>
          <w:p>
            <w:pPr>
              <w:pStyle w:val="20"/>
              <w:spacing w:line="360" w:lineRule="auto"/>
              <w:ind w:left="0" w:leftChars="0"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1.使用前提：投标人自行在线解密操作失败无法按时寻求技术人员帮助解密，或者投标人寻求技术人员帮助仍无法按时完成解密；</w:t>
            </w:r>
          </w:p>
          <w:p>
            <w:pPr>
              <w:pStyle w:val="20"/>
              <w:spacing w:line="360" w:lineRule="auto"/>
              <w:ind w:left="0" w:leftChars="0"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2.递交截止时间：</w:t>
            </w:r>
            <w:r>
              <w:rPr>
                <w:rFonts w:hint="eastAsia" w:ascii="宋体" w:hAnsi="宋体" w:cs="宋体"/>
                <w:color w:val="auto"/>
                <w:kern w:val="2"/>
                <w:sz w:val="24"/>
                <w:szCs w:val="24"/>
                <w:lang w:val="en-US" w:eastAsia="zh-CN" w:bidi="ar-SA"/>
              </w:rPr>
              <w:t>开标当天</w:t>
            </w:r>
            <w:r>
              <w:rPr>
                <w:rFonts w:hint="eastAsia" w:ascii="宋体" w:hAnsi="宋体" w:eastAsia="宋体" w:cs="宋体"/>
                <w:color w:val="auto"/>
                <w:kern w:val="2"/>
                <w:sz w:val="24"/>
                <w:szCs w:val="24"/>
                <w:lang w:val="en-US" w:eastAsia="zh-CN" w:bidi="ar-SA"/>
              </w:rPr>
              <w:t>09:50；</w:t>
            </w:r>
          </w:p>
          <w:p>
            <w:pPr>
              <w:pStyle w:val="20"/>
              <w:spacing w:line="360" w:lineRule="auto"/>
              <w:ind w:left="0" w:leftChars="0"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3.投递邮箱：开标当日钉钉直播群公布的指定邮箱；</w:t>
            </w:r>
          </w:p>
          <w:p>
            <w:pPr>
              <w:pStyle w:val="20"/>
              <w:spacing w:line="360" w:lineRule="auto"/>
              <w:ind w:left="0" w:leftChars="0" w:firstLine="0" w:firstLineChars="0"/>
              <w:jc w:val="left"/>
              <w:rPr>
                <w:rFonts w:hint="default" w:ascii="宋体" w:hAnsi="宋体" w:cs="宋体"/>
                <w:color w:val="auto"/>
                <w:sz w:val="24"/>
                <w:lang w:val="en-US" w:eastAsia="zh-CN"/>
              </w:rPr>
            </w:pPr>
            <w:r>
              <w:rPr>
                <w:rFonts w:hint="eastAsia" w:ascii="宋体" w:hAnsi="宋体" w:eastAsia="宋体" w:cs="宋体"/>
                <w:color w:val="auto"/>
                <w:kern w:val="2"/>
                <w:sz w:val="24"/>
                <w:szCs w:val="24"/>
                <w:lang w:val="en-US" w:eastAsia="zh-CN" w:bidi="ar-SA"/>
              </w:rPr>
              <w:t>4.未按上述要求递交备份电子投标文件或所提供的的备份电子投标文件不符合要求的视同放弃投标。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lang w:val="en-US" w:eastAsia="zh-CN"/>
              </w:rPr>
              <w:t>7</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FF0000"/>
                <w:sz w:val="24"/>
              </w:rPr>
              <w:t>远程在线演示要求</w:t>
            </w:r>
          </w:p>
        </w:tc>
        <w:tc>
          <w:tcPr>
            <w:tcW w:w="6729"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cs="宋体"/>
                <w:color w:val="FF0000"/>
                <w:sz w:val="24"/>
              </w:rPr>
            </w:pPr>
            <w:r>
              <w:rPr>
                <w:rFonts w:hint="eastAsia" w:ascii="宋体" w:hAnsi="宋体" w:cs="宋体"/>
                <w:color w:val="FF0000"/>
                <w:sz w:val="24"/>
              </w:rPr>
              <w:t>投标人需在项目开标前建立钉钉直播群，并将群号通过邮件的形式发送至项目负责人邮箱，于开标当日，根据评审小组电话通知进行远程视频直播。</w:t>
            </w:r>
          </w:p>
          <w:p>
            <w:pPr>
              <w:pStyle w:val="9"/>
              <w:spacing w:line="360" w:lineRule="auto"/>
              <w:rPr>
                <w:color w:val="FF0000"/>
                <w:sz w:val="24"/>
              </w:rPr>
            </w:pPr>
            <w:r>
              <w:rPr>
                <w:rFonts w:hint="eastAsia" w:ascii="宋体" w:hAnsi="宋体" w:cs="宋体"/>
                <w:color w:val="FF0000"/>
                <w:sz w:val="24"/>
              </w:rPr>
              <w:t>邮件截止时间：</w:t>
            </w:r>
            <w:r>
              <w:rPr>
                <w:rFonts w:hint="eastAsia" w:ascii="宋体" w:hAnsi="宋体" w:cs="宋体"/>
                <w:color w:val="FF0000"/>
                <w:sz w:val="24"/>
                <w:lang w:val="en-US" w:eastAsia="zh-CN"/>
              </w:rPr>
              <w:t>开标当天</w:t>
            </w:r>
            <w:r>
              <w:rPr>
                <w:rFonts w:hint="eastAsia" w:ascii="宋体" w:hAnsi="宋体" w:cs="Arial"/>
                <w:color w:val="FF0000"/>
                <w:sz w:val="24"/>
              </w:rPr>
              <w:t>9：</w:t>
            </w:r>
            <w:r>
              <w:rPr>
                <w:rFonts w:hint="eastAsia" w:ascii="宋体" w:hAnsi="宋体" w:cs="Arial"/>
                <w:color w:val="FF0000"/>
                <w:sz w:val="24"/>
                <w:lang w:val="en-US" w:eastAsia="zh-CN"/>
              </w:rPr>
              <w:t>00</w:t>
            </w:r>
            <w:r>
              <w:rPr>
                <w:rFonts w:hint="eastAsia" w:ascii="宋体" w:hAnsi="宋体" w:cs="Arial"/>
                <w:color w:val="FF0000"/>
                <w:sz w:val="24"/>
              </w:rPr>
              <w:t>之前</w:t>
            </w:r>
            <w:r>
              <w:rPr>
                <w:rFonts w:hint="eastAsia"/>
                <w:color w:val="FF0000"/>
                <w:sz w:val="24"/>
              </w:rPr>
              <w:t>（</w:t>
            </w:r>
            <w:r>
              <w:rPr>
                <w:rFonts w:hint="eastAsia" w:ascii="宋体" w:hAnsi="宋体"/>
                <w:color w:val="FF0000"/>
                <w:kern w:val="0"/>
                <w:sz w:val="24"/>
              </w:rPr>
              <w:t>逾期发送的群号恕不接受，不接受其他形式的演示直播，具体操作要求见《投标人演示直播指南》</w:t>
            </w:r>
            <w:r>
              <w:rPr>
                <w:rFonts w:hint="eastAsia"/>
                <w:color w:val="FF0000"/>
                <w:sz w:val="24"/>
              </w:rPr>
              <w:t>）</w:t>
            </w:r>
          </w:p>
          <w:p>
            <w:pPr>
              <w:pStyle w:val="9"/>
              <w:spacing w:line="360" w:lineRule="auto"/>
              <w:rPr>
                <w:rFonts w:ascii="宋体" w:hAnsi="宋体" w:cs="Arial"/>
                <w:b/>
                <w:bCs/>
                <w:color w:val="FF0000"/>
                <w:sz w:val="24"/>
              </w:rPr>
            </w:pPr>
            <w:r>
              <w:rPr>
                <w:rFonts w:hint="eastAsia"/>
                <w:color w:val="FF0000"/>
                <w:sz w:val="24"/>
              </w:rPr>
              <w:t>邮件标题</w:t>
            </w:r>
            <w:r>
              <w:rPr>
                <w:rFonts w:hint="eastAsia" w:ascii="宋体" w:hAnsi="宋体" w:cs="Arial"/>
                <w:color w:val="FF0000"/>
                <w:sz w:val="24"/>
              </w:rPr>
              <w:t>：</w:t>
            </w:r>
            <w:r>
              <w:rPr>
                <w:rFonts w:hint="eastAsia" w:ascii="宋体" w:hAnsi="宋体" w:cs="Arial"/>
                <w:b/>
                <w:bCs/>
                <w:color w:val="FF0000"/>
                <w:sz w:val="24"/>
              </w:rPr>
              <w:t>所投项目名称（投标人名称）演示</w:t>
            </w:r>
          </w:p>
          <w:p>
            <w:pPr>
              <w:pStyle w:val="9"/>
              <w:spacing w:line="360" w:lineRule="auto"/>
              <w:rPr>
                <w:rFonts w:ascii="宋体" w:hAnsi="宋体"/>
                <w:color w:val="FF0000"/>
                <w:kern w:val="0"/>
                <w:sz w:val="24"/>
              </w:rPr>
            </w:pPr>
            <w:r>
              <w:rPr>
                <w:rFonts w:hint="eastAsia"/>
                <w:color w:val="FF0000"/>
                <w:sz w:val="24"/>
              </w:rPr>
              <w:t>发送地点：</w:t>
            </w:r>
            <w:r>
              <w:rPr>
                <w:rFonts w:hint="eastAsia" w:ascii="宋体" w:hAnsi="宋体" w:cs="宋体"/>
                <w:color w:val="FF0000"/>
                <w:sz w:val="24"/>
                <w:u w:val="single"/>
                <w:lang w:val="en-US" w:eastAsia="zh-CN"/>
              </w:rPr>
              <w:t>tzzfcg006</w:t>
            </w:r>
            <w:r>
              <w:rPr>
                <w:rFonts w:hint="eastAsia" w:ascii="宋体" w:hAnsi="宋体" w:cs="宋体"/>
                <w:color w:val="FF0000"/>
                <w:sz w:val="24"/>
                <w:u w:val="single"/>
              </w:rPr>
              <w:t>@dingtalk.com</w:t>
            </w:r>
          </w:p>
          <w:p>
            <w:pPr>
              <w:pStyle w:val="9"/>
              <w:spacing w:line="360" w:lineRule="auto"/>
              <w:rPr>
                <w:rFonts w:hint="eastAsia" w:eastAsia="宋体"/>
                <w:color w:val="auto"/>
                <w:sz w:val="24"/>
                <w:szCs w:val="24"/>
                <w:lang w:val="en-US" w:eastAsia="zh-CN"/>
              </w:rPr>
            </w:pPr>
            <w:r>
              <w:rPr>
                <w:rFonts w:hint="eastAsia"/>
                <w:color w:val="FF0000"/>
                <w:sz w:val="24"/>
              </w:rPr>
              <w:t>接收人：</w:t>
            </w:r>
            <w:r>
              <w:rPr>
                <w:rFonts w:hint="eastAsia"/>
                <w:color w:val="FF0000"/>
                <w:sz w:val="24"/>
                <w:lang w:val="en-US" w:eastAsia="zh-CN"/>
              </w:rPr>
              <w:t>陶先生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8</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rPr>
              <w:t>演示直播群的设置要求</w:t>
            </w:r>
          </w:p>
        </w:tc>
        <w:tc>
          <w:tcPr>
            <w:tcW w:w="6729"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hint="default" w:ascii="Times New Roman" w:hAnsi="Times New Roman" w:eastAsia="宋体" w:cs="Times New Roman"/>
                <w:color w:val="auto"/>
                <w:kern w:val="2"/>
                <w:sz w:val="24"/>
                <w:szCs w:val="24"/>
                <w:lang w:val="en-US" w:eastAsia="zh-CN" w:bidi="ar-SA"/>
              </w:rPr>
            </w:pPr>
            <w:r>
              <w:rPr>
                <w:rFonts w:hint="eastAsia" w:ascii="宋体" w:hAnsi="宋体" w:cs="宋体"/>
                <w:color w:val="auto"/>
                <w:sz w:val="24"/>
              </w:rPr>
              <w:t>按照《投标人演示直播指南》操作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lang w:val="en-US" w:eastAsia="zh-CN"/>
              </w:rPr>
              <w:t>9</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投标有效期</w:t>
            </w:r>
          </w:p>
        </w:tc>
        <w:tc>
          <w:tcPr>
            <w:tcW w:w="67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投标有效期为开标后90天，</w:t>
            </w:r>
            <w:r>
              <w:rPr>
                <w:rFonts w:hint="eastAsia" w:asciiTheme="majorEastAsia" w:hAnsiTheme="majorEastAsia" w:eastAsiaTheme="majorEastAsia" w:cstheme="majorEastAsia"/>
                <w:color w:val="auto"/>
                <w:kern w:val="0"/>
                <w:sz w:val="24"/>
              </w:rPr>
              <w:t>投标有效期从提交</w:t>
            </w:r>
            <w:r>
              <w:rPr>
                <w:rFonts w:hint="eastAsia" w:asciiTheme="majorEastAsia" w:hAnsiTheme="majorEastAsia" w:eastAsiaTheme="majorEastAsia" w:cstheme="majorEastAsia"/>
                <w:color w:val="auto"/>
                <w:kern w:val="0"/>
                <w:sz w:val="24"/>
                <w:lang w:eastAsia="zh-CN"/>
              </w:rPr>
              <w:t>电子投标文件</w:t>
            </w:r>
            <w:r>
              <w:rPr>
                <w:rFonts w:hint="eastAsia" w:asciiTheme="majorEastAsia" w:hAnsiTheme="majorEastAsia" w:eastAsiaTheme="majorEastAsia" w:cstheme="majorEastAsia"/>
                <w:color w:val="auto"/>
                <w:kern w:val="0"/>
                <w:sz w:val="24"/>
              </w:rPr>
              <w:t>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lang w:val="en-US" w:eastAsia="zh-CN"/>
              </w:rPr>
              <w:t>10</w:t>
            </w:r>
          </w:p>
        </w:tc>
        <w:tc>
          <w:tcPr>
            <w:tcW w:w="1954" w:type="dxa"/>
            <w:tcBorders>
              <w:top w:val="single" w:color="auto" w:sz="4" w:space="0"/>
              <w:left w:val="single" w:color="auto" w:sz="4" w:space="0"/>
              <w:bottom w:val="single" w:color="auto" w:sz="4" w:space="0"/>
              <w:right w:val="single" w:color="auto" w:sz="4" w:space="0"/>
            </w:tcBorders>
            <w:vAlign w:val="center"/>
          </w:tcPr>
          <w:p>
            <w:pPr>
              <w:pStyle w:val="2"/>
              <w:numPr>
                <w:ilvl w:val="0"/>
                <w:numId w:val="0"/>
              </w:num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不见面开标直播</w:t>
            </w:r>
          </w:p>
          <w:p>
            <w:pPr>
              <w:spacing w:line="360" w:lineRule="auto"/>
              <w:jc w:val="center"/>
              <w:rPr>
                <w:rFonts w:asciiTheme="majorEastAsia" w:hAnsiTheme="majorEastAsia" w:eastAsiaTheme="majorEastAsia" w:cstheme="majorEastAsia"/>
                <w:color w:val="auto"/>
                <w:sz w:val="24"/>
              </w:rPr>
            </w:pPr>
          </w:p>
        </w:tc>
        <w:tc>
          <w:tcPr>
            <w:tcW w:w="6729"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asciiTheme="majorEastAsia" w:hAnsiTheme="majorEastAsia" w:eastAsiaTheme="majorEastAsia" w:cstheme="majorEastAsia"/>
                <w:color w:val="auto"/>
                <w:sz w:val="24"/>
              </w:rPr>
            </w:pPr>
            <w:r>
              <w:rPr>
                <w:rFonts w:hint="eastAsia" w:ascii="宋体" w:hAnsi="宋体" w:eastAsia="宋体" w:cs="宋体"/>
                <w:color w:val="auto"/>
                <w:sz w:val="24"/>
                <w:szCs w:val="24"/>
                <w:lang w:val="en-US" w:eastAsia="zh-CN"/>
              </w:rPr>
              <w:t>本项目开评标环节实行全流程电子化，采取不见面钉钉直播开标，投标人可自行下载“钉钉软件”观看。（钉钉直播群号为：</w:t>
            </w:r>
            <w:r>
              <w:rPr>
                <w:rFonts w:hint="eastAsia" w:cs="宋体"/>
                <w:color w:val="FF0000"/>
                <w:sz w:val="24"/>
                <w:szCs w:val="24"/>
                <w:lang w:val="en-US" w:eastAsia="zh-CN"/>
              </w:rPr>
              <w:t>31584792</w:t>
            </w:r>
            <w:r>
              <w:rPr>
                <w:rFonts w:hint="eastAsia" w:ascii="宋体" w:hAnsi="宋体" w:eastAsia="宋体" w:cs="宋体"/>
                <w:color w:val="auto"/>
                <w:sz w:val="24"/>
                <w:szCs w:val="24"/>
                <w:lang w:val="en-US" w:eastAsia="zh-CN"/>
              </w:rPr>
              <w:t>，投标人只能于开标当天</w:t>
            </w:r>
            <w:r>
              <w:rPr>
                <w:rFonts w:hint="eastAsia" w:hAnsi="宋体" w:cs="宋体"/>
                <w:color w:val="auto"/>
                <w:sz w:val="24"/>
                <w:szCs w:val="24"/>
                <w:lang w:val="en-US" w:eastAsia="zh-CN"/>
              </w:rPr>
              <w:t>8</w:t>
            </w:r>
            <w:r>
              <w:rPr>
                <w:rFonts w:hint="eastAsia" w:ascii="宋体" w:hAnsi="宋体" w:eastAsia="宋体" w:cs="宋体"/>
                <w:color w:val="auto"/>
                <w:sz w:val="24"/>
                <w:szCs w:val="24"/>
                <w:lang w:val="en-US" w:eastAsia="zh-CN"/>
              </w:rPr>
              <w:t>：</w:t>
            </w:r>
            <w:r>
              <w:rPr>
                <w:rFonts w:hint="eastAsia" w:hAnsi="宋体" w:cs="宋体"/>
                <w:color w:val="auto"/>
                <w:sz w:val="24"/>
                <w:szCs w:val="24"/>
                <w:lang w:val="en-US" w:eastAsia="zh-CN"/>
              </w:rPr>
              <w:t>30</w:t>
            </w:r>
            <w:r>
              <w:rPr>
                <w:rFonts w:hint="eastAsia" w:ascii="宋体" w:hAnsi="宋体" w:eastAsia="宋体" w:cs="宋体"/>
                <w:color w:val="auto"/>
                <w:sz w:val="24"/>
                <w:szCs w:val="24"/>
                <w:lang w:val="en-US" w:eastAsia="zh-CN"/>
              </w:rPr>
              <w:t>以后搜索到群号，并申请进群。采购组织机构按照采购文件规定的时间通过电子交易平台组织开标、开启响应文件，所有供应商均应当准时在线参加。</w:t>
            </w:r>
            <w:r>
              <w:rPr>
                <w:rFonts w:hint="eastAsia" w:hAnsi="宋体" w:cs="宋体"/>
                <w:color w:val="auto"/>
                <w:sz w:val="24"/>
                <w:szCs w:val="24"/>
                <w:lang w:val="en-US" w:eastAsia="zh-CN"/>
              </w:rPr>
              <w:t>如未参加，</w:t>
            </w:r>
            <w:r>
              <w:rPr>
                <w:rFonts w:hint="eastAsia" w:ascii="宋体" w:hAnsi="宋体" w:eastAsia="宋体" w:cs="宋体"/>
                <w:bCs/>
                <w:color w:val="auto"/>
                <w:sz w:val="24"/>
              </w:rPr>
              <w:t>造成无法投标或投标失败等后果由供应商自行承担</w:t>
            </w:r>
            <w:r>
              <w:rPr>
                <w:rFonts w:hint="eastAsia" w:hAnsi="宋体" w:cs="宋体"/>
                <w:bCs/>
                <w:color w:val="auto"/>
                <w:sz w:val="24"/>
                <w:lang w:eastAsia="zh-CN"/>
              </w:rPr>
              <w:t>。</w:t>
            </w:r>
            <w:r>
              <w:rPr>
                <w:rFonts w:hint="eastAsia" w:ascii="宋体" w:hAnsi="宋体" w:eastAsia="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lang w:val="en-US" w:eastAsia="zh-CN"/>
              </w:rPr>
              <w:t>11</w:t>
            </w:r>
          </w:p>
        </w:tc>
        <w:tc>
          <w:tcPr>
            <w:tcW w:w="19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auto"/>
                <w:sz w:val="24"/>
              </w:rPr>
            </w:pPr>
            <w:r>
              <w:rPr>
                <w:rFonts w:hint="eastAsia" w:cs="Arial" w:asciiTheme="minorEastAsia" w:hAnsiTheme="minorEastAsia" w:eastAsiaTheme="minorEastAsia"/>
                <w:color w:val="auto"/>
                <w:sz w:val="24"/>
              </w:rPr>
              <w:t>投标与开标注意事项</w:t>
            </w:r>
          </w:p>
        </w:tc>
        <w:tc>
          <w:tcPr>
            <w:tcW w:w="6729"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440" w:lineRule="exact"/>
              <w:rPr>
                <w:rFonts w:hint="eastAsia" w:ascii="宋体" w:hAnsi="宋体" w:eastAsia="宋体" w:cs="宋体"/>
                <w:bCs/>
                <w:color w:val="auto"/>
                <w:sz w:val="24"/>
              </w:rPr>
            </w:pPr>
            <w:r>
              <w:rPr>
                <w:rFonts w:hint="eastAsia" w:ascii="宋体" w:hAnsi="宋体" w:eastAsia="宋体" w:cs="宋体"/>
                <w:bCs/>
                <w:color w:val="auto"/>
                <w:sz w:val="24"/>
              </w:rPr>
              <w:t>1.本项目实行</w:t>
            </w:r>
            <w:r>
              <w:rPr>
                <w:rFonts w:hint="eastAsia" w:hAnsi="宋体" w:eastAsia="宋体" w:cs="宋体"/>
                <w:bCs/>
                <w:color w:val="auto"/>
                <w:sz w:val="24"/>
                <w:lang w:eastAsia="zh-CN"/>
              </w:rPr>
              <w:t>电子采购</w:t>
            </w:r>
            <w:r>
              <w:rPr>
                <w:rFonts w:hint="eastAsia" w:ascii="宋体" w:hAnsi="宋体" w:eastAsia="宋体" w:cs="宋体"/>
                <w:bCs/>
                <w:color w:val="auto"/>
                <w:sz w:val="24"/>
              </w:rPr>
              <w:t>，采用电子投标文件。若供应商参与投标，自行承担投标一切费用。</w:t>
            </w:r>
          </w:p>
          <w:p>
            <w:pPr>
              <w:pStyle w:val="12"/>
              <w:adjustRightInd w:val="0"/>
              <w:snapToGrid w:val="0"/>
              <w:spacing w:line="440" w:lineRule="exact"/>
              <w:rPr>
                <w:rFonts w:hint="eastAsia" w:ascii="宋体" w:hAnsi="宋体" w:eastAsia="宋体" w:cs="宋体"/>
                <w:bCs/>
                <w:color w:val="auto"/>
                <w:sz w:val="24"/>
              </w:rPr>
            </w:pPr>
            <w:r>
              <w:rPr>
                <w:rFonts w:hint="eastAsia" w:ascii="宋体" w:hAnsi="宋体" w:eastAsia="宋体" w:cs="宋体"/>
                <w:bCs/>
                <w:color w:val="auto"/>
                <w:sz w:val="24"/>
              </w:rPr>
              <w:t>2.标前准备：各供应商在开标前确保成为浙江省政府采购网正式注册供应商，并完成CA数字证书办理。（办理流程详见本招标公告附件：“政采云CA签章申领操作流程.pdf”）。因未注册入库、未办理CA数字证书等原因造成无法投标或投标失败等后果由供应商自行承担。</w:t>
            </w:r>
          </w:p>
          <w:p>
            <w:pPr>
              <w:spacing w:line="440" w:lineRule="exact"/>
              <w:rPr>
                <w:rFonts w:hint="eastAsia" w:ascii="宋体" w:hAnsi="宋体" w:eastAsia="宋体" w:cs="宋体"/>
                <w:bCs/>
                <w:color w:val="auto"/>
                <w:sz w:val="24"/>
              </w:rPr>
            </w:pPr>
            <w:r>
              <w:rPr>
                <w:rFonts w:hint="eastAsia" w:ascii="宋体" w:hAnsi="宋体" w:eastAsia="宋体" w:cs="宋体"/>
                <w:bCs/>
                <w:color w:val="auto"/>
                <w:sz w:val="24"/>
              </w:rPr>
              <w:t>3.</w:t>
            </w:r>
            <w:r>
              <w:rPr>
                <w:rFonts w:hint="eastAsia" w:ascii="宋体" w:hAnsi="宋体" w:cs="宋体"/>
                <w:bCs/>
                <w:color w:val="auto"/>
                <w:sz w:val="24"/>
                <w:lang w:eastAsia="zh-CN"/>
              </w:rPr>
              <w:t>电子投标文件</w:t>
            </w:r>
            <w:r>
              <w:rPr>
                <w:rFonts w:hint="eastAsia" w:ascii="宋体" w:hAnsi="宋体" w:eastAsia="宋体" w:cs="宋体"/>
                <w:bCs/>
                <w:color w:val="auto"/>
                <w:sz w:val="24"/>
              </w:rPr>
              <w:t>制作：</w:t>
            </w:r>
          </w:p>
          <w:p>
            <w:pPr>
              <w:spacing w:line="440" w:lineRule="exact"/>
              <w:rPr>
                <w:rFonts w:hint="eastAsia" w:ascii="宋体" w:hAnsi="宋体" w:eastAsia="宋体" w:cs="宋体"/>
                <w:bCs/>
                <w:color w:val="auto"/>
                <w:sz w:val="24"/>
              </w:rPr>
            </w:pPr>
            <w:r>
              <w:rPr>
                <w:rFonts w:hint="eastAsia" w:ascii="宋体" w:hAnsi="宋体" w:eastAsia="宋体" w:cs="宋体"/>
                <w:bCs/>
                <w:color w:val="auto"/>
                <w:sz w:val="24"/>
              </w:rPr>
              <w:t>3.1应按照本项目招标文件和政采云平台的要求编制、加密并递交</w:t>
            </w:r>
            <w:r>
              <w:rPr>
                <w:rFonts w:hint="eastAsia" w:ascii="宋体" w:hAnsi="宋体" w:cs="宋体"/>
                <w:bCs/>
                <w:color w:val="auto"/>
                <w:sz w:val="24"/>
                <w:lang w:eastAsia="zh-CN"/>
              </w:rPr>
              <w:t>电子投标文件</w:t>
            </w:r>
            <w:r>
              <w:rPr>
                <w:rFonts w:hint="eastAsia" w:ascii="宋体" w:hAnsi="宋体" w:eastAsia="宋体" w:cs="宋体"/>
                <w:bCs/>
                <w:color w:val="auto"/>
                <w:sz w:val="24"/>
              </w:rPr>
              <w:t>。供应商在使用系统进行投标的过程中遇到涉及平台使用的任何问题，可致电政采云平台技术支持热线咨询，联系方式：400-881-7190。</w:t>
            </w:r>
          </w:p>
          <w:p>
            <w:pPr>
              <w:spacing w:line="440" w:lineRule="exact"/>
              <w:rPr>
                <w:rFonts w:asciiTheme="majorEastAsia" w:hAnsiTheme="majorEastAsia" w:eastAsiaTheme="majorEastAsia" w:cstheme="majorEastAsia"/>
                <w:color w:val="auto"/>
                <w:sz w:val="24"/>
              </w:rPr>
            </w:pPr>
            <w:r>
              <w:rPr>
                <w:rFonts w:hint="eastAsia" w:ascii="宋体" w:hAnsi="宋体" w:eastAsia="宋体" w:cs="宋体"/>
                <w:bCs/>
                <w:color w:val="auto"/>
                <w:sz w:val="24"/>
              </w:rPr>
              <w:t>3.2投标人通过“政采云”平台电子投标工具制作</w:t>
            </w:r>
            <w:r>
              <w:rPr>
                <w:rFonts w:hint="eastAsia" w:ascii="宋体" w:hAnsi="宋体" w:cs="宋体"/>
                <w:bCs/>
                <w:color w:val="auto"/>
                <w:sz w:val="24"/>
                <w:lang w:eastAsia="zh-CN"/>
              </w:rPr>
              <w:t>电子投标文件</w:t>
            </w:r>
            <w:r>
              <w:rPr>
                <w:rFonts w:hint="eastAsia" w:ascii="宋体" w:hAnsi="宋体" w:eastAsia="宋体" w:cs="宋体"/>
                <w:bCs/>
                <w:color w:val="auto"/>
                <w:sz w:val="24"/>
              </w:rPr>
              <w:t>，电子投标工具请供应商自行前往浙江省政府采购网下载并安装，（下载网址：</w:t>
            </w:r>
            <w:r>
              <w:rPr>
                <w:rFonts w:hint="eastAsia"/>
              </w:rPr>
              <w:t>https://zfcg.czt.zj.gov.cn/download/index.html</w:t>
            </w:r>
            <w:r>
              <w:rPr>
                <w:rFonts w:hint="eastAsia" w:ascii="宋体" w:hAnsi="宋体" w:eastAsia="宋体" w:cs="宋体"/>
                <w:bCs/>
                <w:color w:val="auto"/>
                <w:sz w:val="24"/>
              </w:rPr>
              <w:t>），</w:t>
            </w:r>
            <w:r>
              <w:rPr>
                <w:rFonts w:hint="eastAsia" w:ascii="宋体" w:hAnsi="宋体" w:cs="宋体"/>
                <w:bCs/>
                <w:color w:val="auto"/>
                <w:sz w:val="24"/>
                <w:lang w:eastAsia="zh-CN"/>
              </w:rPr>
              <w:t>电子投标文件</w:t>
            </w:r>
            <w:r>
              <w:rPr>
                <w:rFonts w:hint="eastAsia" w:ascii="宋体" w:hAnsi="宋体" w:eastAsia="宋体" w:cs="宋体"/>
                <w:bCs/>
                <w:color w:val="auto"/>
                <w:sz w:val="24"/>
              </w:rPr>
              <w:t>制作具体流程详见本招标公告附件：“政采云供应商项目采购-电子招投标操作指南.pdf”。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8"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lang w:val="en-US" w:eastAsia="zh-CN"/>
              </w:rPr>
              <w:t>12</w:t>
            </w:r>
          </w:p>
        </w:tc>
        <w:tc>
          <w:tcPr>
            <w:tcW w:w="19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cs="Arial" w:asciiTheme="minorEastAsia" w:hAnsiTheme="minorEastAsia" w:eastAsiaTheme="minorEastAsia"/>
                <w:b w:val="0"/>
                <w:bCs/>
                <w:color w:val="auto"/>
                <w:sz w:val="24"/>
              </w:rPr>
            </w:pPr>
            <w:r>
              <w:rPr>
                <w:rFonts w:cs="Arial" w:asciiTheme="minorEastAsia" w:hAnsiTheme="minorEastAsia" w:eastAsiaTheme="minorEastAsia"/>
                <w:b w:val="0"/>
                <w:bCs/>
                <w:color w:val="auto"/>
                <w:sz w:val="24"/>
              </w:rPr>
              <w:t>投标人信用信息查询渠道及截止时点、信用信息查询记录和证据留存的具体方式、信用信息的使用规则</w:t>
            </w:r>
          </w:p>
          <w:p>
            <w:pPr>
              <w:autoSpaceDE w:val="0"/>
              <w:autoSpaceDN w:val="0"/>
              <w:adjustRightInd w:val="0"/>
              <w:spacing w:line="360" w:lineRule="auto"/>
              <w:jc w:val="center"/>
              <w:rPr>
                <w:rFonts w:asciiTheme="majorEastAsia" w:hAnsiTheme="majorEastAsia" w:eastAsiaTheme="majorEastAsia" w:cstheme="majorEastAsia"/>
                <w:color w:val="auto"/>
                <w:sz w:val="24"/>
              </w:rPr>
            </w:pPr>
          </w:p>
        </w:tc>
        <w:tc>
          <w:tcPr>
            <w:tcW w:w="67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Arial"/>
                <w:color w:val="auto"/>
                <w:sz w:val="24"/>
              </w:rPr>
            </w:pPr>
            <w:r>
              <w:rPr>
                <w:rFonts w:hint="eastAsia" w:cs="Arial" w:asciiTheme="minorEastAsia" w:hAnsiTheme="minorEastAsia" w:eastAsiaTheme="minorEastAsia"/>
                <w:color w:val="auto"/>
                <w:sz w:val="24"/>
                <w:lang w:val="en-US" w:eastAsia="zh-CN"/>
              </w:rPr>
              <w:t>1、</w:t>
            </w:r>
            <w:r>
              <w:rPr>
                <w:rFonts w:hint="eastAsia" w:cs="Arial" w:asciiTheme="minorEastAsia" w:hAnsiTheme="minorEastAsia" w:eastAsiaTheme="minorEastAsia"/>
                <w:color w:val="auto"/>
                <w:sz w:val="24"/>
              </w:rPr>
              <w:t>查询渠道：信用中国（网址：</w:t>
            </w:r>
            <w:r>
              <w:rPr>
                <w:color w:val="auto"/>
              </w:rPr>
              <w:fldChar w:fldCharType="begin"/>
            </w:r>
            <w:r>
              <w:rPr>
                <w:color w:val="auto"/>
              </w:rPr>
              <w:instrText xml:space="preserve"> HYPERLINK "http://www.creditchina.gov.cn" </w:instrText>
            </w:r>
            <w:r>
              <w:rPr>
                <w:color w:val="auto"/>
              </w:rPr>
              <w:fldChar w:fldCharType="separate"/>
            </w:r>
            <w:r>
              <w:rPr>
                <w:rFonts w:cs="Arial" w:asciiTheme="minorEastAsia" w:hAnsiTheme="minorEastAsia" w:eastAsiaTheme="minorEastAsia"/>
                <w:color w:val="auto"/>
                <w:sz w:val="24"/>
              </w:rPr>
              <w:t>http://www.creditchina.gov.cn</w:t>
            </w:r>
            <w:r>
              <w:rPr>
                <w:rFonts w:cs="Arial" w:asciiTheme="minorEastAsia" w:hAnsiTheme="minorEastAsia" w:eastAsiaTheme="minorEastAsia"/>
                <w:color w:val="auto"/>
                <w:sz w:val="24"/>
              </w:rPr>
              <w:fldChar w:fldCharType="end"/>
            </w:r>
            <w:r>
              <w:rPr>
                <w:rFonts w:hint="eastAsia" w:cs="Arial" w:asciiTheme="minorEastAsia" w:hAnsiTheme="minorEastAsia" w:eastAsiaTheme="minorEastAsia"/>
                <w:color w:val="auto"/>
                <w:sz w:val="24"/>
              </w:rPr>
              <w:t>）、中国政府采购网(网址：</w:t>
            </w:r>
            <w:r>
              <w:rPr>
                <w:rFonts w:cs="Arial" w:asciiTheme="minorEastAsia" w:hAnsiTheme="minorEastAsia" w:eastAsiaTheme="minorEastAsia"/>
                <w:color w:val="auto"/>
                <w:sz w:val="24"/>
              </w:rPr>
              <w:t>http://www.ccgp.gov.cn</w:t>
            </w:r>
            <w:r>
              <w:rPr>
                <w:rFonts w:hint="eastAsia" w:cs="Arial" w:asciiTheme="minorEastAsia" w:hAnsiTheme="minorEastAsia" w:eastAsiaTheme="minorEastAsia"/>
                <w:color w:val="auto"/>
                <w:sz w:val="24"/>
              </w:rPr>
              <w:t>）</w:t>
            </w:r>
            <w:r>
              <w:rPr>
                <w:rFonts w:hint="eastAsia" w:ascii="宋体" w:hAnsi="宋体" w:cs="Arial"/>
                <w:color w:val="auto"/>
                <w:sz w:val="24"/>
                <w:lang w:val="en-US" w:eastAsia="zh-CN"/>
              </w:rPr>
              <w:t>等</w:t>
            </w:r>
            <w:r>
              <w:rPr>
                <w:rFonts w:hint="eastAsia" w:ascii="宋体" w:hAnsi="宋体" w:cs="Arial"/>
                <w:color w:val="auto"/>
                <w:sz w:val="24"/>
              </w:rPr>
              <w:t>。</w:t>
            </w:r>
          </w:p>
          <w:p>
            <w:pPr>
              <w:snapToGrid w:val="0"/>
              <w:spacing w:line="360" w:lineRule="auto"/>
              <w:rPr>
                <w:rFonts w:cs="Arial" w:asciiTheme="minorEastAsia" w:hAnsiTheme="minorEastAsia" w:eastAsiaTheme="minorEastAsia"/>
                <w:b/>
                <w:bCs/>
                <w:color w:val="auto"/>
                <w:sz w:val="24"/>
                <w:shd w:val="clear" w:color="FFFFFF" w:fill="D9D9D9"/>
              </w:rPr>
            </w:pPr>
            <w:r>
              <w:rPr>
                <w:rFonts w:hint="eastAsia" w:cs="Arial" w:asciiTheme="minorEastAsia" w:hAnsiTheme="minorEastAsia" w:eastAsiaTheme="minorEastAsia"/>
                <w:color w:val="auto"/>
                <w:sz w:val="24"/>
              </w:rPr>
              <w:t>2、截止时点：</w:t>
            </w:r>
            <w:r>
              <w:rPr>
                <w:rFonts w:hint="eastAsia" w:cs="Arial" w:asciiTheme="minorEastAsia" w:hAnsiTheme="minorEastAsia" w:eastAsiaTheme="minorEastAsia"/>
                <w:color w:val="auto"/>
                <w:sz w:val="24"/>
                <w:lang w:val="en-US" w:eastAsia="zh-CN"/>
              </w:rPr>
              <w:t>评审结束</w:t>
            </w:r>
            <w:r>
              <w:rPr>
                <w:rFonts w:hint="eastAsia" w:cs="Arial" w:asciiTheme="minorEastAsia" w:hAnsiTheme="minorEastAsia" w:eastAsiaTheme="minorEastAsia"/>
                <w:color w:val="auto"/>
                <w:sz w:val="24"/>
              </w:rPr>
              <w:t>前。</w:t>
            </w:r>
          </w:p>
          <w:p>
            <w:pPr>
              <w:snapToGrid w:val="0"/>
              <w:spacing w:line="360" w:lineRule="auto"/>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3、</w:t>
            </w:r>
            <w:r>
              <w:rPr>
                <w:rFonts w:cs="Arial" w:asciiTheme="minorEastAsia" w:hAnsiTheme="minorEastAsia" w:eastAsiaTheme="minorEastAsia"/>
                <w:color w:val="auto"/>
                <w:sz w:val="24"/>
              </w:rPr>
              <w:t>信用信息查询记录和证据留存的具体方式</w:t>
            </w:r>
            <w:r>
              <w:rPr>
                <w:rFonts w:hint="eastAsia" w:cs="Arial" w:asciiTheme="minorEastAsia" w:hAnsiTheme="minorEastAsia" w:eastAsiaTheme="minorEastAsia"/>
                <w:color w:val="auto"/>
                <w:sz w:val="24"/>
              </w:rPr>
              <w:t>：由采购组织机构在规定查询时间内打印信用信息查询记录并归入项目档案。</w:t>
            </w:r>
          </w:p>
          <w:p>
            <w:pPr>
              <w:snapToGrid w:val="0"/>
              <w:spacing w:line="360" w:lineRule="auto"/>
              <w:rPr>
                <w:rFonts w:hint="default" w:eastAsia="宋体" w:asciiTheme="majorEastAsia" w:hAnsiTheme="majorEastAsia" w:cstheme="majorEastAsia"/>
                <w:color w:val="auto"/>
                <w:sz w:val="24"/>
                <w:szCs w:val="24"/>
                <w:lang w:val="en-US" w:eastAsia="zh-CN"/>
              </w:rPr>
            </w:pPr>
            <w:r>
              <w:rPr>
                <w:rFonts w:hint="eastAsia" w:cs="Arial" w:asciiTheme="minorEastAsia" w:hAnsiTheme="minorEastAsia" w:eastAsiaTheme="minorEastAsia"/>
                <w:color w:val="auto"/>
                <w:sz w:val="24"/>
              </w:rPr>
              <w:t>4、使用规则：对列入失信被执行人、重大税收违法案件当事人名单、政府采购严重违法失信行为记录名单及其他不符合《中华人民共和国政府采购法》第二十二条规定条件的供应商，</w:t>
            </w:r>
            <w:r>
              <w:rPr>
                <w:rFonts w:cs="Arial" w:asciiTheme="minorEastAsia" w:hAnsiTheme="minorEastAsia" w:eastAsiaTheme="minorEastAsia"/>
                <w:color w:val="auto"/>
                <w:sz w:val="24"/>
              </w:rPr>
              <w:t>将被</w:t>
            </w:r>
            <w:r>
              <w:rPr>
                <w:rFonts w:hint="eastAsia" w:cs="Arial" w:asciiTheme="minorEastAsia" w:hAnsiTheme="minorEastAsia" w:eastAsiaTheme="minorEastAsia"/>
                <w:color w:val="auto"/>
                <w:sz w:val="24"/>
              </w:rPr>
              <w:t>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13</w:t>
            </w:r>
          </w:p>
        </w:tc>
        <w:tc>
          <w:tcPr>
            <w:tcW w:w="19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lang w:val="en-US" w:eastAsia="zh-CN"/>
              </w:rPr>
              <w:t>小微企业查询</w:t>
            </w:r>
          </w:p>
        </w:tc>
        <w:tc>
          <w:tcPr>
            <w:tcW w:w="67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Arial" w:asciiTheme="minorEastAsia" w:hAnsiTheme="minorEastAsia" w:eastAsiaTheme="minorEastAsia"/>
                <w:color w:val="auto"/>
                <w:sz w:val="24"/>
              </w:rPr>
            </w:pPr>
            <w:r>
              <w:rPr>
                <w:rFonts w:hint="eastAsia" w:cs="Arial" w:asciiTheme="minorEastAsia" w:hAnsiTheme="minorEastAsia" w:eastAsiaTheme="minorEastAsia"/>
                <w:color w:val="auto"/>
                <w:sz w:val="24"/>
                <w:lang w:val="en-US" w:eastAsia="zh-CN"/>
              </w:rPr>
              <w:t>核查渠道：http://xwqy.gsxt.gov.cn/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lang w:val="en-US" w:eastAsia="zh-CN"/>
              </w:rPr>
              <w:t>14</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lang w:val="zh-CN"/>
              </w:rPr>
            </w:pPr>
            <w:r>
              <w:rPr>
                <w:rFonts w:hint="eastAsia" w:asciiTheme="majorEastAsia" w:hAnsiTheme="majorEastAsia" w:eastAsiaTheme="majorEastAsia" w:cstheme="majorEastAsia"/>
                <w:color w:val="auto"/>
                <w:sz w:val="24"/>
              </w:rPr>
              <w:t>投标保证金</w:t>
            </w:r>
          </w:p>
        </w:tc>
        <w:tc>
          <w:tcPr>
            <w:tcW w:w="672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ajorEastAsia" w:hAnsiTheme="majorEastAsia" w:eastAsiaTheme="majorEastAsia" w:cstheme="majorEastAsia"/>
                <w:color w:val="auto"/>
                <w:kern w:val="0"/>
                <w:sz w:val="24"/>
                <w:lang w:val="zh-CN" w:eastAsia="zh-CN"/>
              </w:rPr>
            </w:pPr>
            <w:r>
              <w:rPr>
                <w:rFonts w:hint="eastAsia" w:asciiTheme="majorEastAsia" w:hAnsiTheme="majorEastAsia" w:eastAsiaTheme="majorEastAsia" w:cstheme="majorEastAsia"/>
                <w:color w:val="auto"/>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15</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履约保证金</w:t>
            </w:r>
          </w:p>
        </w:tc>
        <w:tc>
          <w:tcPr>
            <w:tcW w:w="6729" w:type="dxa"/>
            <w:tcBorders>
              <w:top w:val="single" w:color="auto" w:sz="4" w:space="0"/>
              <w:left w:val="single" w:color="auto" w:sz="4" w:space="0"/>
              <w:bottom w:val="single" w:color="auto" w:sz="4" w:space="0"/>
              <w:right w:val="single" w:color="auto" w:sz="4" w:space="0"/>
            </w:tcBorders>
            <w:vAlign w:val="center"/>
          </w:tcPr>
          <w:p>
            <w:pPr>
              <w:pStyle w:val="9"/>
              <w:rPr>
                <w:rFonts w:hint="default" w:eastAsia="宋体" w:asciiTheme="majorEastAsia" w:hAnsiTheme="majorEastAsia" w:cstheme="majorEastAsia"/>
                <w:color w:val="auto"/>
                <w:sz w:val="24"/>
                <w:lang w:val="en-US" w:eastAsia="zh-CN"/>
              </w:rPr>
            </w:pPr>
            <w:r>
              <w:rPr>
                <w:rFonts w:hint="eastAsia" w:asciiTheme="majorEastAsia" w:hAnsiTheme="majorEastAsia" w:cstheme="majorEastAsia"/>
                <w:color w:val="auto"/>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16</w:t>
            </w:r>
          </w:p>
        </w:tc>
        <w:tc>
          <w:tcPr>
            <w:tcW w:w="19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lang w:val="zh-CN"/>
              </w:rPr>
              <w:t>实质性条款</w:t>
            </w:r>
          </w:p>
        </w:tc>
        <w:tc>
          <w:tcPr>
            <w:tcW w:w="67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0" w:leftChars="0" w:firstLine="0" w:firstLineChars="0"/>
              <w:jc w:val="left"/>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kern w:val="0"/>
                <w:sz w:val="24"/>
                <w:lang w:val="zh-CN"/>
              </w:rPr>
              <w:t>带“</w:t>
            </w:r>
            <w:r>
              <w:rPr>
                <w:rFonts w:hint="eastAsia" w:asciiTheme="majorEastAsia" w:hAnsiTheme="majorEastAsia" w:eastAsiaTheme="majorEastAsia" w:cstheme="majorEastAsia"/>
                <w:bCs/>
                <w:color w:val="auto"/>
                <w:sz w:val="24"/>
              </w:rPr>
              <w:t>▲”的条款是实质性条款，</w:t>
            </w:r>
            <w:r>
              <w:rPr>
                <w:rFonts w:hint="eastAsia" w:asciiTheme="majorEastAsia" w:hAnsiTheme="majorEastAsia" w:eastAsiaTheme="majorEastAsia" w:cstheme="majorEastAsia"/>
                <w:bCs/>
                <w:color w:val="auto"/>
                <w:sz w:val="24"/>
                <w:lang w:eastAsia="zh-CN"/>
              </w:rPr>
              <w:t>电子投标文件</w:t>
            </w:r>
            <w:r>
              <w:rPr>
                <w:rFonts w:hint="eastAsia" w:asciiTheme="majorEastAsia" w:hAnsiTheme="majorEastAsia" w:eastAsiaTheme="majorEastAsia" w:cstheme="majorEastAsia"/>
                <w:bCs/>
                <w:color w:val="auto"/>
                <w:sz w:val="24"/>
              </w:rPr>
              <w:t>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17</w:t>
            </w:r>
          </w:p>
        </w:tc>
        <w:tc>
          <w:tcPr>
            <w:tcW w:w="19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解释权</w:t>
            </w:r>
          </w:p>
        </w:tc>
        <w:tc>
          <w:tcPr>
            <w:tcW w:w="67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本招标文件解释权属于采购人和</w:t>
            </w:r>
            <w:r>
              <w:rPr>
                <w:rFonts w:hint="eastAsia" w:ascii="宋体" w:hAnsi="宋体" w:cs="Arial"/>
                <w:color w:val="auto"/>
                <w:sz w:val="24"/>
              </w:rPr>
              <w:t>台州市政府采购中心</w:t>
            </w:r>
          </w:p>
        </w:tc>
      </w:tr>
    </w:tbl>
    <w:p>
      <w:pPr>
        <w:pStyle w:val="9"/>
        <w:spacing w:line="360" w:lineRule="auto"/>
        <w:ind w:firstLine="480" w:firstLineChars="200"/>
        <w:rPr>
          <w:rFonts w:hint="eastAsia" w:ascii="宋体" w:hAnsi="宋体" w:eastAsia="宋体" w:cs="Arial"/>
          <w:color w:val="auto"/>
          <w:sz w:val="24"/>
          <w:lang w:eastAsia="zh-CN"/>
        </w:rPr>
      </w:pPr>
    </w:p>
    <w:p>
      <w:pPr>
        <w:pStyle w:val="12"/>
        <w:snapToGrid w:val="0"/>
        <w:spacing w:before="120" w:after="120" w:line="360" w:lineRule="auto"/>
        <w:rPr>
          <w:rFonts w:asciiTheme="minorEastAsia" w:hAnsiTheme="minorEastAsia" w:eastAsiaTheme="minorEastAsia"/>
          <w:b/>
          <w:sz w:val="24"/>
        </w:rPr>
      </w:pPr>
      <w:r>
        <w:rPr>
          <w:rFonts w:hint="eastAsia" w:asciiTheme="minorEastAsia" w:hAnsiTheme="minorEastAsia" w:eastAsiaTheme="minorEastAsia"/>
          <w:b/>
          <w:sz w:val="24"/>
        </w:rPr>
        <w:t>一 、总  则</w:t>
      </w:r>
    </w:p>
    <w:p>
      <w:pPr>
        <w:snapToGrid w:val="0"/>
        <w:spacing w:line="360" w:lineRule="auto"/>
        <w:ind w:firstLine="472" w:firstLineChars="196"/>
        <w:jc w:val="left"/>
        <w:outlineLvl w:val="1"/>
        <w:rPr>
          <w:rFonts w:asciiTheme="minorEastAsia" w:hAnsiTheme="minorEastAsia" w:eastAsiaTheme="minorEastAsia"/>
          <w:b/>
          <w:sz w:val="24"/>
        </w:rPr>
      </w:pPr>
      <w:r>
        <w:rPr>
          <w:rFonts w:hint="eastAsia" w:asciiTheme="minorEastAsia" w:hAnsiTheme="minorEastAsia" w:eastAsiaTheme="minorEastAsia"/>
          <w:b/>
          <w:sz w:val="24"/>
        </w:rPr>
        <w:t>（一）</w:t>
      </w:r>
      <w:r>
        <w:rPr>
          <w:rFonts w:asciiTheme="minorEastAsia" w:hAnsiTheme="minorEastAsia" w:eastAsiaTheme="minorEastAsia"/>
          <w:b/>
          <w:sz w:val="24"/>
        </w:rPr>
        <w:t xml:space="preserve"> 适用范围</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snapToGrid w:val="0"/>
        <w:spacing w:beforeLines="50" w:line="360" w:lineRule="auto"/>
        <w:ind w:firstLine="354" w:firstLineChars="147"/>
        <w:jc w:val="left"/>
        <w:outlineLvl w:val="1"/>
        <w:rPr>
          <w:rFonts w:asciiTheme="minorEastAsia" w:hAnsiTheme="minorEastAsia" w:eastAsiaTheme="minorEastAsia"/>
          <w:b/>
          <w:sz w:val="24"/>
        </w:rPr>
      </w:pPr>
      <w:r>
        <w:rPr>
          <w:rFonts w:hint="eastAsia" w:asciiTheme="minorEastAsia" w:hAnsiTheme="minorEastAsia" w:eastAsiaTheme="minorEastAsia"/>
          <w:b/>
          <w:sz w:val="24"/>
        </w:rPr>
        <w:t>（二）定义</w:t>
      </w:r>
    </w:p>
    <w:p>
      <w:pPr>
        <w:pStyle w:val="5"/>
        <w:keepNext w:val="0"/>
        <w:keepLines w:val="0"/>
        <w:tabs>
          <w:tab w:val="left" w:pos="0"/>
          <w:tab w:val="left" w:pos="851"/>
        </w:tabs>
        <w:snapToGrid w:val="0"/>
        <w:spacing w:before="0" w:after="0"/>
        <w:ind w:firstLine="566" w:firstLineChars="236"/>
        <w:jc w:val="left"/>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“采购组织机构”指采购人委托组织招标的集中采购机构</w:t>
      </w:r>
      <w:r>
        <w:rPr>
          <w:rFonts w:hint="eastAsia" w:cs="Arial"/>
          <w:bCs w:val="0"/>
          <w:sz w:val="24"/>
          <w:szCs w:val="24"/>
        </w:rPr>
        <w:t>/</w:t>
      </w:r>
      <w:r>
        <w:rPr>
          <w:rFonts w:hint="eastAsia"/>
          <w:bCs w:val="0"/>
          <w:sz w:val="24"/>
          <w:szCs w:val="24"/>
          <w:lang w:val="zh-CN"/>
        </w:rPr>
        <w:t>采购代理机构。</w:t>
      </w:r>
    </w:p>
    <w:p>
      <w:pPr>
        <w:snapToGrid w:val="0"/>
        <w:spacing w:line="360" w:lineRule="auto"/>
        <w:ind w:firstLine="566" w:firstLineChars="236"/>
        <w:rPr>
          <w:rFonts w:asciiTheme="minorEastAsia" w:hAnsiTheme="minorEastAsia" w:eastAsiaTheme="minorEastAsia"/>
          <w:sz w:val="24"/>
        </w:rPr>
      </w:pPr>
      <w:r>
        <w:rPr>
          <w:rFonts w:hint="eastAsia" w:asciiTheme="minorEastAsia" w:hAnsiTheme="minorEastAsia" w:eastAsiaTheme="minorEastAsia"/>
          <w:sz w:val="24"/>
        </w:rPr>
        <w:t>2、采购人：是指委托</w:t>
      </w:r>
      <w:r>
        <w:rPr>
          <w:rFonts w:hint="eastAsia" w:ascii="宋体" w:hAnsi="宋体"/>
          <w:sz w:val="24"/>
          <w:lang w:val="zh-CN"/>
        </w:rPr>
        <w:t>集中采购机构</w:t>
      </w:r>
      <w:r>
        <w:rPr>
          <w:rFonts w:hint="eastAsia" w:ascii="宋体" w:hAnsi="宋体" w:cs="Arial"/>
          <w:sz w:val="24"/>
        </w:rPr>
        <w:t>/</w:t>
      </w:r>
      <w:r>
        <w:rPr>
          <w:rFonts w:hint="eastAsia" w:asciiTheme="minorEastAsia" w:hAnsiTheme="minorEastAsia" w:eastAsiaTheme="minorEastAsia"/>
          <w:sz w:val="24"/>
        </w:rPr>
        <w:t>采购代理机构采购本次项目的国家机关、事业单位和团体组织。</w:t>
      </w:r>
    </w:p>
    <w:p>
      <w:pPr>
        <w:snapToGrid w:val="0"/>
        <w:spacing w:line="360" w:lineRule="auto"/>
        <w:ind w:left="424" w:leftChars="202" w:firstLine="141" w:firstLineChars="59"/>
        <w:jc w:val="left"/>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指向</w:t>
      </w:r>
      <w:r>
        <w:rPr>
          <w:rFonts w:hint="eastAsia" w:asciiTheme="minorEastAsia" w:hAnsiTheme="minorEastAsia" w:eastAsiaTheme="minorEastAsia"/>
          <w:sz w:val="24"/>
        </w:rPr>
        <w:t>采购</w:t>
      </w:r>
      <w:r>
        <w:rPr>
          <w:rFonts w:hint="eastAsia" w:ascii="宋体" w:hAnsi="宋体"/>
          <w:sz w:val="24"/>
          <w:lang w:val="zh-CN"/>
        </w:rPr>
        <w:t>组织</w:t>
      </w:r>
      <w:r>
        <w:rPr>
          <w:rFonts w:hint="eastAsia" w:asciiTheme="minorEastAsia" w:hAnsiTheme="minorEastAsia" w:eastAsiaTheme="minorEastAsia"/>
          <w:sz w:val="24"/>
        </w:rPr>
        <w:t>机构</w:t>
      </w:r>
      <w:r>
        <w:rPr>
          <w:rFonts w:asciiTheme="minorEastAsia" w:hAnsiTheme="minorEastAsia" w:eastAsiaTheme="minorEastAsia"/>
          <w:sz w:val="24"/>
        </w:rPr>
        <w:t>提交</w:t>
      </w:r>
      <w:r>
        <w:rPr>
          <w:rFonts w:hint="eastAsia" w:asciiTheme="minorEastAsia" w:hAnsiTheme="minorEastAsia" w:eastAsiaTheme="minorEastAsia"/>
          <w:sz w:val="24"/>
        </w:rPr>
        <w:t>电子投标文件</w:t>
      </w:r>
      <w:r>
        <w:rPr>
          <w:rFonts w:asciiTheme="minorEastAsia" w:hAnsiTheme="minorEastAsia" w:eastAsiaTheme="minorEastAsia"/>
          <w:sz w:val="24"/>
        </w:rPr>
        <w:t>的单位或个人。</w:t>
      </w:r>
    </w:p>
    <w:p>
      <w:pPr>
        <w:snapToGrid w:val="0"/>
        <w:spacing w:line="360" w:lineRule="auto"/>
        <w:ind w:left="424" w:leftChars="202" w:firstLine="143"/>
        <w:jc w:val="left"/>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货物</w:t>
      </w:r>
      <w:r>
        <w:rPr>
          <w:rFonts w:hint="eastAsia" w:asciiTheme="minorEastAsia" w:hAnsiTheme="minorEastAsia" w:eastAsiaTheme="minorEastAsia"/>
          <w:sz w:val="24"/>
        </w:rPr>
        <w:t>：</w:t>
      </w:r>
      <w:r>
        <w:rPr>
          <w:rFonts w:asciiTheme="minorEastAsia" w:hAnsiTheme="minorEastAsia" w:eastAsiaTheme="minorEastAsia"/>
          <w:sz w:val="24"/>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sz w:val="24"/>
        </w:rPr>
      </w:pPr>
      <w:r>
        <w:rPr>
          <w:rFonts w:hint="eastAsia" w:asciiTheme="minorEastAsia" w:hAnsiTheme="minorEastAsia" w:eastAsiaTheme="minorEastAsia"/>
          <w:sz w:val="24"/>
        </w:rPr>
        <w:t>5、</w:t>
      </w:r>
      <w:r>
        <w:rPr>
          <w:rFonts w:asciiTheme="minorEastAsia" w:hAnsiTheme="minorEastAsia" w:eastAsiaTheme="minorEastAsia"/>
          <w:sz w:val="24"/>
        </w:rPr>
        <w:t>服务</w:t>
      </w:r>
      <w:r>
        <w:rPr>
          <w:rFonts w:hint="eastAsia" w:asciiTheme="minorEastAsia" w:hAnsiTheme="minorEastAsia" w:eastAsiaTheme="minorEastAsia"/>
          <w:sz w:val="24"/>
        </w:rPr>
        <w:t>：</w:t>
      </w:r>
      <w:r>
        <w:rPr>
          <w:rFonts w:asciiTheme="minorEastAsia" w:hAnsiTheme="minorEastAsia" w:eastAsiaTheme="minorEastAsia"/>
          <w:sz w:val="24"/>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“书面形式”包括信函、传真等。</w:t>
      </w:r>
    </w:p>
    <w:p>
      <w:pPr>
        <w:snapToGrid w:val="0"/>
        <w:spacing w:line="360" w:lineRule="auto"/>
        <w:ind w:firstLine="566" w:firstLineChars="236"/>
        <w:jc w:val="left"/>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“▲”系指实质性要求条款。</w:t>
      </w:r>
    </w:p>
    <w:p>
      <w:pPr>
        <w:snapToGrid w:val="0"/>
        <w:spacing w:beforeLines="50" w:line="360" w:lineRule="auto"/>
        <w:ind w:firstLine="472" w:firstLineChars="196"/>
        <w:jc w:val="left"/>
        <w:outlineLvl w:val="1"/>
        <w:rPr>
          <w:rFonts w:asciiTheme="minorEastAsia" w:hAnsiTheme="minorEastAsia" w:eastAsiaTheme="minorEastAsia"/>
          <w:b/>
          <w:sz w:val="24"/>
        </w:rPr>
      </w:pPr>
      <w:r>
        <w:rPr>
          <w:rFonts w:hint="eastAsia" w:asciiTheme="minorEastAsia" w:hAnsiTheme="minorEastAsia" w:eastAsiaTheme="minorEastAsia"/>
          <w:b/>
          <w:sz w:val="24"/>
        </w:rPr>
        <w:t>（三）投标费用</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不论投标结果如何，投标人均应自行承担所有与投标有关的全部费用（招标文件有相关规定除外）。</w:t>
      </w:r>
    </w:p>
    <w:p>
      <w:pPr>
        <w:pStyle w:val="12"/>
        <w:snapToGrid w:val="0"/>
        <w:spacing w:line="360" w:lineRule="auto"/>
        <w:ind w:left="2" w:leftChars="1" w:firstLine="482" w:firstLineChars="200"/>
        <w:rPr>
          <w:rFonts w:hAnsi="宋体"/>
          <w:b/>
          <w:sz w:val="24"/>
        </w:rPr>
      </w:pPr>
      <w:r>
        <w:rPr>
          <w:rFonts w:hint="eastAsia" w:hAnsi="宋体"/>
          <w:b/>
          <w:sz w:val="24"/>
        </w:rPr>
        <w:t>（四）特别说明</w:t>
      </w:r>
    </w:p>
    <w:p>
      <w:pPr>
        <w:pStyle w:val="12"/>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sz w:val="24"/>
        </w:rPr>
        <w:t>指</w:t>
      </w:r>
      <w:r>
        <w:rPr>
          <w:rFonts w:asciiTheme="minorEastAsia" w:hAnsiTheme="minorEastAsia" w:eastAsiaTheme="minorEastAsia"/>
          <w:sz w:val="24"/>
        </w:rPr>
        <w:t>本法人或控股公司正式员工）。</w:t>
      </w:r>
    </w:p>
    <w:p>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2、投标供应商所投产品除招标文件中明确规定要求“提供官网截图或相应检测报告的证明材料”以外，所有技术参数描述均以电子投标文件为准。投标供应商对所投产品技术参数的真实性承担法律责任。项目招标结束后、质疑期限内，如有质疑供应商认为中标供应商所投产品、电子投标文件技术参数与招标需求存在重大偏离、错误、甚至造假的情况，应提供具体有效的证明材料。</w:t>
      </w:r>
      <w:r>
        <w:rPr>
          <w:rFonts w:hint="eastAsia" w:asciiTheme="minorEastAsia" w:hAnsiTheme="minorEastAsia" w:eastAsiaTheme="minorEastAsia" w:cstheme="minorBidi"/>
          <w:sz w:val="24"/>
        </w:rPr>
        <w:tab/>
      </w:r>
    </w:p>
    <w:p>
      <w:pPr>
        <w:pStyle w:val="29"/>
        <w:snapToGrid w:val="0"/>
        <w:spacing w:line="360" w:lineRule="auto"/>
        <w:ind w:firstLineChars="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3、</w:t>
      </w:r>
      <w:r>
        <w:rPr>
          <w:rFonts w:asciiTheme="minorEastAsia" w:hAnsiTheme="minorEastAsia" w:eastAsiaTheme="minorEastAsia" w:cstheme="minorBidi"/>
          <w:sz w:val="24"/>
          <w:szCs w:val="24"/>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sz w:val="24"/>
          <w:szCs w:val="24"/>
        </w:rPr>
        <w:t>，</w:t>
      </w:r>
      <w:r>
        <w:rPr>
          <w:rFonts w:asciiTheme="minorEastAsia" w:hAnsiTheme="minorEastAsia" w:eastAsiaTheme="minorEastAsia" w:cstheme="minorBidi"/>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sz w:val="24"/>
          <w:szCs w:val="24"/>
        </w:rPr>
        <w:t>。</w:t>
      </w:r>
    </w:p>
    <w:p>
      <w:pPr>
        <w:pStyle w:val="5"/>
        <w:keepNext w:val="0"/>
        <w:keepLines w:val="0"/>
        <w:tabs>
          <w:tab w:val="left" w:pos="851"/>
        </w:tabs>
        <w:snapToGrid w:val="0"/>
        <w:spacing w:before="0" w:after="0" w:line="360" w:lineRule="auto"/>
        <w:ind w:firstLine="480" w:firstLineChars="200"/>
        <w:rPr>
          <w:rFonts w:asciiTheme="minorEastAsia" w:hAnsiTheme="minorEastAsia" w:eastAsiaTheme="minorEastAsia" w:cstheme="minorBidi"/>
          <w:sz w:val="24"/>
          <w:szCs w:val="24"/>
        </w:rPr>
      </w:pPr>
      <w:r>
        <w:rPr>
          <w:rFonts w:hint="eastAsia" w:asciiTheme="minorEastAsia" w:hAnsiTheme="minorEastAsia" w:eastAsiaTheme="minorEastAsia"/>
          <w:sz w:val="24"/>
          <w:szCs w:val="24"/>
        </w:rPr>
        <w:t>4、投标人被列入“黑名单”的，采购组织单位将根据《浙江省政府采购供应商注册及诚信管理暂行办法》第四十六条之规定，在处罚有效期内，资格审查时不予通过。</w:t>
      </w:r>
    </w:p>
    <w:p>
      <w:pPr>
        <w:pStyle w:val="5"/>
        <w:keepNext w:val="0"/>
        <w:keepLines w:val="0"/>
        <w:tabs>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bCs w:val="0"/>
          <w:sz w:val="24"/>
          <w:szCs w:val="24"/>
        </w:rPr>
        <w:t>5、投标人不得相互串通投标报价，不得妨碍其他投标人的公平竞争，不得损害采购人或其他投标人的合法权益，投标人不得以向采购人、评标委员会成员行贿或者采取其他不正当手段谋取中标。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tabs>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bCs w:val="0"/>
          <w:sz w:val="24"/>
          <w:szCs w:val="24"/>
        </w:rPr>
        <w:t>6、为采购项目提供整体设计、规范编制或者项目管理、监理、检测等服务的供应商，不得再参加该采购项目的其他采购活动。</w:t>
      </w:r>
    </w:p>
    <w:p>
      <w:pPr>
        <w:pStyle w:val="5"/>
        <w:keepNext w:val="0"/>
        <w:keepLines w:val="0"/>
        <w:tabs>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bCs w:val="0"/>
          <w:sz w:val="24"/>
          <w:szCs w:val="24"/>
        </w:rPr>
        <w:t>7、电子投标文件格式中的表格式样可以根据项目差别做适当调整,但应当保持表格样式基本形态不变。</w:t>
      </w:r>
    </w:p>
    <w:p>
      <w:pPr>
        <w:pStyle w:val="5"/>
        <w:keepNext w:val="0"/>
        <w:keepLines w:val="0"/>
        <w:tabs>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bCs w:val="0"/>
          <w:sz w:val="24"/>
          <w:szCs w:val="24"/>
        </w:rPr>
        <w:t>8、单位负责人为同一人或者存在直接控股、管理关系的不同供应商，不得参加同一合同项下的政府采购活动。</w:t>
      </w:r>
    </w:p>
    <w:p>
      <w:pPr>
        <w:pStyle w:val="5"/>
        <w:keepNext w:val="0"/>
        <w:keepLines w:val="0"/>
        <w:tabs>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bCs w:val="0"/>
          <w:sz w:val="24"/>
          <w:szCs w:val="24"/>
        </w:rPr>
        <w:t>9、本项目不允许分包。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kern w:val="0"/>
          <w:sz w:val="24"/>
        </w:rPr>
      </w:pPr>
      <w:r>
        <w:rPr>
          <w:rFonts w:hint="eastAsia" w:asciiTheme="minorEastAsia" w:hAnsiTheme="minorEastAsia" w:eastAsiaTheme="minorEastAsia"/>
          <w:b/>
          <w:kern w:val="0"/>
          <w:sz w:val="24"/>
        </w:rPr>
        <w:t>二、招标文件</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（一）招标文件由招标文件总目录所列内容组成。</w:t>
      </w:r>
    </w:p>
    <w:p>
      <w:pPr>
        <w:autoSpaceDE w:val="0"/>
        <w:autoSpaceDN w:val="0"/>
        <w:adjustRightInd w:val="0"/>
        <w:spacing w:line="360" w:lineRule="auto"/>
        <w:ind w:firstLine="360" w:firstLineChars="150"/>
        <w:rPr>
          <w:rFonts w:asciiTheme="minorEastAsia" w:hAnsiTheme="minorEastAsia" w:eastAsiaTheme="minorEastAsia"/>
          <w:kern w:val="0"/>
          <w:sz w:val="24"/>
        </w:rPr>
      </w:pPr>
      <w:r>
        <w:rPr>
          <w:rFonts w:hint="eastAsia" w:asciiTheme="minorEastAsia" w:hAnsiTheme="minorEastAsia" w:eastAsiaTheme="minorEastAsia"/>
          <w:kern w:val="0"/>
          <w:sz w:val="24"/>
        </w:rPr>
        <w:t>（二）招标文件的澄清或修改</w:t>
      </w:r>
    </w:p>
    <w:p>
      <w:pPr>
        <w:autoSpaceDE w:val="0"/>
        <w:autoSpaceDN w:val="0"/>
        <w:adjustRightInd w:val="0"/>
        <w:spacing w:line="360" w:lineRule="auto"/>
        <w:ind w:firstLine="420" w:firstLineChars="175"/>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1、采购组织机构可视采购具体情况对已发出的招标文件进行必要的澄清或者修改。澄清或者修改的内容可能影响电子投标文件编制的，采购人或者采购组织机构应当在投标截止时间至少15日前，在原公告发布媒体上发布澄清公告，澄清或者修改的内容为招标文件的组成部分；不足15日的，采购人或者采购组织机构应当顺延提交电子投标文件的截止时间。 </w:t>
      </w:r>
    </w:p>
    <w:p>
      <w:pPr>
        <w:autoSpaceDE w:val="0"/>
        <w:autoSpaceDN w:val="0"/>
        <w:adjustRightIn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2、</w:t>
      </w:r>
      <w:r>
        <w:rPr>
          <w:rFonts w:asciiTheme="minorEastAsia" w:hAnsiTheme="minorEastAsia" w:eastAsiaTheme="minorEastAsia"/>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kern w:val="0"/>
          <w:sz w:val="24"/>
        </w:rPr>
        <w:t>。</w:t>
      </w:r>
    </w:p>
    <w:p>
      <w:pPr>
        <w:tabs>
          <w:tab w:val="left" w:pos="1418"/>
        </w:tabs>
        <w:autoSpaceDE w:val="0"/>
        <w:autoSpaceDN w:val="0"/>
        <w:adjustRightInd w:val="0"/>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 xml:space="preserve"> 三、投标文件</w:t>
      </w:r>
    </w:p>
    <w:p>
      <w:pPr>
        <w:autoSpaceDE w:val="0"/>
        <w:autoSpaceDN w:val="0"/>
        <w:adjustRightInd w:val="0"/>
        <w:spacing w:line="360" w:lineRule="auto"/>
        <w:ind w:firstLine="482" w:firstLineChars="200"/>
        <w:rPr>
          <w:rFonts w:asciiTheme="minorEastAsia" w:hAnsiTheme="minorEastAsia" w:eastAsiaTheme="minorEastAsia"/>
          <w:b/>
          <w:bCs/>
          <w:kern w:val="0"/>
          <w:sz w:val="24"/>
        </w:rPr>
      </w:pPr>
      <w:r>
        <w:rPr>
          <w:rFonts w:hint="eastAsia" w:ascii="宋体"/>
          <w:b/>
          <w:sz w:val="24"/>
          <w:lang w:val="zh-CN"/>
        </w:rPr>
        <w:t>（一）</w:t>
      </w:r>
      <w:r>
        <w:rPr>
          <w:rFonts w:hint="eastAsia" w:asciiTheme="minorEastAsia" w:hAnsiTheme="minorEastAsia" w:eastAsiaTheme="minorEastAsia"/>
          <w:b/>
          <w:bCs/>
          <w:kern w:val="0"/>
          <w:sz w:val="24"/>
        </w:rPr>
        <w:t>投标文件的组成</w:t>
      </w:r>
    </w:p>
    <w:p>
      <w:pPr>
        <w:snapToGrid w:val="0"/>
        <w:spacing w:line="360" w:lineRule="auto"/>
        <w:ind w:firstLine="480" w:firstLineChars="200"/>
        <w:rPr>
          <w:rFonts w:ascii="仿宋_GB2312" w:hAnsi="仿宋_GB2312" w:eastAsia="仿宋_GB2312" w:cs="仿宋_GB2312"/>
          <w:sz w:val="24"/>
          <w:lang w:val="zh-CN"/>
        </w:rPr>
      </w:pPr>
      <w:r>
        <w:rPr>
          <w:rFonts w:hint="eastAsia" w:asciiTheme="minorEastAsia" w:hAnsiTheme="minorEastAsia" w:eastAsiaTheme="minorEastAsia"/>
          <w:kern w:val="0"/>
          <w:sz w:val="24"/>
        </w:rPr>
        <w:t xml:space="preserve">  投标人接到招标文件后，按照采购组织机构的要求提供：资格证明文件、商务与技术文件和报价文件。</w:t>
      </w:r>
      <w:r>
        <w:rPr>
          <w:rFonts w:hint="eastAsia" w:asciiTheme="minorEastAsia" w:hAnsiTheme="minorEastAsia" w:eastAsiaTheme="minorEastAsia"/>
          <w:kern w:val="0"/>
          <w:sz w:val="24"/>
          <w:lang w:val="zh-CN"/>
        </w:rPr>
        <w:t>【特别提示：如在投标时有要求提供资料原件的，将原件扫描放入投标文件。】</w:t>
      </w:r>
    </w:p>
    <w:p>
      <w:pPr>
        <w:snapToGrid w:val="0"/>
        <w:spacing w:line="360" w:lineRule="auto"/>
        <w:ind w:firstLine="482" w:firstLineChars="200"/>
        <w:rPr>
          <w:rFonts w:asciiTheme="minorEastAsia" w:hAnsiTheme="minorEastAsia" w:eastAsiaTheme="minorEastAsia"/>
          <w:kern w:val="0"/>
          <w:sz w:val="24"/>
        </w:rPr>
      </w:pPr>
      <w:r>
        <w:rPr>
          <w:rFonts w:hint="eastAsia" w:ascii="宋体" w:hAnsi="宋体" w:cs="宋体"/>
          <w:b/>
          <w:sz w:val="24"/>
        </w:rPr>
        <w:t>▲</w:t>
      </w:r>
      <w:r>
        <w:rPr>
          <w:rFonts w:hint="eastAsia" w:asciiTheme="minorEastAsia" w:hAnsiTheme="minorEastAsia" w:eastAsiaTheme="minorEastAsia"/>
          <w:b/>
          <w:sz w:val="24"/>
        </w:rPr>
        <w:t>1、资格证明</w:t>
      </w:r>
      <w:r>
        <w:rPr>
          <w:rFonts w:asciiTheme="minorEastAsia" w:hAnsiTheme="minorEastAsia" w:eastAsiaTheme="minorEastAsia"/>
          <w:b/>
          <w:sz w:val="24"/>
        </w:rPr>
        <w:t>文件</w:t>
      </w:r>
      <w:r>
        <w:rPr>
          <w:rFonts w:hint="eastAsia" w:ascii="宋体" w:hAnsi="宋体"/>
          <w:b/>
          <w:sz w:val="24"/>
        </w:rPr>
        <w:t>的组成：</w:t>
      </w:r>
    </w:p>
    <w:p>
      <w:pPr>
        <w:snapToGrid w:val="0"/>
        <w:spacing w:line="360" w:lineRule="auto"/>
        <w:ind w:firstLine="480" w:firstLineChars="200"/>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lang w:val="en-US" w:eastAsia="zh-CN"/>
        </w:rPr>
        <w:t>(1)</w:t>
      </w:r>
      <w:r>
        <w:rPr>
          <w:rFonts w:hint="eastAsia" w:asciiTheme="minorEastAsia" w:hAnsiTheme="minorEastAsia" w:eastAsiaTheme="minorEastAsia"/>
          <w:kern w:val="0"/>
          <w:sz w:val="24"/>
        </w:rPr>
        <w:t>声明书（附件</w:t>
      </w:r>
      <w:r>
        <w:rPr>
          <w:rFonts w:hint="eastAsia" w:asciiTheme="minorEastAsia" w:hAnsiTheme="minorEastAsia" w:eastAsiaTheme="minorEastAsia"/>
          <w:kern w:val="0"/>
          <w:sz w:val="24"/>
          <w:lang w:val="en-US" w:eastAsia="zh-CN"/>
        </w:rPr>
        <w:t>1</w:t>
      </w:r>
      <w:r>
        <w:rPr>
          <w:rFonts w:hint="eastAsia" w:asciiTheme="minorEastAsia" w:hAnsiTheme="minorEastAsia" w:eastAsiaTheme="minorEastAsia"/>
          <w:kern w:val="0"/>
          <w:sz w:val="24"/>
        </w:rPr>
        <w:t>）</w:t>
      </w:r>
      <w:r>
        <w:rPr>
          <w:rFonts w:hint="eastAsia" w:asciiTheme="minorEastAsia" w:hAnsiTheme="minorEastAsia" w:eastAsiaTheme="minorEastAsia"/>
          <w:kern w:val="0"/>
          <w:sz w:val="24"/>
          <w:lang w:eastAsia="zh-CN"/>
        </w:rPr>
        <w:t>；</w:t>
      </w:r>
    </w:p>
    <w:p>
      <w:pPr>
        <w:snapToGrid w:val="0"/>
        <w:spacing w:line="360" w:lineRule="auto"/>
        <w:ind w:firstLine="480" w:firstLineChars="200"/>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lang w:val="en-US" w:eastAsia="zh-CN"/>
        </w:rPr>
        <w:t>(2)</w:t>
      </w:r>
      <w:r>
        <w:rPr>
          <w:rFonts w:hint="eastAsia" w:asciiTheme="minorEastAsia" w:hAnsiTheme="minorEastAsia" w:eastAsiaTheme="minorEastAsia"/>
          <w:kern w:val="0"/>
          <w:sz w:val="24"/>
        </w:rPr>
        <w:t>授权委托书（附件</w:t>
      </w:r>
      <w:r>
        <w:rPr>
          <w:rFonts w:hint="eastAsia" w:asciiTheme="minorEastAsia" w:hAnsiTheme="minorEastAsia" w:eastAsiaTheme="minorEastAsia"/>
          <w:kern w:val="0"/>
          <w:sz w:val="24"/>
          <w:lang w:val="en-US" w:eastAsia="zh-CN"/>
        </w:rPr>
        <w:t>2</w:t>
      </w:r>
      <w:r>
        <w:rPr>
          <w:rFonts w:hint="eastAsia" w:asciiTheme="minorEastAsia" w:hAnsiTheme="minorEastAsia" w:eastAsiaTheme="minorEastAsia"/>
          <w:kern w:val="0"/>
          <w:sz w:val="24"/>
        </w:rPr>
        <w:t>）</w:t>
      </w:r>
      <w:r>
        <w:rPr>
          <w:rFonts w:hint="eastAsia" w:asciiTheme="minorEastAsia" w:hAnsiTheme="minorEastAsia" w:eastAsiaTheme="minorEastAsia"/>
          <w:kern w:val="0"/>
          <w:sz w:val="24"/>
          <w:lang w:eastAsia="zh-CN"/>
        </w:rPr>
        <w:t>；</w:t>
      </w:r>
    </w:p>
    <w:p>
      <w:pPr>
        <w:snapToGrid w:val="0"/>
        <w:spacing w:line="360" w:lineRule="auto"/>
        <w:ind w:firstLine="480" w:firstLineChars="200"/>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lang w:val="en-US" w:eastAsia="zh-CN"/>
        </w:rPr>
        <w:t>(3)</w:t>
      </w:r>
      <w:r>
        <w:rPr>
          <w:rFonts w:hint="eastAsia" w:asciiTheme="minorEastAsia" w:hAnsiTheme="minorEastAsia" w:eastAsiaTheme="minorEastAsia"/>
          <w:kern w:val="0"/>
          <w:sz w:val="24"/>
        </w:rPr>
        <w:t>法人或者其他组织的营业执照等证明文件，自然人的身份证明</w:t>
      </w:r>
      <w:r>
        <w:rPr>
          <w:rFonts w:hint="eastAsia" w:asciiTheme="minorEastAsia" w:hAnsiTheme="minorEastAsia" w:eastAsiaTheme="minorEastAsia"/>
          <w:kern w:val="0"/>
          <w:sz w:val="24"/>
          <w:lang w:eastAsia="zh-CN"/>
        </w:rPr>
        <w:t>；</w:t>
      </w:r>
    </w:p>
    <w:p>
      <w:pPr>
        <w:snapToGrid w:val="0"/>
        <w:spacing w:line="360" w:lineRule="auto"/>
        <w:ind w:firstLine="480" w:firstLineChars="200"/>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lang w:val="en-US" w:eastAsia="zh-CN"/>
        </w:rPr>
        <w:t>(4)</w:t>
      </w:r>
      <w:r>
        <w:rPr>
          <w:rFonts w:hint="eastAsia" w:asciiTheme="minorEastAsia" w:hAnsiTheme="minorEastAsia" w:eastAsiaTheme="minorEastAsia"/>
          <w:kern w:val="0"/>
          <w:sz w:val="24"/>
        </w:rPr>
        <w:t>财务状况报告，依法缴纳税收和社会保障资金的相关材料</w:t>
      </w:r>
      <w:r>
        <w:rPr>
          <w:rFonts w:hint="eastAsia" w:asciiTheme="minorEastAsia" w:hAnsiTheme="minorEastAsia" w:eastAsiaTheme="minorEastAsia"/>
          <w:kern w:val="0"/>
          <w:sz w:val="24"/>
          <w:lang w:eastAsia="zh-CN"/>
        </w:rPr>
        <w:t>；</w:t>
      </w:r>
    </w:p>
    <w:p>
      <w:pPr>
        <w:snapToGrid w:val="0"/>
        <w:spacing w:line="360" w:lineRule="auto"/>
        <w:ind w:firstLine="480" w:firstLineChars="200"/>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lang w:val="en-US" w:eastAsia="zh-CN"/>
        </w:rPr>
        <w:t>(5)</w:t>
      </w:r>
      <w:r>
        <w:rPr>
          <w:rFonts w:hint="eastAsia" w:asciiTheme="minorEastAsia" w:hAnsiTheme="minorEastAsia" w:eastAsiaTheme="minorEastAsia"/>
          <w:kern w:val="0"/>
          <w:sz w:val="24"/>
        </w:rPr>
        <w:t>本项目要求的特定资质证书</w:t>
      </w:r>
      <w:r>
        <w:rPr>
          <w:rFonts w:hint="eastAsia" w:asciiTheme="minorEastAsia" w:hAnsiTheme="minorEastAsia" w:eastAsiaTheme="minorEastAsia"/>
          <w:kern w:val="0"/>
          <w:sz w:val="24"/>
          <w:lang w:eastAsia="zh-CN"/>
        </w:rPr>
        <w:t>；</w:t>
      </w:r>
    </w:p>
    <w:p>
      <w:pPr>
        <w:snapToGrid w:val="0"/>
        <w:spacing w:line="360" w:lineRule="auto"/>
        <w:ind w:firstLine="482" w:firstLineChars="200"/>
        <w:rPr>
          <w:rFonts w:hint="eastAsia" w:ascii="宋体" w:hAnsi="宋体"/>
          <w:b/>
          <w:sz w:val="24"/>
        </w:rPr>
      </w:pPr>
      <w:r>
        <w:rPr>
          <w:rFonts w:hint="eastAsia" w:asciiTheme="minorEastAsia" w:hAnsiTheme="minorEastAsia" w:eastAsiaTheme="minorEastAsia"/>
          <w:b/>
          <w:sz w:val="24"/>
        </w:rPr>
        <w:t>2、</w:t>
      </w:r>
      <w:r>
        <w:rPr>
          <w:rFonts w:hint="eastAsia" w:ascii="宋体" w:hAnsi="宋体"/>
          <w:b/>
          <w:sz w:val="24"/>
        </w:rPr>
        <w:t>商务与技术文件的组成：</w:t>
      </w:r>
    </w:p>
    <w:p>
      <w:pPr>
        <w:snapToGrid w:val="0"/>
        <w:spacing w:line="360" w:lineRule="auto"/>
        <w:ind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lang w:val="en-US" w:eastAsia="zh-CN"/>
        </w:rPr>
        <w:t>(</w:t>
      </w:r>
      <w:r>
        <w:rPr>
          <w:rFonts w:hint="eastAsia" w:asciiTheme="minorEastAsia" w:hAnsiTheme="minorEastAsia" w:eastAsiaTheme="minorEastAsia"/>
          <w:kern w:val="0"/>
          <w:sz w:val="24"/>
        </w:rPr>
        <w:t>1</w:t>
      </w:r>
      <w:r>
        <w:rPr>
          <w:rFonts w:hint="eastAsia" w:asciiTheme="minorEastAsia" w:hAnsiTheme="minorEastAsia" w:eastAsiaTheme="minorEastAsia"/>
          <w:kern w:val="0"/>
          <w:sz w:val="24"/>
          <w:lang w:val="en-US" w:eastAsia="zh-CN"/>
        </w:rPr>
        <w:t>)</w:t>
      </w:r>
      <w:r>
        <w:rPr>
          <w:rFonts w:hint="eastAsia" w:asciiTheme="minorEastAsia" w:hAnsiTheme="minorEastAsia" w:eastAsiaTheme="minorEastAsia"/>
          <w:kern w:val="0"/>
          <w:sz w:val="24"/>
        </w:rPr>
        <w:t>投标人情况介绍（附件</w:t>
      </w:r>
      <w:r>
        <w:rPr>
          <w:rFonts w:hint="eastAsia" w:asciiTheme="minorEastAsia" w:hAnsiTheme="minorEastAsia" w:eastAsiaTheme="minorEastAsia"/>
          <w:kern w:val="0"/>
          <w:sz w:val="24"/>
          <w:lang w:val="en-US" w:eastAsia="zh-CN"/>
        </w:rPr>
        <w:t>3</w:t>
      </w:r>
      <w:r>
        <w:rPr>
          <w:rFonts w:hint="eastAsia" w:asciiTheme="minorEastAsia" w:hAnsiTheme="minorEastAsia" w:eastAsiaTheme="minorEastAsia"/>
          <w:kern w:val="0"/>
          <w:sz w:val="24"/>
        </w:rPr>
        <w:t>）；</w:t>
      </w:r>
    </w:p>
    <w:p>
      <w:pPr>
        <w:snapToGrid w:val="0"/>
        <w:spacing w:line="360" w:lineRule="auto"/>
        <w:ind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lang w:val="en-US" w:eastAsia="zh-CN"/>
        </w:rPr>
        <w:t>(2)</w:t>
      </w:r>
      <w:r>
        <w:rPr>
          <w:rFonts w:hint="eastAsia" w:asciiTheme="minorEastAsia" w:hAnsiTheme="minorEastAsia" w:eastAsiaTheme="minorEastAsia"/>
          <w:kern w:val="0"/>
          <w:sz w:val="24"/>
        </w:rPr>
        <w:t>招标需求响应承诺函</w:t>
      </w:r>
      <w:r>
        <w:rPr>
          <w:rFonts w:hint="eastAsia" w:asciiTheme="minorEastAsia" w:hAnsiTheme="minorEastAsia" w:eastAsiaTheme="minorEastAsia"/>
          <w:kern w:val="0"/>
          <w:sz w:val="24"/>
          <w:lang w:eastAsia="zh-CN"/>
        </w:rPr>
        <w:t>（</w:t>
      </w:r>
      <w:r>
        <w:rPr>
          <w:rFonts w:hint="eastAsia" w:asciiTheme="minorEastAsia" w:hAnsiTheme="minorEastAsia" w:eastAsiaTheme="minorEastAsia"/>
          <w:kern w:val="0"/>
          <w:sz w:val="24"/>
          <w:lang w:val="en-US" w:eastAsia="zh-CN"/>
        </w:rPr>
        <w:t>附件4</w:t>
      </w:r>
      <w:r>
        <w:rPr>
          <w:rFonts w:hint="eastAsia" w:asciiTheme="minorEastAsia" w:hAnsiTheme="minorEastAsia" w:eastAsiaTheme="minorEastAsia"/>
          <w:kern w:val="0"/>
          <w:sz w:val="24"/>
          <w:lang w:eastAsia="zh-CN"/>
        </w:rPr>
        <w:t>）</w:t>
      </w:r>
      <w:r>
        <w:rPr>
          <w:rFonts w:hint="eastAsia" w:asciiTheme="minorEastAsia" w:hAnsiTheme="minorEastAsia" w:eastAsiaTheme="minorEastAsia"/>
          <w:kern w:val="0"/>
          <w:sz w:val="24"/>
        </w:rPr>
        <w:t>；</w:t>
      </w:r>
    </w:p>
    <w:p>
      <w:pPr>
        <w:snapToGrid w:val="0"/>
        <w:spacing w:line="360" w:lineRule="auto"/>
        <w:ind w:firstLine="480" w:firstLineChars="200"/>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lang w:val="en-US" w:eastAsia="zh-CN"/>
        </w:rPr>
        <w:t>(3)</w:t>
      </w:r>
      <w:r>
        <w:rPr>
          <w:rFonts w:hint="eastAsia" w:asciiTheme="minorEastAsia" w:hAnsiTheme="minorEastAsia" w:eastAsiaTheme="minorEastAsia"/>
          <w:kern w:val="0"/>
          <w:sz w:val="24"/>
        </w:rPr>
        <w:t>项目</w:t>
      </w:r>
      <w:r>
        <w:rPr>
          <w:rFonts w:hint="eastAsia" w:asciiTheme="minorEastAsia" w:hAnsiTheme="minorEastAsia" w:eastAsiaTheme="minorEastAsia"/>
          <w:kern w:val="0"/>
          <w:sz w:val="24"/>
          <w:lang w:val="en-US" w:eastAsia="zh-CN"/>
        </w:rPr>
        <w:t>服务</w:t>
      </w:r>
      <w:r>
        <w:rPr>
          <w:rFonts w:hint="eastAsia" w:asciiTheme="minorEastAsia" w:hAnsiTheme="minorEastAsia" w:eastAsiaTheme="minorEastAsia"/>
          <w:kern w:val="0"/>
          <w:sz w:val="24"/>
        </w:rPr>
        <w:t>人员一览表(附件</w:t>
      </w:r>
      <w:r>
        <w:rPr>
          <w:rFonts w:hint="eastAsia" w:asciiTheme="minorEastAsia" w:hAnsiTheme="minorEastAsia" w:eastAsiaTheme="minorEastAsia"/>
          <w:kern w:val="0"/>
          <w:sz w:val="24"/>
          <w:lang w:val="en-US" w:eastAsia="zh-CN"/>
        </w:rPr>
        <w:t>5</w:t>
      </w:r>
      <w:r>
        <w:rPr>
          <w:rFonts w:hint="eastAsia" w:asciiTheme="minorEastAsia" w:hAnsiTheme="minorEastAsia" w:eastAsiaTheme="minorEastAsia"/>
          <w:kern w:val="0"/>
          <w:sz w:val="24"/>
          <w:lang w:eastAsia="zh-CN"/>
        </w:rPr>
        <w:t>）；</w:t>
      </w:r>
    </w:p>
    <w:p>
      <w:pPr>
        <w:snapToGrid w:val="0"/>
        <w:spacing w:line="360" w:lineRule="auto"/>
        <w:ind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lang w:val="en-US" w:eastAsia="zh-CN"/>
        </w:rPr>
        <w:t>(4)服务网点（</w:t>
      </w:r>
      <w:r>
        <w:rPr>
          <w:rFonts w:hint="eastAsia" w:asciiTheme="minorEastAsia" w:hAnsiTheme="minorEastAsia" w:eastAsiaTheme="minorEastAsia"/>
          <w:kern w:val="0"/>
          <w:sz w:val="24"/>
        </w:rPr>
        <w:t>附件</w:t>
      </w:r>
      <w:r>
        <w:rPr>
          <w:rFonts w:hint="eastAsia" w:asciiTheme="minorEastAsia" w:hAnsiTheme="minorEastAsia" w:eastAsiaTheme="minorEastAsia"/>
          <w:kern w:val="0"/>
          <w:sz w:val="24"/>
          <w:lang w:val="en-US" w:eastAsia="zh-CN"/>
        </w:rPr>
        <w:t>6</w:t>
      </w:r>
      <w:r>
        <w:rPr>
          <w:rFonts w:hint="eastAsia" w:asciiTheme="minorEastAsia" w:hAnsiTheme="minorEastAsia" w:eastAsiaTheme="minorEastAsia"/>
          <w:kern w:val="0"/>
          <w:sz w:val="24"/>
        </w:rPr>
        <w:t>)；</w:t>
      </w:r>
    </w:p>
    <w:p>
      <w:pPr>
        <w:snapToGrid w:val="0"/>
        <w:spacing w:line="360" w:lineRule="auto"/>
        <w:ind w:firstLine="480" w:firstLineChars="200"/>
        <w:rPr>
          <w:rFonts w:hint="eastAsia" w:asciiTheme="minorEastAsia" w:hAnsiTheme="minorEastAsia" w:eastAsiaTheme="minorEastAsia"/>
          <w:kern w:val="0"/>
          <w:sz w:val="24"/>
          <w:lang w:val="en-US" w:eastAsia="zh-CN"/>
        </w:rPr>
      </w:pPr>
      <w:r>
        <w:rPr>
          <w:rFonts w:hint="eastAsia" w:asciiTheme="minorEastAsia" w:hAnsiTheme="minorEastAsia" w:eastAsiaTheme="minorEastAsia"/>
          <w:kern w:val="0"/>
          <w:sz w:val="24"/>
          <w:lang w:val="en-US" w:eastAsia="zh-CN"/>
        </w:rPr>
        <w:t>(5)优惠条件汇总表（附件7）；</w:t>
      </w:r>
    </w:p>
    <w:p>
      <w:pPr>
        <w:snapToGrid w:val="0"/>
        <w:spacing w:line="360" w:lineRule="auto"/>
        <w:ind w:firstLine="480" w:firstLineChars="200"/>
        <w:rPr>
          <w:rFonts w:hint="eastAsia" w:asciiTheme="minorEastAsia" w:hAnsiTheme="minorEastAsia" w:eastAsiaTheme="minorEastAsia"/>
          <w:kern w:val="0"/>
          <w:sz w:val="24"/>
          <w:lang w:val="en-US" w:eastAsia="zh-CN"/>
        </w:rPr>
      </w:pPr>
      <w:r>
        <w:rPr>
          <w:rFonts w:hint="eastAsia" w:asciiTheme="minorEastAsia" w:hAnsiTheme="minorEastAsia" w:eastAsiaTheme="minorEastAsia"/>
          <w:kern w:val="0"/>
          <w:sz w:val="24"/>
          <w:lang w:val="en-US" w:eastAsia="zh-CN"/>
        </w:rPr>
        <w:t>(6)赔款支付方式承诺函（附件8）；</w:t>
      </w:r>
    </w:p>
    <w:p>
      <w:pPr>
        <w:snapToGrid w:val="0"/>
        <w:spacing w:line="360" w:lineRule="auto"/>
        <w:ind w:firstLine="480" w:firstLineChars="200"/>
        <w:rPr>
          <w:rFonts w:hint="default" w:asciiTheme="minorEastAsia" w:hAnsiTheme="minorEastAsia" w:eastAsiaTheme="minorEastAsia"/>
          <w:kern w:val="0"/>
          <w:sz w:val="24"/>
          <w:lang w:val="en-US" w:eastAsia="zh-CN"/>
        </w:rPr>
      </w:pPr>
      <w:r>
        <w:rPr>
          <w:rFonts w:hint="eastAsia" w:asciiTheme="minorEastAsia" w:hAnsiTheme="minorEastAsia" w:eastAsiaTheme="minorEastAsia"/>
          <w:kern w:val="0"/>
          <w:sz w:val="24"/>
          <w:lang w:val="en-US" w:eastAsia="zh-CN"/>
        </w:rPr>
        <w:t>(7)服务方案；</w:t>
      </w:r>
    </w:p>
    <w:p>
      <w:pPr>
        <w:snapToGrid w:val="0"/>
        <w:spacing w:line="360" w:lineRule="auto"/>
        <w:ind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lang w:val="en-US" w:eastAsia="zh-CN"/>
        </w:rPr>
        <w:t>(8)创新措施；</w:t>
      </w:r>
      <w:r>
        <w:rPr>
          <w:rFonts w:hint="eastAsia" w:asciiTheme="minorEastAsia" w:hAnsiTheme="minorEastAsia" w:eastAsiaTheme="minorEastAsia"/>
          <w:kern w:val="0"/>
          <w:sz w:val="24"/>
        </w:rPr>
        <w:t xml:space="preserve"> </w:t>
      </w:r>
    </w:p>
    <w:p>
      <w:pPr>
        <w:snapToGrid w:val="0"/>
        <w:spacing w:line="360" w:lineRule="auto"/>
        <w:ind w:firstLine="480" w:firstLineChars="200"/>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lang w:val="en-US" w:eastAsia="zh-CN"/>
        </w:rPr>
        <w:t>(9)</w:t>
      </w:r>
      <w:r>
        <w:rPr>
          <w:rFonts w:hint="eastAsia" w:asciiTheme="minorEastAsia" w:hAnsiTheme="minorEastAsia" w:eastAsiaTheme="minorEastAsia"/>
          <w:kern w:val="0"/>
          <w:sz w:val="24"/>
        </w:rPr>
        <w:t>近三年来类似项目的成功案例（附件</w:t>
      </w:r>
      <w:r>
        <w:rPr>
          <w:rFonts w:hint="eastAsia" w:asciiTheme="minorEastAsia" w:hAnsiTheme="minorEastAsia" w:eastAsiaTheme="minorEastAsia"/>
          <w:kern w:val="0"/>
          <w:sz w:val="24"/>
          <w:lang w:val="en-US" w:eastAsia="zh-CN"/>
        </w:rPr>
        <w:t>9</w:t>
      </w:r>
      <w:r>
        <w:rPr>
          <w:rFonts w:hint="eastAsia" w:asciiTheme="minorEastAsia" w:hAnsiTheme="minorEastAsia" w:eastAsiaTheme="minorEastAsia"/>
          <w:kern w:val="0"/>
          <w:sz w:val="24"/>
        </w:rPr>
        <w:t>）</w:t>
      </w:r>
      <w:r>
        <w:rPr>
          <w:rFonts w:hint="eastAsia" w:asciiTheme="minorEastAsia" w:hAnsiTheme="minorEastAsia" w:eastAsiaTheme="minorEastAsia"/>
          <w:kern w:val="0"/>
          <w:sz w:val="24"/>
          <w:lang w:eastAsia="zh-CN"/>
        </w:rPr>
        <w:t>；</w:t>
      </w:r>
    </w:p>
    <w:p>
      <w:pPr>
        <w:snapToGrid w:val="0"/>
        <w:spacing w:line="360" w:lineRule="auto"/>
        <w:ind w:firstLine="480" w:firstLineChars="200"/>
      </w:pPr>
      <w:r>
        <w:rPr>
          <w:rFonts w:hint="eastAsia" w:asciiTheme="minorEastAsia" w:hAnsiTheme="minorEastAsia" w:eastAsiaTheme="minorEastAsia"/>
          <w:kern w:val="0"/>
          <w:sz w:val="24"/>
          <w:lang w:val="en-US" w:eastAsia="zh-CN"/>
        </w:rPr>
        <w:t>(10)</w:t>
      </w:r>
      <w:r>
        <w:rPr>
          <w:rFonts w:hint="eastAsia" w:asciiTheme="minorEastAsia" w:hAnsiTheme="minorEastAsia" w:eastAsiaTheme="minorEastAsia"/>
          <w:kern w:val="0"/>
          <w:sz w:val="24"/>
        </w:rPr>
        <w:t>投标人</w:t>
      </w:r>
      <w:r>
        <w:rPr>
          <w:rFonts w:hint="eastAsia" w:asciiTheme="minorEastAsia" w:hAnsiTheme="minorEastAsia" w:eastAsiaTheme="minorEastAsia"/>
          <w:kern w:val="0"/>
          <w:sz w:val="24"/>
          <w:lang w:val="en-US" w:eastAsia="zh-CN"/>
        </w:rPr>
        <w:t>认为需要</w:t>
      </w:r>
      <w:r>
        <w:rPr>
          <w:rFonts w:hint="eastAsia" w:asciiTheme="minorEastAsia" w:hAnsiTheme="minorEastAsia" w:eastAsiaTheme="minorEastAsia"/>
          <w:kern w:val="0"/>
          <w:sz w:val="24"/>
        </w:rPr>
        <w:t>说明的其他内容。</w:t>
      </w:r>
    </w:p>
    <w:p>
      <w:pPr>
        <w:autoSpaceDE w:val="0"/>
        <w:autoSpaceDN w:val="0"/>
        <w:adjustRightInd w:val="0"/>
        <w:spacing w:line="360" w:lineRule="auto"/>
        <w:ind w:left="426" w:firstLine="65" w:firstLineChars="27"/>
        <w:rPr>
          <w:rFonts w:asciiTheme="minorEastAsia" w:hAnsiTheme="minorEastAsia" w:eastAsiaTheme="minorEastAsia"/>
          <w:b/>
          <w:kern w:val="0"/>
          <w:sz w:val="24"/>
        </w:rPr>
      </w:pPr>
      <w:r>
        <w:rPr>
          <w:rFonts w:hint="eastAsia" w:asciiTheme="minorEastAsia" w:hAnsiTheme="minorEastAsia" w:eastAsiaTheme="minorEastAsia"/>
          <w:b/>
          <w:kern w:val="0"/>
          <w:sz w:val="24"/>
        </w:rPr>
        <w:t>3、报价文件的组成</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（1）报价文件由开标一览表、小微企业等声明函、产品适用政府采购政策情况表，以及投标人认为其他需要说明的内容组成。</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（2）此报价为投标人一次性报出唯一的最终价格，包含其它一切所要涉及到的费用，有选择的报价将被拒绝。</w:t>
      </w:r>
    </w:p>
    <w:p>
      <w:pPr>
        <w:snapToGrid w:val="0"/>
        <w:spacing w:line="360" w:lineRule="auto"/>
        <w:ind w:firstLine="480" w:firstLineChars="200"/>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w:t>
      </w:r>
      <w:r>
        <w:rPr>
          <w:rFonts w:hint="eastAsia" w:asciiTheme="minorEastAsia" w:hAnsiTheme="minorEastAsia" w:eastAsiaTheme="minorEastAsia"/>
          <w:kern w:val="0"/>
          <w:sz w:val="24"/>
        </w:rPr>
        <w:t>4</w:t>
      </w:r>
      <w:r>
        <w:rPr>
          <w:rFonts w:hint="eastAsia" w:asciiTheme="minorEastAsia" w:hAnsiTheme="minorEastAsia" w:eastAsiaTheme="minorEastAsia"/>
          <w:kern w:val="0"/>
          <w:sz w:val="24"/>
          <w:lang w:val="zh-CN"/>
        </w:rPr>
        <w:t>）</w:t>
      </w:r>
      <w:r>
        <w:rPr>
          <w:rFonts w:hint="eastAsia" w:asciiTheme="minorEastAsia" w:hAnsiTheme="minorEastAsia" w:eastAsiaTheme="minorEastAsia"/>
          <w:kern w:val="0"/>
          <w:sz w:val="24"/>
        </w:rPr>
        <w:t>政府采购优惠政策相关资料、产品适用政府采购政策情况表（如有）。</w:t>
      </w:r>
    </w:p>
    <w:p>
      <w:pPr>
        <w:pStyle w:val="9"/>
        <w:ind w:firstLine="480" w:firstLineChars="200"/>
        <w:rPr>
          <w:rFonts w:hint="eastAsia" w:cs="Times New Roman" w:asciiTheme="minorEastAsia" w:hAnsiTheme="minorEastAsia" w:eastAsiaTheme="minorEastAsia"/>
          <w:kern w:val="0"/>
          <w:sz w:val="24"/>
          <w:szCs w:val="24"/>
          <w:lang w:val="en-US" w:eastAsia="zh-CN" w:bidi="ar-SA"/>
        </w:rPr>
      </w:pPr>
      <w:r>
        <w:rPr>
          <w:rFonts w:hint="eastAsia" w:asciiTheme="minorEastAsia" w:hAnsiTheme="minorEastAsia" w:eastAsiaTheme="minorEastAsia"/>
          <w:kern w:val="0"/>
          <w:sz w:val="24"/>
        </w:rPr>
        <w:t>（5）</w:t>
      </w:r>
      <w:r>
        <w:rPr>
          <w:rFonts w:hint="eastAsia" w:cs="Times New Roman" w:asciiTheme="minorEastAsia" w:hAnsiTheme="minorEastAsia" w:eastAsiaTheme="minorEastAsia"/>
          <w:kern w:val="0"/>
          <w:sz w:val="24"/>
          <w:szCs w:val="24"/>
          <w:lang w:val="en-US" w:eastAsia="zh-CN" w:bidi="ar-SA"/>
        </w:rPr>
        <w:t>投标报价单填写需清楚明了，并加盖电子印章。因表达不清引起的后果由投标人负责。</w:t>
      </w:r>
    </w:p>
    <w:p>
      <w:pPr>
        <w:autoSpaceDE w:val="0"/>
        <w:autoSpaceDN w:val="0"/>
        <w:adjustRightIn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kern w:val="0"/>
          <w:sz w:val="24"/>
        </w:rPr>
        <w:t>6</w:t>
      </w:r>
      <w:r>
        <w:rPr>
          <w:rFonts w:hint="eastAsia" w:asciiTheme="minorEastAsia" w:hAnsiTheme="minorEastAsia" w:eastAsiaTheme="minorEastAsia"/>
          <w:sz w:val="24"/>
        </w:rPr>
        <w:t>）</w:t>
      </w:r>
      <w:r>
        <w:rPr>
          <w:rFonts w:asciiTheme="minorEastAsia" w:hAnsiTheme="minorEastAsia" w:eastAsiaTheme="minorEastAsia"/>
          <w:sz w:val="24"/>
        </w:rPr>
        <w:t>投标报价应按招标文件中相关附表格式填写。</w:t>
      </w:r>
    </w:p>
    <w:p>
      <w:pPr>
        <w:numPr>
          <w:ilvl w:val="0"/>
          <w:numId w:val="6"/>
        </w:numPr>
        <w:ind w:left="210" w:leftChars="0" w:firstLineChars="0"/>
        <w:rPr>
          <w:rFonts w:asciiTheme="minorEastAsia" w:hAnsiTheme="minorEastAsia" w:eastAsiaTheme="minorEastAsia"/>
          <w:b/>
          <w:bCs/>
          <w:kern w:val="0"/>
          <w:sz w:val="24"/>
        </w:rPr>
      </w:pPr>
      <w:r>
        <w:rPr>
          <w:rFonts w:hint="eastAsia" w:asciiTheme="minorEastAsia" w:hAnsiTheme="minorEastAsia" w:eastAsiaTheme="minorEastAsia"/>
          <w:b/>
          <w:bCs/>
          <w:kern w:val="0"/>
          <w:sz w:val="24"/>
          <w:lang w:eastAsia="zh-CN"/>
        </w:rPr>
        <w:t>投标方式：本项目采用电子投标。</w:t>
      </w:r>
    </w:p>
    <w:p>
      <w:pPr>
        <w:autoSpaceDE w:val="0"/>
        <w:autoSpaceDN w:val="0"/>
        <w:adjustRightInd w:val="0"/>
        <w:spacing w:line="360" w:lineRule="auto"/>
        <w:ind w:firstLine="482" w:firstLineChars="200"/>
        <w:rPr>
          <w:rFonts w:asciiTheme="minorEastAsia" w:hAnsiTheme="minorEastAsia" w:eastAsiaTheme="minorEastAsia"/>
          <w:b/>
          <w:bCs/>
          <w:sz w:val="24"/>
        </w:rPr>
      </w:pPr>
      <w:r>
        <w:rPr>
          <w:rFonts w:hint="eastAsia" w:asciiTheme="minorEastAsia" w:hAnsiTheme="minorEastAsia"/>
          <w:b/>
          <w:bCs/>
          <w:sz w:val="24"/>
        </w:rPr>
        <w:t>1、电子投标文件的制作要求</w:t>
      </w:r>
    </w:p>
    <w:p>
      <w:pPr>
        <w:spacing w:line="440" w:lineRule="exact"/>
        <w:ind w:firstLine="480" w:firstLineChars="200"/>
        <w:jc w:val="left"/>
        <w:rPr>
          <w:rFonts w:asciiTheme="minorEastAsia" w:hAnsiTheme="minorEastAsia"/>
          <w:kern w:val="0"/>
          <w:sz w:val="24"/>
        </w:rPr>
      </w:pPr>
      <w:r>
        <w:rPr>
          <w:rFonts w:hint="eastAsia" w:asciiTheme="minorEastAsia" w:hAnsiTheme="minorEastAsia"/>
          <w:sz w:val="24"/>
        </w:rPr>
        <w:t>（1）</w:t>
      </w:r>
      <w:r>
        <w:rPr>
          <w:rFonts w:hint="eastAsia" w:asciiTheme="minorEastAsia" w:hAnsiTheme="minorEastAsia" w:eastAsiaTheme="minorEastAsia"/>
          <w:sz w:val="24"/>
        </w:rPr>
        <w:t>投标人</w:t>
      </w:r>
      <w:r>
        <w:rPr>
          <w:rFonts w:hint="eastAsia" w:asciiTheme="minorEastAsia" w:hAnsiTheme="minorEastAsia"/>
          <w:sz w:val="24"/>
        </w:rPr>
        <w:t>应</w:t>
      </w:r>
      <w:r>
        <w:rPr>
          <w:rFonts w:hint="eastAsia" w:asciiTheme="minorEastAsia" w:hAnsiTheme="minorEastAsia" w:eastAsiaTheme="minorEastAsia"/>
          <w:sz w:val="24"/>
        </w:rPr>
        <w:t>按照电子投标文件</w:t>
      </w:r>
      <w:r>
        <w:rPr>
          <w:rFonts w:hint="eastAsia" w:asciiTheme="minorEastAsia" w:hAnsiTheme="minorEastAsia"/>
          <w:sz w:val="24"/>
        </w:rPr>
        <w:t>组成内容</w:t>
      </w:r>
      <w:r>
        <w:rPr>
          <w:rFonts w:hint="eastAsia" w:asciiTheme="minorEastAsia" w:hAnsiTheme="minorEastAsia" w:eastAsiaTheme="minorEastAsia"/>
          <w:sz w:val="24"/>
        </w:rPr>
        <w:t>及项目招标需求和浙江政府采购云平台要求制作电子投标文件，</w:t>
      </w:r>
      <w:r>
        <w:rPr>
          <w:rFonts w:hint="eastAsia" w:asciiTheme="minorEastAsia" w:hAnsiTheme="minorEastAsia" w:eastAsiaTheme="minorEastAsia"/>
          <w:kern w:val="0"/>
          <w:sz w:val="24"/>
        </w:rPr>
        <w:t>不按招标文件</w:t>
      </w:r>
      <w:r>
        <w:rPr>
          <w:rFonts w:hint="eastAsia" w:asciiTheme="minorEastAsia" w:hAnsiTheme="minorEastAsia" w:eastAsiaTheme="minorEastAsia"/>
          <w:sz w:val="24"/>
        </w:rPr>
        <w:t>和浙江政府采购云平台</w:t>
      </w:r>
      <w:r>
        <w:rPr>
          <w:rFonts w:hint="eastAsia" w:asciiTheme="minorEastAsia" w:hAnsiTheme="minorEastAsia" w:eastAsiaTheme="minorEastAsia"/>
          <w:kern w:val="0"/>
          <w:sz w:val="24"/>
        </w:rPr>
        <w:t>要求制作电子投标文件的将视情</w:t>
      </w:r>
      <w:r>
        <w:rPr>
          <w:rFonts w:hint="eastAsia" w:asciiTheme="minorEastAsia" w:hAnsiTheme="minorEastAsia"/>
          <w:kern w:val="0"/>
          <w:sz w:val="24"/>
        </w:rPr>
        <w:t>处理（拒收、扣分等），由此产生的责任由投标人自行承担。</w:t>
      </w:r>
    </w:p>
    <w:p>
      <w:pPr>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电子投标文件部分：投标人应根据“政采云供应商项目采购-电子招投标操作指南”及本招标文件规定的格式和顺序编制电子投标文件并进行关联定位。</w:t>
      </w:r>
    </w:p>
    <w:p>
      <w:pPr>
        <w:spacing w:line="440" w:lineRule="exact"/>
        <w:ind w:firstLine="480" w:firstLineChars="200"/>
        <w:jc w:val="left"/>
        <w:rPr>
          <w:rFonts w:ascii="宋体" w:hAnsi="宋体" w:cs="宋体"/>
          <w:bCs/>
          <w:sz w:val="24"/>
        </w:rPr>
      </w:pPr>
      <w:r>
        <w:rPr>
          <w:rFonts w:hint="eastAsia" w:ascii="宋体" w:hAnsi="宋体"/>
          <w:kern w:val="0"/>
          <w:sz w:val="24"/>
        </w:rPr>
        <w:t>备份电子投标文件：</w:t>
      </w:r>
      <w:r>
        <w:rPr>
          <w:rFonts w:hint="eastAsia" w:ascii="宋体" w:hAnsi="宋体" w:cs="宋体"/>
          <w:bCs/>
          <w:sz w:val="24"/>
        </w:rPr>
        <w:t>通过“政采云”平台电子投标工具制作电子投标文件所产生的备份文件</w:t>
      </w:r>
    </w:p>
    <w:p>
      <w:pPr>
        <w:pStyle w:val="9"/>
        <w:spacing w:line="360" w:lineRule="auto"/>
        <w:ind w:firstLine="480" w:firstLineChars="200"/>
      </w:pPr>
      <w:r>
        <w:rPr>
          <w:rFonts w:hint="eastAsia" w:ascii="宋体" w:hAnsi="宋体"/>
          <w:sz w:val="24"/>
        </w:rPr>
        <w:t>（2）投标人应对所提供的全部资料的真实性、有效性承担法律责任，电子投标文件中盖章之处必须加盖</w:t>
      </w:r>
      <w:r>
        <w:rPr>
          <w:rFonts w:hint="eastAsia" w:ascii="宋体" w:hAnsi="宋体"/>
          <w:sz w:val="24"/>
          <w:lang w:eastAsia="zh-CN"/>
        </w:rPr>
        <w:t>电子印章</w:t>
      </w:r>
      <w:r>
        <w:rPr>
          <w:rFonts w:hint="eastAsia" w:ascii="宋体" w:hAnsi="宋体"/>
          <w:sz w:val="24"/>
        </w:rPr>
        <w:t>。</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kern w:val="0"/>
          <w:sz w:val="24"/>
          <w:lang w:val="zh-CN"/>
        </w:rPr>
        <w:t>（</w:t>
      </w:r>
      <w:r>
        <w:rPr>
          <w:rFonts w:hint="eastAsia" w:asciiTheme="minorEastAsia" w:hAnsiTheme="minorEastAsia"/>
          <w:kern w:val="0"/>
          <w:sz w:val="24"/>
        </w:rPr>
        <w:t>3</w:t>
      </w:r>
      <w:r>
        <w:rPr>
          <w:rFonts w:hint="eastAsia" w:asciiTheme="minorEastAsia" w:hAnsiTheme="minorEastAsia"/>
          <w:kern w:val="0"/>
          <w:sz w:val="24"/>
          <w:lang w:val="zh-CN"/>
        </w:rPr>
        <w:t>）</w:t>
      </w:r>
      <w:r>
        <w:rPr>
          <w:rFonts w:hint="eastAsia" w:asciiTheme="minorEastAsia" w:hAnsiTheme="minorEastAsia" w:eastAsiaTheme="minorEastAsia"/>
          <w:sz w:val="24"/>
        </w:rPr>
        <w:t>电子投标文件</w:t>
      </w:r>
      <w:r>
        <w:rPr>
          <w:rFonts w:asciiTheme="minorEastAsia" w:hAnsiTheme="minorEastAsia" w:eastAsiaTheme="minorEastAsia"/>
          <w:sz w:val="24"/>
        </w:rPr>
        <w:t>以及投标人与</w:t>
      </w:r>
      <w:r>
        <w:rPr>
          <w:rFonts w:hint="eastAsia" w:asciiTheme="minorEastAsia" w:hAnsiTheme="minorEastAsia" w:eastAsiaTheme="minorEastAsia"/>
          <w:sz w:val="24"/>
        </w:rPr>
        <w:t>采购组织机构</w:t>
      </w:r>
      <w:r>
        <w:rPr>
          <w:rFonts w:asciiTheme="minorEastAsia" w:hAnsiTheme="minorEastAsia" w:eastAsiaTheme="minorEastAsia"/>
          <w:sz w:val="24"/>
        </w:rPr>
        <w:t>就有关投标事宜的所有来往函电，均应以中文汉语书写。除</w:t>
      </w:r>
      <w:r>
        <w:rPr>
          <w:rFonts w:hint="eastAsia" w:asciiTheme="minorEastAsia" w:hAnsiTheme="minorEastAsia" w:eastAsiaTheme="minorEastAsia"/>
          <w:sz w:val="24"/>
        </w:rPr>
        <w:t>签字</w:t>
      </w:r>
      <w:r>
        <w:rPr>
          <w:rFonts w:asciiTheme="minorEastAsia" w:hAnsiTheme="minorEastAsia" w:eastAsiaTheme="minorEastAsia"/>
          <w:sz w:val="24"/>
        </w:rPr>
        <w:t>、盖章、专用名称等特殊情形外，以中文汉语以外的文字表述的</w:t>
      </w:r>
      <w:r>
        <w:rPr>
          <w:rFonts w:hint="eastAsia" w:asciiTheme="minorEastAsia" w:hAnsiTheme="minorEastAsia" w:eastAsiaTheme="minorEastAsia"/>
          <w:sz w:val="24"/>
        </w:rPr>
        <w:t>电子投标文件</w:t>
      </w:r>
      <w:r>
        <w:rPr>
          <w:rFonts w:asciiTheme="minorEastAsia" w:hAnsiTheme="minorEastAsia" w:eastAsiaTheme="minorEastAsia"/>
          <w:sz w:val="24"/>
        </w:rPr>
        <w:t>视同未提供。</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sz w:val="24"/>
        </w:rPr>
        <w:t>（4）</w:t>
      </w:r>
      <w:r>
        <w:rPr>
          <w:rFonts w:asciiTheme="minorEastAsia" w:hAnsiTheme="minorEastAsia" w:eastAsiaTheme="minorEastAsia"/>
          <w:sz w:val="24"/>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eastAsiaTheme="minorEastAsia"/>
          <w:sz w:val="24"/>
        </w:rPr>
      </w:pPr>
      <w:r>
        <w:rPr>
          <w:rFonts w:hint="eastAsia" w:asciiTheme="minorEastAsia" w:hAnsiTheme="minorEastAsia"/>
          <w:sz w:val="24"/>
        </w:rPr>
        <w:t>（5）</w:t>
      </w:r>
      <w:r>
        <w:rPr>
          <w:rFonts w:asciiTheme="minorEastAsia" w:hAnsiTheme="minorEastAsia" w:eastAsiaTheme="minorEastAsia"/>
          <w:sz w:val="24"/>
        </w:rPr>
        <w:t>若投标人不按招标文件的要求提供资格审查材料，其风险由投标人自行承担。</w:t>
      </w:r>
    </w:p>
    <w:p>
      <w:pPr>
        <w:autoSpaceDE w:val="0"/>
        <w:autoSpaceDN w:val="0"/>
        <w:adjustRightInd w:val="0"/>
        <w:spacing w:line="360" w:lineRule="auto"/>
        <w:ind w:firstLine="480"/>
        <w:rPr>
          <w:rFonts w:asciiTheme="minorEastAsia" w:hAnsiTheme="minorEastAsia" w:eastAsiaTheme="minorEastAsia"/>
          <w:sz w:val="24"/>
        </w:rPr>
      </w:pPr>
      <w:r>
        <w:rPr>
          <w:rFonts w:hint="eastAsia" w:asciiTheme="minorEastAsia" w:hAnsiTheme="minorEastAsia"/>
          <w:kern w:val="0"/>
          <w:sz w:val="24"/>
        </w:rPr>
        <w:t>（6）</w:t>
      </w:r>
      <w:r>
        <w:rPr>
          <w:rFonts w:hint="eastAsia" w:asciiTheme="minorEastAsia" w:hAnsiTheme="minorEastAsia" w:eastAsiaTheme="minorEastAsia"/>
          <w:sz w:val="24"/>
        </w:rPr>
        <w:t>与本次投标无关的内容请不要制作在内，确保电子投标文件有针对性、简洁明了。</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2、</w:t>
      </w:r>
      <w:r>
        <w:rPr>
          <w:rFonts w:hint="eastAsia" w:asciiTheme="minorEastAsia" w:hAnsiTheme="minorEastAsia" w:eastAsiaTheme="minorEastAsia"/>
          <w:b/>
          <w:bCs/>
          <w:sz w:val="24"/>
        </w:rPr>
        <w:t>电子投标文件</w:t>
      </w:r>
      <w:r>
        <w:rPr>
          <w:rFonts w:hint="eastAsia" w:asciiTheme="minorEastAsia" w:hAnsiTheme="minorEastAsia"/>
          <w:b/>
          <w:bCs/>
          <w:sz w:val="24"/>
        </w:rPr>
        <w:t>的递交要求</w:t>
      </w:r>
    </w:p>
    <w:p>
      <w:pPr>
        <w:spacing w:line="360" w:lineRule="auto"/>
        <w:ind w:firstLine="480" w:firstLineChars="200"/>
      </w:pPr>
      <w:r>
        <w:rPr>
          <w:rFonts w:hint="eastAsia" w:asciiTheme="majorEastAsia" w:hAnsiTheme="majorEastAsia" w:eastAsiaTheme="majorEastAsia" w:cstheme="majorEastAsia"/>
          <w:sz w:val="24"/>
        </w:rPr>
        <w:t>（1）投标人须按照采购文件和政采云平台的要求编制并加密电子投标文件。在电子投标文件递交截止时间以前完成电子投标文件的传输递交。</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lang w:val="en-US" w:eastAsia="zh-CN"/>
        </w:rPr>
        <w:t>3</w:t>
      </w:r>
      <w:r>
        <w:rPr>
          <w:rFonts w:hint="eastAsia" w:asciiTheme="minorEastAsia" w:hAnsiTheme="minorEastAsia" w:eastAsiaTheme="minorEastAsia"/>
          <w:kern w:val="0"/>
          <w:sz w:val="24"/>
        </w:rPr>
        <w:t>、电子投标文件的补充、修改和撤回。</w:t>
      </w:r>
    </w:p>
    <w:p>
      <w:pPr>
        <w:tabs>
          <w:tab w:val="left" w:pos="960"/>
          <w:tab w:val="left" w:pos="1418"/>
        </w:tabs>
        <w:autoSpaceDE w:val="0"/>
        <w:autoSpaceDN w:val="0"/>
        <w:adjustRightInd w:val="0"/>
        <w:spacing w:line="360" w:lineRule="auto"/>
        <w:ind w:firstLine="440" w:firstLineChars="200"/>
        <w:rPr>
          <w:rFonts w:ascii="宋体" w:hAnsi="宋体" w:cs="宋体"/>
          <w:sz w:val="22"/>
          <w:szCs w:val="22"/>
        </w:rPr>
      </w:pPr>
      <w:r>
        <w:rPr>
          <w:rFonts w:hint="eastAsia" w:ascii="宋体" w:hAnsi="宋体" w:cs="宋体"/>
          <w:sz w:val="22"/>
          <w:szCs w:val="22"/>
        </w:rPr>
        <w:t>（1）</w:t>
      </w:r>
      <w:r>
        <w:rPr>
          <w:rFonts w:hint="eastAsia" w:asciiTheme="minorEastAsia" w:hAnsiTheme="minorEastAsia" w:eastAsiaTheme="minorEastAsia"/>
          <w:kern w:val="0"/>
          <w:sz w:val="24"/>
        </w:rPr>
        <w:t>补充或者修改电子投标文件的，应当先行撤回原文件，补充、修改后重新传输递交。投标截止时间前未完成传输的，视为撤回电子投标文件。</w:t>
      </w:r>
    </w:p>
    <w:p>
      <w:pPr>
        <w:tabs>
          <w:tab w:val="left" w:pos="1898"/>
        </w:tabs>
        <w:autoSpaceDE w:val="0"/>
        <w:autoSpaceDN w:val="0"/>
        <w:adjustRightInd w:val="0"/>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（三）电子投标文件的有效期</w:t>
      </w:r>
    </w:p>
    <w:p>
      <w:pPr>
        <w:pStyle w:val="8"/>
        <w:tabs>
          <w:tab w:val="left" w:pos="454"/>
          <w:tab w:val="left" w:pos="720"/>
          <w:tab w:val="left" w:pos="1200"/>
        </w:tabs>
        <w:snapToGrid w:val="0"/>
        <w:spacing w:line="360" w:lineRule="auto"/>
        <w:ind w:left="0" w:firstLine="480" w:firstLineChars="200"/>
        <w:rPr>
          <w:rFonts w:ascii="仿宋_GB2312" w:hAnsi="仿宋_GB2312" w:eastAsia="仿宋_GB2312" w:cs="仿宋_GB2312"/>
          <w:sz w:val="24"/>
          <w:lang w:val="en-GB"/>
        </w:rPr>
      </w:pPr>
      <w:r>
        <w:rPr>
          <w:rFonts w:hint="eastAsia" w:ascii="宋体" w:hAnsi="宋体"/>
          <w:sz w:val="24"/>
          <w:lang w:val="en-GB"/>
        </w:rPr>
        <w:t>自投标截止日起90天电子投标文件应保持有效。有效期不足的电子投标文件将被拒绝。</w:t>
      </w:r>
    </w:p>
    <w:p>
      <w:pPr>
        <w:pStyle w:val="8"/>
        <w:tabs>
          <w:tab w:val="left" w:pos="454"/>
          <w:tab w:val="left" w:pos="720"/>
          <w:tab w:val="left" w:pos="1200"/>
        </w:tabs>
        <w:snapToGrid w:val="0"/>
        <w:spacing w:line="360" w:lineRule="auto"/>
        <w:ind w:left="0" w:firstLine="480" w:firstLineChars="200"/>
        <w:rPr>
          <w:rFonts w:ascii="宋体" w:hAnsi="宋体"/>
          <w:sz w:val="24"/>
          <w:lang w:val="en-GB"/>
        </w:rPr>
      </w:pPr>
      <w:r>
        <w:rPr>
          <w:rFonts w:hint="eastAsia" w:ascii="宋体" w:hAnsi="宋体"/>
          <w:sz w:val="24"/>
          <w:lang w:val="en-GB"/>
        </w:rPr>
        <w:t>在特殊情况下，采购人可与投标人协商延长电子投标文件的有效期，这种要求和答复均以书面形式进行。</w:t>
      </w:r>
    </w:p>
    <w:p>
      <w:pPr>
        <w:snapToGrid w:val="0"/>
        <w:spacing w:line="360" w:lineRule="auto"/>
        <w:ind w:firstLine="480" w:firstLineChars="200"/>
        <w:jc w:val="left"/>
        <w:outlineLvl w:val="0"/>
        <w:rPr>
          <w:rFonts w:asciiTheme="minorEastAsia" w:hAnsiTheme="minorEastAsia" w:eastAsiaTheme="minorEastAsia"/>
          <w:b/>
          <w:sz w:val="24"/>
        </w:rPr>
      </w:pPr>
      <w:r>
        <w:rPr>
          <w:rFonts w:hint="eastAsia" w:ascii="宋体" w:hAnsi="宋体"/>
          <w:sz w:val="24"/>
        </w:rPr>
        <w:t>3.</w:t>
      </w:r>
      <w:r>
        <w:rPr>
          <w:rFonts w:asciiTheme="minorEastAsia" w:hAnsiTheme="minorEastAsia" w:eastAsiaTheme="minorEastAsia"/>
          <w:sz w:val="24"/>
        </w:rPr>
        <w:t>中标人的</w:t>
      </w:r>
      <w:r>
        <w:rPr>
          <w:rFonts w:hint="eastAsia" w:asciiTheme="minorEastAsia" w:hAnsiTheme="minorEastAsia" w:eastAsiaTheme="minorEastAsia"/>
          <w:sz w:val="24"/>
        </w:rPr>
        <w:t>电子投标文件</w:t>
      </w:r>
      <w:r>
        <w:rPr>
          <w:rFonts w:asciiTheme="minorEastAsia" w:hAnsiTheme="minorEastAsia" w:eastAsiaTheme="minorEastAsia"/>
          <w:sz w:val="24"/>
        </w:rPr>
        <w:t>自开标之日起至合同履行完毕均应保持有效。</w:t>
      </w:r>
    </w:p>
    <w:p>
      <w:pPr>
        <w:snapToGrid w:val="0"/>
        <w:spacing w:line="360" w:lineRule="auto"/>
        <w:ind w:firstLine="472" w:firstLineChars="196"/>
        <w:rPr>
          <w:rFonts w:asciiTheme="minorEastAsia" w:hAnsiTheme="minorEastAsia" w:eastAsiaTheme="minorEastAsia"/>
          <w:b/>
          <w:kern w:val="0"/>
          <w:sz w:val="24"/>
        </w:rPr>
      </w:pPr>
      <w:r>
        <w:rPr>
          <w:rFonts w:hint="eastAsia" w:asciiTheme="minorEastAsia" w:hAnsiTheme="minorEastAsia" w:eastAsiaTheme="minorEastAsia"/>
          <w:b/>
          <w:kern w:val="0"/>
          <w:sz w:val="24"/>
        </w:rPr>
        <w:t>四、开标</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（一）开标事项</w:t>
      </w:r>
    </w:p>
    <w:p>
      <w:pPr>
        <w:autoSpaceDE w:val="0"/>
        <w:autoSpaceDN w:val="0"/>
        <w:adjustRightIn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kern w:val="0"/>
          <w:sz w:val="24"/>
        </w:rPr>
        <w:t>采购组织机构在“招标公告”规定的时间和地点公开开标，</w:t>
      </w:r>
      <w:r>
        <w:rPr>
          <w:rFonts w:hint="eastAsia" w:asciiTheme="minorEastAsia" w:hAnsiTheme="minorEastAsia" w:eastAsiaTheme="minorEastAsia"/>
          <w:bCs/>
          <w:sz w:val="24"/>
        </w:rPr>
        <w:t>采购组织机构</w:t>
      </w:r>
      <w:r>
        <w:rPr>
          <w:rFonts w:asciiTheme="minorEastAsia" w:hAnsiTheme="minorEastAsia" w:eastAsiaTheme="minorEastAsia"/>
          <w:bCs/>
          <w:sz w:val="24"/>
        </w:rPr>
        <w:t>工作人员接收</w:t>
      </w:r>
      <w:r>
        <w:rPr>
          <w:rFonts w:hint="eastAsia" w:asciiTheme="minorEastAsia" w:hAnsiTheme="minorEastAsia" w:eastAsiaTheme="minorEastAsia"/>
          <w:bCs/>
          <w:sz w:val="24"/>
        </w:rPr>
        <w:t>电子投标文件</w:t>
      </w:r>
      <w:r>
        <w:rPr>
          <w:rFonts w:asciiTheme="minorEastAsia" w:hAnsiTheme="minorEastAsia" w:eastAsiaTheme="minorEastAsia"/>
          <w:bCs/>
          <w:sz w:val="24"/>
        </w:rPr>
        <w:t>并登记。</w:t>
      </w:r>
      <w:r>
        <w:rPr>
          <w:rFonts w:hint="eastAsia" w:asciiTheme="minorEastAsia" w:hAnsiTheme="minorEastAsia" w:eastAsiaTheme="minorEastAsia"/>
          <w:bCs/>
          <w:sz w:val="24"/>
        </w:rPr>
        <w:t>评标委员会成员不得参加开标活动。</w:t>
      </w:r>
      <w:r>
        <w:rPr>
          <w:rFonts w:hint="eastAsia" w:asciiTheme="minorEastAsia" w:hAnsiTheme="minorEastAsia" w:eastAsiaTheme="minorEastAsia"/>
          <w:b/>
          <w:bCs/>
          <w:kern w:val="0"/>
          <w:sz w:val="24"/>
        </w:rPr>
        <w:t>（本次招标</w:t>
      </w:r>
      <w:r>
        <w:rPr>
          <w:rFonts w:cs="Arial" w:asciiTheme="minorEastAsia" w:hAnsiTheme="minorEastAsia" w:eastAsiaTheme="minorEastAsia"/>
          <w:b/>
          <w:bCs/>
          <w:sz w:val="24"/>
        </w:rPr>
        <w:t>采用先评审商务资格</w:t>
      </w:r>
      <w:r>
        <w:rPr>
          <w:rFonts w:hint="eastAsia" w:cs="Arial" w:asciiTheme="minorEastAsia" w:hAnsiTheme="minorEastAsia" w:eastAsiaTheme="minorEastAsia"/>
          <w:b/>
          <w:bCs/>
          <w:sz w:val="24"/>
        </w:rPr>
        <w:t>和</w:t>
      </w:r>
      <w:r>
        <w:rPr>
          <w:rFonts w:cs="Arial" w:asciiTheme="minorEastAsia" w:hAnsiTheme="minorEastAsia" w:eastAsiaTheme="minorEastAsia"/>
          <w:b/>
          <w:bCs/>
          <w:sz w:val="24"/>
        </w:rPr>
        <w:t>技术服务方案</w:t>
      </w:r>
      <w:r>
        <w:rPr>
          <w:rFonts w:hint="eastAsia" w:cs="Arial" w:asciiTheme="minorEastAsia" w:hAnsiTheme="minorEastAsia" w:eastAsiaTheme="minorEastAsia"/>
          <w:b/>
          <w:bCs/>
          <w:sz w:val="24"/>
        </w:rPr>
        <w:t>，</w:t>
      </w:r>
      <w:r>
        <w:rPr>
          <w:rFonts w:cs="Arial" w:asciiTheme="minorEastAsia" w:hAnsiTheme="minorEastAsia" w:eastAsiaTheme="minorEastAsia"/>
          <w:b/>
          <w:bCs/>
          <w:sz w:val="24"/>
        </w:rPr>
        <w:t>后公开并评审商务报价的办法</w:t>
      </w:r>
      <w:r>
        <w:rPr>
          <w:rFonts w:hint="eastAsia" w:asciiTheme="minorEastAsia" w:hAnsiTheme="minorEastAsia" w:eastAsiaTheme="minorEastAsia"/>
          <w:b/>
          <w:bCs/>
          <w:kern w:val="0"/>
          <w:sz w:val="24"/>
        </w:rPr>
        <w:t>实施。各位供应商投标时必须根据菜单对应上传，切勿误传，否则一切后果自行承担）</w:t>
      </w:r>
      <w:r>
        <w:rPr>
          <w:rFonts w:hint="eastAsia" w:asciiTheme="minorEastAsia" w:hAnsiTheme="minorEastAsia" w:eastAsiaTheme="minorEastAsia"/>
          <w:kern w:val="0"/>
          <w:sz w:val="24"/>
        </w:rPr>
        <w:t>。</w:t>
      </w:r>
    </w:p>
    <w:p>
      <w:pPr>
        <w:autoSpaceDE w:val="0"/>
        <w:autoSpaceDN w:val="0"/>
        <w:adjustRightInd w:val="0"/>
        <w:spacing w:line="360" w:lineRule="auto"/>
        <w:ind w:firstLine="480" w:firstLineChars="200"/>
        <w:rPr>
          <w:rFonts w:asciiTheme="minorEastAsia" w:hAnsiTheme="minorEastAsia" w:eastAsiaTheme="minorEastAsia"/>
          <w:bCs/>
          <w:sz w:val="24"/>
        </w:rPr>
      </w:pPr>
      <w:r>
        <w:rPr>
          <w:rFonts w:asciiTheme="minorEastAsia" w:hAnsiTheme="minorEastAsia" w:eastAsiaTheme="minorEastAsia"/>
          <w:bCs/>
          <w:sz w:val="24"/>
        </w:rPr>
        <w:t>（二） 开</w:t>
      </w:r>
      <w:r>
        <w:rPr>
          <w:rFonts w:hint="eastAsia" w:asciiTheme="minorEastAsia" w:hAnsiTheme="minorEastAsia" w:eastAsiaTheme="minorEastAsia"/>
          <w:bCs/>
          <w:sz w:val="24"/>
        </w:rPr>
        <w:t>标</w:t>
      </w:r>
      <w:r>
        <w:rPr>
          <w:rFonts w:asciiTheme="minorEastAsia" w:hAnsiTheme="minorEastAsia" w:eastAsiaTheme="minorEastAsia"/>
          <w:bCs/>
          <w:sz w:val="24"/>
        </w:rPr>
        <w:t>程序：</w:t>
      </w:r>
    </w:p>
    <w:p>
      <w:pPr>
        <w:pStyle w:val="12"/>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1、开标时间到后，招标项目负责人准时组织开标；</w:t>
      </w:r>
    </w:p>
    <w:p>
      <w:pPr>
        <w:snapToGrid w:val="0"/>
        <w:spacing w:line="480" w:lineRule="exact"/>
        <w:ind w:firstLine="480" w:firstLineChars="200"/>
        <w:jc w:val="left"/>
        <w:rPr>
          <w:rFonts w:ascii="宋体" w:hAnsi="宋体" w:cs="宋体"/>
          <w:sz w:val="24"/>
        </w:rPr>
      </w:pPr>
      <w:r>
        <w:rPr>
          <w:rFonts w:hint="eastAsia" w:ascii="宋体" w:hAnsi="宋体" w:cs="宋体"/>
          <w:sz w:val="24"/>
        </w:rPr>
        <w:t>2、投标人登录政采云平台，用“项目采购-开标评标”功能对电子投标文件进行在线解密。在线解密电子投标文件时间为开标时间起半个小时内。</w:t>
      </w:r>
    </w:p>
    <w:p>
      <w:pPr>
        <w:snapToGrid w:val="0"/>
        <w:spacing w:line="480" w:lineRule="exact"/>
        <w:ind w:firstLine="480" w:firstLineChars="200"/>
        <w:jc w:val="left"/>
        <w:rPr>
          <w:rFonts w:ascii="宋体" w:hAnsi="宋体" w:cs="宋体"/>
          <w:sz w:val="24"/>
        </w:rPr>
      </w:pPr>
      <w:r>
        <w:rPr>
          <w:rFonts w:hint="eastAsia" w:ascii="宋体" w:hAnsi="宋体" w:cs="宋体"/>
          <w:sz w:val="24"/>
        </w:rPr>
        <w:t>3、公布开标结果。</w:t>
      </w:r>
    </w:p>
    <w:p>
      <w:pPr>
        <w:snapToGrid w:val="0"/>
        <w:spacing w:line="480" w:lineRule="exact"/>
        <w:ind w:firstLine="480" w:firstLineChars="200"/>
        <w:jc w:val="left"/>
        <w:rPr>
          <w:rFonts w:ascii="宋体" w:hAnsi="宋体" w:cs="宋体"/>
          <w:sz w:val="24"/>
        </w:rPr>
      </w:pPr>
      <w:r>
        <w:rPr>
          <w:rFonts w:hint="eastAsia" w:ascii="宋体" w:hAnsi="宋体" w:cs="宋体"/>
          <w:sz w:val="24"/>
        </w:rPr>
        <w:t>4、特别说明：本项目原则上采用政采云电子招投标开标及评审程序，但有下情形之一的，按以下情况处理：</w:t>
      </w:r>
    </w:p>
    <w:p>
      <w:pPr>
        <w:numPr>
          <w:ilvl w:val="0"/>
          <w:numId w:val="7"/>
        </w:numPr>
        <w:snapToGrid w:val="0"/>
        <w:spacing w:line="480" w:lineRule="exact"/>
        <w:ind w:firstLine="480" w:firstLineChars="200"/>
        <w:jc w:val="left"/>
        <w:rPr>
          <w:rFonts w:ascii="宋体" w:hAnsi="宋体" w:cs="宋体"/>
          <w:sz w:val="24"/>
        </w:rPr>
      </w:pPr>
      <w:r>
        <w:rPr>
          <w:rFonts w:hint="eastAsia" w:ascii="宋体" w:hAnsi="宋体" w:eastAsia="宋体" w:cs="宋体"/>
          <w:color w:val="auto"/>
          <w:kern w:val="2"/>
          <w:sz w:val="24"/>
          <w:szCs w:val="24"/>
          <w:lang w:val="en-US" w:eastAsia="zh-CN" w:bidi="ar-SA"/>
        </w:rPr>
        <w:t>投标人应当按规定及时解密，若因技术原因导致电子投标文件未能及时解密的，应联系我中心技术人员（陈工：15167606512）在采监处的监督下远程协助其完成解密，仍无法完成解密的，应按规定及时递交备份电子投标文件，否则，视同放弃投标。</w:t>
      </w:r>
    </w:p>
    <w:p>
      <w:pPr>
        <w:snapToGrid w:val="0"/>
        <w:spacing w:line="480" w:lineRule="exact"/>
        <w:ind w:firstLine="480" w:firstLineChars="200"/>
        <w:jc w:val="left"/>
        <w:rPr>
          <w:rFonts w:ascii="仿宋_GB2312" w:hAnsi="宋体" w:eastAsia="仿宋_GB2312"/>
          <w:b/>
          <w:sz w:val="24"/>
        </w:rPr>
      </w:pPr>
      <w:r>
        <w:rPr>
          <w:rFonts w:hint="eastAsia" w:ascii="宋体" w:hAnsi="宋体" w:cs="宋体"/>
          <w:sz w:val="24"/>
        </w:rPr>
        <w:t>（2）</w:t>
      </w:r>
      <w:r>
        <w:rPr>
          <w:rFonts w:hint="eastAsia" w:asciiTheme="minorEastAsia" w:hAnsiTheme="minorEastAsia" w:eastAsiaTheme="minorEastAsia"/>
          <w:sz w:val="24"/>
        </w:rPr>
        <w:t>开评标细则按政采云电子评标流程进行。</w:t>
      </w:r>
      <w:r>
        <w:rPr>
          <w:rFonts w:hint="eastAsia" w:ascii="仿宋_GB2312" w:hAnsi="宋体" w:eastAsia="仿宋_GB2312"/>
          <w:b/>
          <w:sz w:val="24"/>
        </w:rPr>
        <w:t>特别说明：政采云公司如对电子化开标及评审程序有调整的，按调整后的程序操作。</w:t>
      </w:r>
    </w:p>
    <w:p>
      <w:pPr>
        <w:pStyle w:val="12"/>
        <w:snapToGrid w:val="0"/>
        <w:spacing w:line="360" w:lineRule="auto"/>
        <w:ind w:firstLine="420" w:firstLineChars="200"/>
      </w:pPr>
    </w:p>
    <w:p>
      <w:pPr>
        <w:pStyle w:val="12"/>
        <w:snapToGrid w:val="0"/>
        <w:spacing w:line="360" w:lineRule="auto"/>
        <w:outlineLvl w:val="1"/>
        <w:rPr>
          <w:rFonts w:asciiTheme="minorEastAsia" w:hAnsiTheme="minorEastAsia" w:eastAsiaTheme="minorEastAsia"/>
          <w:b/>
          <w:sz w:val="24"/>
        </w:rPr>
      </w:pPr>
      <w:r>
        <w:rPr>
          <w:rFonts w:hint="eastAsia" w:asciiTheme="minorEastAsia" w:hAnsiTheme="minorEastAsia" w:eastAsiaTheme="minorEastAsia"/>
          <w:b/>
          <w:sz w:val="24"/>
        </w:rPr>
        <w:t>五、评标</w:t>
      </w:r>
    </w:p>
    <w:p>
      <w:pPr>
        <w:pStyle w:val="12"/>
        <w:snapToGrid w:val="0"/>
        <w:spacing w:line="360" w:lineRule="auto"/>
        <w:ind w:left="720" w:leftChars="228" w:hanging="241" w:hangingChars="100"/>
        <w:rPr>
          <w:rFonts w:asciiTheme="minorEastAsia" w:hAnsiTheme="minorEastAsia" w:eastAsiaTheme="minorEastAsia"/>
          <w:b/>
          <w:sz w:val="24"/>
        </w:rPr>
      </w:pPr>
      <w:r>
        <w:rPr>
          <w:rFonts w:asciiTheme="minorEastAsia" w:hAnsiTheme="minorEastAsia" w:eastAsiaTheme="minorEastAsia"/>
          <w:b/>
          <w:sz w:val="24"/>
        </w:rPr>
        <w:t>（一）组建评标委员会</w:t>
      </w:r>
    </w:p>
    <w:p>
      <w:pPr>
        <w:pStyle w:val="12"/>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本项目评标委员会由政府采购评审专家</w:t>
      </w:r>
      <w:r>
        <w:rPr>
          <w:rFonts w:hint="eastAsia" w:asciiTheme="minorEastAsia" w:hAnsiTheme="minorEastAsia" w:eastAsiaTheme="minorEastAsia"/>
          <w:sz w:val="24"/>
        </w:rPr>
        <w:t>和采购单位评审代表</w:t>
      </w:r>
      <w:r>
        <w:rPr>
          <w:rFonts w:asciiTheme="minorEastAsia" w:hAnsiTheme="minorEastAsia" w:eastAsiaTheme="minorEastAsia"/>
          <w:sz w:val="24"/>
        </w:rPr>
        <w:t>组成。</w:t>
      </w:r>
    </w:p>
    <w:p>
      <w:pPr>
        <w:pStyle w:val="12"/>
        <w:snapToGrid w:val="0"/>
        <w:spacing w:line="360" w:lineRule="auto"/>
        <w:ind w:left="720" w:leftChars="228" w:hanging="241" w:hangingChars="100"/>
        <w:rPr>
          <w:rFonts w:asciiTheme="minorEastAsia" w:hAnsiTheme="minorEastAsia" w:eastAsiaTheme="minorEastAsia"/>
          <w:b/>
          <w:sz w:val="24"/>
        </w:rPr>
      </w:pPr>
      <w:r>
        <w:rPr>
          <w:rFonts w:asciiTheme="minorEastAsia" w:hAnsiTheme="minorEastAsia" w:eastAsiaTheme="minorEastAsia"/>
          <w:b/>
          <w:sz w:val="24"/>
        </w:rPr>
        <w:t>（</w:t>
      </w:r>
      <w:r>
        <w:rPr>
          <w:rFonts w:hint="eastAsia" w:asciiTheme="minorEastAsia" w:hAnsiTheme="minorEastAsia" w:eastAsiaTheme="minorEastAsia"/>
          <w:b/>
          <w:sz w:val="24"/>
        </w:rPr>
        <w:t>二</w:t>
      </w:r>
      <w:r>
        <w:rPr>
          <w:rFonts w:asciiTheme="minorEastAsia" w:hAnsiTheme="minorEastAsia" w:eastAsiaTheme="minorEastAsia"/>
          <w:b/>
          <w:sz w:val="24"/>
        </w:rPr>
        <w:t>）</w:t>
      </w:r>
      <w:r>
        <w:rPr>
          <w:rFonts w:asciiTheme="minorEastAsia" w:hAnsiTheme="minorEastAsia" w:eastAsiaTheme="minorEastAsia"/>
          <w:b/>
          <w:bCs/>
          <w:sz w:val="24"/>
        </w:rPr>
        <w:t>评标程序</w:t>
      </w:r>
    </w:p>
    <w:p>
      <w:pPr>
        <w:snapToGrid w:val="0"/>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1、资格</w:t>
      </w:r>
      <w:r>
        <w:rPr>
          <w:rFonts w:asciiTheme="minorEastAsia" w:hAnsiTheme="minorEastAsia" w:eastAsiaTheme="minorEastAsia"/>
          <w:b/>
          <w:bCs/>
          <w:sz w:val="24"/>
        </w:rPr>
        <w:t>审查</w:t>
      </w:r>
    </w:p>
    <w:p>
      <w:pPr>
        <w:pStyle w:val="9"/>
        <w:spacing w:line="360" w:lineRule="auto"/>
        <w:jc w:val="both"/>
        <w:rPr>
          <w:rFonts w:asciiTheme="minorEastAsia" w:hAnsiTheme="minorEastAsia" w:eastAsiaTheme="minorEastAsia"/>
          <w:sz w:val="24"/>
        </w:rPr>
      </w:pPr>
      <w:r>
        <w:rPr>
          <w:rFonts w:asciiTheme="minorEastAsia" w:hAnsiTheme="minorEastAsia" w:eastAsiaTheme="minorEastAsia"/>
          <w:sz w:val="24"/>
        </w:rPr>
        <w:t>公开招标采购项目开标结束后，采购人或者采购组织机构应当依法对投标人的资格进行审查，对审查发现无效的进行必要的询标，</w:t>
      </w:r>
      <w:r>
        <w:rPr>
          <w:rFonts w:hint="eastAsia"/>
          <w:sz w:val="24"/>
        </w:rPr>
        <w:t>由政采云在线公布</w:t>
      </w:r>
      <w:r>
        <w:rPr>
          <w:rFonts w:asciiTheme="minorEastAsia" w:hAnsiTheme="minorEastAsia" w:eastAsiaTheme="minorEastAsia"/>
          <w:sz w:val="24"/>
        </w:rPr>
        <w:t>无效投标的投标人名单、投标无效的原因。</w:t>
      </w:r>
      <w:r>
        <w:rPr>
          <w:rFonts w:hint="eastAsia"/>
          <w:sz w:val="24"/>
        </w:rPr>
        <w:t>（若系统原因无法公布的，将由录音电话代为公布）</w:t>
      </w:r>
    </w:p>
    <w:p>
      <w:pPr>
        <w:pStyle w:val="9"/>
        <w:numPr>
          <w:ilvl w:val="0"/>
          <w:numId w:val="8"/>
        </w:numPr>
        <w:spacing w:line="360" w:lineRule="auto"/>
        <w:rPr>
          <w:rFonts w:asciiTheme="minorEastAsia" w:hAnsiTheme="minorEastAsia" w:eastAsiaTheme="minorEastAsia"/>
          <w:b/>
          <w:bCs/>
        </w:rPr>
      </w:pPr>
      <w:r>
        <w:rPr>
          <w:rFonts w:asciiTheme="minorEastAsia" w:hAnsiTheme="minorEastAsia" w:eastAsiaTheme="minorEastAsia"/>
          <w:b/>
          <w:bCs/>
        </w:rPr>
        <w:t>符合性审查</w:t>
      </w:r>
    </w:p>
    <w:p>
      <w:pPr>
        <w:pStyle w:val="9"/>
        <w:spacing w:line="360" w:lineRule="auto"/>
        <w:rPr>
          <w:rFonts w:eastAsiaTheme="minorEastAsia"/>
          <w:sz w:val="24"/>
        </w:rPr>
      </w:pPr>
      <w:r>
        <w:rPr>
          <w:rFonts w:asciiTheme="minorEastAsia" w:hAnsiTheme="minorEastAsia" w:eastAsiaTheme="minorEastAsia"/>
          <w:sz w:val="24"/>
        </w:rPr>
        <w:t>评标委员会应当对符合资格的投标人的</w:t>
      </w:r>
      <w:r>
        <w:rPr>
          <w:rFonts w:hint="eastAsia" w:asciiTheme="minorEastAsia" w:hAnsiTheme="minorEastAsia" w:eastAsiaTheme="minorEastAsia"/>
          <w:sz w:val="24"/>
        </w:rPr>
        <w:t>电子</w:t>
      </w:r>
      <w:r>
        <w:rPr>
          <w:rFonts w:asciiTheme="minorEastAsia" w:hAnsiTheme="minorEastAsia" w:eastAsiaTheme="minorEastAsia"/>
          <w:sz w:val="24"/>
        </w:rPr>
        <w:t>投标文件进行符合性审查，以确定其是否满足招标文件的实质性要求，对审查发现无效的进行必要的询标，</w:t>
      </w:r>
      <w:r>
        <w:rPr>
          <w:rFonts w:hint="eastAsia"/>
          <w:sz w:val="24"/>
        </w:rPr>
        <w:t>对</w:t>
      </w:r>
      <w:r>
        <w:rPr>
          <w:rFonts w:asciiTheme="minorEastAsia" w:hAnsiTheme="minorEastAsia" w:eastAsiaTheme="minorEastAsia"/>
          <w:sz w:val="24"/>
        </w:rPr>
        <w:t>无效投标的投标人名单</w:t>
      </w:r>
      <w:r>
        <w:rPr>
          <w:rFonts w:hint="eastAsia" w:asciiTheme="minorEastAsia" w:hAnsiTheme="minorEastAsia" w:eastAsiaTheme="minorEastAsia"/>
          <w:sz w:val="24"/>
        </w:rPr>
        <w:t>及</w:t>
      </w:r>
      <w:r>
        <w:rPr>
          <w:rFonts w:asciiTheme="minorEastAsia" w:hAnsiTheme="minorEastAsia" w:eastAsiaTheme="minorEastAsia"/>
          <w:sz w:val="24"/>
        </w:rPr>
        <w:t>投标无效原因</w:t>
      </w:r>
      <w:r>
        <w:rPr>
          <w:rFonts w:hint="eastAsia" w:asciiTheme="minorEastAsia" w:hAnsiTheme="minorEastAsia" w:eastAsiaTheme="minorEastAsia"/>
          <w:sz w:val="24"/>
        </w:rPr>
        <w:t>的公布方式同上。</w:t>
      </w:r>
    </w:p>
    <w:p>
      <w:pPr>
        <w:pStyle w:val="17"/>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b/>
          <w:bCs/>
        </w:rPr>
        <w:t>3、</w:t>
      </w:r>
      <w:r>
        <w:rPr>
          <w:rFonts w:hint="default" w:ascii="Arial" w:hAnsi="Arial" w:cs="Arial"/>
          <w:b/>
          <w:bCs/>
        </w:rPr>
        <w:t>综合比较与评价</w:t>
      </w:r>
    </w:p>
    <w:p>
      <w:pPr>
        <w:pStyle w:val="17"/>
        <w:spacing w:before="0" w:beforeAutospacing="0" w:after="0" w:afterAutospacing="0" w:line="360" w:lineRule="auto"/>
        <w:ind w:firstLine="360" w:firstLineChars="150"/>
        <w:jc w:val="both"/>
        <w:rPr>
          <w:rFonts w:hint="default" w:asciiTheme="minorEastAsia" w:hAnsiTheme="minorEastAsia" w:eastAsiaTheme="minorEastAsia"/>
        </w:rPr>
      </w:pPr>
      <w:r>
        <w:rPr>
          <w:rFonts w:asciiTheme="minorEastAsia" w:hAnsiTheme="minorEastAsia" w:eastAsiaTheme="minorEastAsia"/>
        </w:rPr>
        <w:t>（1）对于电子投标文件中含义不明确、同类问题表述不一致或者有明显文字和计算错误的内容，评标委员会应当以在线询标形式要求投标人作出必要的澄清、说明或者补正。</w:t>
      </w:r>
    </w:p>
    <w:p>
      <w:pPr>
        <w:pStyle w:val="17"/>
        <w:spacing w:before="0" w:beforeAutospacing="0" w:after="0" w:afterAutospacing="0" w:line="360" w:lineRule="auto"/>
        <w:ind w:firstLine="360" w:firstLineChars="150"/>
        <w:jc w:val="both"/>
        <w:rPr>
          <w:rFonts w:hint="default" w:asciiTheme="minorEastAsia" w:hAnsiTheme="minorEastAsia" w:eastAsiaTheme="minorEastAsia"/>
        </w:rPr>
      </w:pPr>
      <w:r>
        <w:rPr>
          <w:rFonts w:asciiTheme="minorEastAsia" w:hAnsiTheme="minorEastAsia" w:eastAsiaTheme="minorEastAsia"/>
        </w:rPr>
        <w:t>（2）评标委员会应当按照招标文件中规定的评标方法和标准，对符合性审查合格的电子投标文件进行商务和技术评估，综合比较与评价。</w:t>
      </w:r>
    </w:p>
    <w:p>
      <w:pPr>
        <w:snapToGrid w:val="0"/>
        <w:spacing w:line="360" w:lineRule="auto"/>
        <w:ind w:firstLine="360" w:firstLineChars="150"/>
        <w:rPr>
          <w:rFonts w:asciiTheme="minorEastAsia" w:hAnsiTheme="minorEastAsia" w:eastAsiaTheme="minorEastAsia"/>
          <w:kern w:val="0"/>
          <w:sz w:val="24"/>
        </w:rPr>
      </w:pPr>
      <w:r>
        <w:rPr>
          <w:rFonts w:hint="eastAsia" w:asciiTheme="minorEastAsia" w:hAnsiTheme="minorEastAsia" w:eastAsiaTheme="minorEastAsia"/>
          <w:kern w:val="0"/>
          <w:sz w:val="24"/>
        </w:rPr>
        <w:t>（3）评标时，评标委员会各成员应当独立对每个投标人的电子投标文件进行评价，并汇总每个投标人的得分。</w:t>
      </w:r>
    </w:p>
    <w:p>
      <w:pPr>
        <w:numPr>
          <w:ilvl w:val="255"/>
          <w:numId w:val="0"/>
        </w:numPr>
        <w:snapToGrid w:val="0"/>
        <w:spacing w:line="360" w:lineRule="auto"/>
        <w:ind w:firstLine="482" w:firstLineChars="200"/>
        <w:rPr>
          <w:rFonts w:ascii="Arial" w:hAnsi="Arial" w:cs="Arial"/>
          <w:b/>
          <w:bCs/>
          <w:sz w:val="24"/>
        </w:rPr>
      </w:pPr>
      <w:r>
        <w:rPr>
          <w:rFonts w:hint="eastAsia" w:ascii="Arial" w:hAnsi="Arial" w:cs="Arial"/>
          <w:b/>
          <w:bCs/>
          <w:sz w:val="24"/>
        </w:rPr>
        <w:t>4、得分确认及评审报告编写</w:t>
      </w:r>
    </w:p>
    <w:p>
      <w:pPr>
        <w:pStyle w:val="12"/>
        <w:snapToGrid w:val="0"/>
        <w:spacing w:line="360" w:lineRule="auto"/>
        <w:ind w:firstLine="420" w:firstLineChars="175"/>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sz w:val="24"/>
        </w:rPr>
        <w:t>评标委员会对报价文件进行复核，对于系统计算出的价格分及总得分进行确认；</w:t>
      </w:r>
    </w:p>
    <w:p>
      <w:pPr>
        <w:pStyle w:val="17"/>
        <w:spacing w:before="0" w:beforeAutospacing="0" w:after="0" w:afterAutospacing="0" w:line="360" w:lineRule="auto"/>
        <w:ind w:firstLine="420" w:firstLineChars="175"/>
        <w:jc w:val="both"/>
        <w:rPr>
          <w:rFonts w:hint="default" w:asciiTheme="minorEastAsia" w:hAnsiTheme="minorEastAsia" w:eastAsiaTheme="minorEastAsia"/>
        </w:rPr>
      </w:pPr>
      <w:r>
        <w:rPr>
          <w:rFonts w:asciiTheme="minorEastAsia" w:hAnsiTheme="minorEastAsia" w:eastAsiaTheme="minorEastAsia"/>
        </w:rPr>
        <w:t>（2）评标委员会应当按照招标文件中规定的评标方法和标准，对符合性审查合格的电子投标文件进行商务和技术评估，综合比较与评价。</w:t>
      </w:r>
    </w:p>
    <w:p>
      <w:pPr>
        <w:snapToGrid w:val="0"/>
        <w:spacing w:line="360" w:lineRule="auto"/>
        <w:ind w:firstLine="480" w:firstLineChars="200"/>
        <w:rPr>
          <w:rFonts w:ascii="Arial" w:hAnsi="Arial" w:cs="Arial"/>
          <w:b/>
          <w:bCs/>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kern w:val="0"/>
          <w:sz w:val="24"/>
        </w:rPr>
        <w:t>评标委员会</w:t>
      </w:r>
      <w:r>
        <w:rPr>
          <w:rFonts w:asciiTheme="minorEastAsia" w:hAnsiTheme="minorEastAsia" w:eastAsiaTheme="minorEastAsia"/>
          <w:sz w:val="24"/>
        </w:rPr>
        <w:t>按评标原则</w:t>
      </w:r>
      <w:r>
        <w:rPr>
          <w:rFonts w:hint="eastAsia" w:asciiTheme="minorEastAsia" w:hAnsiTheme="minorEastAsia" w:eastAsiaTheme="minorEastAsia"/>
          <w:sz w:val="24"/>
        </w:rPr>
        <w:t>及得分情况编写评审报告。</w:t>
      </w:r>
    </w:p>
    <w:p>
      <w:pPr>
        <w:numPr>
          <w:ilvl w:val="255"/>
          <w:numId w:val="0"/>
        </w:num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5、评价</w:t>
      </w:r>
    </w:p>
    <w:p>
      <w:pPr>
        <w:snapToGrid w:val="0"/>
        <w:spacing w:line="360" w:lineRule="auto"/>
        <w:ind w:firstLine="480" w:firstLineChars="200"/>
        <w:rPr>
          <w:rFonts w:asciiTheme="minorEastAsia" w:hAnsiTheme="minorEastAsia" w:eastAsiaTheme="minorEastAsia"/>
          <w:b/>
          <w:kern w:val="0"/>
          <w:sz w:val="24"/>
        </w:rPr>
      </w:pPr>
      <w:r>
        <w:rPr>
          <w:rFonts w:hint="eastAsia" w:asciiTheme="minorEastAsia" w:hAnsiTheme="minorEastAsia" w:eastAsiaTheme="minorEastAsia"/>
          <w:sz w:val="24"/>
        </w:rPr>
        <w:t>采购组织机构对评标委员会评审专家进行评价。</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b/>
          <w:sz w:val="24"/>
        </w:rPr>
        <w:t>（三）澄清问题的形式</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sz w:val="24"/>
        </w:rPr>
        <w:t>投标人的澄清、说明或者补正应当采用电子询标形式，并加盖公章（电子印章），并不得超出电子投标文件的范围或者改变电子投标文件的实质性内容。</w:t>
      </w:r>
    </w:p>
    <w:p>
      <w:pPr>
        <w:pStyle w:val="12"/>
        <w:snapToGrid w:val="0"/>
        <w:spacing w:line="360" w:lineRule="auto"/>
        <w:ind w:left="720" w:leftChars="228" w:hanging="241" w:hangingChars="100"/>
        <w:rPr>
          <w:rFonts w:asciiTheme="minorEastAsia" w:hAnsiTheme="minorEastAsia" w:eastAsiaTheme="minorEastAsia"/>
          <w:b/>
          <w:sz w:val="24"/>
        </w:rPr>
      </w:pPr>
      <w:r>
        <w:rPr>
          <w:rFonts w:hint="eastAsia" w:asciiTheme="minorEastAsia" w:hAnsiTheme="minorEastAsia" w:eastAsiaTheme="minorEastAsia"/>
          <w:b/>
          <w:sz w:val="24"/>
        </w:rPr>
        <w:t>（四）错误修正</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电子投标文件报价出现前后不一致的，除招标文件另有规定外，按照下列规定修正：</w:t>
      </w:r>
    </w:p>
    <w:p>
      <w:pPr>
        <w:pStyle w:val="17"/>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1、电子投标文件中开标一览表（报价表）内容与电子投标文件中相应内容不一致的，以开标一览表（报价表）为准；</w:t>
      </w:r>
    </w:p>
    <w:p>
      <w:pPr>
        <w:pStyle w:val="17"/>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2、大写金额和小写金额不一致的，以大写金额为准；</w:t>
      </w:r>
    </w:p>
    <w:p>
      <w:pPr>
        <w:pStyle w:val="17"/>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3、单价金额小数点或者百分比有明显错位的，以开标一览表的总价为准，并修改单价；</w:t>
      </w:r>
    </w:p>
    <w:p>
      <w:pPr>
        <w:pStyle w:val="17"/>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4、总价金额与按单价汇总金额不一致的，以单价金额计算结果为准。</w:t>
      </w:r>
    </w:p>
    <w:p>
      <w:pPr>
        <w:pStyle w:val="17"/>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同时出现两种以上不一致的，按照前款规定的顺序修正。修正应当采用电子询标的形式，并加盖公章</w:t>
      </w:r>
      <w:r>
        <w:rPr>
          <w:rFonts w:asciiTheme="minorEastAsia" w:hAnsiTheme="minorEastAsia"/>
        </w:rPr>
        <w:t>（电子印章）</w:t>
      </w:r>
      <w:r>
        <w:rPr>
          <w:rFonts w:asciiTheme="minorEastAsia" w:hAnsiTheme="minorEastAsia" w:eastAsiaTheme="minorEastAsia"/>
        </w:rPr>
        <w:t>。</w:t>
      </w:r>
    </w:p>
    <w:p>
      <w:pPr>
        <w:pStyle w:val="17"/>
        <w:spacing w:before="0" w:beforeAutospacing="0" w:after="0" w:afterAutospacing="0" w:line="360" w:lineRule="auto"/>
        <w:ind w:firstLine="361" w:firstLineChars="150"/>
        <w:jc w:val="both"/>
        <w:rPr>
          <w:rFonts w:hint="default" w:asciiTheme="minorEastAsia" w:hAnsiTheme="minorEastAsia" w:eastAsiaTheme="minorEastAsia"/>
          <w:b/>
        </w:rPr>
      </w:pPr>
      <w:r>
        <w:rPr>
          <w:rFonts w:asciiTheme="minorEastAsia" w:hAnsiTheme="minorEastAsia" w:eastAsiaTheme="minorEastAsia"/>
          <w:b/>
          <w:bCs/>
        </w:rPr>
        <w:t>（五）</w:t>
      </w:r>
      <w:r>
        <w:rPr>
          <w:rFonts w:asciiTheme="minorEastAsia" w:hAnsiTheme="minorEastAsia" w:eastAsiaTheme="minorEastAsia"/>
          <w:b/>
        </w:rPr>
        <w:t>投标人存在下列情况之一的，投标无效</w:t>
      </w:r>
    </w:p>
    <w:p>
      <w:pPr>
        <w:adjustRightInd w:val="0"/>
        <w:snapToGrid w:val="0"/>
        <w:spacing w:line="360" w:lineRule="auto"/>
        <w:ind w:left="4" w:firstLine="411" w:firstLineChars="196"/>
        <w:jc w:val="left"/>
        <w:rPr>
          <w:rFonts w:asciiTheme="minorEastAsia" w:hAnsiTheme="minorEastAsia" w:eastAsiaTheme="minorEastAsia"/>
          <w:b/>
          <w:bCs/>
          <w:sz w:val="24"/>
        </w:rPr>
      </w:pPr>
      <w:r>
        <w:rPr>
          <w:rFonts w:asciiTheme="minorEastAsia" w:hAnsiTheme="minorEastAsia" w:eastAsiaTheme="minorEastAsia"/>
        </w:rPr>
        <w:t>1、</w:t>
      </w:r>
      <w:r>
        <w:rPr>
          <w:rFonts w:hint="eastAsia" w:asciiTheme="minorEastAsia" w:hAnsiTheme="minorEastAsia" w:eastAsiaTheme="minorEastAsia"/>
          <w:b/>
          <w:bCs/>
          <w:kern w:val="0"/>
          <w:sz w:val="24"/>
        </w:rPr>
        <w:t>在资格证明模块或商务与技术模块中出现投标报价的</w:t>
      </w:r>
      <w:r>
        <w:rPr>
          <w:rFonts w:hint="eastAsia" w:asciiTheme="minorEastAsia" w:hAnsiTheme="minorEastAsia" w:eastAsiaTheme="minorEastAsia"/>
          <w:kern w:val="0"/>
          <w:sz w:val="24"/>
        </w:rPr>
        <w:t>，或者报价文件中报价的货物跟商务与技术文件中的投标货物出现重大偏差的；</w:t>
      </w:r>
    </w:p>
    <w:p>
      <w:pPr>
        <w:pStyle w:val="17"/>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2、不具备招标文件中规定的资格要求的。</w:t>
      </w:r>
      <w:r>
        <w:rPr>
          <w:rFonts w:hint="default" w:asciiTheme="minorEastAsia" w:hAnsiTheme="minorEastAsia" w:eastAsiaTheme="minorEastAsia"/>
        </w:rPr>
        <w:tab/>
      </w:r>
    </w:p>
    <w:p>
      <w:pPr>
        <w:pStyle w:val="17"/>
        <w:adjustRightInd w:val="0"/>
        <w:snapToGrid w:val="0"/>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3、电子投标文件含有采购人不能接受的附加条件的。</w:t>
      </w:r>
    </w:p>
    <w:p>
      <w:pPr>
        <w:pStyle w:val="9"/>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4</w:t>
      </w:r>
      <w:r>
        <w:rPr>
          <w:rFonts w:hint="eastAsia" w:asciiTheme="minorEastAsia" w:hAnsiTheme="minorEastAsia" w:eastAsiaTheme="minorEastAsia"/>
          <w:sz w:val="24"/>
        </w:rPr>
        <w:t>、</w:t>
      </w:r>
      <w:r>
        <w:rPr>
          <w:rFonts w:asciiTheme="minorEastAsia" w:hAnsiTheme="minorEastAsia" w:eastAsiaTheme="minorEastAsia"/>
          <w:sz w:val="24"/>
        </w:rPr>
        <w:t>评标委员会认为投标人的报价明显低于其他通过符合性审查投标人的报价，有可能影响产品质量或者不能诚信履约的，应当要求其在合理的时间内提供</w:t>
      </w:r>
      <w:r>
        <w:rPr>
          <w:rFonts w:hint="eastAsia"/>
          <w:sz w:val="24"/>
        </w:rPr>
        <w:t>进行电子答复</w:t>
      </w:r>
      <w:r>
        <w:rPr>
          <w:rFonts w:asciiTheme="minorEastAsia" w:hAnsiTheme="minorEastAsia" w:eastAsiaTheme="minorEastAsia"/>
          <w:sz w:val="24"/>
        </w:rPr>
        <w:t>，必要时提交相关证明材料；投标人不能证明其报价合理性的，评标委员会应当将其作为无效投标处理。</w:t>
      </w:r>
    </w:p>
    <w:p>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5、报价超过招标文件中规定的预算金额/最高限价。 </w:t>
      </w:r>
    </w:p>
    <w:p>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6、主要性能参数指标负偏离</w:t>
      </w:r>
      <w:r>
        <w:rPr>
          <w:rFonts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5</w:t>
      </w:r>
      <w:r>
        <w:rPr>
          <w:rFonts w:asciiTheme="minorEastAsia" w:hAnsiTheme="minorEastAsia" w:eastAsiaTheme="minorEastAsia"/>
          <w:u w:val="single"/>
        </w:rPr>
        <w:t xml:space="preserve"> </w:t>
      </w:r>
      <w:r>
        <w:rPr>
          <w:rFonts w:asciiTheme="minorEastAsia" w:hAnsiTheme="minorEastAsia" w:eastAsiaTheme="minorEastAsia"/>
        </w:rPr>
        <w:t>项（含）以上的。</w:t>
      </w:r>
    </w:p>
    <w:p>
      <w:pPr>
        <w:tabs>
          <w:tab w:val="left" w:pos="1898"/>
        </w:tabs>
        <w:autoSpaceDE w:val="0"/>
        <w:autoSpaceDN w:val="0"/>
        <w:adjustRightInd w:val="0"/>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7、投标参数未如实填写，完全复制粘贴招标参数的。</w:t>
      </w:r>
    </w:p>
    <w:p>
      <w:pPr>
        <w:tabs>
          <w:tab w:val="left" w:pos="1898"/>
        </w:tabs>
        <w:autoSpaceDE w:val="0"/>
        <w:autoSpaceDN w:val="0"/>
        <w:adjustRightInd w:val="0"/>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8、电子投标文件提供虚假材料的。 </w:t>
      </w:r>
    </w:p>
    <w:p>
      <w:pPr>
        <w:tabs>
          <w:tab w:val="left" w:pos="1898"/>
        </w:tabs>
        <w:autoSpaceDE w:val="0"/>
        <w:autoSpaceDN w:val="0"/>
        <w:adjustRightInd w:val="0"/>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9</w:t>
      </w:r>
      <w:r>
        <w:rPr>
          <w:rFonts w:asciiTheme="minorEastAsia" w:hAnsiTheme="minorEastAsia" w:eastAsiaTheme="minorEastAsia"/>
          <w:kern w:val="0"/>
          <w:sz w:val="24"/>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pStyle w:val="17"/>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（1）不同投标人的电子投标文件由同一单位或者个人编制；</w:t>
      </w:r>
    </w:p>
    <w:p>
      <w:pPr>
        <w:pStyle w:val="17"/>
        <w:spacing w:before="0" w:beforeAutospacing="0" w:after="0" w:afterAutospacing="0" w:line="360" w:lineRule="auto"/>
        <w:jc w:val="both"/>
        <w:rPr>
          <w:rFonts w:asciiTheme="minorEastAsia" w:hAnsiTheme="minorEastAsia" w:eastAsiaTheme="minorEastAsia"/>
        </w:rPr>
      </w:pPr>
      <w:r>
        <w:rPr>
          <w:rFonts w:asciiTheme="minorEastAsia" w:hAnsiTheme="minorEastAsia" w:eastAsiaTheme="minorEastAsia"/>
        </w:rPr>
        <w:t>　 （2）不同投标人委托同一单位或者个人办理投标事宜；</w:t>
      </w:r>
    </w:p>
    <w:p>
      <w:pPr>
        <w:pStyle w:val="17"/>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（3）不同投标人的电子投标文件载明的项目管理成员或者联系人员为同一人；</w:t>
      </w:r>
    </w:p>
    <w:p>
      <w:pPr>
        <w:pStyle w:val="17"/>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xml:space="preserve">　 </w:t>
      </w:r>
      <w:r>
        <w:rPr>
          <w:rFonts w:hint="eastAsia" w:asciiTheme="minorEastAsia" w:hAnsiTheme="minorEastAsia" w:eastAsiaTheme="minorEastAsia"/>
          <w:lang w:eastAsia="zh-CN"/>
        </w:rPr>
        <w:t>（</w:t>
      </w:r>
      <w:r>
        <w:rPr>
          <w:rFonts w:asciiTheme="minorEastAsia" w:hAnsiTheme="minorEastAsia" w:eastAsiaTheme="minorEastAsia"/>
        </w:rPr>
        <w:t>4）不同投标人的电子投标文件异常一致或者投标报价呈规律性差异；</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10、不符合法律、法规和招标文件中规定的其他实质性要求的（招标文件</w:t>
      </w:r>
    </w:p>
    <w:p>
      <w:pPr>
        <w:tabs>
          <w:tab w:val="right" w:pos="8306"/>
        </w:tabs>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中打“▲”内容及被拒绝的条款）。</w:t>
      </w:r>
    </w:p>
    <w:p>
      <w:pPr>
        <w:pStyle w:val="2"/>
        <w:rPr>
          <w:rFonts w:eastAsiaTheme="minorEastAsia"/>
        </w:rPr>
      </w:pPr>
      <w:r>
        <w:rPr>
          <w:rFonts w:hint="eastAsia" w:asciiTheme="minorEastAsia" w:hAnsiTheme="minorEastAsia" w:eastAsiaTheme="minorEastAsia"/>
          <w:kern w:val="0"/>
          <w:sz w:val="24"/>
        </w:rPr>
        <w:t>11、商务条款不响应。</w:t>
      </w:r>
    </w:p>
    <w:p>
      <w:pPr>
        <w:numPr>
          <w:ilvl w:val="0"/>
          <w:numId w:val="9"/>
        </w:numPr>
        <w:tabs>
          <w:tab w:val="right" w:pos="8306"/>
        </w:tabs>
        <w:autoSpaceDE w:val="0"/>
        <w:autoSpaceDN w:val="0"/>
        <w:adjustRightInd w:val="0"/>
        <w:spacing w:line="360" w:lineRule="auto"/>
        <w:ind w:firstLine="480"/>
        <w:rPr>
          <w:rFonts w:hint="default" w:eastAsiaTheme="minorEastAsia"/>
          <w:lang w:val="en-US" w:eastAsia="zh-CN"/>
        </w:rPr>
      </w:pPr>
      <w:r>
        <w:rPr>
          <w:rFonts w:hint="eastAsia" w:asciiTheme="minorEastAsia" w:hAnsiTheme="minorEastAsia" w:eastAsiaTheme="minorEastAsia"/>
          <w:kern w:val="0"/>
          <w:sz w:val="24"/>
        </w:rPr>
        <w:t>供应商仅提交备份电子电子投标文件的。</w:t>
      </w:r>
    </w:p>
    <w:p>
      <w:pPr>
        <w:pStyle w:val="2"/>
        <w:rPr>
          <w:rFonts w:hint="default" w:eastAsiaTheme="minorEastAsia"/>
          <w:color w:val="FF0000"/>
          <w:lang w:val="en-US" w:eastAsia="zh-CN"/>
        </w:rPr>
      </w:pPr>
      <w:r>
        <w:rPr>
          <w:rFonts w:hint="eastAsia" w:asciiTheme="minorEastAsia" w:hAnsiTheme="minorEastAsia" w:eastAsiaTheme="minorEastAsia"/>
          <w:color w:val="FF0000"/>
          <w:kern w:val="0"/>
          <w:sz w:val="24"/>
          <w:lang w:val="en-US" w:eastAsia="zh-CN"/>
        </w:rPr>
        <w:t>13、单位负责人为同一人或者存在直接控股、管理关系的不同供应商。</w:t>
      </w:r>
    </w:p>
    <w:p>
      <w:pPr>
        <w:autoSpaceDE w:val="0"/>
        <w:autoSpaceDN w:val="0"/>
        <w:adjustRightInd w:val="0"/>
        <w:spacing w:line="360" w:lineRule="auto"/>
        <w:ind w:left="480"/>
        <w:rPr>
          <w:rFonts w:asciiTheme="minorEastAsia" w:hAnsiTheme="minorEastAsia" w:eastAsiaTheme="minorEastAsia"/>
          <w:kern w:val="0"/>
          <w:sz w:val="24"/>
        </w:rPr>
      </w:pPr>
      <w:r>
        <w:rPr>
          <w:rFonts w:hint="eastAsia" w:asciiTheme="minorEastAsia" w:hAnsiTheme="minorEastAsia" w:eastAsiaTheme="minorEastAsia"/>
          <w:b/>
          <w:kern w:val="0"/>
          <w:sz w:val="24"/>
        </w:rPr>
        <w:t>（六）有下列情况之一的，本次招标作为废标处理</w:t>
      </w:r>
    </w:p>
    <w:p>
      <w:pPr>
        <w:pStyle w:val="17"/>
        <w:spacing w:before="0" w:beforeAutospacing="0" w:after="0" w:afterAutospacing="0" w:line="360" w:lineRule="auto"/>
        <w:ind w:firstLine="600" w:firstLineChars="250"/>
        <w:jc w:val="both"/>
        <w:rPr>
          <w:rFonts w:hint="default" w:asciiTheme="minorEastAsia" w:hAnsiTheme="minorEastAsia" w:eastAsiaTheme="minorEastAsia"/>
        </w:rPr>
      </w:pPr>
      <w:r>
        <w:rPr>
          <w:rFonts w:asciiTheme="minorEastAsia" w:hAnsiTheme="minorEastAsia" w:eastAsiaTheme="minorEastAsia"/>
        </w:rPr>
        <w:t>1、出现影响采购公正的违法、违规行为的；</w:t>
      </w:r>
    </w:p>
    <w:p>
      <w:pPr>
        <w:pStyle w:val="17"/>
        <w:spacing w:before="0" w:beforeAutospacing="0" w:after="0" w:afterAutospacing="0" w:line="360" w:lineRule="auto"/>
        <w:ind w:firstLine="600" w:firstLineChars="250"/>
        <w:jc w:val="both"/>
        <w:rPr>
          <w:rFonts w:hint="default" w:asciiTheme="minorEastAsia" w:hAnsiTheme="minorEastAsia" w:eastAsiaTheme="minorEastAsia"/>
          <w:b/>
          <w:bCs/>
        </w:rPr>
      </w:pPr>
      <w:r>
        <w:rPr>
          <w:rFonts w:asciiTheme="minorEastAsia" w:hAnsiTheme="minorEastAsia" w:eastAsiaTheme="minorEastAsia"/>
        </w:rPr>
        <w:t xml:space="preserve">2、评标委员会发现招标文件存在歧义、重大缺陷导致评标工作无法进行，或者招标文件内容违反国家有关强制性规定的； </w:t>
      </w:r>
    </w:p>
    <w:p>
      <w:pPr>
        <w:pStyle w:val="17"/>
        <w:spacing w:before="0" w:beforeAutospacing="0" w:after="0" w:afterAutospacing="0" w:line="360" w:lineRule="auto"/>
        <w:ind w:firstLine="600" w:firstLineChars="250"/>
        <w:jc w:val="both"/>
        <w:rPr>
          <w:rFonts w:hint="default" w:asciiTheme="minorEastAsia" w:hAnsiTheme="minorEastAsia" w:eastAsiaTheme="minorEastAsia"/>
        </w:rPr>
      </w:pPr>
      <w:r>
        <w:rPr>
          <w:rFonts w:asciiTheme="minorEastAsia" w:hAnsiTheme="minorEastAsia" w:eastAsiaTheme="minorEastAsia"/>
        </w:rPr>
        <w:t>3、因重大变故，采购任务取消的；</w:t>
      </w:r>
    </w:p>
    <w:p>
      <w:pPr>
        <w:pStyle w:val="17"/>
        <w:spacing w:before="0" w:beforeAutospacing="0" w:after="0" w:afterAutospacing="0" w:line="360" w:lineRule="auto"/>
        <w:ind w:firstLine="600" w:firstLineChars="250"/>
        <w:jc w:val="both"/>
        <w:rPr>
          <w:rFonts w:hint="default" w:asciiTheme="minorEastAsia" w:hAnsiTheme="minorEastAsia" w:eastAsiaTheme="minorEastAsia"/>
        </w:rPr>
      </w:pPr>
      <w:r>
        <w:rPr>
          <w:rFonts w:asciiTheme="minorEastAsia" w:hAnsiTheme="minorEastAsia" w:eastAsiaTheme="minorEastAsia"/>
        </w:rPr>
        <w:t>4、法律、法规和招标文件规定的其他导致评标结果无效的。</w:t>
      </w:r>
    </w:p>
    <w:p>
      <w:pPr>
        <w:pStyle w:val="12"/>
        <w:tabs>
          <w:tab w:val="left" w:pos="630"/>
        </w:tabs>
        <w:snapToGrid w:val="0"/>
        <w:spacing w:line="360" w:lineRule="auto"/>
        <w:ind w:firstLine="472" w:firstLineChars="196"/>
        <w:rPr>
          <w:rFonts w:asciiTheme="minorEastAsia" w:hAnsiTheme="minorEastAsia" w:eastAsiaTheme="minorEastAsia"/>
          <w:b/>
          <w:sz w:val="24"/>
        </w:rPr>
      </w:pPr>
      <w:r>
        <w:rPr>
          <w:rFonts w:asciiTheme="minorEastAsia" w:hAnsiTheme="minorEastAsia" w:eastAsiaTheme="minorEastAsia"/>
          <w:b/>
          <w:sz w:val="24"/>
        </w:rPr>
        <w:t>（</w:t>
      </w:r>
      <w:r>
        <w:rPr>
          <w:rFonts w:hint="eastAsia" w:asciiTheme="minorEastAsia" w:hAnsiTheme="minorEastAsia" w:eastAsiaTheme="minorEastAsia"/>
          <w:b/>
          <w:sz w:val="24"/>
        </w:rPr>
        <w:t>七</w:t>
      </w:r>
      <w:r>
        <w:rPr>
          <w:rFonts w:asciiTheme="minorEastAsia" w:hAnsiTheme="minorEastAsia" w:eastAsiaTheme="minorEastAsia"/>
          <w:b/>
          <w:sz w:val="24"/>
        </w:rPr>
        <w:t>）评标原则和评标办法</w:t>
      </w:r>
    </w:p>
    <w:p>
      <w:pPr>
        <w:pStyle w:val="12"/>
        <w:snapToGrid w:val="0"/>
        <w:spacing w:line="360" w:lineRule="auto"/>
        <w:ind w:firstLine="600" w:firstLineChars="25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2"/>
        <w:snapToGrid w:val="0"/>
        <w:spacing w:line="360" w:lineRule="auto"/>
        <w:ind w:firstLine="600" w:firstLineChars="25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评标办法。具体评标内容及评分标准等详见《第</w:t>
      </w:r>
      <w:r>
        <w:rPr>
          <w:rFonts w:hint="eastAsia" w:asciiTheme="minorEastAsia" w:hAnsiTheme="minorEastAsia" w:eastAsiaTheme="minorEastAsia"/>
          <w:sz w:val="24"/>
        </w:rPr>
        <w:t>三章</w:t>
      </w:r>
      <w:r>
        <w:rPr>
          <w:rFonts w:asciiTheme="minorEastAsia" w:hAnsiTheme="minorEastAsia" w:eastAsiaTheme="minorEastAsia"/>
          <w:sz w:val="24"/>
        </w:rPr>
        <w:t>：评标</w:t>
      </w:r>
      <w:r>
        <w:rPr>
          <w:rFonts w:hint="eastAsia" w:asciiTheme="minorEastAsia" w:hAnsiTheme="minorEastAsia" w:eastAsiaTheme="minorEastAsia"/>
          <w:sz w:val="24"/>
        </w:rPr>
        <w:t>方</w:t>
      </w:r>
      <w:r>
        <w:rPr>
          <w:rFonts w:asciiTheme="minorEastAsia" w:hAnsiTheme="minorEastAsia" w:eastAsiaTheme="minorEastAsia"/>
          <w:sz w:val="24"/>
        </w:rPr>
        <w:t>法及评分标准》。</w:t>
      </w:r>
    </w:p>
    <w:p>
      <w:pPr>
        <w:pStyle w:val="12"/>
        <w:snapToGrid w:val="0"/>
        <w:spacing w:line="360" w:lineRule="auto"/>
        <w:ind w:firstLine="472" w:firstLineChars="196"/>
        <w:rPr>
          <w:rFonts w:asciiTheme="minorEastAsia" w:hAnsiTheme="minorEastAsia" w:eastAsiaTheme="minorEastAsia"/>
          <w:b/>
          <w:sz w:val="24"/>
        </w:rPr>
      </w:pPr>
      <w:r>
        <w:rPr>
          <w:rFonts w:asciiTheme="minorEastAsia" w:hAnsiTheme="minorEastAsia" w:eastAsiaTheme="minorEastAsia"/>
          <w:b/>
          <w:sz w:val="24"/>
        </w:rPr>
        <w:t>（</w:t>
      </w:r>
      <w:r>
        <w:rPr>
          <w:rFonts w:hint="eastAsia" w:asciiTheme="minorEastAsia" w:hAnsiTheme="minorEastAsia" w:eastAsiaTheme="minorEastAsia"/>
          <w:b/>
          <w:sz w:val="24"/>
        </w:rPr>
        <w:t>八</w:t>
      </w:r>
      <w:r>
        <w:rPr>
          <w:rFonts w:asciiTheme="minorEastAsia" w:hAnsiTheme="minorEastAsia" w:eastAsiaTheme="minorEastAsia"/>
          <w:b/>
          <w:sz w:val="24"/>
        </w:rPr>
        <w:t>）评标过程的监控</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本项目评标过程实行全程录音、录像监控，政府采购监管部门视情进行现场监督，投标人在评标过程中所进行的试图影响评标结果的不公正活动，可能导致其投标被拒绝。</w:t>
      </w:r>
    </w:p>
    <w:p>
      <w:pPr>
        <w:pStyle w:val="17"/>
        <w:spacing w:before="0" w:beforeAutospacing="0" w:after="0" w:afterAutospacing="0" w:line="360" w:lineRule="auto"/>
        <w:ind w:firstLine="361" w:firstLineChars="150"/>
        <w:jc w:val="both"/>
        <w:rPr>
          <w:rFonts w:hint="default" w:asciiTheme="minorEastAsia" w:hAnsiTheme="minorEastAsia" w:eastAsiaTheme="minorEastAsia"/>
          <w:b/>
        </w:rPr>
      </w:pPr>
      <w:r>
        <w:rPr>
          <w:rFonts w:asciiTheme="minorEastAsia" w:hAnsiTheme="minorEastAsia" w:eastAsiaTheme="minorEastAsia"/>
          <w:b/>
        </w:rPr>
        <w:t>六、定标</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1、</w:t>
      </w:r>
      <w:r>
        <w:t>确定中标供应商。</w:t>
      </w: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kern w:val="0"/>
          <w:sz w:val="24"/>
        </w:rPr>
      </w:pPr>
      <w:r>
        <w:rPr>
          <w:rFonts w:asciiTheme="minorEastAsia" w:hAnsiTheme="minorEastAsia" w:eastAsiaTheme="minorEastAsia"/>
          <w:sz w:val="24"/>
        </w:rPr>
        <w:t>2、</w:t>
      </w:r>
      <w:r>
        <w:rPr>
          <w:rFonts w:hint="eastAsia" w:ascii="宋体" w:hAnsi="宋体"/>
          <w:kern w:val="0"/>
          <w:sz w:val="24"/>
        </w:rPr>
        <w:t>发布</w:t>
      </w:r>
      <w:r>
        <w:rPr>
          <w:sz w:val="24"/>
        </w:rPr>
        <w:t>中标</w:t>
      </w:r>
      <w:r>
        <w:rPr>
          <w:rFonts w:hint="eastAsia" w:ascii="宋体" w:hAnsi="宋体"/>
          <w:kern w:val="0"/>
          <w:sz w:val="24"/>
        </w:rPr>
        <w:t>结果公告。采购组织机构应当自中标人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在省级以上财政部门指定的媒体及相关网站</w:t>
      </w:r>
      <w:r>
        <w:rPr>
          <w:rFonts w:hint="eastAsia" w:ascii="宋体" w:hAnsi="宋体"/>
          <w:kern w:val="0"/>
          <w:sz w:val="24"/>
        </w:rPr>
        <w:t>上</w:t>
      </w:r>
      <w:r>
        <w:rPr>
          <w:rFonts w:ascii="宋体" w:hAnsi="宋体"/>
          <w:kern w:val="0"/>
          <w:sz w:val="24"/>
        </w:rPr>
        <w:t>公告</w:t>
      </w:r>
      <w:r>
        <w:rPr>
          <w:rFonts w:hint="eastAsia" w:ascii="宋体" w:hAnsi="宋体"/>
          <w:kern w:val="0"/>
          <w:sz w:val="24"/>
        </w:rPr>
        <w:t>中标结果，招标文件应当随中标结果同时公告。</w:t>
      </w:r>
    </w:p>
    <w:p>
      <w:pPr>
        <w:pStyle w:val="9"/>
        <w:spacing w:line="360" w:lineRule="auto"/>
        <w:ind w:firstLine="480" w:firstLineChars="200"/>
      </w:pPr>
      <w:r>
        <w:rPr>
          <w:rFonts w:hint="eastAsia" w:ascii="宋体" w:hAnsi="宋体"/>
          <w:kern w:val="0"/>
          <w:sz w:val="24"/>
        </w:rPr>
        <w:t>3、</w:t>
      </w:r>
      <w:r>
        <w:rPr>
          <w:rFonts w:hint="eastAsia"/>
          <w:sz w:val="24"/>
        </w:rPr>
        <w:t>通过政采云平台发放电子中标通知书</w:t>
      </w:r>
      <w:r>
        <w:rPr>
          <w:rFonts w:hint="eastAsia" w:ascii="宋体" w:hAnsi="宋体"/>
          <w:kern w:val="0"/>
          <w:sz w:val="24"/>
        </w:rPr>
        <w:t>。采购组织机构在发布中标结果</w:t>
      </w:r>
      <w:r>
        <w:rPr>
          <w:rFonts w:hint="eastAsia" w:ascii="宋体" w:hAnsi="宋体"/>
          <w:color w:val="FF0000"/>
          <w:kern w:val="0"/>
          <w:sz w:val="24"/>
          <w:szCs w:val="24"/>
          <w:lang w:eastAsia="zh-CN"/>
        </w:rPr>
        <w:t>公告</w:t>
      </w:r>
      <w:r>
        <w:rPr>
          <w:rFonts w:hint="eastAsia" w:ascii="宋体" w:hAnsi="宋体"/>
          <w:kern w:val="0"/>
          <w:sz w:val="24"/>
        </w:rPr>
        <w:t>的同时，向中标人发出中标通知书。</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七</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17"/>
        <w:spacing w:before="0" w:beforeAutospacing="0" w:after="0" w:afterAutospacing="0" w:line="360" w:lineRule="auto"/>
        <w:ind w:firstLine="600" w:firstLineChars="250"/>
        <w:jc w:val="both"/>
        <w:rPr>
          <w:rFonts w:hint="default"/>
        </w:rPr>
      </w:pPr>
      <w:r>
        <w:t>1、采购人应当自中标通知书发出之日起10个工作日内，按照招标文件和中标人电子投标文件的规定，与中标人签订书面合同或者电子合同。所签订的合同不得对招标文件确定的事项和中标人电子投标文件作实质性修改。</w:t>
      </w:r>
    </w:p>
    <w:p>
      <w:pPr>
        <w:pStyle w:val="17"/>
        <w:spacing w:before="0" w:beforeAutospacing="0" w:after="0" w:afterAutospacing="0" w:line="360" w:lineRule="auto"/>
        <w:ind w:firstLine="600" w:firstLineChars="250"/>
        <w:jc w:val="both"/>
        <w:rPr>
          <w:rFonts w:hint="default"/>
        </w:rPr>
      </w:pPr>
      <w:r>
        <w:t>2、采购人不得向中标人提出任何不合理的要求作为签订合同的条件。</w:t>
      </w:r>
    </w:p>
    <w:p>
      <w:pPr>
        <w:pStyle w:val="17"/>
        <w:spacing w:before="0" w:beforeAutospacing="0" w:after="0" w:afterAutospacing="0" w:line="360" w:lineRule="auto"/>
        <w:ind w:firstLine="420" w:firstLineChars="175"/>
        <w:jc w:val="both"/>
        <w:rPr>
          <w:rFonts w:hint="default"/>
        </w:rPr>
      </w:pPr>
      <w:r>
        <w:t>3、中标供应商无故拖延、拒签合同的,将取消中标资格。</w:t>
      </w:r>
    </w:p>
    <w:p>
      <w:pPr>
        <w:pStyle w:val="17"/>
        <w:spacing w:before="0" w:beforeAutospacing="0" w:after="0" w:afterAutospacing="0" w:line="360" w:lineRule="auto"/>
        <w:ind w:firstLine="480" w:firstLineChars="200"/>
        <w:jc w:val="both"/>
        <w:rPr>
          <w:rFonts w:hint="default"/>
        </w:rPr>
      </w:pPr>
      <w: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7"/>
        <w:spacing w:line="360" w:lineRule="auto"/>
        <w:ind w:firstLine="480" w:firstLineChars="200"/>
        <w:rPr>
          <w:rFonts w:hint="default" w:cs="仿宋_GB2312"/>
        </w:rPr>
      </w:pPr>
      <w:r>
        <w:t>5、询问或者质疑事项可能影响中标结果的，采购人应当暂停签订合同，已经签订合同的，应当中止履行合同（中标结果的质疑期为中标结果公告期限届满之日起七个工作日）。</w:t>
      </w:r>
    </w:p>
    <w:p>
      <w:pPr>
        <w:pStyle w:val="17"/>
        <w:spacing w:line="360" w:lineRule="auto"/>
        <w:ind w:firstLine="424" w:firstLineChars="176"/>
        <w:rPr>
          <w:rFonts w:hint="default" w:cs="仿宋_GB2312"/>
          <w:b/>
        </w:rPr>
      </w:pPr>
      <w:r>
        <w:rPr>
          <w:b/>
        </w:rPr>
        <w:t>（二）合同公告及备案</w:t>
      </w:r>
    </w:p>
    <w:p>
      <w:pPr>
        <w:pStyle w:val="11"/>
        <w:spacing w:line="360" w:lineRule="auto"/>
        <w:ind w:left="0" w:leftChars="0" w:firstLine="480" w:firstLineChars="200"/>
        <w:jc w:val="left"/>
        <w:rPr>
          <w:rFonts w:ascii="宋体" w:hAnsi="宋体"/>
          <w:sz w:val="24"/>
        </w:rPr>
      </w:pPr>
      <w:r>
        <w:rPr>
          <w:rFonts w:hint="eastAsia" w:ascii="宋体" w:hAnsi="宋体"/>
          <w:sz w:val="24"/>
        </w:rPr>
        <w:t>1、采购人应当自政府采购合同签订之日起2个工作日内，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9"/>
        <w:spacing w:line="360" w:lineRule="auto"/>
        <w:ind w:firstLine="420" w:firstLineChars="175"/>
        <w:rPr>
          <w:rFonts w:ascii="宋体" w:hAnsi="宋体"/>
          <w:sz w:val="24"/>
        </w:rPr>
      </w:pPr>
      <w:r>
        <w:rPr>
          <w:rFonts w:hint="eastAsia" w:ascii="宋体" w:hAnsi="宋体"/>
          <w:sz w:val="24"/>
        </w:rPr>
        <w:t>2、采购人应当自政府采购合同签订之日起7个工作日内，</w:t>
      </w:r>
      <w:r>
        <w:rPr>
          <w:rFonts w:hint="eastAsia"/>
          <w:sz w:val="24"/>
        </w:rPr>
        <w:t>将政府采购合同通过政采云网站提交至</w:t>
      </w:r>
      <w:r>
        <w:rPr>
          <w:rFonts w:hint="eastAsia" w:ascii="宋体" w:hAnsi="宋体"/>
          <w:sz w:val="24"/>
        </w:rPr>
        <w:t>同级人民政府财政部门备案存档。</w:t>
      </w:r>
    </w:p>
    <w:p>
      <w:pPr>
        <w:rPr>
          <w:rFonts w:ascii="宋体" w:hAnsi="宋体"/>
          <w:sz w:val="24"/>
        </w:rPr>
      </w:pPr>
      <w:r>
        <w:rPr>
          <w:rFonts w:hint="eastAsia" w:ascii="宋体" w:hAnsi="宋体"/>
          <w:sz w:val="24"/>
        </w:rPr>
        <w:br w:type="page"/>
      </w:r>
    </w:p>
    <w:p>
      <w:pPr>
        <w:pStyle w:val="9"/>
        <w:spacing w:line="360" w:lineRule="auto"/>
        <w:rPr>
          <w:rFonts w:hint="eastAsia" w:ascii="宋体" w:hAnsi="宋体"/>
          <w:color w:val="auto"/>
          <w:sz w:val="24"/>
          <w:szCs w:val="24"/>
          <w:lang w:eastAsia="zh-CN"/>
        </w:rPr>
      </w:pPr>
    </w:p>
    <w:p>
      <w:pPr>
        <w:numPr>
          <w:ilvl w:val="0"/>
          <w:numId w:val="5"/>
        </w:numPr>
        <w:spacing w:line="360" w:lineRule="auto"/>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评标办法及评分标准</w:t>
      </w:r>
    </w:p>
    <w:p>
      <w:pPr>
        <w:autoSpaceDE w:val="0"/>
        <w:autoSpaceDN w:val="0"/>
        <w:spacing w:line="360" w:lineRule="auto"/>
        <w:ind w:firstLine="480" w:firstLineChars="200"/>
        <w:rPr>
          <w:rFonts w:asciiTheme="minorEastAsia" w:hAnsiTheme="minorEastAsia" w:eastAsiaTheme="minorEastAsia"/>
          <w:b/>
          <w:i/>
          <w:color w:val="auto"/>
          <w:kern w:val="0"/>
          <w:sz w:val="24"/>
        </w:rPr>
      </w:pPr>
      <w:r>
        <w:rPr>
          <w:rFonts w:hint="eastAsia" w:asciiTheme="minorEastAsia" w:hAnsiTheme="minorEastAsia" w:eastAsiaTheme="minorEastAsia"/>
          <w:color w:val="auto"/>
          <w:kern w:val="0"/>
          <w:sz w:val="24"/>
        </w:rPr>
        <w:t>一、采购组织机构将组织评标委员会，对投标人提供的</w:t>
      </w:r>
      <w:r>
        <w:rPr>
          <w:rFonts w:hint="eastAsia" w:asciiTheme="minorEastAsia" w:hAnsiTheme="minorEastAsia" w:eastAsiaTheme="minorEastAsia"/>
          <w:color w:val="auto"/>
          <w:kern w:val="0"/>
          <w:sz w:val="24"/>
          <w:lang w:eastAsia="zh-CN"/>
        </w:rPr>
        <w:t>电子投标文件</w:t>
      </w:r>
      <w:r>
        <w:rPr>
          <w:rFonts w:hint="eastAsia" w:asciiTheme="minorEastAsia" w:hAnsiTheme="minorEastAsia" w:eastAsiaTheme="minorEastAsia"/>
          <w:color w:val="auto"/>
          <w:kern w:val="0"/>
          <w:sz w:val="24"/>
        </w:rPr>
        <w:t>进行综合评审。</w:t>
      </w:r>
    </w:p>
    <w:p>
      <w:pPr>
        <w:autoSpaceDE w:val="0"/>
        <w:autoSpaceDN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二、本次招标项目的评标方法为综合评分法，总计100分。评标标准按以下6项内容及分值进行评审。</w:t>
      </w:r>
    </w:p>
    <w:tbl>
      <w:tblPr>
        <w:tblStyle w:val="21"/>
        <w:tblW w:w="6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7"/>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3497" w:type="dxa"/>
            <w:tcBorders>
              <w:tl2br w:val="single" w:color="auto" w:sz="4" w:space="0"/>
            </w:tcBorders>
          </w:tcPr>
          <w:p>
            <w:pPr>
              <w:autoSpaceDE w:val="0"/>
              <w:autoSpaceDN w:val="0"/>
              <w:adjustRightInd w:val="0"/>
              <w:jc w:val="left"/>
              <w:rPr>
                <w:rFonts w:ascii="宋体" w:hAnsi="宋体" w:cs="Arial"/>
                <w:color w:val="auto"/>
                <w:sz w:val="24"/>
              </w:rPr>
            </w:pPr>
            <w:r>
              <w:rPr>
                <w:rFonts w:hint="eastAsia" w:ascii="宋体" w:hAnsi="宋体" w:cs="Arial"/>
                <w:color w:val="auto"/>
                <w:sz w:val="24"/>
              </w:rPr>
              <w:t xml:space="preserve">          标段</w:t>
            </w:r>
          </w:p>
          <w:p>
            <w:pPr>
              <w:autoSpaceDE w:val="0"/>
              <w:autoSpaceDN w:val="0"/>
              <w:adjustRightInd w:val="0"/>
              <w:jc w:val="left"/>
              <w:rPr>
                <w:rFonts w:ascii="宋体" w:hAnsi="宋体" w:cs="Arial"/>
                <w:color w:val="auto"/>
                <w:sz w:val="24"/>
              </w:rPr>
            </w:pPr>
            <w:r>
              <w:rPr>
                <w:rFonts w:hint="eastAsia" w:ascii="宋体" w:hAnsi="宋体" w:cs="Arial"/>
                <w:color w:val="auto"/>
                <w:sz w:val="24"/>
              </w:rPr>
              <w:t>类别</w:t>
            </w:r>
          </w:p>
        </w:tc>
        <w:tc>
          <w:tcPr>
            <w:tcW w:w="2640" w:type="dxa"/>
            <w:vAlign w:val="center"/>
          </w:tcPr>
          <w:p>
            <w:pPr>
              <w:autoSpaceDE w:val="0"/>
              <w:autoSpaceDN w:val="0"/>
              <w:adjustRightInd w:val="0"/>
              <w:spacing w:line="480" w:lineRule="auto"/>
              <w:jc w:val="center"/>
              <w:rPr>
                <w:rFonts w:hint="eastAsia" w:ascii="宋体" w:hAnsi="宋体" w:eastAsia="宋体" w:cs="Arial"/>
                <w:color w:val="auto"/>
                <w:sz w:val="24"/>
                <w:lang w:eastAsia="zh-CN"/>
              </w:rPr>
            </w:pPr>
            <w:r>
              <w:rPr>
                <w:rFonts w:hint="eastAsia" w:ascii="宋体" w:hAnsi="宋体" w:cs="Arial"/>
                <w:color w:val="auto"/>
                <w:sz w:val="24"/>
                <w:lang w:eastAsia="zh-CN"/>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497" w:type="dxa"/>
            <w:vAlign w:val="center"/>
          </w:tcPr>
          <w:p>
            <w:pPr>
              <w:autoSpaceDE w:val="0"/>
              <w:autoSpaceDN w:val="0"/>
              <w:adjustRightInd w:val="0"/>
              <w:jc w:val="left"/>
              <w:rPr>
                <w:rFonts w:hint="eastAsia" w:ascii="宋体" w:hAnsi="宋体" w:cs="Arial"/>
                <w:color w:val="auto"/>
                <w:sz w:val="24"/>
                <w:lang w:val="en-US" w:eastAsia="zh-CN"/>
              </w:rPr>
            </w:pPr>
            <w:r>
              <w:rPr>
                <w:rFonts w:hint="eastAsia" w:ascii="宋体" w:hAnsi="宋体" w:cs="Arial"/>
                <w:color w:val="auto"/>
                <w:sz w:val="24"/>
                <w:lang w:val="en-US" w:eastAsia="zh-CN"/>
              </w:rPr>
              <w:t>信誉及业绩</w:t>
            </w:r>
          </w:p>
        </w:tc>
        <w:tc>
          <w:tcPr>
            <w:tcW w:w="2640" w:type="dxa"/>
            <w:vAlign w:val="center"/>
          </w:tcPr>
          <w:p>
            <w:pPr>
              <w:autoSpaceDE w:val="0"/>
              <w:autoSpaceDN w:val="0"/>
              <w:adjustRightInd w:val="0"/>
              <w:jc w:val="center"/>
              <w:rPr>
                <w:rFonts w:hint="default" w:ascii="宋体" w:hAnsi="宋体" w:eastAsia="宋体" w:cs="Arial"/>
                <w:color w:val="auto"/>
                <w:sz w:val="24"/>
                <w:lang w:val="en-US" w:eastAsia="zh-CN"/>
              </w:rPr>
            </w:pPr>
            <w:r>
              <w:rPr>
                <w:rFonts w:hint="eastAsia" w:ascii="宋体" w:hAnsi="宋体" w:cs="Arial"/>
                <w:color w:val="auto"/>
                <w:sz w:val="24"/>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3497" w:type="dxa"/>
            <w:vAlign w:val="center"/>
          </w:tcPr>
          <w:p>
            <w:pPr>
              <w:autoSpaceDE w:val="0"/>
              <w:autoSpaceDN w:val="0"/>
              <w:adjustRightInd w:val="0"/>
              <w:jc w:val="left"/>
              <w:rPr>
                <w:rFonts w:hint="eastAsia" w:ascii="宋体" w:hAnsi="宋体" w:cs="Arial"/>
                <w:color w:val="auto"/>
                <w:sz w:val="24"/>
                <w:lang w:val="en-US" w:eastAsia="zh-CN"/>
              </w:rPr>
            </w:pPr>
            <w:r>
              <w:rPr>
                <w:rFonts w:hint="eastAsia" w:ascii="宋体" w:hAnsi="宋体" w:cs="Arial"/>
                <w:color w:val="auto"/>
                <w:sz w:val="24"/>
                <w:lang w:val="en-US" w:eastAsia="zh-CN"/>
              </w:rPr>
              <w:t>服务与保障</w:t>
            </w:r>
          </w:p>
        </w:tc>
        <w:tc>
          <w:tcPr>
            <w:tcW w:w="2640" w:type="dxa"/>
            <w:vAlign w:val="center"/>
          </w:tcPr>
          <w:p>
            <w:pPr>
              <w:autoSpaceDE w:val="0"/>
              <w:autoSpaceDN w:val="0"/>
              <w:adjustRightInd w:val="0"/>
              <w:jc w:val="center"/>
              <w:rPr>
                <w:rFonts w:hint="default" w:ascii="宋体" w:hAnsi="宋体" w:eastAsia="宋体" w:cs="Arial"/>
                <w:color w:val="auto"/>
                <w:sz w:val="24"/>
                <w:lang w:val="en-US" w:eastAsia="zh-CN"/>
              </w:rPr>
            </w:pPr>
            <w:r>
              <w:rPr>
                <w:rFonts w:hint="eastAsia" w:ascii="宋体" w:hAnsi="宋体" w:cs="Arial"/>
                <w:color w:val="auto"/>
                <w:sz w:val="24"/>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3497" w:type="dxa"/>
            <w:vAlign w:val="center"/>
          </w:tcPr>
          <w:p>
            <w:pPr>
              <w:autoSpaceDE w:val="0"/>
              <w:autoSpaceDN w:val="0"/>
              <w:adjustRightInd w:val="0"/>
              <w:jc w:val="left"/>
              <w:rPr>
                <w:rFonts w:hint="eastAsia" w:ascii="宋体" w:hAnsi="宋体" w:cs="Arial"/>
                <w:color w:val="auto"/>
                <w:sz w:val="24"/>
                <w:lang w:val="en-US" w:eastAsia="zh-CN"/>
              </w:rPr>
            </w:pPr>
            <w:r>
              <w:rPr>
                <w:rFonts w:hint="eastAsia" w:ascii="宋体" w:hAnsi="宋体" w:cs="Arial"/>
                <w:color w:val="auto"/>
                <w:sz w:val="24"/>
                <w:lang w:val="en-US" w:eastAsia="zh-CN"/>
              </w:rPr>
              <w:t>对招标文件响应程度</w:t>
            </w:r>
          </w:p>
        </w:tc>
        <w:tc>
          <w:tcPr>
            <w:tcW w:w="2640" w:type="dxa"/>
            <w:vAlign w:val="center"/>
          </w:tcPr>
          <w:p>
            <w:pPr>
              <w:autoSpaceDE w:val="0"/>
              <w:autoSpaceDN w:val="0"/>
              <w:adjustRightInd w:val="0"/>
              <w:jc w:val="center"/>
              <w:rPr>
                <w:rFonts w:hint="default" w:ascii="宋体" w:hAnsi="宋体" w:eastAsia="宋体" w:cs="Arial"/>
                <w:color w:val="auto"/>
                <w:kern w:val="2"/>
                <w:sz w:val="24"/>
                <w:szCs w:val="24"/>
                <w:lang w:val="en-US" w:eastAsia="zh-CN" w:bidi="ar-SA"/>
              </w:rPr>
            </w:pPr>
            <w:r>
              <w:rPr>
                <w:rFonts w:hint="eastAsia" w:ascii="宋体" w:hAnsi="宋体" w:cs="Arial"/>
                <w:color w:val="auto"/>
                <w:kern w:val="2"/>
                <w:sz w:val="24"/>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3497" w:type="dxa"/>
            <w:vAlign w:val="center"/>
          </w:tcPr>
          <w:p>
            <w:pPr>
              <w:autoSpaceDE w:val="0"/>
              <w:autoSpaceDN w:val="0"/>
              <w:adjustRightInd w:val="0"/>
              <w:jc w:val="left"/>
              <w:rPr>
                <w:rFonts w:hint="eastAsia" w:ascii="宋体" w:hAnsi="宋体" w:cs="Arial"/>
                <w:color w:val="auto"/>
                <w:sz w:val="24"/>
                <w:lang w:val="en-US" w:eastAsia="zh-CN"/>
              </w:rPr>
            </w:pPr>
            <w:r>
              <w:rPr>
                <w:rFonts w:hint="eastAsia" w:ascii="宋体" w:hAnsi="宋体" w:cs="Arial"/>
                <w:color w:val="auto"/>
                <w:sz w:val="24"/>
              </w:rPr>
              <w:t>价格</w:t>
            </w:r>
            <w:r>
              <w:rPr>
                <w:rFonts w:hint="eastAsia" w:ascii="宋体" w:hAnsi="宋体" w:cs="Arial"/>
                <w:color w:val="auto"/>
                <w:sz w:val="24"/>
                <w:lang w:eastAsia="zh-CN"/>
              </w:rPr>
              <w:t>分</w:t>
            </w:r>
          </w:p>
        </w:tc>
        <w:tc>
          <w:tcPr>
            <w:tcW w:w="2640" w:type="dxa"/>
            <w:vAlign w:val="center"/>
          </w:tcPr>
          <w:p>
            <w:pPr>
              <w:autoSpaceDE w:val="0"/>
              <w:autoSpaceDN w:val="0"/>
              <w:adjustRightInd w:val="0"/>
              <w:jc w:val="center"/>
              <w:rPr>
                <w:rFonts w:hint="default" w:ascii="宋体" w:hAnsi="宋体" w:eastAsia="宋体" w:cs="Arial"/>
                <w:color w:val="auto"/>
                <w:kern w:val="2"/>
                <w:sz w:val="24"/>
                <w:szCs w:val="24"/>
                <w:lang w:val="en-US" w:eastAsia="zh-CN" w:bidi="ar-SA"/>
              </w:rPr>
            </w:pPr>
            <w:r>
              <w:rPr>
                <w:rFonts w:hint="eastAsia" w:ascii="宋体" w:hAnsi="宋体" w:cs="Arial"/>
                <w:color w:val="auto"/>
                <w:kern w:val="2"/>
                <w:sz w:val="24"/>
                <w:szCs w:val="24"/>
                <w:lang w:val="en-US" w:eastAsia="zh-CN" w:bidi="ar-SA"/>
              </w:rPr>
              <w:t>10</w:t>
            </w:r>
          </w:p>
        </w:tc>
      </w:tr>
    </w:tbl>
    <w:p>
      <w:pPr>
        <w:autoSpaceDE w:val="0"/>
        <w:autoSpaceDN w:val="0"/>
        <w:adjustRightInd w:val="0"/>
        <w:spacing w:line="360" w:lineRule="auto"/>
        <w:ind w:right="84" w:firstLine="472"/>
        <w:rPr>
          <w:rFonts w:ascii="宋体"/>
          <w:bCs/>
          <w:color w:val="auto"/>
          <w:sz w:val="24"/>
          <w:lang w:val="zh-CN"/>
        </w:rPr>
      </w:pPr>
      <w:r>
        <w:rPr>
          <w:rFonts w:hint="eastAsia" w:ascii="宋体"/>
          <w:bCs/>
          <w:color w:val="auto"/>
          <w:sz w:val="24"/>
          <w:lang w:val="zh-CN"/>
        </w:rPr>
        <w:t>（一）商务与技术文件中的客观分由评标委员会讨论后统一打分；其余在规定的分值内单独评定打分。</w:t>
      </w:r>
    </w:p>
    <w:p>
      <w:pPr>
        <w:autoSpaceDE w:val="0"/>
        <w:autoSpaceDN w:val="0"/>
        <w:adjustRightInd w:val="0"/>
        <w:spacing w:line="360" w:lineRule="auto"/>
        <w:ind w:right="84" w:firstLine="472"/>
        <w:rPr>
          <w:rFonts w:ascii="宋体"/>
          <w:bCs/>
          <w:color w:val="auto"/>
          <w:sz w:val="24"/>
          <w:shd w:val="clear" w:color="FFFFFF" w:fill="D9D9D9"/>
          <w:lang w:val="zh-CN"/>
        </w:rPr>
      </w:pPr>
      <w:r>
        <w:rPr>
          <w:rFonts w:hint="eastAsia" w:ascii="宋体"/>
          <w:bCs/>
          <w:color w:val="auto"/>
          <w:sz w:val="24"/>
          <w:lang w:val="zh-CN"/>
        </w:rPr>
        <w:t>（二）各投标人商务与技术文件</w:t>
      </w:r>
      <w:r>
        <w:rPr>
          <w:rFonts w:hint="eastAsia" w:ascii="宋体"/>
          <w:color w:val="auto"/>
          <w:kern w:val="0"/>
          <w:sz w:val="24"/>
          <w:lang w:val="zh-CN"/>
        </w:rPr>
        <w:t>得分按照评标委员会成</w:t>
      </w:r>
      <w:r>
        <w:rPr>
          <w:rFonts w:hint="eastAsia" w:ascii="宋体"/>
          <w:bCs/>
          <w:color w:val="auto"/>
          <w:sz w:val="24"/>
          <w:lang w:val="zh-CN"/>
        </w:rPr>
        <w:t>员的独立评分结果汇总后的算术平均分计算，计算公式为：</w:t>
      </w:r>
    </w:p>
    <w:p>
      <w:pPr>
        <w:autoSpaceDE w:val="0"/>
        <w:autoSpaceDN w:val="0"/>
        <w:adjustRightInd w:val="0"/>
        <w:spacing w:line="360" w:lineRule="auto"/>
        <w:ind w:right="84" w:firstLine="472"/>
        <w:rPr>
          <w:rFonts w:ascii="宋体"/>
          <w:bCs/>
          <w:color w:val="auto"/>
          <w:sz w:val="24"/>
          <w:shd w:val="clear" w:color="FFFFFF" w:fill="D9D9D9"/>
          <w:lang w:val="zh-CN"/>
        </w:rPr>
      </w:pPr>
      <w:r>
        <w:rPr>
          <w:rFonts w:hint="eastAsia" w:ascii="宋体" w:hAnsi="宋体"/>
          <w:color w:val="auto"/>
          <w:sz w:val="24"/>
        </w:rPr>
        <w:t>商务与技术文件得分</w:t>
      </w:r>
      <w:r>
        <w:rPr>
          <w:rFonts w:hint="eastAsia" w:ascii="宋体"/>
          <w:bCs/>
          <w:color w:val="auto"/>
          <w:sz w:val="24"/>
          <w:lang w:val="zh-CN"/>
        </w:rPr>
        <w:t>=评标委员会所有成员评分合计数/评标委员会组成人员数。</w:t>
      </w:r>
    </w:p>
    <w:p>
      <w:pPr>
        <w:autoSpaceDE w:val="0"/>
        <w:autoSpaceDN w:val="0"/>
        <w:adjustRightInd w:val="0"/>
        <w:spacing w:line="360" w:lineRule="auto"/>
        <w:ind w:right="85" w:firstLine="480" w:firstLineChars="200"/>
        <w:rPr>
          <w:rFonts w:ascii="宋体"/>
          <w:color w:val="auto"/>
          <w:sz w:val="24"/>
          <w:lang w:val="zh-CN"/>
        </w:rPr>
      </w:pPr>
      <w:r>
        <w:rPr>
          <w:rFonts w:hint="eastAsia" w:ascii="宋体"/>
          <w:bCs/>
          <w:color w:val="auto"/>
          <w:sz w:val="24"/>
          <w:lang w:val="zh-CN"/>
        </w:rPr>
        <w:t>（三）</w:t>
      </w:r>
      <w:r>
        <w:rPr>
          <w:rFonts w:hint="eastAsia" w:ascii="宋体"/>
          <w:color w:val="auto"/>
          <w:sz w:val="24"/>
          <w:lang w:val="zh-CN"/>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80" w:firstLineChars="200"/>
        <w:rPr>
          <w:rFonts w:ascii="宋体" w:hAnsi="宋体"/>
          <w:color w:val="auto"/>
          <w:sz w:val="24"/>
          <w:u w:val="single"/>
        </w:rPr>
      </w:pPr>
      <w:r>
        <w:rPr>
          <w:rFonts w:hint="eastAsia"/>
          <w:color w:val="auto"/>
          <w:sz w:val="24"/>
          <w:u w:val="single"/>
        </w:rPr>
        <w:t>投标报价得</w:t>
      </w:r>
      <w:r>
        <w:rPr>
          <w:color w:val="auto"/>
          <w:sz w:val="24"/>
          <w:u w:val="single"/>
        </w:rPr>
        <w:t>分=(评标基准价／投</w:t>
      </w:r>
      <w:r>
        <w:rPr>
          <w:rFonts w:ascii="宋体" w:hAnsi="宋体"/>
          <w:color w:val="auto"/>
          <w:sz w:val="24"/>
          <w:u w:val="single"/>
        </w:rPr>
        <w:t>标报价)×</w:t>
      </w:r>
      <w:r>
        <w:rPr>
          <w:rFonts w:hint="eastAsia" w:ascii="宋体" w:hAnsi="宋体"/>
          <w:color w:val="auto"/>
          <w:sz w:val="24"/>
          <w:u w:val="single"/>
          <w:lang w:val="en-US" w:eastAsia="zh-CN"/>
        </w:rPr>
        <w:t>10</w:t>
      </w:r>
      <w:r>
        <w:rPr>
          <w:rFonts w:hint="eastAsia" w:ascii="宋体" w:hAnsi="宋体"/>
          <w:color w:val="auto"/>
          <w:sz w:val="24"/>
          <w:u w:val="single"/>
        </w:rPr>
        <w:t>%</w:t>
      </w:r>
      <w:r>
        <w:rPr>
          <w:rFonts w:ascii="宋体" w:hAnsi="宋体"/>
          <w:color w:val="auto"/>
          <w:sz w:val="24"/>
          <w:u w:val="single"/>
        </w:rPr>
        <w:t>×100</w:t>
      </w:r>
      <w:r>
        <w:rPr>
          <w:rFonts w:hint="eastAsia" w:ascii="宋体" w:hAnsi="宋体"/>
          <w:color w:val="auto"/>
          <w:sz w:val="24"/>
          <w:u w:val="single"/>
        </w:rPr>
        <w:t xml:space="preserve"> 。</w:t>
      </w:r>
    </w:p>
    <w:p>
      <w:pPr>
        <w:autoSpaceDE w:val="0"/>
        <w:autoSpaceDN w:val="0"/>
        <w:adjustRightInd w:val="0"/>
        <w:spacing w:line="360" w:lineRule="auto"/>
        <w:ind w:right="85" w:firstLine="480" w:firstLineChars="200"/>
        <w:rPr>
          <w:rFonts w:ascii="宋体"/>
          <w:color w:val="auto"/>
          <w:sz w:val="24"/>
          <w:lang w:val="zh-CN"/>
        </w:rPr>
      </w:pPr>
      <w:r>
        <w:rPr>
          <w:rFonts w:hint="eastAsia" w:ascii="宋体"/>
          <w:color w:val="auto"/>
          <w:sz w:val="24"/>
          <w:lang w:val="zh-CN"/>
        </w:rPr>
        <w:t>（四）政府采购政策及优惠：（1）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产品适用政府采购政策情况表》（见附件）、《</w:t>
      </w:r>
      <w:r>
        <w:rPr>
          <w:rFonts w:hint="eastAsia" w:ascii="宋体"/>
          <w:sz w:val="24"/>
        </w:rPr>
        <w:t>中</w:t>
      </w:r>
      <w:r>
        <w:rPr>
          <w:rFonts w:hint="eastAsia" w:ascii="宋体"/>
          <w:sz w:val="24"/>
          <w:lang w:val="zh-CN"/>
        </w:rPr>
        <w:t>小企业声明函》（</w:t>
      </w:r>
      <w:r>
        <w:rPr>
          <w:rFonts w:hint="eastAsia" w:ascii="宋体"/>
          <w:sz w:val="24"/>
        </w:rPr>
        <w:t>见附件</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r>
        <w:rPr>
          <w:rFonts w:hint="eastAsia" w:ascii="宋体"/>
          <w:color w:val="auto"/>
          <w:sz w:val="24"/>
          <w:lang w:val="zh-CN"/>
        </w:rPr>
        <w:t>（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right="85" w:firstLine="480" w:firstLineChars="200"/>
        <w:rPr>
          <w:rFonts w:ascii="宋体"/>
          <w:color w:val="auto"/>
          <w:sz w:val="24"/>
          <w:lang w:val="zh-CN"/>
        </w:rPr>
      </w:pPr>
      <w:r>
        <w:rPr>
          <w:rFonts w:hint="eastAsia" w:ascii="宋体"/>
          <w:color w:val="auto"/>
          <w:sz w:val="24"/>
          <w:lang w:val="zh-CN"/>
        </w:rPr>
        <w:t>具体优惠：对于小型微型企业产品的价格给予</w:t>
      </w:r>
      <w:r>
        <w:rPr>
          <w:rFonts w:hint="eastAsia" w:ascii="宋体"/>
          <w:color w:val="auto"/>
          <w:sz w:val="24"/>
          <w:u w:val="single"/>
          <w:lang w:val="zh-CN"/>
        </w:rPr>
        <w:t xml:space="preserve"> </w:t>
      </w:r>
      <w:r>
        <w:rPr>
          <w:rFonts w:hint="eastAsia" w:ascii="宋体"/>
          <w:color w:val="auto"/>
          <w:sz w:val="24"/>
          <w:u w:val="single"/>
        </w:rPr>
        <w:t>6</w:t>
      </w:r>
      <w:r>
        <w:rPr>
          <w:rFonts w:hint="eastAsia" w:ascii="宋体"/>
          <w:color w:val="auto"/>
          <w:sz w:val="24"/>
          <w:u w:val="single"/>
          <w:lang w:val="zh-CN"/>
        </w:rPr>
        <w:t xml:space="preserve">  </w:t>
      </w:r>
      <w:r>
        <w:rPr>
          <w:rFonts w:hint="eastAsia" w:ascii="宋体"/>
          <w:color w:val="auto"/>
          <w:sz w:val="24"/>
          <w:lang w:val="zh-CN"/>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auto"/>
        <w:ind w:right="84" w:firstLine="472"/>
        <w:rPr>
          <w:rFonts w:ascii="宋体"/>
          <w:bCs/>
          <w:color w:val="auto"/>
          <w:sz w:val="24"/>
          <w:shd w:val="clear" w:color="FFFFFF" w:fill="D9D9D9"/>
          <w:lang w:val="zh-CN"/>
        </w:rPr>
      </w:pPr>
      <w:r>
        <w:rPr>
          <w:rFonts w:hint="eastAsia" w:ascii="宋体"/>
          <w:color w:val="auto"/>
          <w:sz w:val="24"/>
          <w:lang w:val="zh-CN"/>
        </w:rPr>
        <w:t>注：得分以系统计算为准，保留2位小数。</w:t>
      </w:r>
    </w:p>
    <w:p>
      <w:pPr>
        <w:autoSpaceDE w:val="0"/>
        <w:autoSpaceDN w:val="0"/>
        <w:adjustRightInd w:val="0"/>
        <w:spacing w:line="360" w:lineRule="auto"/>
        <w:ind w:right="85" w:firstLine="480" w:firstLineChars="200"/>
        <w:rPr>
          <w:rFonts w:ascii="宋体"/>
          <w:color w:val="auto"/>
          <w:sz w:val="24"/>
          <w:lang w:val="zh-CN"/>
        </w:rPr>
      </w:pPr>
      <w:r>
        <w:rPr>
          <w:rFonts w:hint="eastAsia" w:ascii="宋体"/>
          <w:color w:val="auto"/>
          <w:sz w:val="24"/>
          <w:lang w:val="zh-CN"/>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360" w:lineRule="auto"/>
        <w:ind w:right="85" w:firstLine="480" w:firstLineChars="200"/>
        <w:rPr>
          <w:rFonts w:ascii="宋体"/>
          <w:color w:val="auto"/>
          <w:sz w:val="24"/>
          <w:lang w:val="zh-CN"/>
        </w:rPr>
      </w:pPr>
      <w:r>
        <w:rPr>
          <w:rFonts w:hint="eastAsia" w:ascii="宋体"/>
          <w:color w:val="auto"/>
          <w:sz w:val="24"/>
          <w:lang w:val="zh-CN"/>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60" w:lineRule="auto"/>
        <w:ind w:right="85" w:firstLine="480" w:firstLineChars="200"/>
        <w:rPr>
          <w:rFonts w:ascii="宋体"/>
          <w:color w:val="auto"/>
          <w:sz w:val="24"/>
          <w:lang w:val="zh-CN"/>
        </w:rPr>
      </w:pPr>
      <w:r>
        <w:rPr>
          <w:rFonts w:hint="eastAsia" w:ascii="宋体"/>
          <w:color w:val="auto"/>
          <w:sz w:val="24"/>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pStyle w:val="27"/>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六、本次评分具体分值细化条款如下表：</w:t>
      </w:r>
    </w:p>
    <w:p>
      <w:pPr>
        <w:pStyle w:val="27"/>
        <w:ind w:firstLine="480" w:firstLineChars="200"/>
        <w:rPr>
          <w:rFonts w:hint="eastAsia" w:asciiTheme="minorEastAsia" w:hAnsiTheme="minorEastAsia" w:eastAsiaTheme="minorEastAsia"/>
          <w:color w:val="auto"/>
          <w:sz w:val="24"/>
          <w:szCs w:val="24"/>
        </w:rPr>
      </w:pPr>
    </w:p>
    <w:tbl>
      <w:tblPr>
        <w:tblStyle w:val="22"/>
        <w:tblW w:w="8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990"/>
        <w:gridCol w:w="6105"/>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atLeast"/>
          <w:tblHeader/>
          <w:jc w:val="center"/>
        </w:trPr>
        <w:tc>
          <w:tcPr>
            <w:tcW w:w="1033" w:type="dxa"/>
            <w:vAlign w:val="center"/>
          </w:tcPr>
          <w:p>
            <w:pPr>
              <w:spacing w:line="36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评分</w:t>
            </w:r>
          </w:p>
          <w:p>
            <w:pPr>
              <w:spacing w:line="36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项目</w:t>
            </w:r>
          </w:p>
        </w:tc>
        <w:tc>
          <w:tcPr>
            <w:tcW w:w="990" w:type="dxa"/>
            <w:vAlign w:val="center"/>
          </w:tcPr>
          <w:p>
            <w:pPr>
              <w:spacing w:line="36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项目</w:t>
            </w:r>
          </w:p>
          <w:p>
            <w:pPr>
              <w:spacing w:line="36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细分</w:t>
            </w:r>
          </w:p>
        </w:tc>
        <w:tc>
          <w:tcPr>
            <w:tcW w:w="6105" w:type="dxa"/>
            <w:vAlign w:val="center"/>
          </w:tcPr>
          <w:p>
            <w:pPr>
              <w:spacing w:line="36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评分标准</w:t>
            </w:r>
          </w:p>
        </w:tc>
        <w:tc>
          <w:tcPr>
            <w:tcW w:w="612" w:type="dxa"/>
            <w:vAlign w:val="center"/>
          </w:tcPr>
          <w:p>
            <w:pPr>
              <w:spacing w:line="36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033" w:type="dxa"/>
            <w:vMerge w:val="restart"/>
            <w:vAlign w:val="center"/>
          </w:tcPr>
          <w:p>
            <w:pPr>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信誉</w:t>
            </w:r>
          </w:p>
          <w:p>
            <w:pPr>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及业绩(32分)</w:t>
            </w:r>
          </w:p>
        </w:tc>
        <w:tc>
          <w:tcPr>
            <w:tcW w:w="990" w:type="dxa"/>
            <w:vAlign w:val="center"/>
          </w:tcPr>
          <w:p>
            <w:pPr>
              <w:spacing w:line="360" w:lineRule="exact"/>
              <w:jc w:val="center"/>
              <w:rPr>
                <w:rFonts w:hint="eastAsia" w:ascii="宋体" w:hAnsi="宋体" w:eastAsia="宋体" w:cs="宋体"/>
                <w:color w:val="auto"/>
                <w:kern w:val="0"/>
                <w:sz w:val="21"/>
                <w:szCs w:val="21"/>
              </w:rPr>
            </w:pPr>
            <w:r>
              <w:rPr>
                <w:rFonts w:hint="eastAsia" w:ascii="微软雅黑" w:hAnsi="微软雅黑" w:eastAsia="微软雅黑" w:cs="微软雅黑"/>
                <w:i w:val="0"/>
                <w:caps w:val="0"/>
                <w:color w:val="auto"/>
                <w:spacing w:val="0"/>
                <w:sz w:val="22"/>
                <w:szCs w:val="22"/>
                <w:shd w:val="clear" w:fill="FFFFFF"/>
              </w:rPr>
              <w:t>运营服务水平</w:t>
            </w:r>
          </w:p>
        </w:tc>
        <w:tc>
          <w:tcPr>
            <w:tcW w:w="6105" w:type="dxa"/>
            <w:vAlign w:val="center"/>
          </w:tcPr>
          <w:p>
            <w:pPr>
              <w:spacing w:line="360" w:lineRule="exact"/>
              <w:rPr>
                <w:rFonts w:hint="eastAsia"/>
                <w:color w:val="auto"/>
                <w:lang w:val="en-US" w:eastAsia="zh-CN"/>
              </w:rPr>
            </w:pPr>
            <w:r>
              <w:rPr>
                <w:rFonts w:hint="eastAsia"/>
                <w:color w:val="auto"/>
                <w:lang w:val="en-US" w:eastAsia="zh-CN"/>
              </w:rPr>
              <w:t>具备良好的运营服务水平，根据投标人2019-2020年度亿元保费投诉量（台州口径）的平均数，亿元投诉量≤2件的，得8分；2件＜亿元投诉量≤5件的，得6分；5件＜亿元投诉量≤10件的，得4分；10件＜亿元投诉量≤20件的，得2分，其他不得分。</w:t>
            </w:r>
          </w:p>
          <w:p>
            <w:pPr>
              <w:spacing w:line="360" w:lineRule="exact"/>
              <w:rPr>
                <w:rFonts w:hint="eastAsia" w:ascii="宋体" w:hAnsi="宋体" w:eastAsia="宋体" w:cs="宋体"/>
                <w:color w:val="auto"/>
                <w:kern w:val="0"/>
                <w:sz w:val="21"/>
                <w:szCs w:val="21"/>
              </w:rPr>
            </w:pPr>
            <w:r>
              <w:rPr>
                <w:rFonts w:hint="eastAsia"/>
                <w:color w:val="auto"/>
                <w:lang w:val="en-US" w:eastAsia="zh-CN"/>
              </w:rPr>
              <w:t>以台州银保监分局提供数据为准。</w:t>
            </w:r>
          </w:p>
        </w:tc>
        <w:tc>
          <w:tcPr>
            <w:tcW w:w="612" w:type="dxa"/>
            <w:vAlign w:val="center"/>
          </w:tcPr>
          <w:p>
            <w:pPr>
              <w:spacing w:line="360" w:lineRule="exact"/>
              <w:jc w:val="center"/>
              <w:rPr>
                <w:rFonts w:hint="eastAsia" w:ascii="宋体" w:hAnsi="宋体" w:eastAsia="宋体" w:cs="宋体"/>
                <w:kern w:val="0"/>
                <w:sz w:val="21"/>
                <w:szCs w:val="21"/>
                <w:lang w:val="en-US" w:eastAsia="zh-CN"/>
              </w:rPr>
            </w:pPr>
            <w:r>
              <w:rPr>
                <w:rFonts w:hint="eastAsia" w:ascii="宋体" w:hAnsi="宋体" w:cs="宋体"/>
                <w:color w:val="auto"/>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jc w:val="center"/>
        </w:trPr>
        <w:tc>
          <w:tcPr>
            <w:tcW w:w="1033" w:type="dxa"/>
            <w:vMerge w:val="continue"/>
            <w:vAlign w:val="center"/>
          </w:tcPr>
          <w:p>
            <w:pPr>
              <w:spacing w:line="360" w:lineRule="exact"/>
              <w:jc w:val="center"/>
              <w:rPr>
                <w:rFonts w:hint="eastAsia" w:ascii="宋体" w:hAnsi="宋体" w:eastAsia="宋体" w:cs="宋体"/>
                <w:kern w:val="0"/>
                <w:sz w:val="21"/>
                <w:szCs w:val="21"/>
              </w:rPr>
            </w:pPr>
          </w:p>
        </w:tc>
        <w:tc>
          <w:tcPr>
            <w:tcW w:w="990" w:type="dxa"/>
            <w:vAlign w:val="center"/>
          </w:tcPr>
          <w:p>
            <w:pPr>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项目</w:t>
            </w:r>
          </w:p>
          <w:p>
            <w:pPr>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经验</w:t>
            </w:r>
          </w:p>
        </w:tc>
        <w:tc>
          <w:tcPr>
            <w:tcW w:w="6105" w:type="dxa"/>
            <w:vAlign w:val="center"/>
          </w:tcPr>
          <w:p>
            <w:pPr>
              <w:spacing w:line="36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根据投标人2018年</w:t>
            </w:r>
            <w:r>
              <w:rPr>
                <w:rFonts w:hint="eastAsia" w:ascii="宋体" w:hAnsi="宋体" w:cs="宋体"/>
                <w:color w:val="auto"/>
                <w:kern w:val="0"/>
                <w:sz w:val="21"/>
                <w:szCs w:val="21"/>
                <w:lang w:val="en-US" w:eastAsia="zh-CN"/>
              </w:rPr>
              <w:t>8月以来，</w:t>
            </w:r>
            <w:r>
              <w:rPr>
                <w:rFonts w:hint="eastAsia" w:ascii="宋体" w:hAnsi="宋体" w:eastAsia="宋体" w:cs="宋体"/>
                <w:color w:val="auto"/>
                <w:kern w:val="0"/>
                <w:sz w:val="21"/>
                <w:szCs w:val="21"/>
              </w:rPr>
              <w:t>承保的</w:t>
            </w:r>
            <w:r>
              <w:rPr>
                <w:rFonts w:hint="eastAsia" w:ascii="宋体" w:hAnsi="宋体" w:cs="宋体"/>
                <w:color w:val="auto"/>
                <w:kern w:val="0"/>
                <w:sz w:val="21"/>
                <w:szCs w:val="21"/>
                <w:lang w:val="en-US" w:eastAsia="zh-CN"/>
              </w:rPr>
              <w:t>类似</w:t>
            </w:r>
            <w:r>
              <w:rPr>
                <w:rFonts w:hint="eastAsia" w:ascii="宋体" w:hAnsi="宋体" w:eastAsia="宋体" w:cs="宋体"/>
                <w:color w:val="auto"/>
                <w:kern w:val="0"/>
                <w:sz w:val="21"/>
                <w:szCs w:val="21"/>
              </w:rPr>
              <w:t>项目</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根据类似程度每个项目得0-2分，</w:t>
            </w:r>
            <w:r>
              <w:rPr>
                <w:rFonts w:hint="eastAsia" w:ascii="宋体" w:hAnsi="宋体" w:eastAsia="宋体" w:cs="宋体"/>
                <w:color w:val="auto"/>
                <w:kern w:val="0"/>
                <w:sz w:val="21"/>
                <w:szCs w:val="21"/>
              </w:rPr>
              <w:t>没有项目的不得分。</w:t>
            </w:r>
          </w:p>
          <w:p>
            <w:pPr>
              <w:spacing w:line="36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投标人需提供合同或中标通知书及保单作为评分依据。</w:t>
            </w:r>
          </w:p>
        </w:tc>
        <w:tc>
          <w:tcPr>
            <w:tcW w:w="612" w:type="dxa"/>
            <w:vAlign w:val="center"/>
          </w:tcPr>
          <w:p>
            <w:pPr>
              <w:spacing w:line="360" w:lineRule="exact"/>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2" w:hRule="atLeast"/>
          <w:jc w:val="center"/>
        </w:trPr>
        <w:tc>
          <w:tcPr>
            <w:tcW w:w="1033" w:type="dxa"/>
            <w:vMerge w:val="continue"/>
            <w:vAlign w:val="center"/>
          </w:tcPr>
          <w:p>
            <w:pPr>
              <w:spacing w:line="360" w:lineRule="exact"/>
              <w:jc w:val="center"/>
              <w:rPr>
                <w:rFonts w:hint="eastAsia" w:ascii="宋体" w:hAnsi="宋体" w:eastAsia="宋体" w:cs="宋体"/>
                <w:kern w:val="0"/>
                <w:sz w:val="21"/>
                <w:szCs w:val="21"/>
              </w:rPr>
            </w:pPr>
          </w:p>
        </w:tc>
        <w:tc>
          <w:tcPr>
            <w:tcW w:w="990" w:type="dxa"/>
            <w:vAlign w:val="center"/>
          </w:tcPr>
          <w:p>
            <w:pPr>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保险责任匹配度</w:t>
            </w:r>
          </w:p>
        </w:tc>
        <w:tc>
          <w:tcPr>
            <w:tcW w:w="6105" w:type="dxa"/>
            <w:vAlign w:val="center"/>
          </w:tcPr>
          <w:p>
            <w:pPr>
              <w:spacing w:line="36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投标人能够完全满足本项目招标需求，对招标需求中的保险责任能够逐一提供完全匹配的保险条款，得5分；不能提供完全匹配上述保险责任的保险条款，但承诺参加共保体后能够进行赔款处理的，得3分。</w:t>
            </w:r>
          </w:p>
        </w:tc>
        <w:tc>
          <w:tcPr>
            <w:tcW w:w="612" w:type="dxa"/>
            <w:vAlign w:val="center"/>
          </w:tcPr>
          <w:p>
            <w:pPr>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5" w:hRule="atLeast"/>
          <w:jc w:val="center"/>
        </w:trPr>
        <w:tc>
          <w:tcPr>
            <w:tcW w:w="1033" w:type="dxa"/>
            <w:vMerge w:val="continue"/>
            <w:vAlign w:val="center"/>
          </w:tcPr>
          <w:p>
            <w:pPr>
              <w:spacing w:line="360" w:lineRule="exact"/>
              <w:jc w:val="center"/>
              <w:rPr>
                <w:rFonts w:hint="eastAsia" w:ascii="宋体" w:hAnsi="宋体" w:eastAsia="宋体" w:cs="宋体"/>
                <w:kern w:val="0"/>
                <w:sz w:val="21"/>
                <w:szCs w:val="21"/>
              </w:rPr>
            </w:pPr>
          </w:p>
        </w:tc>
        <w:tc>
          <w:tcPr>
            <w:tcW w:w="990" w:type="dxa"/>
            <w:vAlign w:val="center"/>
          </w:tcPr>
          <w:p>
            <w:pPr>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政保</w:t>
            </w:r>
          </w:p>
          <w:p>
            <w:pPr>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合作</w:t>
            </w:r>
          </w:p>
        </w:tc>
        <w:tc>
          <w:tcPr>
            <w:tcW w:w="6105" w:type="dxa"/>
            <w:vAlign w:val="center"/>
          </w:tcPr>
          <w:p>
            <w:pPr>
              <w:spacing w:line="36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根据自2018年</w:t>
            </w:r>
            <w:r>
              <w:rPr>
                <w:rFonts w:hint="eastAsia" w:ascii="宋体" w:hAnsi="宋体" w:cs="宋体"/>
                <w:color w:val="auto"/>
                <w:kern w:val="0"/>
                <w:sz w:val="21"/>
                <w:szCs w:val="21"/>
                <w:lang w:val="en-US" w:eastAsia="zh-CN"/>
              </w:rPr>
              <w:t>8月以来，与</w:t>
            </w:r>
            <w:r>
              <w:rPr>
                <w:rFonts w:hint="eastAsia" w:ascii="宋体" w:hAnsi="宋体" w:eastAsia="宋体" w:cs="宋体"/>
                <w:color w:val="auto"/>
                <w:kern w:val="0"/>
                <w:sz w:val="21"/>
                <w:szCs w:val="21"/>
              </w:rPr>
              <w:t>政府部门合作</w:t>
            </w:r>
            <w:r>
              <w:rPr>
                <w:rFonts w:hint="eastAsia" w:ascii="宋体" w:hAnsi="宋体" w:cs="宋体"/>
                <w:color w:val="auto"/>
                <w:kern w:val="0"/>
                <w:sz w:val="21"/>
                <w:szCs w:val="21"/>
                <w:lang w:val="en-US" w:eastAsia="zh-CN"/>
              </w:rPr>
              <w:t>其他</w:t>
            </w:r>
            <w:r>
              <w:rPr>
                <w:rFonts w:hint="eastAsia" w:ascii="宋体" w:hAnsi="宋体" w:eastAsia="宋体" w:cs="宋体"/>
                <w:color w:val="auto"/>
                <w:kern w:val="0"/>
                <w:sz w:val="21"/>
                <w:szCs w:val="21"/>
              </w:rPr>
              <w:t>项目</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每提供一项得1分</w:t>
            </w:r>
            <w:r>
              <w:rPr>
                <w:rFonts w:hint="eastAsia" w:ascii="宋体" w:hAnsi="宋体" w:eastAsia="宋体" w:cs="宋体"/>
                <w:color w:val="auto"/>
                <w:kern w:val="0"/>
                <w:sz w:val="21"/>
                <w:szCs w:val="21"/>
              </w:rPr>
              <w:t>。（以往合作过程中存在重大合同纠纷尚未处理完毕的，由专家酌情扣分）</w:t>
            </w:r>
          </w:p>
          <w:p>
            <w:pPr>
              <w:spacing w:line="36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投标人需提供合同或中标通知书及保单作为评分依据。</w:t>
            </w:r>
          </w:p>
        </w:tc>
        <w:tc>
          <w:tcPr>
            <w:tcW w:w="612" w:type="dxa"/>
            <w:vAlign w:val="center"/>
          </w:tcPr>
          <w:p>
            <w:pPr>
              <w:spacing w:line="360" w:lineRule="exac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5" w:hRule="atLeast"/>
          <w:jc w:val="center"/>
        </w:trPr>
        <w:tc>
          <w:tcPr>
            <w:tcW w:w="1033" w:type="dxa"/>
            <w:vMerge w:val="continue"/>
            <w:vAlign w:val="center"/>
          </w:tcPr>
          <w:p>
            <w:pPr>
              <w:spacing w:line="360" w:lineRule="exact"/>
              <w:jc w:val="center"/>
              <w:rPr>
                <w:rFonts w:hint="eastAsia" w:ascii="宋体" w:hAnsi="宋体" w:eastAsia="宋体" w:cs="宋体"/>
                <w:kern w:val="0"/>
                <w:sz w:val="21"/>
                <w:szCs w:val="21"/>
              </w:rPr>
            </w:pPr>
          </w:p>
        </w:tc>
        <w:tc>
          <w:tcPr>
            <w:tcW w:w="990" w:type="dxa"/>
            <w:vAlign w:val="center"/>
          </w:tcPr>
          <w:p>
            <w:pPr>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偿付能力充足率</w:t>
            </w:r>
          </w:p>
        </w:tc>
        <w:tc>
          <w:tcPr>
            <w:tcW w:w="6105" w:type="dxa"/>
            <w:vAlign w:val="center"/>
          </w:tcPr>
          <w:p>
            <w:pPr>
              <w:spacing w:line="360" w:lineRule="exact"/>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根据投标人总公司2019年-2020年的综合偿付能力充足率进行打分，每一年度偿付能力充</w:t>
            </w:r>
            <w:r>
              <w:rPr>
                <w:rFonts w:hint="eastAsia" w:ascii="宋体" w:hAnsi="宋体" w:eastAsia="宋体" w:cs="宋体"/>
                <w:color w:val="auto"/>
                <w:spacing w:val="-6"/>
                <w:kern w:val="0"/>
                <w:sz w:val="21"/>
                <w:szCs w:val="21"/>
              </w:rPr>
              <w:t>足率≥200%，得</w:t>
            </w:r>
            <w:r>
              <w:rPr>
                <w:rFonts w:hint="eastAsia" w:ascii="宋体" w:hAnsi="宋体" w:cs="宋体"/>
                <w:color w:val="auto"/>
                <w:spacing w:val="-6"/>
                <w:kern w:val="0"/>
                <w:sz w:val="21"/>
                <w:szCs w:val="21"/>
                <w:lang w:val="en-US" w:eastAsia="zh-CN"/>
              </w:rPr>
              <w:t>3</w:t>
            </w:r>
            <w:r>
              <w:rPr>
                <w:rFonts w:hint="eastAsia" w:ascii="宋体" w:hAnsi="宋体" w:eastAsia="宋体" w:cs="宋体"/>
                <w:color w:val="auto"/>
                <w:spacing w:val="-6"/>
                <w:kern w:val="0"/>
                <w:sz w:val="21"/>
                <w:szCs w:val="21"/>
              </w:rPr>
              <w:t>分（两年偿付能力充足率≥200%，得</w:t>
            </w:r>
            <w:r>
              <w:rPr>
                <w:rFonts w:hint="eastAsia" w:ascii="宋体" w:hAnsi="宋体" w:cs="宋体"/>
                <w:color w:val="auto"/>
                <w:spacing w:val="-6"/>
                <w:kern w:val="0"/>
                <w:sz w:val="21"/>
                <w:szCs w:val="21"/>
                <w:lang w:val="en-US" w:eastAsia="zh-CN"/>
              </w:rPr>
              <w:t>6</w:t>
            </w:r>
            <w:r>
              <w:rPr>
                <w:rFonts w:hint="eastAsia" w:ascii="宋体" w:hAnsi="宋体" w:eastAsia="宋体" w:cs="宋体"/>
                <w:color w:val="auto"/>
                <w:spacing w:val="-6"/>
                <w:kern w:val="0"/>
                <w:sz w:val="21"/>
                <w:szCs w:val="21"/>
              </w:rPr>
              <w:t>分。下同）；200%＞每一年度偿付能力充足率≥150%，得</w:t>
            </w:r>
            <w:r>
              <w:rPr>
                <w:rFonts w:hint="eastAsia" w:ascii="宋体" w:hAnsi="宋体" w:cs="宋体"/>
                <w:color w:val="auto"/>
                <w:spacing w:val="-6"/>
                <w:kern w:val="0"/>
                <w:sz w:val="21"/>
                <w:szCs w:val="21"/>
                <w:lang w:val="en-US" w:eastAsia="zh-CN"/>
              </w:rPr>
              <w:t>2</w:t>
            </w:r>
            <w:r>
              <w:rPr>
                <w:rFonts w:hint="eastAsia" w:ascii="宋体" w:hAnsi="宋体" w:eastAsia="宋体" w:cs="宋体"/>
                <w:color w:val="auto"/>
                <w:spacing w:val="-6"/>
                <w:kern w:val="0"/>
                <w:sz w:val="21"/>
                <w:szCs w:val="21"/>
              </w:rPr>
              <w:t>分；150%＞一年度偿付能力充足率≥100%，得</w:t>
            </w:r>
            <w:r>
              <w:rPr>
                <w:rFonts w:hint="eastAsia" w:ascii="宋体" w:hAnsi="宋体" w:cs="宋体"/>
                <w:color w:val="auto"/>
                <w:spacing w:val="-6"/>
                <w:kern w:val="0"/>
                <w:sz w:val="21"/>
                <w:szCs w:val="21"/>
                <w:lang w:val="en-US" w:eastAsia="zh-CN"/>
              </w:rPr>
              <w:t>1</w:t>
            </w:r>
            <w:r>
              <w:rPr>
                <w:rFonts w:hint="eastAsia" w:ascii="宋体" w:hAnsi="宋体" w:eastAsia="宋体" w:cs="宋体"/>
                <w:color w:val="auto"/>
                <w:spacing w:val="-6"/>
                <w:kern w:val="0"/>
                <w:sz w:val="21"/>
                <w:szCs w:val="21"/>
              </w:rPr>
              <w:t>分。</w:t>
            </w:r>
          </w:p>
          <w:p>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投标人需提供总公司2019-2020年经第三方审计的财务报告相关页，未提供或无法证明的不得分。</w:t>
            </w:r>
          </w:p>
        </w:tc>
        <w:tc>
          <w:tcPr>
            <w:tcW w:w="612" w:type="dxa"/>
            <w:vAlign w:val="center"/>
          </w:tcPr>
          <w:p>
            <w:pPr>
              <w:spacing w:line="360" w:lineRule="exact"/>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jc w:val="center"/>
        </w:trPr>
        <w:tc>
          <w:tcPr>
            <w:tcW w:w="1033" w:type="dxa"/>
            <w:vMerge w:val="restart"/>
            <w:vAlign w:val="center"/>
          </w:tcPr>
          <w:p>
            <w:pPr>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服务</w:t>
            </w:r>
          </w:p>
          <w:p>
            <w:pPr>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与保障</w:t>
            </w:r>
          </w:p>
          <w:p>
            <w:pPr>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56</w:t>
            </w:r>
            <w:r>
              <w:rPr>
                <w:rFonts w:hint="eastAsia" w:ascii="宋体" w:hAnsi="宋体" w:eastAsia="宋体" w:cs="宋体"/>
                <w:kern w:val="0"/>
                <w:sz w:val="21"/>
                <w:szCs w:val="21"/>
              </w:rPr>
              <w:t>分)</w:t>
            </w:r>
          </w:p>
        </w:tc>
        <w:tc>
          <w:tcPr>
            <w:tcW w:w="990" w:type="dxa"/>
            <w:vAlign w:val="center"/>
          </w:tcPr>
          <w:p>
            <w:pPr>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服务</w:t>
            </w:r>
          </w:p>
          <w:p>
            <w:pPr>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部门</w:t>
            </w:r>
          </w:p>
        </w:tc>
        <w:tc>
          <w:tcPr>
            <w:tcW w:w="6105" w:type="dxa"/>
            <w:vAlign w:val="center"/>
          </w:tcPr>
          <w:p>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投标人承诺针对本项目成立专业的服务部门，并由投标人副总经理职务及以上人员任负责人，指导全市开展本保险项目的，得3分。如无则不得分。</w:t>
            </w:r>
          </w:p>
        </w:tc>
        <w:tc>
          <w:tcPr>
            <w:tcW w:w="612" w:type="dxa"/>
            <w:vAlign w:val="center"/>
          </w:tcPr>
          <w:p>
            <w:pPr>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1033" w:type="dxa"/>
            <w:vMerge w:val="continue"/>
            <w:vAlign w:val="center"/>
          </w:tcPr>
          <w:p>
            <w:pPr>
              <w:spacing w:line="360" w:lineRule="exact"/>
              <w:jc w:val="center"/>
              <w:rPr>
                <w:rFonts w:hint="eastAsia" w:ascii="宋体" w:hAnsi="宋体" w:eastAsia="宋体" w:cs="宋体"/>
                <w:kern w:val="0"/>
                <w:sz w:val="21"/>
                <w:szCs w:val="21"/>
              </w:rPr>
            </w:pPr>
          </w:p>
        </w:tc>
        <w:tc>
          <w:tcPr>
            <w:tcW w:w="990" w:type="dxa"/>
            <w:vAlign w:val="center"/>
          </w:tcPr>
          <w:p>
            <w:pPr>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服务</w:t>
            </w:r>
          </w:p>
          <w:p>
            <w:pPr>
              <w:spacing w:line="360" w:lineRule="exact"/>
              <w:jc w:val="center"/>
              <w:rPr>
                <w:rFonts w:hint="default" w:ascii="宋体" w:hAnsi="宋体" w:eastAsia="宋体" w:cs="宋体"/>
                <w:color w:val="auto"/>
                <w:kern w:val="0"/>
                <w:sz w:val="21"/>
                <w:szCs w:val="21"/>
                <w:lang w:val="en-US" w:eastAsia="zh-CN"/>
              </w:rPr>
            </w:pPr>
            <w:r>
              <w:rPr>
                <w:rFonts w:hint="eastAsia" w:ascii="宋体" w:hAnsi="宋体" w:eastAsia="宋体" w:cs="宋体"/>
                <w:kern w:val="0"/>
                <w:sz w:val="21"/>
                <w:szCs w:val="21"/>
              </w:rPr>
              <w:t>团队</w:t>
            </w:r>
          </w:p>
        </w:tc>
        <w:tc>
          <w:tcPr>
            <w:tcW w:w="6105" w:type="dxa"/>
            <w:vAlign w:val="center"/>
          </w:tcPr>
          <w:p>
            <w:pPr>
              <w:spacing w:line="360" w:lineRule="exact"/>
              <w:rPr>
                <w:rFonts w:hint="eastAsia" w:ascii="宋体" w:hAnsi="宋体" w:eastAsia="宋体" w:cs="宋体"/>
                <w:color w:val="auto"/>
                <w:spacing w:val="-6"/>
                <w:kern w:val="0"/>
                <w:sz w:val="21"/>
                <w:szCs w:val="21"/>
                <w:lang w:eastAsia="zh-CN"/>
              </w:rPr>
            </w:pPr>
            <w:r>
              <w:rPr>
                <w:rFonts w:hint="eastAsia" w:ascii="宋体" w:hAnsi="宋体" w:eastAsia="宋体" w:cs="宋体"/>
                <w:color w:val="auto"/>
                <w:spacing w:val="-6"/>
                <w:kern w:val="0"/>
                <w:sz w:val="21"/>
                <w:szCs w:val="21"/>
              </w:rPr>
              <w:t>投标人承诺在9个县市区分别建立服务小组，每个服务小组成员不少于4名，分别为1名负责人、1名项目管理员、1名承保人员、1名理赔员；负责人须为县级公司副经理及以上人员，每个服务小组少于四人的不能视为一组。上述人员必须已与投标人（或其下属分支机构）签订正式劳动合同（不含劳务派遣人员）。按上述要求建立的，得</w:t>
            </w:r>
            <w:r>
              <w:rPr>
                <w:rFonts w:hint="eastAsia" w:ascii="宋体" w:hAnsi="宋体" w:cs="宋体"/>
                <w:color w:val="auto"/>
                <w:spacing w:val="-6"/>
                <w:kern w:val="0"/>
                <w:sz w:val="21"/>
                <w:szCs w:val="21"/>
                <w:lang w:val="en-US" w:eastAsia="zh-CN"/>
              </w:rPr>
              <w:t>6</w:t>
            </w:r>
            <w:r>
              <w:rPr>
                <w:rFonts w:hint="eastAsia" w:ascii="宋体" w:hAnsi="宋体" w:eastAsia="宋体" w:cs="宋体"/>
                <w:color w:val="auto"/>
                <w:spacing w:val="-6"/>
                <w:kern w:val="0"/>
                <w:sz w:val="21"/>
                <w:szCs w:val="21"/>
              </w:rPr>
              <w:t>分；未按上述要求建立的，不得分。</w:t>
            </w:r>
            <w:r>
              <w:rPr>
                <w:rFonts w:hint="eastAsia" w:ascii="宋体" w:hAnsi="宋体" w:cs="宋体"/>
                <w:color w:val="auto"/>
                <w:spacing w:val="-6"/>
                <w:kern w:val="0"/>
                <w:sz w:val="21"/>
                <w:szCs w:val="21"/>
                <w:lang w:eastAsia="zh-CN"/>
              </w:rPr>
              <w:t>（</w:t>
            </w:r>
            <w:r>
              <w:rPr>
                <w:rFonts w:hint="eastAsia" w:ascii="宋体" w:hAnsi="宋体" w:cs="宋体"/>
                <w:color w:val="auto"/>
                <w:spacing w:val="-6"/>
                <w:kern w:val="0"/>
                <w:sz w:val="21"/>
                <w:szCs w:val="21"/>
                <w:lang w:val="en-US" w:eastAsia="zh-CN"/>
              </w:rPr>
              <w:t>人员不重复计分</w:t>
            </w:r>
            <w:r>
              <w:rPr>
                <w:rFonts w:hint="eastAsia" w:ascii="宋体" w:hAnsi="宋体" w:cs="宋体"/>
                <w:color w:val="auto"/>
                <w:spacing w:val="-6"/>
                <w:kern w:val="0"/>
                <w:sz w:val="21"/>
                <w:szCs w:val="21"/>
                <w:lang w:eastAsia="zh-CN"/>
              </w:rPr>
              <w:t>）</w:t>
            </w:r>
          </w:p>
          <w:p>
            <w:pPr>
              <w:spacing w:line="360" w:lineRule="exact"/>
              <w:rPr>
                <w:rFonts w:hint="default"/>
                <w:color w:val="auto"/>
                <w:lang w:val="en-US"/>
              </w:rPr>
            </w:pPr>
            <w:r>
              <w:rPr>
                <w:rFonts w:hint="eastAsia" w:ascii="宋体" w:hAnsi="宋体" w:eastAsia="宋体" w:cs="宋体"/>
                <w:color w:val="auto"/>
                <w:spacing w:val="-6"/>
                <w:kern w:val="0"/>
                <w:sz w:val="21"/>
                <w:szCs w:val="21"/>
              </w:rPr>
              <w:t>投标人需提供服务小组成员名单、劳动合同。</w:t>
            </w:r>
          </w:p>
        </w:tc>
        <w:tc>
          <w:tcPr>
            <w:tcW w:w="612" w:type="dxa"/>
            <w:vAlign w:val="center"/>
          </w:tcPr>
          <w:p>
            <w:pPr>
              <w:spacing w:line="360" w:lineRule="exact"/>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1033" w:type="dxa"/>
            <w:vMerge w:val="continue"/>
            <w:vAlign w:val="center"/>
          </w:tcPr>
          <w:p>
            <w:pPr>
              <w:spacing w:line="360" w:lineRule="exact"/>
              <w:jc w:val="center"/>
              <w:rPr>
                <w:rFonts w:hint="eastAsia" w:ascii="宋体" w:hAnsi="宋体" w:eastAsia="宋体" w:cs="宋体"/>
                <w:kern w:val="0"/>
                <w:sz w:val="21"/>
                <w:szCs w:val="21"/>
              </w:rPr>
            </w:pPr>
          </w:p>
        </w:tc>
        <w:tc>
          <w:tcPr>
            <w:tcW w:w="990" w:type="dxa"/>
            <w:vAlign w:val="center"/>
          </w:tcPr>
          <w:p>
            <w:pPr>
              <w:spacing w:line="360" w:lineRule="exact"/>
              <w:jc w:val="center"/>
              <w:rPr>
                <w:rFonts w:hint="eastAsia" w:ascii="宋体" w:hAnsi="宋体" w:cs="宋体"/>
                <w:color w:val="auto"/>
                <w:kern w:val="0"/>
                <w:sz w:val="21"/>
                <w:szCs w:val="21"/>
                <w:lang w:val="en-US" w:eastAsia="zh-CN"/>
              </w:rPr>
            </w:pPr>
            <w:r>
              <w:rPr>
                <w:rFonts w:hint="eastAsia" w:ascii="宋体" w:hAnsi="宋体" w:eastAsia="宋体" w:cs="宋体"/>
                <w:kern w:val="0"/>
                <w:sz w:val="21"/>
                <w:szCs w:val="21"/>
              </w:rPr>
              <w:t>团队人员工作经验</w:t>
            </w:r>
          </w:p>
        </w:tc>
        <w:tc>
          <w:tcPr>
            <w:tcW w:w="6105" w:type="dxa"/>
            <w:vAlign w:val="center"/>
          </w:tcPr>
          <w:p>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服务团队（小组）负责人须从事保险行业工作年限10（含）年以上，其他成员保险从业年限须5（含）年以上。符合上述要求的，得6分；未达到要求的，每个成员扣0.5分，扣完为止。</w:t>
            </w:r>
          </w:p>
          <w:p>
            <w:pPr>
              <w:spacing w:line="360" w:lineRule="exact"/>
              <w:rPr>
                <w:rFonts w:hint="default"/>
                <w:color w:val="auto"/>
                <w:lang w:val="en-US"/>
              </w:rPr>
            </w:pPr>
            <w:r>
              <w:rPr>
                <w:rFonts w:hint="eastAsia" w:ascii="宋体" w:hAnsi="宋体" w:eastAsia="宋体" w:cs="宋体"/>
                <w:kern w:val="0"/>
                <w:sz w:val="21"/>
                <w:szCs w:val="21"/>
              </w:rPr>
              <w:t>投标人需提供相关人员的社保缴纳记录。</w:t>
            </w:r>
          </w:p>
        </w:tc>
        <w:tc>
          <w:tcPr>
            <w:tcW w:w="612" w:type="dxa"/>
            <w:vAlign w:val="center"/>
          </w:tcPr>
          <w:p>
            <w:pPr>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jc w:val="center"/>
        </w:trPr>
        <w:tc>
          <w:tcPr>
            <w:tcW w:w="1033" w:type="dxa"/>
            <w:vMerge w:val="continue"/>
            <w:vAlign w:val="center"/>
          </w:tcPr>
          <w:p>
            <w:pPr>
              <w:spacing w:line="360" w:lineRule="exact"/>
              <w:jc w:val="center"/>
              <w:rPr>
                <w:rFonts w:hint="eastAsia" w:ascii="宋体" w:hAnsi="宋体" w:eastAsia="宋体" w:cs="宋体"/>
                <w:kern w:val="0"/>
                <w:sz w:val="21"/>
                <w:szCs w:val="21"/>
              </w:rPr>
            </w:pPr>
          </w:p>
        </w:tc>
        <w:tc>
          <w:tcPr>
            <w:tcW w:w="990" w:type="dxa"/>
            <w:vAlign w:val="center"/>
          </w:tcPr>
          <w:p>
            <w:pPr>
              <w:spacing w:line="360" w:lineRule="exact"/>
              <w:jc w:val="center"/>
              <w:rPr>
                <w:rFonts w:hint="eastAsia" w:ascii="宋体" w:hAnsi="宋体" w:cs="宋体"/>
                <w:color w:val="auto"/>
                <w:kern w:val="0"/>
                <w:sz w:val="21"/>
                <w:szCs w:val="21"/>
                <w:lang w:val="en-US" w:eastAsia="zh-CN"/>
              </w:rPr>
            </w:pPr>
            <w:r>
              <w:rPr>
                <w:rFonts w:hint="eastAsia" w:ascii="宋体" w:hAnsi="宋体" w:cs="宋体"/>
                <w:kern w:val="0"/>
                <w:sz w:val="21"/>
                <w:szCs w:val="21"/>
                <w:lang w:val="en-US" w:eastAsia="zh-CN"/>
              </w:rPr>
              <w:t>勘查时效</w:t>
            </w:r>
          </w:p>
        </w:tc>
        <w:tc>
          <w:tcPr>
            <w:tcW w:w="6105" w:type="dxa"/>
            <w:vAlign w:val="center"/>
          </w:tcPr>
          <w:p>
            <w:pPr>
              <w:spacing w:line="360" w:lineRule="exact"/>
              <w:rPr>
                <w:rFonts w:hint="default"/>
                <w:color w:val="auto"/>
                <w:lang w:val="en-US"/>
              </w:rPr>
            </w:pPr>
            <w:r>
              <w:rPr>
                <w:rFonts w:hint="eastAsia" w:ascii="宋体" w:hAnsi="宋体" w:eastAsia="宋体" w:cs="宋体"/>
                <w:kern w:val="0"/>
                <w:sz w:val="21"/>
                <w:szCs w:val="21"/>
              </w:rPr>
              <w:t>投标人承诺接报案后市区30分钟内赶到现场、郊区60分钟内赶到现场，得</w:t>
            </w:r>
            <w:r>
              <w:rPr>
                <w:rFonts w:hint="eastAsia" w:ascii="宋体" w:hAnsi="宋体" w:cs="宋体"/>
                <w:kern w:val="0"/>
                <w:sz w:val="21"/>
                <w:szCs w:val="21"/>
                <w:lang w:val="en-US" w:eastAsia="zh-CN"/>
              </w:rPr>
              <w:t>3</w:t>
            </w:r>
            <w:r>
              <w:rPr>
                <w:rFonts w:hint="eastAsia" w:ascii="宋体" w:hAnsi="宋体" w:eastAsia="宋体" w:cs="宋体"/>
                <w:kern w:val="0"/>
                <w:sz w:val="21"/>
                <w:szCs w:val="21"/>
              </w:rPr>
              <w:t>分；其余不得分。</w:t>
            </w:r>
          </w:p>
        </w:tc>
        <w:tc>
          <w:tcPr>
            <w:tcW w:w="612" w:type="dxa"/>
            <w:vAlign w:val="center"/>
          </w:tcPr>
          <w:p>
            <w:pPr>
              <w:spacing w:line="36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jc w:val="center"/>
        </w:trPr>
        <w:tc>
          <w:tcPr>
            <w:tcW w:w="1033" w:type="dxa"/>
            <w:vMerge w:val="continue"/>
            <w:vAlign w:val="center"/>
          </w:tcPr>
          <w:p>
            <w:pPr>
              <w:spacing w:line="360" w:lineRule="exact"/>
              <w:jc w:val="center"/>
              <w:rPr>
                <w:rFonts w:hint="eastAsia" w:ascii="宋体" w:hAnsi="宋体" w:eastAsia="宋体" w:cs="宋体"/>
                <w:kern w:val="0"/>
                <w:sz w:val="21"/>
                <w:szCs w:val="21"/>
              </w:rPr>
            </w:pPr>
          </w:p>
        </w:tc>
        <w:tc>
          <w:tcPr>
            <w:tcW w:w="990" w:type="dxa"/>
            <w:vAlign w:val="center"/>
          </w:tcPr>
          <w:p>
            <w:pPr>
              <w:pStyle w:val="2"/>
              <w:ind w:left="0" w:leftChars="0" w:firstLine="0" w:firstLineChars="0"/>
              <w:jc w:val="center"/>
              <w:rPr>
                <w:rFonts w:hint="eastAsia" w:ascii="宋体" w:hAnsi="宋体" w:cs="宋体"/>
                <w:color w:val="auto"/>
                <w:kern w:val="0"/>
                <w:sz w:val="21"/>
                <w:szCs w:val="21"/>
                <w:lang w:val="en-US" w:eastAsia="zh-CN"/>
              </w:rPr>
            </w:pPr>
            <w:r>
              <w:rPr>
                <w:rFonts w:hint="eastAsia"/>
                <w:color w:val="auto"/>
                <w:lang w:val="en-US" w:eastAsia="zh-CN"/>
              </w:rPr>
              <w:t>其他</w:t>
            </w:r>
          </w:p>
        </w:tc>
        <w:tc>
          <w:tcPr>
            <w:tcW w:w="6105" w:type="dxa"/>
            <w:vAlign w:val="center"/>
          </w:tcPr>
          <w:p>
            <w:pPr>
              <w:pStyle w:val="2"/>
              <w:ind w:left="0" w:leftChars="0" w:firstLine="0" w:firstLineChars="0"/>
              <w:rPr>
                <w:rFonts w:hint="default" w:eastAsia="宋体"/>
                <w:color w:val="auto"/>
                <w:lang w:val="en-US" w:eastAsia="zh-CN"/>
              </w:rPr>
            </w:pPr>
            <w:r>
              <w:rPr>
                <w:rFonts w:hint="eastAsia"/>
                <w:color w:val="auto"/>
                <w:lang w:val="en-US" w:eastAsia="zh-CN"/>
              </w:rPr>
              <w:t>投标人具备或承诺的其他保障本地化服务的措施和办法。</w:t>
            </w:r>
          </w:p>
        </w:tc>
        <w:tc>
          <w:tcPr>
            <w:tcW w:w="612" w:type="dxa"/>
            <w:vAlign w:val="center"/>
          </w:tcPr>
          <w:p>
            <w:pPr>
              <w:spacing w:line="360" w:lineRule="exact"/>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7" w:hRule="atLeast"/>
          <w:jc w:val="center"/>
        </w:trPr>
        <w:tc>
          <w:tcPr>
            <w:tcW w:w="1033" w:type="dxa"/>
            <w:vMerge w:val="continue"/>
            <w:vAlign w:val="center"/>
          </w:tcPr>
          <w:p>
            <w:pPr>
              <w:spacing w:line="360" w:lineRule="exact"/>
              <w:jc w:val="center"/>
              <w:rPr>
                <w:rFonts w:hint="eastAsia" w:ascii="宋体" w:hAnsi="宋体" w:eastAsia="宋体" w:cs="宋体"/>
                <w:kern w:val="0"/>
                <w:sz w:val="21"/>
                <w:szCs w:val="21"/>
              </w:rPr>
            </w:pPr>
          </w:p>
        </w:tc>
        <w:tc>
          <w:tcPr>
            <w:tcW w:w="990" w:type="dxa"/>
            <w:vAlign w:val="center"/>
          </w:tcPr>
          <w:p>
            <w:pPr>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服务</w:t>
            </w:r>
          </w:p>
          <w:p>
            <w:pPr>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方案</w:t>
            </w:r>
          </w:p>
        </w:tc>
        <w:tc>
          <w:tcPr>
            <w:tcW w:w="6105" w:type="dxa"/>
            <w:vAlign w:val="center"/>
          </w:tcPr>
          <w:p>
            <w:pPr>
              <w:spacing w:line="36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投标人围绕科学管理、优质服务、团队建设、宣传措施、理赔承诺、培训计划、灾害数据统计分析等方面，设计本项目实施方案，并详细阐述。根据方案完整、优化合理、可操作程度等情况，</w:t>
            </w:r>
            <w:r>
              <w:rPr>
                <w:rFonts w:hint="eastAsia" w:ascii="宋体" w:hAnsi="宋体" w:cs="宋体"/>
                <w:color w:val="auto"/>
                <w:kern w:val="0"/>
                <w:sz w:val="21"/>
                <w:szCs w:val="21"/>
                <w:lang w:val="en-US" w:eastAsia="zh-CN"/>
              </w:rPr>
              <w:t>分档打分，第一档13-10.4分，第二档10.3-7.8分，第三档7.7-5.2分，第四档5.1-2.6分，第五档2.5-0分。</w:t>
            </w:r>
            <w:r>
              <w:rPr>
                <w:rFonts w:hint="eastAsia" w:ascii="宋体" w:hAnsi="宋体" w:eastAsia="宋体" w:cs="宋体"/>
                <w:color w:val="auto"/>
                <w:kern w:val="0"/>
                <w:sz w:val="21"/>
                <w:szCs w:val="21"/>
              </w:rPr>
              <w:t>（阐述时间不超过3分钟）</w:t>
            </w:r>
          </w:p>
        </w:tc>
        <w:tc>
          <w:tcPr>
            <w:tcW w:w="612" w:type="dxa"/>
            <w:vAlign w:val="center"/>
          </w:tcPr>
          <w:p>
            <w:pPr>
              <w:spacing w:line="360" w:lineRule="exact"/>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8" w:hRule="atLeast"/>
          <w:jc w:val="center"/>
        </w:trPr>
        <w:tc>
          <w:tcPr>
            <w:tcW w:w="1033" w:type="dxa"/>
            <w:vMerge w:val="continue"/>
            <w:vAlign w:val="center"/>
          </w:tcPr>
          <w:p>
            <w:pPr>
              <w:spacing w:line="360" w:lineRule="exact"/>
              <w:jc w:val="center"/>
              <w:rPr>
                <w:rFonts w:hint="eastAsia" w:ascii="宋体" w:hAnsi="宋体" w:eastAsia="宋体" w:cs="宋体"/>
                <w:kern w:val="0"/>
                <w:sz w:val="21"/>
                <w:szCs w:val="21"/>
              </w:rPr>
            </w:pPr>
          </w:p>
        </w:tc>
        <w:tc>
          <w:tcPr>
            <w:tcW w:w="990" w:type="dxa"/>
            <w:vAlign w:val="center"/>
          </w:tcPr>
          <w:p>
            <w:pPr>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创新</w:t>
            </w:r>
          </w:p>
          <w:p>
            <w:pPr>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措施</w:t>
            </w:r>
          </w:p>
        </w:tc>
        <w:tc>
          <w:tcPr>
            <w:tcW w:w="6105" w:type="dxa"/>
            <w:vAlign w:val="center"/>
          </w:tcPr>
          <w:p>
            <w:pPr>
              <w:spacing w:line="36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投标人根据对本项目的理解，从保费成本控制，推进可持续发展角度对本项目提出创新措施的总体思路及具体操作方案，内容包括但不限于盈余贡献</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保险责任扩展等，投标人可针对以上内容的一项或几项提出措施方案，并详细阐述。根据具体措施的创新程度、可操作性及对本项目实施的有利程度等情况，</w:t>
            </w:r>
            <w:r>
              <w:rPr>
                <w:rFonts w:hint="eastAsia" w:ascii="宋体" w:hAnsi="宋体" w:cs="宋体"/>
                <w:color w:val="auto"/>
                <w:kern w:val="0"/>
                <w:sz w:val="21"/>
                <w:szCs w:val="21"/>
                <w:lang w:val="en-US" w:eastAsia="zh-CN"/>
              </w:rPr>
              <w:t>分档打分，第一档20-16分，第二档15.9-12分，第三档11.9-8分，第四档7.9-4分，第五档3.9-0分。</w:t>
            </w:r>
            <w:r>
              <w:rPr>
                <w:rFonts w:hint="eastAsia" w:ascii="宋体" w:hAnsi="宋体" w:eastAsia="宋体" w:cs="宋体"/>
                <w:color w:val="auto"/>
                <w:kern w:val="0"/>
                <w:sz w:val="21"/>
                <w:szCs w:val="21"/>
              </w:rPr>
              <w:t>（阐述时间不超过4分钟）</w:t>
            </w:r>
          </w:p>
        </w:tc>
        <w:tc>
          <w:tcPr>
            <w:tcW w:w="612" w:type="dxa"/>
            <w:vAlign w:val="center"/>
          </w:tcPr>
          <w:p>
            <w:pPr>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033" w:type="dxa"/>
            <w:vMerge w:val="continue"/>
            <w:vAlign w:val="center"/>
          </w:tcPr>
          <w:p>
            <w:pPr>
              <w:spacing w:line="360" w:lineRule="exact"/>
              <w:jc w:val="center"/>
              <w:rPr>
                <w:rFonts w:hint="eastAsia" w:ascii="宋体" w:hAnsi="宋体" w:eastAsia="宋体" w:cs="宋体"/>
                <w:kern w:val="0"/>
                <w:sz w:val="21"/>
                <w:szCs w:val="21"/>
              </w:rPr>
            </w:pPr>
          </w:p>
        </w:tc>
        <w:tc>
          <w:tcPr>
            <w:tcW w:w="990" w:type="dxa"/>
            <w:vAlign w:val="center"/>
          </w:tcPr>
          <w:p>
            <w:pPr>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上级公司承担风险承诺</w:t>
            </w:r>
          </w:p>
        </w:tc>
        <w:tc>
          <w:tcPr>
            <w:tcW w:w="6105" w:type="dxa"/>
            <w:vAlign w:val="center"/>
          </w:tcPr>
          <w:p>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投标人上级公司承诺当投标人无能力为本项目提供服务和风险保障时，由上级公司提供服务和风险保障。提供承诺得 3分；不予承诺的，不得分。</w:t>
            </w:r>
          </w:p>
        </w:tc>
        <w:tc>
          <w:tcPr>
            <w:tcW w:w="612" w:type="dxa"/>
            <w:vAlign w:val="center"/>
          </w:tcPr>
          <w:p>
            <w:pPr>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9" w:hRule="atLeast"/>
          <w:jc w:val="center"/>
        </w:trPr>
        <w:tc>
          <w:tcPr>
            <w:tcW w:w="1033" w:type="dxa"/>
            <w:vAlign w:val="center"/>
          </w:tcPr>
          <w:p>
            <w:pPr>
              <w:adjustRightInd w:val="0"/>
              <w:snapToGrid w:val="0"/>
              <w:jc w:val="center"/>
              <w:rPr>
                <w:rFonts w:hint="eastAsia" w:ascii="宋体" w:hAnsi="宋体" w:eastAsia="宋体" w:cs="宋体"/>
                <w:kern w:val="0"/>
                <w:sz w:val="21"/>
                <w:szCs w:val="21"/>
              </w:rPr>
            </w:pPr>
            <w:r>
              <w:rPr>
                <w:rFonts w:hint="eastAsia" w:ascii="宋体" w:hAnsi="宋体" w:cs="Arial"/>
                <w:b/>
                <w:bCs/>
                <w:color w:val="000000"/>
                <w:szCs w:val="21"/>
              </w:rPr>
              <w:t>对招标文件响应程度</w:t>
            </w:r>
            <w:r>
              <w:rPr>
                <w:rFonts w:hint="eastAsia" w:ascii="宋体" w:hAnsi="宋体" w:cs="Arial"/>
                <w:b/>
                <w:bCs/>
                <w:color w:val="000000"/>
                <w:szCs w:val="21"/>
                <w:lang w:val="en-US" w:eastAsia="zh-CN"/>
              </w:rPr>
              <w:t xml:space="preserve"> 2分</w:t>
            </w:r>
          </w:p>
        </w:tc>
        <w:tc>
          <w:tcPr>
            <w:tcW w:w="7095" w:type="dxa"/>
            <w:gridSpan w:val="2"/>
            <w:vAlign w:val="center"/>
          </w:tcPr>
          <w:p>
            <w:pPr>
              <w:pStyle w:val="2"/>
              <w:ind w:left="0" w:leftChars="0" w:firstLine="0" w:firstLineChars="0"/>
              <w:rPr>
                <w:rFonts w:hint="eastAsia" w:ascii="宋体" w:hAnsi="宋体" w:eastAsia="宋体" w:cs="宋体"/>
                <w:kern w:val="0"/>
                <w:sz w:val="21"/>
                <w:szCs w:val="21"/>
              </w:rPr>
            </w:pPr>
            <w:r>
              <w:rPr>
                <w:rFonts w:hint="eastAsia" w:ascii="宋体" w:hAnsi="宋体" w:eastAsia="宋体" w:cs="宋体"/>
                <w:b w:val="0"/>
                <w:bCs/>
                <w:sz w:val="21"/>
                <w:szCs w:val="21"/>
                <w:highlight w:val="none"/>
                <w:u w:val="none"/>
              </w:rPr>
              <w:t>根据投标文件的内容</w:t>
            </w:r>
            <w:r>
              <w:rPr>
                <w:rFonts w:hint="eastAsia" w:ascii="宋体" w:hAnsi="宋体" w:eastAsia="宋体" w:cs="宋体"/>
                <w:b w:val="0"/>
                <w:bCs/>
                <w:sz w:val="21"/>
                <w:szCs w:val="21"/>
                <w:highlight w:val="none"/>
                <w:u w:val="none"/>
                <w:lang w:eastAsia="zh-CN"/>
              </w:rPr>
              <w:t>、</w:t>
            </w:r>
            <w:r>
              <w:rPr>
                <w:rFonts w:hint="eastAsia" w:ascii="宋体" w:hAnsi="宋体" w:eastAsia="宋体" w:cs="宋体"/>
                <w:b w:val="0"/>
                <w:bCs/>
                <w:sz w:val="21"/>
                <w:szCs w:val="21"/>
                <w:highlight w:val="none"/>
                <w:u w:val="none"/>
              </w:rPr>
              <w:t>方便</w:t>
            </w:r>
            <w:r>
              <w:rPr>
                <w:rFonts w:hint="eastAsia" w:ascii="宋体" w:hAnsi="宋体" w:eastAsia="宋体" w:cs="宋体"/>
                <w:b w:val="0"/>
                <w:bCs/>
                <w:sz w:val="21"/>
                <w:szCs w:val="21"/>
                <w:highlight w:val="none"/>
                <w:u w:val="none"/>
                <w:lang w:val="en-US" w:eastAsia="zh-CN"/>
              </w:rPr>
              <w:t>查阅</w:t>
            </w:r>
            <w:r>
              <w:rPr>
                <w:rFonts w:hint="eastAsia" w:ascii="宋体" w:hAnsi="宋体" w:eastAsia="宋体" w:cs="宋体"/>
                <w:b w:val="0"/>
                <w:bCs/>
                <w:sz w:val="21"/>
                <w:szCs w:val="21"/>
                <w:highlight w:val="none"/>
                <w:u w:val="none"/>
              </w:rPr>
              <w:t>等情况与招标文件的要求比对，酌情打分。</w:t>
            </w:r>
          </w:p>
        </w:tc>
        <w:tc>
          <w:tcPr>
            <w:tcW w:w="612" w:type="dxa"/>
            <w:vAlign w:val="center"/>
          </w:tcPr>
          <w:p>
            <w:pPr>
              <w:spacing w:line="3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4" w:hRule="atLeast"/>
          <w:jc w:val="center"/>
        </w:trPr>
        <w:tc>
          <w:tcPr>
            <w:tcW w:w="1033" w:type="dxa"/>
            <w:vAlign w:val="center"/>
          </w:tcPr>
          <w:p>
            <w:pPr>
              <w:adjustRightInd w:val="0"/>
              <w:snapToGrid w:val="0"/>
              <w:jc w:val="center"/>
              <w:rPr>
                <w:rFonts w:hint="eastAsia" w:ascii="宋体" w:hAnsi="宋体" w:eastAsia="宋体" w:cs="宋体"/>
                <w:kern w:val="0"/>
                <w:sz w:val="21"/>
                <w:szCs w:val="21"/>
              </w:rPr>
            </w:pPr>
            <w:r>
              <w:rPr>
                <w:rFonts w:hint="eastAsia" w:ascii="宋体" w:hAnsi="宋体" w:cs="Arial"/>
                <w:b/>
                <w:bCs/>
                <w:color w:val="000000"/>
                <w:szCs w:val="21"/>
                <w:lang w:val="en-US" w:eastAsia="zh-CN"/>
              </w:rPr>
              <w:t>价格10分</w:t>
            </w:r>
          </w:p>
        </w:tc>
        <w:tc>
          <w:tcPr>
            <w:tcW w:w="7095" w:type="dxa"/>
            <w:gridSpan w:val="2"/>
            <w:vAlign w:val="center"/>
          </w:tcPr>
          <w:p>
            <w:pPr>
              <w:rPr>
                <w:rFonts w:hint="eastAsia" w:ascii="宋体" w:hAnsi="宋体" w:eastAsia="宋体" w:cs="宋体"/>
                <w:kern w:val="0"/>
                <w:sz w:val="21"/>
                <w:szCs w:val="21"/>
              </w:rPr>
            </w:pPr>
            <w:r>
              <w:rPr>
                <w:rFonts w:hint="eastAsia" w:ascii="宋体" w:hAnsi="宋体" w:cs="宋体"/>
                <w:color w:val="auto"/>
                <w:sz w:val="21"/>
                <w:szCs w:val="21"/>
              </w:rPr>
              <w:t>以投标合格供应商有效投标总报价中的最低价为基准价，基准价为</w:t>
            </w:r>
            <w:r>
              <w:rPr>
                <w:rFonts w:hint="eastAsia" w:ascii="宋体" w:hAnsi="宋体" w:cs="宋体"/>
                <w:color w:val="auto"/>
                <w:sz w:val="21"/>
                <w:szCs w:val="21"/>
                <w:lang w:val="en-US" w:eastAsia="zh-CN"/>
              </w:rPr>
              <w:t>10</w:t>
            </w:r>
            <w:r>
              <w:rPr>
                <w:rFonts w:hint="eastAsia" w:ascii="宋体" w:hAnsi="宋体" w:cs="宋体"/>
                <w:color w:val="auto"/>
                <w:sz w:val="21"/>
                <w:szCs w:val="21"/>
              </w:rPr>
              <w:t>分。投标报价得分＝（评标基准价/最终投标报价）</w:t>
            </w:r>
            <w:r>
              <w:rPr>
                <w:rFonts w:hint="eastAsia" w:ascii="宋体" w:hAnsi="宋体" w:cs="宋体"/>
                <w:bCs/>
                <w:color w:val="auto"/>
                <w:sz w:val="21"/>
                <w:szCs w:val="21"/>
              </w:rPr>
              <w:t>×</w:t>
            </w:r>
            <w:r>
              <w:rPr>
                <w:rFonts w:hint="eastAsia" w:ascii="宋体" w:hAnsi="宋体" w:cs="宋体"/>
                <w:color w:val="auto"/>
                <w:kern w:val="0"/>
                <w:sz w:val="21"/>
                <w:szCs w:val="21"/>
                <w:lang w:val="en-US" w:eastAsia="zh-CN"/>
              </w:rPr>
              <w:t>10</w:t>
            </w:r>
            <w:r>
              <w:rPr>
                <w:rFonts w:hint="eastAsia" w:ascii="宋体" w:hAnsi="宋体" w:cs="宋体"/>
                <w:color w:val="auto"/>
                <w:kern w:val="0"/>
                <w:sz w:val="21"/>
                <w:szCs w:val="21"/>
              </w:rPr>
              <w:t>%</w:t>
            </w:r>
            <w:r>
              <w:rPr>
                <w:rFonts w:hint="eastAsia" w:ascii="宋体" w:hAnsi="宋体" w:cs="宋体"/>
                <w:bCs/>
                <w:color w:val="auto"/>
                <w:sz w:val="21"/>
                <w:szCs w:val="21"/>
              </w:rPr>
              <w:t>×</w:t>
            </w:r>
            <w:r>
              <w:rPr>
                <w:rFonts w:hint="eastAsia" w:ascii="宋体" w:hAnsi="宋体" w:cs="宋体"/>
                <w:color w:val="auto"/>
                <w:kern w:val="0"/>
                <w:sz w:val="21"/>
                <w:szCs w:val="21"/>
              </w:rPr>
              <w:t>100</w:t>
            </w:r>
            <w:r>
              <w:rPr>
                <w:rFonts w:hint="eastAsia" w:asciiTheme="minorEastAsia" w:hAnsiTheme="minorEastAsia" w:eastAsiaTheme="minorEastAsia" w:cstheme="minorEastAsia"/>
                <w:color w:val="auto"/>
                <w:sz w:val="21"/>
                <w:szCs w:val="21"/>
              </w:rPr>
              <w:t>（小数点后保留2位小数）。</w:t>
            </w:r>
            <w:r>
              <w:rPr>
                <w:rFonts w:hint="eastAsia" w:asciiTheme="minorEastAsia" w:hAnsiTheme="minorEastAsia" w:eastAsiaTheme="minorEastAsia"/>
                <w:color w:val="auto"/>
                <w:sz w:val="21"/>
                <w:szCs w:val="21"/>
              </w:rPr>
              <w:t>（注：对于</w:t>
            </w:r>
            <w:r>
              <w:rPr>
                <w:rFonts w:asciiTheme="minorEastAsia" w:hAnsiTheme="minorEastAsia" w:eastAsiaTheme="minorEastAsia"/>
                <w:color w:val="auto"/>
                <w:sz w:val="21"/>
                <w:szCs w:val="21"/>
              </w:rPr>
              <w:t>小型和微型企业</w:t>
            </w:r>
            <w:r>
              <w:rPr>
                <w:rFonts w:hint="eastAsia" w:asciiTheme="minorEastAsia" w:hAnsiTheme="minorEastAsia" w:eastAsiaTheme="minorEastAsia"/>
                <w:color w:val="auto"/>
                <w:sz w:val="21"/>
                <w:szCs w:val="21"/>
              </w:rPr>
              <w:t>产品</w:t>
            </w:r>
            <w:r>
              <w:rPr>
                <w:rFonts w:asciiTheme="minorEastAsia" w:hAnsiTheme="minorEastAsia" w:eastAsiaTheme="minorEastAsia"/>
                <w:color w:val="auto"/>
                <w:sz w:val="21"/>
                <w:szCs w:val="21"/>
              </w:rPr>
              <w:t>的</w:t>
            </w:r>
            <w:r>
              <w:rPr>
                <w:rFonts w:hint="eastAsia" w:asciiTheme="minorEastAsia" w:hAnsiTheme="minorEastAsia" w:eastAsiaTheme="minorEastAsia"/>
                <w:color w:val="auto"/>
                <w:sz w:val="21"/>
                <w:szCs w:val="21"/>
              </w:rPr>
              <w:t>价格</w:t>
            </w:r>
            <w:r>
              <w:rPr>
                <w:rFonts w:asciiTheme="minorEastAsia" w:hAnsiTheme="minorEastAsia" w:eastAsiaTheme="minorEastAsia"/>
                <w:color w:val="auto"/>
                <w:sz w:val="21"/>
                <w:szCs w:val="21"/>
              </w:rPr>
              <w:t>给予6%的扣除，用扣除后的价</w:t>
            </w:r>
            <w:r>
              <w:rPr>
                <w:rFonts w:hint="eastAsia" w:asciiTheme="minorEastAsia" w:hAnsiTheme="minorEastAsia" w:eastAsiaTheme="minorEastAsia"/>
                <w:color w:val="auto"/>
                <w:sz w:val="21"/>
                <w:szCs w:val="21"/>
              </w:rPr>
              <w:t>格</w:t>
            </w:r>
            <w:r>
              <w:rPr>
                <w:rFonts w:asciiTheme="minorEastAsia" w:hAnsiTheme="minorEastAsia" w:eastAsiaTheme="minorEastAsia"/>
                <w:color w:val="auto"/>
                <w:sz w:val="21"/>
                <w:szCs w:val="21"/>
              </w:rPr>
              <w:t>参与评审</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w:t>
            </w:r>
          </w:p>
        </w:tc>
        <w:tc>
          <w:tcPr>
            <w:tcW w:w="612" w:type="dxa"/>
            <w:vAlign w:val="center"/>
          </w:tcPr>
          <w:p>
            <w:pPr>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r>
    </w:tbl>
    <w:p>
      <w:pPr>
        <w:pStyle w:val="20"/>
        <w:rPr>
          <w:rFonts w:hint="eastAsia" w:ascii="Tahoma" w:hAnsi="Tahoma"/>
          <w:color w:val="auto"/>
          <w:sz w:val="24"/>
          <w:szCs w:val="20"/>
        </w:rPr>
      </w:pPr>
    </w:p>
    <w:p>
      <w:pPr>
        <w:autoSpaceDE w:val="0"/>
        <w:autoSpaceDN w:val="0"/>
        <w:adjustRightInd w:val="0"/>
        <w:spacing w:line="360" w:lineRule="auto"/>
        <w:jc w:val="left"/>
        <w:rPr>
          <w:rFonts w:hint="eastAsia" w:ascii="宋体" w:hAnsi="宋体" w:cs="宋体"/>
          <w:b/>
          <w:color w:val="auto"/>
          <w:sz w:val="24"/>
          <w:lang w:eastAsia="zh-CN"/>
        </w:rPr>
      </w:pPr>
      <w:r>
        <w:rPr>
          <w:rFonts w:hint="eastAsia" w:ascii="宋体" w:hAnsi="宋体" w:cs="宋体"/>
          <w:b/>
          <w:color w:val="auto"/>
          <w:sz w:val="24"/>
        </w:rPr>
        <w:t>注：</w:t>
      </w:r>
      <w:r>
        <w:rPr>
          <w:rFonts w:hint="eastAsia" w:ascii="宋体" w:hAnsi="宋体" w:cs="宋体"/>
          <w:b/>
          <w:color w:val="auto"/>
          <w:sz w:val="24"/>
          <w:lang w:val="en-US" w:eastAsia="zh-CN"/>
        </w:rPr>
        <w:t>1.</w:t>
      </w:r>
      <w:r>
        <w:rPr>
          <w:rFonts w:hint="eastAsia" w:ascii="宋体" w:hAnsi="宋体" w:cs="宋体"/>
          <w:b/>
          <w:color w:val="auto"/>
          <w:sz w:val="24"/>
        </w:rPr>
        <w:t>合同、证书、报告</w:t>
      </w:r>
      <w:r>
        <w:rPr>
          <w:rFonts w:hint="eastAsia" w:ascii="宋体" w:hAnsi="宋体" w:cs="宋体"/>
          <w:b/>
          <w:color w:val="auto"/>
          <w:sz w:val="24"/>
          <w:lang w:val="en-US" w:eastAsia="zh-CN"/>
        </w:rPr>
        <w:t>及其他相关证明材料，</w:t>
      </w:r>
      <w:r>
        <w:rPr>
          <w:rFonts w:hint="eastAsia" w:ascii="宋体" w:hAnsi="宋体" w:cs="宋体"/>
          <w:b/>
          <w:color w:val="auto"/>
          <w:sz w:val="24"/>
          <w:lang w:eastAsia="zh-CN"/>
        </w:rPr>
        <w:t>将原件扫描上传至电子投标文件</w:t>
      </w:r>
      <w:r>
        <w:rPr>
          <w:rFonts w:hint="eastAsia" w:ascii="宋体" w:hAnsi="宋体" w:cs="宋体"/>
          <w:b/>
          <w:color w:val="auto"/>
          <w:sz w:val="24"/>
        </w:rPr>
        <w:t>，</w:t>
      </w:r>
      <w:r>
        <w:rPr>
          <w:rFonts w:hint="eastAsia" w:ascii="宋体" w:hAnsi="宋体" w:cs="宋体"/>
          <w:b/>
          <w:color w:val="auto"/>
          <w:sz w:val="24"/>
          <w:lang w:eastAsia="zh-CN"/>
        </w:rPr>
        <w:t>并加盖电子印章。</w:t>
      </w:r>
    </w:p>
    <w:p>
      <w:pPr>
        <w:numPr>
          <w:ilvl w:val="0"/>
          <w:numId w:val="0"/>
        </w:numPr>
        <w:autoSpaceDE w:val="0"/>
        <w:autoSpaceDN w:val="0"/>
        <w:adjustRightInd w:val="0"/>
        <w:spacing w:line="360" w:lineRule="auto"/>
        <w:ind w:leftChars="0"/>
        <w:jc w:val="left"/>
        <w:rPr>
          <w:rFonts w:hint="eastAsia" w:ascii="宋体" w:hAnsi="宋体" w:cs="宋体"/>
          <w:b/>
          <w:color w:val="auto"/>
          <w:sz w:val="24"/>
        </w:rPr>
      </w:pPr>
      <w:r>
        <w:rPr>
          <w:rFonts w:hint="eastAsia" w:ascii="宋体" w:hAnsi="宋体" w:cs="宋体"/>
          <w:b/>
          <w:color w:val="auto"/>
          <w:sz w:val="24"/>
          <w:lang w:val="en-US" w:eastAsia="zh-CN"/>
        </w:rPr>
        <w:t>2.</w:t>
      </w:r>
      <w:r>
        <w:rPr>
          <w:rFonts w:hint="eastAsia" w:ascii="宋体" w:hAnsi="宋体" w:cs="宋体"/>
          <w:b/>
          <w:color w:val="auto"/>
          <w:sz w:val="24"/>
        </w:rPr>
        <w:t>得分为第一档的指的是各细项指标全部满足甚至优于采购需求的；第二档指的是与采购人目标需求相比，稍有瑕疵的；第三、四</w:t>
      </w:r>
      <w:r>
        <w:rPr>
          <w:rFonts w:hint="eastAsia" w:ascii="宋体" w:hAnsi="宋体" w:cs="宋体"/>
          <w:b/>
          <w:color w:val="auto"/>
          <w:sz w:val="24"/>
          <w:lang w:eastAsia="zh-CN"/>
        </w:rPr>
        <w:t>、</w:t>
      </w:r>
      <w:r>
        <w:rPr>
          <w:rFonts w:hint="eastAsia" w:ascii="宋体" w:hAnsi="宋体" w:cs="宋体"/>
          <w:b/>
          <w:color w:val="auto"/>
          <w:sz w:val="24"/>
          <w:lang w:val="en-US" w:eastAsia="zh-CN"/>
        </w:rPr>
        <w:t>五</w:t>
      </w:r>
      <w:r>
        <w:rPr>
          <w:rFonts w:hint="eastAsia" w:ascii="宋体" w:hAnsi="宋体" w:cs="宋体"/>
          <w:b/>
          <w:color w:val="auto"/>
          <w:sz w:val="24"/>
        </w:rPr>
        <w:t>档依次类推。</w:t>
      </w:r>
    </w:p>
    <w:p>
      <w:pPr>
        <w:pStyle w:val="27"/>
        <w:spacing w:line="360" w:lineRule="auto"/>
        <w:rPr>
          <w:rFonts w:asciiTheme="minorEastAsia" w:hAnsiTheme="minorEastAsia" w:eastAsiaTheme="minorEastAsia"/>
          <w:b w:val="0"/>
          <w:bCs/>
          <w:color w:val="auto"/>
          <w:sz w:val="24"/>
          <w:szCs w:val="24"/>
        </w:rPr>
      </w:pPr>
    </w:p>
    <w:p>
      <w:pPr>
        <w:pStyle w:val="27"/>
        <w:rPr>
          <w:rFonts w:asciiTheme="minorEastAsia" w:hAnsiTheme="minorEastAsia" w:eastAsiaTheme="minorEastAsia"/>
          <w:color w:val="auto"/>
          <w:sz w:val="24"/>
          <w:szCs w:val="24"/>
        </w:rPr>
      </w:pPr>
    </w:p>
    <w:p>
      <w:pPr>
        <w:pStyle w:val="27"/>
        <w:rPr>
          <w:rFonts w:asciiTheme="minorEastAsia" w:hAnsiTheme="minorEastAsia" w:eastAsiaTheme="minorEastAsia"/>
          <w:color w:val="auto"/>
          <w:sz w:val="24"/>
          <w:szCs w:val="24"/>
        </w:rPr>
      </w:pPr>
    </w:p>
    <w:p>
      <w:pP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br w:type="page"/>
      </w:r>
    </w:p>
    <w:p>
      <w:pPr>
        <w:numPr>
          <w:ilvl w:val="0"/>
          <w:numId w:val="5"/>
        </w:numPr>
        <w:spacing w:line="360" w:lineRule="auto"/>
        <w:jc w:val="center"/>
        <w:rPr>
          <w:rFonts w:asciiTheme="minorEastAsia" w:hAnsiTheme="minorEastAsia" w:eastAsiaTheme="minorEastAsia"/>
          <w:b/>
          <w:color w:val="auto"/>
          <w:sz w:val="36"/>
          <w:szCs w:val="36"/>
        </w:rPr>
      </w:pPr>
      <w:r>
        <w:rPr>
          <w:rFonts w:hint="eastAsia" w:asciiTheme="minorEastAsia" w:hAnsiTheme="minorEastAsia" w:eastAsiaTheme="minorEastAsia"/>
          <w:b/>
          <w:color w:val="auto"/>
          <w:sz w:val="36"/>
          <w:szCs w:val="36"/>
        </w:rPr>
        <w:t>公开招标需求</w:t>
      </w:r>
    </w:p>
    <w:p>
      <w:pPr>
        <w:tabs>
          <w:tab w:val="left" w:pos="8280"/>
        </w:tabs>
        <w:autoSpaceDE w:val="0"/>
        <w:autoSpaceDN w:val="0"/>
        <w:adjustRightInd w:val="0"/>
        <w:spacing w:line="360" w:lineRule="auto"/>
        <w:ind w:right="25"/>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一、招标项目一览表</w:t>
      </w:r>
    </w:p>
    <w:p>
      <w:pPr>
        <w:tabs>
          <w:tab w:val="left" w:pos="8280"/>
        </w:tabs>
        <w:autoSpaceDE w:val="0"/>
        <w:autoSpaceDN w:val="0"/>
        <w:adjustRightInd w:val="0"/>
        <w:spacing w:line="360" w:lineRule="auto"/>
        <w:ind w:right="25" w:firstLine="28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本次招标共</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lang w:val="en-US" w:eastAsia="zh-CN"/>
        </w:rPr>
        <w:t>1</w:t>
      </w:r>
      <w:r>
        <w:rPr>
          <w:rFonts w:hint="eastAsia" w:asciiTheme="minorEastAsia" w:hAnsiTheme="minorEastAsia" w:eastAsiaTheme="minorEastAsia"/>
          <w:color w:val="auto"/>
          <w:sz w:val="24"/>
          <w:szCs w:val="24"/>
        </w:rPr>
        <w:t>个标段，具体内容如下表：</w:t>
      </w:r>
    </w:p>
    <w:tbl>
      <w:tblPr>
        <w:tblStyle w:val="21"/>
        <w:tblW w:w="90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2309"/>
        <w:gridCol w:w="1391"/>
        <w:gridCol w:w="1385"/>
        <w:gridCol w:w="980"/>
        <w:gridCol w:w="1148"/>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106" w:type="dxa"/>
            <w:tcMar>
              <w:left w:w="57" w:type="dxa"/>
              <w:right w:w="57" w:type="dxa"/>
            </w:tcMar>
            <w:vAlign w:val="center"/>
          </w:tcPr>
          <w:p>
            <w:pPr>
              <w:tabs>
                <w:tab w:val="left" w:pos="8280"/>
              </w:tabs>
              <w:autoSpaceDE w:val="0"/>
              <w:autoSpaceDN w:val="0"/>
              <w:adjustRightInd w:val="0"/>
              <w:spacing w:line="300" w:lineRule="exact"/>
              <w:ind w:right="23"/>
              <w:jc w:val="center"/>
              <w:rPr>
                <w:rFonts w:ascii="宋体" w:hAnsi="宋体"/>
                <w:b/>
                <w:color w:val="000000"/>
                <w:sz w:val="24"/>
              </w:rPr>
            </w:pPr>
            <w:r>
              <w:rPr>
                <w:rFonts w:hint="eastAsia" w:ascii="宋体" w:hAnsi="宋体"/>
                <w:b/>
                <w:color w:val="000000"/>
                <w:sz w:val="24"/>
              </w:rPr>
              <w:t>顶目名称</w:t>
            </w:r>
          </w:p>
        </w:tc>
        <w:tc>
          <w:tcPr>
            <w:tcW w:w="2309" w:type="dxa"/>
            <w:tcMar>
              <w:left w:w="57" w:type="dxa"/>
              <w:right w:w="57" w:type="dxa"/>
            </w:tcMar>
            <w:vAlign w:val="center"/>
          </w:tcPr>
          <w:p>
            <w:pPr>
              <w:tabs>
                <w:tab w:val="left" w:pos="8280"/>
              </w:tabs>
              <w:autoSpaceDE w:val="0"/>
              <w:autoSpaceDN w:val="0"/>
              <w:adjustRightInd w:val="0"/>
              <w:spacing w:line="300" w:lineRule="exact"/>
              <w:ind w:right="23" w:firstLine="120" w:firstLineChars="50"/>
              <w:jc w:val="center"/>
              <w:rPr>
                <w:rFonts w:ascii="宋体" w:hAnsi="宋体"/>
                <w:b/>
                <w:color w:val="000000"/>
                <w:sz w:val="24"/>
              </w:rPr>
            </w:pPr>
            <w:r>
              <w:rPr>
                <w:rFonts w:hint="eastAsia" w:ascii="宋体" w:hAnsi="宋体"/>
                <w:b/>
                <w:color w:val="000000"/>
                <w:sz w:val="24"/>
              </w:rPr>
              <w:t>服务内容</w:t>
            </w:r>
          </w:p>
        </w:tc>
        <w:tc>
          <w:tcPr>
            <w:tcW w:w="1391" w:type="dxa"/>
            <w:tcMar>
              <w:left w:w="57" w:type="dxa"/>
              <w:right w:w="57" w:type="dxa"/>
            </w:tcMar>
            <w:vAlign w:val="center"/>
          </w:tcPr>
          <w:p>
            <w:pPr>
              <w:tabs>
                <w:tab w:val="left" w:pos="8280"/>
              </w:tabs>
              <w:autoSpaceDE w:val="0"/>
              <w:autoSpaceDN w:val="0"/>
              <w:adjustRightInd w:val="0"/>
              <w:spacing w:line="300" w:lineRule="exact"/>
              <w:ind w:right="23"/>
              <w:jc w:val="center"/>
              <w:rPr>
                <w:rFonts w:ascii="宋体" w:hAnsi="宋体"/>
                <w:b/>
                <w:color w:val="000000"/>
                <w:sz w:val="24"/>
              </w:rPr>
            </w:pPr>
            <w:r>
              <w:rPr>
                <w:rFonts w:hint="eastAsia" w:ascii="宋体" w:hAnsi="宋体"/>
                <w:b/>
                <w:color w:val="000000"/>
                <w:sz w:val="24"/>
              </w:rPr>
              <w:t>当年参保</w:t>
            </w:r>
          </w:p>
          <w:p>
            <w:pPr>
              <w:tabs>
                <w:tab w:val="left" w:pos="8280"/>
              </w:tabs>
              <w:autoSpaceDE w:val="0"/>
              <w:autoSpaceDN w:val="0"/>
              <w:adjustRightInd w:val="0"/>
              <w:spacing w:line="300" w:lineRule="exact"/>
              <w:ind w:right="23"/>
              <w:jc w:val="center"/>
              <w:rPr>
                <w:rFonts w:ascii="宋体" w:hAnsi="宋体"/>
                <w:b/>
                <w:color w:val="000000"/>
                <w:sz w:val="24"/>
              </w:rPr>
            </w:pPr>
            <w:r>
              <w:rPr>
                <w:rFonts w:hint="eastAsia" w:ascii="宋体" w:hAnsi="宋体"/>
                <w:b/>
                <w:color w:val="000000"/>
                <w:sz w:val="24"/>
              </w:rPr>
              <w:t>人数</w:t>
            </w:r>
          </w:p>
        </w:tc>
        <w:tc>
          <w:tcPr>
            <w:tcW w:w="1385" w:type="dxa"/>
            <w:tcMar>
              <w:left w:w="57" w:type="dxa"/>
              <w:right w:w="57" w:type="dxa"/>
            </w:tcMar>
            <w:vAlign w:val="center"/>
          </w:tcPr>
          <w:p>
            <w:pPr>
              <w:tabs>
                <w:tab w:val="left" w:pos="8280"/>
              </w:tabs>
              <w:autoSpaceDE w:val="0"/>
              <w:autoSpaceDN w:val="0"/>
              <w:adjustRightInd w:val="0"/>
              <w:spacing w:line="300" w:lineRule="exact"/>
              <w:ind w:right="23"/>
              <w:jc w:val="center"/>
              <w:rPr>
                <w:rFonts w:ascii="宋体" w:hAnsi="宋体"/>
                <w:b/>
                <w:color w:val="000000"/>
                <w:sz w:val="24"/>
              </w:rPr>
            </w:pPr>
            <w:r>
              <w:rPr>
                <w:rFonts w:hint="eastAsia" w:ascii="宋体" w:hAnsi="宋体"/>
                <w:b/>
                <w:color w:val="000000"/>
                <w:sz w:val="24"/>
              </w:rPr>
              <w:t>人均保费</w:t>
            </w:r>
          </w:p>
          <w:p>
            <w:pPr>
              <w:tabs>
                <w:tab w:val="left" w:pos="8280"/>
              </w:tabs>
              <w:autoSpaceDE w:val="0"/>
              <w:autoSpaceDN w:val="0"/>
              <w:adjustRightInd w:val="0"/>
              <w:spacing w:line="300" w:lineRule="exact"/>
              <w:ind w:right="23"/>
              <w:jc w:val="center"/>
              <w:rPr>
                <w:rFonts w:ascii="宋体" w:hAnsi="宋体"/>
                <w:b/>
                <w:color w:val="000000"/>
                <w:sz w:val="24"/>
              </w:rPr>
            </w:pPr>
            <w:r>
              <w:rPr>
                <w:rFonts w:hint="eastAsia" w:ascii="宋体" w:hAnsi="宋体"/>
                <w:b/>
                <w:color w:val="000000"/>
                <w:sz w:val="24"/>
              </w:rPr>
              <w:t>限价</w:t>
            </w:r>
          </w:p>
        </w:tc>
        <w:tc>
          <w:tcPr>
            <w:tcW w:w="980" w:type="dxa"/>
            <w:tcMar>
              <w:left w:w="57" w:type="dxa"/>
              <w:right w:w="57" w:type="dxa"/>
            </w:tcMar>
            <w:vAlign w:val="center"/>
          </w:tcPr>
          <w:p>
            <w:pPr>
              <w:tabs>
                <w:tab w:val="left" w:pos="8280"/>
              </w:tabs>
              <w:autoSpaceDE w:val="0"/>
              <w:autoSpaceDN w:val="0"/>
              <w:adjustRightInd w:val="0"/>
              <w:spacing w:line="300" w:lineRule="exact"/>
              <w:ind w:right="23"/>
              <w:jc w:val="center"/>
              <w:rPr>
                <w:rFonts w:ascii="宋体" w:hAnsi="宋体"/>
                <w:b/>
                <w:color w:val="000000"/>
                <w:sz w:val="24"/>
              </w:rPr>
            </w:pPr>
            <w:r>
              <w:rPr>
                <w:rFonts w:hint="eastAsia" w:ascii="宋体" w:hAnsi="宋体"/>
                <w:b/>
                <w:color w:val="000000"/>
                <w:sz w:val="24"/>
              </w:rPr>
              <w:t>总保费</w:t>
            </w:r>
          </w:p>
        </w:tc>
        <w:tc>
          <w:tcPr>
            <w:tcW w:w="1148" w:type="dxa"/>
            <w:tcMar>
              <w:left w:w="57" w:type="dxa"/>
              <w:right w:w="57" w:type="dxa"/>
            </w:tcMar>
            <w:vAlign w:val="center"/>
          </w:tcPr>
          <w:p>
            <w:pPr>
              <w:tabs>
                <w:tab w:val="left" w:pos="8280"/>
              </w:tabs>
              <w:autoSpaceDE w:val="0"/>
              <w:autoSpaceDN w:val="0"/>
              <w:adjustRightInd w:val="0"/>
              <w:spacing w:line="300" w:lineRule="exact"/>
              <w:ind w:right="23"/>
              <w:jc w:val="center"/>
              <w:rPr>
                <w:rFonts w:ascii="宋体" w:hAnsi="宋体"/>
                <w:b/>
                <w:color w:val="000000"/>
                <w:sz w:val="24"/>
              </w:rPr>
            </w:pPr>
            <w:r>
              <w:rPr>
                <w:rFonts w:hint="eastAsia" w:ascii="宋体" w:hAnsi="宋体"/>
                <w:b/>
                <w:color w:val="000000"/>
                <w:sz w:val="24"/>
              </w:rPr>
              <w:t>服务期</w:t>
            </w:r>
          </w:p>
        </w:tc>
        <w:tc>
          <w:tcPr>
            <w:tcW w:w="686" w:type="dxa"/>
            <w:tcMar>
              <w:left w:w="57" w:type="dxa"/>
              <w:right w:w="57" w:type="dxa"/>
            </w:tcMar>
            <w:vAlign w:val="center"/>
          </w:tcPr>
          <w:p>
            <w:pPr>
              <w:tabs>
                <w:tab w:val="left" w:pos="8280"/>
              </w:tabs>
              <w:autoSpaceDE w:val="0"/>
              <w:autoSpaceDN w:val="0"/>
              <w:adjustRightInd w:val="0"/>
              <w:spacing w:line="300" w:lineRule="exact"/>
              <w:ind w:right="23"/>
              <w:jc w:val="center"/>
              <w:rPr>
                <w:rFonts w:ascii="宋体" w:hAnsi="宋体"/>
                <w:b/>
                <w:color w:val="000000"/>
                <w:sz w:val="24"/>
              </w:rPr>
            </w:pPr>
            <w:r>
              <w:rPr>
                <w:rFonts w:hint="eastAsia" w:ascii="宋体" w:hAnsi="宋体"/>
                <w:b/>
                <w:color w:val="000000"/>
                <w:sz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06" w:type="dxa"/>
            <w:tcMar>
              <w:left w:w="57" w:type="dxa"/>
              <w:right w:w="57" w:type="dxa"/>
            </w:tcMar>
            <w:vAlign w:val="center"/>
          </w:tcPr>
          <w:p>
            <w:pPr>
              <w:tabs>
                <w:tab w:val="left" w:pos="8280"/>
              </w:tabs>
              <w:autoSpaceDE w:val="0"/>
              <w:autoSpaceDN w:val="0"/>
              <w:adjustRightInd w:val="0"/>
              <w:ind w:right="25"/>
              <w:rPr>
                <w:rFonts w:ascii="宋体" w:hAnsi="宋体"/>
                <w:sz w:val="24"/>
              </w:rPr>
            </w:pPr>
            <w:r>
              <w:rPr>
                <w:rFonts w:hint="eastAsia" w:ascii="宋体" w:hAnsi="宋体"/>
                <w:sz w:val="24"/>
              </w:rPr>
              <w:t>台州市公共安全综合保险项目</w:t>
            </w:r>
          </w:p>
        </w:tc>
        <w:tc>
          <w:tcPr>
            <w:tcW w:w="2309" w:type="dxa"/>
            <w:tcMar>
              <w:left w:w="57" w:type="dxa"/>
              <w:right w:w="57" w:type="dxa"/>
            </w:tcMar>
            <w:vAlign w:val="center"/>
          </w:tcPr>
          <w:p>
            <w:pPr>
              <w:tabs>
                <w:tab w:val="left" w:pos="8280"/>
              </w:tabs>
              <w:autoSpaceDE w:val="0"/>
              <w:autoSpaceDN w:val="0"/>
              <w:adjustRightInd w:val="0"/>
              <w:ind w:right="25"/>
              <w:rPr>
                <w:rFonts w:ascii="宋体" w:hAnsi="宋体"/>
                <w:sz w:val="24"/>
              </w:rPr>
            </w:pPr>
            <w:r>
              <w:rPr>
                <w:rFonts w:ascii="宋体" w:hAnsi="宋体" w:cs="仿宋"/>
                <w:sz w:val="24"/>
                <w:lang w:val="zh-TW" w:eastAsia="zh-TW"/>
              </w:rPr>
              <w:t>台州市行政区域范围内的所有人员在台州市行政区域内，因</w:t>
            </w:r>
            <w:r>
              <w:rPr>
                <w:rFonts w:hint="eastAsia" w:ascii="宋体" w:hAnsi="宋体" w:cs="仿宋"/>
                <w:sz w:val="24"/>
                <w:lang w:val="zh-TW"/>
              </w:rPr>
              <w:t>火灾爆炸等保险责任</w:t>
            </w:r>
            <w:r>
              <w:rPr>
                <w:rFonts w:ascii="宋体" w:hAnsi="宋体" w:cs="仿宋"/>
                <w:sz w:val="24"/>
                <w:lang w:val="zh-TW" w:eastAsia="zh-TW"/>
              </w:rPr>
              <w:t>造成人身伤害，且无法明确责任主体或责任主体无力赔偿或需由政府救助（赔付）的，由保险公司按约定的</w:t>
            </w:r>
            <w:r>
              <w:rPr>
                <w:rFonts w:hint="eastAsia" w:ascii="宋体" w:hAnsi="宋体" w:cs="仿宋"/>
                <w:sz w:val="24"/>
                <w:lang w:val="zh-TW"/>
              </w:rPr>
              <w:t>保障标准</w:t>
            </w:r>
            <w:r>
              <w:rPr>
                <w:rFonts w:ascii="宋体" w:hAnsi="宋体" w:cs="仿宋"/>
                <w:sz w:val="24"/>
                <w:lang w:val="zh-TW" w:eastAsia="zh-TW"/>
              </w:rPr>
              <w:t>给予赔付</w:t>
            </w:r>
            <w:r>
              <w:rPr>
                <w:rFonts w:hint="eastAsia" w:ascii="宋体" w:hAnsi="宋体" w:cs="仿宋"/>
                <w:sz w:val="24"/>
                <w:lang w:val="zh-TW"/>
              </w:rPr>
              <w:t>。</w:t>
            </w:r>
          </w:p>
        </w:tc>
        <w:tc>
          <w:tcPr>
            <w:tcW w:w="1391" w:type="dxa"/>
            <w:tcMar>
              <w:left w:w="57" w:type="dxa"/>
              <w:right w:w="57" w:type="dxa"/>
            </w:tcMar>
            <w:vAlign w:val="center"/>
          </w:tcPr>
          <w:p>
            <w:pPr>
              <w:tabs>
                <w:tab w:val="left" w:pos="8280"/>
              </w:tabs>
              <w:autoSpaceDE w:val="0"/>
              <w:autoSpaceDN w:val="0"/>
              <w:adjustRightInd w:val="0"/>
              <w:ind w:right="25"/>
              <w:rPr>
                <w:rFonts w:ascii="宋体" w:hAnsi="宋体"/>
                <w:sz w:val="24"/>
              </w:rPr>
            </w:pPr>
            <w:r>
              <w:rPr>
                <w:rFonts w:ascii="宋体" w:hAnsi="宋体" w:cs="仿宋"/>
                <w:sz w:val="24"/>
              </w:rPr>
              <w:t>按台州市统计局</w:t>
            </w:r>
            <w:r>
              <w:rPr>
                <w:rFonts w:hint="eastAsia" w:ascii="宋体" w:hAnsi="宋体" w:cs="仿宋"/>
                <w:sz w:val="24"/>
              </w:rPr>
              <w:t>公布</w:t>
            </w:r>
            <w:r>
              <w:rPr>
                <w:rFonts w:ascii="宋体" w:hAnsi="宋体" w:cs="仿宋"/>
                <w:sz w:val="24"/>
              </w:rPr>
              <w:t>的上一年度全市</w:t>
            </w:r>
            <w:r>
              <w:rPr>
                <w:rFonts w:hint="eastAsia" w:ascii="宋体" w:hAnsi="宋体" w:cs="仿宋"/>
                <w:sz w:val="24"/>
              </w:rPr>
              <w:t>常住</w:t>
            </w:r>
            <w:r>
              <w:rPr>
                <w:rFonts w:ascii="宋体" w:hAnsi="宋体" w:cs="仿宋"/>
                <w:sz w:val="24"/>
              </w:rPr>
              <w:t>人口数量为基数</w:t>
            </w:r>
            <w:r>
              <w:rPr>
                <w:rFonts w:hint="eastAsia" w:ascii="宋体" w:hAnsi="宋体" w:cs="仿宋"/>
                <w:sz w:val="24"/>
              </w:rPr>
              <w:t>。</w:t>
            </w:r>
          </w:p>
        </w:tc>
        <w:tc>
          <w:tcPr>
            <w:tcW w:w="1385" w:type="dxa"/>
            <w:tcMar>
              <w:left w:w="57" w:type="dxa"/>
              <w:right w:w="57" w:type="dxa"/>
            </w:tcMar>
            <w:vAlign w:val="center"/>
          </w:tcPr>
          <w:p>
            <w:pPr>
              <w:tabs>
                <w:tab w:val="left" w:pos="8280"/>
              </w:tabs>
              <w:autoSpaceDE w:val="0"/>
              <w:autoSpaceDN w:val="0"/>
              <w:adjustRightInd w:val="0"/>
              <w:ind w:right="25"/>
              <w:jc w:val="center"/>
              <w:rPr>
                <w:rFonts w:ascii="宋体" w:hAnsi="宋体"/>
                <w:sz w:val="24"/>
              </w:rPr>
            </w:pPr>
            <w:r>
              <w:rPr>
                <w:rFonts w:hint="eastAsia" w:ascii="宋体" w:hAnsi="宋体"/>
                <w:sz w:val="24"/>
              </w:rPr>
              <w:t>2元/人/年</w:t>
            </w:r>
          </w:p>
        </w:tc>
        <w:tc>
          <w:tcPr>
            <w:tcW w:w="980" w:type="dxa"/>
            <w:tcMar>
              <w:left w:w="57" w:type="dxa"/>
              <w:right w:w="57" w:type="dxa"/>
            </w:tcMar>
            <w:vAlign w:val="center"/>
          </w:tcPr>
          <w:p>
            <w:pPr>
              <w:tabs>
                <w:tab w:val="left" w:pos="8280"/>
              </w:tabs>
              <w:autoSpaceDE w:val="0"/>
              <w:autoSpaceDN w:val="0"/>
              <w:adjustRightInd w:val="0"/>
              <w:ind w:right="25"/>
              <w:jc w:val="center"/>
              <w:rPr>
                <w:rFonts w:ascii="宋体" w:hAnsi="宋体"/>
                <w:sz w:val="24"/>
              </w:rPr>
            </w:pPr>
            <w:r>
              <w:rPr>
                <w:rFonts w:hint="eastAsia" w:ascii="宋体" w:hAnsi="宋体"/>
                <w:sz w:val="24"/>
              </w:rPr>
              <w:t>1325</w:t>
            </w:r>
          </w:p>
          <w:p>
            <w:pPr>
              <w:tabs>
                <w:tab w:val="left" w:pos="8280"/>
              </w:tabs>
              <w:autoSpaceDE w:val="0"/>
              <w:autoSpaceDN w:val="0"/>
              <w:adjustRightInd w:val="0"/>
              <w:ind w:right="25"/>
              <w:jc w:val="center"/>
              <w:rPr>
                <w:rFonts w:ascii="宋体" w:hAnsi="宋体"/>
                <w:sz w:val="24"/>
              </w:rPr>
            </w:pPr>
            <w:r>
              <w:rPr>
                <w:rFonts w:hint="eastAsia" w:ascii="宋体" w:hAnsi="宋体"/>
                <w:sz w:val="24"/>
              </w:rPr>
              <w:t>万元</w:t>
            </w:r>
          </w:p>
        </w:tc>
        <w:tc>
          <w:tcPr>
            <w:tcW w:w="1148" w:type="dxa"/>
            <w:tcMar>
              <w:left w:w="57" w:type="dxa"/>
              <w:right w:w="57" w:type="dxa"/>
            </w:tcMar>
            <w:vAlign w:val="center"/>
          </w:tcPr>
          <w:p>
            <w:pPr>
              <w:tabs>
                <w:tab w:val="left" w:pos="8280"/>
              </w:tabs>
              <w:autoSpaceDE w:val="0"/>
              <w:autoSpaceDN w:val="0"/>
              <w:adjustRightInd w:val="0"/>
              <w:ind w:right="25"/>
              <w:rPr>
                <w:rFonts w:ascii="宋体" w:hAnsi="宋体"/>
                <w:sz w:val="24"/>
              </w:rPr>
            </w:pPr>
            <w:r>
              <w:rPr>
                <w:rFonts w:hint="eastAsia" w:ascii="宋体" w:hAnsi="宋体"/>
                <w:sz w:val="24"/>
              </w:rPr>
              <w:t>一年，</w:t>
            </w:r>
            <w:r>
              <w:rPr>
                <w:rFonts w:hint="eastAsia" w:ascii="宋体" w:hAnsi="宋体" w:cs="宋体"/>
                <w:sz w:val="24"/>
              </w:rPr>
              <w:t>且本保单遗留索赔事件处理完成为止。</w:t>
            </w:r>
          </w:p>
        </w:tc>
        <w:tc>
          <w:tcPr>
            <w:tcW w:w="686" w:type="dxa"/>
            <w:tcMar>
              <w:left w:w="57" w:type="dxa"/>
              <w:right w:w="57" w:type="dxa"/>
            </w:tcMar>
            <w:vAlign w:val="center"/>
          </w:tcPr>
          <w:p>
            <w:pPr>
              <w:tabs>
                <w:tab w:val="left" w:pos="8280"/>
              </w:tabs>
              <w:autoSpaceDE w:val="0"/>
              <w:autoSpaceDN w:val="0"/>
              <w:adjustRightInd w:val="0"/>
              <w:ind w:right="25"/>
              <w:jc w:val="center"/>
              <w:rPr>
                <w:rFonts w:ascii="宋体" w:hAnsi="宋体"/>
                <w:sz w:val="24"/>
              </w:rPr>
            </w:pPr>
            <w:r>
              <w:rPr>
                <w:rFonts w:hint="eastAsia" w:ascii="宋体" w:hAnsi="宋体"/>
                <w:sz w:val="24"/>
              </w:rPr>
              <w:t>台州</w:t>
            </w:r>
          </w:p>
        </w:tc>
      </w:tr>
    </w:tbl>
    <w:p>
      <w:pPr>
        <w:pStyle w:val="4"/>
        <w:spacing w:before="0" w:afterLines="50" w:line="500" w:lineRule="exact"/>
        <w:rPr>
          <w:rFonts w:ascii="宋体" w:hAnsi="宋体" w:eastAsia="宋体" w:cs="宋体"/>
          <w:color w:val="000000"/>
          <w:sz w:val="24"/>
        </w:rPr>
      </w:pPr>
      <w:r>
        <w:rPr>
          <w:rFonts w:hint="eastAsia" w:ascii="宋体" w:hAnsi="宋体" w:eastAsia="宋体" w:cs="宋体"/>
          <w:color w:val="000000"/>
          <w:sz w:val="24"/>
        </w:rPr>
        <w:t>2020年台州市区及各县（市）常住人口统计表（供参考）</w:t>
      </w:r>
    </w:p>
    <w:tbl>
      <w:tblPr>
        <w:tblStyle w:val="21"/>
        <w:tblW w:w="9918" w:type="dxa"/>
        <w:jc w:val="center"/>
        <w:tblInd w:w="-113" w:type="dxa"/>
        <w:tblBorders>
          <w:top w:val="single" w:color="auto" w:sz="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0"/>
        <w:gridCol w:w="920"/>
        <w:gridCol w:w="920"/>
        <w:gridCol w:w="921"/>
        <w:gridCol w:w="917"/>
        <w:gridCol w:w="868"/>
        <w:gridCol w:w="942"/>
        <w:gridCol w:w="892"/>
        <w:gridCol w:w="884"/>
        <w:gridCol w:w="875"/>
        <w:gridCol w:w="859"/>
      </w:tblGrid>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681" w:type="dxa"/>
            <w:gridSpan w:val="4"/>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台州市区</w:t>
            </w:r>
          </w:p>
        </w:tc>
        <w:tc>
          <w:tcPr>
            <w:tcW w:w="91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临海</w:t>
            </w:r>
          </w:p>
        </w:tc>
        <w:tc>
          <w:tcPr>
            <w:tcW w:w="868"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温岭</w:t>
            </w:r>
          </w:p>
        </w:tc>
        <w:tc>
          <w:tcPr>
            <w:tcW w:w="942"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玉环</w:t>
            </w:r>
          </w:p>
        </w:tc>
        <w:tc>
          <w:tcPr>
            <w:tcW w:w="892"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天台</w:t>
            </w:r>
          </w:p>
        </w:tc>
        <w:tc>
          <w:tcPr>
            <w:tcW w:w="88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仙居</w:t>
            </w:r>
          </w:p>
        </w:tc>
        <w:tc>
          <w:tcPr>
            <w:tcW w:w="87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三门</w:t>
            </w:r>
          </w:p>
        </w:tc>
        <w:tc>
          <w:tcPr>
            <w:tcW w:w="859"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b/>
                <w:bCs/>
              </w:rPr>
              <w:t>合计</w:t>
            </w: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2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椒江</w:t>
            </w:r>
          </w:p>
        </w:tc>
        <w:tc>
          <w:tcPr>
            <w:tcW w:w="92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黄岩</w:t>
            </w:r>
          </w:p>
        </w:tc>
        <w:tc>
          <w:tcPr>
            <w:tcW w:w="92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路桥</w:t>
            </w:r>
          </w:p>
        </w:tc>
        <w:tc>
          <w:tcPr>
            <w:tcW w:w="9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b/>
                <w:bCs/>
              </w:rPr>
              <w:t>小计</w:t>
            </w:r>
          </w:p>
        </w:tc>
        <w:tc>
          <w:tcPr>
            <w:tcW w:w="917"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868"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892"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884"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875"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2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b/>
              </w:rPr>
              <w:t>82.6</w:t>
            </w:r>
          </w:p>
        </w:tc>
        <w:tc>
          <w:tcPr>
            <w:tcW w:w="92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b/>
              </w:rPr>
              <w:t>70.7</w:t>
            </w:r>
          </w:p>
        </w:tc>
        <w:tc>
          <w:tcPr>
            <w:tcW w:w="92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b/>
              </w:rPr>
              <w:t>62.9</w:t>
            </w:r>
          </w:p>
        </w:tc>
        <w:tc>
          <w:tcPr>
            <w:tcW w:w="9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b/>
                <w:bCs/>
              </w:rPr>
              <w:t>216.2</w:t>
            </w:r>
          </w:p>
        </w:tc>
        <w:tc>
          <w:tcPr>
            <w:tcW w:w="91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b/>
              </w:rPr>
              <w:t>111</w:t>
            </w:r>
            <w:r>
              <w:rPr>
                <w:b/>
              </w:rPr>
              <w:t>.4</w:t>
            </w:r>
          </w:p>
        </w:tc>
        <w:tc>
          <w:tcPr>
            <w:tcW w:w="868" w:type="dxa"/>
            <w:tcBorders>
              <w:top w:val="single" w:color="000000" w:sz="4" w:space="0"/>
              <w:left w:val="single" w:color="000000" w:sz="4" w:space="0"/>
              <w:bottom w:val="single" w:color="000000" w:sz="4" w:space="0"/>
              <w:right w:val="single" w:color="000000" w:sz="4" w:space="0"/>
            </w:tcBorders>
            <w:vAlign w:val="center"/>
          </w:tcPr>
          <w:p>
            <w:pPr>
              <w:jc w:val="center"/>
            </w:pPr>
            <w:r>
              <w:rPr>
                <w:b/>
              </w:rPr>
              <w:t>1</w:t>
            </w:r>
            <w:r>
              <w:rPr>
                <w:rFonts w:hint="eastAsia"/>
                <w:b/>
              </w:rPr>
              <w:t>41.6</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b/>
              </w:rPr>
              <w:t>64.4</w:t>
            </w:r>
          </w:p>
        </w:tc>
        <w:tc>
          <w:tcPr>
            <w:tcW w:w="89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b/>
              </w:rPr>
              <w:t>47.5</w:t>
            </w:r>
          </w:p>
        </w:tc>
        <w:tc>
          <w:tcPr>
            <w:tcW w:w="88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b/>
              </w:rPr>
              <w:t>43.2</w:t>
            </w:r>
          </w:p>
        </w:tc>
        <w:tc>
          <w:tcPr>
            <w:tcW w:w="87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b/>
              </w:rPr>
              <w:t>37.9</w:t>
            </w:r>
          </w:p>
        </w:tc>
        <w:tc>
          <w:tcPr>
            <w:tcW w:w="85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b/>
                <w:bCs/>
              </w:rPr>
              <w:t>662.2</w:t>
            </w: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918" w:type="dxa"/>
            <w:gridSpan w:val="11"/>
            <w:tcBorders>
              <w:top w:val="single" w:color="000000" w:sz="4" w:space="0"/>
            </w:tcBorders>
            <w:vAlign w:val="center"/>
          </w:tcPr>
          <w:p>
            <w:pPr>
              <w:jc w:val="right"/>
            </w:pPr>
            <w:r>
              <w:rPr>
                <w:rFonts w:hint="eastAsia"/>
              </w:rPr>
              <w:t>数据来源：台州市统计局</w:t>
            </w:r>
          </w:p>
        </w:tc>
      </w:tr>
    </w:tbl>
    <w:p/>
    <w:p>
      <w:pPr>
        <w:pStyle w:val="2"/>
        <w:rPr>
          <w:rFonts w:hint="eastAsia" w:asciiTheme="minorEastAsia" w:hAnsiTheme="minorEastAsia" w:eastAsiaTheme="minorEastAsia"/>
          <w:color w:val="auto"/>
          <w:sz w:val="24"/>
          <w:szCs w:val="24"/>
        </w:rPr>
      </w:pPr>
    </w:p>
    <w:p>
      <w:pPr>
        <w:numPr>
          <w:ilvl w:val="0"/>
          <w:numId w:val="10"/>
        </w:numPr>
        <w:tabs>
          <w:tab w:val="left" w:pos="8280"/>
        </w:tabs>
        <w:autoSpaceDE w:val="0"/>
        <w:autoSpaceDN w:val="0"/>
        <w:adjustRightInd w:val="0"/>
        <w:spacing w:line="360" w:lineRule="auto"/>
        <w:ind w:leftChars="0" w:right="25" w:rightChars="0"/>
        <w:jc w:val="left"/>
        <w:rPr>
          <w:rFonts w:hint="eastAsia"/>
        </w:rPr>
      </w:pPr>
      <w:r>
        <w:rPr>
          <w:rFonts w:hint="eastAsia" w:asciiTheme="minorEastAsia" w:hAnsiTheme="minorEastAsia" w:eastAsiaTheme="minorEastAsia"/>
          <w:b/>
          <w:color w:val="auto"/>
          <w:sz w:val="24"/>
          <w:szCs w:val="24"/>
        </w:rPr>
        <w:t>技术需求</w:t>
      </w:r>
      <w:r>
        <w:rPr>
          <w:rFonts w:hint="eastAsia" w:asciiTheme="minorEastAsia" w:hAnsiTheme="minorEastAsia" w:eastAsiaTheme="minorEastAsia"/>
          <w:b/>
          <w:color w:val="auto"/>
          <w:sz w:val="24"/>
          <w:szCs w:val="24"/>
          <w:lang w:eastAsia="zh-CN"/>
        </w:rPr>
        <w:t>：</w:t>
      </w:r>
    </w:p>
    <w:p>
      <w:pPr>
        <w:pStyle w:val="20"/>
        <w:spacing w:line="360" w:lineRule="auto"/>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保险责任范围</w:t>
      </w:r>
    </w:p>
    <w:p>
      <w:pPr>
        <w:pStyle w:val="2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保险保障对象为台州市行政区域范围内的所有人员，包括常住人口、部队驻军以及来台州出差、旅游、探亲、就学、工作、抢险救灾等其他人员。</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在台州市行政区域内，因下列原因造成人身伤害，且无法明确责任主体或责任主体无力赔偿或需由政府救助（赔付）的，乙方应按约定的赔偿金额给予赔付：</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火灾爆炸。因公共场所及居民住宅发生火灾、爆炸事故导致人身伤亡。</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自然灾害（含窨井盖吞噬）。因台风、大风（龙卷风）、暴雨、雷电、洪水、暴雪、风暴潮、山洪、地质灾害、冰雹灾害造成人身伤亡。</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重大恶性公共事件。因发生危害公共安全的犯罪事件导致人身伤亡。</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恐怖活动。因发生恐怖袭击事件导致人身伤亡。</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拥挤踩踏。在群众性活动中因发生拥挤、踩踏事故导致人身伤亡。</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高空坠物伤人。在机关事业单位及其他政府公共设施和区域因高空坠物导致人身伤亡。</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精神病人伤人。因遭受精神病人伤害导致人身伤亡。</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野生动物伤害。因遭受野生动物伤害导致人身伤亡（野生动物园动物伤害除外）。</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渡船交通事故。因渡船发生碰撞、倾覆、沉没等导致人身伤亡。</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抢险救灾（含见义勇为）。因见义勇为行为导致人身伤亡（经县级及以上公安机关认定）；或在上述灾害事件中抢险救灾、灾情处置人员因抢险救灾和灾情处置导致人身伤亡。</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w:t>
      </w:r>
      <w:r>
        <w:rPr>
          <w:rFonts w:hint="eastAsia" w:ascii="宋体" w:hAnsi="宋体" w:eastAsia="宋体" w:cs="宋体"/>
          <w:sz w:val="24"/>
          <w:szCs w:val="24"/>
        </w:rPr>
        <w:t>执法伤害。公职人员在执行公务过程中遭受不法伤害导致本人死亡（经受害公职人员所在单位或当地政法委或其他与该案件相关的当地政府机构出具情况说明，本保险责任不含伤残责任和医疗责任）。</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本保险责任范围涉及“公共场所”、“重大恶性公共事件”、“恐怖袭击”、“政府公共设施和区域”、“渡船”等相关概念按照附件一说明。</w:t>
      </w:r>
    </w:p>
    <w:p>
      <w:pPr>
        <w:pStyle w:val="20"/>
        <w:spacing w:line="360" w:lineRule="auto"/>
        <w:ind w:left="0" w:leftChars="0" w:firstLine="723" w:firstLineChars="300"/>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bCs/>
          <w:sz w:val="24"/>
          <w:szCs w:val="24"/>
        </w:rPr>
        <w:t>保险保障水平</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人身伤亡保障金额最高每人20万元；医疗费用保障金额最高每人2万元，其中免赔额为2000元。人员残疾的，按照中国保险行业协会发布的《人身保险伤残评定标准》（中保协发〔2013〕88号）规定的等级进行偿付。</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保险期内，单次事故保障总额最高为2000万元，全年累计保障总额为5亿元。</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本保险赔偿具有救助、补偿性质，死亡、伤残赔偿不影响其他商业性保险赔偿；医疗费用的赔偿按照损失补偿原则予以赔偿。</w:t>
      </w:r>
    </w:p>
    <w:p>
      <w:pPr>
        <w:pStyle w:val="20"/>
        <w:spacing w:line="360" w:lineRule="auto"/>
        <w:ind w:left="0" w:leftChars="0" w:firstLine="723" w:firstLineChars="300"/>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eastAsia="zh-CN"/>
        </w:rPr>
        <w:t>）</w:t>
      </w:r>
      <w:r>
        <w:rPr>
          <w:rFonts w:hint="eastAsia" w:ascii="宋体" w:hAnsi="宋体" w:eastAsia="宋体" w:cs="宋体"/>
          <w:b/>
          <w:bCs/>
          <w:sz w:val="24"/>
          <w:szCs w:val="24"/>
        </w:rPr>
        <w:t>理赔</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为方便事故处理，本保险可由投保人报案，也可由乡镇（街道）综治（或民政）机构直接报案。</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事故发生后，受害人应在第一时间向乡镇（街道）综治（或民政）机构提出报案申请，乡镇（街道）综治（或民政）机构初步核实后向保险公司报案，重大事故可由县（市、区）综治办直接向保险公司报案。</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报案方式包括：</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a.拨打本保险专用报案电话；</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b.拨打保险公司统一报案电话或区域服务团队理赔指定联系人电话。</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报案信息包括：</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出险原因，出险地点，报案人联系方式，伤亡情况及人数等。</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如遇受害人（或家属）直接向保险公司报案的，由保险公司告知并引导受害人（或家属）报请所在乡镇（街道）综治（或民政）机构报案。</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本保险理赔应适用快速处理程序。保险公司接到报案后，应立即派出勘察人员到达现场或相关医疗单位，对人员伤亡情况进行核实确认。对不属于本保险责任的，应在2个工作日内书面告知事发地综治办（或民政机构）和受害人（或家属）；对可能致残的受伤人员，应提醒受害人及时进行人身损害伤残等级鉴定。</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发生人员死亡事故的，保险公司市级公司领导应在第一时间到达现场，参与理赔相关工作。</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对保险责任明确且金额确定的案件，保险公司应在理赔资料完备后2个工作日内支付赔款。涉及伤残的案件，按照中国保险行业协会发布的《人身保险伤残评定标准》（中保协发〔2013〕88号）规定的等级进行赔付；涉及死亡的案件，根据死亡证明赔付；需要条件认定的，经条件认定后赔付。</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医疗费用赔偿仅限于因本次事故造成的人身伤害治疗发生的医疗费用（含非医保标准医疗费），保险公司在扣除社会保险（含公费医疗）、商业保险和其他方式补偿部分及本保险免赔金额后予以赔偿，具体以病历（或相关医疗记录）和医药费发票为凭。</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因工作需要，下列情形，本保险应先行预付赔款。</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a.保险责任明确但赔偿金额暂时不能确定的案件，保险公司根据已有证明和资料可以确定的数额预付赔款，待最终确定赔偿金额后再赔付相应的差额。</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b.保险责任、赔偿金额均明确但理赔资料一时难以完备的案件，凭事发地综治或公安部门的情况说明，保险公司先行预付赔款，所需相关资料事后补交。</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c.对于死亡3人及以上的重大事故，保险公司应立即启动应急机制，会同事发地政府相关部门确定预付赔款方案，先行预付赔款。</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对责任主体明确但又无力赔偿的，由乡镇（街道）综治（或民政）机构，组织保险公司参与进行社会调查，并经所属的网格员和村居（社区）出具证明，相关材料纳入调解协议。本保险结合善后调解情况予以赔偿。</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各县（市、区）按照《台州市开展公共安全综合保险工作方案》要求，建立保险争议协调小组。对本保险理赔争议等事项进行协调处理。</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争议案件处理。</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对保险责任涉及争议的案件，当事双方应在争议发生后3个工作日内提交各县（市、区）保险争议协调小组协调解决。协调一致的，保险公司根据保险争议协调小组协调纪要，按本保险规定程序予以赔付。不能协调一致的，提交台州仲裁委员会仲裁解决。</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保险赔款支付。</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保险赔偿金额经事发地综治办、保险公司双方确认后，保险公司应在规定时间内将赔款划付到事发地综治办指定的账户，由综治办（或该事故协调处理单位）转付；或者经事发地综治办授权，直接向受害人及其他权利人支付赔款。</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追偿权利行使。</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对于责任方属于经营性主体（从事公共服务的单位除外）或个人的事故，本保险若先行赔偿的，有权向责任方追偿。精神病人伤人事故及市县两级综治部门认为应免于追偿的情形，本保险不予追偿。</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服务小组及机构</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保险人须在本项目实施的县级行政区域内均设立经营机构并成立专门的服务小组，服务小组人员名单及服务机构地点、联系电话等信息并向投保人及相关工作人员公布。</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协助宣传本项目相关保险政策。</w:t>
      </w:r>
    </w:p>
    <w:p>
      <w:pPr>
        <w:pStyle w:val="2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保险人应符合本招标需求要求的保险赔款支付方式（具体见合同文本）；</w:t>
      </w:r>
    </w:p>
    <w:p>
      <w:pPr>
        <w:pStyle w:val="20"/>
        <w:spacing w:line="360" w:lineRule="auto"/>
        <w:ind w:left="0" w:leftChars="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风险承诺</w:t>
      </w:r>
    </w:p>
    <w:p>
      <w:pPr>
        <w:pStyle w:val="20"/>
        <w:spacing w:line="360" w:lineRule="auto"/>
        <w:ind w:left="0" w:leftChars="0"/>
        <w:rPr>
          <w:rFonts w:hint="eastAsia"/>
        </w:rPr>
      </w:pPr>
      <w:r>
        <w:rPr>
          <w:rFonts w:hint="eastAsia" w:ascii="宋体" w:hAnsi="宋体" w:eastAsia="宋体" w:cs="宋体"/>
          <w:sz w:val="24"/>
          <w:szCs w:val="24"/>
        </w:rPr>
        <w:t>当保险人无能力为本项目提供服务和风险保障时，由其上级公司为本项目提供服务和风险保障。</w:t>
      </w:r>
    </w:p>
    <w:p>
      <w:pPr>
        <w:numPr>
          <w:ilvl w:val="0"/>
          <w:numId w:val="0"/>
        </w:numPr>
        <w:spacing w:line="360" w:lineRule="auto"/>
        <w:ind w:leftChars="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lang w:val="en-US" w:eastAsia="zh-CN"/>
        </w:rPr>
        <w:t>三</w:t>
      </w:r>
      <w:r>
        <w:rPr>
          <w:rFonts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rPr>
        <w:t>商务需求</w:t>
      </w:r>
    </w:p>
    <w:p>
      <w:pPr>
        <w:adjustRightInd w:val="0"/>
        <w:spacing w:line="592"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b/>
          <w:bCs/>
          <w:sz w:val="24"/>
          <w:szCs w:val="24"/>
        </w:rPr>
        <w:t>服务期：</w:t>
      </w:r>
      <w:r>
        <w:rPr>
          <w:rFonts w:hint="eastAsia" w:ascii="宋体" w:hAnsi="宋体" w:eastAsia="宋体" w:cs="宋体"/>
          <w:sz w:val="24"/>
          <w:szCs w:val="24"/>
        </w:rPr>
        <w:t>服务时间1年，自合同签订完成起算，且本保单遗留索赔事件处理完成为止。</w:t>
      </w:r>
    </w:p>
    <w:p>
      <w:pPr>
        <w:adjustRightInd w:val="0"/>
        <w:spacing w:line="592"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b/>
          <w:bCs/>
          <w:sz w:val="24"/>
          <w:szCs w:val="24"/>
        </w:rPr>
        <w:t>地点：</w:t>
      </w:r>
      <w:r>
        <w:rPr>
          <w:rFonts w:hint="eastAsia" w:ascii="宋体" w:hAnsi="宋体" w:eastAsia="宋体" w:cs="宋体"/>
          <w:sz w:val="24"/>
          <w:szCs w:val="24"/>
        </w:rPr>
        <w:t>地点：台州各县（市、区）。</w:t>
      </w:r>
    </w:p>
    <w:p>
      <w:pPr>
        <w:adjustRightInd w:val="0"/>
        <w:spacing w:line="592"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b/>
          <w:bCs/>
          <w:sz w:val="24"/>
          <w:szCs w:val="24"/>
        </w:rPr>
        <w:t>付款条件：</w:t>
      </w:r>
      <w:r>
        <w:rPr>
          <w:rFonts w:hint="eastAsia" w:cs="宋体"/>
          <w:iCs/>
          <w:color w:val="auto"/>
          <w:sz w:val="24"/>
          <w:szCs w:val="24"/>
          <w:shd w:val="clear" w:color="auto" w:fill="auto"/>
          <w:lang w:val="en-US" w:eastAsia="zh-CN"/>
        </w:rPr>
        <w:t>合同签订</w:t>
      </w:r>
      <w:r>
        <w:rPr>
          <w:rFonts w:hint="eastAsia" w:eastAsia="宋体" w:cs="宋体"/>
          <w:iCs/>
          <w:color w:val="auto"/>
          <w:sz w:val="24"/>
          <w:szCs w:val="24"/>
          <w:shd w:val="clear" w:color="auto" w:fill="auto"/>
          <w:lang w:val="en-US" w:eastAsia="zh-CN"/>
        </w:rPr>
        <w:t>后支付合同价款的30%（第一期）；有效服务满半年支付合同价款的50%（第二期）；合同执行满</w:t>
      </w:r>
      <w:r>
        <w:rPr>
          <w:rFonts w:hint="eastAsia" w:cs="宋体"/>
          <w:iCs/>
          <w:color w:val="auto"/>
          <w:sz w:val="24"/>
          <w:szCs w:val="24"/>
          <w:shd w:val="clear" w:color="auto" w:fill="auto"/>
          <w:lang w:val="en-US" w:eastAsia="zh-CN"/>
        </w:rPr>
        <w:t>且无遗留索赔事件后，</w:t>
      </w:r>
      <w:r>
        <w:rPr>
          <w:rFonts w:hint="eastAsia" w:eastAsia="宋体" w:cs="宋体"/>
          <w:iCs/>
          <w:color w:val="auto"/>
          <w:sz w:val="24"/>
          <w:szCs w:val="24"/>
          <w:shd w:val="clear" w:color="auto" w:fill="auto"/>
          <w:lang w:val="en-US" w:eastAsia="zh-CN"/>
        </w:rPr>
        <w:t>支付合同价款的20%（第三期）</w:t>
      </w:r>
      <w:r>
        <w:rPr>
          <w:rFonts w:hint="eastAsia" w:cs="宋体"/>
          <w:iCs/>
          <w:color w:val="auto"/>
          <w:sz w:val="24"/>
          <w:szCs w:val="24"/>
          <w:shd w:val="clear" w:color="auto" w:fill="auto"/>
          <w:lang w:val="en-US" w:eastAsia="zh-CN"/>
        </w:rPr>
        <w:t>。</w:t>
      </w:r>
    </w:p>
    <w:p>
      <w:pPr>
        <w:pStyle w:val="19"/>
        <w:spacing w:line="360" w:lineRule="auto"/>
        <w:ind w:left="120" w:firstLine="480"/>
        <w:rPr>
          <w:rFonts w:hint="eastAsia" w:asciiTheme="minorEastAsia" w:hAnsiTheme="minorEastAsia" w:eastAsiaTheme="minorEastAsia" w:cstheme="minorBidi"/>
          <w:color w:val="auto"/>
          <w:kern w:val="0"/>
          <w:sz w:val="24"/>
          <w:szCs w:val="24"/>
          <w:lang w:val="en-US" w:eastAsia="zh-CN" w:bidi="ar-SA"/>
        </w:rPr>
      </w:pP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Bidi"/>
          <w:color w:val="auto"/>
          <w:kern w:val="0"/>
          <w:sz w:val="24"/>
          <w:szCs w:val="24"/>
          <w:lang w:val="en-US" w:eastAsia="zh-CN" w:bidi="ar-SA"/>
        </w:rPr>
        <w:br w:type="page"/>
      </w:r>
    </w:p>
    <w:p>
      <w:pPr>
        <w:numPr>
          <w:ilvl w:val="0"/>
          <w:numId w:val="5"/>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政府采购合同主要条款指引</w:t>
      </w:r>
    </w:p>
    <w:p>
      <w:pPr>
        <w:spacing w:line="360" w:lineRule="auto"/>
        <w:ind w:firstLine="420"/>
        <w:rPr>
          <w:rFonts w:cs="宋体"/>
          <w:bCs/>
          <w:sz w:val="24"/>
        </w:rPr>
      </w:pPr>
      <w:r>
        <w:rPr>
          <w:rFonts w:hint="eastAsia" w:cs="宋体"/>
          <w:bCs/>
          <w:sz w:val="24"/>
        </w:rPr>
        <w:t>项目名称：                                  项目编号：</w:t>
      </w:r>
    </w:p>
    <w:p>
      <w:pPr>
        <w:spacing w:line="360" w:lineRule="auto"/>
        <w:ind w:firstLine="420"/>
        <w:rPr>
          <w:rFonts w:cs="宋体"/>
          <w:bCs/>
          <w:sz w:val="24"/>
        </w:rPr>
      </w:pPr>
      <w:r>
        <w:rPr>
          <w:rFonts w:hint="eastAsia" w:cs="宋体"/>
          <w:bCs/>
          <w:sz w:val="24"/>
        </w:rPr>
        <w:t>甲方：（投保人）</w:t>
      </w:r>
    </w:p>
    <w:p>
      <w:pPr>
        <w:spacing w:line="360" w:lineRule="auto"/>
        <w:ind w:firstLine="420"/>
        <w:rPr>
          <w:rFonts w:cs="宋体"/>
          <w:bCs/>
          <w:sz w:val="24"/>
        </w:rPr>
      </w:pPr>
      <w:r>
        <w:rPr>
          <w:rFonts w:hint="eastAsia" w:cs="宋体"/>
          <w:bCs/>
          <w:sz w:val="24"/>
          <w:u w:val="single"/>
        </w:rPr>
        <w:t>由市委政法委签订总合同进行归档备案，各县（市）可签订分合同，合同条款需与本文本一致。其中分市本级（含三区）由市委政法委作为投保人，各县（市）由各县（市）委政法委作为投保人，分别与乙方签订保险合同。</w:t>
      </w:r>
    </w:p>
    <w:p>
      <w:pPr>
        <w:spacing w:line="360" w:lineRule="auto"/>
        <w:ind w:firstLine="420"/>
        <w:rPr>
          <w:rFonts w:cs="宋体"/>
          <w:bCs/>
          <w:sz w:val="24"/>
        </w:rPr>
      </w:pPr>
      <w:r>
        <w:rPr>
          <w:rFonts w:hint="eastAsia" w:cs="宋体"/>
          <w:bCs/>
          <w:sz w:val="24"/>
        </w:rPr>
        <w:t>乙方：（保险人）</w:t>
      </w:r>
    </w:p>
    <w:p>
      <w:pPr>
        <w:spacing w:line="360" w:lineRule="auto"/>
        <w:ind w:firstLine="420"/>
        <w:rPr>
          <w:rFonts w:hint="eastAsia" w:cs="宋体"/>
          <w:bCs/>
          <w:sz w:val="24"/>
        </w:rPr>
      </w:pPr>
      <w:r>
        <w:rPr>
          <w:rFonts w:hint="eastAsia" w:cs="宋体"/>
          <w:bCs/>
          <w:sz w:val="24"/>
        </w:rPr>
        <w:t>甲乙双方根据全市统一招标的台州市公共安全综合险保险人招标结果签署本合同。本保险合同项下的保险由保险人承保，一旦发生保险事故，由保险人无条件履行全部赔偿。</w:t>
      </w:r>
    </w:p>
    <w:p>
      <w:pPr>
        <w:ind w:firstLine="420"/>
        <w:rPr>
          <w:sz w:val="24"/>
        </w:rPr>
      </w:pPr>
      <w:bookmarkStart w:id="31" w:name="_Toc27532"/>
      <w:bookmarkStart w:id="32" w:name="_Toc116"/>
      <w:bookmarkStart w:id="33" w:name="_Toc11313"/>
    </w:p>
    <w:p>
      <w:pPr>
        <w:pStyle w:val="61"/>
        <w:spacing w:line="360" w:lineRule="auto"/>
        <w:ind w:left="359" w:firstLine="480"/>
        <w:rPr>
          <w:rFonts w:ascii="宋体" w:hAnsi="宋体" w:eastAsia="宋体" w:cs="仿宋"/>
          <w:b/>
          <w:bCs/>
          <w:sz w:val="24"/>
          <w:szCs w:val="24"/>
          <w:lang w:val="zh-TW" w:eastAsia="zh-TW"/>
        </w:rPr>
      </w:pPr>
      <w:bookmarkStart w:id="34" w:name="_Toc20358"/>
      <w:r>
        <w:rPr>
          <w:rFonts w:ascii="宋体" w:hAnsi="宋体" w:eastAsia="宋体" w:cs="仿宋"/>
          <w:b/>
          <w:bCs/>
          <w:sz w:val="24"/>
          <w:szCs w:val="24"/>
          <w:lang w:val="zh-TW"/>
        </w:rPr>
        <w:t>一</w:t>
      </w:r>
      <w:bookmarkEnd w:id="31"/>
      <w:bookmarkEnd w:id="32"/>
      <w:bookmarkEnd w:id="33"/>
      <w:bookmarkEnd w:id="34"/>
      <w:bookmarkStart w:id="35" w:name="_Toc23103"/>
      <w:r>
        <w:rPr>
          <w:rFonts w:ascii="宋体" w:hAnsi="宋体" w:eastAsia="宋体" w:cs="仿宋"/>
          <w:b/>
          <w:bCs/>
          <w:sz w:val="24"/>
          <w:szCs w:val="24"/>
          <w:lang w:val="zh-TW"/>
        </w:rPr>
        <w:t>、</w:t>
      </w:r>
      <w:r>
        <w:rPr>
          <w:rFonts w:ascii="宋体" w:hAnsi="宋体" w:eastAsia="宋体" w:cs="仿宋"/>
          <w:b/>
          <w:bCs/>
          <w:sz w:val="24"/>
          <w:szCs w:val="24"/>
          <w:lang w:val="zh-TW" w:eastAsia="zh-TW"/>
        </w:rPr>
        <w:t>保险责任范围</w:t>
      </w:r>
      <w:bookmarkEnd w:id="35"/>
    </w:p>
    <w:p>
      <w:pPr>
        <w:pStyle w:val="61"/>
        <w:spacing w:line="360" w:lineRule="auto"/>
        <w:ind w:left="359" w:firstLine="480"/>
        <w:rPr>
          <w:rFonts w:ascii="宋体" w:hAnsi="宋体" w:eastAsia="宋体" w:cs="仿宋"/>
          <w:sz w:val="24"/>
          <w:szCs w:val="24"/>
          <w:lang w:val="zh-TW" w:eastAsia="zh-TW"/>
        </w:rPr>
      </w:pPr>
      <w:r>
        <w:rPr>
          <w:rFonts w:ascii="宋体" w:hAnsi="宋体" w:eastAsia="宋体" w:cs="仿宋"/>
          <w:sz w:val="24"/>
          <w:szCs w:val="24"/>
          <w:lang w:val="zh-TW" w:eastAsia="zh-TW"/>
        </w:rPr>
        <w:t>（一）保险保障对象为台州市行政区域范围内的所有人员，包括常住人口、部队驻军以及来台州出差、旅游、探亲、就学、工作、抢险救灾等其他人员。</w:t>
      </w:r>
    </w:p>
    <w:p>
      <w:pPr>
        <w:pStyle w:val="61"/>
        <w:spacing w:line="360" w:lineRule="auto"/>
        <w:ind w:left="359" w:firstLine="480"/>
        <w:rPr>
          <w:rFonts w:ascii="宋体" w:hAnsi="宋体" w:eastAsia="宋体" w:cs="仿宋"/>
          <w:sz w:val="24"/>
          <w:szCs w:val="24"/>
          <w:lang w:val="zh-TW" w:eastAsia="zh-TW"/>
        </w:rPr>
      </w:pPr>
      <w:r>
        <w:rPr>
          <w:rFonts w:ascii="宋体" w:hAnsi="宋体" w:eastAsia="宋体" w:cs="仿宋"/>
          <w:sz w:val="24"/>
          <w:szCs w:val="24"/>
          <w:lang w:val="zh-TW" w:eastAsia="zh-TW"/>
        </w:rPr>
        <w:t>（二）在台州市行政区域内，因下列原因造成人身伤害，且无法明确责任主体或责任主体无力赔偿或需由政府救助（赔付）的，由保险公司按约定的赔偿金额给予赔付：</w:t>
      </w:r>
    </w:p>
    <w:p>
      <w:pPr>
        <w:pStyle w:val="61"/>
        <w:spacing w:line="360" w:lineRule="auto"/>
        <w:ind w:left="359" w:firstLine="480"/>
        <w:rPr>
          <w:rFonts w:ascii="宋体" w:hAnsi="宋体" w:eastAsia="宋体" w:cs="仿宋"/>
          <w:sz w:val="24"/>
          <w:szCs w:val="24"/>
          <w:lang w:val="zh-TW" w:eastAsia="zh-TW"/>
        </w:rPr>
      </w:pPr>
      <w:r>
        <w:rPr>
          <w:rFonts w:ascii="宋体" w:hAnsi="宋体" w:eastAsia="宋体" w:cs="仿宋"/>
          <w:sz w:val="24"/>
          <w:szCs w:val="24"/>
          <w:lang w:val="zh-TW" w:eastAsia="zh-TW"/>
        </w:rPr>
        <w:t>1.火灾爆炸。因公共场所及居民住在发生火灾、爆炸事故导致人身伤亡。</w:t>
      </w:r>
    </w:p>
    <w:p>
      <w:pPr>
        <w:pStyle w:val="61"/>
        <w:spacing w:line="360" w:lineRule="auto"/>
        <w:ind w:left="359" w:firstLine="480"/>
        <w:rPr>
          <w:rFonts w:ascii="宋体" w:hAnsi="宋体" w:eastAsia="宋体" w:cs="仿宋"/>
          <w:sz w:val="24"/>
          <w:szCs w:val="24"/>
          <w:lang w:val="zh-TW" w:eastAsia="zh-TW"/>
        </w:rPr>
      </w:pPr>
      <w:r>
        <w:rPr>
          <w:rFonts w:ascii="宋体" w:hAnsi="宋体" w:eastAsia="宋体" w:cs="仿宋"/>
          <w:sz w:val="24"/>
          <w:szCs w:val="24"/>
          <w:lang w:val="zh-TW" w:eastAsia="zh-TW"/>
        </w:rPr>
        <w:t>2.自然灾害（含窨井盖吞噬）。因台风、大风（龙卷风）、暴雨、雷电、洪水、暴雪、风暴潮、山洪、地质灾害、冰雹灾害造成人身伤亡。</w:t>
      </w:r>
    </w:p>
    <w:p>
      <w:pPr>
        <w:pStyle w:val="61"/>
        <w:spacing w:line="360" w:lineRule="auto"/>
        <w:ind w:left="359" w:firstLine="480"/>
        <w:rPr>
          <w:rFonts w:ascii="宋体" w:hAnsi="宋体" w:eastAsia="宋体" w:cs="仿宋"/>
          <w:sz w:val="24"/>
          <w:szCs w:val="24"/>
          <w:lang w:val="zh-TW" w:eastAsia="zh-TW"/>
        </w:rPr>
      </w:pPr>
      <w:r>
        <w:rPr>
          <w:rFonts w:ascii="宋体" w:hAnsi="宋体" w:eastAsia="宋体" w:cs="仿宋"/>
          <w:sz w:val="24"/>
          <w:szCs w:val="24"/>
          <w:lang w:val="zh-TW" w:eastAsia="zh-TW"/>
        </w:rPr>
        <w:t>3.重大恶性公共事件。因发生危害公共安全的犯罪事件导致人身伤亡。</w:t>
      </w:r>
    </w:p>
    <w:p>
      <w:pPr>
        <w:pStyle w:val="61"/>
        <w:spacing w:line="360" w:lineRule="auto"/>
        <w:ind w:left="359" w:firstLine="480"/>
        <w:rPr>
          <w:rFonts w:ascii="宋体" w:hAnsi="宋体" w:eastAsia="宋体" w:cs="仿宋"/>
          <w:sz w:val="24"/>
          <w:szCs w:val="24"/>
          <w:lang w:val="zh-TW" w:eastAsia="zh-TW"/>
        </w:rPr>
      </w:pPr>
      <w:r>
        <w:rPr>
          <w:rFonts w:ascii="宋体" w:hAnsi="宋体" w:eastAsia="宋体" w:cs="仿宋"/>
          <w:sz w:val="24"/>
          <w:szCs w:val="24"/>
          <w:lang w:val="zh-TW" w:eastAsia="zh-TW"/>
        </w:rPr>
        <w:t>4.恐怖活动。因发生恐怖袭击事件导致人身伤亡。</w:t>
      </w:r>
    </w:p>
    <w:p>
      <w:pPr>
        <w:pStyle w:val="61"/>
        <w:spacing w:line="360" w:lineRule="auto"/>
        <w:ind w:left="359" w:firstLine="480"/>
        <w:rPr>
          <w:rFonts w:ascii="宋体" w:hAnsi="宋体" w:eastAsia="宋体" w:cs="仿宋"/>
          <w:sz w:val="24"/>
          <w:szCs w:val="24"/>
          <w:lang w:val="zh-TW" w:eastAsia="zh-TW"/>
        </w:rPr>
      </w:pPr>
      <w:r>
        <w:rPr>
          <w:rFonts w:ascii="宋体" w:hAnsi="宋体" w:eastAsia="宋体" w:cs="仿宋"/>
          <w:sz w:val="24"/>
          <w:szCs w:val="24"/>
          <w:lang w:val="zh-TW" w:eastAsia="zh-TW"/>
        </w:rPr>
        <w:t>5.拥挤踩踏。在群众性活动中因发生拥挤、踩踏事故导致人身伤亡。</w:t>
      </w:r>
    </w:p>
    <w:p>
      <w:pPr>
        <w:pStyle w:val="61"/>
        <w:spacing w:line="360" w:lineRule="auto"/>
        <w:ind w:left="359" w:firstLine="480"/>
        <w:rPr>
          <w:rFonts w:ascii="宋体" w:hAnsi="宋体" w:eastAsia="宋体" w:cs="仿宋"/>
          <w:sz w:val="24"/>
          <w:szCs w:val="24"/>
          <w:lang w:val="zh-TW" w:eastAsia="zh-TW"/>
        </w:rPr>
      </w:pPr>
      <w:r>
        <w:rPr>
          <w:rFonts w:ascii="宋体" w:hAnsi="宋体" w:eastAsia="宋体" w:cs="仿宋"/>
          <w:sz w:val="24"/>
          <w:szCs w:val="24"/>
          <w:lang w:val="zh-TW" w:eastAsia="zh-TW"/>
        </w:rPr>
        <w:t>6.高空坠物伤人。在机关事业单位及其他政府公共设施和区域因高空坠物导致人身伤亡。</w:t>
      </w:r>
    </w:p>
    <w:p>
      <w:pPr>
        <w:pStyle w:val="61"/>
        <w:spacing w:line="360" w:lineRule="auto"/>
        <w:ind w:left="359" w:firstLine="480"/>
        <w:rPr>
          <w:rFonts w:ascii="宋体" w:hAnsi="宋体" w:eastAsia="宋体" w:cs="仿宋"/>
          <w:sz w:val="24"/>
          <w:szCs w:val="24"/>
          <w:lang w:val="zh-TW" w:eastAsia="zh-TW"/>
        </w:rPr>
      </w:pPr>
      <w:r>
        <w:rPr>
          <w:rFonts w:ascii="宋体" w:hAnsi="宋体" w:eastAsia="宋体" w:cs="仿宋"/>
          <w:sz w:val="24"/>
          <w:szCs w:val="24"/>
          <w:lang w:val="zh-TW" w:eastAsia="zh-TW"/>
        </w:rPr>
        <w:t>7.精神</w:t>
      </w:r>
      <w:r>
        <w:rPr>
          <w:rFonts w:ascii="宋体" w:hAnsi="宋体" w:eastAsia="宋体" w:cs="仿宋"/>
          <w:sz w:val="24"/>
          <w:szCs w:val="24"/>
          <w:lang w:val="zh-TW"/>
        </w:rPr>
        <w:t>病</w:t>
      </w:r>
      <w:r>
        <w:rPr>
          <w:rFonts w:ascii="宋体" w:hAnsi="宋体" w:eastAsia="宋体" w:cs="仿宋"/>
          <w:sz w:val="24"/>
          <w:szCs w:val="24"/>
          <w:lang w:val="zh-TW" w:eastAsia="zh-TW"/>
        </w:rPr>
        <w:t>人伤人。因遭受精神病人伤害导致人身伤亡。</w:t>
      </w:r>
    </w:p>
    <w:p>
      <w:pPr>
        <w:pStyle w:val="61"/>
        <w:spacing w:line="360" w:lineRule="auto"/>
        <w:ind w:left="359" w:firstLine="480"/>
        <w:rPr>
          <w:rFonts w:ascii="宋体" w:hAnsi="宋体" w:eastAsia="宋体" w:cs="仿宋"/>
          <w:sz w:val="24"/>
          <w:szCs w:val="24"/>
          <w:lang w:val="zh-TW" w:eastAsia="zh-TW"/>
        </w:rPr>
      </w:pPr>
      <w:r>
        <w:rPr>
          <w:rFonts w:ascii="宋体" w:hAnsi="宋体" w:eastAsia="宋体" w:cs="仿宋"/>
          <w:sz w:val="24"/>
          <w:szCs w:val="24"/>
          <w:lang w:val="zh-TW" w:eastAsia="zh-TW"/>
        </w:rPr>
        <w:t>8.野生动物伤害。因遭受野生动物伤害导致人身伤亡（野生动物园动物伤害除外）。</w:t>
      </w:r>
    </w:p>
    <w:p>
      <w:pPr>
        <w:pStyle w:val="61"/>
        <w:spacing w:line="360" w:lineRule="auto"/>
        <w:ind w:left="359" w:firstLine="480"/>
        <w:rPr>
          <w:rFonts w:ascii="宋体" w:hAnsi="宋体" w:eastAsia="宋体" w:cs="仿宋"/>
          <w:sz w:val="24"/>
          <w:szCs w:val="24"/>
          <w:lang w:val="zh-TW" w:eastAsia="zh-TW"/>
        </w:rPr>
      </w:pPr>
      <w:r>
        <w:rPr>
          <w:rFonts w:ascii="宋体" w:hAnsi="宋体" w:eastAsia="宋体" w:cs="仿宋"/>
          <w:sz w:val="24"/>
          <w:szCs w:val="24"/>
          <w:lang w:val="zh-TW" w:eastAsia="zh-TW"/>
        </w:rPr>
        <w:t>9.渡船交通事故。因渡船发生碰撞、侵覆、沉没等导致人身伤亡。</w:t>
      </w:r>
    </w:p>
    <w:p>
      <w:pPr>
        <w:pStyle w:val="61"/>
        <w:spacing w:line="360" w:lineRule="auto"/>
        <w:ind w:left="359" w:firstLine="480"/>
        <w:rPr>
          <w:rFonts w:hint="eastAsia" w:ascii="宋体" w:hAnsi="宋体" w:eastAsia="宋体" w:cs="仿宋"/>
          <w:sz w:val="24"/>
          <w:szCs w:val="24"/>
          <w:lang w:val="zh-TW"/>
        </w:rPr>
      </w:pPr>
      <w:r>
        <w:rPr>
          <w:rFonts w:ascii="宋体" w:hAnsi="宋体" w:eastAsia="宋体" w:cs="仿宋"/>
          <w:sz w:val="24"/>
          <w:szCs w:val="24"/>
          <w:lang w:val="zh-TW" w:eastAsia="zh-TW"/>
        </w:rPr>
        <w:t>10.抢险救灾（含见义勇为）。因见义勇为行为导致人身伤亡（经县级以上公安机关认定）；或在上述灾害事件中抢险救灾、灾情处置人员因抢险救灾和灾情处置导致人身伤亡。</w:t>
      </w:r>
    </w:p>
    <w:p>
      <w:pPr>
        <w:pStyle w:val="61"/>
        <w:spacing w:line="360" w:lineRule="auto"/>
        <w:ind w:left="359" w:firstLine="480"/>
        <w:rPr>
          <w:rFonts w:ascii="宋体" w:hAnsi="宋体" w:eastAsia="宋体" w:cs="仿宋"/>
          <w:sz w:val="24"/>
          <w:szCs w:val="24"/>
          <w:lang w:val="zh-TW" w:eastAsia="zh-TW"/>
        </w:rPr>
      </w:pPr>
      <w:r>
        <w:rPr>
          <w:rFonts w:hint="eastAsia" w:ascii="宋体" w:hAnsi="宋体" w:eastAsia="宋体" w:cs="仿宋"/>
          <w:sz w:val="24"/>
          <w:szCs w:val="24"/>
          <w:lang w:val="zh-TW" w:eastAsia="zh-TW"/>
        </w:rPr>
        <w:t>11.执法伤害。公职人员在执行公务过程中遭受不法伤害导致本人死亡（经受害公职人员所在单位或当地政法委或其他与该案件相关的当地政府机构出具情况说明，本保险责任不含伤残责任和医疗责任）。</w:t>
      </w:r>
    </w:p>
    <w:p>
      <w:pPr>
        <w:pStyle w:val="61"/>
        <w:spacing w:line="360" w:lineRule="auto"/>
        <w:ind w:left="359" w:firstLine="480"/>
        <w:rPr>
          <w:rFonts w:ascii="宋体" w:hAnsi="宋体" w:eastAsia="宋体" w:cs="仿宋"/>
          <w:sz w:val="24"/>
          <w:szCs w:val="24"/>
          <w:lang w:val="zh-TW" w:eastAsia="zh-TW"/>
        </w:rPr>
      </w:pPr>
      <w:r>
        <w:rPr>
          <w:rFonts w:ascii="宋体" w:hAnsi="宋体" w:eastAsia="宋体" w:cs="仿宋"/>
          <w:sz w:val="24"/>
          <w:szCs w:val="24"/>
          <w:lang w:val="zh-TW" w:eastAsia="zh-TW"/>
        </w:rPr>
        <w:t>本保险责任范围涉及“公共场所”、“重大恶性公共事件”、“恐怖袭击”、“政府公共设施和区域”、“渡船”等相关概念按照</w:t>
      </w:r>
      <w:r>
        <w:rPr>
          <w:rFonts w:ascii="宋体" w:hAnsi="宋体" w:eastAsia="宋体" w:cs="仿宋"/>
          <w:sz w:val="24"/>
          <w:szCs w:val="24"/>
          <w:lang w:val="zh-TW"/>
        </w:rPr>
        <w:t>附件一</w:t>
      </w:r>
      <w:r>
        <w:rPr>
          <w:rFonts w:ascii="宋体" w:hAnsi="宋体" w:eastAsia="宋体" w:cs="仿宋"/>
          <w:sz w:val="24"/>
          <w:szCs w:val="24"/>
          <w:lang w:val="zh-TW" w:eastAsia="zh-TW"/>
        </w:rPr>
        <w:t>说明。</w:t>
      </w:r>
    </w:p>
    <w:p>
      <w:pPr>
        <w:pStyle w:val="61"/>
        <w:spacing w:line="360" w:lineRule="auto"/>
        <w:ind w:left="359" w:firstLine="480"/>
        <w:rPr>
          <w:rFonts w:ascii="宋体" w:hAnsi="宋体" w:eastAsia="宋体" w:cs="仿宋"/>
          <w:b/>
          <w:bCs/>
          <w:sz w:val="24"/>
          <w:szCs w:val="24"/>
          <w:lang w:val="zh-TW" w:eastAsia="zh-TW"/>
        </w:rPr>
      </w:pPr>
      <w:r>
        <w:rPr>
          <w:rFonts w:ascii="宋体" w:hAnsi="宋体" w:eastAsia="宋体" w:cs="仿宋"/>
          <w:b/>
          <w:bCs/>
          <w:sz w:val="24"/>
          <w:szCs w:val="24"/>
          <w:lang w:val="zh-TW"/>
        </w:rPr>
        <w:t>二</w:t>
      </w:r>
      <w:r>
        <w:rPr>
          <w:rFonts w:ascii="宋体" w:hAnsi="宋体" w:eastAsia="宋体" w:cs="仿宋"/>
          <w:b/>
          <w:bCs/>
          <w:sz w:val="24"/>
          <w:szCs w:val="24"/>
          <w:lang w:val="zh-TW" w:eastAsia="zh-TW"/>
        </w:rPr>
        <w:t>、保险保障水平</w:t>
      </w:r>
    </w:p>
    <w:p>
      <w:pPr>
        <w:pStyle w:val="61"/>
        <w:spacing w:line="360" w:lineRule="auto"/>
        <w:ind w:left="359" w:firstLine="480"/>
        <w:rPr>
          <w:rFonts w:ascii="宋体" w:hAnsi="宋体" w:eastAsia="宋体" w:cs="仿宋"/>
          <w:sz w:val="24"/>
          <w:szCs w:val="24"/>
          <w:lang w:val="zh-TW" w:eastAsia="zh-TW"/>
        </w:rPr>
      </w:pPr>
      <w:r>
        <w:rPr>
          <w:rFonts w:ascii="宋体" w:hAnsi="宋体" w:eastAsia="宋体" w:cs="仿宋"/>
          <w:sz w:val="24"/>
          <w:szCs w:val="24"/>
          <w:lang w:val="zh-TW" w:eastAsia="zh-TW"/>
        </w:rPr>
        <w:t>人身伤亡保障金额最高每人20万元；医疗费用保障金额最高每人2万元，其中免赔额为2000元。人员残疾的，按照中国保险行业协会发布的《人身保险伤残评定标准》（中保协发【2013】88号）规定的等级进行偿付。</w:t>
      </w:r>
    </w:p>
    <w:p>
      <w:pPr>
        <w:pStyle w:val="61"/>
        <w:spacing w:line="360" w:lineRule="auto"/>
        <w:ind w:left="359" w:firstLine="480"/>
        <w:rPr>
          <w:rFonts w:ascii="宋体" w:hAnsi="宋体" w:eastAsia="宋体" w:cs="仿宋"/>
          <w:sz w:val="24"/>
          <w:szCs w:val="24"/>
          <w:lang w:val="zh-TW" w:eastAsia="zh-TW"/>
        </w:rPr>
      </w:pPr>
      <w:r>
        <w:rPr>
          <w:rFonts w:ascii="宋体" w:hAnsi="宋体" w:eastAsia="宋体" w:cs="仿宋"/>
          <w:sz w:val="24"/>
          <w:szCs w:val="24"/>
          <w:lang w:val="zh-TW" w:eastAsia="zh-TW"/>
        </w:rPr>
        <w:t>保险期内，单次事故保障总额最高为2000万元，全年累计保障总额为5亿元。</w:t>
      </w:r>
    </w:p>
    <w:p>
      <w:pPr>
        <w:pStyle w:val="61"/>
        <w:spacing w:line="360" w:lineRule="auto"/>
        <w:ind w:left="359" w:firstLine="480"/>
        <w:rPr>
          <w:rFonts w:ascii="宋体" w:hAnsi="宋体" w:eastAsia="宋体" w:cs="仿宋"/>
          <w:sz w:val="24"/>
          <w:szCs w:val="24"/>
          <w:lang w:val="zh-TW" w:eastAsia="zh-TW"/>
        </w:rPr>
      </w:pPr>
      <w:r>
        <w:rPr>
          <w:rFonts w:ascii="宋体" w:hAnsi="宋体" w:eastAsia="宋体" w:cs="仿宋"/>
          <w:sz w:val="24"/>
          <w:szCs w:val="24"/>
          <w:lang w:val="zh-TW" w:eastAsia="zh-TW"/>
        </w:rPr>
        <w:t>本保险赔偿具有救助、补偿性质，死亡、伤残赔偿不影响其他商业性保险赔偿；医疗费用的赔偿按照损失补偿原则予以赔偿。医疗费用赔偿仅限于因本次事故造成的人身伤害治疗发生的医疗费用（含非医保标准医疗费），保险公司在扣除社会保险（含公费医疗）、商业保险和其他方式补偿部分及本保险免赔金额后予以赔偿，具体以病历（或相关医疗记录）和医药费发票为凭。</w:t>
      </w:r>
    </w:p>
    <w:p>
      <w:pPr>
        <w:pStyle w:val="61"/>
        <w:spacing w:line="360" w:lineRule="auto"/>
        <w:ind w:firstLine="826" w:firstLineChars="343"/>
        <w:rPr>
          <w:rFonts w:hint="eastAsia" w:ascii="宋体" w:hAnsi="宋体" w:eastAsia="宋体" w:cs="仿宋"/>
          <w:sz w:val="24"/>
          <w:szCs w:val="24"/>
          <w:lang w:val="zh-TW" w:eastAsia="zh-TW"/>
        </w:rPr>
      </w:pPr>
      <w:r>
        <w:rPr>
          <w:rFonts w:hint="eastAsia" w:ascii="宋体" w:hAnsi="宋体" w:eastAsia="宋体" w:cs="仿宋"/>
          <w:b/>
          <w:bCs/>
          <w:sz w:val="24"/>
          <w:szCs w:val="24"/>
          <w:lang w:val="zh-TW"/>
        </w:rPr>
        <w:t>三、</w:t>
      </w:r>
      <w:r>
        <w:rPr>
          <w:rFonts w:ascii="宋体" w:hAnsi="宋体" w:eastAsia="宋体" w:cs="仿宋"/>
          <w:b/>
          <w:bCs/>
          <w:sz w:val="24"/>
          <w:szCs w:val="24"/>
          <w:lang w:val="zh-TW" w:eastAsia="zh-TW"/>
        </w:rPr>
        <w:t>保险期限</w:t>
      </w:r>
      <w:r>
        <w:rPr>
          <w:rFonts w:ascii="宋体" w:hAnsi="宋体" w:eastAsia="宋体" w:cs="仿宋"/>
          <w:b/>
          <w:bCs/>
          <w:sz w:val="24"/>
          <w:szCs w:val="24"/>
          <w:lang w:val="zh-TW"/>
        </w:rPr>
        <w:t>：</w:t>
      </w:r>
      <w:r>
        <w:rPr>
          <w:rFonts w:ascii="宋体" w:hAnsi="宋体" w:eastAsia="宋体" w:cs="仿宋"/>
          <w:sz w:val="24"/>
          <w:szCs w:val="24"/>
          <w:lang w:val="zh-TW" w:eastAsia="zh-TW"/>
        </w:rPr>
        <w:t>保险服务期</w:t>
      </w:r>
      <w:r>
        <w:rPr>
          <w:rFonts w:hint="eastAsia" w:ascii="宋体" w:hAnsi="宋体" w:eastAsia="宋体" w:cs="仿宋"/>
          <w:sz w:val="24"/>
          <w:szCs w:val="24"/>
          <w:lang w:val="zh-TW"/>
        </w:rPr>
        <w:t>一</w:t>
      </w:r>
      <w:r>
        <w:rPr>
          <w:rFonts w:ascii="宋体" w:hAnsi="宋体" w:eastAsia="宋体" w:cs="仿宋"/>
          <w:sz w:val="24"/>
          <w:szCs w:val="24"/>
          <w:lang w:val="zh-TW" w:eastAsia="zh-TW"/>
        </w:rPr>
        <w:t>年</w:t>
      </w:r>
      <w:r>
        <w:rPr>
          <w:rFonts w:hint="eastAsia" w:ascii="宋体" w:hAnsi="宋体" w:eastAsia="宋体" w:cs="仿宋"/>
          <w:sz w:val="24"/>
          <w:szCs w:val="24"/>
          <w:lang w:val="zh-TW"/>
        </w:rPr>
        <w:t>，</w:t>
      </w:r>
      <w:r>
        <w:rPr>
          <w:rFonts w:hint="eastAsia" w:asciiTheme="majorEastAsia" w:hAnsiTheme="majorEastAsia" w:eastAsiaTheme="majorEastAsia" w:cstheme="majorEastAsia"/>
          <w:color w:val="auto"/>
          <w:sz w:val="24"/>
          <w:szCs w:val="24"/>
        </w:rPr>
        <w:t>且本保单遗留索赔事件处理完成为止。</w:t>
      </w:r>
    </w:p>
    <w:p>
      <w:pPr>
        <w:pStyle w:val="61"/>
        <w:spacing w:line="360" w:lineRule="auto"/>
        <w:ind w:firstLine="826" w:firstLineChars="343"/>
        <w:rPr>
          <w:rFonts w:ascii="宋体" w:hAnsi="宋体" w:eastAsia="宋体" w:cs="仿宋"/>
          <w:sz w:val="24"/>
          <w:szCs w:val="24"/>
          <w:lang w:val="zh-TW" w:eastAsia="zh-TW"/>
        </w:rPr>
      </w:pPr>
      <w:r>
        <w:rPr>
          <w:rFonts w:hint="eastAsia" w:ascii="宋体" w:hAnsi="宋体" w:eastAsia="宋体" w:cs="仿宋"/>
          <w:b/>
          <w:bCs/>
          <w:sz w:val="24"/>
          <w:szCs w:val="24"/>
        </w:rPr>
        <w:t>四、</w:t>
      </w:r>
      <w:r>
        <w:rPr>
          <w:rFonts w:ascii="宋体" w:hAnsi="宋体" w:eastAsia="宋体" w:cs="仿宋"/>
          <w:b/>
          <w:bCs/>
          <w:sz w:val="24"/>
          <w:szCs w:val="24"/>
        </w:rPr>
        <w:t>人均保险费：    元/人</w:t>
      </w:r>
    </w:p>
    <w:p>
      <w:pPr>
        <w:pStyle w:val="61"/>
        <w:spacing w:line="360" w:lineRule="auto"/>
        <w:ind w:left="472" w:hanging="472" w:hangingChars="196"/>
        <w:rPr>
          <w:rFonts w:ascii="宋体" w:hAnsi="宋体" w:eastAsia="宋体" w:cs="仿宋"/>
          <w:b/>
          <w:bCs/>
          <w:sz w:val="24"/>
          <w:szCs w:val="24"/>
        </w:rPr>
      </w:pPr>
      <w:r>
        <w:rPr>
          <w:rFonts w:hint="eastAsia" w:ascii="宋体" w:hAnsi="宋体" w:eastAsia="宋体" w:cs="仿宋"/>
          <w:b/>
          <w:bCs/>
          <w:sz w:val="24"/>
          <w:szCs w:val="24"/>
        </w:rPr>
        <w:t xml:space="preserve">       五、</w:t>
      </w:r>
      <w:r>
        <w:rPr>
          <w:rFonts w:ascii="宋体" w:hAnsi="宋体" w:eastAsia="宋体" w:cs="仿宋"/>
          <w:b/>
          <w:bCs/>
          <w:sz w:val="24"/>
          <w:szCs w:val="24"/>
        </w:rPr>
        <w:t>参保人数：</w:t>
      </w:r>
      <w:r>
        <w:rPr>
          <w:rFonts w:ascii="宋体" w:hAnsi="宋体" w:eastAsia="宋体" w:cs="仿宋"/>
          <w:sz w:val="24"/>
          <w:szCs w:val="24"/>
        </w:rPr>
        <w:t>当年参保人数按台州市统</w:t>
      </w:r>
      <w:r>
        <w:rPr>
          <w:rFonts w:ascii="宋体" w:hAnsi="宋体" w:eastAsia="宋体" w:cs="仿宋"/>
          <w:color w:val="auto"/>
          <w:sz w:val="24"/>
          <w:szCs w:val="24"/>
        </w:rPr>
        <w:t>计局</w:t>
      </w:r>
      <w:r>
        <w:rPr>
          <w:rFonts w:hint="eastAsia" w:ascii="宋体" w:hAnsi="宋体" w:eastAsia="宋体" w:cs="仿宋"/>
          <w:color w:val="auto"/>
          <w:sz w:val="24"/>
          <w:szCs w:val="24"/>
        </w:rPr>
        <w:t>公布</w:t>
      </w:r>
      <w:r>
        <w:rPr>
          <w:rFonts w:ascii="宋体" w:hAnsi="宋体" w:eastAsia="宋体" w:cs="仿宋"/>
          <w:color w:val="auto"/>
          <w:sz w:val="24"/>
          <w:szCs w:val="24"/>
        </w:rPr>
        <w:t>的上一年度全市</w:t>
      </w:r>
      <w:r>
        <w:rPr>
          <w:rFonts w:hint="eastAsia" w:ascii="宋体" w:hAnsi="宋体" w:eastAsia="宋体" w:cs="仿宋"/>
          <w:color w:val="auto"/>
          <w:sz w:val="24"/>
          <w:szCs w:val="24"/>
        </w:rPr>
        <w:t>常住</w:t>
      </w:r>
      <w:r>
        <w:rPr>
          <w:rFonts w:ascii="宋体" w:hAnsi="宋体" w:eastAsia="宋体" w:cs="仿宋"/>
          <w:color w:val="auto"/>
          <w:sz w:val="24"/>
          <w:szCs w:val="24"/>
        </w:rPr>
        <w:t>人口数量为基数</w:t>
      </w:r>
      <w:r>
        <w:rPr>
          <w:rFonts w:hint="eastAsia" w:ascii="宋体" w:hAnsi="宋体" w:eastAsia="宋体" w:cs="仿宋"/>
          <w:color w:val="auto"/>
          <w:sz w:val="24"/>
          <w:szCs w:val="24"/>
        </w:rPr>
        <w:t>。</w:t>
      </w:r>
    </w:p>
    <w:p>
      <w:pPr>
        <w:pStyle w:val="61"/>
        <w:spacing w:line="360" w:lineRule="auto"/>
        <w:rPr>
          <w:rFonts w:ascii="宋体" w:hAnsi="宋体" w:eastAsia="宋体" w:cs="仿宋"/>
          <w:b/>
          <w:bCs/>
          <w:sz w:val="24"/>
          <w:szCs w:val="24"/>
        </w:rPr>
      </w:pPr>
      <w:r>
        <w:rPr>
          <w:rFonts w:hint="eastAsia" w:ascii="宋体" w:hAnsi="宋体" w:eastAsia="宋体" w:cs="仿宋"/>
          <w:b/>
          <w:bCs/>
          <w:sz w:val="24"/>
          <w:szCs w:val="24"/>
        </w:rPr>
        <w:t xml:space="preserve">       六、</w:t>
      </w:r>
      <w:r>
        <w:rPr>
          <w:rFonts w:ascii="宋体" w:hAnsi="宋体" w:eastAsia="宋体" w:cs="仿宋"/>
          <w:b/>
          <w:bCs/>
          <w:sz w:val="24"/>
          <w:szCs w:val="24"/>
        </w:rPr>
        <w:t>总保险费：</w:t>
      </w:r>
      <w:r>
        <w:rPr>
          <w:rFonts w:ascii="宋体" w:hAnsi="宋体" w:eastAsia="宋体" w:cs="仿宋"/>
          <w:sz w:val="24"/>
          <w:szCs w:val="24"/>
        </w:rPr>
        <w:t>总保险费=人均保险费*参保人数</w:t>
      </w:r>
    </w:p>
    <w:p>
      <w:pPr>
        <w:pStyle w:val="61"/>
        <w:spacing w:line="360" w:lineRule="auto"/>
        <w:rPr>
          <w:rFonts w:ascii="宋体" w:hAnsi="宋体" w:eastAsia="宋体" w:cs="仿宋"/>
          <w:b/>
          <w:bCs/>
          <w:sz w:val="24"/>
          <w:szCs w:val="24"/>
        </w:rPr>
      </w:pPr>
      <w:r>
        <w:rPr>
          <w:rFonts w:hint="eastAsia" w:ascii="宋体" w:hAnsi="宋体" w:eastAsia="宋体" w:cs="仿宋"/>
          <w:b/>
          <w:bCs/>
          <w:sz w:val="24"/>
          <w:szCs w:val="24"/>
        </w:rPr>
        <w:t xml:space="preserve">       七、</w:t>
      </w:r>
      <w:r>
        <w:rPr>
          <w:rFonts w:ascii="宋体" w:hAnsi="宋体" w:eastAsia="宋体" w:cs="仿宋"/>
          <w:b/>
          <w:bCs/>
          <w:sz w:val="24"/>
          <w:szCs w:val="24"/>
        </w:rPr>
        <w:t>税费：税率为6%（上述保险费已经包含税费）</w:t>
      </w:r>
    </w:p>
    <w:p>
      <w:pPr>
        <w:pStyle w:val="61"/>
        <w:spacing w:line="360" w:lineRule="auto"/>
        <w:rPr>
          <w:rFonts w:hint="default" w:ascii="微软雅黑" w:hAnsi="微软雅黑" w:eastAsia="微软雅黑" w:cs="微软雅黑"/>
          <w:i w:val="0"/>
          <w:caps w:val="0"/>
          <w:color w:val="171A1D"/>
          <w:spacing w:val="0"/>
          <w:sz w:val="21"/>
          <w:szCs w:val="21"/>
          <w:shd w:val="clear" w:fill="C9E7FF"/>
          <w:lang w:val="en-US" w:eastAsia="zh-CN"/>
        </w:rPr>
      </w:pPr>
      <w:r>
        <w:rPr>
          <w:rFonts w:hint="eastAsia" w:ascii="宋体" w:hAnsi="宋体" w:eastAsia="宋体" w:cs="仿宋"/>
          <w:b/>
          <w:bCs/>
          <w:sz w:val="24"/>
          <w:szCs w:val="24"/>
        </w:rPr>
        <w:t xml:space="preserve">       八、</w:t>
      </w:r>
      <w:r>
        <w:rPr>
          <w:rFonts w:ascii="宋体" w:hAnsi="宋体" w:eastAsia="宋体" w:cs="仿宋"/>
          <w:b/>
          <w:bCs/>
          <w:sz w:val="24"/>
          <w:szCs w:val="24"/>
        </w:rPr>
        <w:t>保险费支付方式：</w:t>
      </w:r>
      <w:r>
        <w:rPr>
          <w:rFonts w:hint="eastAsia" w:ascii="宋体" w:hAnsi="宋体" w:eastAsia="宋体" w:cs="仿宋"/>
          <w:sz w:val="24"/>
          <w:szCs w:val="24"/>
        </w:rPr>
        <w:t>合同签订后支付合同价款的30%（第一期）；有效服务满半年支付合同价款的50%（第二期）；合同执行满且无遗留索赔事件后，支付合同价款的20%（第三期）。市委政法委</w:t>
      </w:r>
      <w:r>
        <w:rPr>
          <w:rFonts w:hint="eastAsia" w:ascii="宋体" w:hAnsi="宋体" w:eastAsia="宋体" w:cs="仿宋"/>
          <w:sz w:val="24"/>
          <w:szCs w:val="24"/>
          <w:lang w:val="en-US" w:eastAsia="zh-CN"/>
        </w:rPr>
        <w:t>负责支付市本级（含三区）常驻人口的保费，其他县（市）</w:t>
      </w:r>
      <w:r>
        <w:rPr>
          <w:rFonts w:hint="eastAsia" w:ascii="宋体" w:hAnsi="宋体" w:eastAsia="宋体" w:cs="仿宋"/>
          <w:sz w:val="24"/>
          <w:szCs w:val="24"/>
        </w:rPr>
        <w:t>委政法委</w:t>
      </w:r>
      <w:r>
        <w:rPr>
          <w:rFonts w:hint="eastAsia" w:ascii="宋体" w:hAnsi="宋体" w:eastAsia="宋体" w:cs="仿宋"/>
          <w:sz w:val="24"/>
          <w:szCs w:val="24"/>
          <w:lang w:val="en-US" w:eastAsia="zh-CN"/>
        </w:rPr>
        <w:t>负责支付对应区域常驻人口的保费。</w:t>
      </w:r>
    </w:p>
    <w:p>
      <w:pPr>
        <w:pStyle w:val="61"/>
        <w:spacing w:line="360" w:lineRule="auto"/>
        <w:rPr>
          <w:rFonts w:ascii="宋体" w:hAnsi="宋体" w:eastAsia="宋体" w:cs="仿宋"/>
          <w:b/>
          <w:bCs/>
          <w:sz w:val="24"/>
          <w:szCs w:val="24"/>
          <w:lang w:val="zh-TW" w:eastAsia="zh-TW"/>
        </w:rPr>
      </w:pPr>
      <w:r>
        <w:rPr>
          <w:rFonts w:hint="eastAsia" w:ascii="宋体" w:hAnsi="宋体" w:eastAsia="宋体" w:cs="仿宋"/>
          <w:b/>
          <w:bCs/>
          <w:sz w:val="24"/>
          <w:szCs w:val="24"/>
        </w:rPr>
        <w:t xml:space="preserve">       九、</w:t>
      </w:r>
      <w:r>
        <w:rPr>
          <w:rFonts w:ascii="宋体" w:hAnsi="宋体" w:eastAsia="宋体" w:cs="仿宋"/>
          <w:b/>
          <w:bCs/>
          <w:sz w:val="24"/>
          <w:szCs w:val="24"/>
        </w:rPr>
        <w:t>开票信息：</w:t>
      </w:r>
    </w:p>
    <w:p>
      <w:pPr>
        <w:pStyle w:val="61"/>
        <w:spacing w:line="360" w:lineRule="auto"/>
        <w:ind w:left="840"/>
        <w:rPr>
          <w:rFonts w:ascii="宋体" w:hAnsi="宋体" w:eastAsia="宋体" w:cs="仿宋"/>
          <w:bCs/>
          <w:sz w:val="24"/>
          <w:szCs w:val="24"/>
        </w:rPr>
      </w:pPr>
      <w:r>
        <w:rPr>
          <w:rFonts w:ascii="宋体" w:hAnsi="宋体" w:eastAsia="宋体" w:cs="仿宋"/>
          <w:bCs/>
          <w:sz w:val="24"/>
          <w:szCs w:val="24"/>
        </w:rPr>
        <w:t>市</w:t>
      </w:r>
      <w:r>
        <w:rPr>
          <w:rFonts w:hint="eastAsia" w:ascii="宋体" w:hAnsi="宋体" w:eastAsia="宋体" w:cs="仿宋"/>
          <w:sz w:val="24"/>
          <w:szCs w:val="24"/>
        </w:rPr>
        <w:t>委政法委</w:t>
      </w:r>
      <w:r>
        <w:rPr>
          <w:rFonts w:ascii="宋体" w:hAnsi="宋体" w:eastAsia="宋体" w:cs="仿宋"/>
          <w:bCs/>
          <w:sz w:val="24"/>
          <w:szCs w:val="24"/>
        </w:rPr>
        <w:t>的开票信息</w:t>
      </w:r>
    </w:p>
    <w:p>
      <w:pPr>
        <w:pStyle w:val="61"/>
        <w:spacing w:line="360" w:lineRule="auto"/>
        <w:ind w:left="840"/>
        <w:rPr>
          <w:rFonts w:ascii="宋体" w:hAnsi="宋体" w:eastAsia="宋体" w:cs="仿宋"/>
          <w:bCs/>
          <w:sz w:val="24"/>
          <w:szCs w:val="24"/>
          <w:lang w:val="zh-TW" w:eastAsia="zh-TW"/>
        </w:rPr>
      </w:pPr>
      <w:r>
        <w:rPr>
          <w:rFonts w:ascii="宋体" w:hAnsi="宋体" w:eastAsia="宋体" w:cs="仿宋"/>
          <w:bCs/>
          <w:sz w:val="24"/>
          <w:szCs w:val="24"/>
        </w:rPr>
        <w:t>其他各县（市）</w:t>
      </w:r>
      <w:r>
        <w:rPr>
          <w:rFonts w:hint="eastAsia" w:ascii="宋体" w:hAnsi="宋体" w:eastAsia="宋体" w:cs="仿宋"/>
          <w:sz w:val="24"/>
          <w:szCs w:val="24"/>
        </w:rPr>
        <w:t>委政法委</w:t>
      </w:r>
      <w:r>
        <w:rPr>
          <w:rFonts w:ascii="宋体" w:hAnsi="宋体" w:eastAsia="宋体" w:cs="仿宋"/>
          <w:bCs/>
          <w:sz w:val="24"/>
          <w:szCs w:val="24"/>
        </w:rPr>
        <w:t>的开票信息：</w:t>
      </w:r>
    </w:p>
    <w:p>
      <w:pPr>
        <w:pStyle w:val="61"/>
        <w:spacing w:line="360" w:lineRule="auto"/>
        <w:rPr>
          <w:rFonts w:ascii="宋体" w:hAnsi="宋体" w:eastAsia="宋体" w:cs="仿宋"/>
          <w:b/>
          <w:bCs/>
          <w:sz w:val="24"/>
          <w:szCs w:val="24"/>
          <w:lang w:val="zh-TW" w:eastAsia="zh-TW"/>
        </w:rPr>
      </w:pPr>
      <w:r>
        <w:rPr>
          <w:rFonts w:hint="eastAsia" w:ascii="宋体" w:hAnsi="宋体" w:eastAsia="宋体" w:cs="仿宋"/>
          <w:b/>
          <w:bCs/>
          <w:sz w:val="24"/>
          <w:szCs w:val="24"/>
          <w:lang w:val="zh-TW"/>
        </w:rPr>
        <w:t xml:space="preserve">       十、</w:t>
      </w:r>
      <w:r>
        <w:rPr>
          <w:rFonts w:ascii="宋体" w:hAnsi="宋体" w:eastAsia="宋体" w:cs="仿宋"/>
          <w:b/>
          <w:bCs/>
          <w:sz w:val="24"/>
          <w:szCs w:val="24"/>
          <w:lang w:val="zh-TW"/>
        </w:rPr>
        <w:t>赔偿办法及理赔流程约定</w:t>
      </w:r>
    </w:p>
    <w:p>
      <w:pPr>
        <w:pStyle w:val="61"/>
        <w:spacing w:line="360" w:lineRule="auto"/>
        <w:ind w:left="840"/>
        <w:rPr>
          <w:rFonts w:ascii="宋体" w:hAnsi="宋体" w:eastAsia="宋体" w:cs="仿宋"/>
          <w:b/>
          <w:bCs/>
          <w:sz w:val="24"/>
          <w:szCs w:val="24"/>
        </w:rPr>
      </w:pPr>
      <w:r>
        <w:rPr>
          <w:rFonts w:hint="eastAsia" w:ascii="宋体" w:hAnsi="宋体" w:eastAsia="宋体" w:cs="仿宋"/>
          <w:b/>
          <w:bCs/>
          <w:sz w:val="24"/>
          <w:szCs w:val="24"/>
        </w:rPr>
        <w:t>1.</w:t>
      </w:r>
      <w:r>
        <w:rPr>
          <w:rFonts w:ascii="宋体" w:hAnsi="宋体" w:eastAsia="宋体" w:cs="仿宋"/>
          <w:b/>
          <w:bCs/>
          <w:sz w:val="24"/>
          <w:szCs w:val="24"/>
        </w:rPr>
        <w:t>出险报案</w:t>
      </w:r>
    </w:p>
    <w:p>
      <w:pPr>
        <w:pStyle w:val="61"/>
        <w:spacing w:line="360" w:lineRule="auto"/>
        <w:ind w:left="359" w:firstLine="480"/>
        <w:rPr>
          <w:rFonts w:ascii="宋体" w:hAnsi="宋体" w:eastAsia="宋体" w:cs="仿宋"/>
          <w:sz w:val="24"/>
          <w:szCs w:val="24"/>
          <w:lang w:val="zh-TW" w:eastAsia="zh-TW"/>
        </w:rPr>
      </w:pPr>
      <w:r>
        <w:rPr>
          <w:rFonts w:ascii="宋体" w:hAnsi="宋体" w:eastAsia="宋体" w:cs="仿宋"/>
          <w:sz w:val="24"/>
          <w:szCs w:val="24"/>
          <w:lang w:val="zh-TW" w:eastAsia="zh-TW"/>
        </w:rPr>
        <w:t>本保险可由投保人报案，也可由乡镇（街道）综治机构直接报案</w:t>
      </w:r>
      <w:r>
        <w:rPr>
          <w:rFonts w:ascii="宋体" w:hAnsi="宋体" w:eastAsia="宋体" w:cs="仿宋"/>
          <w:sz w:val="24"/>
          <w:szCs w:val="24"/>
          <w:lang w:val="zh-TW"/>
        </w:rPr>
        <w:t>，</w:t>
      </w:r>
      <w:r>
        <w:rPr>
          <w:rFonts w:ascii="宋体" w:hAnsi="宋体" w:eastAsia="宋体" w:cs="仿宋"/>
          <w:sz w:val="24"/>
          <w:szCs w:val="24"/>
          <w:lang w:val="zh-TW" w:eastAsia="zh-TW"/>
        </w:rPr>
        <w:t>重大事故可由县（市、区）</w:t>
      </w:r>
      <w:r>
        <w:rPr>
          <w:rFonts w:hint="eastAsia" w:ascii="宋体" w:hAnsi="宋体" w:eastAsia="宋体" w:cs="仿宋"/>
          <w:sz w:val="24"/>
          <w:szCs w:val="24"/>
        </w:rPr>
        <w:t>委政法委</w:t>
      </w:r>
      <w:r>
        <w:rPr>
          <w:rFonts w:ascii="宋体" w:hAnsi="宋体" w:eastAsia="宋体" w:cs="仿宋"/>
          <w:sz w:val="24"/>
          <w:szCs w:val="24"/>
          <w:lang w:val="zh-TW" w:eastAsia="zh-TW"/>
        </w:rPr>
        <w:t>直接向保险公司报案</w:t>
      </w:r>
      <w:r>
        <w:rPr>
          <w:rFonts w:ascii="宋体" w:hAnsi="宋体" w:eastAsia="宋体" w:cs="仿宋"/>
          <w:sz w:val="24"/>
          <w:szCs w:val="24"/>
          <w:lang w:val="zh-TW"/>
        </w:rPr>
        <w:t>。</w:t>
      </w:r>
      <w:r>
        <w:rPr>
          <w:rFonts w:ascii="宋体" w:hAnsi="宋体" w:eastAsia="宋体" w:cs="仿宋"/>
          <w:sz w:val="24"/>
          <w:szCs w:val="24"/>
          <w:lang w:val="zh-TW" w:eastAsia="zh-TW"/>
        </w:rPr>
        <w:t>如遇受害人（或家属）直接向保险公司报案的，由保险公司告知并引导受害人（或家属）报请所在乡镇（街道）综治机构报案。</w:t>
      </w:r>
    </w:p>
    <w:p>
      <w:pPr>
        <w:pStyle w:val="61"/>
        <w:spacing w:line="360" w:lineRule="auto"/>
        <w:ind w:left="359" w:firstLine="480"/>
        <w:rPr>
          <w:rFonts w:ascii="宋体" w:hAnsi="宋体" w:eastAsia="宋体" w:cs="仿宋"/>
          <w:sz w:val="24"/>
          <w:szCs w:val="24"/>
          <w:lang w:val="zh-TW" w:eastAsia="zh-TW"/>
        </w:rPr>
      </w:pPr>
      <w:r>
        <w:rPr>
          <w:rFonts w:ascii="宋体" w:hAnsi="宋体" w:eastAsia="宋体" w:cs="仿宋"/>
          <w:sz w:val="24"/>
          <w:szCs w:val="24"/>
          <w:lang w:val="zh-TW" w:eastAsia="zh-TW"/>
        </w:rPr>
        <w:t>保险人严格执行365天、24小时的全天候接报案制度。接报案后保险人理赔服务团队成员接到报案后，将马上给出处理意见，并回复是否需要前往现场查勘、是否需要保留现场。若无法保留第一现场，保险人告知出险单位拍摄较为全面的事故现场照片或录像，准备书面事故报告等，备后期赔案处理使用。</w:t>
      </w:r>
    </w:p>
    <w:p>
      <w:pPr>
        <w:pStyle w:val="61"/>
        <w:spacing w:line="360" w:lineRule="auto"/>
        <w:ind w:left="359"/>
        <w:rPr>
          <w:rFonts w:ascii="宋体" w:hAnsi="宋体" w:eastAsia="宋体" w:cs="仿宋"/>
          <w:sz w:val="24"/>
          <w:szCs w:val="24"/>
        </w:rPr>
      </w:pPr>
      <w:r>
        <w:rPr>
          <w:rFonts w:ascii="宋体" w:hAnsi="宋体" w:eastAsia="宋体" w:cs="仿宋"/>
          <w:sz w:val="24"/>
          <w:szCs w:val="24"/>
          <w:lang w:val="zh-TW"/>
        </w:rPr>
        <w:t xml:space="preserve">    针对本项目的专用</w:t>
      </w:r>
      <w:r>
        <w:rPr>
          <w:rFonts w:ascii="宋体" w:hAnsi="宋体" w:eastAsia="宋体" w:cs="仿宋"/>
          <w:sz w:val="24"/>
          <w:szCs w:val="24"/>
          <w:lang w:val="zh-TW" w:eastAsia="zh-TW"/>
        </w:rPr>
        <w:t>报案电话；</w:t>
      </w:r>
      <w:r>
        <w:rPr>
          <w:rFonts w:ascii="宋体" w:hAnsi="宋体" w:eastAsia="宋体" w:cs="仿宋"/>
          <w:sz w:val="24"/>
          <w:szCs w:val="24"/>
          <w:lang w:val="zh-TW"/>
        </w:rPr>
        <w:t>保险公司全国统一报案电话</w:t>
      </w:r>
      <w:r>
        <w:rPr>
          <w:rFonts w:ascii="宋体" w:hAnsi="宋体" w:eastAsia="宋体" w:cs="仿宋"/>
          <w:sz w:val="24"/>
          <w:szCs w:val="24"/>
        </w:rPr>
        <w:t xml:space="preserve">      ；区域服务团队理赔指定联系人电话     。</w:t>
      </w:r>
    </w:p>
    <w:p>
      <w:pPr>
        <w:pStyle w:val="61"/>
        <w:spacing w:line="360" w:lineRule="auto"/>
        <w:ind w:left="840"/>
        <w:rPr>
          <w:rFonts w:ascii="宋体" w:hAnsi="宋体" w:eastAsia="宋体" w:cs="仿宋"/>
          <w:b/>
          <w:bCs/>
          <w:sz w:val="24"/>
          <w:szCs w:val="24"/>
          <w:lang w:eastAsia="zh-TW"/>
        </w:rPr>
      </w:pPr>
      <w:r>
        <w:rPr>
          <w:rFonts w:hint="eastAsia" w:ascii="宋体" w:hAnsi="宋体" w:eastAsia="宋体" w:cs="仿宋"/>
          <w:b/>
          <w:bCs/>
          <w:sz w:val="24"/>
          <w:szCs w:val="24"/>
        </w:rPr>
        <w:t>2.</w:t>
      </w:r>
      <w:r>
        <w:rPr>
          <w:rFonts w:ascii="宋体" w:hAnsi="宋体" w:eastAsia="宋体" w:cs="仿宋"/>
          <w:b/>
          <w:bCs/>
          <w:sz w:val="24"/>
          <w:szCs w:val="24"/>
        </w:rPr>
        <w:t>现场査勘</w:t>
      </w:r>
    </w:p>
    <w:p>
      <w:pPr>
        <w:spacing w:line="360" w:lineRule="auto"/>
        <w:ind w:left="210" w:leftChars="100" w:firstLine="540" w:firstLineChars="225"/>
        <w:rPr>
          <w:rFonts w:ascii="宋体" w:hAnsi="宋体" w:cs="仿宋"/>
          <w:color w:val="000000"/>
          <w:sz w:val="24"/>
          <w:lang w:val="zh-TW" w:eastAsia="zh-TW"/>
        </w:rPr>
      </w:pPr>
      <w:r>
        <w:rPr>
          <w:rFonts w:hint="eastAsia" w:ascii="宋体" w:hAnsi="宋体" w:cs="仿宋"/>
          <w:color w:val="000000"/>
          <w:sz w:val="24"/>
          <w:lang w:val="zh-TW" w:eastAsia="zh-TW"/>
        </w:rPr>
        <w:t>本保险理赔应适用快速处理程序。乙方接到报案后，应立即派出勘察人员到达现场或相关医疗单位，对人员伤亡情况进行核实确认。对不属于本保险责任的，应在2个工作日内书面告知事发地综治办（或民政机构）和受害人（或家属）；对可能致残的受伤人员，乙方有责任提醒受害人及时进行人身损害伤残等级鉴定。若乙方代表  小时后未能赶到现场，为满足抢险需要，事故现场在详尽拍照后可不予保留，由此引起的后果不能作为乙方拒赔的理由。对于保险公司未到现场査勘的事故，保险公司按照相关执法管理部门提供的定性记录进行理赔。</w:t>
      </w:r>
    </w:p>
    <w:p>
      <w:pPr>
        <w:spacing w:line="360" w:lineRule="auto"/>
        <w:ind w:left="210" w:leftChars="100" w:firstLine="540" w:firstLineChars="225"/>
        <w:rPr>
          <w:rFonts w:ascii="宋体" w:hAnsi="宋体" w:cs="仿宋"/>
          <w:color w:val="000000"/>
          <w:sz w:val="24"/>
          <w:lang w:val="zh-TW" w:eastAsia="zh-TW"/>
        </w:rPr>
      </w:pPr>
      <w:r>
        <w:rPr>
          <w:rFonts w:hint="eastAsia" w:ascii="宋体" w:hAnsi="宋体" w:cs="仿宋"/>
          <w:color w:val="000000"/>
          <w:sz w:val="24"/>
          <w:lang w:val="zh-TW" w:eastAsia="zh-TW"/>
        </w:rPr>
        <w:t>发生人员死亡事故的，乙方市级公司领导应在第一时间到达现场，参与理赔相关工作。</w:t>
      </w:r>
    </w:p>
    <w:p>
      <w:pPr>
        <w:pStyle w:val="61"/>
        <w:spacing w:line="360" w:lineRule="auto"/>
        <w:ind w:left="840"/>
        <w:rPr>
          <w:rFonts w:ascii="宋体" w:hAnsi="宋体" w:eastAsia="宋体" w:cs="仿宋"/>
          <w:b/>
          <w:bCs/>
          <w:sz w:val="24"/>
          <w:szCs w:val="24"/>
        </w:rPr>
      </w:pPr>
      <w:r>
        <w:rPr>
          <w:rFonts w:hint="eastAsia" w:ascii="宋体" w:hAnsi="宋体" w:eastAsia="宋体" w:cs="仿宋"/>
          <w:b/>
          <w:bCs/>
          <w:sz w:val="24"/>
          <w:szCs w:val="24"/>
        </w:rPr>
        <w:t>3.</w:t>
      </w:r>
      <w:r>
        <w:rPr>
          <w:rFonts w:ascii="宋体" w:hAnsi="宋体" w:eastAsia="宋体" w:cs="仿宋"/>
          <w:b/>
          <w:bCs/>
          <w:sz w:val="24"/>
          <w:szCs w:val="24"/>
        </w:rPr>
        <w:t>提供理赔资料</w:t>
      </w:r>
    </w:p>
    <w:p>
      <w:pPr>
        <w:pStyle w:val="61"/>
        <w:spacing w:line="360" w:lineRule="auto"/>
        <w:ind w:left="359" w:firstLine="480"/>
        <w:rPr>
          <w:rFonts w:ascii="宋体" w:hAnsi="宋体" w:eastAsia="宋体" w:cs="仿宋"/>
          <w:sz w:val="24"/>
          <w:szCs w:val="24"/>
          <w:lang w:val="zh-TW" w:eastAsia="zh-TW"/>
        </w:rPr>
      </w:pPr>
      <w:r>
        <w:rPr>
          <w:rFonts w:hint="eastAsia" w:ascii="宋体" w:hAnsi="宋体" w:eastAsia="宋体" w:cs="仿宋"/>
          <w:sz w:val="24"/>
          <w:szCs w:val="24"/>
          <w:lang w:val="zh-TW"/>
        </w:rPr>
        <w:t>乙方</w:t>
      </w:r>
      <w:r>
        <w:rPr>
          <w:rFonts w:ascii="宋体" w:hAnsi="宋体" w:eastAsia="宋体" w:cs="仿宋"/>
          <w:sz w:val="24"/>
          <w:szCs w:val="24"/>
          <w:lang w:val="zh-TW" w:eastAsia="zh-TW"/>
        </w:rPr>
        <w:t>在查勘后向</w:t>
      </w:r>
      <w:r>
        <w:rPr>
          <w:rFonts w:hint="eastAsia" w:ascii="宋体" w:hAnsi="宋体" w:eastAsia="宋体" w:cs="仿宋"/>
          <w:sz w:val="24"/>
          <w:szCs w:val="24"/>
          <w:lang w:val="zh-TW"/>
        </w:rPr>
        <w:t>甲方</w:t>
      </w:r>
      <w:r>
        <w:rPr>
          <w:rFonts w:ascii="宋体" w:hAnsi="宋体" w:eastAsia="宋体" w:cs="仿宋"/>
          <w:sz w:val="24"/>
          <w:szCs w:val="24"/>
          <w:lang w:val="zh-TW" w:eastAsia="zh-TW"/>
        </w:rPr>
        <w:t>提供《索赔单证一览表》，</w:t>
      </w:r>
      <w:r>
        <w:rPr>
          <w:rFonts w:hint="eastAsia" w:ascii="宋体" w:hAnsi="宋体" w:eastAsia="宋体" w:cs="仿宋"/>
          <w:sz w:val="24"/>
          <w:szCs w:val="24"/>
          <w:lang w:val="zh-TW"/>
        </w:rPr>
        <w:t>甲方</w:t>
      </w:r>
      <w:r>
        <w:rPr>
          <w:rFonts w:ascii="宋体" w:hAnsi="宋体" w:eastAsia="宋体" w:cs="仿宋"/>
          <w:sz w:val="24"/>
          <w:szCs w:val="24"/>
          <w:lang w:val="zh-TW" w:eastAsia="zh-TW"/>
        </w:rPr>
        <w:t>按此进行材料的准备。</w:t>
      </w:r>
      <w:r>
        <w:rPr>
          <w:rFonts w:hint="eastAsia" w:ascii="宋体" w:hAnsi="宋体" w:eastAsia="宋体" w:cs="仿宋"/>
          <w:sz w:val="24"/>
          <w:szCs w:val="24"/>
          <w:lang w:val="zh-TW"/>
        </w:rPr>
        <w:t>乙方</w:t>
      </w:r>
      <w:r>
        <w:rPr>
          <w:rFonts w:ascii="宋体" w:hAnsi="宋体" w:eastAsia="宋体" w:cs="仿宋"/>
          <w:sz w:val="24"/>
          <w:szCs w:val="24"/>
          <w:lang w:val="zh-TW" w:eastAsia="zh-TW"/>
        </w:rPr>
        <w:t>接到</w:t>
      </w:r>
      <w:r>
        <w:rPr>
          <w:rFonts w:hint="eastAsia" w:ascii="宋体" w:hAnsi="宋体" w:eastAsia="宋体" w:cs="仿宋"/>
          <w:sz w:val="24"/>
          <w:szCs w:val="24"/>
          <w:lang w:val="zh-TW"/>
        </w:rPr>
        <w:t>甲方</w:t>
      </w:r>
      <w:r>
        <w:rPr>
          <w:rFonts w:ascii="宋体" w:hAnsi="宋体" w:eastAsia="宋体" w:cs="仿宋"/>
          <w:sz w:val="24"/>
          <w:szCs w:val="24"/>
          <w:lang w:val="zh-TW" w:eastAsia="zh-TW"/>
        </w:rPr>
        <w:t>的索赔单证后，应填写索赔单证签收单，审查核实。若认为有关证明和材料不完整，必须在接到索赔资料后5个工作日内应立即向</w:t>
      </w:r>
      <w:r>
        <w:rPr>
          <w:rFonts w:hint="eastAsia" w:ascii="宋体" w:hAnsi="宋体" w:eastAsia="宋体" w:cs="仿宋"/>
          <w:sz w:val="24"/>
          <w:szCs w:val="24"/>
          <w:lang w:val="zh-TW"/>
        </w:rPr>
        <w:t>甲方</w:t>
      </w:r>
      <w:r>
        <w:rPr>
          <w:rFonts w:ascii="宋体" w:hAnsi="宋体" w:eastAsia="宋体" w:cs="仿宋"/>
          <w:sz w:val="24"/>
          <w:szCs w:val="24"/>
          <w:lang w:val="zh-TW" w:eastAsia="zh-TW"/>
        </w:rPr>
        <w:t>说明应补充提供的有关证明或资料。在接到索赔资料后5个工作日内未提出有关审核意见，则视为乙方认可索赔资料完整。在以后的理赔处理中，不能以索赔单证不齐全为由拒赔或要求延长理赔期限。</w:t>
      </w:r>
    </w:p>
    <w:p>
      <w:pPr>
        <w:pStyle w:val="61"/>
        <w:spacing w:line="360" w:lineRule="auto"/>
        <w:ind w:left="840"/>
        <w:rPr>
          <w:rFonts w:ascii="宋体" w:hAnsi="宋体" w:eastAsia="宋体" w:cs="仿宋"/>
          <w:b/>
          <w:bCs/>
          <w:sz w:val="24"/>
          <w:szCs w:val="24"/>
        </w:rPr>
      </w:pPr>
      <w:r>
        <w:rPr>
          <w:rFonts w:hint="eastAsia" w:ascii="宋体" w:hAnsi="宋体" w:eastAsia="宋体" w:cs="仿宋"/>
          <w:b/>
          <w:bCs/>
          <w:sz w:val="24"/>
          <w:szCs w:val="24"/>
        </w:rPr>
        <w:t>4.</w:t>
      </w:r>
      <w:r>
        <w:rPr>
          <w:rFonts w:ascii="宋体" w:hAnsi="宋体" w:eastAsia="宋体" w:cs="仿宋"/>
          <w:b/>
          <w:bCs/>
          <w:sz w:val="24"/>
          <w:szCs w:val="24"/>
        </w:rPr>
        <w:t>索赔处理</w:t>
      </w:r>
    </w:p>
    <w:p>
      <w:pPr>
        <w:pStyle w:val="61"/>
        <w:spacing w:line="360" w:lineRule="auto"/>
        <w:ind w:left="359" w:firstLine="480"/>
        <w:rPr>
          <w:rFonts w:ascii="宋体" w:hAnsi="宋体" w:eastAsia="宋体" w:cs="仿宋"/>
          <w:sz w:val="24"/>
          <w:szCs w:val="24"/>
          <w:lang w:val="zh-TW" w:eastAsia="zh-TW"/>
        </w:rPr>
      </w:pPr>
      <w:r>
        <w:rPr>
          <w:rFonts w:ascii="宋体" w:hAnsi="宋体" w:eastAsia="宋体" w:cs="仿宋"/>
          <w:sz w:val="24"/>
          <w:szCs w:val="24"/>
          <w:lang w:val="zh-TW" w:eastAsia="zh-TW"/>
        </w:rPr>
        <w:t>本保险合同下发生赔案，损失金额由保险人支付给</w:t>
      </w:r>
      <w:r>
        <w:rPr>
          <w:rFonts w:hint="eastAsia" w:ascii="宋体" w:hAnsi="宋体" w:eastAsia="宋体" w:cs="仿宋"/>
          <w:sz w:val="24"/>
          <w:szCs w:val="24"/>
          <w:lang w:val="zh-TW"/>
        </w:rPr>
        <w:t>甲方或甲方指定的单位</w:t>
      </w:r>
      <w:r>
        <w:rPr>
          <w:rFonts w:ascii="宋体" w:hAnsi="宋体" w:eastAsia="宋体" w:cs="仿宋"/>
          <w:sz w:val="24"/>
          <w:szCs w:val="24"/>
          <w:lang w:val="zh-TW" w:eastAsia="zh-TW"/>
        </w:rPr>
        <w:t>。</w:t>
      </w:r>
    </w:p>
    <w:p>
      <w:pPr>
        <w:pStyle w:val="61"/>
        <w:spacing w:line="360" w:lineRule="auto"/>
        <w:ind w:left="840"/>
        <w:rPr>
          <w:rFonts w:ascii="宋体" w:hAnsi="宋体" w:eastAsia="宋体" w:cs="仿宋"/>
          <w:b/>
          <w:bCs/>
          <w:sz w:val="24"/>
          <w:szCs w:val="24"/>
          <w:lang w:val="zh-TW" w:eastAsia="zh-TW"/>
        </w:rPr>
      </w:pPr>
      <w:r>
        <w:rPr>
          <w:rFonts w:hint="eastAsia" w:ascii="宋体" w:hAnsi="宋体" w:eastAsia="宋体" w:cs="仿宋"/>
          <w:b/>
          <w:bCs/>
          <w:sz w:val="24"/>
          <w:szCs w:val="24"/>
          <w:lang w:val="zh-TW"/>
        </w:rPr>
        <w:t>5.</w:t>
      </w:r>
      <w:r>
        <w:rPr>
          <w:rFonts w:ascii="宋体" w:hAnsi="宋体" w:eastAsia="宋体" w:cs="仿宋"/>
          <w:b/>
          <w:bCs/>
          <w:sz w:val="24"/>
          <w:szCs w:val="24"/>
          <w:lang w:val="zh-TW" w:eastAsia="zh-TW"/>
        </w:rPr>
        <w:t>限时赔付承诺</w:t>
      </w:r>
    </w:p>
    <w:p>
      <w:pPr>
        <w:pStyle w:val="61"/>
        <w:spacing w:line="360" w:lineRule="auto"/>
        <w:ind w:left="359" w:firstLine="480"/>
        <w:rPr>
          <w:rFonts w:ascii="宋体" w:hAnsi="宋体" w:eastAsia="宋体" w:cs="仿宋"/>
          <w:sz w:val="24"/>
          <w:szCs w:val="24"/>
          <w:lang w:val="zh-TW" w:eastAsia="zh-TW"/>
        </w:rPr>
      </w:pPr>
      <w:r>
        <w:rPr>
          <w:rFonts w:ascii="宋体" w:hAnsi="宋体" w:eastAsia="宋体" w:cs="仿宋"/>
          <w:sz w:val="24"/>
          <w:szCs w:val="24"/>
          <w:lang w:val="zh-TW" w:eastAsia="zh-TW"/>
        </w:rPr>
        <w:t>当保险责任明确、损失金额明确，</w:t>
      </w:r>
      <w:r>
        <w:rPr>
          <w:rFonts w:hint="eastAsia" w:ascii="宋体" w:hAnsi="宋体" w:eastAsia="宋体" w:cs="仿宋"/>
          <w:sz w:val="24"/>
          <w:szCs w:val="24"/>
          <w:lang w:val="zh-TW"/>
        </w:rPr>
        <w:t>乙方</w:t>
      </w:r>
      <w:r>
        <w:rPr>
          <w:rFonts w:ascii="宋体" w:hAnsi="宋体" w:eastAsia="宋体" w:cs="仿宋"/>
          <w:sz w:val="24"/>
          <w:szCs w:val="24"/>
          <w:lang w:val="zh-TW" w:eastAsia="zh-TW"/>
        </w:rPr>
        <w:t>应在理赔资料完备后2个工作日内支付赔款。涉及伤残的案件，</w:t>
      </w:r>
      <w:r>
        <w:rPr>
          <w:rFonts w:hint="eastAsia" w:ascii="宋体" w:hAnsi="宋体" w:eastAsia="宋体" w:cs="仿宋"/>
          <w:sz w:val="24"/>
          <w:szCs w:val="24"/>
          <w:lang w:val="zh-TW"/>
        </w:rPr>
        <w:t>按照</w:t>
      </w:r>
      <w:r>
        <w:rPr>
          <w:rFonts w:ascii="宋体" w:hAnsi="宋体" w:eastAsia="宋体" w:cs="仿宋"/>
          <w:sz w:val="24"/>
          <w:szCs w:val="24"/>
          <w:lang w:val="zh-TW" w:eastAsia="zh-TW"/>
        </w:rPr>
        <w:t>中国保险行业协会发布的《人身保险伤残评定标准》（中保协发【2013】88号）规定的等级进行赔付；涉及死亡的案件，根据死亡证明赔付；需要条件认定的，经条件认定后赔付</w:t>
      </w:r>
      <w:r>
        <w:rPr>
          <w:rFonts w:ascii="宋体" w:hAnsi="宋体" w:eastAsia="宋体" w:cs="仿宋"/>
          <w:sz w:val="24"/>
          <w:szCs w:val="24"/>
          <w:lang w:val="zh-TW"/>
        </w:rPr>
        <w:t>。</w:t>
      </w:r>
    </w:p>
    <w:p>
      <w:pPr>
        <w:pStyle w:val="61"/>
        <w:spacing w:line="360" w:lineRule="auto"/>
        <w:ind w:left="359" w:firstLine="480"/>
        <w:rPr>
          <w:rFonts w:ascii="宋体" w:hAnsi="宋体" w:eastAsia="宋体" w:cs="仿宋"/>
          <w:sz w:val="24"/>
          <w:szCs w:val="24"/>
          <w:lang w:val="zh-TW" w:eastAsia="zh-TW"/>
        </w:rPr>
      </w:pPr>
      <w:r>
        <w:rPr>
          <w:rFonts w:ascii="宋体" w:hAnsi="宋体" w:eastAsia="宋体" w:cs="仿宋"/>
          <w:sz w:val="24"/>
          <w:szCs w:val="24"/>
          <w:lang w:val="zh-TW" w:eastAsia="zh-TW"/>
        </w:rPr>
        <w:t>如</w:t>
      </w:r>
      <w:r>
        <w:rPr>
          <w:rFonts w:hint="eastAsia" w:ascii="宋体" w:hAnsi="宋体" w:eastAsia="宋体" w:cs="仿宋"/>
          <w:sz w:val="24"/>
          <w:szCs w:val="24"/>
          <w:lang w:val="zh-TW"/>
        </w:rPr>
        <w:t>乙方</w:t>
      </w:r>
      <w:r>
        <w:rPr>
          <w:rFonts w:ascii="宋体" w:hAnsi="宋体" w:eastAsia="宋体" w:cs="仿宋"/>
          <w:sz w:val="24"/>
          <w:szCs w:val="24"/>
          <w:lang w:val="zh-TW" w:eastAsia="zh-TW"/>
        </w:rPr>
        <w:t>未能在上述约定的期限内履行赔付义务，则</w:t>
      </w:r>
      <w:r>
        <w:rPr>
          <w:rFonts w:hint="eastAsia" w:ascii="宋体" w:hAnsi="宋体" w:eastAsia="宋体" w:cs="仿宋"/>
          <w:sz w:val="24"/>
          <w:szCs w:val="24"/>
          <w:lang w:val="zh-TW"/>
        </w:rPr>
        <w:t>甲方</w:t>
      </w:r>
      <w:r>
        <w:rPr>
          <w:rFonts w:ascii="宋体" w:hAnsi="宋体" w:eastAsia="宋体" w:cs="仿宋"/>
          <w:sz w:val="24"/>
          <w:szCs w:val="24"/>
          <w:lang w:val="zh-TW" w:eastAsia="zh-TW"/>
        </w:rPr>
        <w:t>可按照赔款金额的一定比例收取违约金，具体比例为每延迟一天收取赔款金额的1％。</w:t>
      </w:r>
    </w:p>
    <w:p>
      <w:pPr>
        <w:pStyle w:val="61"/>
        <w:spacing w:line="360" w:lineRule="auto"/>
        <w:ind w:left="840" w:leftChars="400" w:firstLine="118" w:firstLineChars="49"/>
        <w:rPr>
          <w:rFonts w:ascii="宋体" w:hAnsi="宋体" w:eastAsia="宋体" w:cs="仿宋"/>
          <w:b/>
          <w:bCs/>
          <w:sz w:val="24"/>
          <w:szCs w:val="24"/>
          <w:lang w:val="zh-TW" w:eastAsia="zh-TW"/>
        </w:rPr>
      </w:pPr>
      <w:r>
        <w:rPr>
          <w:rFonts w:hint="eastAsia" w:ascii="宋体" w:hAnsi="宋体" w:eastAsia="宋体" w:cs="仿宋"/>
          <w:b/>
          <w:bCs/>
          <w:sz w:val="24"/>
          <w:szCs w:val="24"/>
          <w:lang w:val="zh-TW"/>
        </w:rPr>
        <w:t>6.</w:t>
      </w:r>
      <w:r>
        <w:rPr>
          <w:rFonts w:ascii="宋体" w:hAnsi="宋体" w:eastAsia="宋体" w:cs="仿宋"/>
          <w:b/>
          <w:bCs/>
          <w:sz w:val="24"/>
          <w:szCs w:val="24"/>
          <w:lang w:val="zh-TW" w:eastAsia="zh-TW"/>
        </w:rPr>
        <w:t>预付赔款支付</w:t>
      </w:r>
    </w:p>
    <w:p>
      <w:pPr>
        <w:pStyle w:val="61"/>
        <w:spacing w:line="360" w:lineRule="auto"/>
        <w:ind w:firstLine="960" w:firstLineChars="400"/>
        <w:rPr>
          <w:rFonts w:ascii="宋体" w:hAnsi="宋体" w:eastAsia="宋体" w:cs="仿宋"/>
          <w:sz w:val="24"/>
          <w:szCs w:val="24"/>
          <w:lang w:val="zh-TW" w:eastAsia="zh-TW"/>
        </w:rPr>
      </w:pPr>
      <w:r>
        <w:rPr>
          <w:rFonts w:ascii="宋体" w:hAnsi="宋体" w:eastAsia="宋体" w:cs="仿宋"/>
          <w:sz w:val="24"/>
          <w:szCs w:val="24"/>
          <w:lang w:val="zh-TW" w:eastAsia="zh-TW"/>
        </w:rPr>
        <w:t>因工作需要，下列情形，本保险应先行预付赔款。</w:t>
      </w:r>
    </w:p>
    <w:p>
      <w:pPr>
        <w:pStyle w:val="61"/>
        <w:spacing w:line="360" w:lineRule="auto"/>
        <w:ind w:left="359" w:firstLine="480"/>
        <w:rPr>
          <w:rFonts w:ascii="宋体" w:hAnsi="宋体" w:eastAsia="宋体" w:cs="仿宋"/>
          <w:sz w:val="24"/>
          <w:szCs w:val="24"/>
          <w:lang w:val="zh-TW" w:eastAsia="zh-TW"/>
        </w:rPr>
      </w:pPr>
      <w:r>
        <w:rPr>
          <w:rFonts w:ascii="宋体" w:hAnsi="宋体" w:eastAsia="宋体" w:cs="仿宋"/>
          <w:sz w:val="24"/>
          <w:szCs w:val="24"/>
        </w:rPr>
        <w:t>6.1</w:t>
      </w:r>
      <w:r>
        <w:rPr>
          <w:rFonts w:ascii="宋体" w:hAnsi="宋体" w:eastAsia="宋体" w:cs="仿宋"/>
          <w:sz w:val="24"/>
          <w:szCs w:val="24"/>
          <w:lang w:val="zh-TW" w:eastAsia="zh-TW"/>
        </w:rPr>
        <w:t>保险责任明确但赔偿金额暂时不能确定的案件，</w:t>
      </w:r>
      <w:r>
        <w:rPr>
          <w:rFonts w:hint="eastAsia" w:ascii="宋体" w:hAnsi="宋体" w:eastAsia="宋体" w:cs="仿宋"/>
          <w:sz w:val="24"/>
          <w:szCs w:val="24"/>
          <w:lang w:val="zh-TW"/>
        </w:rPr>
        <w:t>乙方</w:t>
      </w:r>
      <w:r>
        <w:rPr>
          <w:rFonts w:ascii="宋体" w:hAnsi="宋体" w:eastAsia="宋体" w:cs="仿宋"/>
          <w:sz w:val="24"/>
          <w:szCs w:val="24"/>
          <w:lang w:val="zh-TW" w:eastAsia="zh-TW"/>
        </w:rPr>
        <w:t>根据已有证明和资料可以确定的数额预付赔款，待最终确定赔偿金额后再赔付相应的差额。</w:t>
      </w:r>
    </w:p>
    <w:p>
      <w:pPr>
        <w:pStyle w:val="61"/>
        <w:spacing w:line="360" w:lineRule="auto"/>
        <w:ind w:left="359" w:firstLine="480"/>
        <w:rPr>
          <w:rFonts w:ascii="宋体" w:hAnsi="宋体" w:eastAsia="宋体" w:cs="仿宋"/>
          <w:sz w:val="24"/>
          <w:szCs w:val="24"/>
          <w:lang w:val="zh-TW" w:eastAsia="zh-TW"/>
        </w:rPr>
      </w:pPr>
      <w:r>
        <w:rPr>
          <w:rFonts w:ascii="宋体" w:hAnsi="宋体" w:eastAsia="宋体" w:cs="仿宋"/>
          <w:sz w:val="24"/>
          <w:szCs w:val="24"/>
        </w:rPr>
        <w:t>6.2</w:t>
      </w:r>
      <w:r>
        <w:rPr>
          <w:rFonts w:ascii="宋体" w:hAnsi="宋体" w:eastAsia="宋体" w:cs="仿宋"/>
          <w:sz w:val="24"/>
          <w:szCs w:val="24"/>
          <w:lang w:val="zh-TW" w:eastAsia="zh-TW"/>
        </w:rPr>
        <w:t>保险责任、赔偿金额均明确但理赔资料一时难以完备的案件，凭事发地综治或公安部门的情况说明，保险公司先行预付赔款，所需相关资料事后补交。</w:t>
      </w:r>
    </w:p>
    <w:p>
      <w:pPr>
        <w:pStyle w:val="61"/>
        <w:spacing w:line="360" w:lineRule="auto"/>
        <w:ind w:left="359" w:firstLine="480"/>
        <w:rPr>
          <w:rFonts w:ascii="宋体" w:hAnsi="宋体" w:eastAsia="宋体" w:cs="仿宋"/>
          <w:sz w:val="24"/>
          <w:szCs w:val="24"/>
          <w:lang w:val="zh-TW" w:eastAsia="zh-TW"/>
        </w:rPr>
      </w:pPr>
      <w:r>
        <w:rPr>
          <w:rFonts w:ascii="宋体" w:hAnsi="宋体" w:eastAsia="宋体" w:cs="仿宋"/>
          <w:sz w:val="24"/>
          <w:szCs w:val="24"/>
        </w:rPr>
        <w:t>6.3</w:t>
      </w:r>
      <w:r>
        <w:rPr>
          <w:rFonts w:ascii="宋体" w:hAnsi="宋体" w:eastAsia="宋体" w:cs="仿宋"/>
          <w:sz w:val="24"/>
          <w:szCs w:val="24"/>
          <w:lang w:val="zh-TW" w:eastAsia="zh-TW"/>
        </w:rPr>
        <w:t>对于死亡3人及以上的重大事故，</w:t>
      </w:r>
      <w:r>
        <w:rPr>
          <w:rFonts w:hint="eastAsia" w:ascii="宋体" w:hAnsi="宋体" w:eastAsia="宋体" w:cs="仿宋"/>
          <w:sz w:val="24"/>
          <w:szCs w:val="24"/>
          <w:lang w:val="zh-TW"/>
        </w:rPr>
        <w:t>乙方</w:t>
      </w:r>
      <w:r>
        <w:rPr>
          <w:rFonts w:ascii="宋体" w:hAnsi="宋体" w:eastAsia="宋体" w:cs="仿宋"/>
          <w:sz w:val="24"/>
          <w:szCs w:val="24"/>
          <w:lang w:val="zh-TW" w:eastAsia="zh-TW"/>
        </w:rPr>
        <w:t>应立即启动应急机制，会同事发地政府相关部门确定预付赔款方案，先行预付赔款。</w:t>
      </w:r>
    </w:p>
    <w:p>
      <w:pPr>
        <w:pStyle w:val="61"/>
        <w:spacing w:line="360" w:lineRule="auto"/>
        <w:ind w:left="359" w:firstLine="480"/>
        <w:rPr>
          <w:rFonts w:ascii="宋体" w:hAnsi="宋体" w:eastAsia="宋体" w:cs="仿宋"/>
          <w:sz w:val="24"/>
          <w:szCs w:val="24"/>
          <w:lang w:val="zh-TW" w:eastAsia="zh-TW"/>
        </w:rPr>
      </w:pPr>
      <w:r>
        <w:rPr>
          <w:rFonts w:ascii="宋体" w:hAnsi="宋体" w:eastAsia="宋体" w:cs="仿宋"/>
          <w:sz w:val="24"/>
          <w:szCs w:val="24"/>
          <w:lang w:val="zh-TW" w:eastAsia="zh-TW"/>
        </w:rPr>
        <w:t>预付部分赔偿后，</w:t>
      </w:r>
      <w:r>
        <w:rPr>
          <w:rFonts w:hint="eastAsia" w:ascii="宋体" w:hAnsi="宋体" w:eastAsia="宋体" w:cs="仿宋"/>
          <w:sz w:val="24"/>
          <w:szCs w:val="24"/>
          <w:lang w:val="zh-TW"/>
        </w:rPr>
        <w:t>甲乙双方</w:t>
      </w:r>
      <w:r>
        <w:rPr>
          <w:rFonts w:ascii="宋体" w:hAnsi="宋体" w:eastAsia="宋体" w:cs="仿宋"/>
          <w:sz w:val="24"/>
          <w:szCs w:val="24"/>
          <w:lang w:val="zh-TW" w:eastAsia="zh-TW"/>
        </w:rPr>
        <w:t>应积极合作，继续取证、鉴定等工作，一旦双方对最终赔偿金额达成一致，</w:t>
      </w:r>
      <w:r>
        <w:rPr>
          <w:rFonts w:hint="eastAsia" w:ascii="宋体" w:hAnsi="宋体" w:eastAsia="宋体" w:cs="仿宋"/>
          <w:sz w:val="24"/>
          <w:szCs w:val="24"/>
          <w:lang w:val="zh-TW"/>
        </w:rPr>
        <w:t>乙方</w:t>
      </w:r>
      <w:r>
        <w:rPr>
          <w:rFonts w:ascii="宋体" w:hAnsi="宋体" w:eastAsia="宋体" w:cs="仿宋"/>
          <w:sz w:val="24"/>
          <w:szCs w:val="24"/>
          <w:lang w:val="zh-TW" w:eastAsia="zh-TW"/>
        </w:rPr>
        <w:t>应在收到</w:t>
      </w:r>
      <w:r>
        <w:rPr>
          <w:rFonts w:hint="eastAsia" w:ascii="宋体" w:hAnsi="宋体" w:eastAsia="宋体" w:cs="仿宋"/>
          <w:sz w:val="24"/>
          <w:szCs w:val="24"/>
          <w:lang w:val="zh-TW"/>
        </w:rPr>
        <w:t>甲方</w:t>
      </w:r>
      <w:r>
        <w:rPr>
          <w:rFonts w:ascii="宋体" w:hAnsi="宋体" w:eastAsia="宋体" w:cs="仿宋"/>
          <w:sz w:val="24"/>
          <w:szCs w:val="24"/>
          <w:lang w:val="zh-TW" w:eastAsia="zh-TW"/>
        </w:rPr>
        <w:t>齐全的索赔单证后立即支付其余赔款。</w:t>
      </w:r>
    </w:p>
    <w:p>
      <w:pPr>
        <w:pStyle w:val="61"/>
        <w:spacing w:line="360" w:lineRule="auto"/>
        <w:ind w:left="840"/>
        <w:rPr>
          <w:rFonts w:ascii="宋体" w:hAnsi="宋体" w:eastAsia="宋体" w:cs="仿宋"/>
          <w:b/>
          <w:bCs/>
          <w:sz w:val="24"/>
          <w:szCs w:val="24"/>
          <w:lang w:val="zh-TW" w:eastAsia="zh-TW"/>
        </w:rPr>
      </w:pPr>
      <w:r>
        <w:rPr>
          <w:rFonts w:hint="eastAsia" w:ascii="宋体" w:hAnsi="宋体" w:eastAsia="宋体" w:cs="仿宋"/>
          <w:b/>
          <w:bCs/>
          <w:sz w:val="24"/>
          <w:szCs w:val="24"/>
          <w:lang w:val="zh-TW"/>
        </w:rPr>
        <w:t>7.</w:t>
      </w:r>
      <w:r>
        <w:rPr>
          <w:rFonts w:ascii="宋体" w:hAnsi="宋体" w:eastAsia="宋体" w:cs="仿宋"/>
          <w:b/>
          <w:bCs/>
          <w:sz w:val="24"/>
          <w:szCs w:val="24"/>
          <w:lang w:val="zh-TW" w:eastAsia="zh-TW"/>
        </w:rPr>
        <w:t>责任主体明确但又无力赔偿</w:t>
      </w:r>
      <w:r>
        <w:rPr>
          <w:rFonts w:ascii="宋体" w:hAnsi="宋体" w:eastAsia="宋体" w:cs="仿宋"/>
          <w:b/>
          <w:bCs/>
          <w:sz w:val="24"/>
          <w:szCs w:val="24"/>
          <w:lang w:val="zh-TW"/>
        </w:rPr>
        <w:t>的情况处理</w:t>
      </w:r>
    </w:p>
    <w:p>
      <w:pPr>
        <w:pStyle w:val="61"/>
        <w:spacing w:line="360" w:lineRule="auto"/>
        <w:ind w:left="359" w:firstLine="480"/>
        <w:rPr>
          <w:rFonts w:ascii="宋体" w:hAnsi="宋体" w:eastAsia="宋体" w:cs="仿宋"/>
          <w:sz w:val="24"/>
          <w:szCs w:val="24"/>
          <w:lang w:val="zh-TW" w:eastAsia="zh-TW"/>
        </w:rPr>
      </w:pPr>
      <w:r>
        <w:rPr>
          <w:rFonts w:ascii="宋体" w:hAnsi="宋体" w:eastAsia="宋体" w:cs="仿宋"/>
          <w:sz w:val="24"/>
          <w:szCs w:val="24"/>
          <w:lang w:val="zh-TW" w:eastAsia="zh-TW"/>
        </w:rPr>
        <w:t>对责任主体明确但又无力赔偿的，由乡镇（街道）综治机构，组织</w:t>
      </w:r>
      <w:r>
        <w:rPr>
          <w:rFonts w:hint="eastAsia" w:ascii="宋体" w:hAnsi="宋体" w:eastAsia="宋体" w:cs="仿宋"/>
          <w:sz w:val="24"/>
          <w:szCs w:val="24"/>
          <w:lang w:val="zh-TW"/>
        </w:rPr>
        <w:t>乙方</w:t>
      </w:r>
      <w:r>
        <w:rPr>
          <w:rFonts w:ascii="宋体" w:hAnsi="宋体" w:eastAsia="宋体" w:cs="仿宋"/>
          <w:sz w:val="24"/>
          <w:szCs w:val="24"/>
          <w:lang w:val="zh-TW" w:eastAsia="zh-TW"/>
        </w:rPr>
        <w:t>参与进行社会调查，并经所属的网格员和村居（社区）出具证明，相关材料纳入调解协议。本保险结合善后调解情况予以赔偿。</w:t>
      </w:r>
    </w:p>
    <w:p>
      <w:pPr>
        <w:pStyle w:val="61"/>
        <w:spacing w:line="360" w:lineRule="auto"/>
        <w:ind w:left="840" w:leftChars="400"/>
        <w:rPr>
          <w:rFonts w:ascii="宋体" w:hAnsi="宋体" w:eastAsia="宋体" w:cs="仿宋"/>
          <w:b/>
          <w:bCs/>
          <w:sz w:val="24"/>
          <w:szCs w:val="24"/>
          <w:lang w:val="zh-TW" w:eastAsia="zh-TW"/>
        </w:rPr>
      </w:pPr>
      <w:r>
        <w:rPr>
          <w:rFonts w:hint="eastAsia" w:ascii="宋体" w:hAnsi="宋体" w:eastAsia="宋体" w:cs="仿宋"/>
          <w:b/>
          <w:bCs/>
          <w:sz w:val="24"/>
          <w:szCs w:val="24"/>
          <w:lang w:val="zh-TW"/>
        </w:rPr>
        <w:t>8.</w:t>
      </w:r>
      <w:r>
        <w:rPr>
          <w:rFonts w:ascii="宋体" w:hAnsi="宋体" w:eastAsia="宋体" w:cs="仿宋"/>
          <w:b/>
          <w:bCs/>
          <w:sz w:val="24"/>
          <w:szCs w:val="24"/>
          <w:lang w:val="zh-TW" w:eastAsia="zh-TW"/>
        </w:rPr>
        <w:t>争议案件处理</w:t>
      </w:r>
    </w:p>
    <w:p>
      <w:pPr>
        <w:pStyle w:val="61"/>
        <w:spacing w:line="360" w:lineRule="auto"/>
        <w:ind w:left="359" w:firstLine="480"/>
        <w:rPr>
          <w:rFonts w:ascii="宋体" w:hAnsi="宋体" w:eastAsia="宋体" w:cs="仿宋"/>
          <w:sz w:val="24"/>
          <w:szCs w:val="24"/>
          <w:lang w:val="zh-TW" w:eastAsia="zh-TW"/>
        </w:rPr>
      </w:pPr>
      <w:r>
        <w:rPr>
          <w:rFonts w:ascii="宋体" w:hAnsi="宋体" w:eastAsia="宋体" w:cs="仿宋"/>
          <w:sz w:val="24"/>
          <w:szCs w:val="24"/>
          <w:lang w:val="zh-TW" w:eastAsia="zh-TW"/>
        </w:rPr>
        <w:t>对保险责任涉及争议的案件，当事双方应在争议发生后3个工作日内提交各县（市、区）保险争议协调小组协调解决。协调一致的，</w:t>
      </w:r>
      <w:r>
        <w:rPr>
          <w:rFonts w:hint="eastAsia" w:ascii="宋体" w:hAnsi="宋体" w:eastAsia="宋体" w:cs="仿宋"/>
          <w:sz w:val="24"/>
          <w:szCs w:val="24"/>
          <w:lang w:val="zh-TW"/>
        </w:rPr>
        <w:t>乙方</w:t>
      </w:r>
      <w:r>
        <w:rPr>
          <w:rFonts w:ascii="宋体" w:hAnsi="宋体" w:eastAsia="宋体" w:cs="仿宋"/>
          <w:sz w:val="24"/>
          <w:szCs w:val="24"/>
          <w:lang w:val="zh-TW" w:eastAsia="zh-TW"/>
        </w:rPr>
        <w:t>根据保险争议协调小组协调纪要，按本</w:t>
      </w:r>
      <w:r>
        <w:rPr>
          <w:rFonts w:ascii="宋体" w:hAnsi="宋体" w:eastAsia="宋体" w:cs="仿宋"/>
          <w:sz w:val="24"/>
          <w:szCs w:val="24"/>
          <w:lang w:val="zh-TW"/>
        </w:rPr>
        <w:t>保险合同</w:t>
      </w:r>
      <w:r>
        <w:rPr>
          <w:rFonts w:ascii="宋体" w:hAnsi="宋体" w:eastAsia="宋体" w:cs="仿宋"/>
          <w:sz w:val="24"/>
          <w:szCs w:val="24"/>
          <w:lang w:val="zh-TW" w:eastAsia="zh-TW"/>
        </w:rPr>
        <w:t>规定程序予以赔付。不能协调一致的，提交台州仲裁委员会仲裁解决。</w:t>
      </w:r>
    </w:p>
    <w:p>
      <w:pPr>
        <w:pStyle w:val="61"/>
        <w:spacing w:line="360" w:lineRule="auto"/>
        <w:ind w:left="840"/>
        <w:rPr>
          <w:rFonts w:ascii="宋体" w:hAnsi="宋体" w:eastAsia="宋体" w:cs="仿宋"/>
          <w:b/>
          <w:bCs/>
          <w:sz w:val="24"/>
          <w:szCs w:val="24"/>
          <w:lang w:val="zh-TW" w:eastAsia="zh-TW"/>
        </w:rPr>
      </w:pPr>
      <w:r>
        <w:rPr>
          <w:rFonts w:hint="eastAsia" w:ascii="宋体" w:hAnsi="宋体" w:eastAsia="宋体" w:cs="仿宋"/>
          <w:b/>
          <w:bCs/>
          <w:sz w:val="24"/>
          <w:szCs w:val="24"/>
          <w:lang w:val="zh-TW"/>
        </w:rPr>
        <w:t>9.</w:t>
      </w:r>
      <w:r>
        <w:rPr>
          <w:rFonts w:ascii="宋体" w:hAnsi="宋体" w:eastAsia="宋体" w:cs="仿宋"/>
          <w:b/>
          <w:bCs/>
          <w:sz w:val="24"/>
          <w:szCs w:val="24"/>
          <w:lang w:val="zh-TW" w:eastAsia="zh-TW"/>
        </w:rPr>
        <w:t>保险赔款支付</w:t>
      </w:r>
    </w:p>
    <w:p>
      <w:pPr>
        <w:pStyle w:val="61"/>
        <w:spacing w:line="360" w:lineRule="auto"/>
        <w:ind w:left="359" w:firstLine="480"/>
        <w:rPr>
          <w:rFonts w:ascii="宋体" w:hAnsi="宋体" w:eastAsia="宋体" w:cs="仿宋"/>
          <w:sz w:val="24"/>
          <w:szCs w:val="24"/>
          <w:lang w:val="zh-TW" w:eastAsia="zh-TW"/>
        </w:rPr>
      </w:pPr>
      <w:r>
        <w:rPr>
          <w:rFonts w:ascii="宋体" w:hAnsi="宋体" w:eastAsia="宋体" w:cs="仿宋"/>
          <w:sz w:val="24"/>
          <w:szCs w:val="24"/>
          <w:lang w:val="zh-TW" w:eastAsia="zh-TW"/>
        </w:rPr>
        <w:t>保险赔偿金额经</w:t>
      </w:r>
      <w:r>
        <w:rPr>
          <w:rFonts w:hint="eastAsia" w:ascii="宋体" w:hAnsi="宋体" w:eastAsia="宋体" w:cs="仿宋"/>
          <w:sz w:val="24"/>
          <w:szCs w:val="24"/>
          <w:lang w:val="zh-TW"/>
        </w:rPr>
        <w:t>甲、乙</w:t>
      </w:r>
      <w:r>
        <w:rPr>
          <w:rFonts w:ascii="宋体" w:hAnsi="宋体" w:eastAsia="宋体" w:cs="仿宋"/>
          <w:sz w:val="24"/>
          <w:szCs w:val="24"/>
          <w:lang w:val="zh-TW" w:eastAsia="zh-TW"/>
        </w:rPr>
        <w:t>双方确认后，保险公司应在规定时间内将赔款划付到</w:t>
      </w:r>
      <w:r>
        <w:rPr>
          <w:rFonts w:hint="eastAsia" w:ascii="宋体" w:hAnsi="宋体" w:eastAsia="宋体" w:cs="仿宋"/>
          <w:sz w:val="24"/>
          <w:szCs w:val="24"/>
          <w:lang w:val="zh-TW"/>
        </w:rPr>
        <w:t>甲方</w:t>
      </w:r>
      <w:r>
        <w:rPr>
          <w:rFonts w:ascii="宋体" w:hAnsi="宋体" w:eastAsia="宋体" w:cs="仿宋"/>
          <w:sz w:val="24"/>
          <w:szCs w:val="24"/>
          <w:lang w:val="zh-TW" w:eastAsia="zh-TW"/>
        </w:rPr>
        <w:t>指定的账户，由</w:t>
      </w:r>
      <w:r>
        <w:rPr>
          <w:rFonts w:hint="eastAsia" w:ascii="宋体" w:hAnsi="宋体" w:eastAsia="宋体" w:cs="仿宋"/>
          <w:sz w:val="24"/>
          <w:szCs w:val="24"/>
          <w:lang w:val="zh-TW"/>
        </w:rPr>
        <w:t>甲方</w:t>
      </w:r>
      <w:r>
        <w:rPr>
          <w:rFonts w:ascii="宋体" w:hAnsi="宋体" w:eastAsia="宋体" w:cs="仿宋"/>
          <w:sz w:val="24"/>
          <w:szCs w:val="24"/>
          <w:lang w:val="zh-TW" w:eastAsia="zh-TW"/>
        </w:rPr>
        <w:t>（或该事故协调处理单位）转付；或者经</w:t>
      </w:r>
      <w:r>
        <w:rPr>
          <w:rFonts w:hint="eastAsia" w:ascii="宋体" w:hAnsi="宋体" w:eastAsia="宋体" w:cs="仿宋"/>
          <w:sz w:val="24"/>
          <w:szCs w:val="24"/>
          <w:lang w:val="zh-TW"/>
        </w:rPr>
        <w:t>甲方</w:t>
      </w:r>
      <w:r>
        <w:rPr>
          <w:rFonts w:ascii="宋体" w:hAnsi="宋体" w:eastAsia="宋体" w:cs="仿宋"/>
          <w:sz w:val="24"/>
          <w:szCs w:val="24"/>
          <w:lang w:val="zh-TW" w:eastAsia="zh-TW"/>
        </w:rPr>
        <w:t>授权，直接向受害人及其他权利人支付赔款。</w:t>
      </w:r>
    </w:p>
    <w:p>
      <w:pPr>
        <w:pStyle w:val="61"/>
        <w:spacing w:line="360" w:lineRule="auto"/>
        <w:ind w:left="840"/>
        <w:rPr>
          <w:rFonts w:ascii="宋体" w:hAnsi="宋体" w:eastAsia="宋体" w:cs="仿宋"/>
          <w:b/>
          <w:bCs/>
          <w:sz w:val="24"/>
          <w:szCs w:val="24"/>
          <w:lang w:val="zh-TW" w:eastAsia="zh-TW"/>
        </w:rPr>
      </w:pPr>
      <w:r>
        <w:rPr>
          <w:rFonts w:hint="eastAsia" w:ascii="宋体" w:hAnsi="宋体" w:eastAsia="宋体" w:cs="仿宋"/>
          <w:b/>
          <w:bCs/>
          <w:sz w:val="24"/>
          <w:szCs w:val="24"/>
          <w:lang w:val="zh-TW"/>
        </w:rPr>
        <w:t>10.</w:t>
      </w:r>
      <w:r>
        <w:rPr>
          <w:rFonts w:ascii="宋体" w:hAnsi="宋体" w:eastAsia="宋体" w:cs="仿宋"/>
          <w:b/>
          <w:bCs/>
          <w:sz w:val="24"/>
          <w:szCs w:val="24"/>
          <w:lang w:val="zh-TW" w:eastAsia="zh-TW"/>
        </w:rPr>
        <w:t>追偿权利行使</w:t>
      </w:r>
    </w:p>
    <w:p>
      <w:pPr>
        <w:pStyle w:val="61"/>
        <w:spacing w:line="360" w:lineRule="auto"/>
        <w:ind w:left="359" w:firstLine="480"/>
        <w:rPr>
          <w:rFonts w:ascii="宋体" w:hAnsi="宋体" w:eastAsia="宋体" w:cs="仿宋"/>
          <w:sz w:val="24"/>
          <w:szCs w:val="24"/>
          <w:lang w:val="zh-TW" w:eastAsia="zh-TW"/>
        </w:rPr>
      </w:pPr>
      <w:r>
        <w:rPr>
          <w:rFonts w:ascii="宋体" w:hAnsi="宋体" w:eastAsia="宋体" w:cs="仿宋"/>
          <w:sz w:val="24"/>
          <w:szCs w:val="24"/>
          <w:lang w:val="zh-TW" w:eastAsia="zh-TW"/>
        </w:rPr>
        <w:t>对于责任方属于经营性主体（从事公共服务的单位除外）或个人的事故，</w:t>
      </w:r>
      <w:r>
        <w:rPr>
          <w:rFonts w:hint="eastAsia" w:ascii="宋体" w:hAnsi="宋体" w:eastAsia="宋体" w:cs="仿宋"/>
          <w:sz w:val="24"/>
          <w:szCs w:val="24"/>
          <w:lang w:val="zh-TW"/>
        </w:rPr>
        <w:t>乙方</w:t>
      </w:r>
      <w:r>
        <w:rPr>
          <w:rFonts w:ascii="宋体" w:hAnsi="宋体" w:eastAsia="宋体" w:cs="仿宋"/>
          <w:sz w:val="24"/>
          <w:szCs w:val="24"/>
          <w:lang w:val="zh-TW" w:eastAsia="zh-TW"/>
        </w:rPr>
        <w:t>若先行赔偿的</w:t>
      </w:r>
      <w:r>
        <w:rPr>
          <w:rFonts w:hint="eastAsia" w:ascii="宋体" w:hAnsi="宋体" w:eastAsia="宋体" w:cs="仿宋"/>
          <w:sz w:val="24"/>
          <w:szCs w:val="24"/>
          <w:lang w:val="zh-TW"/>
        </w:rPr>
        <w:t>，</w:t>
      </w:r>
      <w:r>
        <w:rPr>
          <w:rFonts w:ascii="宋体" w:hAnsi="宋体" w:eastAsia="宋体" w:cs="仿宋"/>
          <w:sz w:val="24"/>
          <w:szCs w:val="24"/>
          <w:lang w:val="zh-TW" w:eastAsia="zh-TW"/>
        </w:rPr>
        <w:t>有权向责任方追偿。精神病人伤人事故及市县两级</w:t>
      </w:r>
      <w:r>
        <w:rPr>
          <w:rFonts w:hint="eastAsia" w:ascii="宋体" w:hAnsi="宋体" w:eastAsia="宋体" w:cs="仿宋"/>
          <w:sz w:val="24"/>
          <w:szCs w:val="24"/>
          <w:lang w:val="zh-TW"/>
        </w:rPr>
        <w:t>政法委</w:t>
      </w:r>
      <w:r>
        <w:rPr>
          <w:rFonts w:ascii="宋体" w:hAnsi="宋体" w:eastAsia="宋体" w:cs="仿宋"/>
          <w:sz w:val="24"/>
          <w:szCs w:val="24"/>
          <w:lang w:val="zh-TW" w:eastAsia="zh-TW"/>
        </w:rPr>
        <w:t>认为应免于追偿的情形，</w:t>
      </w:r>
      <w:r>
        <w:rPr>
          <w:rFonts w:hint="eastAsia" w:ascii="宋体" w:hAnsi="宋体" w:eastAsia="宋体" w:cs="仿宋"/>
          <w:sz w:val="24"/>
          <w:szCs w:val="24"/>
          <w:lang w:val="zh-TW"/>
        </w:rPr>
        <w:t>乙方</w:t>
      </w:r>
      <w:r>
        <w:rPr>
          <w:rFonts w:ascii="宋体" w:hAnsi="宋体" w:eastAsia="宋体" w:cs="仿宋"/>
          <w:sz w:val="24"/>
          <w:szCs w:val="24"/>
          <w:lang w:val="zh-TW" w:eastAsia="zh-TW"/>
        </w:rPr>
        <w:t>不予追偿。</w:t>
      </w:r>
    </w:p>
    <w:p>
      <w:pPr>
        <w:pStyle w:val="61"/>
        <w:spacing w:line="360" w:lineRule="auto"/>
        <w:ind w:left="840"/>
        <w:rPr>
          <w:rFonts w:ascii="宋体" w:hAnsi="宋体" w:eastAsia="宋体" w:cs="仿宋"/>
          <w:b/>
          <w:bCs/>
          <w:sz w:val="24"/>
          <w:szCs w:val="24"/>
          <w:lang w:val="zh-TW" w:eastAsia="zh-TW"/>
        </w:rPr>
      </w:pPr>
      <w:r>
        <w:rPr>
          <w:rFonts w:hint="eastAsia" w:ascii="宋体" w:hAnsi="宋体" w:eastAsia="宋体" w:cs="仿宋"/>
          <w:b/>
          <w:bCs/>
          <w:sz w:val="24"/>
          <w:szCs w:val="24"/>
          <w:lang w:val="zh-TW"/>
        </w:rPr>
        <w:t>11.</w:t>
      </w:r>
      <w:r>
        <w:rPr>
          <w:rFonts w:ascii="宋体" w:hAnsi="宋体" w:eastAsia="宋体" w:cs="仿宋"/>
          <w:b/>
          <w:bCs/>
          <w:sz w:val="24"/>
          <w:szCs w:val="24"/>
          <w:lang w:val="zh-TW" w:eastAsia="zh-TW"/>
        </w:rPr>
        <w:t>其他理赔增值服务计划</w:t>
      </w:r>
    </w:p>
    <w:p>
      <w:pPr>
        <w:pStyle w:val="61"/>
        <w:spacing w:line="360" w:lineRule="auto"/>
        <w:ind w:left="359" w:firstLine="480"/>
        <w:rPr>
          <w:rFonts w:ascii="宋体" w:hAnsi="宋体" w:eastAsia="宋体" w:cs="仿宋"/>
          <w:sz w:val="24"/>
          <w:szCs w:val="24"/>
          <w:lang w:val="zh-TW" w:eastAsia="zh-TW"/>
        </w:rPr>
      </w:pPr>
      <w:r>
        <w:rPr>
          <w:rFonts w:ascii="宋体" w:hAnsi="宋体" w:eastAsia="宋体" w:cs="仿宋"/>
          <w:sz w:val="24"/>
          <w:szCs w:val="24"/>
          <w:lang w:val="zh-TW" w:eastAsia="zh-TW"/>
        </w:rPr>
        <w:t>（1）实施“险后两访”制度</w:t>
      </w:r>
    </w:p>
    <w:p>
      <w:pPr>
        <w:pStyle w:val="61"/>
        <w:spacing w:line="360" w:lineRule="auto"/>
        <w:ind w:left="359" w:firstLine="480"/>
        <w:rPr>
          <w:rFonts w:ascii="宋体" w:hAnsi="宋体" w:eastAsia="宋体" w:cs="仿宋"/>
          <w:sz w:val="24"/>
          <w:szCs w:val="24"/>
          <w:lang w:val="zh-TW" w:eastAsia="zh-TW"/>
        </w:rPr>
      </w:pPr>
      <w:r>
        <w:rPr>
          <w:rFonts w:ascii="宋体" w:hAnsi="宋体" w:eastAsia="宋体" w:cs="仿宋"/>
          <w:sz w:val="24"/>
          <w:szCs w:val="24"/>
          <w:lang w:val="zh-TW" w:eastAsia="zh-TW"/>
        </w:rPr>
        <w:t>每次接到被保险人报案电话后，保险人安排专人进行险后回访，回访内容包括对查勘定损人员查勘时效、服务态度、工作技能的满意度等。赔付结案后，保险人实施第二次回访，回访内容主要为赔付时效和客户满意度等。</w:t>
      </w:r>
    </w:p>
    <w:p>
      <w:pPr>
        <w:pStyle w:val="61"/>
        <w:spacing w:line="360" w:lineRule="auto"/>
        <w:ind w:left="359" w:firstLine="480"/>
        <w:rPr>
          <w:rFonts w:ascii="宋体" w:hAnsi="宋体" w:eastAsia="宋体" w:cs="仿宋"/>
          <w:sz w:val="24"/>
          <w:szCs w:val="24"/>
          <w:lang w:val="zh-TW" w:eastAsia="zh-TW"/>
        </w:rPr>
      </w:pPr>
      <w:r>
        <w:rPr>
          <w:rFonts w:ascii="宋体" w:hAnsi="宋体" w:eastAsia="宋体" w:cs="仿宋"/>
          <w:sz w:val="24"/>
          <w:szCs w:val="24"/>
          <w:lang w:val="zh-TW" w:eastAsia="zh-TW"/>
        </w:rPr>
        <w:t>（2）人员变动及时通知</w:t>
      </w:r>
    </w:p>
    <w:p>
      <w:pPr>
        <w:pStyle w:val="61"/>
        <w:spacing w:line="360" w:lineRule="auto"/>
        <w:ind w:left="359" w:firstLine="480"/>
        <w:rPr>
          <w:rFonts w:ascii="宋体" w:hAnsi="宋体" w:eastAsia="宋体" w:cs="仿宋"/>
          <w:sz w:val="24"/>
          <w:szCs w:val="24"/>
          <w:lang w:val="zh-TW" w:eastAsia="zh-TW"/>
        </w:rPr>
      </w:pPr>
      <w:r>
        <w:rPr>
          <w:rFonts w:ascii="宋体" w:hAnsi="宋体" w:eastAsia="宋体" w:cs="仿宋"/>
          <w:sz w:val="24"/>
          <w:szCs w:val="24"/>
          <w:lang w:val="zh-TW" w:eastAsia="zh-TW"/>
        </w:rPr>
        <w:t>现场服务小组成员将各司其职，互相配合，手机均保持24小时开通。如果小组成员由于工作原因调动离岗，将在第一时间内书面通知被保险人。同时，告知接替人员的工作经验、简历和联系方式，接替人员也将在最短时间内熟悉情况，进入工作状态。</w:t>
      </w:r>
    </w:p>
    <w:p>
      <w:pPr>
        <w:pStyle w:val="61"/>
        <w:spacing w:line="360" w:lineRule="auto"/>
        <w:ind w:left="359" w:firstLine="480"/>
        <w:rPr>
          <w:rFonts w:ascii="宋体" w:hAnsi="宋体" w:eastAsia="宋体" w:cs="仿宋"/>
          <w:sz w:val="24"/>
          <w:szCs w:val="24"/>
          <w:lang w:val="zh-TW" w:eastAsia="zh-TW"/>
        </w:rPr>
      </w:pPr>
      <w:r>
        <w:rPr>
          <w:rFonts w:ascii="宋体" w:hAnsi="宋体" w:eastAsia="宋体" w:cs="仿宋"/>
          <w:sz w:val="24"/>
          <w:szCs w:val="24"/>
          <w:lang w:val="zh-TW" w:eastAsia="zh-TW"/>
        </w:rPr>
        <w:t>（3）建立考评和监督机制</w:t>
      </w:r>
    </w:p>
    <w:p>
      <w:pPr>
        <w:pStyle w:val="61"/>
        <w:spacing w:line="360" w:lineRule="auto"/>
        <w:ind w:left="359" w:firstLine="480"/>
        <w:rPr>
          <w:rFonts w:ascii="宋体" w:hAnsi="宋体" w:eastAsia="宋体" w:cs="仿宋"/>
          <w:sz w:val="24"/>
          <w:szCs w:val="24"/>
          <w:lang w:val="zh-TW" w:eastAsia="zh-TW"/>
        </w:rPr>
      </w:pPr>
      <w:r>
        <w:rPr>
          <w:rFonts w:ascii="宋体" w:hAnsi="宋体" w:eastAsia="宋体" w:cs="仿宋"/>
          <w:sz w:val="24"/>
          <w:szCs w:val="24"/>
          <w:lang w:val="zh-TW" w:eastAsia="zh-TW"/>
        </w:rPr>
        <w:t>保险人将对服务于本项目的承保理赔人员实行服务质量考核，并制订完善的投诉与监督机制，明确惩罚措施。对于被保险人不满意的服务人员及时进行调整并采取提示、警告、撤换与处罚等措施给予相应处罚，督促理赔工作人员保质保量地完成日常理赔工作。</w:t>
      </w:r>
    </w:p>
    <w:p>
      <w:pPr>
        <w:pStyle w:val="61"/>
        <w:spacing w:line="360" w:lineRule="auto"/>
        <w:ind w:left="359" w:firstLine="480"/>
        <w:rPr>
          <w:rFonts w:ascii="宋体" w:hAnsi="宋体" w:eastAsia="宋体" w:cs="仿宋"/>
          <w:sz w:val="24"/>
          <w:szCs w:val="24"/>
          <w:lang w:val="zh-TW" w:eastAsia="zh-TW"/>
        </w:rPr>
      </w:pPr>
      <w:r>
        <w:rPr>
          <w:rFonts w:ascii="宋体" w:hAnsi="宋体" w:eastAsia="宋体" w:cs="仿宋"/>
          <w:sz w:val="24"/>
          <w:szCs w:val="24"/>
          <w:lang w:val="zh-TW" w:eastAsia="zh-TW"/>
        </w:rPr>
        <w:t>（4）</w:t>
      </w:r>
      <w:r>
        <w:rPr>
          <w:rFonts w:ascii="宋体" w:hAnsi="宋体" w:eastAsia="宋体" w:cs="仿宋"/>
          <w:sz w:val="24"/>
          <w:szCs w:val="24"/>
          <w:lang w:val="zh-TW"/>
        </w:rPr>
        <w:t>建立台州市灾害数据平台</w:t>
      </w:r>
    </w:p>
    <w:p>
      <w:pPr>
        <w:pStyle w:val="61"/>
        <w:spacing w:line="360" w:lineRule="auto"/>
        <w:ind w:left="359" w:firstLine="480"/>
        <w:rPr>
          <w:rFonts w:ascii="宋体" w:hAnsi="宋体" w:eastAsia="宋体" w:cs="仿宋"/>
          <w:sz w:val="24"/>
          <w:szCs w:val="24"/>
          <w:lang w:val="zh-TW"/>
        </w:rPr>
      </w:pPr>
      <w:r>
        <w:rPr>
          <w:rFonts w:ascii="宋体" w:hAnsi="宋体" w:eastAsia="宋体" w:cs="仿宋"/>
          <w:sz w:val="24"/>
          <w:szCs w:val="24"/>
          <w:lang w:val="zh-TW" w:eastAsia="zh-TW"/>
        </w:rPr>
        <w:t>保险人将为本保险项目建立一个</w:t>
      </w:r>
      <w:r>
        <w:rPr>
          <w:rFonts w:ascii="宋体" w:hAnsi="宋体" w:eastAsia="宋体" w:cs="仿宋"/>
          <w:sz w:val="24"/>
          <w:szCs w:val="24"/>
          <w:lang w:val="zh-TW"/>
        </w:rPr>
        <w:t>台州市灾害数据共享平台</w:t>
      </w:r>
      <w:r>
        <w:rPr>
          <w:rFonts w:ascii="宋体" w:hAnsi="宋体" w:eastAsia="宋体" w:cs="仿宋"/>
          <w:sz w:val="24"/>
          <w:szCs w:val="24"/>
          <w:lang w:val="zh-TW" w:eastAsia="zh-TW"/>
        </w:rPr>
        <w:t>，将</w:t>
      </w:r>
      <w:r>
        <w:rPr>
          <w:rFonts w:ascii="宋体" w:hAnsi="宋体" w:eastAsia="宋体" w:cs="仿宋"/>
          <w:sz w:val="24"/>
          <w:szCs w:val="24"/>
          <w:lang w:val="zh-TW"/>
        </w:rPr>
        <w:t>所有意外事故导致的人员伤亡事件及相关理赔数据上传至平台内，并指派专门的平台维护人员。上传数据包括但不限于：出险时间、出险地点、事故原因、伤亡情况、损失金额、赔付金额、理赔资料等</w:t>
      </w:r>
      <w:r>
        <w:rPr>
          <w:rFonts w:hint="eastAsia" w:ascii="宋体" w:hAnsi="宋体" w:eastAsia="宋体" w:cs="仿宋"/>
          <w:sz w:val="24"/>
          <w:szCs w:val="24"/>
          <w:lang w:val="zh-TW"/>
        </w:rPr>
        <w:t>，并</w:t>
      </w:r>
      <w:r>
        <w:rPr>
          <w:rFonts w:ascii="宋体" w:hAnsi="宋体" w:eastAsia="宋体" w:cs="仿宋"/>
          <w:sz w:val="24"/>
          <w:szCs w:val="24"/>
          <w:lang w:val="zh-TW"/>
        </w:rPr>
        <w:t>对相关数据进行</w:t>
      </w:r>
      <w:r>
        <w:rPr>
          <w:rFonts w:hint="eastAsia" w:ascii="宋体" w:hAnsi="宋体" w:eastAsia="宋体" w:cs="仿宋"/>
          <w:sz w:val="24"/>
          <w:szCs w:val="24"/>
          <w:lang w:val="zh-TW"/>
        </w:rPr>
        <w:t>综合</w:t>
      </w:r>
      <w:r>
        <w:rPr>
          <w:rFonts w:ascii="宋体" w:hAnsi="宋体" w:eastAsia="宋体" w:cs="仿宋"/>
          <w:sz w:val="24"/>
          <w:szCs w:val="24"/>
          <w:lang w:val="zh-TW"/>
        </w:rPr>
        <w:t>分析，</w:t>
      </w:r>
      <w:r>
        <w:rPr>
          <w:rFonts w:hint="eastAsia" w:ascii="宋体" w:hAnsi="宋体" w:eastAsia="宋体" w:cs="仿宋"/>
          <w:sz w:val="24"/>
          <w:szCs w:val="24"/>
          <w:lang w:val="zh-TW"/>
        </w:rPr>
        <w:t>定期</w:t>
      </w:r>
      <w:r>
        <w:rPr>
          <w:rFonts w:ascii="宋体" w:hAnsi="宋体" w:eastAsia="宋体" w:cs="仿宋"/>
          <w:sz w:val="24"/>
          <w:szCs w:val="24"/>
          <w:lang w:val="zh-TW"/>
        </w:rPr>
        <w:t>提</w:t>
      </w:r>
      <w:r>
        <w:rPr>
          <w:rFonts w:hint="eastAsia" w:ascii="宋体" w:hAnsi="宋体" w:eastAsia="宋体" w:cs="仿宋"/>
          <w:sz w:val="24"/>
          <w:szCs w:val="24"/>
          <w:lang w:val="zh-TW"/>
        </w:rPr>
        <w:t>交分析报告及</w:t>
      </w:r>
      <w:r>
        <w:rPr>
          <w:rFonts w:ascii="宋体" w:hAnsi="宋体" w:eastAsia="宋体" w:cs="仿宋"/>
          <w:sz w:val="24"/>
          <w:szCs w:val="24"/>
          <w:lang w:val="zh-TW"/>
        </w:rPr>
        <w:t>相应的预防措施。</w:t>
      </w:r>
    </w:p>
    <w:p>
      <w:pPr>
        <w:pStyle w:val="61"/>
        <w:numPr>
          <w:ilvl w:val="0"/>
          <w:numId w:val="11"/>
        </w:numPr>
        <w:spacing w:line="360" w:lineRule="auto"/>
        <w:ind w:left="359" w:firstLine="480"/>
        <w:rPr>
          <w:rFonts w:ascii="宋体" w:hAnsi="宋体" w:eastAsia="宋体" w:cs="仿宋"/>
          <w:sz w:val="24"/>
          <w:szCs w:val="24"/>
        </w:rPr>
      </w:pPr>
      <w:r>
        <w:rPr>
          <w:rFonts w:ascii="宋体" w:hAnsi="宋体" w:eastAsia="宋体" w:cs="仿宋"/>
          <w:sz w:val="24"/>
          <w:szCs w:val="24"/>
        </w:rPr>
        <w:t>协助投保人对本项目进行多途径政策宣传，加强灾害知识宣教工作。包括但不限于：协助召开新闻发布会、在人流密集处设立实体广告牌、在互联网平台投放宣传广告、印制广告宣传手册（单页）等。</w:t>
      </w:r>
    </w:p>
    <w:p>
      <w:pPr>
        <w:pStyle w:val="61"/>
        <w:numPr>
          <w:ilvl w:val="0"/>
          <w:numId w:val="11"/>
        </w:numPr>
        <w:spacing w:line="360" w:lineRule="auto"/>
        <w:ind w:left="359" w:firstLine="480"/>
        <w:rPr>
          <w:rFonts w:ascii="宋体" w:hAnsi="宋体" w:eastAsia="宋体" w:cs="仿宋"/>
          <w:sz w:val="24"/>
          <w:szCs w:val="24"/>
        </w:rPr>
      </w:pPr>
      <w:r>
        <w:rPr>
          <w:rFonts w:ascii="宋体" w:hAnsi="宋体" w:eastAsia="宋体" w:cs="仿宋"/>
          <w:sz w:val="24"/>
          <w:szCs w:val="24"/>
        </w:rPr>
        <w:t>配合政府有关部门做好灾后的善后工作和矛盾调处工作，帮助受灾群众尽快恢复生活秩序。</w:t>
      </w:r>
    </w:p>
    <w:p>
      <w:pPr>
        <w:pStyle w:val="61"/>
        <w:numPr>
          <w:ilvl w:val="0"/>
          <w:numId w:val="11"/>
        </w:numPr>
        <w:spacing w:line="360" w:lineRule="auto"/>
        <w:ind w:left="359" w:firstLine="480"/>
        <w:rPr>
          <w:rFonts w:ascii="宋体" w:hAnsi="宋体" w:eastAsia="宋体" w:cs="仿宋"/>
          <w:sz w:val="24"/>
          <w:szCs w:val="24"/>
        </w:rPr>
      </w:pPr>
      <w:r>
        <w:rPr>
          <w:rFonts w:ascii="宋体" w:hAnsi="宋体" w:eastAsia="宋体" w:cs="仿宋"/>
          <w:sz w:val="24"/>
          <w:szCs w:val="24"/>
        </w:rPr>
        <w:t>投标人在投标文件中提交的服务承诺、理赔承诺、合理化建议等内容。</w:t>
      </w:r>
    </w:p>
    <w:p>
      <w:pPr>
        <w:pStyle w:val="61"/>
        <w:spacing w:line="360" w:lineRule="auto"/>
        <w:ind w:firstLine="708" w:firstLineChars="294"/>
        <w:rPr>
          <w:rFonts w:ascii="宋体" w:hAnsi="宋体" w:eastAsia="宋体" w:cs="仿宋"/>
          <w:b/>
          <w:bCs/>
          <w:sz w:val="24"/>
          <w:szCs w:val="24"/>
        </w:rPr>
      </w:pPr>
      <w:r>
        <w:rPr>
          <w:rFonts w:hint="eastAsia" w:ascii="宋体" w:hAnsi="宋体" w:eastAsia="宋体" w:cs="仿宋"/>
          <w:b/>
          <w:bCs/>
          <w:sz w:val="24"/>
          <w:szCs w:val="24"/>
        </w:rPr>
        <w:t>十一、</w:t>
      </w:r>
      <w:r>
        <w:rPr>
          <w:rFonts w:ascii="宋体" w:hAnsi="宋体" w:eastAsia="宋体" w:cs="仿宋"/>
          <w:b/>
          <w:bCs/>
          <w:sz w:val="24"/>
          <w:szCs w:val="24"/>
        </w:rPr>
        <w:t>期内服务</w:t>
      </w:r>
    </w:p>
    <w:p>
      <w:pPr>
        <w:ind w:firstLine="720" w:firstLineChars="300"/>
        <w:rPr>
          <w:rFonts w:hint="eastAsia" w:cs="宋体"/>
          <w:bCs/>
          <w:sz w:val="24"/>
        </w:rPr>
      </w:pPr>
    </w:p>
    <w:p>
      <w:pPr>
        <w:ind w:firstLine="720" w:firstLineChars="300"/>
        <w:rPr>
          <w:rFonts w:cs="宋体"/>
          <w:bCs/>
          <w:sz w:val="24"/>
        </w:rPr>
      </w:pPr>
      <w:r>
        <w:rPr>
          <w:rFonts w:hint="eastAsia" w:cs="宋体"/>
          <w:bCs/>
          <w:sz w:val="24"/>
        </w:rPr>
        <w:t>保险公司台州各县（市、区）服务小组名单及联系方式：</w:t>
      </w:r>
    </w:p>
    <w:tbl>
      <w:tblPr>
        <w:tblStyle w:val="21"/>
        <w:tblW w:w="86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905"/>
        <w:gridCol w:w="1950"/>
        <w:gridCol w:w="3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75" w:type="dxa"/>
            <w:gridSpan w:val="4"/>
            <w:vAlign w:val="center"/>
          </w:tcPr>
          <w:p>
            <w:pPr>
              <w:ind w:firstLine="420"/>
              <w:jc w:val="center"/>
              <w:rPr>
                <w:rFonts w:cs="宋体"/>
                <w:bCs/>
                <w:sz w:val="24"/>
              </w:rPr>
            </w:pPr>
            <w:r>
              <w:rPr>
                <w:rFonts w:hint="eastAsia" w:cs="宋体"/>
                <w:bCs/>
                <w:sz w:val="24"/>
              </w:rPr>
              <w:t>保险公司在县（市、区）服务小组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09" w:type="dxa"/>
            <w:vAlign w:val="center"/>
          </w:tcPr>
          <w:p>
            <w:pPr>
              <w:jc w:val="center"/>
              <w:rPr>
                <w:rFonts w:cs="宋体"/>
                <w:bCs/>
                <w:sz w:val="24"/>
              </w:rPr>
            </w:pPr>
            <w:r>
              <w:rPr>
                <w:rFonts w:hint="eastAsia" w:cs="宋体"/>
                <w:bCs/>
                <w:sz w:val="24"/>
              </w:rPr>
              <w:t>成员</w:t>
            </w:r>
          </w:p>
        </w:tc>
        <w:tc>
          <w:tcPr>
            <w:tcW w:w="1905" w:type="dxa"/>
            <w:vAlign w:val="center"/>
          </w:tcPr>
          <w:p>
            <w:pPr>
              <w:jc w:val="center"/>
              <w:rPr>
                <w:rFonts w:cs="宋体"/>
                <w:bCs/>
                <w:sz w:val="24"/>
              </w:rPr>
            </w:pPr>
            <w:r>
              <w:rPr>
                <w:rFonts w:hint="eastAsia" w:cs="宋体"/>
                <w:bCs/>
                <w:sz w:val="24"/>
              </w:rPr>
              <w:t>姓名</w:t>
            </w:r>
          </w:p>
        </w:tc>
        <w:tc>
          <w:tcPr>
            <w:tcW w:w="1950" w:type="dxa"/>
            <w:vAlign w:val="center"/>
          </w:tcPr>
          <w:p>
            <w:pPr>
              <w:jc w:val="center"/>
              <w:rPr>
                <w:rFonts w:cs="宋体"/>
                <w:bCs/>
                <w:sz w:val="24"/>
              </w:rPr>
            </w:pPr>
            <w:r>
              <w:rPr>
                <w:rFonts w:hint="eastAsia" w:cs="宋体"/>
                <w:bCs/>
                <w:sz w:val="24"/>
              </w:rPr>
              <w:t>电话（手机）</w:t>
            </w:r>
          </w:p>
        </w:tc>
        <w:tc>
          <w:tcPr>
            <w:tcW w:w="3511" w:type="dxa"/>
            <w:vAlign w:val="center"/>
          </w:tcPr>
          <w:p>
            <w:pPr>
              <w:jc w:val="center"/>
              <w:rPr>
                <w:rFonts w:cs="宋体"/>
                <w:bCs/>
                <w:sz w:val="24"/>
              </w:rPr>
            </w:pPr>
            <w:r>
              <w:rPr>
                <w:rFonts w:hint="eastAsia" w:cs="宋体"/>
                <w:bCs/>
                <w:sz w:val="24"/>
              </w:rPr>
              <w:t>在本服务小组内的职能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09" w:type="dxa"/>
            <w:vAlign w:val="center"/>
          </w:tcPr>
          <w:p>
            <w:pPr>
              <w:ind w:firstLine="420"/>
              <w:jc w:val="center"/>
              <w:rPr>
                <w:rFonts w:cs="宋体"/>
                <w:bCs/>
                <w:sz w:val="24"/>
              </w:rPr>
            </w:pPr>
          </w:p>
        </w:tc>
        <w:tc>
          <w:tcPr>
            <w:tcW w:w="1905" w:type="dxa"/>
            <w:vAlign w:val="center"/>
          </w:tcPr>
          <w:p>
            <w:pPr>
              <w:ind w:firstLine="420"/>
              <w:jc w:val="center"/>
              <w:rPr>
                <w:rFonts w:cs="宋体"/>
                <w:bCs/>
                <w:sz w:val="24"/>
              </w:rPr>
            </w:pPr>
          </w:p>
        </w:tc>
        <w:tc>
          <w:tcPr>
            <w:tcW w:w="1950" w:type="dxa"/>
            <w:vAlign w:val="center"/>
          </w:tcPr>
          <w:p>
            <w:pPr>
              <w:ind w:firstLine="420"/>
              <w:jc w:val="center"/>
              <w:rPr>
                <w:rFonts w:cs="宋体"/>
                <w:bCs/>
                <w:sz w:val="24"/>
                <w:lang w:val="zh-CN"/>
              </w:rPr>
            </w:pPr>
          </w:p>
        </w:tc>
        <w:tc>
          <w:tcPr>
            <w:tcW w:w="3511" w:type="dxa"/>
            <w:vAlign w:val="center"/>
          </w:tcPr>
          <w:p>
            <w:pPr>
              <w:ind w:firstLine="420"/>
              <w:jc w:val="center"/>
              <w:rPr>
                <w:rFonts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09" w:type="dxa"/>
            <w:vAlign w:val="center"/>
          </w:tcPr>
          <w:p>
            <w:pPr>
              <w:ind w:firstLine="420"/>
              <w:jc w:val="center"/>
              <w:rPr>
                <w:rFonts w:cs="宋体"/>
                <w:bCs/>
                <w:sz w:val="24"/>
              </w:rPr>
            </w:pPr>
          </w:p>
        </w:tc>
        <w:tc>
          <w:tcPr>
            <w:tcW w:w="1905" w:type="dxa"/>
            <w:vAlign w:val="center"/>
          </w:tcPr>
          <w:p>
            <w:pPr>
              <w:ind w:firstLine="420"/>
              <w:jc w:val="center"/>
              <w:rPr>
                <w:rFonts w:cs="宋体"/>
                <w:bCs/>
                <w:sz w:val="24"/>
              </w:rPr>
            </w:pPr>
          </w:p>
        </w:tc>
        <w:tc>
          <w:tcPr>
            <w:tcW w:w="1950" w:type="dxa"/>
            <w:vAlign w:val="center"/>
          </w:tcPr>
          <w:p>
            <w:pPr>
              <w:ind w:firstLine="420"/>
              <w:jc w:val="center"/>
              <w:rPr>
                <w:rFonts w:cs="宋体"/>
                <w:bCs/>
                <w:sz w:val="24"/>
              </w:rPr>
            </w:pPr>
          </w:p>
        </w:tc>
        <w:tc>
          <w:tcPr>
            <w:tcW w:w="3511" w:type="dxa"/>
            <w:vAlign w:val="center"/>
          </w:tcPr>
          <w:p>
            <w:pPr>
              <w:ind w:firstLine="420"/>
              <w:jc w:val="center"/>
              <w:rPr>
                <w:rFonts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09" w:type="dxa"/>
            <w:vAlign w:val="center"/>
          </w:tcPr>
          <w:p>
            <w:pPr>
              <w:ind w:firstLine="420"/>
              <w:jc w:val="center"/>
              <w:rPr>
                <w:rFonts w:cs="宋体"/>
                <w:bCs/>
                <w:sz w:val="24"/>
              </w:rPr>
            </w:pPr>
          </w:p>
        </w:tc>
        <w:tc>
          <w:tcPr>
            <w:tcW w:w="1905" w:type="dxa"/>
            <w:vAlign w:val="center"/>
          </w:tcPr>
          <w:p>
            <w:pPr>
              <w:ind w:firstLine="420"/>
              <w:jc w:val="center"/>
              <w:rPr>
                <w:rFonts w:cs="宋体"/>
                <w:bCs/>
                <w:sz w:val="24"/>
              </w:rPr>
            </w:pPr>
          </w:p>
        </w:tc>
        <w:tc>
          <w:tcPr>
            <w:tcW w:w="1950" w:type="dxa"/>
            <w:vAlign w:val="center"/>
          </w:tcPr>
          <w:p>
            <w:pPr>
              <w:ind w:firstLine="420"/>
              <w:jc w:val="center"/>
              <w:rPr>
                <w:rFonts w:cs="宋体"/>
                <w:bCs/>
                <w:sz w:val="24"/>
              </w:rPr>
            </w:pPr>
          </w:p>
        </w:tc>
        <w:tc>
          <w:tcPr>
            <w:tcW w:w="3511" w:type="dxa"/>
            <w:vAlign w:val="center"/>
          </w:tcPr>
          <w:p>
            <w:pPr>
              <w:ind w:firstLine="420"/>
              <w:jc w:val="center"/>
              <w:rPr>
                <w:rFonts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09" w:type="dxa"/>
            <w:vAlign w:val="center"/>
          </w:tcPr>
          <w:p>
            <w:pPr>
              <w:ind w:firstLine="420"/>
              <w:jc w:val="center"/>
              <w:rPr>
                <w:rFonts w:cs="宋体"/>
                <w:bCs/>
                <w:sz w:val="24"/>
              </w:rPr>
            </w:pPr>
          </w:p>
        </w:tc>
        <w:tc>
          <w:tcPr>
            <w:tcW w:w="1905" w:type="dxa"/>
            <w:vAlign w:val="center"/>
          </w:tcPr>
          <w:p>
            <w:pPr>
              <w:ind w:firstLine="420"/>
              <w:jc w:val="center"/>
              <w:rPr>
                <w:rFonts w:cs="宋体"/>
                <w:bCs/>
                <w:sz w:val="24"/>
              </w:rPr>
            </w:pPr>
          </w:p>
        </w:tc>
        <w:tc>
          <w:tcPr>
            <w:tcW w:w="1950" w:type="dxa"/>
            <w:vAlign w:val="center"/>
          </w:tcPr>
          <w:p>
            <w:pPr>
              <w:ind w:firstLine="420"/>
              <w:jc w:val="center"/>
              <w:rPr>
                <w:rFonts w:cs="宋体"/>
                <w:bCs/>
                <w:sz w:val="24"/>
              </w:rPr>
            </w:pPr>
          </w:p>
        </w:tc>
        <w:tc>
          <w:tcPr>
            <w:tcW w:w="3511" w:type="dxa"/>
            <w:vAlign w:val="center"/>
          </w:tcPr>
          <w:p>
            <w:pPr>
              <w:ind w:firstLine="420"/>
              <w:jc w:val="center"/>
              <w:rPr>
                <w:rFonts w:cs="宋体"/>
                <w:bCs/>
                <w:sz w:val="24"/>
              </w:rPr>
            </w:pPr>
          </w:p>
        </w:tc>
      </w:tr>
    </w:tbl>
    <w:p>
      <w:pPr>
        <w:spacing w:line="360" w:lineRule="auto"/>
        <w:ind w:firstLine="454"/>
        <w:rPr>
          <w:rFonts w:hint="eastAsia" w:cs="宋体"/>
          <w:b/>
          <w:sz w:val="24"/>
        </w:rPr>
      </w:pPr>
      <w:bookmarkStart w:id="36" w:name="_Toc8709"/>
    </w:p>
    <w:p>
      <w:pPr>
        <w:spacing w:line="360" w:lineRule="auto"/>
        <w:ind w:firstLine="691" w:firstLineChars="287"/>
        <w:rPr>
          <w:rFonts w:cs="宋体"/>
          <w:b/>
          <w:bCs/>
          <w:sz w:val="24"/>
        </w:rPr>
      </w:pPr>
      <w:r>
        <w:rPr>
          <w:rFonts w:hint="eastAsia" w:cs="宋体"/>
          <w:b/>
          <w:bCs/>
          <w:sz w:val="24"/>
        </w:rPr>
        <w:t>十二、司法管辖：</w:t>
      </w:r>
      <w:bookmarkEnd w:id="36"/>
    </w:p>
    <w:p>
      <w:pPr>
        <w:spacing w:line="360" w:lineRule="auto"/>
        <w:ind w:firstLine="660" w:firstLineChars="275"/>
        <w:rPr>
          <w:rFonts w:cs="宋体"/>
          <w:bCs/>
          <w:sz w:val="24"/>
        </w:rPr>
      </w:pPr>
      <w:r>
        <w:rPr>
          <w:rFonts w:hint="eastAsia" w:cs="宋体"/>
          <w:bCs/>
          <w:sz w:val="24"/>
        </w:rPr>
        <w:t>中华人民共和国司法管辖（除港、澳、台地区）</w:t>
      </w:r>
    </w:p>
    <w:p>
      <w:pPr>
        <w:spacing w:line="360" w:lineRule="auto"/>
        <w:ind w:firstLine="691" w:firstLineChars="287"/>
        <w:rPr>
          <w:rFonts w:cs="宋体"/>
          <w:b/>
          <w:bCs/>
          <w:sz w:val="24"/>
        </w:rPr>
      </w:pPr>
      <w:bookmarkStart w:id="37" w:name="_Toc3157"/>
      <w:r>
        <w:rPr>
          <w:rFonts w:hint="eastAsia" w:cs="宋体"/>
          <w:b/>
          <w:bCs/>
          <w:sz w:val="24"/>
        </w:rPr>
        <w:t>十三、争议处理：</w:t>
      </w:r>
      <w:bookmarkEnd w:id="37"/>
    </w:p>
    <w:p>
      <w:pPr>
        <w:spacing w:line="360" w:lineRule="auto"/>
        <w:ind w:firstLine="660" w:firstLineChars="275"/>
        <w:rPr>
          <w:rFonts w:cs="宋体"/>
          <w:bCs/>
          <w:sz w:val="24"/>
        </w:rPr>
      </w:pPr>
      <w:r>
        <w:rPr>
          <w:rFonts w:hint="eastAsia" w:cs="宋体"/>
          <w:bCs/>
          <w:sz w:val="24"/>
        </w:rPr>
        <w:t>各方当事人与保险合同有关的争议，首先友好协商解决，协商不成的，提交台州仲裁委员会仲裁解决。</w:t>
      </w:r>
    </w:p>
    <w:p>
      <w:pPr>
        <w:spacing w:line="360" w:lineRule="auto"/>
        <w:ind w:firstLine="810" w:firstLineChars="336"/>
        <w:rPr>
          <w:rFonts w:cs="宋体"/>
          <w:b/>
          <w:bCs/>
          <w:sz w:val="24"/>
        </w:rPr>
      </w:pPr>
      <w:bookmarkStart w:id="38" w:name="_Toc23601"/>
      <w:r>
        <w:rPr>
          <w:rFonts w:hint="eastAsia" w:cs="宋体"/>
          <w:b/>
          <w:bCs/>
          <w:sz w:val="24"/>
        </w:rPr>
        <w:t>十四、保密义务：</w:t>
      </w:r>
      <w:bookmarkEnd w:id="38"/>
    </w:p>
    <w:p>
      <w:pPr>
        <w:spacing w:line="360" w:lineRule="auto"/>
        <w:ind w:firstLine="420"/>
        <w:rPr>
          <w:rFonts w:cs="宋体"/>
          <w:bCs/>
          <w:sz w:val="24"/>
        </w:rPr>
      </w:pPr>
      <w:r>
        <w:rPr>
          <w:rFonts w:hint="eastAsia" w:cs="宋体"/>
          <w:bCs/>
          <w:sz w:val="24"/>
        </w:rPr>
        <w:t>保险各方因本合同签定提供的各项资料，以及因合同履行获得对方的各项资料，未经对方同意，不得向第三方公开或作为其他用途使用。</w:t>
      </w:r>
    </w:p>
    <w:p>
      <w:pPr>
        <w:spacing w:line="360" w:lineRule="auto"/>
        <w:ind w:firstLine="810" w:firstLineChars="336"/>
        <w:rPr>
          <w:rFonts w:cs="宋体"/>
          <w:b/>
          <w:bCs/>
          <w:sz w:val="24"/>
        </w:rPr>
      </w:pPr>
      <w:bookmarkStart w:id="39" w:name="_Toc1318"/>
      <w:r>
        <w:rPr>
          <w:rFonts w:hint="eastAsia" w:cs="宋体"/>
          <w:b/>
          <w:bCs/>
          <w:sz w:val="24"/>
        </w:rPr>
        <w:t>十五、合同份数：</w:t>
      </w:r>
      <w:bookmarkEnd w:id="39"/>
    </w:p>
    <w:p>
      <w:pPr>
        <w:spacing w:line="360" w:lineRule="auto"/>
        <w:ind w:firstLine="420"/>
        <w:rPr>
          <w:rFonts w:cs="宋体"/>
          <w:bCs/>
          <w:sz w:val="24"/>
        </w:rPr>
      </w:pPr>
      <w:r>
        <w:rPr>
          <w:rFonts w:hint="eastAsia" w:cs="宋体"/>
          <w:bCs/>
          <w:sz w:val="24"/>
        </w:rPr>
        <w:t>本合同一式份；甲方    份，乙方    份，监管机构备案  份。</w:t>
      </w:r>
    </w:p>
    <w:p>
      <w:pPr>
        <w:spacing w:line="360" w:lineRule="auto"/>
        <w:ind w:firstLine="826" w:firstLineChars="343"/>
        <w:rPr>
          <w:rFonts w:cs="宋体"/>
          <w:b/>
          <w:bCs/>
          <w:sz w:val="24"/>
        </w:rPr>
      </w:pPr>
      <w:bookmarkStart w:id="40" w:name="_Toc12761"/>
      <w:bookmarkStart w:id="41" w:name="_Toc14240"/>
      <w:r>
        <w:rPr>
          <w:rFonts w:hint="eastAsia" w:cs="宋体"/>
          <w:b/>
          <w:bCs/>
          <w:sz w:val="24"/>
        </w:rPr>
        <w:t>十六、合同附件：</w:t>
      </w:r>
      <w:bookmarkEnd w:id="40"/>
      <w:bookmarkEnd w:id="41"/>
    </w:p>
    <w:p>
      <w:pPr>
        <w:spacing w:line="360" w:lineRule="auto"/>
        <w:ind w:firstLine="420"/>
        <w:rPr>
          <w:sz w:val="24"/>
        </w:rPr>
      </w:pPr>
      <w:bookmarkStart w:id="42" w:name="_Toc8575"/>
      <w:r>
        <w:rPr>
          <w:rFonts w:hint="eastAsia"/>
          <w:sz w:val="24"/>
        </w:rPr>
        <w:t>附件一：保险责任相关概念说明</w:t>
      </w:r>
      <w:bookmarkEnd w:id="42"/>
    </w:p>
    <w:p>
      <w:pPr>
        <w:ind w:firstLine="420"/>
        <w:rPr>
          <w:rFonts w:cs="宋体"/>
          <w:bCs/>
          <w:sz w:val="24"/>
        </w:rPr>
      </w:pPr>
    </w:p>
    <w:p>
      <w:pPr>
        <w:ind w:firstLine="420"/>
        <w:rPr>
          <w:rFonts w:cs="宋体"/>
          <w:bCs/>
          <w:sz w:val="24"/>
        </w:rPr>
      </w:pPr>
    </w:p>
    <w:p>
      <w:pPr>
        <w:ind w:firstLine="420"/>
        <w:rPr>
          <w:rFonts w:cs="宋体"/>
          <w:bCs/>
          <w:sz w:val="24"/>
        </w:rPr>
      </w:pPr>
      <w:r>
        <w:rPr>
          <w:rFonts w:hint="eastAsia" w:cs="宋体"/>
          <w:bCs/>
          <w:sz w:val="24"/>
        </w:rPr>
        <w:t>甲方（投保人）： （盖章）                 乙方（保险人）：（盖章）</w:t>
      </w:r>
    </w:p>
    <w:p>
      <w:pPr>
        <w:ind w:firstLine="420"/>
        <w:rPr>
          <w:rFonts w:cs="宋体"/>
          <w:bCs/>
          <w:sz w:val="24"/>
        </w:rPr>
      </w:pPr>
      <w:r>
        <w:rPr>
          <w:rFonts w:hint="eastAsia" w:cs="宋体"/>
          <w:bCs/>
          <w:sz w:val="24"/>
        </w:rPr>
        <w:t xml:space="preserve">                                                       </w:t>
      </w:r>
    </w:p>
    <w:p>
      <w:pPr>
        <w:ind w:firstLine="420"/>
        <w:rPr>
          <w:rFonts w:cs="宋体"/>
          <w:bCs/>
          <w:sz w:val="24"/>
        </w:rPr>
      </w:pPr>
      <w:r>
        <w:rPr>
          <w:rFonts w:hint="eastAsia" w:cs="宋体"/>
          <w:bCs/>
          <w:sz w:val="24"/>
        </w:rPr>
        <w:t>负责人签名（或授权代表）                 负责人签名（或授权代表）</w:t>
      </w:r>
    </w:p>
    <w:p>
      <w:pPr>
        <w:ind w:firstLine="420"/>
        <w:rPr>
          <w:rFonts w:cs="宋体"/>
          <w:bCs/>
          <w:sz w:val="24"/>
        </w:rPr>
      </w:pPr>
    </w:p>
    <w:p>
      <w:pPr>
        <w:ind w:firstLine="420"/>
        <w:rPr>
          <w:rFonts w:cs="宋体"/>
          <w:bCs/>
          <w:sz w:val="24"/>
        </w:rPr>
      </w:pPr>
      <w:r>
        <w:rPr>
          <w:rFonts w:hint="eastAsia" w:cs="宋体"/>
          <w:bCs/>
          <w:sz w:val="24"/>
        </w:rPr>
        <w:t>年    月    日                              年    月    日</w:t>
      </w:r>
    </w:p>
    <w:p>
      <w:pPr>
        <w:ind w:firstLine="420"/>
        <w:rPr>
          <w:rFonts w:cs="宋体"/>
          <w:bCs/>
          <w:sz w:val="24"/>
        </w:rPr>
      </w:pPr>
    </w:p>
    <w:p>
      <w:pPr>
        <w:ind w:firstLine="420"/>
        <w:rPr>
          <w:rFonts w:cs="宋体"/>
          <w:bCs/>
          <w:sz w:val="24"/>
        </w:rPr>
      </w:pPr>
    </w:p>
    <w:p>
      <w:pPr>
        <w:ind w:firstLine="2520" w:firstLineChars="1050"/>
        <w:rPr>
          <w:sz w:val="24"/>
        </w:rPr>
      </w:pPr>
      <w:r>
        <w:rPr>
          <w:rFonts w:hint="eastAsia"/>
          <w:sz w:val="24"/>
        </w:rPr>
        <w:t>签订日期：   年   月   日</w:t>
      </w:r>
    </w:p>
    <w:p>
      <w:pPr>
        <w:ind w:firstLine="420"/>
        <w:rPr>
          <w:rFonts w:cs="宋体"/>
          <w:bCs/>
          <w:sz w:val="24"/>
        </w:rPr>
      </w:pPr>
    </w:p>
    <w:p>
      <w:pPr>
        <w:ind w:firstLine="420"/>
        <w:rPr>
          <w:rFonts w:cs="宋体"/>
          <w:bCs/>
          <w:sz w:val="24"/>
        </w:rPr>
      </w:pPr>
    </w:p>
    <w:p>
      <w:pPr>
        <w:ind w:firstLine="420"/>
        <w:rPr>
          <w:rFonts w:cs="宋体"/>
          <w:bCs/>
          <w:sz w:val="24"/>
        </w:rPr>
      </w:pPr>
    </w:p>
    <w:p>
      <w:pPr>
        <w:rPr>
          <w:sz w:val="24"/>
        </w:rPr>
      </w:pPr>
    </w:p>
    <w:p>
      <w:pPr>
        <w:rPr>
          <w:sz w:val="24"/>
        </w:rPr>
      </w:pPr>
    </w:p>
    <w:p>
      <w:pPr>
        <w:rPr>
          <w:rFonts w:hint="eastAsia"/>
          <w:sz w:val="24"/>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left"/>
        <w:rPr>
          <w:rFonts w:cs="宋体"/>
          <w:b/>
          <w:bCs/>
          <w:sz w:val="28"/>
          <w:szCs w:val="36"/>
        </w:rPr>
      </w:pPr>
      <w:r>
        <w:rPr>
          <w:rFonts w:hint="eastAsia" w:cs="宋体"/>
          <w:b/>
          <w:bCs/>
          <w:sz w:val="28"/>
          <w:szCs w:val="36"/>
        </w:rPr>
        <w:t>附件一</w:t>
      </w:r>
    </w:p>
    <w:p>
      <w:pPr>
        <w:spacing w:line="720" w:lineRule="auto"/>
        <w:jc w:val="center"/>
        <w:rPr>
          <w:rFonts w:cs="宋体"/>
          <w:b/>
          <w:bCs/>
          <w:sz w:val="32"/>
          <w:szCs w:val="40"/>
        </w:rPr>
      </w:pPr>
      <w:bookmarkStart w:id="43" w:name="_Toc27646"/>
      <w:r>
        <w:rPr>
          <w:rFonts w:hint="eastAsia" w:cs="宋体"/>
          <w:b/>
          <w:bCs/>
          <w:sz w:val="32"/>
          <w:szCs w:val="40"/>
        </w:rPr>
        <w:t>保险责任相关概念说明</w:t>
      </w:r>
      <w:bookmarkEnd w:id="43"/>
    </w:p>
    <w:p>
      <w:pPr>
        <w:pStyle w:val="61"/>
        <w:spacing w:line="360" w:lineRule="auto"/>
        <w:ind w:left="359" w:firstLine="480"/>
        <w:rPr>
          <w:rFonts w:ascii="宋体" w:hAnsi="宋体" w:eastAsia="宋体" w:cs="仿宋"/>
          <w:lang w:val="zh-TW" w:eastAsia="zh-TW"/>
        </w:rPr>
      </w:pPr>
      <w:r>
        <w:rPr>
          <w:rFonts w:ascii="宋体" w:hAnsi="宋体" w:eastAsia="宋体" w:cs="仿宋"/>
          <w:lang w:val="zh-TW" w:eastAsia="zh-TW"/>
        </w:rPr>
        <w:t>（一）“公共场所”是指人群经常聚集、供公众使用或提供公众服务的活动场所，是指提供公众进行工作、学习、经济、文化、社交、娱乐、体育、参观、医疗、卫生、休息、旅游和满足部分生活需求所使用的一切公用建筑物、场所及其设施的总称。具体包括但不限于如下场所：</w:t>
      </w:r>
    </w:p>
    <w:p>
      <w:pPr>
        <w:pStyle w:val="61"/>
        <w:spacing w:line="360" w:lineRule="auto"/>
        <w:ind w:left="359" w:firstLine="480"/>
        <w:rPr>
          <w:rFonts w:ascii="宋体" w:hAnsi="宋体" w:eastAsia="宋体" w:cs="仿宋"/>
          <w:lang w:val="zh-TW" w:eastAsia="zh-TW"/>
        </w:rPr>
      </w:pPr>
      <w:r>
        <w:rPr>
          <w:rFonts w:ascii="宋体" w:hAnsi="宋体" w:eastAsia="宋体" w:cs="仿宋"/>
          <w:lang w:val="zh-TW" w:eastAsia="zh-TW"/>
        </w:rPr>
        <w:t>1.住宿与交际场所，例如宾馆、酒店、招待所、客栈、民宿、咖啡馆、酒吧、茶座；</w:t>
      </w:r>
    </w:p>
    <w:p>
      <w:pPr>
        <w:pStyle w:val="61"/>
        <w:spacing w:line="360" w:lineRule="auto"/>
        <w:ind w:left="359" w:firstLine="480"/>
        <w:rPr>
          <w:rFonts w:ascii="宋体" w:hAnsi="宋体" w:eastAsia="宋体" w:cs="仿宋"/>
          <w:lang w:val="zh-TW" w:eastAsia="zh-TW"/>
        </w:rPr>
      </w:pPr>
      <w:r>
        <w:rPr>
          <w:rFonts w:ascii="宋体" w:hAnsi="宋体" w:eastAsia="宋体" w:cs="仿宋"/>
          <w:lang w:val="zh-TW" w:eastAsia="zh-TW"/>
        </w:rPr>
        <w:t>2.洗浴与美容场所，例如公共浴室、理发店、美容店、足浴店；</w:t>
      </w:r>
    </w:p>
    <w:p>
      <w:pPr>
        <w:pStyle w:val="61"/>
        <w:spacing w:line="360" w:lineRule="auto"/>
        <w:ind w:left="359" w:firstLine="480"/>
        <w:rPr>
          <w:rFonts w:ascii="宋体" w:hAnsi="宋体" w:eastAsia="宋体" w:cs="仿宋"/>
          <w:lang w:val="zh-TW" w:eastAsia="zh-TW"/>
        </w:rPr>
      </w:pPr>
      <w:r>
        <w:rPr>
          <w:rFonts w:ascii="宋体" w:hAnsi="宋体" w:eastAsia="宋体" w:cs="仿宋"/>
          <w:lang w:val="zh-TW" w:eastAsia="zh-TW"/>
        </w:rPr>
        <w:t>3.文化娱乐场所，例如影剧院、录像放映点、游艺厅（室）、音乐厅（茶座）、卡拉ok厅、曲艺厅、舞厅（场）、游艺室、游乐场、电子游戏室；</w:t>
      </w:r>
    </w:p>
    <w:p>
      <w:pPr>
        <w:pStyle w:val="61"/>
        <w:spacing w:line="360" w:lineRule="auto"/>
        <w:ind w:left="359" w:firstLine="480"/>
        <w:rPr>
          <w:rFonts w:ascii="宋体" w:hAnsi="宋体" w:eastAsia="宋体" w:cs="仿宋"/>
          <w:lang w:val="zh-TW" w:eastAsia="zh-TW"/>
        </w:rPr>
      </w:pPr>
      <w:r>
        <w:rPr>
          <w:rFonts w:ascii="宋体" w:hAnsi="宋体" w:eastAsia="宋体" w:cs="仿宋"/>
          <w:lang w:val="zh-TW" w:eastAsia="zh-TW"/>
        </w:rPr>
        <w:t>4.体育和游乐场所，例如体育场（馆）、游泳场（馆）、溜冰场、健身房、台球场（室）、保龄球场；</w:t>
      </w:r>
    </w:p>
    <w:p>
      <w:pPr>
        <w:pStyle w:val="61"/>
        <w:spacing w:line="360" w:lineRule="auto"/>
        <w:ind w:left="359" w:firstLine="480"/>
        <w:rPr>
          <w:rFonts w:ascii="宋体" w:hAnsi="宋体" w:eastAsia="宋体" w:cs="仿宋"/>
          <w:lang w:val="zh-TW" w:eastAsia="zh-TW"/>
        </w:rPr>
      </w:pPr>
      <w:r>
        <w:rPr>
          <w:rFonts w:ascii="宋体" w:hAnsi="宋体" w:eastAsia="宋体" w:cs="仿宋"/>
          <w:lang w:val="zh-TW" w:eastAsia="zh-TW"/>
        </w:rPr>
        <w:t>5.文化和交流场所，例如学校、图书馆、亲少年宫、展览馆、博物馆、美术馆；</w:t>
      </w:r>
    </w:p>
    <w:p>
      <w:pPr>
        <w:pStyle w:val="61"/>
        <w:spacing w:line="360" w:lineRule="auto"/>
        <w:ind w:left="359" w:firstLine="480"/>
        <w:rPr>
          <w:rFonts w:ascii="宋体" w:hAnsi="宋体" w:eastAsia="宋体" w:cs="仿宋"/>
          <w:lang w:val="zh-TW" w:eastAsia="zh-TW"/>
        </w:rPr>
      </w:pPr>
      <w:r>
        <w:rPr>
          <w:rFonts w:ascii="宋体" w:hAnsi="宋体" w:eastAsia="宋体" w:cs="仿宋"/>
          <w:lang w:val="zh-TW" w:eastAsia="zh-TW"/>
        </w:rPr>
        <w:t>6.公园、广场、风景游览区；</w:t>
      </w:r>
    </w:p>
    <w:p>
      <w:pPr>
        <w:pStyle w:val="61"/>
        <w:spacing w:line="360" w:lineRule="auto"/>
        <w:ind w:left="359" w:firstLine="480"/>
        <w:rPr>
          <w:rFonts w:ascii="宋体" w:hAnsi="宋体" w:eastAsia="宋体" w:cs="仿宋"/>
          <w:lang w:val="zh-TW" w:eastAsia="zh-TW"/>
        </w:rPr>
      </w:pPr>
      <w:r>
        <w:rPr>
          <w:rFonts w:ascii="宋体" w:hAnsi="宋体" w:eastAsia="宋体" w:cs="仿宋"/>
          <w:lang w:val="zh-TW" w:eastAsia="zh-TW"/>
        </w:rPr>
        <w:t>7.购物场所，例如商场（店）、书店、贸易市场；</w:t>
      </w:r>
    </w:p>
    <w:p>
      <w:pPr>
        <w:ind w:firstLine="848" w:firstLineChars="404"/>
        <w:rPr>
          <w:rFonts w:cs="仿宋"/>
          <w:szCs w:val="21"/>
          <w:lang w:val="zh-TW" w:eastAsia="zh-TW"/>
        </w:rPr>
      </w:pPr>
      <w:r>
        <w:rPr>
          <w:rFonts w:cs="仿宋"/>
          <w:szCs w:val="21"/>
          <w:lang w:val="zh-TW" w:eastAsia="zh-TW"/>
        </w:rPr>
        <w:t>8.就诊与交通场所，例如医院、诊所、车站、码头、渡口、民用机场、公共交通工具；</w:t>
      </w:r>
    </w:p>
    <w:p>
      <w:pPr>
        <w:pStyle w:val="61"/>
        <w:spacing w:line="360" w:lineRule="auto"/>
        <w:ind w:left="359" w:firstLine="480"/>
        <w:rPr>
          <w:rFonts w:ascii="宋体" w:hAnsi="宋体" w:eastAsia="宋体" w:cs="仿宋"/>
          <w:lang w:val="zh-TW" w:eastAsia="zh-TW"/>
        </w:rPr>
      </w:pPr>
      <w:r>
        <w:rPr>
          <w:rFonts w:ascii="宋体" w:hAnsi="宋体" w:eastAsia="宋体" w:cs="仿宋"/>
          <w:lang w:val="zh-TW" w:eastAsia="zh-TW"/>
        </w:rPr>
        <w:t>9.用于举办大型定货会、展览（销）会、物资交流会、灯会、庙会、体育比赛、文化演出的临时场所；</w:t>
      </w:r>
    </w:p>
    <w:p>
      <w:pPr>
        <w:ind w:firstLine="840" w:firstLineChars="400"/>
        <w:rPr>
          <w:rFonts w:cs="仿宋"/>
          <w:szCs w:val="21"/>
          <w:lang w:val="zh-TW" w:eastAsia="zh-TW"/>
        </w:rPr>
      </w:pPr>
      <w:r>
        <w:rPr>
          <w:rFonts w:hint="eastAsia" w:cs="仿宋"/>
          <w:szCs w:val="21"/>
        </w:rPr>
        <w:t>10.</w:t>
      </w:r>
      <w:r>
        <w:rPr>
          <w:rFonts w:cs="仿宋"/>
          <w:szCs w:val="21"/>
          <w:lang w:val="zh-TW" w:eastAsia="zh-TW"/>
        </w:rPr>
        <w:t>政府部门认可的其他公共场所；</w:t>
      </w:r>
    </w:p>
    <w:p>
      <w:pPr>
        <w:pStyle w:val="61"/>
        <w:spacing w:line="360" w:lineRule="auto"/>
        <w:ind w:left="359" w:firstLine="480"/>
        <w:rPr>
          <w:rFonts w:ascii="宋体" w:hAnsi="宋体" w:eastAsia="宋体" w:cs="仿宋"/>
          <w:lang w:val="zh-TW" w:eastAsia="zh-TW"/>
        </w:rPr>
      </w:pPr>
      <w:r>
        <w:rPr>
          <w:rFonts w:ascii="宋体" w:hAnsi="宋体" w:eastAsia="宋体" w:cs="仿宋"/>
          <w:lang w:val="zh-TW" w:eastAsia="zh-TW"/>
        </w:rPr>
        <w:t>（二）“重大恶性公共事件”是指突然发生，造成重大人员伤亡、财产损失和严重社会危害，危及公共安全的犯罪事件，经县级以上公安机关认定，或由政府部门及相关行业专家组成的事故认定委员会认定。</w:t>
      </w:r>
    </w:p>
    <w:p>
      <w:pPr>
        <w:pStyle w:val="61"/>
        <w:spacing w:line="360" w:lineRule="auto"/>
        <w:ind w:left="359" w:firstLine="480"/>
        <w:rPr>
          <w:rFonts w:ascii="宋体" w:hAnsi="宋体" w:eastAsia="宋体" w:cs="仿宋"/>
          <w:lang w:val="zh-TW" w:eastAsia="zh-TW"/>
        </w:rPr>
      </w:pPr>
      <w:r>
        <w:rPr>
          <w:rFonts w:ascii="宋体" w:hAnsi="宋体" w:eastAsia="宋体" w:cs="仿宋"/>
          <w:lang w:val="zh-TW" w:eastAsia="zh-TW"/>
        </w:rPr>
        <w:t>（三）“恐怖袭击”是指以制造社会恐慌、危害公共安全或者胁迫国家机关、国际组织为目的，采取暴力、破坏、恐吓等手段，造成或者意图造成人员伤亡、重大财产损失、公共设施破坏、社会秩序混乱等严重社会危害的行为。</w:t>
      </w:r>
    </w:p>
    <w:p>
      <w:pPr>
        <w:pStyle w:val="61"/>
        <w:spacing w:line="360" w:lineRule="auto"/>
        <w:ind w:left="359" w:firstLine="480"/>
        <w:rPr>
          <w:rFonts w:ascii="宋体" w:hAnsi="宋体" w:eastAsia="宋体" w:cs="仿宋"/>
          <w:lang w:val="zh-TW" w:eastAsia="zh-TW"/>
        </w:rPr>
      </w:pPr>
      <w:r>
        <w:rPr>
          <w:rFonts w:ascii="宋体" w:hAnsi="宋体" w:eastAsia="宋体" w:cs="仿宋"/>
          <w:lang w:val="zh-TW" w:eastAsia="zh-TW"/>
        </w:rPr>
        <w:t>（四）“政府公共设施和区域”是指政府为社会公众提供服务或供社会公众使用的各类公共建筑、设备和场所。具体包括但不限于如下场所：</w:t>
      </w:r>
    </w:p>
    <w:p>
      <w:pPr>
        <w:pStyle w:val="61"/>
        <w:spacing w:line="360" w:lineRule="auto"/>
        <w:ind w:left="359" w:firstLine="480"/>
        <w:rPr>
          <w:rFonts w:ascii="宋体" w:hAnsi="宋体" w:eastAsia="宋体" w:cs="仿宋"/>
          <w:lang w:val="zh-TW" w:eastAsia="zh-TW"/>
        </w:rPr>
      </w:pPr>
      <w:r>
        <w:rPr>
          <w:rFonts w:ascii="宋体" w:hAnsi="宋体" w:eastAsia="宋体" w:cs="仿宋"/>
          <w:lang w:val="zh-TW" w:eastAsia="zh-TW"/>
        </w:rPr>
        <w:t xml:space="preserve">  学校、医院、体育场（馆）、游泳场（馆）、公园、广场、风景区（免费）、图书馆、展览馆、博物馆、美术馆、青少年宫、车站、码头、渡口、民用机场及政府部门认可的其他公共设施和场所。</w:t>
      </w:r>
    </w:p>
    <w:p>
      <w:pPr>
        <w:pStyle w:val="61"/>
        <w:ind w:left="359" w:firstLine="480"/>
        <w:rPr>
          <w:rFonts w:ascii="宋体" w:hAnsi="宋体" w:eastAsia="宋体" w:cs="仿宋"/>
          <w:lang w:val="zh-TW" w:eastAsia="zh-TW"/>
        </w:rPr>
      </w:pPr>
      <w:r>
        <w:rPr>
          <w:rFonts w:ascii="宋体" w:hAnsi="宋体" w:eastAsia="宋体" w:cs="仿宋"/>
          <w:lang w:val="zh-TW" w:eastAsia="zh-TW"/>
        </w:rPr>
        <w:t>（五）“渡船”是指经政府相关部门批准，参与渡口航线营运的的各类客渡船。</w:t>
      </w:r>
    </w:p>
    <w:p>
      <w:pPr>
        <w:spacing w:line="360" w:lineRule="auto"/>
        <w:rPr>
          <w:rFonts w:asciiTheme="minorEastAsia" w:hAnsiTheme="minorEastAsia" w:eastAsiaTheme="minorEastAsia"/>
          <w:color w:val="FF0000"/>
          <w:sz w:val="24"/>
        </w:rPr>
      </w:pPr>
    </w:p>
    <w:p>
      <w:pPr>
        <w:pStyle w:val="27"/>
        <w:rPr>
          <w:rFonts w:asciiTheme="majorEastAsia" w:hAnsiTheme="majorEastAsia" w:eastAsiaTheme="majorEastAsia"/>
          <w:color w:val="00B0F0"/>
          <w:sz w:val="28"/>
          <w:szCs w:val="28"/>
        </w:rPr>
      </w:pPr>
    </w:p>
    <w:p>
      <w:pPr>
        <w:pStyle w:val="27"/>
        <w:rPr>
          <w:color w:val="auto"/>
        </w:rPr>
      </w:pP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numPr>
          <w:ilvl w:val="0"/>
          <w:numId w:val="5"/>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投标文件格式附件</w:t>
      </w:r>
    </w:p>
    <w:p>
      <w:pPr>
        <w:spacing w:line="360" w:lineRule="auto"/>
        <w:rPr>
          <w:rFonts w:asciiTheme="minorEastAsia" w:hAnsiTheme="minorEastAsia" w:eastAsiaTheme="minorEastAsia"/>
          <w:b/>
          <w:sz w:val="30"/>
          <w:szCs w:val="30"/>
        </w:rPr>
      </w:pP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312" w:beforeLines="100" w:line="360" w:lineRule="auto"/>
        <w:ind w:right="-108"/>
        <w:jc w:val="center"/>
        <w:rPr>
          <w:rFonts w:ascii="宋体" w:hAnsi="宋体"/>
          <w:sz w:val="36"/>
          <w:szCs w:val="36"/>
        </w:rPr>
      </w:pPr>
      <w:r>
        <w:rPr>
          <w:rFonts w:hint="eastAsia" w:ascii="宋体" w:hAnsi="宋体"/>
          <w:sz w:val="36"/>
          <w:szCs w:val="36"/>
        </w:rPr>
        <w:t>项目编号：（标段）</w:t>
      </w:r>
    </w:p>
    <w:p>
      <w:pPr>
        <w:autoSpaceDE w:val="0"/>
        <w:autoSpaceDN w:val="0"/>
        <w:adjustRightInd w:val="0"/>
        <w:spacing w:line="360" w:lineRule="auto"/>
        <w:jc w:val="center"/>
        <w:rPr>
          <w:rFonts w:ascii="宋体" w:hAnsi="宋体" w:cs="宋体"/>
          <w:sz w:val="84"/>
          <w:szCs w:val="84"/>
          <w:lang w:val="zh-CN"/>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
          <w:spacing w:val="40"/>
          <w:sz w:val="28"/>
          <w:szCs w:val="28"/>
        </w:rPr>
        <w:t>资格证明文件）</w:t>
      </w:r>
    </w:p>
    <w:p>
      <w:pPr>
        <w:spacing w:line="360" w:lineRule="auto"/>
        <w:ind w:right="532" w:firstLine="720" w:firstLineChars="200"/>
        <w:rPr>
          <w:rFonts w:ascii="宋体" w:hAnsi="宋体"/>
          <w:sz w:val="36"/>
          <w:szCs w:val="36"/>
        </w:rPr>
      </w:pPr>
      <w:r>
        <w:rPr>
          <w:rFonts w:hint="eastAsia" w:ascii="宋体" w:hAnsi="宋体"/>
          <w:sz w:val="36"/>
          <w:szCs w:val="36"/>
        </w:rPr>
        <w:t>投标人全称（</w:t>
      </w:r>
      <w:r>
        <w:rPr>
          <w:rFonts w:hint="eastAsia" w:ascii="宋体" w:hAnsi="宋体"/>
          <w:sz w:val="36"/>
          <w:szCs w:val="36"/>
          <w:lang w:eastAsia="zh-CN"/>
        </w:rPr>
        <w:t>电子印章</w:t>
      </w:r>
      <w:r>
        <w:rPr>
          <w:rFonts w:hint="eastAsia" w:ascii="宋体" w:hAnsi="宋体"/>
          <w:sz w:val="36"/>
          <w:szCs w:val="36"/>
        </w:rPr>
        <w:t>）：</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snapToGrid w:val="0"/>
        <w:spacing w:before="50" w:after="50" w:line="360" w:lineRule="auto"/>
        <w:rPr>
          <w:rFonts w:ascii="仿宋_GB2312" w:hAnsi="宋体" w:eastAsia="仿宋_GB2312"/>
          <w:b/>
          <w:sz w:val="36"/>
          <w:szCs w:val="36"/>
        </w:rPr>
      </w:pPr>
    </w:p>
    <w:p>
      <w:pPr>
        <w:snapToGrid w:val="0"/>
        <w:spacing w:before="50" w:after="50" w:line="360" w:lineRule="auto"/>
        <w:jc w:val="center"/>
        <w:rPr>
          <w:rFonts w:ascii="宋体" w:hAnsi="宋体"/>
          <w:b/>
          <w:bCs/>
          <w:sz w:val="36"/>
          <w:szCs w:val="36"/>
        </w:rPr>
      </w:pPr>
      <w:r>
        <w:rPr>
          <w:rFonts w:hint="eastAsia" w:ascii="宋体" w:hAnsi="宋体"/>
          <w:b/>
          <w:bCs/>
          <w:sz w:val="36"/>
          <w:szCs w:val="36"/>
        </w:rPr>
        <w:t>资格证明文件目录</w:t>
      </w:r>
    </w:p>
    <w:p>
      <w:pPr>
        <w:snapToGrid w:val="0"/>
        <w:spacing w:before="50" w:after="50" w:line="360" w:lineRule="auto"/>
        <w:jc w:val="center"/>
        <w:rPr>
          <w:rFonts w:ascii="仿宋_GB2312" w:hAnsi="宋体" w:eastAsia="仿宋_GB2312"/>
          <w:b/>
          <w:bCs/>
          <w:sz w:val="36"/>
          <w:szCs w:val="36"/>
        </w:rPr>
      </w:pPr>
    </w:p>
    <w:p>
      <w:pPr>
        <w:numPr>
          <w:ilvl w:val="0"/>
          <w:numId w:val="12"/>
        </w:numPr>
        <w:snapToGrid w:val="0"/>
        <w:spacing w:line="360" w:lineRule="auto"/>
        <w:ind w:firstLine="548" w:firstLineChars="196"/>
        <w:rPr>
          <w:rFonts w:ascii="宋体" w:hAnsi="宋体"/>
          <w:sz w:val="28"/>
          <w:szCs w:val="28"/>
        </w:rPr>
      </w:pPr>
      <w:r>
        <w:rPr>
          <w:rFonts w:hint="eastAsia" w:ascii="宋体" w:hAnsi="宋体"/>
          <w:sz w:val="28"/>
          <w:szCs w:val="28"/>
        </w:rPr>
        <w:t>声明书（附件</w:t>
      </w:r>
      <w:r>
        <w:rPr>
          <w:rFonts w:hint="eastAsia" w:ascii="宋体" w:hAnsi="宋体"/>
          <w:sz w:val="28"/>
          <w:szCs w:val="28"/>
          <w:lang w:val="en-US" w:eastAsia="zh-CN"/>
        </w:rPr>
        <w:t>1</w:t>
      </w:r>
      <w:r>
        <w:rPr>
          <w:rFonts w:hint="eastAsia" w:ascii="宋体" w:hAnsi="宋体"/>
          <w:sz w:val="28"/>
          <w:szCs w:val="28"/>
        </w:rPr>
        <w:t>）</w:t>
      </w:r>
    </w:p>
    <w:p>
      <w:pPr>
        <w:numPr>
          <w:ilvl w:val="0"/>
          <w:numId w:val="12"/>
        </w:numPr>
        <w:snapToGrid w:val="0"/>
        <w:spacing w:line="360" w:lineRule="auto"/>
        <w:ind w:firstLine="548" w:firstLineChars="196"/>
        <w:rPr>
          <w:rFonts w:ascii="宋体" w:hAnsi="宋体"/>
          <w:kern w:val="0"/>
          <w:sz w:val="28"/>
          <w:szCs w:val="28"/>
        </w:rPr>
      </w:pPr>
      <w:r>
        <w:rPr>
          <w:bCs/>
          <w:color w:val="000000"/>
          <w:sz w:val="28"/>
          <w:szCs w:val="28"/>
        </w:rPr>
        <w:t>授权</w:t>
      </w:r>
      <w:r>
        <w:rPr>
          <w:rFonts w:hint="eastAsia"/>
          <w:bCs/>
          <w:color w:val="000000"/>
          <w:sz w:val="28"/>
          <w:szCs w:val="28"/>
        </w:rPr>
        <w:t>委托</w:t>
      </w:r>
      <w:r>
        <w:rPr>
          <w:bCs/>
          <w:color w:val="000000"/>
          <w:sz w:val="28"/>
          <w:szCs w:val="28"/>
        </w:rPr>
        <w:t>书</w:t>
      </w:r>
      <w:r>
        <w:rPr>
          <w:rFonts w:hint="eastAsia" w:ascii="宋体" w:hAnsi="宋体"/>
          <w:bCs/>
          <w:sz w:val="28"/>
          <w:szCs w:val="28"/>
        </w:rPr>
        <w:t>（附件</w:t>
      </w:r>
      <w:r>
        <w:rPr>
          <w:rFonts w:hint="eastAsia" w:ascii="宋体" w:hAnsi="宋体"/>
          <w:bCs/>
          <w:sz w:val="28"/>
          <w:szCs w:val="28"/>
          <w:lang w:val="en-US" w:eastAsia="zh-CN"/>
        </w:rPr>
        <w:t>2</w:t>
      </w:r>
      <w:r>
        <w:rPr>
          <w:rFonts w:hint="eastAsia" w:ascii="宋体" w:hAnsi="宋体"/>
          <w:bCs/>
          <w:sz w:val="28"/>
          <w:szCs w:val="28"/>
        </w:rPr>
        <w:t>）</w:t>
      </w:r>
    </w:p>
    <w:p>
      <w:pPr>
        <w:numPr>
          <w:ilvl w:val="0"/>
          <w:numId w:val="12"/>
        </w:numPr>
        <w:snapToGrid w:val="0"/>
        <w:spacing w:line="360" w:lineRule="auto"/>
        <w:ind w:left="1050" w:leftChars="259" w:hanging="506" w:hangingChars="181"/>
        <w:rPr>
          <w:rFonts w:ascii="宋体" w:hAnsi="宋体"/>
          <w:kern w:val="0"/>
          <w:sz w:val="28"/>
          <w:szCs w:val="28"/>
        </w:rPr>
      </w:pPr>
      <w:r>
        <w:rPr>
          <w:sz w:val="28"/>
          <w:szCs w:val="28"/>
        </w:rPr>
        <w:t>法人或者其他组织的营业执照等证明文件，自然人的身份证明</w:t>
      </w:r>
    </w:p>
    <w:p>
      <w:pPr>
        <w:snapToGrid w:val="0"/>
        <w:spacing w:line="360" w:lineRule="auto"/>
        <w:ind w:firstLine="560" w:firstLineChars="200"/>
        <w:rPr>
          <w:rFonts w:ascii="宋体" w:hAnsi="宋体"/>
          <w:kern w:val="0"/>
          <w:sz w:val="28"/>
          <w:szCs w:val="28"/>
        </w:rPr>
      </w:pPr>
      <w:r>
        <w:rPr>
          <w:rFonts w:hint="eastAsia" w:ascii="宋体" w:hAnsi="宋体"/>
          <w:kern w:val="0"/>
          <w:sz w:val="28"/>
          <w:szCs w:val="28"/>
        </w:rPr>
        <w:t>4、</w:t>
      </w:r>
      <w:r>
        <w:rPr>
          <w:sz w:val="28"/>
          <w:szCs w:val="28"/>
        </w:rPr>
        <w:t>财务状况报告，依法缴纳税收和社会保障资金的相关材料</w:t>
      </w:r>
    </w:p>
    <w:p>
      <w:pPr>
        <w:snapToGrid w:val="0"/>
        <w:spacing w:line="360" w:lineRule="auto"/>
        <w:ind w:firstLine="548" w:firstLineChars="196"/>
        <w:rPr>
          <w:rFonts w:ascii="宋体" w:hAnsi="宋体"/>
          <w:kern w:val="0"/>
          <w:sz w:val="28"/>
          <w:szCs w:val="28"/>
        </w:rPr>
      </w:pPr>
      <w:r>
        <w:rPr>
          <w:rFonts w:hint="eastAsia" w:ascii="宋体" w:hAnsi="宋体"/>
          <w:sz w:val="28"/>
          <w:szCs w:val="28"/>
          <w:lang w:val="en-US" w:eastAsia="zh-CN"/>
        </w:rPr>
        <w:t>5</w:t>
      </w:r>
      <w:r>
        <w:rPr>
          <w:rFonts w:hint="eastAsia" w:ascii="宋体" w:hAnsi="宋体"/>
          <w:sz w:val="28"/>
          <w:szCs w:val="28"/>
        </w:rPr>
        <w:t>、</w:t>
      </w:r>
      <w:r>
        <w:rPr>
          <w:rFonts w:hint="eastAsia" w:ascii="宋体" w:hAnsi="宋体"/>
          <w:kern w:val="0"/>
          <w:sz w:val="28"/>
          <w:szCs w:val="28"/>
        </w:rPr>
        <w:t>本项目要求的特定资质证书</w:t>
      </w:r>
    </w:p>
    <w:p>
      <w:pPr>
        <w:spacing w:line="360" w:lineRule="auto"/>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pStyle w:val="20"/>
        <w:rPr>
          <w:rFonts w:ascii="宋体" w:hAnsi="宋体"/>
          <w:b/>
          <w:sz w:val="28"/>
        </w:rPr>
      </w:pPr>
    </w:p>
    <w:p>
      <w:pPr>
        <w:pStyle w:val="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pStyle w:val="20"/>
      </w:pPr>
    </w:p>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pPr>
        <w:keepNext w:val="0"/>
        <w:keepLines w:val="0"/>
        <w:pageBreakBefore w:val="0"/>
        <w:widowControl w:val="0"/>
        <w:kinsoku/>
        <w:wordWrap/>
        <w:overflowPunct/>
        <w:topLinePunct w:val="0"/>
        <w:autoSpaceDE/>
        <w:autoSpaceDN/>
        <w:bidi w:val="0"/>
        <w:adjustRightInd w:val="0"/>
        <w:snapToGrid w:val="0"/>
        <w:spacing w:line="312" w:lineRule="auto"/>
        <w:ind w:right="480"/>
        <w:jc w:val="center"/>
        <w:textAlignment w:val="auto"/>
        <w:rPr>
          <w:rFonts w:ascii="宋体" w:hAnsi="宋体"/>
          <w:b/>
          <w:kern w:val="0"/>
          <w:sz w:val="32"/>
          <w:szCs w:val="32"/>
          <w:lang w:val="zh-CN"/>
        </w:rPr>
      </w:pPr>
      <w:r>
        <w:rPr>
          <w:rFonts w:hint="eastAsia" w:ascii="宋体" w:hAnsi="宋体"/>
          <w:b/>
          <w:kern w:val="0"/>
          <w:sz w:val="32"/>
          <w:szCs w:val="32"/>
          <w:lang w:val="zh-CN"/>
        </w:rPr>
        <w:t>投标声明书</w:t>
      </w:r>
    </w:p>
    <w:p>
      <w:pPr>
        <w:keepNext w:val="0"/>
        <w:keepLines w:val="0"/>
        <w:pageBreakBefore w:val="0"/>
        <w:widowControl w:val="0"/>
        <w:kinsoku/>
        <w:wordWrap/>
        <w:overflowPunct/>
        <w:topLinePunct w:val="0"/>
        <w:autoSpaceDE/>
        <w:autoSpaceDN/>
        <w:bidi w:val="0"/>
        <w:snapToGrid w:val="0"/>
        <w:spacing w:before="156" w:beforeLines="50" w:after="50" w:line="312" w:lineRule="auto"/>
        <w:ind w:firstLine="480" w:firstLineChars="200"/>
        <w:textAlignment w:val="auto"/>
        <w:rPr>
          <w:rFonts w:ascii="宋体" w:hAnsi="宋体" w:cs="宋体"/>
          <w:kern w:val="0"/>
          <w:sz w:val="24"/>
        </w:rPr>
      </w:pPr>
      <w:r>
        <w:rPr>
          <w:rFonts w:hint="eastAsia" w:ascii="宋体" w:hAnsi="宋体" w:cstheme="minorBidi"/>
          <w:color w:val="FF66CC"/>
          <w:sz w:val="24"/>
          <w:u w:val="single"/>
        </w:rPr>
        <w:t>××</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lang w:eastAsia="zh-CN"/>
        </w:rPr>
        <w:t>采购</w:t>
      </w:r>
      <w:r>
        <w:rPr>
          <w:rFonts w:hint="eastAsia" w:ascii="宋体" w:hAnsi="宋体" w:cs="宋体"/>
          <w:kern w:val="0"/>
          <w:sz w:val="24"/>
        </w:rPr>
        <w:t>机构/采购代理机构名称）：</w:t>
      </w:r>
    </w:p>
    <w:p>
      <w:pPr>
        <w:keepNext w:val="0"/>
        <w:keepLines w:val="0"/>
        <w:pageBreakBefore w:val="0"/>
        <w:widowControl w:val="0"/>
        <w:kinsoku/>
        <w:wordWrap/>
        <w:overflowPunct/>
        <w:topLinePunct w:val="0"/>
        <w:autoSpaceDE/>
        <w:autoSpaceDN/>
        <w:bidi w:val="0"/>
        <w:snapToGrid w:val="0"/>
        <w:spacing w:before="156" w:beforeLines="50" w:after="50" w:line="312" w:lineRule="auto"/>
        <w:ind w:firstLine="480" w:firstLineChars="200"/>
        <w:textAlignment w:val="auto"/>
        <w:rPr>
          <w:rFonts w:ascii="宋体" w:hAnsi="宋体" w:cs="宋体"/>
          <w:kern w:val="0"/>
          <w:sz w:val="24"/>
        </w:rPr>
      </w:pPr>
      <w:r>
        <w:rPr>
          <w:rFonts w:hint="eastAsia" w:ascii="宋体" w:hAnsi="宋体" w:cs="宋体"/>
          <w:kern w:val="0"/>
          <w:sz w:val="24"/>
        </w:rPr>
        <w:t>（投标人名称）系中华人民共和国合法企业，经营地址。</w:t>
      </w:r>
    </w:p>
    <w:p>
      <w:pPr>
        <w:keepNext w:val="0"/>
        <w:keepLines w:val="0"/>
        <w:pageBreakBefore w:val="0"/>
        <w:widowControl w:val="0"/>
        <w:kinsoku/>
        <w:wordWrap/>
        <w:overflowPunct/>
        <w:topLinePunct w:val="0"/>
        <w:autoSpaceDE/>
        <w:autoSpaceDN/>
        <w:bidi w:val="0"/>
        <w:snapToGrid w:val="0"/>
        <w:spacing w:before="156" w:beforeLines="50" w:after="50" w:line="312" w:lineRule="auto"/>
        <w:ind w:firstLine="480" w:firstLineChars="200"/>
        <w:textAlignment w:val="auto"/>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keepNext w:val="0"/>
        <w:keepLines w:val="0"/>
        <w:pageBreakBefore w:val="0"/>
        <w:widowControl w:val="0"/>
        <w:numPr>
          <w:ilvl w:val="0"/>
          <w:numId w:val="13"/>
        </w:numPr>
        <w:kinsoku/>
        <w:wordWrap/>
        <w:overflowPunct/>
        <w:topLinePunct w:val="0"/>
        <w:autoSpaceDE/>
        <w:autoSpaceDN/>
        <w:bidi w:val="0"/>
        <w:snapToGrid w:val="0"/>
        <w:spacing w:before="156" w:beforeLines="50" w:after="50" w:line="312" w:lineRule="auto"/>
        <w:ind w:firstLine="480" w:firstLineChars="200"/>
        <w:textAlignment w:val="auto"/>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及其他不符合《中华人民共和国政府采购法》第二十二条规定的条件。【说明：供应商在截止投标时间近三年以来，如有上述所列情形，但限制期届满的，可按实陈述，并提供相应证明文件。】</w:t>
      </w:r>
    </w:p>
    <w:p>
      <w:pPr>
        <w:keepNext w:val="0"/>
        <w:keepLines w:val="0"/>
        <w:pageBreakBefore w:val="0"/>
        <w:widowControl w:val="0"/>
        <w:kinsoku/>
        <w:wordWrap/>
        <w:overflowPunct/>
        <w:topLinePunct w:val="0"/>
        <w:autoSpaceDE/>
        <w:autoSpaceDN/>
        <w:bidi w:val="0"/>
        <w:snapToGrid w:val="0"/>
        <w:spacing w:before="156" w:beforeLines="50" w:after="50" w:line="312" w:lineRule="auto"/>
        <w:ind w:firstLine="480" w:firstLineChars="200"/>
        <w:textAlignment w:val="auto"/>
        <w:rPr>
          <w:rFonts w:ascii="宋体" w:hAnsi="宋体" w:cs="宋体"/>
          <w:kern w:val="0"/>
          <w:sz w:val="24"/>
        </w:rPr>
      </w:pPr>
      <w:r>
        <w:rPr>
          <w:rFonts w:hint="eastAsia" w:ascii="宋体" w:hAnsi="宋体" w:cs="宋体"/>
          <w:kern w:val="0"/>
          <w:sz w:val="24"/>
        </w:rPr>
        <w:t>2、我公司</w:t>
      </w:r>
      <w:r>
        <w:rPr>
          <w:rFonts w:ascii="宋体" w:hAnsi="宋体" w:cs="宋体"/>
          <w:kern w:val="0"/>
          <w:sz w:val="24"/>
        </w:rPr>
        <w:t>在参与投标前已</w:t>
      </w:r>
      <w:r>
        <w:rPr>
          <w:rFonts w:hint="eastAsia" w:ascii="宋体" w:hAnsi="宋体" w:cs="宋体"/>
          <w:kern w:val="0"/>
          <w:sz w:val="24"/>
        </w:rPr>
        <w:t>详细审查</w:t>
      </w:r>
      <w:r>
        <w:rPr>
          <w:rFonts w:ascii="宋体" w:hAnsi="宋体" w:cs="宋体"/>
          <w:kern w:val="0"/>
          <w:sz w:val="24"/>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kern w:val="0"/>
          <w:sz w:val="24"/>
        </w:rPr>
        <w:t>利。</w:t>
      </w:r>
    </w:p>
    <w:p>
      <w:pPr>
        <w:keepNext w:val="0"/>
        <w:keepLines w:val="0"/>
        <w:pageBreakBefore w:val="0"/>
        <w:widowControl w:val="0"/>
        <w:numPr>
          <w:ilvl w:val="255"/>
          <w:numId w:val="0"/>
        </w:numPr>
        <w:kinsoku/>
        <w:wordWrap/>
        <w:overflowPunct/>
        <w:topLinePunct w:val="0"/>
        <w:autoSpaceDE/>
        <w:autoSpaceDN/>
        <w:bidi w:val="0"/>
        <w:snapToGrid w:val="0"/>
        <w:spacing w:before="156" w:beforeLines="50" w:after="50" w:line="312" w:lineRule="auto"/>
        <w:ind w:firstLine="480" w:firstLineChars="200"/>
        <w:textAlignment w:val="auto"/>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snapToGrid w:val="0"/>
        <w:spacing w:before="156" w:beforeLines="50" w:after="50" w:line="312" w:lineRule="auto"/>
        <w:ind w:firstLine="480" w:firstLineChars="200"/>
        <w:textAlignment w:val="auto"/>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snapToGrid w:val="0"/>
        <w:spacing w:before="156" w:beforeLines="50" w:after="50" w:line="312" w:lineRule="auto"/>
        <w:ind w:firstLine="480" w:firstLineChars="200"/>
        <w:textAlignment w:val="auto"/>
        <w:rPr>
          <w:rFonts w:ascii="仿宋_GB2312" w:hAnsi="仿宋_GB2312" w:eastAsia="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snapToGrid w:val="0"/>
        <w:spacing w:before="156" w:beforeLines="50" w:after="50" w:line="312" w:lineRule="auto"/>
        <w:ind w:firstLine="480" w:firstLineChars="200"/>
        <w:textAlignment w:val="auto"/>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val="0"/>
        <w:snapToGrid w:val="0"/>
        <w:spacing w:line="312" w:lineRule="auto"/>
        <w:ind w:firstLine="480"/>
        <w:textAlignment w:val="auto"/>
        <w:rPr>
          <w:rFonts w:ascii="宋体" w:hAnsi="宋体" w:cs="仿宋_GB2312"/>
          <w:kern w:val="0"/>
          <w:sz w:val="24"/>
        </w:rPr>
      </w:pPr>
    </w:p>
    <w:p>
      <w:pPr>
        <w:keepNext w:val="0"/>
        <w:keepLines w:val="0"/>
        <w:pageBreakBefore w:val="0"/>
        <w:widowControl w:val="0"/>
        <w:kinsoku/>
        <w:wordWrap/>
        <w:overflowPunct/>
        <w:topLinePunct w:val="0"/>
        <w:autoSpaceDE/>
        <w:autoSpaceDN/>
        <w:bidi w:val="0"/>
        <w:adjustRightInd w:val="0"/>
        <w:snapToGrid w:val="0"/>
        <w:spacing w:line="312" w:lineRule="auto"/>
        <w:ind w:firstLine="4680" w:firstLineChars="1950"/>
        <w:textAlignment w:val="auto"/>
        <w:rPr>
          <w:rFonts w:ascii="宋体" w:hAnsi="宋体" w:cs="仿宋_GB2312"/>
          <w:kern w:val="0"/>
          <w:sz w:val="24"/>
          <w:lang w:val="zh-CN"/>
        </w:rPr>
      </w:pPr>
      <w:r>
        <w:rPr>
          <w:rFonts w:hint="eastAsia" w:ascii="宋体" w:hAnsi="宋体" w:cs="仿宋_GB2312"/>
          <w:kern w:val="0"/>
          <w:sz w:val="24"/>
          <w:lang w:val="zh-CN"/>
        </w:rPr>
        <w:t xml:space="preserve">    投标人名称(电子印章)：</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p>
    <w:p>
      <w:pPr>
        <w:keepNext w:val="0"/>
        <w:keepLines w:val="0"/>
        <w:pageBreakBefore w:val="0"/>
        <w:widowControl w:val="0"/>
        <w:kinsoku/>
        <w:wordWrap/>
        <w:overflowPunct/>
        <w:topLinePunct w:val="0"/>
        <w:autoSpaceDE/>
        <w:autoSpaceDN/>
        <w:bidi w:val="0"/>
        <w:adjustRightInd w:val="0"/>
        <w:snapToGrid w:val="0"/>
        <w:spacing w:line="312" w:lineRule="auto"/>
        <w:ind w:right="480"/>
        <w:jc w:val="center"/>
        <w:textAlignment w:val="auto"/>
        <w:rPr>
          <w:rFonts w:ascii="宋体" w:hAnsi="宋体" w:cs="仿宋_GB2312"/>
          <w:kern w:val="0"/>
          <w:sz w:val="24"/>
          <w:lang w:val="zh-CN"/>
        </w:rPr>
      </w:pPr>
      <w:r>
        <w:rPr>
          <w:rFonts w:hint="eastAsia" w:ascii="宋体" w:hAnsi="宋体" w:cs="仿宋_GB2312"/>
          <w:kern w:val="0"/>
          <w:sz w:val="24"/>
          <w:lang w:val="zh-CN"/>
        </w:rPr>
        <w:t xml:space="preserve">                                  日期：</w:t>
      </w:r>
      <w:r>
        <w:rPr>
          <w:rFonts w:hint="eastAsia" w:ascii="宋体" w:hAnsi="宋体" w:cstheme="minorBidi"/>
          <w:color w:val="FF66CC"/>
          <w:sz w:val="24"/>
        </w:rPr>
        <w:t>××</w:t>
      </w:r>
      <w:r>
        <w:rPr>
          <w:rFonts w:hint="eastAsia" w:ascii="宋体" w:hAnsi="宋体" w:cs="仿宋_GB2312"/>
          <w:kern w:val="0"/>
          <w:sz w:val="24"/>
          <w:lang w:val="zh-CN"/>
        </w:rPr>
        <w:t xml:space="preserve">年 </w:t>
      </w:r>
      <w:r>
        <w:rPr>
          <w:rFonts w:hint="eastAsia" w:ascii="宋体" w:hAnsi="宋体" w:cstheme="minorBidi"/>
          <w:color w:val="FF66CC"/>
          <w:sz w:val="24"/>
        </w:rPr>
        <w:t>××</w:t>
      </w:r>
      <w:r>
        <w:rPr>
          <w:rFonts w:hint="eastAsia" w:ascii="宋体" w:hAnsi="宋体" w:cs="仿宋_GB2312"/>
          <w:kern w:val="0"/>
          <w:sz w:val="24"/>
          <w:lang w:val="zh-CN"/>
        </w:rPr>
        <w:t xml:space="preserve"> 月 </w:t>
      </w:r>
      <w:r>
        <w:rPr>
          <w:rFonts w:hint="eastAsia" w:ascii="宋体" w:hAnsi="宋体" w:cstheme="minorBidi"/>
          <w:color w:val="FF66CC"/>
          <w:sz w:val="24"/>
        </w:rPr>
        <w:t>××</w:t>
      </w:r>
      <w:r>
        <w:rPr>
          <w:rFonts w:hint="eastAsia" w:ascii="宋体" w:hAnsi="宋体" w:cs="仿宋_GB2312"/>
          <w:kern w:val="0"/>
          <w:sz w:val="24"/>
          <w:lang w:val="zh-CN"/>
        </w:rPr>
        <w:t xml:space="preserve"> 日</w:t>
      </w:r>
    </w:p>
    <w:p>
      <w:pPr>
        <w:adjustRightInd w:val="0"/>
        <w:snapToGrid w:val="0"/>
        <w:spacing w:line="360" w:lineRule="auto"/>
        <w:ind w:right="480"/>
        <w:rPr>
          <w:rFonts w:hint="eastAsia" w:ascii="宋体" w:eastAsia="宋体"/>
          <w:b/>
          <w:color w:val="FF0000"/>
          <w:sz w:val="30"/>
          <w:szCs w:val="30"/>
          <w:lang w:eastAsia="zh-CN"/>
        </w:rPr>
      </w:pPr>
      <w:r>
        <w:rPr>
          <w:rFonts w:hint="eastAsia" w:ascii="宋体" w:hAnsi="宋体"/>
          <w:b/>
          <w:sz w:val="28"/>
        </w:rPr>
        <w:t>附件</w:t>
      </w:r>
      <w:r>
        <w:rPr>
          <w:rFonts w:hint="eastAsia" w:ascii="宋体" w:hAnsi="宋体"/>
          <w:b/>
          <w:sz w:val="28"/>
          <w:lang w:val="en-US" w:eastAsia="zh-CN"/>
        </w:rPr>
        <w:t>2</w:t>
      </w:r>
    </w:p>
    <w:p>
      <w:pPr>
        <w:spacing w:line="360" w:lineRule="auto"/>
        <w:ind w:firstLine="321" w:firstLineChars="100"/>
        <w:jc w:val="center"/>
        <w:rPr>
          <w:rFonts w:hAnsi="宋体"/>
          <w:b/>
          <w:sz w:val="32"/>
          <w:szCs w:val="32"/>
          <w:u w:val="single"/>
        </w:rPr>
      </w:pPr>
      <w:r>
        <w:rPr>
          <w:b/>
          <w:color w:val="000000"/>
          <w:sz w:val="32"/>
          <w:szCs w:val="32"/>
        </w:rPr>
        <w:t>授权</w:t>
      </w:r>
      <w:r>
        <w:rPr>
          <w:rFonts w:hint="eastAsia"/>
          <w:b/>
          <w:color w:val="000000"/>
          <w:sz w:val="32"/>
          <w:szCs w:val="32"/>
        </w:rPr>
        <w:t>委托</w:t>
      </w:r>
      <w:r>
        <w:rPr>
          <w:b/>
          <w:color w:val="000000"/>
          <w:sz w:val="32"/>
          <w:szCs w:val="32"/>
        </w:rPr>
        <w:t>书</w:t>
      </w:r>
    </w:p>
    <w:p>
      <w:pPr>
        <w:snapToGrid w:val="0"/>
        <w:spacing w:before="156" w:beforeLines="50" w:after="50" w:line="360" w:lineRule="auto"/>
        <w:ind w:firstLine="480" w:firstLineChars="200"/>
        <w:rPr>
          <w:rFonts w:ascii="宋体" w:hAnsi="宋体" w:cs="宋体"/>
          <w:kern w:val="0"/>
          <w:sz w:val="24"/>
        </w:rPr>
      </w:pPr>
      <w:r>
        <w:rPr>
          <w:rFonts w:hint="eastAsia" w:ascii="宋体" w:hAnsi="宋体" w:cstheme="minorBidi"/>
          <w:color w:val="FF66CC"/>
          <w:sz w:val="24"/>
          <w:u w:val="single"/>
        </w:rPr>
        <w:t>××</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lang w:eastAsia="zh-CN"/>
        </w:rPr>
        <w:t>采购</w:t>
      </w:r>
      <w:r>
        <w:rPr>
          <w:rFonts w:hint="eastAsia" w:ascii="宋体" w:hAnsi="宋体" w:cs="宋体"/>
          <w:kern w:val="0"/>
          <w:sz w:val="24"/>
        </w:rPr>
        <w:t>机构/采购代理机构名称）：</w:t>
      </w:r>
    </w:p>
    <w:p>
      <w:pPr>
        <w:pStyle w:val="12"/>
        <w:spacing w:line="500" w:lineRule="exact"/>
        <w:ind w:left="240" w:hanging="240" w:hangingChars="100"/>
        <w:rPr>
          <w:rFonts w:hAnsi="宋体"/>
          <w:sz w:val="24"/>
        </w:rPr>
      </w:pPr>
      <w:r>
        <w:rPr>
          <w:rFonts w:hAnsi="宋体"/>
          <w:sz w:val="24"/>
        </w:rPr>
        <w:t xml:space="preserve">    </w:t>
      </w: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2"/>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2"/>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w:t>
      </w:r>
      <w:r>
        <w:rPr>
          <w:rFonts w:hint="eastAsia" w:ascii="宋体"/>
          <w:sz w:val="24"/>
          <w:lang w:eastAsia="zh-CN"/>
        </w:rPr>
        <w:t>电子印章</w:t>
      </w:r>
      <w:r>
        <w:rPr>
          <w:rFonts w:hint="eastAsia" w:ascii="宋体"/>
          <w:sz w:val="24"/>
        </w:rPr>
        <w:t>）：                              日期：</w:t>
      </w:r>
    </w:p>
    <w:p>
      <w:pPr>
        <w:spacing w:line="360" w:lineRule="auto"/>
        <w:rPr>
          <w:sz w:val="24"/>
        </w:rPr>
      </w:pPr>
    </w:p>
    <w:p>
      <w:pPr>
        <w:spacing w:line="360" w:lineRule="auto"/>
        <w:rPr>
          <w:b/>
          <w:sz w:val="24"/>
        </w:rPr>
      </w:pPr>
      <w:r>
        <w:rPr>
          <w:rFonts w:hint="eastAsia" w:ascii="宋体"/>
          <w:b/>
          <w:sz w:val="24"/>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napToGrid w:val="0"/>
        <w:spacing w:before="156" w:beforeLines="50" w:after="50" w:line="360" w:lineRule="auto"/>
        <w:jc w:val="both"/>
        <w:rPr>
          <w:rFonts w:ascii="仿宋_GB2312" w:hAnsi="宋体" w:eastAsia="仿宋_GB2312"/>
          <w:bCs/>
          <w:sz w:val="30"/>
          <w:szCs w:val="30"/>
        </w:rPr>
      </w:pP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312" w:beforeLines="100" w:line="360" w:lineRule="auto"/>
        <w:ind w:right="-108"/>
        <w:jc w:val="center"/>
        <w:rPr>
          <w:rFonts w:ascii="宋体" w:hAnsi="宋体"/>
          <w:sz w:val="36"/>
          <w:szCs w:val="36"/>
        </w:rPr>
      </w:pPr>
      <w:r>
        <w:rPr>
          <w:rFonts w:hint="eastAsia" w:ascii="宋体" w:hAnsi="宋体"/>
          <w:sz w:val="36"/>
          <w:szCs w:val="36"/>
        </w:rPr>
        <w:t>项目编号：（标段）</w:t>
      </w:r>
    </w:p>
    <w:p>
      <w:pPr>
        <w:autoSpaceDE w:val="0"/>
        <w:autoSpaceDN w:val="0"/>
        <w:adjustRightInd w:val="0"/>
        <w:spacing w:line="360" w:lineRule="auto"/>
        <w:jc w:val="center"/>
        <w:rPr>
          <w:rFonts w:ascii="宋体" w:hAnsi="宋体" w:cs="宋体"/>
          <w:sz w:val="84"/>
          <w:szCs w:val="84"/>
          <w:lang w:val="zh-CN"/>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color w:val="000000" w:themeColor="text1"/>
          <w:sz w:val="28"/>
          <w:szCs w:val="28"/>
          <w:lang w:val="zh-CN"/>
          <w14:textFill>
            <w14:solidFill>
              <w14:schemeClr w14:val="tx1"/>
            </w14:solidFill>
          </w14:textFill>
        </w:rPr>
        <w:t>（</w:t>
      </w:r>
      <w:r>
        <w:rPr>
          <w:rFonts w:hint="eastAsia" w:ascii="宋体" w:hAnsi="宋体"/>
          <w:bCs/>
          <w:color w:val="000000" w:themeColor="text1"/>
          <w:sz w:val="24"/>
          <w:lang w:val="zh-CN"/>
          <w14:textFill>
            <w14:solidFill>
              <w14:schemeClr w14:val="tx1"/>
            </w14:solidFill>
          </w14:textFill>
        </w:rPr>
        <w:t>商务与技术文件</w:t>
      </w:r>
      <w:r>
        <w:rPr>
          <w:rFonts w:hint="eastAsia" w:ascii="宋体" w:hAnsi="宋体"/>
          <w:b/>
          <w:spacing w:val="40"/>
          <w:sz w:val="28"/>
          <w:szCs w:val="28"/>
        </w:rPr>
        <w:t>）</w:t>
      </w:r>
    </w:p>
    <w:p>
      <w:pPr>
        <w:spacing w:line="360" w:lineRule="auto"/>
        <w:ind w:right="532" w:firstLine="720" w:firstLineChars="200"/>
        <w:rPr>
          <w:rFonts w:ascii="宋体" w:hAnsi="宋体"/>
          <w:sz w:val="36"/>
          <w:szCs w:val="36"/>
        </w:rPr>
      </w:pPr>
      <w:r>
        <w:rPr>
          <w:rFonts w:hint="eastAsia" w:ascii="宋体" w:hAnsi="宋体"/>
          <w:sz w:val="36"/>
          <w:szCs w:val="36"/>
        </w:rPr>
        <w:t>投标人全称（</w:t>
      </w:r>
      <w:r>
        <w:rPr>
          <w:rFonts w:hint="eastAsia" w:ascii="宋体" w:hAnsi="宋体"/>
          <w:sz w:val="36"/>
          <w:szCs w:val="36"/>
          <w:lang w:eastAsia="zh-CN"/>
        </w:rPr>
        <w:t>电子印章</w:t>
      </w:r>
      <w:r>
        <w:rPr>
          <w:rFonts w:hint="eastAsia" w:ascii="宋体" w:hAnsi="宋体"/>
          <w:sz w:val="36"/>
          <w:szCs w:val="36"/>
        </w:rPr>
        <w:t>）：</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pacing w:line="360" w:lineRule="auto"/>
        <w:ind w:right="532" w:firstLine="720" w:firstLineChars="200"/>
        <w:rPr>
          <w:rFonts w:ascii="宋体" w:hAnsi="宋体"/>
          <w:sz w:val="36"/>
          <w:szCs w:val="36"/>
        </w:rPr>
      </w:pPr>
    </w:p>
    <w:p>
      <w:pPr>
        <w:pStyle w:val="20"/>
      </w:pPr>
    </w:p>
    <w:p>
      <w:pPr>
        <w:snapToGrid w:val="0"/>
        <w:spacing w:before="50" w:after="50" w:line="360" w:lineRule="auto"/>
        <w:rPr>
          <w:rFonts w:ascii="仿宋_GB2312" w:hAnsi="宋体" w:eastAsia="仿宋_GB2312"/>
          <w:b/>
          <w:sz w:val="36"/>
          <w:szCs w:val="36"/>
        </w:rPr>
      </w:pPr>
    </w:p>
    <w:p>
      <w:pPr>
        <w:snapToGrid w:val="0"/>
        <w:spacing w:before="50" w:after="50" w:line="360" w:lineRule="auto"/>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lang w:val="zh-CN"/>
          <w14:textFill>
            <w14:solidFill>
              <w14:schemeClr w14:val="tx1"/>
            </w14:solidFill>
          </w14:textFill>
        </w:rPr>
        <w:t>商务与技术文件</w:t>
      </w:r>
      <w:r>
        <w:rPr>
          <w:rFonts w:hint="eastAsia" w:ascii="宋体" w:hAnsi="宋体"/>
          <w:b/>
          <w:bCs/>
          <w:color w:val="000000" w:themeColor="text1"/>
          <w:sz w:val="32"/>
          <w:szCs w:val="32"/>
          <w14:textFill>
            <w14:solidFill>
              <w14:schemeClr w14:val="tx1"/>
            </w14:solidFill>
          </w14:textFill>
        </w:rPr>
        <w:t>目录</w:t>
      </w:r>
    </w:p>
    <w:p>
      <w:pPr>
        <w:snapToGrid w:val="0"/>
        <w:spacing w:line="360" w:lineRule="auto"/>
        <w:rPr>
          <w:rFonts w:ascii="宋体" w:hAnsi="宋体"/>
          <w:sz w:val="24"/>
        </w:rPr>
      </w:pPr>
    </w:p>
    <w:p>
      <w:pPr>
        <w:snapToGrid w:val="0"/>
        <w:spacing w:line="360" w:lineRule="auto"/>
        <w:ind w:firstLine="560" w:firstLineChars="200"/>
        <w:rPr>
          <w:rFonts w:ascii="宋体" w:hAnsi="宋体"/>
          <w:sz w:val="28"/>
          <w:szCs w:val="28"/>
        </w:rPr>
      </w:pPr>
      <w:r>
        <w:rPr>
          <w:rFonts w:hint="eastAsia" w:ascii="宋体" w:hAnsi="宋体"/>
          <w:sz w:val="28"/>
          <w:szCs w:val="28"/>
        </w:rPr>
        <w:t>1、</w:t>
      </w:r>
      <w:r>
        <w:rPr>
          <w:rFonts w:hint="eastAsia" w:ascii="宋体" w:hAnsi="宋体" w:cs="宋体"/>
          <w:sz w:val="28"/>
          <w:szCs w:val="28"/>
        </w:rPr>
        <w:t>投标人情况介绍</w:t>
      </w:r>
      <w:r>
        <w:rPr>
          <w:rFonts w:hint="eastAsia" w:ascii="宋体" w:hAnsi="宋体"/>
          <w:sz w:val="28"/>
          <w:szCs w:val="28"/>
        </w:rPr>
        <w:t>（附件</w:t>
      </w:r>
      <w:r>
        <w:rPr>
          <w:rFonts w:hint="eastAsia" w:ascii="宋体" w:hAnsi="宋体"/>
          <w:sz w:val="28"/>
          <w:szCs w:val="28"/>
          <w:lang w:val="en-US" w:eastAsia="zh-CN"/>
        </w:rPr>
        <w:t>3</w:t>
      </w:r>
      <w:r>
        <w:rPr>
          <w:rFonts w:hint="eastAsia" w:ascii="宋体" w:hAnsi="宋体"/>
          <w:sz w:val="28"/>
          <w:szCs w:val="28"/>
        </w:rPr>
        <w:t>）；</w:t>
      </w:r>
    </w:p>
    <w:p>
      <w:pPr>
        <w:snapToGrid w:val="0"/>
        <w:spacing w:line="360" w:lineRule="auto"/>
        <w:ind w:firstLine="560" w:firstLineChars="200"/>
        <w:rPr>
          <w:rFonts w:ascii="宋体" w:hAnsi="宋体"/>
          <w:sz w:val="28"/>
          <w:szCs w:val="28"/>
        </w:rPr>
      </w:pPr>
      <w:r>
        <w:rPr>
          <w:rFonts w:hint="eastAsia" w:ascii="宋体" w:hAnsi="宋体"/>
          <w:sz w:val="28"/>
          <w:szCs w:val="28"/>
        </w:rPr>
        <w:t>2、</w:t>
      </w:r>
      <w:r>
        <w:rPr>
          <w:rFonts w:hint="eastAsia" w:ascii="宋体" w:hAnsi="宋体" w:cs="宋体"/>
          <w:color w:val="000000" w:themeColor="text1"/>
          <w:sz w:val="28"/>
          <w:szCs w:val="28"/>
          <w14:textFill>
            <w14:solidFill>
              <w14:schemeClr w14:val="tx1"/>
            </w14:solidFill>
          </w14:textFill>
        </w:rPr>
        <w:t>招标需求响应承诺函</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附件4</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sz w:val="28"/>
          <w:szCs w:val="28"/>
        </w:rPr>
        <w:t>；</w:t>
      </w:r>
    </w:p>
    <w:p>
      <w:pPr>
        <w:snapToGrid w:val="0"/>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sz w:val="28"/>
          <w:szCs w:val="28"/>
        </w:rPr>
        <w:t>3、</w:t>
      </w:r>
      <w:r>
        <w:rPr>
          <w:rFonts w:hint="eastAsia" w:ascii="宋体" w:hAnsi="宋体" w:cs="宋体"/>
          <w:color w:val="000000" w:themeColor="text1"/>
          <w:sz w:val="28"/>
          <w:szCs w:val="28"/>
          <w14:textFill>
            <w14:solidFill>
              <w14:schemeClr w14:val="tx1"/>
            </w14:solidFill>
          </w14:textFill>
        </w:rPr>
        <w:t>项目</w:t>
      </w:r>
      <w:r>
        <w:rPr>
          <w:rFonts w:hint="eastAsia" w:ascii="宋体" w:hAnsi="宋体" w:cs="宋体"/>
          <w:color w:val="000000" w:themeColor="text1"/>
          <w:sz w:val="28"/>
          <w:szCs w:val="28"/>
          <w:lang w:val="en-US" w:eastAsia="zh-CN"/>
          <w14:textFill>
            <w14:solidFill>
              <w14:schemeClr w14:val="tx1"/>
            </w14:solidFill>
          </w14:textFill>
        </w:rPr>
        <w:t>服务</w:t>
      </w:r>
      <w:r>
        <w:rPr>
          <w:rFonts w:hint="eastAsia" w:ascii="宋体" w:hAnsi="宋体" w:cs="宋体"/>
          <w:color w:val="000000" w:themeColor="text1"/>
          <w:sz w:val="28"/>
          <w:szCs w:val="28"/>
          <w14:textFill>
            <w14:solidFill>
              <w14:schemeClr w14:val="tx1"/>
            </w14:solidFill>
          </w14:textFill>
        </w:rPr>
        <w:t>人员一览表(附件</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lang w:eastAsia="zh-CN"/>
          <w14:textFill>
            <w14:solidFill>
              <w14:schemeClr w14:val="tx1"/>
            </w14:solidFill>
          </w14:textFill>
        </w:rPr>
        <w:t>）；</w:t>
      </w:r>
    </w:p>
    <w:p>
      <w:pPr>
        <w:snapToGrid w:val="0"/>
        <w:spacing w:line="360" w:lineRule="auto"/>
        <w:ind w:firstLine="560" w:firstLineChars="200"/>
        <w:rPr>
          <w:rFonts w:ascii="宋体" w:hAnsi="宋体"/>
          <w:sz w:val="28"/>
          <w:szCs w:val="28"/>
        </w:rPr>
      </w:pPr>
      <w:r>
        <w:rPr>
          <w:rFonts w:hint="eastAsia" w:ascii="宋体" w:hAnsi="宋体" w:cs="宋体"/>
          <w:color w:val="000000" w:themeColor="text1"/>
          <w:sz w:val="28"/>
          <w:szCs w:val="28"/>
          <w:lang w:val="en-US" w:eastAsia="zh-CN"/>
          <w14:textFill>
            <w14:solidFill>
              <w14:schemeClr w14:val="tx1"/>
            </w14:solidFill>
          </w14:textFill>
        </w:rPr>
        <w:t>4、服务网点（</w:t>
      </w:r>
      <w:r>
        <w:rPr>
          <w:rFonts w:hint="eastAsia" w:ascii="宋体" w:hAnsi="宋体" w:cs="宋体"/>
          <w:color w:val="000000" w:themeColor="text1"/>
          <w:sz w:val="28"/>
          <w:szCs w:val="28"/>
          <w14:textFill>
            <w14:solidFill>
              <w14:schemeClr w14:val="tx1"/>
            </w14:solidFill>
          </w14:textFill>
        </w:rPr>
        <w:t>附件</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w:t>
      </w:r>
      <w:r>
        <w:rPr>
          <w:rFonts w:ascii="宋体" w:hAnsi="宋体"/>
          <w:sz w:val="28"/>
          <w:szCs w:val="28"/>
        </w:rPr>
        <w:t>；</w:t>
      </w:r>
    </w:p>
    <w:p>
      <w:pPr>
        <w:snapToGrid w:val="0"/>
        <w:spacing w:line="360" w:lineRule="auto"/>
        <w:ind w:firstLine="560" w:firstLineChars="200"/>
        <w:rPr>
          <w:rFonts w:hint="eastAsia" w:ascii="宋体" w:hAnsi="宋体" w:cs="宋体"/>
          <w:color w:val="000000" w:themeColor="text1"/>
          <w:sz w:val="28"/>
          <w:szCs w:val="28"/>
          <w:lang w:val="en-US" w:eastAsia="zh-CN"/>
          <w14:textFill>
            <w14:solidFill>
              <w14:schemeClr w14:val="tx1"/>
            </w14:solidFill>
          </w14:textFill>
        </w:rPr>
      </w:pPr>
      <w:bookmarkStart w:id="44" w:name="_Toc1573"/>
      <w:r>
        <w:rPr>
          <w:rFonts w:hint="eastAsia" w:ascii="宋体" w:hAnsi="宋体" w:cs="宋体"/>
          <w:color w:val="000000" w:themeColor="text1"/>
          <w:sz w:val="28"/>
          <w:szCs w:val="28"/>
          <w:lang w:val="en-US" w:eastAsia="zh-CN"/>
          <w14:textFill>
            <w14:solidFill>
              <w14:schemeClr w14:val="tx1"/>
            </w14:solidFill>
          </w14:textFill>
        </w:rPr>
        <w:t>5、优惠条件汇总表（附件7）；</w:t>
      </w:r>
      <w:bookmarkEnd w:id="44"/>
    </w:p>
    <w:p>
      <w:pPr>
        <w:snapToGrid w:val="0"/>
        <w:spacing w:line="360" w:lineRule="auto"/>
        <w:ind w:firstLine="560" w:firstLineChars="200"/>
        <w:rPr>
          <w:rFonts w:hint="eastAsia" w:ascii="宋体" w:hAnsi="宋体" w:cs="宋体"/>
          <w:color w:val="000000" w:themeColor="text1"/>
          <w:sz w:val="28"/>
          <w:szCs w:val="28"/>
          <w:lang w:val="en-US" w:eastAsia="zh-CN"/>
          <w14:textFill>
            <w14:solidFill>
              <w14:schemeClr w14:val="tx1"/>
            </w14:solidFill>
          </w14:textFill>
        </w:rPr>
      </w:pPr>
      <w:bookmarkStart w:id="45" w:name="_Toc8624"/>
      <w:r>
        <w:rPr>
          <w:rFonts w:hint="eastAsia" w:ascii="宋体" w:hAnsi="宋体" w:cs="宋体"/>
          <w:color w:val="000000" w:themeColor="text1"/>
          <w:sz w:val="28"/>
          <w:szCs w:val="28"/>
          <w:lang w:val="en-US" w:eastAsia="zh-CN"/>
          <w14:textFill>
            <w14:solidFill>
              <w14:schemeClr w14:val="tx1"/>
            </w14:solidFill>
          </w14:textFill>
        </w:rPr>
        <w:t>6、</w:t>
      </w:r>
      <w:bookmarkEnd w:id="45"/>
      <w:r>
        <w:rPr>
          <w:rFonts w:hint="eastAsia" w:ascii="宋体" w:hAnsi="宋体" w:cs="宋体"/>
          <w:color w:val="000000" w:themeColor="text1"/>
          <w:sz w:val="28"/>
          <w:szCs w:val="28"/>
          <w:lang w:val="en-US" w:eastAsia="zh-CN"/>
          <w14:textFill>
            <w14:solidFill>
              <w14:schemeClr w14:val="tx1"/>
            </w14:solidFill>
          </w14:textFill>
        </w:rPr>
        <w:t>赔款支付方式承诺函（附件8）；</w:t>
      </w:r>
    </w:p>
    <w:p>
      <w:pPr>
        <w:snapToGrid w:val="0"/>
        <w:spacing w:line="36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7、服务方案；</w:t>
      </w:r>
    </w:p>
    <w:p>
      <w:pPr>
        <w:snapToGrid w:val="0"/>
        <w:spacing w:line="360" w:lineRule="auto"/>
        <w:ind w:firstLine="560" w:firstLineChars="200"/>
        <w:rPr>
          <w:rFonts w:ascii="宋体" w:hAnsi="宋体"/>
          <w:sz w:val="28"/>
          <w:szCs w:val="28"/>
        </w:rPr>
      </w:pPr>
      <w:r>
        <w:rPr>
          <w:rFonts w:hint="eastAsia" w:ascii="宋体" w:hAnsi="宋体"/>
          <w:sz w:val="28"/>
          <w:szCs w:val="28"/>
          <w:lang w:val="en-US" w:eastAsia="zh-CN"/>
        </w:rPr>
        <w:t>8、创新措施；</w:t>
      </w:r>
      <w:r>
        <w:rPr>
          <w:rFonts w:ascii="宋体" w:hAnsi="宋体"/>
          <w:sz w:val="28"/>
          <w:szCs w:val="28"/>
        </w:rPr>
        <w:t xml:space="preserve"> </w:t>
      </w:r>
    </w:p>
    <w:p>
      <w:pPr>
        <w:snapToGrid w:val="0"/>
        <w:spacing w:line="360" w:lineRule="auto"/>
        <w:ind w:firstLine="548" w:firstLineChars="196"/>
        <w:rPr>
          <w:rFonts w:hint="eastAsia" w:ascii="宋体" w:hAnsi="宋体" w:eastAsia="宋体"/>
          <w:kern w:val="0"/>
          <w:sz w:val="28"/>
          <w:szCs w:val="28"/>
          <w:lang w:eastAsia="zh-CN"/>
        </w:rPr>
      </w:pPr>
      <w:r>
        <w:rPr>
          <w:rFonts w:hint="eastAsia" w:ascii="宋体" w:hAnsi="宋体"/>
          <w:kern w:val="0"/>
          <w:sz w:val="28"/>
          <w:szCs w:val="28"/>
          <w:lang w:val="en-US" w:eastAsia="zh-CN"/>
        </w:rPr>
        <w:t>9</w:t>
      </w:r>
      <w:r>
        <w:rPr>
          <w:rFonts w:hint="eastAsia" w:ascii="宋体" w:hAnsi="宋体"/>
          <w:kern w:val="0"/>
          <w:sz w:val="28"/>
          <w:szCs w:val="28"/>
        </w:rPr>
        <w:t>、近三年来类似项目的成功案例（附件</w:t>
      </w:r>
      <w:r>
        <w:rPr>
          <w:rFonts w:hint="eastAsia" w:ascii="宋体" w:hAnsi="宋体"/>
          <w:kern w:val="0"/>
          <w:sz w:val="28"/>
          <w:szCs w:val="28"/>
          <w:lang w:val="en-US" w:eastAsia="zh-CN"/>
        </w:rPr>
        <w:t>9</w:t>
      </w:r>
      <w:r>
        <w:rPr>
          <w:rFonts w:hint="eastAsia" w:ascii="宋体" w:hAnsi="宋体"/>
          <w:kern w:val="0"/>
          <w:sz w:val="28"/>
          <w:szCs w:val="28"/>
        </w:rPr>
        <w:t>）</w:t>
      </w:r>
      <w:r>
        <w:rPr>
          <w:rFonts w:hint="eastAsia" w:ascii="宋体" w:hAnsi="宋体"/>
          <w:kern w:val="0"/>
          <w:sz w:val="28"/>
          <w:szCs w:val="28"/>
          <w:lang w:eastAsia="zh-CN"/>
        </w:rPr>
        <w:t>；</w:t>
      </w:r>
    </w:p>
    <w:p>
      <w:pPr>
        <w:snapToGrid w:val="0"/>
        <w:spacing w:line="360" w:lineRule="auto"/>
        <w:ind w:left="837" w:leftChars="260" w:hanging="291" w:hangingChars="104"/>
        <w:rPr>
          <w:rFonts w:ascii="宋体" w:hAnsi="宋体"/>
          <w:kern w:val="0"/>
          <w:sz w:val="28"/>
          <w:szCs w:val="28"/>
        </w:rPr>
      </w:pPr>
      <w:r>
        <w:rPr>
          <w:rFonts w:hint="eastAsia" w:ascii="宋体" w:hAnsi="宋体"/>
          <w:kern w:val="0"/>
          <w:sz w:val="28"/>
          <w:szCs w:val="28"/>
          <w:lang w:val="en-US" w:eastAsia="zh-CN"/>
        </w:rPr>
        <w:t>10</w:t>
      </w:r>
      <w:r>
        <w:rPr>
          <w:rFonts w:hint="eastAsia" w:ascii="宋体" w:hAnsi="宋体"/>
          <w:kern w:val="0"/>
          <w:sz w:val="28"/>
          <w:szCs w:val="28"/>
        </w:rPr>
        <w:t>、投标人</w:t>
      </w:r>
      <w:r>
        <w:rPr>
          <w:rFonts w:hint="eastAsia" w:ascii="宋体" w:hAnsi="宋体"/>
          <w:kern w:val="0"/>
          <w:sz w:val="28"/>
          <w:szCs w:val="28"/>
          <w:lang w:val="en-US" w:eastAsia="zh-CN"/>
        </w:rPr>
        <w:t>认为需要</w:t>
      </w:r>
      <w:r>
        <w:rPr>
          <w:rFonts w:hint="eastAsia" w:ascii="宋体" w:hAnsi="宋体"/>
          <w:kern w:val="0"/>
          <w:sz w:val="28"/>
          <w:szCs w:val="28"/>
        </w:rPr>
        <w:t>说明的其他内容。</w:t>
      </w:r>
    </w:p>
    <w:p>
      <w:pPr>
        <w:pStyle w:val="32"/>
        <w:shd w:val="clear" w:color="auto"/>
        <w:spacing w:before="0" w:beforeAutospacing="0" w:after="0" w:afterAutospacing="0" w:line="360" w:lineRule="auto"/>
        <w:rPr>
          <w:b/>
          <w:sz w:val="28"/>
        </w:rPr>
      </w:pPr>
    </w:p>
    <w:p>
      <w:pPr>
        <w:pStyle w:val="32"/>
        <w:shd w:val="clear" w:color="auto"/>
        <w:spacing w:before="0" w:beforeAutospacing="0" w:after="0" w:afterAutospacing="0" w:line="360" w:lineRule="auto"/>
        <w:rPr>
          <w:b/>
          <w:sz w:val="28"/>
        </w:rPr>
      </w:pPr>
    </w:p>
    <w:p>
      <w:pPr>
        <w:pStyle w:val="32"/>
        <w:shd w:val="clear" w:color="auto"/>
        <w:spacing w:before="0" w:beforeAutospacing="0" w:after="0" w:afterAutospacing="0" w:line="360" w:lineRule="auto"/>
        <w:rPr>
          <w:b/>
          <w:sz w:val="28"/>
        </w:rPr>
      </w:pPr>
    </w:p>
    <w:p>
      <w:pPr>
        <w:pStyle w:val="32"/>
        <w:shd w:val="clear" w:color="auto"/>
        <w:spacing w:before="0" w:beforeAutospacing="0" w:after="0" w:afterAutospacing="0" w:line="360" w:lineRule="auto"/>
        <w:rPr>
          <w:b/>
          <w:sz w:val="28"/>
        </w:rPr>
      </w:pPr>
    </w:p>
    <w:p>
      <w:pPr>
        <w:pStyle w:val="32"/>
        <w:shd w:val="clear" w:color="auto"/>
        <w:spacing w:before="0" w:beforeAutospacing="0" w:after="0" w:afterAutospacing="0" w:line="360" w:lineRule="auto"/>
        <w:rPr>
          <w:b/>
          <w:sz w:val="28"/>
        </w:rPr>
      </w:pPr>
    </w:p>
    <w:p>
      <w:pPr>
        <w:pStyle w:val="32"/>
        <w:shd w:val="clear" w:color="auto"/>
        <w:spacing w:before="0" w:beforeAutospacing="0" w:after="0" w:afterAutospacing="0" w:line="360" w:lineRule="auto"/>
        <w:rPr>
          <w:b/>
          <w:sz w:val="28"/>
        </w:rPr>
      </w:pPr>
    </w:p>
    <w:p>
      <w:pPr>
        <w:pStyle w:val="32"/>
        <w:shd w:val="clear" w:color="auto"/>
        <w:spacing w:before="0" w:beforeAutospacing="0" w:after="0" w:afterAutospacing="0" w:line="360" w:lineRule="auto"/>
        <w:rPr>
          <w:b/>
          <w:sz w:val="28"/>
        </w:rPr>
      </w:pPr>
    </w:p>
    <w:p>
      <w:pPr>
        <w:pStyle w:val="32"/>
        <w:shd w:val="clear" w:color="auto"/>
        <w:spacing w:before="0" w:beforeAutospacing="0" w:after="0" w:afterAutospacing="0" w:line="360" w:lineRule="auto"/>
        <w:rPr>
          <w:rFonts w:hint="eastAsia" w:eastAsia="宋体"/>
          <w:b/>
          <w:sz w:val="28"/>
          <w:lang w:eastAsia="zh-CN"/>
        </w:rPr>
      </w:pPr>
      <w:r>
        <w:rPr>
          <w:rFonts w:hint="eastAsia"/>
          <w:b/>
          <w:sz w:val="28"/>
        </w:rPr>
        <w:t>附件</w:t>
      </w:r>
      <w:r>
        <w:rPr>
          <w:rFonts w:hint="eastAsia"/>
          <w:b/>
          <w:sz w:val="28"/>
          <w:lang w:val="en-US" w:eastAsia="zh-CN"/>
        </w:rPr>
        <w:t>3</w:t>
      </w:r>
    </w:p>
    <w:p>
      <w:pPr>
        <w:pStyle w:val="32"/>
        <w:shd w:val="clear" w:color="auto"/>
        <w:spacing w:before="0" w:beforeAutospacing="0" w:after="0" w:afterAutospacing="0" w:line="360" w:lineRule="auto"/>
        <w:jc w:val="center"/>
        <w:rPr>
          <w:rFonts w:eastAsia="微软雅黑"/>
          <w:color w:val="000000"/>
          <w:sz w:val="36"/>
          <w:szCs w:val="36"/>
        </w:rPr>
      </w:pPr>
      <w:r>
        <w:rPr>
          <w:rFonts w:hint="eastAsia"/>
          <w:b/>
          <w:sz w:val="32"/>
          <w:szCs w:val="32"/>
        </w:rPr>
        <w:t xml:space="preserve">  投标</w:t>
      </w:r>
      <w:r>
        <w:rPr>
          <w:rFonts w:hint="eastAsia"/>
          <w:b/>
          <w:bCs/>
          <w:spacing w:val="21"/>
          <w:sz w:val="32"/>
          <w:szCs w:val="32"/>
        </w:rPr>
        <w:t>人基本</w:t>
      </w:r>
      <w:r>
        <w:rPr>
          <w:rFonts w:hint="eastAsia"/>
          <w:b/>
          <w:bCs/>
          <w:color w:val="000000"/>
          <w:spacing w:val="21"/>
          <w:sz w:val="32"/>
          <w:szCs w:val="32"/>
        </w:rPr>
        <w:t>情况表</w:t>
      </w:r>
    </w:p>
    <w:tbl>
      <w:tblPr>
        <w:tblStyle w:val="21"/>
        <w:tblW w:w="9639" w:type="dxa"/>
        <w:jc w:val="center"/>
        <w:tblInd w:w="-1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416"/>
        <w:gridCol w:w="350"/>
        <w:gridCol w:w="2"/>
        <w:gridCol w:w="1210"/>
        <w:gridCol w:w="557"/>
        <w:gridCol w:w="966"/>
        <w:gridCol w:w="11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11" w:hRule="exact"/>
          <w:jc w:val="center"/>
        </w:trPr>
        <w:tc>
          <w:tcPr>
            <w:tcW w:w="1942" w:type="dxa"/>
            <w:vAlign w:val="center"/>
          </w:tcPr>
          <w:p>
            <w:pPr>
              <w:pageBreakBefore w:val="0"/>
              <w:widowControl w:val="0"/>
              <w:kinsoku/>
              <w:wordWrap/>
              <w:overflowPunct/>
              <w:bidi w:val="0"/>
              <w:spacing w:line="360" w:lineRule="auto"/>
              <w:ind w:firstLine="0" w:firstLineChars="0"/>
              <w:jc w:val="center"/>
              <w:textAlignment w:val="auto"/>
              <w:rPr>
                <w:rFonts w:hint="eastAsia" w:cs="宋体"/>
                <w:color w:val="000000"/>
                <w:sz w:val="24"/>
                <w:szCs w:val="24"/>
                <w:shd w:val="clear" w:color="auto" w:fill="auto"/>
              </w:rPr>
            </w:pPr>
            <w:r>
              <w:rPr>
                <w:rFonts w:hint="eastAsia" w:cs="宋体"/>
                <w:color w:val="000000"/>
                <w:sz w:val="24"/>
                <w:szCs w:val="24"/>
                <w:shd w:val="clear" w:color="auto" w:fill="auto"/>
              </w:rPr>
              <w:t>投标人名称</w:t>
            </w:r>
          </w:p>
        </w:tc>
        <w:tc>
          <w:tcPr>
            <w:tcW w:w="3848" w:type="dxa"/>
            <w:gridSpan w:val="5"/>
            <w:vAlign w:val="center"/>
          </w:tcPr>
          <w:p>
            <w:pPr>
              <w:pageBreakBefore w:val="0"/>
              <w:widowControl w:val="0"/>
              <w:kinsoku/>
              <w:wordWrap/>
              <w:overflowPunct/>
              <w:bidi w:val="0"/>
              <w:spacing w:line="360" w:lineRule="auto"/>
              <w:ind w:firstLine="420"/>
              <w:jc w:val="center"/>
              <w:textAlignment w:val="auto"/>
              <w:rPr>
                <w:rFonts w:hint="eastAsia" w:cs="宋体"/>
                <w:color w:val="000000"/>
                <w:sz w:val="24"/>
                <w:szCs w:val="24"/>
                <w:shd w:val="clear" w:color="auto" w:fill="auto"/>
              </w:rPr>
            </w:pPr>
          </w:p>
        </w:tc>
        <w:tc>
          <w:tcPr>
            <w:tcW w:w="1210" w:type="dxa"/>
            <w:vAlign w:val="center"/>
          </w:tcPr>
          <w:p>
            <w:pPr>
              <w:pageBreakBefore w:val="0"/>
              <w:widowControl w:val="0"/>
              <w:kinsoku/>
              <w:wordWrap/>
              <w:overflowPunct/>
              <w:bidi w:val="0"/>
              <w:spacing w:line="360" w:lineRule="auto"/>
              <w:jc w:val="center"/>
              <w:textAlignment w:val="auto"/>
              <w:rPr>
                <w:rFonts w:hint="eastAsia" w:eastAsia="宋体" w:cs="宋体"/>
                <w:color w:val="000000"/>
                <w:sz w:val="24"/>
                <w:szCs w:val="24"/>
                <w:shd w:val="clear" w:color="auto" w:fill="auto"/>
                <w:lang w:eastAsia="zh-CN"/>
              </w:rPr>
            </w:pPr>
            <w:r>
              <w:rPr>
                <w:rFonts w:hint="eastAsia" w:cs="宋体"/>
                <w:color w:val="000000"/>
                <w:sz w:val="24"/>
                <w:szCs w:val="24"/>
                <w:shd w:val="clear" w:color="auto" w:fill="auto"/>
                <w:lang w:eastAsia="zh-CN"/>
              </w:rPr>
              <w:t>负责人</w:t>
            </w:r>
          </w:p>
        </w:tc>
        <w:tc>
          <w:tcPr>
            <w:tcW w:w="2639" w:type="dxa"/>
            <w:gridSpan w:val="3"/>
            <w:vAlign w:val="center"/>
          </w:tcPr>
          <w:p>
            <w:pPr>
              <w:pageBreakBefore w:val="0"/>
              <w:widowControl w:val="0"/>
              <w:kinsoku/>
              <w:wordWrap/>
              <w:overflowPunct/>
              <w:bidi w:val="0"/>
              <w:spacing w:line="360" w:lineRule="auto"/>
              <w:ind w:firstLine="420"/>
              <w:jc w:val="center"/>
              <w:textAlignment w:val="auto"/>
              <w:rPr>
                <w:rFonts w:hint="eastAsia" w:cs="宋体"/>
                <w:color w:val="000000"/>
                <w:sz w:val="24"/>
                <w:szCs w:val="24"/>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763" w:hRule="exact"/>
          <w:jc w:val="center"/>
        </w:trPr>
        <w:tc>
          <w:tcPr>
            <w:tcW w:w="1942" w:type="dxa"/>
            <w:vAlign w:val="center"/>
          </w:tcPr>
          <w:p>
            <w:pPr>
              <w:pageBreakBefore w:val="0"/>
              <w:widowControl w:val="0"/>
              <w:kinsoku/>
              <w:wordWrap/>
              <w:overflowPunct/>
              <w:bidi w:val="0"/>
              <w:spacing w:line="360" w:lineRule="auto"/>
              <w:ind w:firstLine="0" w:firstLineChars="0"/>
              <w:jc w:val="center"/>
              <w:textAlignment w:val="auto"/>
              <w:rPr>
                <w:rFonts w:hint="eastAsia" w:cs="宋体"/>
                <w:color w:val="000000"/>
                <w:sz w:val="24"/>
                <w:szCs w:val="24"/>
                <w:shd w:val="clear" w:color="auto" w:fill="auto"/>
              </w:rPr>
            </w:pPr>
            <w:r>
              <w:rPr>
                <w:rFonts w:hint="eastAsia" w:cs="宋体"/>
                <w:color w:val="000000"/>
                <w:sz w:val="24"/>
                <w:szCs w:val="24"/>
                <w:shd w:val="clear" w:color="auto" w:fill="auto"/>
              </w:rPr>
              <w:t>注册地址</w:t>
            </w:r>
          </w:p>
        </w:tc>
        <w:tc>
          <w:tcPr>
            <w:tcW w:w="3846" w:type="dxa"/>
            <w:gridSpan w:val="4"/>
            <w:vAlign w:val="center"/>
          </w:tcPr>
          <w:p>
            <w:pPr>
              <w:pageBreakBefore w:val="0"/>
              <w:widowControl w:val="0"/>
              <w:kinsoku/>
              <w:wordWrap/>
              <w:overflowPunct/>
              <w:bidi w:val="0"/>
              <w:spacing w:line="360" w:lineRule="auto"/>
              <w:ind w:firstLine="420"/>
              <w:jc w:val="center"/>
              <w:textAlignment w:val="auto"/>
              <w:rPr>
                <w:rFonts w:hint="eastAsia" w:cs="宋体"/>
                <w:color w:val="000000"/>
                <w:sz w:val="24"/>
                <w:szCs w:val="24"/>
                <w:shd w:val="clear" w:color="auto" w:fill="auto"/>
              </w:rPr>
            </w:pPr>
          </w:p>
        </w:tc>
        <w:tc>
          <w:tcPr>
            <w:tcW w:w="1212" w:type="dxa"/>
            <w:gridSpan w:val="2"/>
            <w:vAlign w:val="center"/>
          </w:tcPr>
          <w:p>
            <w:pPr>
              <w:pageBreakBefore w:val="0"/>
              <w:widowControl w:val="0"/>
              <w:kinsoku/>
              <w:wordWrap/>
              <w:overflowPunct/>
              <w:bidi w:val="0"/>
              <w:spacing w:line="360" w:lineRule="auto"/>
              <w:ind w:firstLine="0" w:firstLineChars="0"/>
              <w:jc w:val="center"/>
              <w:textAlignment w:val="auto"/>
              <w:rPr>
                <w:rFonts w:hint="eastAsia" w:cs="宋体"/>
                <w:color w:val="000000"/>
                <w:sz w:val="24"/>
                <w:szCs w:val="24"/>
                <w:shd w:val="clear" w:color="auto" w:fill="auto"/>
              </w:rPr>
            </w:pPr>
            <w:r>
              <w:rPr>
                <w:rFonts w:hint="eastAsia" w:cs="宋体"/>
                <w:color w:val="000000"/>
                <w:sz w:val="24"/>
                <w:szCs w:val="24"/>
                <w:shd w:val="clear" w:color="auto" w:fill="auto"/>
              </w:rPr>
              <w:t>邮政编码</w:t>
            </w:r>
          </w:p>
        </w:tc>
        <w:tc>
          <w:tcPr>
            <w:tcW w:w="2639" w:type="dxa"/>
            <w:gridSpan w:val="3"/>
            <w:vAlign w:val="center"/>
          </w:tcPr>
          <w:p>
            <w:pPr>
              <w:pageBreakBefore w:val="0"/>
              <w:widowControl w:val="0"/>
              <w:kinsoku/>
              <w:wordWrap/>
              <w:overflowPunct/>
              <w:bidi w:val="0"/>
              <w:spacing w:line="360" w:lineRule="auto"/>
              <w:ind w:firstLine="420"/>
              <w:jc w:val="center"/>
              <w:textAlignment w:val="auto"/>
              <w:rPr>
                <w:rFonts w:hint="eastAsia" w:cs="宋体"/>
                <w:color w:val="000000"/>
                <w:sz w:val="24"/>
                <w:szCs w:val="24"/>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773" w:hRule="exact"/>
          <w:jc w:val="center"/>
        </w:trPr>
        <w:tc>
          <w:tcPr>
            <w:tcW w:w="1942" w:type="dxa"/>
            <w:vMerge w:val="restart"/>
            <w:vAlign w:val="center"/>
          </w:tcPr>
          <w:p>
            <w:pPr>
              <w:pageBreakBefore w:val="0"/>
              <w:widowControl w:val="0"/>
              <w:kinsoku/>
              <w:wordWrap/>
              <w:overflowPunct/>
              <w:bidi w:val="0"/>
              <w:spacing w:line="360" w:lineRule="auto"/>
              <w:ind w:firstLine="0" w:firstLineChars="0"/>
              <w:jc w:val="center"/>
              <w:textAlignment w:val="auto"/>
              <w:rPr>
                <w:rFonts w:hint="eastAsia" w:cs="宋体"/>
                <w:color w:val="000000"/>
                <w:sz w:val="24"/>
                <w:szCs w:val="24"/>
                <w:shd w:val="clear" w:color="auto" w:fill="auto"/>
              </w:rPr>
            </w:pPr>
            <w:r>
              <w:rPr>
                <w:rFonts w:hint="eastAsia" w:cs="宋体"/>
                <w:color w:val="000000"/>
                <w:sz w:val="24"/>
                <w:szCs w:val="24"/>
                <w:shd w:val="clear" w:color="auto" w:fill="auto"/>
              </w:rPr>
              <w:t>联系方式</w:t>
            </w:r>
          </w:p>
        </w:tc>
        <w:tc>
          <w:tcPr>
            <w:tcW w:w="1010" w:type="dxa"/>
            <w:vAlign w:val="center"/>
          </w:tcPr>
          <w:p>
            <w:pPr>
              <w:pageBreakBefore w:val="0"/>
              <w:widowControl w:val="0"/>
              <w:kinsoku/>
              <w:wordWrap/>
              <w:overflowPunct/>
              <w:bidi w:val="0"/>
              <w:spacing w:line="360" w:lineRule="auto"/>
              <w:ind w:firstLine="0" w:firstLineChars="0"/>
              <w:jc w:val="center"/>
              <w:textAlignment w:val="auto"/>
              <w:rPr>
                <w:rFonts w:hint="eastAsia" w:cs="宋体"/>
                <w:color w:val="000000"/>
                <w:sz w:val="24"/>
                <w:szCs w:val="24"/>
                <w:shd w:val="clear" w:color="auto" w:fill="auto"/>
              </w:rPr>
            </w:pPr>
            <w:r>
              <w:rPr>
                <w:rFonts w:hint="eastAsia" w:cs="宋体"/>
                <w:color w:val="000000"/>
                <w:sz w:val="24"/>
                <w:szCs w:val="24"/>
                <w:shd w:val="clear" w:color="auto" w:fill="auto"/>
              </w:rPr>
              <w:t>联系人</w:t>
            </w:r>
          </w:p>
        </w:tc>
        <w:tc>
          <w:tcPr>
            <w:tcW w:w="2836" w:type="dxa"/>
            <w:gridSpan w:val="3"/>
            <w:vAlign w:val="center"/>
          </w:tcPr>
          <w:p>
            <w:pPr>
              <w:pageBreakBefore w:val="0"/>
              <w:widowControl w:val="0"/>
              <w:kinsoku/>
              <w:wordWrap/>
              <w:overflowPunct/>
              <w:bidi w:val="0"/>
              <w:spacing w:line="360" w:lineRule="auto"/>
              <w:ind w:firstLine="420"/>
              <w:jc w:val="center"/>
              <w:textAlignment w:val="auto"/>
              <w:rPr>
                <w:rFonts w:hint="eastAsia" w:cs="宋体"/>
                <w:color w:val="000000"/>
                <w:sz w:val="24"/>
                <w:szCs w:val="24"/>
                <w:shd w:val="clear" w:color="auto" w:fill="auto"/>
              </w:rPr>
            </w:pPr>
          </w:p>
        </w:tc>
        <w:tc>
          <w:tcPr>
            <w:tcW w:w="1212" w:type="dxa"/>
            <w:gridSpan w:val="2"/>
            <w:vAlign w:val="center"/>
          </w:tcPr>
          <w:p>
            <w:pPr>
              <w:pageBreakBefore w:val="0"/>
              <w:widowControl w:val="0"/>
              <w:kinsoku/>
              <w:wordWrap/>
              <w:overflowPunct/>
              <w:bidi w:val="0"/>
              <w:spacing w:line="360" w:lineRule="auto"/>
              <w:ind w:firstLine="0" w:firstLineChars="0"/>
              <w:jc w:val="center"/>
              <w:textAlignment w:val="auto"/>
              <w:rPr>
                <w:rFonts w:hint="eastAsia" w:cs="宋体"/>
                <w:color w:val="000000"/>
                <w:sz w:val="24"/>
                <w:szCs w:val="24"/>
                <w:shd w:val="clear" w:color="auto" w:fill="auto"/>
              </w:rPr>
            </w:pPr>
            <w:r>
              <w:rPr>
                <w:rFonts w:hint="eastAsia" w:cs="宋体"/>
                <w:color w:val="000000"/>
                <w:sz w:val="24"/>
                <w:szCs w:val="24"/>
                <w:shd w:val="clear" w:color="auto" w:fill="auto"/>
              </w:rPr>
              <w:t>电 话</w:t>
            </w:r>
          </w:p>
        </w:tc>
        <w:tc>
          <w:tcPr>
            <w:tcW w:w="2639" w:type="dxa"/>
            <w:gridSpan w:val="3"/>
            <w:vAlign w:val="center"/>
          </w:tcPr>
          <w:p>
            <w:pPr>
              <w:pageBreakBefore w:val="0"/>
              <w:widowControl w:val="0"/>
              <w:kinsoku/>
              <w:wordWrap/>
              <w:overflowPunct/>
              <w:bidi w:val="0"/>
              <w:spacing w:line="360" w:lineRule="auto"/>
              <w:ind w:firstLine="420"/>
              <w:jc w:val="center"/>
              <w:textAlignment w:val="auto"/>
              <w:rPr>
                <w:rFonts w:hint="eastAsia" w:cs="宋体"/>
                <w:color w:val="000000"/>
                <w:sz w:val="24"/>
                <w:szCs w:val="24"/>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769" w:hRule="exact"/>
          <w:jc w:val="center"/>
        </w:trPr>
        <w:tc>
          <w:tcPr>
            <w:tcW w:w="1942" w:type="dxa"/>
            <w:vMerge w:val="continue"/>
            <w:vAlign w:val="center"/>
          </w:tcPr>
          <w:p>
            <w:pPr>
              <w:pageBreakBefore w:val="0"/>
              <w:widowControl w:val="0"/>
              <w:kinsoku/>
              <w:wordWrap/>
              <w:overflowPunct/>
              <w:bidi w:val="0"/>
              <w:spacing w:line="360" w:lineRule="auto"/>
              <w:ind w:firstLine="420"/>
              <w:jc w:val="center"/>
              <w:textAlignment w:val="auto"/>
              <w:rPr>
                <w:rFonts w:hint="eastAsia" w:cs="宋体"/>
                <w:color w:val="000000"/>
                <w:sz w:val="24"/>
                <w:szCs w:val="24"/>
                <w:shd w:val="clear" w:color="auto" w:fill="auto"/>
              </w:rPr>
            </w:pPr>
          </w:p>
        </w:tc>
        <w:tc>
          <w:tcPr>
            <w:tcW w:w="1010" w:type="dxa"/>
            <w:vAlign w:val="center"/>
          </w:tcPr>
          <w:p>
            <w:pPr>
              <w:pageBreakBefore w:val="0"/>
              <w:widowControl w:val="0"/>
              <w:kinsoku/>
              <w:wordWrap/>
              <w:overflowPunct/>
              <w:bidi w:val="0"/>
              <w:spacing w:line="360" w:lineRule="auto"/>
              <w:ind w:firstLine="0" w:firstLineChars="0"/>
              <w:jc w:val="center"/>
              <w:textAlignment w:val="auto"/>
              <w:rPr>
                <w:rFonts w:hint="eastAsia" w:cs="宋体"/>
                <w:color w:val="000000"/>
                <w:sz w:val="24"/>
                <w:szCs w:val="24"/>
                <w:shd w:val="clear" w:color="auto" w:fill="auto"/>
              </w:rPr>
            </w:pPr>
            <w:r>
              <w:rPr>
                <w:rFonts w:hint="eastAsia" w:cs="宋体"/>
                <w:color w:val="000000"/>
                <w:sz w:val="24"/>
                <w:szCs w:val="24"/>
                <w:shd w:val="clear" w:color="auto" w:fill="auto"/>
              </w:rPr>
              <w:t>传 真</w:t>
            </w:r>
          </w:p>
        </w:tc>
        <w:tc>
          <w:tcPr>
            <w:tcW w:w="2836" w:type="dxa"/>
            <w:gridSpan w:val="3"/>
            <w:vAlign w:val="center"/>
          </w:tcPr>
          <w:p>
            <w:pPr>
              <w:pageBreakBefore w:val="0"/>
              <w:widowControl w:val="0"/>
              <w:kinsoku/>
              <w:wordWrap/>
              <w:overflowPunct/>
              <w:bidi w:val="0"/>
              <w:spacing w:line="360" w:lineRule="auto"/>
              <w:ind w:firstLine="420"/>
              <w:jc w:val="center"/>
              <w:textAlignment w:val="auto"/>
              <w:rPr>
                <w:rFonts w:hint="eastAsia" w:cs="宋体"/>
                <w:color w:val="000000"/>
                <w:sz w:val="24"/>
                <w:szCs w:val="24"/>
                <w:shd w:val="clear" w:color="auto" w:fill="auto"/>
              </w:rPr>
            </w:pPr>
          </w:p>
        </w:tc>
        <w:tc>
          <w:tcPr>
            <w:tcW w:w="1212" w:type="dxa"/>
            <w:gridSpan w:val="2"/>
            <w:vAlign w:val="center"/>
          </w:tcPr>
          <w:p>
            <w:pPr>
              <w:pageBreakBefore w:val="0"/>
              <w:widowControl w:val="0"/>
              <w:kinsoku/>
              <w:wordWrap/>
              <w:overflowPunct/>
              <w:bidi w:val="0"/>
              <w:spacing w:line="360" w:lineRule="auto"/>
              <w:ind w:firstLine="0" w:firstLineChars="0"/>
              <w:jc w:val="center"/>
              <w:textAlignment w:val="auto"/>
              <w:rPr>
                <w:rFonts w:hint="eastAsia" w:cs="宋体"/>
                <w:color w:val="000000"/>
                <w:sz w:val="24"/>
                <w:szCs w:val="24"/>
                <w:shd w:val="clear" w:color="auto" w:fill="auto"/>
              </w:rPr>
            </w:pPr>
            <w:r>
              <w:rPr>
                <w:rFonts w:hint="eastAsia" w:cs="宋体"/>
                <w:color w:val="000000"/>
                <w:sz w:val="24"/>
                <w:szCs w:val="24"/>
                <w:shd w:val="clear" w:color="auto" w:fill="auto"/>
              </w:rPr>
              <w:t>电子邮件</w:t>
            </w:r>
          </w:p>
        </w:tc>
        <w:tc>
          <w:tcPr>
            <w:tcW w:w="2639" w:type="dxa"/>
            <w:gridSpan w:val="3"/>
            <w:vAlign w:val="center"/>
          </w:tcPr>
          <w:p>
            <w:pPr>
              <w:pageBreakBefore w:val="0"/>
              <w:widowControl w:val="0"/>
              <w:kinsoku/>
              <w:wordWrap/>
              <w:overflowPunct/>
              <w:bidi w:val="0"/>
              <w:spacing w:line="360" w:lineRule="auto"/>
              <w:ind w:firstLine="420"/>
              <w:jc w:val="center"/>
              <w:textAlignment w:val="auto"/>
              <w:rPr>
                <w:rFonts w:hint="eastAsia" w:cs="宋体"/>
                <w:color w:val="000000"/>
                <w:sz w:val="24"/>
                <w:szCs w:val="24"/>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793" w:hRule="exact"/>
          <w:jc w:val="center"/>
        </w:trPr>
        <w:tc>
          <w:tcPr>
            <w:tcW w:w="1942" w:type="dxa"/>
            <w:vAlign w:val="center"/>
          </w:tcPr>
          <w:p>
            <w:pPr>
              <w:pageBreakBefore w:val="0"/>
              <w:widowControl w:val="0"/>
              <w:kinsoku/>
              <w:wordWrap/>
              <w:overflowPunct/>
              <w:bidi w:val="0"/>
              <w:spacing w:line="360" w:lineRule="auto"/>
              <w:ind w:firstLine="0" w:firstLineChars="0"/>
              <w:jc w:val="center"/>
              <w:textAlignment w:val="auto"/>
              <w:rPr>
                <w:rFonts w:hint="eastAsia" w:cs="宋体"/>
                <w:color w:val="000000"/>
                <w:sz w:val="24"/>
                <w:szCs w:val="24"/>
                <w:shd w:val="clear" w:color="auto" w:fill="auto"/>
              </w:rPr>
            </w:pPr>
            <w:r>
              <w:rPr>
                <w:rFonts w:hint="eastAsia" w:cs="宋体"/>
                <w:color w:val="000000"/>
                <w:sz w:val="24"/>
                <w:szCs w:val="24"/>
                <w:shd w:val="clear" w:color="auto" w:fill="auto"/>
              </w:rPr>
              <w:t>负责人</w:t>
            </w:r>
          </w:p>
        </w:tc>
        <w:tc>
          <w:tcPr>
            <w:tcW w:w="1010" w:type="dxa"/>
            <w:vAlign w:val="center"/>
          </w:tcPr>
          <w:p>
            <w:pPr>
              <w:pageBreakBefore w:val="0"/>
              <w:widowControl w:val="0"/>
              <w:kinsoku/>
              <w:wordWrap/>
              <w:overflowPunct/>
              <w:bidi w:val="0"/>
              <w:spacing w:line="360" w:lineRule="auto"/>
              <w:ind w:firstLine="0" w:firstLineChars="0"/>
              <w:jc w:val="center"/>
              <w:textAlignment w:val="auto"/>
              <w:rPr>
                <w:rFonts w:hint="eastAsia" w:cs="宋体"/>
                <w:color w:val="000000"/>
                <w:sz w:val="24"/>
                <w:szCs w:val="24"/>
                <w:shd w:val="clear" w:color="auto" w:fill="auto"/>
              </w:rPr>
            </w:pPr>
            <w:r>
              <w:rPr>
                <w:rFonts w:hint="eastAsia" w:cs="宋体"/>
                <w:color w:val="000000"/>
                <w:sz w:val="24"/>
                <w:szCs w:val="24"/>
                <w:shd w:val="clear" w:color="auto" w:fill="auto"/>
              </w:rPr>
              <w:t>姓名</w:t>
            </w:r>
          </w:p>
        </w:tc>
        <w:tc>
          <w:tcPr>
            <w:tcW w:w="1070" w:type="dxa"/>
            <w:vAlign w:val="center"/>
          </w:tcPr>
          <w:p>
            <w:pPr>
              <w:pageBreakBefore w:val="0"/>
              <w:widowControl w:val="0"/>
              <w:kinsoku/>
              <w:wordWrap/>
              <w:overflowPunct/>
              <w:bidi w:val="0"/>
              <w:spacing w:line="360" w:lineRule="auto"/>
              <w:ind w:firstLine="420"/>
              <w:jc w:val="center"/>
              <w:textAlignment w:val="auto"/>
              <w:rPr>
                <w:rFonts w:hint="eastAsia" w:cs="宋体"/>
                <w:color w:val="000000"/>
                <w:sz w:val="24"/>
                <w:szCs w:val="24"/>
                <w:shd w:val="clear" w:color="auto" w:fill="auto"/>
              </w:rPr>
            </w:pPr>
          </w:p>
        </w:tc>
        <w:tc>
          <w:tcPr>
            <w:tcW w:w="1416" w:type="dxa"/>
            <w:vAlign w:val="center"/>
          </w:tcPr>
          <w:p>
            <w:pPr>
              <w:pageBreakBefore w:val="0"/>
              <w:widowControl w:val="0"/>
              <w:kinsoku/>
              <w:wordWrap/>
              <w:overflowPunct/>
              <w:bidi w:val="0"/>
              <w:spacing w:line="360" w:lineRule="auto"/>
              <w:ind w:firstLine="0" w:firstLineChars="0"/>
              <w:jc w:val="center"/>
              <w:textAlignment w:val="auto"/>
              <w:rPr>
                <w:rFonts w:hint="eastAsia" w:cs="宋体"/>
                <w:color w:val="000000"/>
                <w:sz w:val="24"/>
                <w:szCs w:val="24"/>
                <w:shd w:val="clear" w:color="auto" w:fill="auto"/>
              </w:rPr>
            </w:pPr>
            <w:r>
              <w:rPr>
                <w:rFonts w:hint="eastAsia" w:cs="宋体"/>
                <w:color w:val="000000"/>
                <w:sz w:val="24"/>
                <w:szCs w:val="24"/>
                <w:shd w:val="clear" w:color="auto" w:fill="auto"/>
              </w:rPr>
              <w:t>技术职称</w:t>
            </w:r>
          </w:p>
        </w:tc>
        <w:tc>
          <w:tcPr>
            <w:tcW w:w="2119" w:type="dxa"/>
            <w:gridSpan w:val="4"/>
            <w:vAlign w:val="center"/>
          </w:tcPr>
          <w:p>
            <w:pPr>
              <w:pageBreakBefore w:val="0"/>
              <w:widowControl w:val="0"/>
              <w:kinsoku/>
              <w:wordWrap/>
              <w:overflowPunct/>
              <w:bidi w:val="0"/>
              <w:spacing w:line="360" w:lineRule="auto"/>
              <w:ind w:firstLine="420"/>
              <w:jc w:val="center"/>
              <w:textAlignment w:val="auto"/>
              <w:rPr>
                <w:rFonts w:hint="eastAsia" w:cs="宋体"/>
                <w:color w:val="000000"/>
                <w:sz w:val="24"/>
                <w:szCs w:val="24"/>
                <w:shd w:val="clear" w:color="auto" w:fill="auto"/>
              </w:rPr>
            </w:pPr>
          </w:p>
        </w:tc>
        <w:tc>
          <w:tcPr>
            <w:tcW w:w="966" w:type="dxa"/>
            <w:vAlign w:val="center"/>
          </w:tcPr>
          <w:p>
            <w:pPr>
              <w:pageBreakBefore w:val="0"/>
              <w:widowControl w:val="0"/>
              <w:kinsoku/>
              <w:wordWrap/>
              <w:overflowPunct/>
              <w:bidi w:val="0"/>
              <w:spacing w:line="360" w:lineRule="auto"/>
              <w:ind w:firstLine="0" w:firstLineChars="0"/>
              <w:jc w:val="center"/>
              <w:textAlignment w:val="auto"/>
              <w:rPr>
                <w:rFonts w:hint="eastAsia" w:cs="宋体"/>
                <w:color w:val="000000"/>
                <w:sz w:val="24"/>
                <w:szCs w:val="24"/>
                <w:shd w:val="clear" w:color="auto" w:fill="auto"/>
              </w:rPr>
            </w:pPr>
            <w:r>
              <w:rPr>
                <w:rFonts w:hint="eastAsia" w:cs="宋体"/>
                <w:color w:val="000000"/>
                <w:sz w:val="24"/>
                <w:szCs w:val="24"/>
                <w:shd w:val="clear" w:color="auto" w:fill="auto"/>
              </w:rPr>
              <w:t>电话</w:t>
            </w:r>
          </w:p>
        </w:tc>
        <w:tc>
          <w:tcPr>
            <w:tcW w:w="1116" w:type="dxa"/>
            <w:vAlign w:val="center"/>
          </w:tcPr>
          <w:p>
            <w:pPr>
              <w:pageBreakBefore w:val="0"/>
              <w:widowControl w:val="0"/>
              <w:kinsoku/>
              <w:wordWrap/>
              <w:overflowPunct/>
              <w:bidi w:val="0"/>
              <w:spacing w:line="360" w:lineRule="auto"/>
              <w:ind w:firstLine="420"/>
              <w:jc w:val="center"/>
              <w:textAlignment w:val="auto"/>
              <w:rPr>
                <w:rFonts w:hint="eastAsia" w:cs="宋体"/>
                <w:color w:val="000000"/>
                <w:sz w:val="24"/>
                <w:szCs w:val="24"/>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775" w:hRule="exact"/>
          <w:jc w:val="center"/>
        </w:trPr>
        <w:tc>
          <w:tcPr>
            <w:tcW w:w="1942" w:type="dxa"/>
            <w:vAlign w:val="center"/>
          </w:tcPr>
          <w:p>
            <w:pPr>
              <w:pageBreakBefore w:val="0"/>
              <w:widowControl w:val="0"/>
              <w:kinsoku/>
              <w:wordWrap/>
              <w:overflowPunct/>
              <w:bidi w:val="0"/>
              <w:spacing w:line="360" w:lineRule="auto"/>
              <w:ind w:firstLine="0" w:firstLineChars="0"/>
              <w:jc w:val="center"/>
              <w:textAlignment w:val="auto"/>
              <w:rPr>
                <w:rFonts w:hint="eastAsia" w:cs="宋体"/>
                <w:color w:val="000000"/>
                <w:sz w:val="24"/>
                <w:szCs w:val="24"/>
                <w:shd w:val="clear" w:color="auto" w:fill="auto"/>
              </w:rPr>
            </w:pPr>
            <w:r>
              <w:rPr>
                <w:rFonts w:hint="eastAsia" w:cs="宋体"/>
                <w:color w:val="000000"/>
                <w:sz w:val="24"/>
                <w:szCs w:val="24"/>
                <w:shd w:val="clear" w:color="auto" w:fill="auto"/>
              </w:rPr>
              <w:t>成立时间</w:t>
            </w:r>
          </w:p>
        </w:tc>
        <w:tc>
          <w:tcPr>
            <w:tcW w:w="2080" w:type="dxa"/>
            <w:gridSpan w:val="2"/>
            <w:vAlign w:val="center"/>
          </w:tcPr>
          <w:p>
            <w:pPr>
              <w:pageBreakBefore w:val="0"/>
              <w:widowControl w:val="0"/>
              <w:kinsoku/>
              <w:wordWrap/>
              <w:overflowPunct/>
              <w:bidi w:val="0"/>
              <w:spacing w:line="360" w:lineRule="auto"/>
              <w:ind w:firstLine="420"/>
              <w:jc w:val="center"/>
              <w:textAlignment w:val="auto"/>
              <w:rPr>
                <w:rFonts w:hint="eastAsia" w:cs="宋体"/>
                <w:color w:val="000000"/>
                <w:sz w:val="24"/>
                <w:szCs w:val="24"/>
                <w:shd w:val="clear" w:color="auto" w:fill="auto"/>
              </w:rPr>
            </w:pPr>
          </w:p>
        </w:tc>
        <w:tc>
          <w:tcPr>
            <w:tcW w:w="5617" w:type="dxa"/>
            <w:gridSpan w:val="7"/>
            <w:vAlign w:val="center"/>
          </w:tcPr>
          <w:p>
            <w:pPr>
              <w:pageBreakBefore w:val="0"/>
              <w:widowControl w:val="0"/>
              <w:kinsoku/>
              <w:wordWrap/>
              <w:overflowPunct/>
              <w:bidi w:val="0"/>
              <w:spacing w:line="360" w:lineRule="auto"/>
              <w:ind w:firstLine="0" w:firstLineChars="0"/>
              <w:jc w:val="center"/>
              <w:textAlignment w:val="auto"/>
              <w:rPr>
                <w:rFonts w:hint="eastAsia" w:cs="宋体"/>
                <w:color w:val="000000"/>
                <w:sz w:val="24"/>
                <w:szCs w:val="24"/>
                <w:u w:val="single"/>
                <w:shd w:val="clear" w:color="auto" w:fill="auto"/>
              </w:rPr>
            </w:pPr>
            <w:r>
              <w:rPr>
                <w:rFonts w:hint="eastAsia" w:cs="宋体"/>
                <w:color w:val="000000"/>
                <w:sz w:val="24"/>
                <w:szCs w:val="24"/>
                <w:shd w:val="clear" w:color="auto" w:fill="auto"/>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771" w:hRule="exact"/>
          <w:jc w:val="center"/>
        </w:trPr>
        <w:tc>
          <w:tcPr>
            <w:tcW w:w="1942" w:type="dxa"/>
            <w:vAlign w:val="center"/>
          </w:tcPr>
          <w:p>
            <w:pPr>
              <w:pageBreakBefore w:val="0"/>
              <w:widowControl w:val="0"/>
              <w:kinsoku/>
              <w:wordWrap/>
              <w:overflowPunct/>
              <w:bidi w:val="0"/>
              <w:spacing w:line="360" w:lineRule="auto"/>
              <w:ind w:firstLine="0" w:firstLineChars="0"/>
              <w:jc w:val="center"/>
              <w:textAlignment w:val="auto"/>
              <w:rPr>
                <w:rFonts w:hint="eastAsia" w:cs="宋体"/>
                <w:color w:val="000000"/>
                <w:sz w:val="24"/>
                <w:szCs w:val="24"/>
                <w:shd w:val="clear" w:color="auto" w:fill="auto"/>
              </w:rPr>
            </w:pPr>
            <w:r>
              <w:rPr>
                <w:rFonts w:hint="eastAsia" w:cs="宋体"/>
                <w:color w:val="000000"/>
                <w:sz w:val="24"/>
                <w:szCs w:val="24"/>
                <w:shd w:val="clear" w:color="auto" w:fill="auto"/>
              </w:rPr>
              <w:t>营业执照号</w:t>
            </w:r>
          </w:p>
        </w:tc>
        <w:tc>
          <w:tcPr>
            <w:tcW w:w="2080" w:type="dxa"/>
            <w:gridSpan w:val="2"/>
            <w:vAlign w:val="center"/>
          </w:tcPr>
          <w:p>
            <w:pPr>
              <w:pageBreakBefore w:val="0"/>
              <w:widowControl w:val="0"/>
              <w:kinsoku/>
              <w:wordWrap/>
              <w:overflowPunct/>
              <w:bidi w:val="0"/>
              <w:spacing w:line="360" w:lineRule="auto"/>
              <w:ind w:firstLine="420"/>
              <w:jc w:val="center"/>
              <w:textAlignment w:val="auto"/>
              <w:rPr>
                <w:rFonts w:hint="eastAsia" w:cs="宋体"/>
                <w:color w:val="000000"/>
                <w:sz w:val="24"/>
                <w:szCs w:val="24"/>
                <w:shd w:val="clear" w:color="auto" w:fill="auto"/>
              </w:rPr>
            </w:pPr>
          </w:p>
        </w:tc>
        <w:tc>
          <w:tcPr>
            <w:tcW w:w="1416" w:type="dxa"/>
            <w:vMerge w:val="restart"/>
            <w:vAlign w:val="center"/>
          </w:tcPr>
          <w:p>
            <w:pPr>
              <w:pageBreakBefore w:val="0"/>
              <w:widowControl w:val="0"/>
              <w:kinsoku/>
              <w:wordWrap/>
              <w:overflowPunct/>
              <w:bidi w:val="0"/>
              <w:spacing w:line="360" w:lineRule="auto"/>
              <w:ind w:firstLine="420"/>
              <w:jc w:val="center"/>
              <w:textAlignment w:val="auto"/>
              <w:rPr>
                <w:rFonts w:hint="eastAsia" w:cs="宋体"/>
                <w:color w:val="000000"/>
                <w:sz w:val="24"/>
                <w:szCs w:val="24"/>
                <w:shd w:val="clear" w:color="auto" w:fill="auto"/>
              </w:rPr>
            </w:pPr>
          </w:p>
        </w:tc>
        <w:tc>
          <w:tcPr>
            <w:tcW w:w="2119" w:type="dxa"/>
            <w:gridSpan w:val="4"/>
            <w:vAlign w:val="center"/>
          </w:tcPr>
          <w:p>
            <w:pPr>
              <w:pageBreakBefore w:val="0"/>
              <w:widowControl w:val="0"/>
              <w:kinsoku/>
              <w:wordWrap/>
              <w:overflowPunct/>
              <w:bidi w:val="0"/>
              <w:spacing w:line="360" w:lineRule="auto"/>
              <w:ind w:firstLine="0" w:firstLineChars="0"/>
              <w:jc w:val="center"/>
              <w:textAlignment w:val="auto"/>
              <w:rPr>
                <w:rFonts w:hint="eastAsia" w:cs="宋体"/>
                <w:color w:val="000000"/>
                <w:sz w:val="24"/>
                <w:szCs w:val="24"/>
                <w:shd w:val="clear" w:color="auto" w:fill="auto"/>
              </w:rPr>
            </w:pPr>
            <w:r>
              <w:rPr>
                <w:rFonts w:hint="eastAsia" w:cs="宋体"/>
                <w:color w:val="000000"/>
                <w:sz w:val="24"/>
                <w:szCs w:val="24"/>
                <w:shd w:val="clear" w:color="auto" w:fill="auto"/>
              </w:rPr>
              <w:t>高级职称人员</w:t>
            </w:r>
          </w:p>
        </w:tc>
        <w:tc>
          <w:tcPr>
            <w:tcW w:w="2082" w:type="dxa"/>
            <w:gridSpan w:val="2"/>
            <w:vAlign w:val="center"/>
          </w:tcPr>
          <w:p>
            <w:pPr>
              <w:pageBreakBefore w:val="0"/>
              <w:widowControl w:val="0"/>
              <w:kinsoku/>
              <w:wordWrap/>
              <w:overflowPunct/>
              <w:bidi w:val="0"/>
              <w:spacing w:line="360" w:lineRule="auto"/>
              <w:ind w:firstLine="420"/>
              <w:jc w:val="center"/>
              <w:textAlignment w:val="auto"/>
              <w:rPr>
                <w:rFonts w:hint="eastAsia" w:cs="宋体"/>
                <w:color w:val="000000"/>
                <w:sz w:val="24"/>
                <w:szCs w:val="24"/>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767" w:hRule="exact"/>
          <w:jc w:val="center"/>
        </w:trPr>
        <w:tc>
          <w:tcPr>
            <w:tcW w:w="1942" w:type="dxa"/>
            <w:vAlign w:val="center"/>
          </w:tcPr>
          <w:p>
            <w:pPr>
              <w:pageBreakBefore w:val="0"/>
              <w:widowControl w:val="0"/>
              <w:kinsoku/>
              <w:wordWrap/>
              <w:overflowPunct/>
              <w:bidi w:val="0"/>
              <w:spacing w:line="360" w:lineRule="auto"/>
              <w:ind w:firstLine="0" w:firstLineChars="0"/>
              <w:jc w:val="center"/>
              <w:textAlignment w:val="auto"/>
              <w:rPr>
                <w:rFonts w:hint="eastAsia" w:cs="宋体"/>
                <w:color w:val="000000"/>
                <w:sz w:val="24"/>
                <w:szCs w:val="24"/>
                <w:shd w:val="clear" w:color="auto" w:fill="auto"/>
              </w:rPr>
            </w:pPr>
            <w:r>
              <w:rPr>
                <w:rFonts w:hint="eastAsia" w:cs="宋体"/>
                <w:color w:val="000000"/>
                <w:sz w:val="24"/>
                <w:szCs w:val="24"/>
                <w:shd w:val="clear" w:color="auto" w:fill="auto"/>
              </w:rPr>
              <w:t>总公司注册资金</w:t>
            </w:r>
          </w:p>
        </w:tc>
        <w:tc>
          <w:tcPr>
            <w:tcW w:w="2080" w:type="dxa"/>
            <w:gridSpan w:val="2"/>
            <w:vAlign w:val="center"/>
          </w:tcPr>
          <w:p>
            <w:pPr>
              <w:pageBreakBefore w:val="0"/>
              <w:widowControl w:val="0"/>
              <w:kinsoku/>
              <w:wordWrap/>
              <w:overflowPunct/>
              <w:bidi w:val="0"/>
              <w:spacing w:line="360" w:lineRule="auto"/>
              <w:ind w:firstLine="420"/>
              <w:jc w:val="center"/>
              <w:textAlignment w:val="auto"/>
              <w:rPr>
                <w:rFonts w:hint="eastAsia" w:cs="宋体"/>
                <w:color w:val="000000"/>
                <w:sz w:val="24"/>
                <w:szCs w:val="24"/>
                <w:shd w:val="clear" w:color="auto" w:fill="auto"/>
              </w:rPr>
            </w:pPr>
          </w:p>
        </w:tc>
        <w:tc>
          <w:tcPr>
            <w:tcW w:w="1416" w:type="dxa"/>
            <w:vMerge w:val="continue"/>
            <w:vAlign w:val="center"/>
          </w:tcPr>
          <w:p>
            <w:pPr>
              <w:pageBreakBefore w:val="0"/>
              <w:widowControl w:val="0"/>
              <w:kinsoku/>
              <w:wordWrap/>
              <w:overflowPunct/>
              <w:bidi w:val="0"/>
              <w:spacing w:line="360" w:lineRule="auto"/>
              <w:ind w:firstLine="420"/>
              <w:jc w:val="center"/>
              <w:textAlignment w:val="auto"/>
              <w:rPr>
                <w:rFonts w:hint="eastAsia" w:cs="宋体"/>
                <w:color w:val="000000"/>
                <w:sz w:val="24"/>
                <w:szCs w:val="24"/>
                <w:shd w:val="clear" w:color="auto" w:fill="auto"/>
              </w:rPr>
            </w:pPr>
          </w:p>
        </w:tc>
        <w:tc>
          <w:tcPr>
            <w:tcW w:w="2119" w:type="dxa"/>
            <w:gridSpan w:val="4"/>
            <w:vAlign w:val="center"/>
          </w:tcPr>
          <w:p>
            <w:pPr>
              <w:pageBreakBefore w:val="0"/>
              <w:widowControl w:val="0"/>
              <w:kinsoku/>
              <w:wordWrap/>
              <w:overflowPunct/>
              <w:bidi w:val="0"/>
              <w:spacing w:line="360" w:lineRule="auto"/>
              <w:ind w:firstLine="0" w:firstLineChars="0"/>
              <w:jc w:val="center"/>
              <w:textAlignment w:val="auto"/>
              <w:rPr>
                <w:rFonts w:hint="eastAsia" w:cs="宋体"/>
                <w:color w:val="000000"/>
                <w:sz w:val="24"/>
                <w:szCs w:val="24"/>
                <w:shd w:val="clear" w:color="auto" w:fill="auto"/>
              </w:rPr>
            </w:pPr>
            <w:r>
              <w:rPr>
                <w:rFonts w:hint="eastAsia" w:cs="宋体"/>
                <w:color w:val="000000"/>
                <w:sz w:val="24"/>
                <w:szCs w:val="24"/>
                <w:shd w:val="clear" w:color="auto" w:fill="auto"/>
              </w:rPr>
              <w:t>中级职称人员</w:t>
            </w:r>
          </w:p>
        </w:tc>
        <w:tc>
          <w:tcPr>
            <w:tcW w:w="2082" w:type="dxa"/>
            <w:gridSpan w:val="2"/>
            <w:vAlign w:val="center"/>
          </w:tcPr>
          <w:p>
            <w:pPr>
              <w:pageBreakBefore w:val="0"/>
              <w:widowControl w:val="0"/>
              <w:kinsoku/>
              <w:wordWrap/>
              <w:overflowPunct/>
              <w:bidi w:val="0"/>
              <w:spacing w:line="360" w:lineRule="auto"/>
              <w:ind w:firstLine="420"/>
              <w:jc w:val="center"/>
              <w:textAlignment w:val="auto"/>
              <w:rPr>
                <w:rFonts w:hint="eastAsia" w:cs="宋体"/>
                <w:color w:val="000000"/>
                <w:sz w:val="24"/>
                <w:szCs w:val="24"/>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777" w:hRule="exact"/>
          <w:jc w:val="center"/>
        </w:trPr>
        <w:tc>
          <w:tcPr>
            <w:tcW w:w="1942" w:type="dxa"/>
            <w:vAlign w:val="center"/>
          </w:tcPr>
          <w:p>
            <w:pPr>
              <w:pageBreakBefore w:val="0"/>
              <w:widowControl w:val="0"/>
              <w:kinsoku/>
              <w:wordWrap/>
              <w:overflowPunct/>
              <w:bidi w:val="0"/>
              <w:spacing w:line="360" w:lineRule="auto"/>
              <w:ind w:firstLine="0" w:firstLineChars="0"/>
              <w:jc w:val="center"/>
              <w:textAlignment w:val="auto"/>
              <w:rPr>
                <w:rFonts w:hint="eastAsia" w:cs="宋体"/>
                <w:color w:val="000000"/>
                <w:sz w:val="24"/>
                <w:szCs w:val="24"/>
                <w:shd w:val="clear" w:color="auto" w:fill="auto"/>
              </w:rPr>
            </w:pPr>
            <w:r>
              <w:rPr>
                <w:rFonts w:hint="eastAsia" w:cs="宋体"/>
                <w:color w:val="000000"/>
                <w:sz w:val="24"/>
                <w:szCs w:val="24"/>
                <w:shd w:val="clear" w:color="auto" w:fill="auto"/>
              </w:rPr>
              <w:t>基本账户开户银行</w:t>
            </w:r>
          </w:p>
        </w:tc>
        <w:tc>
          <w:tcPr>
            <w:tcW w:w="2080" w:type="dxa"/>
            <w:gridSpan w:val="2"/>
            <w:vAlign w:val="center"/>
          </w:tcPr>
          <w:p>
            <w:pPr>
              <w:pageBreakBefore w:val="0"/>
              <w:widowControl w:val="0"/>
              <w:kinsoku/>
              <w:wordWrap/>
              <w:overflowPunct/>
              <w:bidi w:val="0"/>
              <w:spacing w:line="360" w:lineRule="auto"/>
              <w:ind w:firstLine="420"/>
              <w:jc w:val="center"/>
              <w:textAlignment w:val="auto"/>
              <w:rPr>
                <w:rFonts w:hint="eastAsia" w:cs="宋体"/>
                <w:color w:val="000000"/>
                <w:sz w:val="24"/>
                <w:szCs w:val="24"/>
                <w:shd w:val="clear" w:color="auto" w:fill="auto"/>
              </w:rPr>
            </w:pPr>
          </w:p>
        </w:tc>
        <w:tc>
          <w:tcPr>
            <w:tcW w:w="1416" w:type="dxa"/>
            <w:vMerge w:val="continue"/>
            <w:vAlign w:val="center"/>
          </w:tcPr>
          <w:p>
            <w:pPr>
              <w:pageBreakBefore w:val="0"/>
              <w:widowControl w:val="0"/>
              <w:kinsoku/>
              <w:wordWrap/>
              <w:overflowPunct/>
              <w:bidi w:val="0"/>
              <w:spacing w:line="360" w:lineRule="auto"/>
              <w:ind w:firstLine="420"/>
              <w:jc w:val="center"/>
              <w:textAlignment w:val="auto"/>
              <w:rPr>
                <w:rFonts w:hint="eastAsia" w:cs="宋体"/>
                <w:color w:val="000000"/>
                <w:sz w:val="24"/>
                <w:szCs w:val="24"/>
                <w:shd w:val="clear" w:color="auto" w:fill="auto"/>
              </w:rPr>
            </w:pPr>
          </w:p>
        </w:tc>
        <w:tc>
          <w:tcPr>
            <w:tcW w:w="2119" w:type="dxa"/>
            <w:gridSpan w:val="4"/>
            <w:vAlign w:val="center"/>
          </w:tcPr>
          <w:p>
            <w:pPr>
              <w:pageBreakBefore w:val="0"/>
              <w:widowControl w:val="0"/>
              <w:kinsoku/>
              <w:wordWrap/>
              <w:overflowPunct/>
              <w:bidi w:val="0"/>
              <w:spacing w:line="360" w:lineRule="auto"/>
              <w:ind w:firstLine="0" w:firstLineChars="0"/>
              <w:jc w:val="center"/>
              <w:textAlignment w:val="auto"/>
              <w:rPr>
                <w:rFonts w:hint="eastAsia" w:cs="宋体"/>
                <w:color w:val="000000"/>
                <w:sz w:val="24"/>
                <w:szCs w:val="24"/>
                <w:shd w:val="clear" w:color="auto" w:fill="auto"/>
              </w:rPr>
            </w:pPr>
            <w:r>
              <w:rPr>
                <w:rFonts w:hint="eastAsia" w:cs="宋体"/>
                <w:color w:val="000000"/>
                <w:sz w:val="24"/>
                <w:szCs w:val="24"/>
                <w:shd w:val="clear" w:color="auto" w:fill="auto"/>
              </w:rPr>
              <w:t>初级职称人员</w:t>
            </w:r>
          </w:p>
        </w:tc>
        <w:tc>
          <w:tcPr>
            <w:tcW w:w="2082" w:type="dxa"/>
            <w:gridSpan w:val="2"/>
            <w:vAlign w:val="center"/>
          </w:tcPr>
          <w:p>
            <w:pPr>
              <w:pageBreakBefore w:val="0"/>
              <w:widowControl w:val="0"/>
              <w:kinsoku/>
              <w:wordWrap/>
              <w:overflowPunct/>
              <w:bidi w:val="0"/>
              <w:spacing w:line="360" w:lineRule="auto"/>
              <w:ind w:firstLine="420"/>
              <w:jc w:val="center"/>
              <w:textAlignment w:val="auto"/>
              <w:rPr>
                <w:rFonts w:hint="eastAsia" w:cs="宋体"/>
                <w:color w:val="000000"/>
                <w:sz w:val="24"/>
                <w:szCs w:val="24"/>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788" w:hRule="exact"/>
          <w:jc w:val="center"/>
        </w:trPr>
        <w:tc>
          <w:tcPr>
            <w:tcW w:w="1942" w:type="dxa"/>
            <w:vAlign w:val="center"/>
          </w:tcPr>
          <w:p>
            <w:pPr>
              <w:pageBreakBefore w:val="0"/>
              <w:widowControl w:val="0"/>
              <w:kinsoku/>
              <w:wordWrap/>
              <w:overflowPunct/>
              <w:bidi w:val="0"/>
              <w:spacing w:line="360" w:lineRule="auto"/>
              <w:ind w:firstLine="0" w:firstLineChars="0"/>
              <w:jc w:val="center"/>
              <w:textAlignment w:val="auto"/>
              <w:rPr>
                <w:rFonts w:hint="eastAsia" w:cs="宋体"/>
                <w:color w:val="000000"/>
                <w:sz w:val="24"/>
                <w:szCs w:val="24"/>
                <w:shd w:val="clear" w:color="auto" w:fill="auto"/>
              </w:rPr>
            </w:pPr>
            <w:r>
              <w:rPr>
                <w:rFonts w:hint="eastAsia" w:cs="宋体"/>
                <w:color w:val="000000"/>
                <w:sz w:val="24"/>
                <w:szCs w:val="24"/>
                <w:shd w:val="clear" w:color="auto" w:fill="auto"/>
              </w:rPr>
              <w:t>基本账户账号</w:t>
            </w:r>
          </w:p>
        </w:tc>
        <w:tc>
          <w:tcPr>
            <w:tcW w:w="2080" w:type="dxa"/>
            <w:gridSpan w:val="2"/>
            <w:vAlign w:val="center"/>
          </w:tcPr>
          <w:p>
            <w:pPr>
              <w:pageBreakBefore w:val="0"/>
              <w:widowControl w:val="0"/>
              <w:kinsoku/>
              <w:wordWrap/>
              <w:overflowPunct/>
              <w:bidi w:val="0"/>
              <w:spacing w:line="360" w:lineRule="auto"/>
              <w:ind w:firstLine="420"/>
              <w:jc w:val="center"/>
              <w:textAlignment w:val="auto"/>
              <w:rPr>
                <w:rFonts w:hint="eastAsia" w:cs="宋体"/>
                <w:color w:val="000000"/>
                <w:sz w:val="24"/>
                <w:szCs w:val="24"/>
                <w:shd w:val="clear" w:color="auto" w:fill="auto"/>
              </w:rPr>
            </w:pPr>
          </w:p>
        </w:tc>
        <w:tc>
          <w:tcPr>
            <w:tcW w:w="1416" w:type="dxa"/>
            <w:vMerge w:val="continue"/>
            <w:vAlign w:val="center"/>
          </w:tcPr>
          <w:p>
            <w:pPr>
              <w:pageBreakBefore w:val="0"/>
              <w:widowControl w:val="0"/>
              <w:kinsoku/>
              <w:wordWrap/>
              <w:overflowPunct/>
              <w:bidi w:val="0"/>
              <w:spacing w:line="360" w:lineRule="auto"/>
              <w:ind w:firstLine="420"/>
              <w:jc w:val="center"/>
              <w:textAlignment w:val="auto"/>
              <w:rPr>
                <w:rFonts w:hint="eastAsia" w:cs="宋体"/>
                <w:color w:val="000000"/>
                <w:sz w:val="24"/>
                <w:szCs w:val="24"/>
                <w:shd w:val="clear" w:color="auto" w:fill="auto"/>
              </w:rPr>
            </w:pPr>
          </w:p>
        </w:tc>
        <w:tc>
          <w:tcPr>
            <w:tcW w:w="2119" w:type="dxa"/>
            <w:gridSpan w:val="4"/>
            <w:vAlign w:val="center"/>
          </w:tcPr>
          <w:p>
            <w:pPr>
              <w:pageBreakBefore w:val="0"/>
              <w:widowControl w:val="0"/>
              <w:kinsoku/>
              <w:wordWrap/>
              <w:overflowPunct/>
              <w:bidi w:val="0"/>
              <w:spacing w:line="360" w:lineRule="auto"/>
              <w:ind w:firstLine="420"/>
              <w:jc w:val="center"/>
              <w:textAlignment w:val="auto"/>
              <w:rPr>
                <w:rFonts w:hint="eastAsia" w:cs="宋体"/>
                <w:color w:val="000000"/>
                <w:sz w:val="24"/>
                <w:szCs w:val="24"/>
                <w:shd w:val="clear" w:color="auto" w:fill="auto"/>
              </w:rPr>
            </w:pPr>
          </w:p>
        </w:tc>
        <w:tc>
          <w:tcPr>
            <w:tcW w:w="2082" w:type="dxa"/>
            <w:gridSpan w:val="2"/>
            <w:vAlign w:val="center"/>
          </w:tcPr>
          <w:p>
            <w:pPr>
              <w:pageBreakBefore w:val="0"/>
              <w:widowControl w:val="0"/>
              <w:kinsoku/>
              <w:wordWrap/>
              <w:overflowPunct/>
              <w:bidi w:val="0"/>
              <w:spacing w:line="360" w:lineRule="auto"/>
              <w:ind w:firstLine="420"/>
              <w:jc w:val="center"/>
              <w:textAlignment w:val="auto"/>
              <w:rPr>
                <w:rFonts w:hint="eastAsia" w:cs="宋体"/>
                <w:color w:val="000000"/>
                <w:sz w:val="24"/>
                <w:szCs w:val="24"/>
                <w:shd w:val="clear" w:color="auto" w:fill="auto"/>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925" w:hRule="exact"/>
          <w:jc w:val="center"/>
        </w:trPr>
        <w:tc>
          <w:tcPr>
            <w:tcW w:w="1942" w:type="dxa"/>
            <w:vAlign w:val="center"/>
          </w:tcPr>
          <w:p>
            <w:pPr>
              <w:pageBreakBefore w:val="0"/>
              <w:widowControl w:val="0"/>
              <w:kinsoku/>
              <w:wordWrap/>
              <w:overflowPunct/>
              <w:bidi w:val="0"/>
              <w:spacing w:line="360" w:lineRule="auto"/>
              <w:ind w:firstLine="0" w:firstLineChars="0"/>
              <w:jc w:val="center"/>
              <w:textAlignment w:val="auto"/>
              <w:rPr>
                <w:rFonts w:hint="eastAsia" w:cs="宋体"/>
                <w:color w:val="000000"/>
                <w:sz w:val="24"/>
                <w:szCs w:val="24"/>
                <w:shd w:val="clear" w:color="auto" w:fill="auto"/>
              </w:rPr>
            </w:pPr>
            <w:r>
              <w:rPr>
                <w:rFonts w:hint="eastAsia" w:cs="宋体"/>
                <w:color w:val="000000"/>
                <w:sz w:val="24"/>
                <w:szCs w:val="24"/>
                <w:shd w:val="clear" w:color="auto" w:fill="auto"/>
              </w:rPr>
              <w:t>备    注</w:t>
            </w:r>
          </w:p>
        </w:tc>
        <w:tc>
          <w:tcPr>
            <w:tcW w:w="7697" w:type="dxa"/>
            <w:gridSpan w:val="9"/>
            <w:vAlign w:val="center"/>
          </w:tcPr>
          <w:p>
            <w:pPr>
              <w:pageBreakBefore w:val="0"/>
              <w:widowControl w:val="0"/>
              <w:kinsoku/>
              <w:wordWrap/>
              <w:overflowPunct/>
              <w:bidi w:val="0"/>
              <w:spacing w:line="360" w:lineRule="auto"/>
              <w:ind w:firstLine="420"/>
              <w:jc w:val="center"/>
              <w:textAlignment w:val="auto"/>
              <w:rPr>
                <w:rFonts w:hint="eastAsia" w:cs="宋体"/>
                <w:color w:val="000000"/>
                <w:sz w:val="24"/>
                <w:szCs w:val="24"/>
                <w:shd w:val="clear" w:color="auto" w:fill="auto"/>
              </w:rPr>
            </w:pPr>
          </w:p>
        </w:tc>
      </w:tr>
    </w:tbl>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投标人名称（电子印章）：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投标人代表签字或</w:t>
      </w:r>
      <w:r>
        <w:rPr>
          <w:rFonts w:hint="eastAsia" w:ascii="宋体" w:hAnsi="宋体"/>
          <w:sz w:val="24"/>
          <w:lang w:eastAsia="zh-CN"/>
        </w:rPr>
        <w:t>电子印章</w:t>
      </w:r>
      <w:r>
        <w:rPr>
          <w:rFonts w:hint="eastAsia" w:ascii="宋体" w:hAnsi="宋体"/>
          <w:sz w:val="24"/>
        </w:rPr>
        <w:t>：</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2"/>
        <w:shd w:val="clear" w:color="auto"/>
        <w:spacing w:before="0" w:beforeAutospacing="0" w:after="0" w:afterAutospacing="0" w:line="360" w:lineRule="auto"/>
        <w:ind w:firstLine="424" w:firstLineChars="177"/>
        <w:rPr>
          <w:b/>
          <w:bCs/>
          <w:color w:val="000000"/>
          <w:spacing w:val="11"/>
        </w:rPr>
      </w:pPr>
      <w:r>
        <w:rPr>
          <w:rFonts w:hint="eastAsia"/>
        </w:rPr>
        <w:t>日        期：</w:t>
      </w:r>
      <w:r>
        <w:rPr>
          <w:rFonts w:hint="eastAsia"/>
          <w:color w:val="000000"/>
        </w:rPr>
        <w:t>：</w:t>
      </w:r>
    </w:p>
    <w:p>
      <w:pPr>
        <w:spacing w:line="360" w:lineRule="auto"/>
        <w:rPr>
          <w:rFonts w:ascii="宋体" w:hAnsi="宋体"/>
          <w:b/>
          <w:sz w:val="24"/>
        </w:rPr>
      </w:pPr>
    </w:p>
    <w:p>
      <w:pPr>
        <w:pStyle w:val="20"/>
        <w:rPr>
          <w:rFonts w:ascii="宋体" w:hAnsi="宋体"/>
          <w:b/>
          <w:sz w:val="24"/>
        </w:rPr>
      </w:pPr>
    </w:p>
    <w:p>
      <w:pPr>
        <w:pStyle w:val="20"/>
        <w:rPr>
          <w:rFonts w:ascii="宋体" w:hAnsi="宋体"/>
          <w:b/>
          <w:sz w:val="24"/>
        </w:rPr>
      </w:pPr>
    </w:p>
    <w:p>
      <w:pPr>
        <w:pStyle w:val="20"/>
        <w:rPr>
          <w:rFonts w:ascii="宋体" w:hAnsi="宋体"/>
          <w:b/>
          <w:sz w:val="24"/>
        </w:rPr>
      </w:pPr>
    </w:p>
    <w:p>
      <w:pPr>
        <w:pStyle w:val="20"/>
        <w:rPr>
          <w:rFonts w:ascii="宋体" w:hAnsi="宋体"/>
          <w:b/>
          <w:sz w:val="24"/>
        </w:rPr>
      </w:pPr>
    </w:p>
    <w:p>
      <w:pPr>
        <w:pStyle w:val="20"/>
        <w:rPr>
          <w:rFonts w:ascii="宋体" w:hAnsi="宋体"/>
          <w:b/>
          <w:sz w:val="24"/>
        </w:rPr>
      </w:pPr>
    </w:p>
    <w:p>
      <w:pPr>
        <w:pStyle w:val="20"/>
        <w:rPr>
          <w:rFonts w:ascii="宋体" w:hAnsi="宋体"/>
          <w:b/>
          <w:sz w:val="24"/>
        </w:rPr>
      </w:pPr>
    </w:p>
    <w:p>
      <w:pPr>
        <w:pStyle w:val="20"/>
        <w:rPr>
          <w:rFonts w:ascii="宋体" w:hAnsi="宋体"/>
          <w:b/>
          <w:sz w:val="24"/>
        </w:rPr>
      </w:pPr>
    </w:p>
    <w:p>
      <w:pPr>
        <w:pStyle w:val="20"/>
        <w:ind w:left="0" w:leftChars="0" w:firstLine="0" w:firstLineChars="0"/>
        <w:rPr>
          <w:rFonts w:hint="eastAsia" w:ascii="宋体" w:hAnsi="宋体"/>
          <w:b/>
          <w:sz w:val="28"/>
          <w:szCs w:val="28"/>
          <w:lang w:val="en-US" w:eastAsia="zh-CN"/>
        </w:rPr>
      </w:pPr>
      <w:r>
        <w:rPr>
          <w:rFonts w:hint="eastAsia" w:ascii="宋体" w:hAnsi="宋体"/>
          <w:b/>
          <w:sz w:val="28"/>
          <w:szCs w:val="28"/>
          <w:lang w:val="en-US" w:eastAsia="zh-CN"/>
        </w:rPr>
        <w:t>附件4</w:t>
      </w:r>
    </w:p>
    <w:p>
      <w:pPr>
        <w:snapToGrid w:val="0"/>
        <w:spacing w:before="156" w:beforeLines="50" w:after="50" w:line="360" w:lineRule="auto"/>
        <w:jc w:val="center"/>
        <w:rPr>
          <w:rFonts w:hint="eastAsia" w:ascii="宋体" w:hAnsi="宋体"/>
          <w:b/>
          <w:sz w:val="32"/>
          <w:szCs w:val="32"/>
        </w:rPr>
      </w:pPr>
      <w:r>
        <w:rPr>
          <w:rFonts w:hint="eastAsia" w:ascii="宋体" w:hAnsi="宋体"/>
          <w:b/>
          <w:sz w:val="32"/>
          <w:szCs w:val="32"/>
          <w:lang w:eastAsia="zh-CN"/>
        </w:rPr>
        <w:t>招标需求响应</w:t>
      </w:r>
      <w:r>
        <w:rPr>
          <w:rFonts w:hint="eastAsia" w:ascii="宋体" w:hAnsi="宋体"/>
          <w:b/>
          <w:sz w:val="32"/>
          <w:szCs w:val="32"/>
        </w:rPr>
        <w:t>承诺函</w:t>
      </w:r>
    </w:p>
    <w:p>
      <w:pPr>
        <w:pStyle w:val="2"/>
        <w:pageBreakBefore w:val="0"/>
        <w:widowControl w:val="0"/>
        <w:kinsoku/>
        <w:wordWrap/>
        <w:overflowPunct/>
        <w:topLinePunct w:val="0"/>
        <w:bidi w:val="0"/>
        <w:spacing w:line="360" w:lineRule="auto"/>
        <w:ind w:firstLine="454"/>
        <w:jc w:val="center"/>
        <w:textAlignment w:val="auto"/>
        <w:rPr>
          <w:rFonts w:hint="eastAsia" w:cs="宋体"/>
          <w:b/>
          <w:color w:val="000000"/>
          <w:sz w:val="24"/>
          <w:szCs w:val="24"/>
          <w:shd w:val="clear" w:color="auto" w:fill="auto"/>
        </w:rPr>
      </w:pPr>
    </w:p>
    <w:p>
      <w:pPr>
        <w:pageBreakBefore w:val="0"/>
        <w:widowControl w:val="0"/>
        <w:kinsoku/>
        <w:wordWrap/>
        <w:overflowPunct/>
        <w:topLinePunct w:val="0"/>
        <w:bidi w:val="0"/>
        <w:spacing w:line="360" w:lineRule="auto"/>
        <w:ind w:left="0" w:leftChars="0" w:firstLine="0" w:firstLineChars="0"/>
        <w:textAlignment w:val="auto"/>
        <w:rPr>
          <w:rFonts w:hint="eastAsia" w:cs="宋体"/>
          <w:color w:val="000000"/>
          <w:sz w:val="24"/>
          <w:szCs w:val="24"/>
          <w:shd w:val="clear" w:color="auto" w:fill="auto"/>
        </w:rPr>
      </w:pPr>
      <w:r>
        <w:rPr>
          <w:rFonts w:hint="eastAsia" w:cs="宋体"/>
          <w:color w:val="000000"/>
          <w:sz w:val="24"/>
          <w:szCs w:val="24"/>
          <w:shd w:val="clear" w:color="auto" w:fill="auto"/>
        </w:rPr>
        <w:t>致：</w:t>
      </w:r>
      <w:r>
        <w:rPr>
          <w:rFonts w:hint="eastAsia" w:cs="宋体"/>
          <w:color w:val="000000"/>
          <w:sz w:val="24"/>
          <w:szCs w:val="24"/>
          <w:u w:val="single"/>
          <w:shd w:val="clear" w:color="auto" w:fill="auto"/>
        </w:rPr>
        <w:t>（</w:t>
      </w:r>
      <w:r>
        <w:rPr>
          <w:rFonts w:hint="eastAsia" w:cs="宋体"/>
          <w:color w:val="000000"/>
          <w:sz w:val="24"/>
          <w:szCs w:val="24"/>
          <w:u w:val="single"/>
          <w:shd w:val="clear" w:color="auto" w:fill="auto"/>
          <w:lang w:eastAsia="zh-CN"/>
        </w:rPr>
        <w:t>采购</w:t>
      </w:r>
      <w:r>
        <w:rPr>
          <w:rFonts w:hint="eastAsia" w:cs="宋体"/>
          <w:color w:val="000000"/>
          <w:sz w:val="24"/>
          <w:szCs w:val="24"/>
          <w:u w:val="single"/>
          <w:shd w:val="clear" w:color="auto" w:fill="auto"/>
        </w:rPr>
        <w:t>人名称）</w:t>
      </w:r>
    </w:p>
    <w:p>
      <w:pPr>
        <w:pageBreakBefore w:val="0"/>
        <w:widowControl w:val="0"/>
        <w:tabs>
          <w:tab w:val="left" w:pos="3240"/>
        </w:tabs>
        <w:kinsoku/>
        <w:wordWrap/>
        <w:overflowPunct/>
        <w:topLinePunct w:val="0"/>
        <w:bidi w:val="0"/>
        <w:spacing w:line="360" w:lineRule="auto"/>
        <w:ind w:left="0" w:leftChars="0" w:firstLine="0" w:firstLineChars="0"/>
        <w:textAlignment w:val="auto"/>
        <w:rPr>
          <w:rFonts w:hint="eastAsia" w:cs="宋体"/>
          <w:color w:val="000000"/>
          <w:sz w:val="24"/>
          <w:szCs w:val="24"/>
          <w:shd w:val="clear" w:color="auto" w:fill="auto"/>
        </w:rPr>
      </w:pPr>
      <w:r>
        <w:rPr>
          <w:rFonts w:hint="eastAsia" w:cs="宋体"/>
          <w:color w:val="000000"/>
          <w:sz w:val="24"/>
          <w:szCs w:val="24"/>
          <w:shd w:val="clear" w:color="auto" w:fill="auto"/>
        </w:rPr>
        <w:t>关于</w:t>
      </w:r>
      <w:r>
        <w:rPr>
          <w:rFonts w:hint="eastAsia" w:cs="宋体"/>
          <w:color w:val="000000"/>
          <w:sz w:val="24"/>
          <w:szCs w:val="24"/>
          <w:u w:val="single"/>
          <w:shd w:val="clear" w:color="auto" w:fill="auto"/>
        </w:rPr>
        <w:t>（项目名称）</w:t>
      </w:r>
      <w:r>
        <w:rPr>
          <w:rFonts w:hint="eastAsia" w:cs="宋体"/>
          <w:color w:val="000000"/>
          <w:sz w:val="24"/>
          <w:szCs w:val="24"/>
          <w:shd w:val="clear" w:color="auto" w:fill="auto"/>
        </w:rPr>
        <w:t>项目</w:t>
      </w:r>
      <w:r>
        <w:rPr>
          <w:rFonts w:hint="eastAsia" w:cs="宋体"/>
          <w:color w:val="000000"/>
          <w:sz w:val="24"/>
          <w:szCs w:val="24"/>
          <w:shd w:val="clear" w:color="auto" w:fill="auto"/>
          <w:lang w:eastAsia="zh-CN"/>
        </w:rPr>
        <w:t>招标需求</w:t>
      </w:r>
      <w:r>
        <w:rPr>
          <w:rFonts w:hint="eastAsia" w:cs="宋体"/>
          <w:color w:val="000000"/>
          <w:sz w:val="24"/>
          <w:szCs w:val="24"/>
          <w:shd w:val="clear" w:color="auto" w:fill="auto"/>
        </w:rPr>
        <w:t>事宜，我公司在此郑重承诺：</w:t>
      </w:r>
    </w:p>
    <w:p>
      <w:pPr>
        <w:pageBreakBefore w:val="0"/>
        <w:widowControl w:val="0"/>
        <w:tabs>
          <w:tab w:val="left" w:pos="3240"/>
        </w:tabs>
        <w:kinsoku/>
        <w:wordWrap/>
        <w:overflowPunct/>
        <w:topLinePunct w:val="0"/>
        <w:bidi w:val="0"/>
        <w:spacing w:line="360" w:lineRule="auto"/>
        <w:ind w:firstLine="480" w:firstLineChars="200"/>
        <w:textAlignment w:val="auto"/>
        <w:rPr>
          <w:rFonts w:hint="eastAsia" w:cs="宋体"/>
          <w:color w:val="000000"/>
          <w:sz w:val="24"/>
          <w:szCs w:val="24"/>
          <w:shd w:val="clear" w:color="auto" w:fill="auto"/>
        </w:rPr>
      </w:pPr>
      <w:r>
        <w:rPr>
          <w:rFonts w:hint="eastAsia" w:cs="宋体"/>
          <w:color w:val="000000"/>
          <w:sz w:val="24"/>
          <w:szCs w:val="24"/>
          <w:shd w:val="clear" w:color="auto" w:fill="auto"/>
        </w:rPr>
        <w:t>我</w:t>
      </w:r>
      <w:r>
        <w:rPr>
          <w:rFonts w:hint="eastAsia" w:cs="宋体"/>
          <w:color w:val="000000"/>
          <w:sz w:val="24"/>
          <w:szCs w:val="24"/>
          <w:shd w:val="clear" w:color="auto" w:fill="auto"/>
          <w:lang w:eastAsia="zh-CN"/>
        </w:rPr>
        <w:t>公司完全响应本项目招标需求，</w:t>
      </w:r>
      <w:r>
        <w:rPr>
          <w:rFonts w:hint="eastAsia" w:cs="宋体"/>
          <w:color w:val="000000"/>
          <w:sz w:val="24"/>
          <w:szCs w:val="24"/>
          <w:shd w:val="clear" w:color="auto" w:fill="auto"/>
        </w:rPr>
        <w:t>如果我公司</w:t>
      </w:r>
      <w:r>
        <w:rPr>
          <w:rFonts w:hint="eastAsia" w:cs="宋体"/>
          <w:color w:val="000000"/>
          <w:sz w:val="24"/>
          <w:szCs w:val="24"/>
          <w:shd w:val="clear" w:color="auto" w:fill="auto"/>
          <w:lang w:eastAsia="zh-CN"/>
        </w:rPr>
        <w:t>能够</w:t>
      </w:r>
      <w:r>
        <w:rPr>
          <w:rFonts w:hint="eastAsia" w:cs="宋体"/>
          <w:color w:val="000000"/>
          <w:sz w:val="24"/>
          <w:szCs w:val="24"/>
          <w:shd w:val="clear" w:color="auto" w:fill="auto"/>
          <w:lang w:val="en-US" w:eastAsia="zh-CN"/>
        </w:rPr>
        <w:t>中标</w:t>
      </w:r>
      <w:r>
        <w:rPr>
          <w:rFonts w:hint="eastAsia" w:cs="宋体"/>
          <w:color w:val="000000"/>
          <w:sz w:val="24"/>
          <w:szCs w:val="24"/>
          <w:shd w:val="clear" w:color="auto" w:fill="auto"/>
        </w:rPr>
        <w:t>，</w:t>
      </w:r>
      <w:r>
        <w:rPr>
          <w:rFonts w:hint="eastAsia" w:cs="宋体"/>
          <w:color w:val="000000"/>
          <w:sz w:val="24"/>
          <w:szCs w:val="24"/>
          <w:shd w:val="clear" w:color="auto" w:fill="auto"/>
          <w:lang w:eastAsia="zh-CN"/>
        </w:rPr>
        <w:t>将提供不低于本招标文件要求的服务。</w:t>
      </w:r>
    </w:p>
    <w:p>
      <w:pPr>
        <w:pStyle w:val="20"/>
        <w:ind w:left="0" w:leftChars="0" w:firstLine="480" w:firstLineChars="200"/>
        <w:rPr>
          <w:rFonts w:hint="eastAsia" w:eastAsia="宋体" w:cs="宋体"/>
          <w:color w:val="000000"/>
          <w:sz w:val="24"/>
          <w:szCs w:val="24"/>
          <w:shd w:val="clear" w:color="auto" w:fill="auto"/>
          <w:lang w:eastAsia="zh-CN"/>
        </w:rPr>
      </w:pPr>
      <w:r>
        <w:rPr>
          <w:rFonts w:hint="eastAsia" w:cs="宋体"/>
          <w:color w:val="000000"/>
          <w:sz w:val="24"/>
          <w:szCs w:val="24"/>
          <w:shd w:val="clear" w:color="auto" w:fill="auto"/>
        </w:rPr>
        <w:t>特此承诺</w:t>
      </w:r>
      <w:r>
        <w:rPr>
          <w:rFonts w:hint="eastAsia" w:cs="宋体"/>
          <w:color w:val="000000"/>
          <w:sz w:val="24"/>
          <w:szCs w:val="24"/>
          <w:shd w:val="clear" w:color="auto" w:fill="auto"/>
          <w:lang w:eastAsia="zh-CN"/>
        </w:rPr>
        <w:t>！</w:t>
      </w:r>
    </w:p>
    <w:p>
      <w:pPr>
        <w:pStyle w:val="20"/>
        <w:ind w:left="0" w:leftChars="0" w:firstLine="0" w:firstLineChars="0"/>
        <w:rPr>
          <w:rFonts w:hint="eastAsia" w:cs="宋体"/>
          <w:color w:val="000000"/>
          <w:sz w:val="24"/>
          <w:szCs w:val="24"/>
          <w:shd w:val="clear" w:color="auto" w:fill="auto"/>
        </w:rPr>
      </w:pPr>
    </w:p>
    <w:p>
      <w:pPr>
        <w:pStyle w:val="20"/>
        <w:ind w:left="0" w:leftChars="0" w:firstLine="0" w:firstLineChars="0"/>
        <w:rPr>
          <w:rFonts w:hint="eastAsia" w:cs="宋体"/>
          <w:color w:val="000000"/>
          <w:sz w:val="24"/>
          <w:szCs w:val="24"/>
          <w:shd w:val="clear" w:color="auto" w:fill="auto"/>
        </w:rPr>
      </w:pPr>
    </w:p>
    <w:p>
      <w:pPr>
        <w:spacing w:line="360" w:lineRule="auto"/>
        <w:ind w:left="420"/>
        <w:rPr>
          <w:rFonts w:ascii="宋体" w:hAnsi="宋体"/>
          <w:sz w:val="24"/>
          <w:u w:val="single"/>
        </w:rPr>
      </w:pPr>
      <w:r>
        <w:rPr>
          <w:rFonts w:hint="eastAsia" w:ascii="宋体" w:hAnsi="宋体"/>
          <w:sz w:val="24"/>
        </w:rPr>
        <w:t>投标人名称（</w:t>
      </w:r>
      <w:r>
        <w:rPr>
          <w:rFonts w:hint="eastAsia" w:ascii="宋体" w:hAnsi="宋体"/>
          <w:sz w:val="24"/>
          <w:lang w:eastAsia="zh-CN"/>
        </w:rPr>
        <w:t>电子印章</w:t>
      </w:r>
      <w:r>
        <w:rPr>
          <w:rFonts w:hint="eastAsia" w:ascii="宋体" w:hAnsi="宋体"/>
          <w:sz w:val="24"/>
        </w:rPr>
        <w:t>）：</w:t>
      </w:r>
    </w:p>
    <w:p>
      <w:pPr>
        <w:spacing w:line="360" w:lineRule="auto"/>
        <w:ind w:firstLine="435"/>
        <w:rPr>
          <w:rFonts w:ascii="宋体" w:hAnsi="宋体"/>
          <w:sz w:val="24"/>
        </w:rPr>
      </w:pPr>
      <w:r>
        <w:rPr>
          <w:rFonts w:hint="eastAsia" w:ascii="宋体" w:hAnsi="宋体"/>
          <w:sz w:val="24"/>
        </w:rPr>
        <w:t>投标人代表签字或</w:t>
      </w:r>
      <w:r>
        <w:rPr>
          <w:rFonts w:hint="eastAsia" w:ascii="宋体" w:hAnsi="宋体"/>
          <w:sz w:val="24"/>
          <w:lang w:eastAsia="zh-CN"/>
        </w:rPr>
        <w:t>电子印章</w:t>
      </w:r>
      <w:r>
        <w:rPr>
          <w:rFonts w:hint="eastAsia" w:ascii="宋体" w:hAnsi="宋体"/>
          <w:sz w:val="24"/>
        </w:rPr>
        <w:t>：</w:t>
      </w: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r>
        <w:rPr>
          <w:rFonts w:hint="eastAsia" w:ascii="宋体" w:hAnsi="宋体"/>
          <w:sz w:val="24"/>
        </w:rPr>
        <w:t>日        期：</w:t>
      </w:r>
    </w:p>
    <w:p>
      <w:pPr>
        <w:pStyle w:val="20"/>
        <w:ind w:left="0" w:leftChars="0" w:firstLine="0" w:firstLineChars="0"/>
        <w:rPr>
          <w:rFonts w:hint="default" w:cs="宋体"/>
          <w:color w:val="000000"/>
          <w:sz w:val="24"/>
          <w:szCs w:val="24"/>
          <w:shd w:val="clear" w:color="auto" w:fill="auto"/>
          <w:lang w:val="en-US" w:eastAsia="zh-CN"/>
        </w:rPr>
      </w:pPr>
    </w:p>
    <w:p>
      <w:pPr>
        <w:pStyle w:val="20"/>
        <w:ind w:left="0" w:leftChars="0" w:firstLine="0" w:firstLineChars="0"/>
        <w:rPr>
          <w:rFonts w:hint="default" w:cs="宋体"/>
          <w:color w:val="000000"/>
          <w:sz w:val="24"/>
          <w:szCs w:val="24"/>
          <w:shd w:val="clear" w:color="auto" w:fill="auto"/>
          <w:lang w:val="en-US" w:eastAsia="zh-CN"/>
        </w:rPr>
      </w:pPr>
    </w:p>
    <w:p>
      <w:pPr>
        <w:pStyle w:val="20"/>
        <w:ind w:left="0" w:leftChars="0" w:firstLine="0" w:firstLineChars="0"/>
        <w:rPr>
          <w:rFonts w:hint="default" w:cs="宋体"/>
          <w:color w:val="000000"/>
          <w:sz w:val="24"/>
          <w:szCs w:val="24"/>
          <w:shd w:val="clear" w:color="auto" w:fill="auto"/>
          <w:lang w:val="en-US" w:eastAsia="zh-CN"/>
        </w:rPr>
      </w:pPr>
    </w:p>
    <w:p>
      <w:pPr>
        <w:spacing w:line="360" w:lineRule="auto"/>
        <w:rPr>
          <w:rFonts w:hint="eastAsia" w:ascii="宋体" w:hAnsi="宋体" w:eastAsia="宋体"/>
          <w:sz w:val="24"/>
          <w:lang w:eastAsia="zh-CN"/>
        </w:rPr>
      </w:pPr>
      <w:r>
        <w:rPr>
          <w:rFonts w:hint="eastAsia" w:ascii="宋体" w:hAnsi="宋体"/>
          <w:b/>
          <w:sz w:val="28"/>
        </w:rPr>
        <w:t>附件</w:t>
      </w:r>
      <w:r>
        <w:rPr>
          <w:rFonts w:hint="eastAsia" w:ascii="宋体" w:hAnsi="宋体"/>
          <w:b/>
          <w:sz w:val="28"/>
          <w:lang w:val="en-US" w:eastAsia="zh-CN"/>
        </w:rPr>
        <w:t>5</w:t>
      </w:r>
    </w:p>
    <w:p>
      <w:pPr>
        <w:snapToGrid w:val="0"/>
        <w:spacing w:before="156" w:beforeLines="50" w:after="50" w:line="360" w:lineRule="auto"/>
        <w:jc w:val="center"/>
        <w:rPr>
          <w:rFonts w:ascii="宋体" w:hAnsi="宋体"/>
          <w:b/>
          <w:sz w:val="36"/>
          <w:szCs w:val="36"/>
        </w:rPr>
      </w:pPr>
      <w:r>
        <w:rPr>
          <w:rFonts w:hint="eastAsia" w:ascii="宋体" w:hAnsi="宋体"/>
          <w:b/>
          <w:sz w:val="32"/>
          <w:szCs w:val="32"/>
        </w:rPr>
        <w:t>项目</w:t>
      </w:r>
      <w:r>
        <w:rPr>
          <w:rFonts w:hint="eastAsia" w:ascii="宋体" w:hAnsi="宋体"/>
          <w:b/>
          <w:sz w:val="32"/>
          <w:szCs w:val="32"/>
          <w:lang w:val="en-US" w:eastAsia="zh-CN"/>
        </w:rPr>
        <w:t>服务</w:t>
      </w:r>
      <w:r>
        <w:rPr>
          <w:rFonts w:hint="eastAsia" w:ascii="宋体" w:hAnsi="宋体"/>
          <w:b/>
          <w:sz w:val="32"/>
          <w:szCs w:val="32"/>
        </w:rPr>
        <w:t>人员一览表</w:t>
      </w:r>
    </w:p>
    <w:tbl>
      <w:tblPr>
        <w:tblStyle w:val="21"/>
        <w:tblW w:w="9999" w:type="dxa"/>
        <w:jc w:val="center"/>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4"/>
        <w:gridCol w:w="737"/>
        <w:gridCol w:w="800"/>
        <w:gridCol w:w="1288"/>
        <w:gridCol w:w="1087"/>
        <w:gridCol w:w="1538"/>
        <w:gridCol w:w="1412"/>
        <w:gridCol w:w="1300"/>
        <w:gridCol w:w="14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24"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val="0"/>
              <w:spacing w:beforeLines="50" w:after="50" w:line="360" w:lineRule="auto"/>
              <w:jc w:val="center"/>
              <w:textAlignment w:val="auto"/>
              <w:rPr>
                <w:rFonts w:ascii="宋体" w:hAnsi="宋体"/>
                <w:b/>
                <w:sz w:val="24"/>
                <w:szCs w:val="24"/>
                <w:shd w:val="clear" w:color="auto" w:fill="auto"/>
              </w:rPr>
            </w:pPr>
            <w:r>
              <w:rPr>
                <w:rFonts w:hint="eastAsia" w:ascii="宋体" w:hAnsi="宋体"/>
                <w:b/>
                <w:sz w:val="24"/>
                <w:szCs w:val="24"/>
                <w:shd w:val="clear" w:color="auto" w:fill="auto"/>
              </w:rPr>
              <w:t>序号</w:t>
            </w:r>
          </w:p>
        </w:tc>
        <w:tc>
          <w:tcPr>
            <w:tcW w:w="73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val="0"/>
              <w:spacing w:beforeLines="50" w:after="50" w:line="360" w:lineRule="auto"/>
              <w:jc w:val="center"/>
              <w:textAlignment w:val="auto"/>
              <w:rPr>
                <w:rFonts w:ascii="宋体" w:hAnsi="宋体"/>
                <w:b/>
                <w:sz w:val="24"/>
                <w:szCs w:val="24"/>
                <w:shd w:val="clear" w:color="auto" w:fill="auto"/>
              </w:rPr>
            </w:pPr>
            <w:r>
              <w:rPr>
                <w:rFonts w:hint="eastAsia" w:ascii="宋体" w:hAnsi="宋体"/>
                <w:b/>
                <w:sz w:val="24"/>
                <w:szCs w:val="24"/>
                <w:shd w:val="clear" w:color="auto" w:fill="auto"/>
              </w:rPr>
              <w:t>姓名</w:t>
            </w:r>
          </w:p>
        </w:tc>
        <w:tc>
          <w:tcPr>
            <w:tcW w:w="80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val="0"/>
              <w:spacing w:beforeLines="50" w:after="50" w:line="360" w:lineRule="auto"/>
              <w:jc w:val="center"/>
              <w:textAlignment w:val="auto"/>
              <w:rPr>
                <w:rFonts w:ascii="宋体" w:hAnsi="宋体"/>
                <w:b/>
                <w:sz w:val="24"/>
                <w:szCs w:val="24"/>
                <w:shd w:val="clear" w:color="auto" w:fill="auto"/>
              </w:rPr>
            </w:pPr>
            <w:r>
              <w:rPr>
                <w:rFonts w:hint="eastAsia" w:ascii="宋体" w:hAnsi="宋体"/>
                <w:b/>
                <w:sz w:val="24"/>
                <w:szCs w:val="24"/>
                <w:shd w:val="clear" w:color="auto" w:fill="auto"/>
              </w:rPr>
              <w:t>职务</w:t>
            </w:r>
          </w:p>
        </w:tc>
        <w:tc>
          <w:tcPr>
            <w:tcW w:w="128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val="0"/>
              <w:spacing w:beforeLines="50" w:after="50" w:line="360" w:lineRule="auto"/>
              <w:jc w:val="center"/>
              <w:textAlignment w:val="auto"/>
              <w:rPr>
                <w:rFonts w:ascii="宋体" w:hAnsi="宋体"/>
                <w:b/>
                <w:sz w:val="24"/>
                <w:szCs w:val="24"/>
                <w:shd w:val="clear" w:color="auto" w:fill="auto"/>
              </w:rPr>
            </w:pPr>
            <w:r>
              <w:rPr>
                <w:rFonts w:hint="eastAsia" w:ascii="宋体" w:hAnsi="宋体"/>
                <w:b/>
                <w:sz w:val="24"/>
                <w:szCs w:val="24"/>
                <w:shd w:val="clear" w:color="auto" w:fill="auto"/>
                <w:lang w:eastAsia="zh-CN"/>
              </w:rPr>
              <w:t>在本项目中的</w:t>
            </w:r>
            <w:r>
              <w:rPr>
                <w:rFonts w:hint="eastAsia" w:ascii="宋体" w:hAnsi="宋体"/>
                <w:b/>
                <w:sz w:val="24"/>
                <w:szCs w:val="24"/>
                <w:shd w:val="clear" w:color="auto" w:fill="auto"/>
              </w:rPr>
              <w:t>职责</w:t>
            </w:r>
          </w:p>
        </w:tc>
        <w:tc>
          <w:tcPr>
            <w:tcW w:w="108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val="0"/>
              <w:spacing w:beforeLines="50" w:after="50" w:line="360" w:lineRule="auto"/>
              <w:jc w:val="center"/>
              <w:textAlignment w:val="auto"/>
              <w:rPr>
                <w:rFonts w:ascii="宋体" w:hAnsi="宋体"/>
                <w:b/>
                <w:sz w:val="24"/>
                <w:szCs w:val="24"/>
                <w:shd w:val="clear" w:color="auto" w:fill="auto"/>
              </w:rPr>
            </w:pPr>
            <w:r>
              <w:rPr>
                <w:rFonts w:hint="eastAsia" w:ascii="宋体" w:hAnsi="宋体"/>
                <w:b/>
                <w:sz w:val="24"/>
                <w:szCs w:val="24"/>
                <w:shd w:val="clear" w:color="auto" w:fill="auto"/>
              </w:rPr>
              <w:t>专业技术资格</w:t>
            </w:r>
          </w:p>
        </w:tc>
        <w:tc>
          <w:tcPr>
            <w:tcW w:w="15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val="0"/>
              <w:spacing w:beforeLines="50" w:after="50" w:line="360" w:lineRule="auto"/>
              <w:jc w:val="center"/>
              <w:textAlignment w:val="auto"/>
              <w:rPr>
                <w:rFonts w:hint="eastAsia" w:ascii="宋体" w:hAnsi="宋体" w:eastAsia="宋体"/>
                <w:b/>
                <w:bCs/>
                <w:sz w:val="24"/>
                <w:szCs w:val="24"/>
                <w:shd w:val="clear" w:color="auto" w:fill="auto"/>
                <w:lang w:eastAsia="zh-CN"/>
              </w:rPr>
            </w:pPr>
            <w:r>
              <w:rPr>
                <w:rFonts w:hint="eastAsia" w:ascii="宋体" w:hAnsi="宋体"/>
                <w:b/>
                <w:bCs/>
                <w:sz w:val="24"/>
                <w:szCs w:val="24"/>
                <w:shd w:val="clear" w:color="auto" w:fill="auto"/>
                <w:lang w:eastAsia="zh-CN"/>
              </w:rPr>
              <w:t>从事保险行业年限</w:t>
            </w:r>
          </w:p>
        </w:tc>
        <w:tc>
          <w:tcPr>
            <w:tcW w:w="141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val="0"/>
              <w:spacing w:beforeLines="50" w:after="50" w:line="360" w:lineRule="auto"/>
              <w:jc w:val="center"/>
              <w:textAlignment w:val="auto"/>
              <w:rPr>
                <w:rFonts w:ascii="宋体" w:hAnsi="宋体"/>
                <w:b/>
                <w:bCs/>
                <w:sz w:val="24"/>
                <w:szCs w:val="24"/>
                <w:shd w:val="clear" w:color="auto" w:fill="auto"/>
              </w:rPr>
            </w:pPr>
            <w:r>
              <w:rPr>
                <w:rFonts w:hint="eastAsia" w:ascii="宋体" w:hAnsi="宋体"/>
                <w:b/>
                <w:sz w:val="24"/>
                <w:szCs w:val="24"/>
                <w:shd w:val="clear" w:color="auto" w:fill="auto"/>
              </w:rPr>
              <w:t>劳动合同编号</w:t>
            </w:r>
          </w:p>
        </w:tc>
        <w:tc>
          <w:tcPr>
            <w:tcW w:w="130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val="0"/>
              <w:spacing w:beforeLines="50" w:after="50" w:line="360" w:lineRule="auto"/>
              <w:jc w:val="center"/>
              <w:textAlignment w:val="auto"/>
              <w:rPr>
                <w:rFonts w:hint="eastAsia" w:ascii="宋体" w:hAnsi="宋体"/>
                <w:b/>
                <w:sz w:val="24"/>
                <w:szCs w:val="24"/>
                <w:shd w:val="clear" w:color="auto" w:fill="auto"/>
                <w:lang w:eastAsia="zh-CN"/>
              </w:rPr>
            </w:pPr>
            <w:r>
              <w:rPr>
                <w:rFonts w:hint="eastAsia" w:ascii="宋体" w:hAnsi="宋体"/>
                <w:b/>
                <w:sz w:val="24"/>
                <w:szCs w:val="24"/>
                <w:shd w:val="clear" w:color="auto" w:fill="auto"/>
                <w:lang w:eastAsia="zh-CN"/>
              </w:rPr>
              <w:t>服务区域</w:t>
            </w:r>
          </w:p>
        </w:tc>
        <w:tc>
          <w:tcPr>
            <w:tcW w:w="141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val="0"/>
              <w:spacing w:beforeLines="50" w:after="50" w:line="360" w:lineRule="auto"/>
              <w:jc w:val="center"/>
              <w:textAlignment w:val="auto"/>
              <w:rPr>
                <w:rFonts w:hint="eastAsia" w:ascii="宋体" w:hAnsi="宋体"/>
                <w:b/>
                <w:sz w:val="24"/>
                <w:szCs w:val="24"/>
                <w:shd w:val="clear" w:color="auto" w:fill="auto"/>
                <w:lang w:eastAsia="zh-CN"/>
              </w:rPr>
            </w:pPr>
            <w:r>
              <w:rPr>
                <w:rFonts w:hint="eastAsia" w:ascii="宋体" w:hAnsi="宋体"/>
                <w:b/>
                <w:sz w:val="24"/>
                <w:szCs w:val="24"/>
                <w:shd w:val="clear" w:color="auto" w:fill="auto"/>
                <w:lang w:eastAsia="zh-CN"/>
              </w:rPr>
              <w:t>保险服务项目经验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24"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737"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800"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288"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087"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538"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412"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300"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413"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24"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737"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800"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288"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087"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538"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412"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300"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413"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24"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737"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800"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288" w:type="dxa"/>
            <w:tcBorders>
              <w:top w:val="single" w:color="auto" w:sz="4" w:space="0"/>
              <w:left w:val="single" w:color="auto" w:sz="4" w:space="0"/>
              <w:bottom w:val="single" w:color="auto" w:sz="4" w:space="0"/>
              <w:right w:val="single" w:color="auto" w:sz="4" w:space="0"/>
            </w:tcBorders>
          </w:tcPr>
          <w:p>
            <w:pPr>
              <w:pStyle w:val="13"/>
              <w:pageBreakBefore w:val="0"/>
              <w:widowControl w:val="0"/>
              <w:kinsoku/>
              <w:wordWrap/>
              <w:overflowPunct/>
              <w:topLinePunct w:val="0"/>
              <w:bidi w:val="0"/>
              <w:snapToGrid w:val="0"/>
              <w:spacing w:beforeLines="50" w:after="50" w:line="360" w:lineRule="auto"/>
              <w:ind w:left="5250"/>
              <w:textAlignment w:val="auto"/>
              <w:rPr>
                <w:rFonts w:ascii="宋体" w:hAnsi="宋体" w:eastAsia="宋体"/>
                <w:sz w:val="24"/>
                <w:szCs w:val="24"/>
                <w:shd w:val="clear" w:color="auto" w:fill="auto"/>
              </w:rPr>
            </w:pPr>
          </w:p>
        </w:tc>
        <w:tc>
          <w:tcPr>
            <w:tcW w:w="1087" w:type="dxa"/>
            <w:tcBorders>
              <w:top w:val="single" w:color="auto" w:sz="4" w:space="0"/>
              <w:left w:val="single" w:color="auto" w:sz="4" w:space="0"/>
              <w:bottom w:val="single" w:color="auto" w:sz="4" w:space="0"/>
              <w:right w:val="single" w:color="auto" w:sz="4" w:space="0"/>
            </w:tcBorders>
          </w:tcPr>
          <w:p>
            <w:pPr>
              <w:pStyle w:val="13"/>
              <w:pageBreakBefore w:val="0"/>
              <w:widowControl w:val="0"/>
              <w:kinsoku/>
              <w:wordWrap/>
              <w:overflowPunct/>
              <w:topLinePunct w:val="0"/>
              <w:bidi w:val="0"/>
              <w:snapToGrid w:val="0"/>
              <w:spacing w:beforeLines="50" w:after="50" w:line="360" w:lineRule="auto"/>
              <w:ind w:left="5250"/>
              <w:textAlignment w:val="auto"/>
              <w:rPr>
                <w:rFonts w:ascii="宋体" w:hAnsi="宋体" w:eastAsia="宋体"/>
                <w:sz w:val="24"/>
                <w:szCs w:val="24"/>
                <w:shd w:val="clear" w:color="auto" w:fill="auto"/>
              </w:rPr>
            </w:pPr>
          </w:p>
        </w:tc>
        <w:tc>
          <w:tcPr>
            <w:tcW w:w="1538"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412"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300"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413"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24"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737"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800"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288"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087"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538"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412"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300"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413"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24"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737"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800"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288"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087"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538"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412"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300"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413"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24"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737"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800"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288"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087"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538"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412"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300"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413"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424"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737"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800"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288"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087"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538"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412"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300"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413"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r>
    </w:tbl>
    <w:p>
      <w:pPr>
        <w:pageBreakBefore w:val="0"/>
        <w:widowControl w:val="0"/>
        <w:kinsoku/>
        <w:wordWrap/>
        <w:overflowPunct/>
        <w:topLinePunct w:val="0"/>
        <w:bidi w:val="0"/>
        <w:spacing w:line="360" w:lineRule="auto"/>
        <w:textAlignment w:val="auto"/>
        <w:rPr>
          <w:rFonts w:ascii="宋体" w:hAnsi="宋体"/>
          <w:b/>
          <w:sz w:val="24"/>
          <w:szCs w:val="24"/>
          <w:shd w:val="clear" w:color="auto" w:fill="auto"/>
        </w:rPr>
      </w:pPr>
      <w:r>
        <w:rPr>
          <w:rFonts w:hint="eastAsia" w:ascii="宋体" w:hAnsi="宋体"/>
          <w:b/>
          <w:sz w:val="24"/>
          <w:szCs w:val="24"/>
          <w:shd w:val="clear" w:color="auto" w:fill="auto"/>
          <w:lang w:eastAsia="zh-CN"/>
        </w:rPr>
        <w:t>备注</w:t>
      </w:r>
      <w:r>
        <w:rPr>
          <w:rFonts w:hint="eastAsia" w:ascii="宋体" w:hAnsi="宋体"/>
          <w:b/>
          <w:sz w:val="24"/>
          <w:szCs w:val="24"/>
          <w:shd w:val="clear" w:color="auto" w:fill="auto"/>
        </w:rPr>
        <w:t>：</w:t>
      </w:r>
    </w:p>
    <w:p>
      <w:pPr>
        <w:pageBreakBefore w:val="0"/>
        <w:widowControl w:val="0"/>
        <w:kinsoku/>
        <w:wordWrap/>
        <w:overflowPunct/>
        <w:topLinePunct w:val="0"/>
        <w:bidi w:val="0"/>
        <w:spacing w:line="360" w:lineRule="auto"/>
        <w:ind w:left="437"/>
        <w:textAlignment w:val="auto"/>
        <w:rPr>
          <w:rFonts w:ascii="宋体" w:hAnsi="宋体"/>
          <w:sz w:val="24"/>
          <w:szCs w:val="24"/>
          <w:shd w:val="clear" w:color="auto" w:fill="auto"/>
        </w:rPr>
      </w:pPr>
      <w:r>
        <w:rPr>
          <w:rFonts w:hint="eastAsia" w:ascii="宋体" w:hAnsi="宋体"/>
          <w:b/>
          <w:sz w:val="24"/>
          <w:szCs w:val="24"/>
          <w:shd w:val="clear" w:color="auto" w:fill="auto"/>
        </w:rPr>
        <w:t>1.</w:t>
      </w:r>
      <w:r>
        <w:rPr>
          <w:rFonts w:hint="eastAsia" w:ascii="宋体" w:hAnsi="宋体"/>
          <w:sz w:val="24"/>
          <w:szCs w:val="24"/>
          <w:shd w:val="clear" w:color="auto" w:fill="auto"/>
        </w:rPr>
        <w:t>在填写时，如本表格不适合投标单位的实际情况，可根据本表格式自行划表填写。</w:t>
      </w:r>
    </w:p>
    <w:p>
      <w:pPr>
        <w:pStyle w:val="33"/>
        <w:pageBreakBefore w:val="0"/>
        <w:widowControl w:val="0"/>
        <w:kinsoku/>
        <w:wordWrap/>
        <w:overflowPunct/>
        <w:topLinePunct w:val="0"/>
        <w:bidi w:val="0"/>
        <w:spacing w:line="360" w:lineRule="auto"/>
        <w:ind w:left="424" w:leftChars="202"/>
        <w:textAlignment w:val="auto"/>
        <w:rPr>
          <w:rFonts w:hint="eastAsia" w:ascii="宋体" w:hAnsi="宋体"/>
          <w:sz w:val="24"/>
          <w:szCs w:val="24"/>
          <w:shd w:val="clear" w:color="auto" w:fill="auto"/>
          <w:lang w:eastAsia="zh-CN"/>
        </w:rPr>
      </w:pPr>
      <w:r>
        <w:rPr>
          <w:rFonts w:hint="eastAsia" w:ascii="宋体" w:hAnsi="宋体"/>
          <w:sz w:val="24"/>
          <w:szCs w:val="24"/>
          <w:shd w:val="clear" w:color="auto" w:fill="auto"/>
        </w:rPr>
        <w:t>2.附人员</w:t>
      </w:r>
      <w:r>
        <w:rPr>
          <w:rFonts w:hint="eastAsia" w:ascii="宋体" w:hAnsi="宋体"/>
          <w:sz w:val="24"/>
          <w:szCs w:val="24"/>
          <w:shd w:val="clear" w:color="auto" w:fill="auto"/>
          <w:lang w:eastAsia="zh-CN"/>
        </w:rPr>
        <w:t>劳动合同</w:t>
      </w:r>
      <w:r>
        <w:rPr>
          <w:rFonts w:hint="eastAsia" w:ascii="宋体" w:hAnsi="宋体"/>
          <w:sz w:val="24"/>
          <w:szCs w:val="24"/>
          <w:shd w:val="clear" w:color="auto" w:fill="auto"/>
        </w:rPr>
        <w:t>复印件</w:t>
      </w:r>
      <w:r>
        <w:rPr>
          <w:rFonts w:hint="eastAsia" w:ascii="宋体" w:hAnsi="宋体"/>
          <w:sz w:val="24"/>
          <w:szCs w:val="24"/>
          <w:shd w:val="clear" w:color="auto" w:fill="auto"/>
          <w:lang w:eastAsia="zh-CN"/>
        </w:rPr>
        <w:t>、社保缴纳记录</w:t>
      </w:r>
      <w:r>
        <w:rPr>
          <w:rFonts w:hint="eastAsia" w:ascii="宋体" w:hAnsi="宋体"/>
          <w:sz w:val="24"/>
          <w:szCs w:val="24"/>
          <w:shd w:val="clear" w:color="auto" w:fill="auto"/>
        </w:rPr>
        <w:t>；</w:t>
      </w:r>
      <w:r>
        <w:rPr>
          <w:rFonts w:hint="eastAsia" w:ascii="宋体" w:hAnsi="宋体"/>
          <w:sz w:val="24"/>
          <w:szCs w:val="24"/>
          <w:shd w:val="clear" w:color="auto" w:fill="auto"/>
          <w:lang w:eastAsia="zh-CN"/>
        </w:rPr>
        <w:t>需加盖投标单位公章。</w:t>
      </w:r>
    </w:p>
    <w:p>
      <w:pPr>
        <w:pStyle w:val="33"/>
        <w:pageBreakBefore w:val="0"/>
        <w:widowControl w:val="0"/>
        <w:kinsoku/>
        <w:wordWrap/>
        <w:overflowPunct/>
        <w:topLinePunct w:val="0"/>
        <w:bidi w:val="0"/>
        <w:spacing w:line="360" w:lineRule="auto"/>
        <w:ind w:left="424" w:leftChars="202"/>
        <w:textAlignment w:val="auto"/>
        <w:rPr>
          <w:rFonts w:hint="eastAsia" w:ascii="宋体" w:hAnsi="宋体"/>
          <w:sz w:val="24"/>
          <w:szCs w:val="24"/>
          <w:shd w:val="clear" w:color="auto" w:fill="auto"/>
          <w:lang w:val="en-US" w:eastAsia="zh-CN"/>
        </w:rPr>
      </w:pPr>
      <w:r>
        <w:rPr>
          <w:rFonts w:hint="eastAsia" w:ascii="宋体" w:hAnsi="宋体"/>
          <w:sz w:val="24"/>
          <w:szCs w:val="24"/>
          <w:shd w:val="clear" w:color="auto" w:fill="auto"/>
          <w:lang w:val="en-US" w:eastAsia="zh-CN"/>
        </w:rPr>
        <w:t>3.保险服务项目经验证明材料。</w:t>
      </w:r>
    </w:p>
    <w:p>
      <w:pPr>
        <w:snapToGrid w:val="0"/>
        <w:spacing w:before="50" w:after="156"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w:t>
      </w:r>
      <w:r>
        <w:rPr>
          <w:rFonts w:hint="eastAsia" w:ascii="宋体" w:hAnsi="宋体"/>
          <w:sz w:val="24"/>
          <w:lang w:eastAsia="zh-CN"/>
        </w:rPr>
        <w:t>电子印章</w:t>
      </w:r>
      <w:r>
        <w:rPr>
          <w:rFonts w:hint="eastAsia" w:ascii="宋体" w:hAnsi="宋体"/>
          <w:sz w:val="24"/>
        </w:rPr>
        <w:t>）：</w:t>
      </w:r>
    </w:p>
    <w:p>
      <w:pPr>
        <w:spacing w:line="360" w:lineRule="auto"/>
        <w:ind w:firstLine="435"/>
        <w:rPr>
          <w:rFonts w:ascii="宋体" w:hAnsi="宋体"/>
          <w:sz w:val="24"/>
        </w:rPr>
      </w:pPr>
      <w:r>
        <w:rPr>
          <w:rFonts w:hint="eastAsia" w:ascii="宋体" w:hAnsi="宋体"/>
          <w:sz w:val="24"/>
        </w:rPr>
        <w:t>投标人代表签字或</w:t>
      </w:r>
      <w:r>
        <w:rPr>
          <w:rFonts w:hint="eastAsia" w:ascii="宋体" w:hAnsi="宋体"/>
          <w:sz w:val="24"/>
          <w:lang w:eastAsia="zh-CN"/>
        </w:rPr>
        <w:t>电子印章</w:t>
      </w:r>
      <w:r>
        <w:rPr>
          <w:rFonts w:hint="eastAsia" w:ascii="宋体" w:hAnsi="宋体"/>
          <w:sz w:val="24"/>
        </w:rPr>
        <w:t>：</w:t>
      </w: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r>
        <w:rPr>
          <w:rFonts w:hint="eastAsia" w:ascii="宋体" w:hAnsi="宋体"/>
          <w:sz w:val="24"/>
        </w:rPr>
        <w:t>日        期：</w:t>
      </w: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eastAsia="宋体"/>
          <w:lang w:eastAsia="zh-CN"/>
        </w:rPr>
      </w:pPr>
      <w:r>
        <w:rPr>
          <w:rFonts w:hint="eastAsia" w:ascii="宋体" w:hAnsi="宋体"/>
          <w:b/>
          <w:sz w:val="28"/>
        </w:rPr>
        <w:t>附件</w:t>
      </w:r>
      <w:r>
        <w:rPr>
          <w:rFonts w:hint="eastAsia" w:ascii="宋体" w:hAnsi="宋体"/>
          <w:b/>
          <w:sz w:val="28"/>
          <w:lang w:val="en-US" w:eastAsia="zh-CN"/>
        </w:rPr>
        <w:t>6</w:t>
      </w:r>
    </w:p>
    <w:p>
      <w:pPr>
        <w:pStyle w:val="4"/>
        <w:pageBreakBefore w:val="0"/>
        <w:widowControl w:val="0"/>
        <w:kinsoku/>
        <w:wordWrap/>
        <w:overflowPunct/>
        <w:topLinePunct w:val="0"/>
        <w:bidi w:val="0"/>
        <w:spacing w:line="360" w:lineRule="auto"/>
        <w:jc w:val="center"/>
        <w:textAlignment w:val="auto"/>
        <w:rPr>
          <w:rFonts w:hint="eastAsia"/>
          <w:sz w:val="24"/>
          <w:szCs w:val="24"/>
          <w:shd w:val="clear" w:color="auto" w:fill="auto"/>
          <w:lang w:eastAsia="zh-CN"/>
        </w:rPr>
      </w:pPr>
      <w:r>
        <w:rPr>
          <w:rFonts w:hint="eastAsia"/>
          <w:sz w:val="24"/>
          <w:szCs w:val="24"/>
          <w:shd w:val="clear" w:color="auto" w:fill="auto"/>
          <w:lang w:eastAsia="zh-CN"/>
        </w:rPr>
        <w:t>服务网点</w:t>
      </w:r>
    </w:p>
    <w:p>
      <w:pPr>
        <w:pageBreakBefore w:val="0"/>
        <w:widowControl w:val="0"/>
        <w:tabs>
          <w:tab w:val="left" w:pos="3240"/>
        </w:tabs>
        <w:kinsoku/>
        <w:wordWrap/>
        <w:overflowPunct/>
        <w:topLinePunct w:val="0"/>
        <w:bidi w:val="0"/>
        <w:spacing w:line="360" w:lineRule="auto"/>
        <w:ind w:firstLine="420"/>
        <w:textAlignment w:val="auto"/>
        <w:rPr>
          <w:rFonts w:hint="eastAsia" w:cs="宋体"/>
          <w:color w:val="000000"/>
          <w:sz w:val="24"/>
          <w:szCs w:val="24"/>
          <w:shd w:val="clear" w:color="auto" w:fill="auto"/>
          <w:lang w:eastAsia="zh-CN"/>
        </w:rPr>
      </w:pPr>
    </w:p>
    <w:tbl>
      <w:tblPr>
        <w:tblStyle w:val="21"/>
        <w:tblW w:w="8656" w:type="dxa"/>
        <w:jc w:val="center"/>
        <w:tblInd w:w="-48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8"/>
        <w:gridCol w:w="1595"/>
        <w:gridCol w:w="1447"/>
        <w:gridCol w:w="1533"/>
        <w:gridCol w:w="1253"/>
        <w:gridCol w:w="18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4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val="0"/>
              <w:spacing w:beforeLines="50" w:after="50" w:line="360" w:lineRule="auto"/>
              <w:jc w:val="center"/>
              <w:textAlignment w:val="auto"/>
              <w:rPr>
                <w:rFonts w:ascii="宋体" w:hAnsi="宋体"/>
                <w:b/>
                <w:sz w:val="24"/>
                <w:szCs w:val="24"/>
                <w:shd w:val="clear" w:color="auto" w:fill="auto"/>
              </w:rPr>
            </w:pPr>
            <w:r>
              <w:rPr>
                <w:rFonts w:hint="eastAsia" w:ascii="宋体" w:hAnsi="宋体"/>
                <w:b/>
                <w:sz w:val="24"/>
                <w:szCs w:val="24"/>
                <w:shd w:val="clear" w:color="auto" w:fill="auto"/>
              </w:rPr>
              <w:t>序号</w:t>
            </w:r>
          </w:p>
        </w:tc>
        <w:tc>
          <w:tcPr>
            <w:tcW w:w="1595"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val="0"/>
              <w:spacing w:beforeLines="50" w:after="50" w:line="360" w:lineRule="auto"/>
              <w:jc w:val="center"/>
              <w:textAlignment w:val="auto"/>
              <w:rPr>
                <w:rFonts w:hint="eastAsia" w:ascii="宋体" w:hAnsi="宋体" w:eastAsia="宋体"/>
                <w:b/>
                <w:bCs/>
                <w:sz w:val="24"/>
                <w:szCs w:val="24"/>
                <w:shd w:val="clear" w:color="auto" w:fill="auto"/>
                <w:lang w:eastAsia="zh-CN"/>
              </w:rPr>
            </w:pPr>
            <w:r>
              <w:rPr>
                <w:rFonts w:hint="eastAsia" w:ascii="宋体" w:hAnsi="宋体"/>
                <w:b/>
                <w:bCs/>
                <w:sz w:val="24"/>
                <w:szCs w:val="24"/>
                <w:shd w:val="clear" w:color="auto" w:fill="auto"/>
                <w:lang w:eastAsia="zh-CN"/>
              </w:rPr>
              <w:t>网点名称</w:t>
            </w:r>
          </w:p>
        </w:tc>
        <w:tc>
          <w:tcPr>
            <w:tcW w:w="144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val="0"/>
              <w:spacing w:beforeLines="50" w:after="50" w:line="360" w:lineRule="auto"/>
              <w:jc w:val="center"/>
              <w:textAlignment w:val="auto"/>
              <w:rPr>
                <w:rFonts w:hint="eastAsia" w:ascii="宋体" w:hAnsi="宋体" w:eastAsia="宋体"/>
                <w:b/>
                <w:bCs/>
                <w:sz w:val="24"/>
                <w:szCs w:val="24"/>
                <w:shd w:val="clear" w:color="auto" w:fill="auto"/>
                <w:lang w:eastAsia="zh-CN"/>
              </w:rPr>
            </w:pPr>
            <w:r>
              <w:rPr>
                <w:rFonts w:hint="eastAsia" w:ascii="宋体" w:hAnsi="宋体"/>
                <w:b/>
                <w:bCs/>
                <w:sz w:val="24"/>
                <w:szCs w:val="24"/>
                <w:shd w:val="clear" w:color="auto" w:fill="auto"/>
                <w:lang w:eastAsia="zh-CN"/>
              </w:rPr>
              <w:t>网点地址</w:t>
            </w:r>
          </w:p>
        </w:tc>
        <w:tc>
          <w:tcPr>
            <w:tcW w:w="153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val="0"/>
              <w:spacing w:beforeLines="50" w:after="50" w:line="360" w:lineRule="auto"/>
              <w:jc w:val="center"/>
              <w:textAlignment w:val="auto"/>
              <w:rPr>
                <w:rFonts w:hint="eastAsia" w:ascii="宋体" w:hAnsi="宋体" w:eastAsia="宋体"/>
                <w:b/>
                <w:sz w:val="24"/>
                <w:szCs w:val="24"/>
                <w:shd w:val="clear" w:color="auto" w:fill="auto"/>
                <w:lang w:eastAsia="zh-CN"/>
              </w:rPr>
            </w:pPr>
            <w:r>
              <w:rPr>
                <w:rFonts w:hint="eastAsia" w:ascii="宋体" w:hAnsi="宋体"/>
                <w:b/>
                <w:sz w:val="24"/>
                <w:szCs w:val="24"/>
                <w:shd w:val="clear" w:color="auto" w:fill="auto"/>
                <w:lang w:eastAsia="zh-CN"/>
              </w:rPr>
              <w:t>营业执照号</w:t>
            </w:r>
          </w:p>
        </w:tc>
        <w:tc>
          <w:tcPr>
            <w:tcW w:w="125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val="0"/>
              <w:spacing w:beforeLines="50" w:after="50" w:line="360" w:lineRule="auto"/>
              <w:jc w:val="center"/>
              <w:textAlignment w:val="auto"/>
              <w:rPr>
                <w:rFonts w:hint="eastAsia" w:ascii="宋体" w:hAnsi="宋体"/>
                <w:b/>
                <w:sz w:val="24"/>
                <w:szCs w:val="24"/>
                <w:shd w:val="clear" w:color="auto" w:fill="auto"/>
                <w:lang w:eastAsia="zh-CN"/>
              </w:rPr>
            </w:pPr>
            <w:r>
              <w:rPr>
                <w:rFonts w:hint="eastAsia" w:ascii="宋体" w:hAnsi="宋体"/>
                <w:b/>
                <w:sz w:val="24"/>
                <w:szCs w:val="24"/>
                <w:shd w:val="clear" w:color="auto" w:fill="auto"/>
                <w:lang w:eastAsia="zh-CN"/>
              </w:rPr>
              <w:t>人数</w:t>
            </w:r>
          </w:p>
        </w:tc>
        <w:tc>
          <w:tcPr>
            <w:tcW w:w="188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val="0"/>
              <w:spacing w:beforeLines="50" w:after="50" w:line="360" w:lineRule="auto"/>
              <w:jc w:val="center"/>
              <w:textAlignment w:val="auto"/>
              <w:rPr>
                <w:rFonts w:hint="eastAsia" w:ascii="宋体" w:hAnsi="宋体"/>
                <w:b/>
                <w:sz w:val="24"/>
                <w:szCs w:val="24"/>
                <w:shd w:val="clear" w:color="auto" w:fill="auto"/>
                <w:lang w:eastAsia="zh-CN"/>
              </w:rPr>
            </w:pPr>
            <w:r>
              <w:rPr>
                <w:rFonts w:hint="eastAsia" w:ascii="宋体" w:hAnsi="宋体"/>
                <w:b/>
                <w:sz w:val="24"/>
                <w:szCs w:val="24"/>
                <w:shd w:val="clear" w:color="auto" w:fill="auto"/>
                <w:lang w:eastAsia="zh-CN"/>
              </w:rPr>
              <w:t>所属行政区域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48"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595"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447"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533"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253"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880"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48"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595"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447"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533"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253"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880"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48"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595"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447"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533"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253"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880"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48"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595"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447"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533"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253"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880"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48"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595"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447"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533"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253"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880"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48"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595"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447"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533"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253"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880"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48"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595"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447"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533"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253"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880"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48"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595"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447"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533"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253"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880"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48"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595"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447"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533"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253"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c>
          <w:tcPr>
            <w:tcW w:w="1880"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bidi w:val="0"/>
              <w:snapToGrid w:val="0"/>
              <w:spacing w:beforeLines="50" w:after="50" w:line="360" w:lineRule="auto"/>
              <w:textAlignment w:val="auto"/>
              <w:rPr>
                <w:rFonts w:ascii="宋体" w:hAnsi="宋体"/>
                <w:sz w:val="24"/>
                <w:szCs w:val="24"/>
                <w:shd w:val="clear" w:color="auto" w:fill="auto"/>
              </w:rPr>
            </w:pPr>
          </w:p>
        </w:tc>
      </w:tr>
    </w:tbl>
    <w:p>
      <w:pPr>
        <w:pageBreakBefore w:val="0"/>
        <w:widowControl w:val="0"/>
        <w:tabs>
          <w:tab w:val="left" w:pos="3240"/>
        </w:tabs>
        <w:kinsoku/>
        <w:wordWrap/>
        <w:overflowPunct/>
        <w:topLinePunct w:val="0"/>
        <w:bidi w:val="0"/>
        <w:spacing w:line="360" w:lineRule="auto"/>
        <w:ind w:firstLine="420"/>
        <w:textAlignment w:val="auto"/>
        <w:rPr>
          <w:rFonts w:hint="eastAsia" w:cs="宋体"/>
          <w:sz w:val="24"/>
          <w:szCs w:val="24"/>
          <w:shd w:val="clear" w:color="auto" w:fill="auto"/>
          <w:lang w:eastAsia="zh-CN"/>
        </w:rPr>
      </w:pPr>
      <w:r>
        <w:rPr>
          <w:rFonts w:hint="eastAsia" w:cs="宋体"/>
          <w:color w:val="000000"/>
          <w:sz w:val="24"/>
          <w:szCs w:val="24"/>
          <w:shd w:val="clear" w:color="auto" w:fill="auto"/>
          <w:lang w:eastAsia="zh-CN"/>
        </w:rPr>
        <w:t>备注：</w:t>
      </w:r>
      <w:r>
        <w:rPr>
          <w:rFonts w:hint="eastAsia" w:cs="宋体"/>
          <w:sz w:val="24"/>
          <w:szCs w:val="24"/>
          <w:shd w:val="clear" w:color="auto" w:fill="auto"/>
        </w:rPr>
        <w:t>投标人</w:t>
      </w:r>
      <w:r>
        <w:rPr>
          <w:rFonts w:hint="eastAsia" w:cs="宋体"/>
          <w:color w:val="000000"/>
          <w:sz w:val="24"/>
          <w:szCs w:val="24"/>
          <w:shd w:val="clear" w:color="auto" w:fill="auto"/>
          <w:lang w:bidi="ar"/>
        </w:rPr>
        <w:t>需</w:t>
      </w:r>
      <w:r>
        <w:rPr>
          <w:rFonts w:hint="eastAsia" w:cs="宋体"/>
          <w:sz w:val="24"/>
          <w:szCs w:val="24"/>
          <w:shd w:val="clear" w:color="auto" w:fill="auto"/>
        </w:rPr>
        <w:t>提供</w:t>
      </w:r>
      <w:r>
        <w:rPr>
          <w:rFonts w:hint="eastAsia" w:cs="宋体"/>
          <w:color w:val="000000"/>
          <w:sz w:val="24"/>
          <w:szCs w:val="24"/>
          <w:shd w:val="clear" w:color="auto" w:fill="auto"/>
          <w:lang w:bidi="ar"/>
        </w:rPr>
        <w:t>各网点</w:t>
      </w:r>
      <w:r>
        <w:rPr>
          <w:rFonts w:hint="eastAsia" w:cs="宋体"/>
          <w:sz w:val="24"/>
          <w:szCs w:val="24"/>
          <w:shd w:val="clear" w:color="auto" w:fill="auto"/>
        </w:rPr>
        <w:t>经保险监管部门颁发的营业执照</w:t>
      </w:r>
      <w:r>
        <w:rPr>
          <w:rFonts w:hint="eastAsia" w:cs="宋体"/>
          <w:sz w:val="24"/>
          <w:szCs w:val="24"/>
          <w:shd w:val="clear" w:color="auto" w:fill="auto"/>
          <w:lang w:val="en-US" w:eastAsia="zh-CN"/>
        </w:rPr>
        <w:t>扫描件</w:t>
      </w:r>
      <w:r>
        <w:rPr>
          <w:rFonts w:hint="eastAsia" w:cs="宋体"/>
          <w:sz w:val="24"/>
          <w:szCs w:val="24"/>
          <w:shd w:val="clear" w:color="auto" w:fill="auto"/>
          <w:lang w:eastAsia="zh-CN"/>
        </w:rPr>
        <w:t>、经营保险业务许可证</w:t>
      </w:r>
      <w:r>
        <w:rPr>
          <w:rFonts w:hint="eastAsia" w:cs="宋体"/>
          <w:sz w:val="24"/>
          <w:szCs w:val="24"/>
          <w:shd w:val="clear" w:color="auto" w:fill="auto"/>
          <w:lang w:val="en-US" w:eastAsia="zh-CN"/>
        </w:rPr>
        <w:t>扫描件</w:t>
      </w:r>
      <w:r>
        <w:rPr>
          <w:rFonts w:hint="eastAsia" w:cs="宋体"/>
          <w:sz w:val="24"/>
          <w:szCs w:val="24"/>
          <w:shd w:val="clear" w:color="auto" w:fill="auto"/>
          <w:lang w:eastAsia="zh-CN"/>
        </w:rPr>
        <w:t>，需加盖投标单位公章。</w:t>
      </w:r>
    </w:p>
    <w:p>
      <w:pPr>
        <w:pageBreakBefore w:val="0"/>
        <w:widowControl w:val="0"/>
        <w:tabs>
          <w:tab w:val="left" w:pos="3240"/>
        </w:tabs>
        <w:kinsoku/>
        <w:wordWrap/>
        <w:overflowPunct/>
        <w:topLinePunct w:val="0"/>
        <w:bidi w:val="0"/>
        <w:spacing w:line="360" w:lineRule="auto"/>
        <w:ind w:firstLine="420"/>
        <w:textAlignment w:val="auto"/>
        <w:rPr>
          <w:rFonts w:hint="eastAsia" w:cs="宋体"/>
          <w:sz w:val="24"/>
          <w:szCs w:val="24"/>
          <w:shd w:val="clear" w:color="auto" w:fill="auto"/>
          <w:lang w:eastAsia="zh-CN"/>
        </w:rPr>
      </w:pPr>
    </w:p>
    <w:p>
      <w:pPr>
        <w:pageBreakBefore w:val="0"/>
        <w:widowControl w:val="0"/>
        <w:tabs>
          <w:tab w:val="left" w:pos="3240"/>
        </w:tabs>
        <w:kinsoku/>
        <w:wordWrap/>
        <w:overflowPunct/>
        <w:topLinePunct w:val="0"/>
        <w:bidi w:val="0"/>
        <w:spacing w:line="360" w:lineRule="auto"/>
        <w:ind w:firstLine="420"/>
        <w:textAlignment w:val="auto"/>
        <w:rPr>
          <w:rFonts w:hint="eastAsia" w:cs="宋体"/>
          <w:sz w:val="24"/>
          <w:szCs w:val="24"/>
          <w:shd w:val="clear" w:color="auto" w:fill="auto"/>
          <w:lang w:eastAsia="zh-CN"/>
        </w:rPr>
      </w:pPr>
    </w:p>
    <w:p>
      <w:pPr>
        <w:pageBreakBefore w:val="0"/>
        <w:widowControl w:val="0"/>
        <w:tabs>
          <w:tab w:val="left" w:pos="3240"/>
        </w:tabs>
        <w:kinsoku/>
        <w:wordWrap/>
        <w:overflowPunct/>
        <w:topLinePunct w:val="0"/>
        <w:bidi w:val="0"/>
        <w:spacing w:line="360" w:lineRule="auto"/>
        <w:ind w:firstLine="420"/>
        <w:textAlignment w:val="auto"/>
        <w:rPr>
          <w:rFonts w:hint="eastAsia" w:cs="宋体"/>
          <w:sz w:val="24"/>
          <w:szCs w:val="24"/>
          <w:shd w:val="clear" w:color="auto" w:fill="auto"/>
          <w:lang w:eastAsia="zh-CN"/>
        </w:rPr>
      </w:pPr>
    </w:p>
    <w:p>
      <w:pPr>
        <w:pageBreakBefore w:val="0"/>
        <w:widowControl w:val="0"/>
        <w:tabs>
          <w:tab w:val="left" w:pos="3240"/>
        </w:tabs>
        <w:kinsoku/>
        <w:wordWrap/>
        <w:overflowPunct/>
        <w:topLinePunct w:val="0"/>
        <w:bidi w:val="0"/>
        <w:spacing w:line="360" w:lineRule="auto"/>
        <w:ind w:firstLine="420"/>
        <w:textAlignment w:val="auto"/>
        <w:rPr>
          <w:rFonts w:hint="eastAsia" w:cs="宋体"/>
          <w:sz w:val="24"/>
          <w:szCs w:val="24"/>
          <w:shd w:val="clear" w:color="auto" w:fill="auto"/>
          <w:lang w:eastAsia="zh-CN"/>
        </w:rPr>
      </w:pPr>
    </w:p>
    <w:p>
      <w:pPr>
        <w:pageBreakBefore w:val="0"/>
        <w:widowControl w:val="0"/>
        <w:kinsoku/>
        <w:wordWrap/>
        <w:overflowPunct/>
        <w:topLinePunct w:val="0"/>
        <w:bidi w:val="0"/>
        <w:spacing w:line="360" w:lineRule="auto"/>
        <w:ind w:left="420"/>
        <w:textAlignment w:val="auto"/>
        <w:rPr>
          <w:rFonts w:ascii="宋体" w:hAnsi="宋体"/>
          <w:sz w:val="24"/>
          <w:szCs w:val="24"/>
          <w:u w:val="single"/>
          <w:shd w:val="clear" w:color="auto" w:fill="auto"/>
        </w:rPr>
      </w:pPr>
      <w:r>
        <w:rPr>
          <w:rFonts w:hint="eastAsia" w:ascii="宋体" w:hAnsi="宋体"/>
          <w:sz w:val="24"/>
          <w:szCs w:val="24"/>
          <w:shd w:val="clear" w:color="auto" w:fill="auto"/>
        </w:rPr>
        <w:t>投标人名称（盖章）：</w:t>
      </w:r>
      <w:r>
        <w:rPr>
          <w:rFonts w:hint="eastAsia" w:ascii="宋体" w:hAnsi="宋体"/>
          <w:sz w:val="24"/>
          <w:szCs w:val="24"/>
          <w:u w:val="single"/>
          <w:shd w:val="clear" w:color="auto" w:fill="auto"/>
        </w:rPr>
        <w:t xml:space="preserve">                 </w:t>
      </w:r>
      <w:r>
        <w:rPr>
          <w:rFonts w:hint="eastAsia" w:ascii="宋体" w:hAnsi="宋体"/>
          <w:sz w:val="24"/>
          <w:szCs w:val="24"/>
          <w:u w:val="single"/>
          <w:shd w:val="clear" w:color="auto" w:fill="auto"/>
          <w:lang w:val="en-US" w:eastAsia="zh-CN"/>
        </w:rPr>
        <w:t xml:space="preserve"> </w:t>
      </w:r>
      <w:r>
        <w:rPr>
          <w:rFonts w:hint="eastAsia" w:ascii="宋体" w:hAnsi="宋体"/>
          <w:sz w:val="24"/>
          <w:szCs w:val="24"/>
          <w:u w:val="single"/>
          <w:shd w:val="clear" w:color="auto" w:fill="auto"/>
        </w:rPr>
        <w:t xml:space="preserve">     </w:t>
      </w:r>
    </w:p>
    <w:p>
      <w:pPr>
        <w:pageBreakBefore w:val="0"/>
        <w:widowControl w:val="0"/>
        <w:kinsoku/>
        <w:wordWrap/>
        <w:overflowPunct/>
        <w:topLinePunct w:val="0"/>
        <w:bidi w:val="0"/>
        <w:spacing w:line="360" w:lineRule="auto"/>
        <w:ind w:firstLine="435"/>
        <w:textAlignment w:val="auto"/>
        <w:rPr>
          <w:rFonts w:ascii="宋体" w:hAnsi="宋体"/>
          <w:sz w:val="24"/>
          <w:szCs w:val="24"/>
          <w:shd w:val="clear" w:color="auto" w:fill="auto"/>
        </w:rPr>
      </w:pPr>
      <w:r>
        <w:rPr>
          <w:rFonts w:hint="eastAsia" w:ascii="宋体" w:hAnsi="宋体"/>
          <w:sz w:val="24"/>
          <w:szCs w:val="24"/>
          <w:shd w:val="clear" w:color="auto" w:fill="auto"/>
          <w:lang w:eastAsia="zh-CN"/>
        </w:rPr>
        <w:t>授权委托人</w:t>
      </w:r>
      <w:r>
        <w:rPr>
          <w:rFonts w:hint="eastAsia" w:ascii="宋体" w:hAnsi="宋体"/>
          <w:sz w:val="24"/>
          <w:szCs w:val="24"/>
          <w:shd w:val="clear" w:color="auto" w:fill="auto"/>
        </w:rPr>
        <w:t>签字：</w:t>
      </w:r>
      <w:r>
        <w:rPr>
          <w:rFonts w:hint="eastAsia" w:ascii="宋体" w:hAnsi="宋体"/>
          <w:sz w:val="24"/>
          <w:szCs w:val="24"/>
          <w:u w:val="single"/>
          <w:shd w:val="clear" w:color="auto" w:fill="auto"/>
        </w:rPr>
        <w:t xml:space="preserve">                          </w:t>
      </w:r>
    </w:p>
    <w:p>
      <w:pPr>
        <w:pageBreakBefore w:val="0"/>
        <w:widowControl w:val="0"/>
        <w:kinsoku/>
        <w:wordWrap/>
        <w:overflowPunct/>
        <w:topLinePunct w:val="0"/>
        <w:bidi w:val="0"/>
        <w:spacing w:line="360" w:lineRule="auto"/>
        <w:ind w:firstLine="435"/>
        <w:textAlignment w:val="auto"/>
        <w:rPr>
          <w:rFonts w:ascii="宋体" w:hAnsi="宋体"/>
          <w:sz w:val="24"/>
          <w:szCs w:val="24"/>
          <w:shd w:val="clear" w:color="auto" w:fill="auto"/>
        </w:rPr>
      </w:pPr>
      <w:r>
        <w:rPr>
          <w:rFonts w:hint="eastAsia" w:ascii="宋体" w:hAnsi="宋体"/>
          <w:sz w:val="24"/>
          <w:szCs w:val="24"/>
          <w:shd w:val="clear" w:color="auto" w:fill="auto"/>
        </w:rPr>
        <w:t>职        务：</w:t>
      </w:r>
      <w:r>
        <w:rPr>
          <w:rFonts w:hint="eastAsia" w:ascii="宋体" w:hAnsi="宋体"/>
          <w:sz w:val="24"/>
          <w:szCs w:val="24"/>
          <w:u w:val="single"/>
          <w:shd w:val="clear" w:color="auto" w:fill="auto"/>
        </w:rPr>
        <w:t xml:space="preserve">                            </w:t>
      </w:r>
    </w:p>
    <w:p>
      <w:pPr>
        <w:pageBreakBefore w:val="0"/>
        <w:widowControl w:val="0"/>
        <w:kinsoku/>
        <w:wordWrap/>
        <w:overflowPunct/>
        <w:topLinePunct w:val="0"/>
        <w:bidi w:val="0"/>
        <w:spacing w:line="360" w:lineRule="auto"/>
        <w:ind w:firstLine="435"/>
        <w:textAlignment w:val="auto"/>
        <w:rPr>
          <w:rFonts w:ascii="宋体" w:hAnsi="宋体"/>
          <w:sz w:val="24"/>
          <w:szCs w:val="24"/>
          <w:shd w:val="clear" w:color="auto" w:fill="auto"/>
        </w:rPr>
      </w:pPr>
      <w:r>
        <w:rPr>
          <w:rFonts w:hint="eastAsia" w:ascii="宋体" w:hAnsi="宋体"/>
          <w:sz w:val="24"/>
          <w:szCs w:val="24"/>
          <w:shd w:val="clear" w:color="auto" w:fill="auto"/>
        </w:rPr>
        <w:t>日        期：</w:t>
      </w:r>
      <w:r>
        <w:rPr>
          <w:rFonts w:hint="eastAsia" w:ascii="宋体" w:hAnsi="宋体"/>
          <w:sz w:val="24"/>
          <w:szCs w:val="24"/>
          <w:u w:val="single"/>
          <w:shd w:val="clear" w:color="auto" w:fill="auto"/>
        </w:rPr>
        <w:t xml:space="preserve">                            </w:t>
      </w:r>
    </w:p>
    <w:p>
      <w:pPr>
        <w:spacing w:line="360" w:lineRule="auto"/>
        <w:ind w:firstLine="435"/>
        <w:rPr>
          <w:rFonts w:ascii="宋体" w:hAnsi="宋体"/>
          <w:sz w:val="24"/>
        </w:rPr>
      </w:pPr>
    </w:p>
    <w:p>
      <w:pPr>
        <w:spacing w:line="360" w:lineRule="auto"/>
        <w:rPr>
          <w:rFonts w:hint="eastAsia" w:ascii="宋体" w:hAnsi="宋体"/>
          <w:b/>
          <w:sz w:val="28"/>
        </w:rPr>
      </w:pPr>
    </w:p>
    <w:p>
      <w:pPr>
        <w:pStyle w:val="20"/>
        <w:ind w:left="0" w:leftChars="0" w:firstLine="0" w:firstLineChars="0"/>
        <w:rPr>
          <w:rFonts w:hint="eastAsia" w:ascii="宋体" w:hAnsi="宋体"/>
          <w:b/>
          <w:sz w:val="28"/>
          <w:lang w:val="en-US" w:eastAsia="zh-CN"/>
        </w:rPr>
      </w:pPr>
      <w:r>
        <w:rPr>
          <w:rFonts w:hint="eastAsia" w:ascii="宋体" w:hAnsi="宋体"/>
          <w:b/>
          <w:sz w:val="28"/>
          <w:lang w:val="en-US" w:eastAsia="zh-CN"/>
        </w:rPr>
        <w:t>附件7</w:t>
      </w:r>
    </w:p>
    <w:p>
      <w:pPr>
        <w:pStyle w:val="20"/>
        <w:ind w:left="0" w:leftChars="0" w:firstLine="0" w:firstLineChars="0"/>
        <w:jc w:val="center"/>
        <w:rPr>
          <w:rFonts w:hint="eastAsia" w:ascii="宋体" w:hAnsi="宋体"/>
          <w:b/>
          <w:sz w:val="28"/>
          <w:lang w:val="en-US" w:eastAsia="zh-CN"/>
        </w:rPr>
      </w:pPr>
      <w:bookmarkStart w:id="46" w:name="_Toc15538"/>
      <w:r>
        <w:rPr>
          <w:rFonts w:hint="eastAsia" w:ascii="宋体" w:hAnsi="宋体"/>
          <w:b/>
          <w:sz w:val="28"/>
          <w:lang w:val="en-US" w:eastAsia="zh-CN"/>
        </w:rPr>
        <w:t>优惠条件汇总表</w:t>
      </w:r>
      <w:bookmarkEnd w:id="46"/>
    </w:p>
    <w:p>
      <w:pPr>
        <w:pageBreakBefore w:val="0"/>
        <w:widowControl w:val="0"/>
        <w:kinsoku/>
        <w:wordWrap/>
        <w:overflowPunct/>
        <w:topLinePunct w:val="0"/>
        <w:autoSpaceDE w:val="0"/>
        <w:autoSpaceDN w:val="0"/>
        <w:bidi w:val="0"/>
        <w:adjustRightInd w:val="0"/>
        <w:spacing w:line="360" w:lineRule="auto"/>
        <w:ind w:firstLine="420"/>
        <w:jc w:val="center"/>
        <w:textAlignment w:val="auto"/>
        <w:rPr>
          <w:rFonts w:hint="eastAsia" w:cs="宋体"/>
          <w:color w:val="000000"/>
          <w:sz w:val="24"/>
          <w:szCs w:val="24"/>
          <w:shd w:val="clear" w:color="auto" w:fill="auto"/>
        </w:rPr>
      </w:pPr>
    </w:p>
    <w:tbl>
      <w:tblPr>
        <w:tblStyle w:val="21"/>
        <w:tblW w:w="8280" w:type="dxa"/>
        <w:jc w:val="center"/>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620" w:type="dxa"/>
            <w:vAlign w:val="center"/>
          </w:tcPr>
          <w:p>
            <w:pPr>
              <w:pageBreakBefore w:val="0"/>
              <w:widowControl w:val="0"/>
              <w:kinsoku/>
              <w:wordWrap/>
              <w:overflowPunct/>
              <w:topLinePunct w:val="0"/>
              <w:autoSpaceDE w:val="0"/>
              <w:autoSpaceDN w:val="0"/>
              <w:bidi w:val="0"/>
              <w:adjustRightInd w:val="0"/>
              <w:spacing w:line="360" w:lineRule="auto"/>
              <w:ind w:firstLine="420"/>
              <w:textAlignment w:val="auto"/>
              <w:rPr>
                <w:rFonts w:hint="eastAsia" w:cs="宋体"/>
                <w:color w:val="000000"/>
                <w:sz w:val="24"/>
                <w:szCs w:val="24"/>
                <w:shd w:val="clear" w:color="auto" w:fill="auto"/>
              </w:rPr>
            </w:pPr>
            <w:r>
              <w:rPr>
                <w:rFonts w:hint="eastAsia" w:cs="宋体"/>
                <w:color w:val="000000"/>
                <w:sz w:val="24"/>
                <w:szCs w:val="24"/>
                <w:shd w:val="clear" w:color="auto" w:fill="auto"/>
              </w:rPr>
              <w:t>序号</w:t>
            </w:r>
          </w:p>
        </w:tc>
        <w:tc>
          <w:tcPr>
            <w:tcW w:w="6660" w:type="dxa"/>
            <w:vAlign w:val="center"/>
          </w:tcPr>
          <w:p>
            <w:pPr>
              <w:pageBreakBefore w:val="0"/>
              <w:widowControl w:val="0"/>
              <w:kinsoku/>
              <w:wordWrap/>
              <w:overflowPunct/>
              <w:topLinePunct w:val="0"/>
              <w:autoSpaceDE w:val="0"/>
              <w:autoSpaceDN w:val="0"/>
              <w:bidi w:val="0"/>
              <w:adjustRightInd w:val="0"/>
              <w:spacing w:line="360" w:lineRule="auto"/>
              <w:ind w:firstLine="420"/>
              <w:jc w:val="center"/>
              <w:textAlignment w:val="auto"/>
              <w:rPr>
                <w:rFonts w:hint="eastAsia" w:cs="宋体"/>
                <w:color w:val="000000"/>
                <w:sz w:val="24"/>
                <w:szCs w:val="24"/>
                <w:shd w:val="clear" w:color="auto" w:fill="auto"/>
              </w:rPr>
            </w:pPr>
            <w:r>
              <w:rPr>
                <w:rFonts w:hint="eastAsia" w:cs="宋体"/>
                <w:color w:val="000000"/>
                <w:sz w:val="24"/>
                <w:szCs w:val="24"/>
                <w:shd w:val="clear" w:color="auto" w:fill="auto"/>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620" w:type="dxa"/>
            <w:vAlign w:val="top"/>
          </w:tcPr>
          <w:p>
            <w:pPr>
              <w:pageBreakBefore w:val="0"/>
              <w:widowControl w:val="0"/>
              <w:kinsoku/>
              <w:wordWrap/>
              <w:overflowPunct/>
              <w:topLinePunct w:val="0"/>
              <w:autoSpaceDE w:val="0"/>
              <w:autoSpaceDN w:val="0"/>
              <w:bidi w:val="0"/>
              <w:adjustRightInd w:val="0"/>
              <w:spacing w:line="360" w:lineRule="auto"/>
              <w:ind w:firstLine="420"/>
              <w:jc w:val="center"/>
              <w:textAlignment w:val="auto"/>
              <w:rPr>
                <w:rFonts w:hint="eastAsia" w:cs="宋体"/>
                <w:color w:val="000000"/>
                <w:sz w:val="24"/>
                <w:szCs w:val="24"/>
                <w:shd w:val="clear" w:color="auto" w:fill="auto"/>
              </w:rPr>
            </w:pPr>
          </w:p>
        </w:tc>
        <w:tc>
          <w:tcPr>
            <w:tcW w:w="6660" w:type="dxa"/>
            <w:vAlign w:val="top"/>
          </w:tcPr>
          <w:p>
            <w:pPr>
              <w:pageBreakBefore w:val="0"/>
              <w:widowControl w:val="0"/>
              <w:kinsoku/>
              <w:wordWrap/>
              <w:overflowPunct/>
              <w:topLinePunct w:val="0"/>
              <w:autoSpaceDE w:val="0"/>
              <w:autoSpaceDN w:val="0"/>
              <w:bidi w:val="0"/>
              <w:adjustRightInd w:val="0"/>
              <w:spacing w:line="360" w:lineRule="auto"/>
              <w:ind w:firstLine="420"/>
              <w:jc w:val="center"/>
              <w:textAlignment w:val="auto"/>
              <w:rPr>
                <w:rFonts w:hint="eastAsia" w:cs="宋体"/>
                <w:color w:val="000000"/>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620" w:type="dxa"/>
            <w:vAlign w:val="top"/>
          </w:tcPr>
          <w:p>
            <w:pPr>
              <w:pageBreakBefore w:val="0"/>
              <w:widowControl w:val="0"/>
              <w:kinsoku/>
              <w:wordWrap/>
              <w:overflowPunct/>
              <w:topLinePunct w:val="0"/>
              <w:autoSpaceDE w:val="0"/>
              <w:autoSpaceDN w:val="0"/>
              <w:bidi w:val="0"/>
              <w:adjustRightInd w:val="0"/>
              <w:spacing w:line="360" w:lineRule="auto"/>
              <w:ind w:firstLine="420"/>
              <w:jc w:val="center"/>
              <w:textAlignment w:val="auto"/>
              <w:rPr>
                <w:rFonts w:hint="eastAsia" w:cs="宋体"/>
                <w:color w:val="000000"/>
                <w:sz w:val="24"/>
                <w:szCs w:val="24"/>
                <w:shd w:val="clear" w:color="auto" w:fill="auto"/>
              </w:rPr>
            </w:pPr>
          </w:p>
        </w:tc>
        <w:tc>
          <w:tcPr>
            <w:tcW w:w="6660" w:type="dxa"/>
            <w:vAlign w:val="top"/>
          </w:tcPr>
          <w:p>
            <w:pPr>
              <w:pageBreakBefore w:val="0"/>
              <w:widowControl w:val="0"/>
              <w:kinsoku/>
              <w:wordWrap/>
              <w:overflowPunct/>
              <w:topLinePunct w:val="0"/>
              <w:autoSpaceDE w:val="0"/>
              <w:autoSpaceDN w:val="0"/>
              <w:bidi w:val="0"/>
              <w:adjustRightInd w:val="0"/>
              <w:spacing w:line="360" w:lineRule="auto"/>
              <w:ind w:firstLine="420"/>
              <w:jc w:val="center"/>
              <w:textAlignment w:val="auto"/>
              <w:rPr>
                <w:rFonts w:hint="eastAsia" w:cs="宋体"/>
                <w:color w:val="000000"/>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620" w:type="dxa"/>
            <w:vAlign w:val="top"/>
          </w:tcPr>
          <w:p>
            <w:pPr>
              <w:pageBreakBefore w:val="0"/>
              <w:widowControl w:val="0"/>
              <w:kinsoku/>
              <w:wordWrap/>
              <w:overflowPunct/>
              <w:topLinePunct w:val="0"/>
              <w:autoSpaceDE w:val="0"/>
              <w:autoSpaceDN w:val="0"/>
              <w:bidi w:val="0"/>
              <w:adjustRightInd w:val="0"/>
              <w:spacing w:line="360" w:lineRule="auto"/>
              <w:ind w:firstLine="420"/>
              <w:jc w:val="center"/>
              <w:textAlignment w:val="auto"/>
              <w:rPr>
                <w:rFonts w:hint="eastAsia" w:cs="宋体"/>
                <w:color w:val="000000"/>
                <w:sz w:val="24"/>
                <w:szCs w:val="24"/>
                <w:shd w:val="clear" w:color="auto" w:fill="auto"/>
              </w:rPr>
            </w:pPr>
          </w:p>
        </w:tc>
        <w:tc>
          <w:tcPr>
            <w:tcW w:w="6660" w:type="dxa"/>
            <w:vAlign w:val="top"/>
          </w:tcPr>
          <w:p>
            <w:pPr>
              <w:pageBreakBefore w:val="0"/>
              <w:widowControl w:val="0"/>
              <w:kinsoku/>
              <w:wordWrap/>
              <w:overflowPunct/>
              <w:topLinePunct w:val="0"/>
              <w:autoSpaceDE w:val="0"/>
              <w:autoSpaceDN w:val="0"/>
              <w:bidi w:val="0"/>
              <w:adjustRightInd w:val="0"/>
              <w:spacing w:line="360" w:lineRule="auto"/>
              <w:ind w:firstLine="420"/>
              <w:jc w:val="center"/>
              <w:textAlignment w:val="auto"/>
              <w:rPr>
                <w:rFonts w:hint="eastAsia" w:cs="宋体"/>
                <w:color w:val="000000"/>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620" w:type="dxa"/>
            <w:vAlign w:val="top"/>
          </w:tcPr>
          <w:p>
            <w:pPr>
              <w:pageBreakBefore w:val="0"/>
              <w:widowControl w:val="0"/>
              <w:kinsoku/>
              <w:wordWrap/>
              <w:overflowPunct/>
              <w:topLinePunct w:val="0"/>
              <w:autoSpaceDE w:val="0"/>
              <w:autoSpaceDN w:val="0"/>
              <w:bidi w:val="0"/>
              <w:adjustRightInd w:val="0"/>
              <w:spacing w:line="360" w:lineRule="auto"/>
              <w:ind w:firstLine="420"/>
              <w:jc w:val="center"/>
              <w:textAlignment w:val="auto"/>
              <w:rPr>
                <w:rFonts w:hint="eastAsia" w:cs="宋体"/>
                <w:color w:val="000000"/>
                <w:sz w:val="24"/>
                <w:szCs w:val="24"/>
                <w:shd w:val="clear" w:color="auto" w:fill="auto"/>
              </w:rPr>
            </w:pPr>
          </w:p>
        </w:tc>
        <w:tc>
          <w:tcPr>
            <w:tcW w:w="6660" w:type="dxa"/>
            <w:vAlign w:val="top"/>
          </w:tcPr>
          <w:p>
            <w:pPr>
              <w:pageBreakBefore w:val="0"/>
              <w:widowControl w:val="0"/>
              <w:kinsoku/>
              <w:wordWrap/>
              <w:overflowPunct/>
              <w:topLinePunct w:val="0"/>
              <w:autoSpaceDE w:val="0"/>
              <w:autoSpaceDN w:val="0"/>
              <w:bidi w:val="0"/>
              <w:adjustRightInd w:val="0"/>
              <w:spacing w:line="360" w:lineRule="auto"/>
              <w:ind w:firstLine="420"/>
              <w:jc w:val="center"/>
              <w:textAlignment w:val="auto"/>
              <w:rPr>
                <w:rFonts w:hint="eastAsia" w:cs="宋体"/>
                <w:color w:val="000000"/>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620" w:type="dxa"/>
            <w:vAlign w:val="top"/>
          </w:tcPr>
          <w:p>
            <w:pPr>
              <w:pageBreakBefore w:val="0"/>
              <w:widowControl w:val="0"/>
              <w:kinsoku/>
              <w:wordWrap/>
              <w:overflowPunct/>
              <w:topLinePunct w:val="0"/>
              <w:autoSpaceDE w:val="0"/>
              <w:autoSpaceDN w:val="0"/>
              <w:bidi w:val="0"/>
              <w:adjustRightInd w:val="0"/>
              <w:spacing w:line="360" w:lineRule="auto"/>
              <w:ind w:firstLine="420"/>
              <w:jc w:val="center"/>
              <w:textAlignment w:val="auto"/>
              <w:rPr>
                <w:rFonts w:hint="eastAsia" w:cs="宋体"/>
                <w:color w:val="000000"/>
                <w:sz w:val="24"/>
                <w:szCs w:val="24"/>
                <w:shd w:val="clear" w:color="auto" w:fill="auto"/>
              </w:rPr>
            </w:pPr>
          </w:p>
        </w:tc>
        <w:tc>
          <w:tcPr>
            <w:tcW w:w="6660" w:type="dxa"/>
            <w:vAlign w:val="top"/>
          </w:tcPr>
          <w:p>
            <w:pPr>
              <w:pageBreakBefore w:val="0"/>
              <w:widowControl w:val="0"/>
              <w:kinsoku/>
              <w:wordWrap/>
              <w:overflowPunct/>
              <w:topLinePunct w:val="0"/>
              <w:autoSpaceDE w:val="0"/>
              <w:autoSpaceDN w:val="0"/>
              <w:bidi w:val="0"/>
              <w:adjustRightInd w:val="0"/>
              <w:spacing w:line="360" w:lineRule="auto"/>
              <w:ind w:firstLine="420"/>
              <w:jc w:val="center"/>
              <w:textAlignment w:val="auto"/>
              <w:rPr>
                <w:rFonts w:hint="eastAsia" w:cs="宋体"/>
                <w:color w:val="000000"/>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620" w:type="dxa"/>
            <w:vAlign w:val="top"/>
          </w:tcPr>
          <w:p>
            <w:pPr>
              <w:pageBreakBefore w:val="0"/>
              <w:widowControl w:val="0"/>
              <w:kinsoku/>
              <w:wordWrap/>
              <w:overflowPunct/>
              <w:topLinePunct w:val="0"/>
              <w:autoSpaceDE w:val="0"/>
              <w:autoSpaceDN w:val="0"/>
              <w:bidi w:val="0"/>
              <w:adjustRightInd w:val="0"/>
              <w:spacing w:line="360" w:lineRule="auto"/>
              <w:ind w:firstLine="420"/>
              <w:jc w:val="center"/>
              <w:textAlignment w:val="auto"/>
              <w:rPr>
                <w:rFonts w:hint="eastAsia" w:cs="宋体"/>
                <w:color w:val="000000"/>
                <w:sz w:val="24"/>
                <w:szCs w:val="24"/>
                <w:shd w:val="clear" w:color="auto" w:fill="auto"/>
              </w:rPr>
            </w:pPr>
          </w:p>
        </w:tc>
        <w:tc>
          <w:tcPr>
            <w:tcW w:w="6660" w:type="dxa"/>
            <w:vAlign w:val="top"/>
          </w:tcPr>
          <w:p>
            <w:pPr>
              <w:pageBreakBefore w:val="0"/>
              <w:widowControl w:val="0"/>
              <w:kinsoku/>
              <w:wordWrap/>
              <w:overflowPunct/>
              <w:topLinePunct w:val="0"/>
              <w:autoSpaceDE w:val="0"/>
              <w:autoSpaceDN w:val="0"/>
              <w:bidi w:val="0"/>
              <w:adjustRightInd w:val="0"/>
              <w:spacing w:line="360" w:lineRule="auto"/>
              <w:ind w:firstLine="420"/>
              <w:jc w:val="center"/>
              <w:textAlignment w:val="auto"/>
              <w:rPr>
                <w:rFonts w:hint="eastAsia" w:cs="宋体"/>
                <w:color w:val="000000"/>
                <w:sz w:val="24"/>
                <w:szCs w:val="24"/>
                <w:shd w:val="clear" w:color="auto" w:fill="auto"/>
              </w:rPr>
            </w:pPr>
          </w:p>
        </w:tc>
      </w:tr>
    </w:tbl>
    <w:p>
      <w:pPr>
        <w:pageBreakBefore w:val="0"/>
        <w:widowControl w:val="0"/>
        <w:kinsoku/>
        <w:wordWrap/>
        <w:overflowPunct/>
        <w:topLinePunct w:val="0"/>
        <w:autoSpaceDE w:val="0"/>
        <w:autoSpaceDN w:val="0"/>
        <w:bidi w:val="0"/>
        <w:adjustRightInd w:val="0"/>
        <w:spacing w:line="360" w:lineRule="auto"/>
        <w:jc w:val="left"/>
        <w:textAlignment w:val="auto"/>
        <w:rPr>
          <w:rFonts w:hint="eastAsia" w:eastAsia="宋体" w:cs="宋体"/>
          <w:color w:val="000000"/>
          <w:sz w:val="24"/>
          <w:szCs w:val="24"/>
          <w:shd w:val="clear" w:color="auto" w:fill="auto"/>
          <w:lang w:val="en-US" w:eastAsia="zh-CN"/>
        </w:rPr>
      </w:pPr>
      <w:r>
        <w:rPr>
          <w:rFonts w:hint="eastAsia" w:cs="宋体"/>
          <w:color w:val="000000"/>
          <w:sz w:val="24"/>
          <w:szCs w:val="24"/>
          <w:shd w:val="clear" w:color="auto" w:fill="auto"/>
          <w:lang w:val="en-US" w:eastAsia="zh-CN"/>
        </w:rPr>
        <w:t>备注：投标人</w:t>
      </w:r>
      <w:r>
        <w:rPr>
          <w:rFonts w:hint="eastAsia" w:cs="宋体"/>
          <w:color w:val="000000"/>
          <w:sz w:val="24"/>
          <w:szCs w:val="24"/>
          <w:shd w:val="clear" w:color="auto" w:fill="auto"/>
        </w:rPr>
        <w:t>所能提供的</w:t>
      </w:r>
      <w:r>
        <w:rPr>
          <w:rFonts w:hint="eastAsia" w:cs="宋体"/>
          <w:color w:val="000000"/>
          <w:sz w:val="24"/>
          <w:szCs w:val="24"/>
          <w:shd w:val="clear" w:color="auto" w:fill="auto"/>
          <w:lang w:val="en-US" w:eastAsia="zh-CN"/>
        </w:rPr>
        <w:t>其他</w:t>
      </w:r>
      <w:r>
        <w:rPr>
          <w:rFonts w:hint="eastAsia" w:cs="宋体"/>
          <w:color w:val="000000"/>
          <w:sz w:val="24"/>
          <w:szCs w:val="24"/>
          <w:shd w:val="clear" w:color="auto" w:fill="auto"/>
        </w:rPr>
        <w:t>超出招标文件要求的优惠条件</w:t>
      </w:r>
      <w:r>
        <w:rPr>
          <w:rFonts w:hint="eastAsia" w:cs="宋体"/>
          <w:color w:val="000000"/>
          <w:sz w:val="24"/>
          <w:szCs w:val="24"/>
          <w:shd w:val="clear" w:color="auto" w:fill="auto"/>
          <w:lang w:val="en-US" w:eastAsia="zh-CN"/>
        </w:rPr>
        <w:t>在此</w:t>
      </w:r>
      <w:r>
        <w:rPr>
          <w:rFonts w:hint="eastAsia" w:cs="宋体"/>
          <w:color w:val="000000"/>
          <w:sz w:val="24"/>
          <w:szCs w:val="24"/>
          <w:shd w:val="clear" w:color="auto" w:fill="auto"/>
        </w:rPr>
        <w:t>表格汇总</w:t>
      </w:r>
      <w:r>
        <w:rPr>
          <w:rFonts w:hint="eastAsia" w:cs="宋体"/>
          <w:color w:val="000000"/>
          <w:sz w:val="24"/>
          <w:szCs w:val="24"/>
          <w:shd w:val="clear" w:color="auto" w:fill="auto"/>
          <w:lang w:eastAsia="zh-CN"/>
        </w:rPr>
        <w:t>。</w:t>
      </w:r>
    </w:p>
    <w:p>
      <w:pPr>
        <w:pageBreakBefore w:val="0"/>
        <w:widowControl w:val="0"/>
        <w:kinsoku/>
        <w:wordWrap/>
        <w:overflowPunct/>
        <w:topLinePunct w:val="0"/>
        <w:autoSpaceDE w:val="0"/>
        <w:autoSpaceDN w:val="0"/>
        <w:bidi w:val="0"/>
        <w:adjustRightInd w:val="0"/>
        <w:spacing w:line="360" w:lineRule="auto"/>
        <w:ind w:firstLine="420"/>
        <w:jc w:val="left"/>
        <w:textAlignment w:val="auto"/>
        <w:rPr>
          <w:rFonts w:hint="eastAsia" w:cs="宋体"/>
          <w:color w:val="000000"/>
          <w:sz w:val="24"/>
          <w:szCs w:val="24"/>
          <w:shd w:val="clear" w:color="auto" w:fill="auto"/>
        </w:rPr>
      </w:pPr>
    </w:p>
    <w:p>
      <w:pPr>
        <w:pageBreakBefore w:val="0"/>
        <w:widowControl w:val="0"/>
        <w:kinsoku/>
        <w:wordWrap/>
        <w:overflowPunct/>
        <w:topLinePunct w:val="0"/>
        <w:autoSpaceDE w:val="0"/>
        <w:autoSpaceDN w:val="0"/>
        <w:bidi w:val="0"/>
        <w:adjustRightInd w:val="0"/>
        <w:spacing w:line="360" w:lineRule="auto"/>
        <w:ind w:firstLine="420"/>
        <w:jc w:val="left"/>
        <w:textAlignment w:val="auto"/>
        <w:rPr>
          <w:rFonts w:hint="eastAsia" w:cs="宋体"/>
          <w:color w:val="000000"/>
          <w:sz w:val="24"/>
          <w:szCs w:val="24"/>
          <w:shd w:val="clear" w:color="auto" w:fill="auto"/>
        </w:rPr>
      </w:pPr>
    </w:p>
    <w:p>
      <w:pPr>
        <w:pageBreakBefore w:val="0"/>
        <w:widowControl w:val="0"/>
        <w:kinsoku/>
        <w:wordWrap/>
        <w:overflowPunct/>
        <w:topLinePunct w:val="0"/>
        <w:bidi w:val="0"/>
        <w:spacing w:line="360" w:lineRule="auto"/>
        <w:ind w:left="420"/>
        <w:textAlignment w:val="auto"/>
        <w:rPr>
          <w:rFonts w:ascii="宋体" w:hAnsi="宋体"/>
          <w:sz w:val="24"/>
          <w:szCs w:val="24"/>
          <w:u w:val="single"/>
          <w:shd w:val="clear" w:color="auto" w:fill="auto"/>
        </w:rPr>
      </w:pPr>
      <w:bookmarkStart w:id="47" w:name="_Toc262053546"/>
      <w:bookmarkStart w:id="48" w:name="_Toc423015717"/>
      <w:bookmarkStart w:id="49" w:name="_Toc31488"/>
      <w:bookmarkStart w:id="50" w:name="_Toc420943882"/>
      <w:r>
        <w:rPr>
          <w:rFonts w:hint="eastAsia" w:ascii="宋体" w:hAnsi="宋体"/>
          <w:sz w:val="24"/>
          <w:szCs w:val="24"/>
          <w:shd w:val="clear" w:color="auto" w:fill="auto"/>
        </w:rPr>
        <w:t>投标人名称（盖章）：</w:t>
      </w:r>
      <w:r>
        <w:rPr>
          <w:rFonts w:hint="eastAsia" w:ascii="宋体" w:hAnsi="宋体"/>
          <w:sz w:val="24"/>
          <w:szCs w:val="24"/>
          <w:u w:val="single"/>
          <w:shd w:val="clear" w:color="auto" w:fill="auto"/>
        </w:rPr>
        <w:t xml:space="preserve">                 </w:t>
      </w:r>
      <w:r>
        <w:rPr>
          <w:rFonts w:hint="eastAsia" w:ascii="宋体" w:hAnsi="宋体"/>
          <w:sz w:val="24"/>
          <w:szCs w:val="24"/>
          <w:u w:val="single"/>
          <w:shd w:val="clear" w:color="auto" w:fill="auto"/>
          <w:lang w:val="en-US" w:eastAsia="zh-CN"/>
        </w:rPr>
        <w:t xml:space="preserve"> </w:t>
      </w:r>
      <w:r>
        <w:rPr>
          <w:rFonts w:hint="eastAsia" w:ascii="宋体" w:hAnsi="宋体"/>
          <w:sz w:val="24"/>
          <w:szCs w:val="24"/>
          <w:u w:val="single"/>
          <w:shd w:val="clear" w:color="auto" w:fill="auto"/>
        </w:rPr>
        <w:t xml:space="preserve">     </w:t>
      </w:r>
    </w:p>
    <w:p>
      <w:pPr>
        <w:pageBreakBefore w:val="0"/>
        <w:widowControl w:val="0"/>
        <w:kinsoku/>
        <w:wordWrap/>
        <w:overflowPunct/>
        <w:topLinePunct w:val="0"/>
        <w:bidi w:val="0"/>
        <w:spacing w:line="360" w:lineRule="auto"/>
        <w:ind w:firstLine="435"/>
        <w:textAlignment w:val="auto"/>
        <w:rPr>
          <w:rFonts w:ascii="宋体" w:hAnsi="宋体"/>
          <w:sz w:val="24"/>
          <w:szCs w:val="24"/>
          <w:shd w:val="clear" w:color="auto" w:fill="auto"/>
        </w:rPr>
      </w:pPr>
      <w:r>
        <w:rPr>
          <w:rFonts w:hint="eastAsia" w:ascii="宋体" w:hAnsi="宋体"/>
          <w:sz w:val="24"/>
          <w:szCs w:val="24"/>
          <w:shd w:val="clear" w:color="auto" w:fill="auto"/>
          <w:lang w:eastAsia="zh-CN"/>
        </w:rPr>
        <w:t>授权委托人</w:t>
      </w:r>
      <w:r>
        <w:rPr>
          <w:rFonts w:hint="eastAsia" w:ascii="宋体" w:hAnsi="宋体"/>
          <w:sz w:val="24"/>
          <w:szCs w:val="24"/>
          <w:shd w:val="clear" w:color="auto" w:fill="auto"/>
        </w:rPr>
        <w:t>签字：</w:t>
      </w:r>
      <w:r>
        <w:rPr>
          <w:rFonts w:hint="eastAsia" w:ascii="宋体" w:hAnsi="宋体"/>
          <w:sz w:val="24"/>
          <w:szCs w:val="24"/>
          <w:u w:val="single"/>
          <w:shd w:val="clear" w:color="auto" w:fill="auto"/>
        </w:rPr>
        <w:t xml:space="preserve">                          </w:t>
      </w:r>
    </w:p>
    <w:p>
      <w:pPr>
        <w:pageBreakBefore w:val="0"/>
        <w:widowControl w:val="0"/>
        <w:kinsoku/>
        <w:wordWrap/>
        <w:overflowPunct/>
        <w:topLinePunct w:val="0"/>
        <w:bidi w:val="0"/>
        <w:spacing w:line="360" w:lineRule="auto"/>
        <w:ind w:firstLine="435"/>
        <w:textAlignment w:val="auto"/>
        <w:rPr>
          <w:rFonts w:ascii="宋体" w:hAnsi="宋体"/>
          <w:sz w:val="24"/>
          <w:szCs w:val="24"/>
          <w:shd w:val="clear" w:color="auto" w:fill="auto"/>
        </w:rPr>
      </w:pPr>
      <w:r>
        <w:rPr>
          <w:rFonts w:hint="eastAsia" w:ascii="宋体" w:hAnsi="宋体"/>
          <w:sz w:val="24"/>
          <w:szCs w:val="24"/>
          <w:shd w:val="clear" w:color="auto" w:fill="auto"/>
        </w:rPr>
        <w:t>职        务：</w:t>
      </w:r>
      <w:r>
        <w:rPr>
          <w:rFonts w:hint="eastAsia" w:ascii="宋体" w:hAnsi="宋体"/>
          <w:sz w:val="24"/>
          <w:szCs w:val="24"/>
          <w:u w:val="single"/>
          <w:shd w:val="clear" w:color="auto" w:fill="auto"/>
        </w:rPr>
        <w:t xml:space="preserve">                            </w:t>
      </w:r>
    </w:p>
    <w:p>
      <w:pPr>
        <w:pageBreakBefore w:val="0"/>
        <w:widowControl w:val="0"/>
        <w:kinsoku/>
        <w:wordWrap/>
        <w:overflowPunct/>
        <w:topLinePunct w:val="0"/>
        <w:bidi w:val="0"/>
        <w:spacing w:line="360" w:lineRule="auto"/>
        <w:ind w:firstLine="435"/>
        <w:textAlignment w:val="auto"/>
        <w:rPr>
          <w:rFonts w:ascii="宋体" w:hAnsi="宋体"/>
          <w:sz w:val="24"/>
          <w:szCs w:val="24"/>
          <w:shd w:val="clear" w:color="auto" w:fill="auto"/>
        </w:rPr>
      </w:pPr>
      <w:r>
        <w:rPr>
          <w:rFonts w:hint="eastAsia" w:ascii="宋体" w:hAnsi="宋体"/>
          <w:sz w:val="24"/>
          <w:szCs w:val="24"/>
          <w:shd w:val="clear" w:color="auto" w:fill="auto"/>
        </w:rPr>
        <w:t>日        期：</w:t>
      </w:r>
      <w:r>
        <w:rPr>
          <w:rFonts w:hint="eastAsia" w:ascii="宋体" w:hAnsi="宋体"/>
          <w:sz w:val="24"/>
          <w:szCs w:val="24"/>
          <w:u w:val="single"/>
          <w:shd w:val="clear" w:color="auto" w:fill="auto"/>
        </w:rPr>
        <w:t xml:space="preserve">                            </w:t>
      </w:r>
    </w:p>
    <w:p>
      <w:pPr>
        <w:pageBreakBefore w:val="0"/>
        <w:widowControl w:val="0"/>
        <w:kinsoku/>
        <w:wordWrap/>
        <w:overflowPunct/>
        <w:topLinePunct w:val="0"/>
        <w:autoSpaceDE w:val="0"/>
        <w:autoSpaceDN w:val="0"/>
        <w:bidi w:val="0"/>
        <w:adjustRightInd w:val="0"/>
        <w:spacing w:line="360" w:lineRule="auto"/>
        <w:ind w:firstLine="420"/>
        <w:jc w:val="left"/>
        <w:textAlignment w:val="auto"/>
        <w:rPr>
          <w:rFonts w:hint="eastAsia" w:cs="宋体"/>
          <w:color w:val="000000"/>
          <w:sz w:val="24"/>
          <w:szCs w:val="24"/>
          <w:shd w:val="clear" w:color="auto" w:fill="auto"/>
        </w:rPr>
      </w:pPr>
    </w:p>
    <w:p>
      <w:pPr>
        <w:pStyle w:val="20"/>
        <w:rPr>
          <w:rFonts w:hint="eastAsia" w:cs="宋体"/>
          <w:color w:val="000000"/>
          <w:sz w:val="24"/>
          <w:szCs w:val="24"/>
          <w:shd w:val="clear" w:color="auto" w:fill="auto"/>
        </w:rPr>
      </w:pPr>
    </w:p>
    <w:p>
      <w:pPr>
        <w:pStyle w:val="20"/>
        <w:rPr>
          <w:rFonts w:hint="eastAsia" w:cs="宋体"/>
          <w:color w:val="000000"/>
          <w:sz w:val="24"/>
          <w:szCs w:val="24"/>
          <w:shd w:val="clear" w:color="auto" w:fill="auto"/>
        </w:rPr>
      </w:pPr>
    </w:p>
    <w:p>
      <w:pPr>
        <w:pStyle w:val="20"/>
        <w:rPr>
          <w:rFonts w:hint="eastAsia" w:cs="宋体"/>
          <w:color w:val="000000"/>
          <w:sz w:val="24"/>
          <w:szCs w:val="24"/>
          <w:shd w:val="clear" w:color="auto" w:fill="auto"/>
        </w:rPr>
      </w:pPr>
    </w:p>
    <w:p>
      <w:pPr>
        <w:pStyle w:val="20"/>
        <w:rPr>
          <w:rFonts w:hint="eastAsia" w:cs="宋体"/>
          <w:color w:val="000000"/>
          <w:sz w:val="24"/>
          <w:szCs w:val="24"/>
          <w:shd w:val="clear" w:color="auto" w:fill="auto"/>
        </w:rPr>
      </w:pPr>
    </w:p>
    <w:p>
      <w:pPr>
        <w:pStyle w:val="20"/>
        <w:ind w:left="0" w:leftChars="0" w:firstLine="0" w:firstLineChars="0"/>
        <w:rPr>
          <w:rFonts w:hint="eastAsia" w:cs="宋体"/>
          <w:color w:val="000000"/>
          <w:sz w:val="24"/>
          <w:szCs w:val="24"/>
          <w:shd w:val="clear" w:color="auto" w:fill="auto"/>
        </w:rPr>
      </w:pPr>
      <w:r>
        <w:rPr>
          <w:rFonts w:hint="eastAsia" w:ascii="宋体" w:hAnsi="宋体"/>
          <w:b/>
          <w:sz w:val="28"/>
          <w:lang w:val="en-US" w:eastAsia="zh-CN"/>
        </w:rPr>
        <w:t>附件</w:t>
      </w:r>
      <w:bookmarkEnd w:id="47"/>
      <w:bookmarkEnd w:id="48"/>
      <w:bookmarkEnd w:id="49"/>
      <w:bookmarkEnd w:id="50"/>
      <w:r>
        <w:rPr>
          <w:rFonts w:hint="eastAsia" w:ascii="宋体" w:hAnsi="宋体"/>
          <w:b/>
          <w:sz w:val="28"/>
          <w:lang w:val="en-US" w:eastAsia="zh-CN"/>
        </w:rPr>
        <w:t>8</w:t>
      </w:r>
    </w:p>
    <w:p>
      <w:pPr>
        <w:pageBreakBefore w:val="0"/>
        <w:widowControl w:val="0"/>
        <w:kinsoku/>
        <w:wordWrap/>
        <w:overflowPunct/>
        <w:topLinePunct w:val="0"/>
        <w:bidi w:val="0"/>
        <w:snapToGrid/>
        <w:spacing w:line="360" w:lineRule="auto"/>
        <w:ind w:right="0" w:rightChars="0" w:firstLine="0" w:firstLineChars="0"/>
        <w:jc w:val="center"/>
        <w:textAlignment w:val="auto"/>
        <w:rPr>
          <w:rFonts w:hint="eastAsia" w:ascii="宋体" w:hAnsi="宋体" w:eastAsia="宋体" w:cs="宋体"/>
          <w:b/>
          <w:bCs/>
          <w:color w:val="000000"/>
          <w:sz w:val="28"/>
          <w:szCs w:val="28"/>
          <w:shd w:val="clear" w:color="auto" w:fill="auto"/>
        </w:rPr>
      </w:pPr>
      <w:r>
        <w:rPr>
          <w:rFonts w:hint="eastAsia" w:ascii="宋体" w:hAnsi="宋体" w:eastAsia="宋体" w:cs="宋体"/>
          <w:b/>
          <w:bCs/>
          <w:color w:val="000000"/>
          <w:sz w:val="28"/>
          <w:szCs w:val="28"/>
          <w:shd w:val="clear" w:color="auto" w:fill="auto"/>
          <w:lang w:eastAsia="zh-CN"/>
        </w:rPr>
        <w:t>赔款支付方式</w:t>
      </w:r>
      <w:r>
        <w:rPr>
          <w:rFonts w:hint="eastAsia" w:ascii="宋体" w:hAnsi="宋体" w:eastAsia="宋体" w:cs="宋体"/>
          <w:b/>
          <w:bCs/>
          <w:color w:val="000000"/>
          <w:sz w:val="28"/>
          <w:szCs w:val="28"/>
          <w:shd w:val="clear" w:color="auto" w:fill="auto"/>
        </w:rPr>
        <w:t>承诺函</w:t>
      </w:r>
    </w:p>
    <w:p>
      <w:pPr>
        <w:pageBreakBefore w:val="0"/>
        <w:widowControl w:val="0"/>
        <w:kinsoku/>
        <w:wordWrap/>
        <w:overflowPunct/>
        <w:topLinePunct w:val="0"/>
        <w:bidi w:val="0"/>
        <w:snapToGrid/>
        <w:spacing w:line="360" w:lineRule="auto"/>
        <w:ind w:right="0" w:rightChars="0" w:firstLine="0" w:firstLineChars="0"/>
        <w:jc w:val="center"/>
        <w:textAlignment w:val="auto"/>
        <w:rPr>
          <w:rFonts w:hint="eastAsia" w:ascii="宋体" w:hAnsi="宋体" w:eastAsia="宋体" w:cs="宋体"/>
          <w:color w:val="000000"/>
          <w:sz w:val="24"/>
          <w:szCs w:val="24"/>
          <w:shd w:val="clear" w:color="auto" w:fill="auto"/>
        </w:rPr>
      </w:pPr>
    </w:p>
    <w:p>
      <w:pPr>
        <w:pageBreakBefore w:val="0"/>
        <w:widowControl w:val="0"/>
        <w:kinsoku/>
        <w:wordWrap/>
        <w:overflowPunct/>
        <w:topLinePunct w:val="0"/>
        <w:bidi w:val="0"/>
        <w:snapToGrid/>
        <w:spacing w:line="360" w:lineRule="auto"/>
        <w:ind w:right="0" w:rightChars="0" w:firstLine="0" w:firstLineChars="0"/>
        <w:textAlignment w:val="auto"/>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致：</w:t>
      </w:r>
      <w:r>
        <w:rPr>
          <w:rFonts w:hint="eastAsia" w:ascii="宋体" w:hAnsi="宋体" w:eastAsia="宋体" w:cs="宋体"/>
          <w:color w:val="000000"/>
          <w:sz w:val="24"/>
          <w:szCs w:val="24"/>
          <w:u w:val="single"/>
          <w:shd w:val="clear" w:color="auto" w:fill="auto"/>
        </w:rPr>
        <w:t xml:space="preserve">                              （招标人）</w:t>
      </w:r>
    </w:p>
    <w:p>
      <w:pPr>
        <w:pageBreakBefore w:val="0"/>
        <w:widowControl w:val="0"/>
        <w:kinsoku/>
        <w:wordWrap/>
        <w:overflowPunct/>
        <w:topLinePunct w:val="0"/>
        <w:bidi w:val="0"/>
        <w:snapToGrid/>
        <w:spacing w:line="360" w:lineRule="auto"/>
        <w:ind w:right="0" w:rightChars="0" w:firstLine="420"/>
        <w:textAlignment w:val="auto"/>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u w:val="single"/>
          <w:shd w:val="clear" w:color="auto" w:fill="auto"/>
        </w:rPr>
        <w:t>若                 （投标人名称）能够入围本项目的保险人</w:t>
      </w:r>
      <w:r>
        <w:rPr>
          <w:rFonts w:hint="eastAsia" w:ascii="宋体" w:hAnsi="宋体" w:eastAsia="宋体" w:cs="宋体"/>
          <w:color w:val="000000"/>
          <w:sz w:val="24"/>
          <w:szCs w:val="24"/>
          <w:shd w:val="clear" w:color="auto" w:fill="auto"/>
        </w:rPr>
        <w:t xml:space="preserve">， </w:t>
      </w:r>
      <w:r>
        <w:rPr>
          <w:rFonts w:hint="eastAsia" w:ascii="宋体" w:hAnsi="宋体" w:eastAsia="宋体" w:cs="宋体"/>
          <w:color w:val="000000"/>
          <w:sz w:val="24"/>
          <w:szCs w:val="24"/>
          <w:u w:val="single"/>
          <w:shd w:val="clear" w:color="auto" w:fill="auto"/>
        </w:rPr>
        <w:t xml:space="preserve">            （投标人</w:t>
      </w:r>
      <w:r>
        <w:rPr>
          <w:rFonts w:hint="eastAsia" w:ascii="宋体" w:hAnsi="宋体" w:cs="宋体"/>
          <w:color w:val="000000"/>
          <w:sz w:val="24"/>
          <w:szCs w:val="24"/>
          <w:u w:val="single"/>
          <w:shd w:val="clear" w:color="auto" w:fill="auto"/>
          <w:lang w:eastAsia="zh-CN"/>
        </w:rPr>
        <w:t>上级公司名称</w:t>
      </w:r>
      <w:r>
        <w:rPr>
          <w:rFonts w:hint="eastAsia" w:ascii="宋体" w:hAnsi="宋体" w:eastAsia="宋体" w:cs="宋体"/>
          <w:color w:val="000000"/>
          <w:sz w:val="24"/>
          <w:szCs w:val="24"/>
          <w:u w:val="single"/>
          <w:shd w:val="clear" w:color="auto" w:fill="auto"/>
        </w:rPr>
        <w:t>）</w:t>
      </w:r>
      <w:r>
        <w:rPr>
          <w:rFonts w:hint="eastAsia" w:ascii="宋体" w:hAnsi="宋体" w:eastAsia="宋体" w:cs="宋体"/>
          <w:color w:val="000000"/>
          <w:sz w:val="24"/>
          <w:szCs w:val="24"/>
          <w:shd w:val="clear" w:color="auto" w:fill="auto"/>
        </w:rPr>
        <w:t>承诺</w:t>
      </w:r>
      <w:r>
        <w:rPr>
          <w:rFonts w:hint="eastAsia" w:ascii="宋体" w:hAnsi="宋体" w:cs="宋体"/>
          <w:color w:val="000000"/>
          <w:sz w:val="24"/>
          <w:szCs w:val="24"/>
          <w:shd w:val="clear" w:color="auto" w:fill="auto"/>
          <w:lang w:eastAsia="zh-CN"/>
        </w:rPr>
        <w:t>按照招标需求中要求的赔款支付方式进行保险赔款支付。</w:t>
      </w:r>
    </w:p>
    <w:p>
      <w:pPr>
        <w:pageBreakBefore w:val="0"/>
        <w:widowControl w:val="0"/>
        <w:kinsoku/>
        <w:wordWrap/>
        <w:overflowPunct/>
        <w:topLinePunct w:val="0"/>
        <w:autoSpaceDE w:val="0"/>
        <w:autoSpaceDN w:val="0"/>
        <w:bidi w:val="0"/>
        <w:adjustRightInd w:val="0"/>
        <w:snapToGrid/>
        <w:spacing w:line="360" w:lineRule="auto"/>
        <w:ind w:right="0" w:rightChars="0" w:firstLine="460" w:firstLineChars="192"/>
        <w:jc w:val="left"/>
        <w:textAlignment w:val="auto"/>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备注：该承诺函必须由</w:t>
      </w:r>
      <w:r>
        <w:rPr>
          <w:rFonts w:hint="eastAsia" w:ascii="宋体" w:hAnsi="宋体" w:eastAsia="宋体" w:cs="宋体"/>
          <w:color w:val="000000"/>
          <w:sz w:val="24"/>
          <w:szCs w:val="24"/>
          <w:shd w:val="clear" w:color="auto" w:fill="auto"/>
          <w:lang w:eastAsia="zh-CN"/>
        </w:rPr>
        <w:t>投标代表人上级公司负责人</w:t>
      </w:r>
      <w:r>
        <w:rPr>
          <w:rFonts w:hint="eastAsia" w:ascii="宋体" w:hAnsi="宋体" w:eastAsia="宋体" w:cs="宋体"/>
          <w:color w:val="000000"/>
          <w:sz w:val="24"/>
          <w:szCs w:val="24"/>
          <w:shd w:val="clear" w:color="auto" w:fill="auto"/>
        </w:rPr>
        <w:t>签字、盖投标人</w:t>
      </w:r>
      <w:r>
        <w:rPr>
          <w:rFonts w:hint="eastAsia" w:ascii="宋体" w:hAnsi="宋体" w:eastAsia="宋体" w:cs="宋体"/>
          <w:color w:val="000000"/>
          <w:sz w:val="24"/>
          <w:szCs w:val="24"/>
          <w:shd w:val="clear" w:color="auto" w:fill="auto"/>
          <w:lang w:eastAsia="zh-CN"/>
        </w:rPr>
        <w:t>上级公司</w:t>
      </w:r>
      <w:r>
        <w:rPr>
          <w:rFonts w:hint="eastAsia" w:ascii="宋体" w:hAnsi="宋体" w:eastAsia="宋体" w:cs="宋体"/>
          <w:color w:val="000000"/>
          <w:sz w:val="24"/>
          <w:szCs w:val="24"/>
          <w:shd w:val="clear" w:color="auto" w:fill="auto"/>
        </w:rPr>
        <w:t>公章。</w:t>
      </w:r>
    </w:p>
    <w:p>
      <w:pPr>
        <w:pageBreakBefore w:val="0"/>
        <w:widowControl w:val="0"/>
        <w:kinsoku/>
        <w:wordWrap/>
        <w:overflowPunct/>
        <w:topLinePunct w:val="0"/>
        <w:autoSpaceDE/>
        <w:autoSpaceDN/>
        <w:bidi w:val="0"/>
        <w:adjustRightInd/>
        <w:snapToGrid/>
        <w:spacing w:line="360" w:lineRule="auto"/>
        <w:ind w:right="0" w:rightChars="0" w:firstLine="420"/>
        <w:jc w:val="both"/>
        <w:textAlignment w:val="auto"/>
        <w:rPr>
          <w:rFonts w:hint="eastAsia" w:ascii="宋体" w:hAnsi="宋体" w:eastAsia="宋体" w:cs="宋体"/>
          <w:color w:val="000000"/>
          <w:sz w:val="24"/>
          <w:szCs w:val="24"/>
          <w:shd w:val="clear" w:color="auto" w:fill="auto"/>
        </w:rPr>
      </w:pPr>
    </w:p>
    <w:p>
      <w:pPr>
        <w:pageBreakBefore w:val="0"/>
        <w:widowControl w:val="0"/>
        <w:kinsoku/>
        <w:wordWrap/>
        <w:overflowPunct/>
        <w:topLinePunct w:val="0"/>
        <w:autoSpaceDE/>
        <w:autoSpaceDN/>
        <w:bidi w:val="0"/>
        <w:adjustRightInd/>
        <w:snapToGrid/>
        <w:spacing w:line="360" w:lineRule="auto"/>
        <w:ind w:right="0" w:rightChars="0" w:firstLine="420"/>
        <w:jc w:val="both"/>
        <w:textAlignment w:val="auto"/>
        <w:rPr>
          <w:rFonts w:hint="eastAsia" w:ascii="宋体" w:hAnsi="宋体" w:eastAsia="宋体" w:cs="宋体"/>
          <w:color w:val="000000"/>
          <w:sz w:val="24"/>
          <w:szCs w:val="24"/>
          <w:shd w:val="clear" w:color="auto" w:fill="auto"/>
        </w:rPr>
      </w:pPr>
    </w:p>
    <w:p>
      <w:pPr>
        <w:pageBreakBefore w:val="0"/>
        <w:widowControl w:val="0"/>
        <w:kinsoku/>
        <w:wordWrap/>
        <w:overflowPunct/>
        <w:topLinePunct w:val="0"/>
        <w:autoSpaceDE/>
        <w:autoSpaceDN/>
        <w:bidi w:val="0"/>
        <w:adjustRightInd/>
        <w:snapToGrid/>
        <w:spacing w:line="360" w:lineRule="auto"/>
        <w:ind w:right="0" w:rightChars="0" w:firstLine="420"/>
        <w:jc w:val="both"/>
        <w:textAlignment w:val="auto"/>
        <w:rPr>
          <w:rFonts w:hint="eastAsia" w:ascii="宋体" w:hAnsi="宋体" w:eastAsia="宋体" w:cs="宋体"/>
          <w:color w:val="000000"/>
          <w:sz w:val="24"/>
          <w:szCs w:val="24"/>
          <w:shd w:val="clear" w:color="auto" w:fill="auto"/>
        </w:rPr>
      </w:pPr>
    </w:p>
    <w:p>
      <w:pPr>
        <w:pageBreakBefore w:val="0"/>
        <w:widowControl w:val="0"/>
        <w:kinsoku/>
        <w:wordWrap/>
        <w:overflowPunct/>
        <w:topLinePunct w:val="0"/>
        <w:bidi w:val="0"/>
        <w:spacing w:line="360" w:lineRule="auto"/>
        <w:ind w:left="420"/>
        <w:textAlignment w:val="auto"/>
        <w:rPr>
          <w:rFonts w:ascii="宋体" w:hAnsi="宋体"/>
          <w:sz w:val="24"/>
          <w:szCs w:val="24"/>
          <w:u w:val="single"/>
          <w:shd w:val="clear" w:color="auto" w:fill="auto"/>
        </w:rPr>
      </w:pPr>
      <w:r>
        <w:rPr>
          <w:rFonts w:hint="eastAsia" w:ascii="宋体" w:hAnsi="宋体"/>
          <w:sz w:val="24"/>
          <w:szCs w:val="24"/>
          <w:shd w:val="clear" w:color="auto" w:fill="auto"/>
        </w:rPr>
        <w:t>投标人名称（盖章）：</w:t>
      </w:r>
      <w:r>
        <w:rPr>
          <w:rFonts w:hint="eastAsia" w:ascii="宋体" w:hAnsi="宋体"/>
          <w:sz w:val="24"/>
          <w:szCs w:val="24"/>
          <w:u w:val="single"/>
          <w:shd w:val="clear" w:color="auto" w:fill="auto"/>
        </w:rPr>
        <w:t xml:space="preserve">                 </w:t>
      </w:r>
      <w:r>
        <w:rPr>
          <w:rFonts w:hint="eastAsia" w:ascii="宋体" w:hAnsi="宋体"/>
          <w:sz w:val="24"/>
          <w:szCs w:val="24"/>
          <w:u w:val="single"/>
          <w:shd w:val="clear" w:color="auto" w:fill="auto"/>
          <w:lang w:val="en-US" w:eastAsia="zh-CN"/>
        </w:rPr>
        <w:t xml:space="preserve"> </w:t>
      </w:r>
      <w:r>
        <w:rPr>
          <w:rFonts w:hint="eastAsia" w:ascii="宋体" w:hAnsi="宋体"/>
          <w:sz w:val="24"/>
          <w:szCs w:val="24"/>
          <w:u w:val="single"/>
          <w:shd w:val="clear" w:color="auto" w:fill="auto"/>
        </w:rPr>
        <w:t xml:space="preserve">     </w:t>
      </w:r>
    </w:p>
    <w:p>
      <w:pPr>
        <w:pageBreakBefore w:val="0"/>
        <w:widowControl w:val="0"/>
        <w:kinsoku/>
        <w:wordWrap/>
        <w:overflowPunct/>
        <w:topLinePunct w:val="0"/>
        <w:bidi w:val="0"/>
        <w:spacing w:line="360" w:lineRule="auto"/>
        <w:ind w:firstLine="435"/>
        <w:textAlignment w:val="auto"/>
        <w:rPr>
          <w:rFonts w:ascii="宋体" w:hAnsi="宋体"/>
          <w:sz w:val="24"/>
          <w:szCs w:val="24"/>
          <w:shd w:val="clear" w:color="auto" w:fill="auto"/>
        </w:rPr>
      </w:pPr>
      <w:r>
        <w:rPr>
          <w:rFonts w:hint="eastAsia" w:ascii="宋体" w:hAnsi="宋体"/>
          <w:sz w:val="24"/>
          <w:szCs w:val="24"/>
          <w:shd w:val="clear" w:color="auto" w:fill="auto"/>
          <w:lang w:eastAsia="zh-CN"/>
        </w:rPr>
        <w:t>授权委托人</w:t>
      </w:r>
      <w:r>
        <w:rPr>
          <w:rFonts w:hint="eastAsia" w:ascii="宋体" w:hAnsi="宋体"/>
          <w:sz w:val="24"/>
          <w:szCs w:val="24"/>
          <w:shd w:val="clear" w:color="auto" w:fill="auto"/>
        </w:rPr>
        <w:t>签字：</w:t>
      </w:r>
      <w:r>
        <w:rPr>
          <w:rFonts w:hint="eastAsia" w:ascii="宋体" w:hAnsi="宋体"/>
          <w:sz w:val="24"/>
          <w:szCs w:val="24"/>
          <w:u w:val="single"/>
          <w:shd w:val="clear" w:color="auto" w:fill="auto"/>
        </w:rPr>
        <w:t xml:space="preserve">                          </w:t>
      </w:r>
    </w:p>
    <w:p>
      <w:pPr>
        <w:pageBreakBefore w:val="0"/>
        <w:widowControl w:val="0"/>
        <w:kinsoku/>
        <w:wordWrap/>
        <w:overflowPunct/>
        <w:topLinePunct w:val="0"/>
        <w:bidi w:val="0"/>
        <w:spacing w:line="360" w:lineRule="auto"/>
        <w:ind w:firstLine="435"/>
        <w:textAlignment w:val="auto"/>
        <w:rPr>
          <w:rFonts w:ascii="宋体" w:hAnsi="宋体"/>
          <w:sz w:val="24"/>
          <w:szCs w:val="24"/>
          <w:shd w:val="clear" w:color="auto" w:fill="auto"/>
        </w:rPr>
      </w:pPr>
      <w:r>
        <w:rPr>
          <w:rFonts w:hint="eastAsia" w:ascii="宋体" w:hAnsi="宋体"/>
          <w:sz w:val="24"/>
          <w:szCs w:val="24"/>
          <w:shd w:val="clear" w:color="auto" w:fill="auto"/>
        </w:rPr>
        <w:t>职        务：</w:t>
      </w:r>
      <w:r>
        <w:rPr>
          <w:rFonts w:hint="eastAsia" w:ascii="宋体" w:hAnsi="宋体"/>
          <w:sz w:val="24"/>
          <w:szCs w:val="24"/>
          <w:u w:val="single"/>
          <w:shd w:val="clear" w:color="auto" w:fill="auto"/>
        </w:rPr>
        <w:t xml:space="preserve">                            </w:t>
      </w:r>
    </w:p>
    <w:p>
      <w:pPr>
        <w:pageBreakBefore w:val="0"/>
        <w:widowControl w:val="0"/>
        <w:kinsoku/>
        <w:wordWrap/>
        <w:overflowPunct/>
        <w:topLinePunct w:val="0"/>
        <w:bidi w:val="0"/>
        <w:spacing w:line="360" w:lineRule="auto"/>
        <w:ind w:firstLine="435"/>
        <w:textAlignment w:val="auto"/>
        <w:rPr>
          <w:rFonts w:ascii="宋体" w:hAnsi="宋体"/>
          <w:sz w:val="24"/>
          <w:szCs w:val="24"/>
          <w:shd w:val="clear" w:color="auto" w:fill="auto"/>
        </w:rPr>
      </w:pPr>
      <w:r>
        <w:rPr>
          <w:rFonts w:hint="eastAsia" w:ascii="宋体" w:hAnsi="宋体"/>
          <w:sz w:val="24"/>
          <w:szCs w:val="24"/>
          <w:shd w:val="clear" w:color="auto" w:fill="auto"/>
        </w:rPr>
        <w:t>日        期：</w:t>
      </w:r>
      <w:r>
        <w:rPr>
          <w:rFonts w:hint="eastAsia" w:ascii="宋体" w:hAnsi="宋体"/>
          <w:sz w:val="24"/>
          <w:szCs w:val="24"/>
          <w:u w:val="single"/>
          <w:shd w:val="clear" w:color="auto" w:fill="auto"/>
        </w:rPr>
        <w:t xml:space="preserve">                            </w:t>
      </w:r>
    </w:p>
    <w:p>
      <w:pPr>
        <w:pStyle w:val="20"/>
        <w:ind w:left="0" w:leftChars="0" w:firstLine="0" w:firstLineChars="0"/>
        <w:rPr>
          <w:rFonts w:hint="eastAsia" w:ascii="宋体" w:hAnsi="宋体"/>
          <w:b/>
          <w:sz w:val="28"/>
          <w:lang w:val="en-US" w:eastAsia="zh-CN"/>
        </w:rPr>
      </w:pPr>
    </w:p>
    <w:p>
      <w:pPr>
        <w:pStyle w:val="20"/>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pPr>
        <w:pStyle w:val="35"/>
        <w:spacing w:line="360" w:lineRule="auto"/>
        <w:jc w:val="center"/>
        <w:rPr>
          <w:rFonts w:ascii="宋体" w:hAnsi="宋体"/>
          <w:b/>
          <w:sz w:val="32"/>
          <w:szCs w:val="32"/>
        </w:rPr>
      </w:pPr>
      <w:r>
        <w:rPr>
          <w:rFonts w:hint="eastAsia" w:ascii="宋体" w:hAnsi="宋体"/>
          <w:b/>
          <w:sz w:val="32"/>
          <w:szCs w:val="32"/>
        </w:rPr>
        <w:t>投标人类似项目实施情况一览表</w:t>
      </w:r>
    </w:p>
    <w:p>
      <w:pPr>
        <w:pStyle w:val="35"/>
        <w:spacing w:line="360" w:lineRule="auto"/>
        <w:jc w:val="center"/>
        <w:rPr>
          <w:rFonts w:ascii="仿宋_GB2312" w:eastAsia="仿宋_GB2312"/>
          <w:b/>
          <w:sz w:val="28"/>
          <w:szCs w:val="28"/>
        </w:rPr>
      </w:pPr>
    </w:p>
    <w:tbl>
      <w:tblPr>
        <w:tblStyle w:val="21"/>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5"/>
              <w:spacing w:line="360" w:lineRule="auto"/>
              <w:jc w:val="center"/>
              <w:rPr>
                <w:rFonts w:ascii="宋体" w:hAns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5"/>
              <w:spacing w:line="360" w:lineRule="auto"/>
              <w:jc w:val="center"/>
              <w:rPr>
                <w:rFonts w:ascii="宋体" w:hAns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5"/>
              <w:spacing w:line="360" w:lineRule="auto"/>
              <w:jc w:val="center"/>
              <w:rPr>
                <w:rFonts w:ascii="宋体" w:hAns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5"/>
              <w:spacing w:line="360" w:lineRule="auto"/>
              <w:jc w:val="center"/>
              <w:rPr>
                <w:rFonts w:ascii="宋体" w:hAns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5"/>
              <w:spacing w:line="360" w:lineRule="auto"/>
              <w:jc w:val="center"/>
              <w:rPr>
                <w:rFonts w:ascii="宋体" w:hAns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5"/>
              <w:spacing w:line="360" w:lineRule="auto"/>
              <w:jc w:val="center"/>
              <w:rPr>
                <w:rFonts w:ascii="宋体" w:hAns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5"/>
              <w:spacing w:line="360" w:lineRule="auto"/>
              <w:jc w:val="center"/>
              <w:rPr>
                <w:rFonts w:ascii="宋体" w:hAnsi="宋体" w:cs="Arial"/>
                <w:b/>
                <w:bCs/>
                <w:sz w:val="24"/>
              </w:rPr>
            </w:pPr>
            <w:r>
              <w:rPr>
                <w:rFonts w:hint="eastAsia" w:ascii="宋体" w:hAnsi="宋体" w:cs="Arial"/>
                <w:b/>
                <w:bCs/>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5"/>
              <w:spacing w:line="360" w:lineRule="auto"/>
              <w:jc w:val="center"/>
              <w:rPr>
                <w:rFonts w:ascii="宋体" w:hAnsi="宋体" w:cs="Arial"/>
                <w:sz w:val="24"/>
              </w:rPr>
            </w:pPr>
            <w:r>
              <w:rPr>
                <w:rFonts w:hint="eastAsia"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5"/>
              <w:spacing w:line="360" w:lineRule="auto"/>
              <w:jc w:val="center"/>
              <w:rPr>
                <w:rFonts w:ascii="宋体" w:hAnsi="宋体" w:cs="Arial"/>
                <w:sz w:val="24"/>
              </w:rPr>
            </w:pPr>
            <w:r>
              <w:rPr>
                <w:rFonts w:hint="eastAsia"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5"/>
              <w:spacing w:line="360" w:lineRule="auto"/>
              <w:jc w:val="center"/>
              <w:rPr>
                <w:rFonts w:ascii="宋体" w:hAnsi="宋体" w:cs="Arial"/>
                <w:sz w:val="24"/>
              </w:rPr>
            </w:pPr>
            <w:r>
              <w:rPr>
                <w:rFonts w:hint="eastAsia"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5"/>
              <w:spacing w:line="360" w:lineRule="auto"/>
              <w:rPr>
                <w:rFonts w:ascii="宋体" w:hAnsi="宋体" w:cs="Arial"/>
                <w:sz w:val="24"/>
              </w:rPr>
            </w:pPr>
          </w:p>
        </w:tc>
      </w:tr>
    </w:tbl>
    <w:p>
      <w:pPr>
        <w:autoSpaceDE w:val="0"/>
        <w:autoSpaceDN w:val="0"/>
        <w:adjustRightInd w:val="0"/>
        <w:spacing w:before="156"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56" w:beforeLines="50" w:line="360" w:lineRule="auto"/>
        <w:ind w:firstLine="424" w:firstLineChars="202"/>
        <w:rPr>
          <w:rFonts w:hint="eastAsia" w:ascii="宋体" w:hAnsi="宋体" w:eastAsia="宋体" w:cs="Arial"/>
          <w:b/>
          <w:szCs w:val="21"/>
          <w:lang w:eastAsia="zh-CN"/>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lang w:val="en-US" w:eastAsia="zh-CN"/>
        </w:rPr>
        <w:t>扫描件</w:t>
      </w:r>
      <w:r>
        <w:rPr>
          <w:rFonts w:hint="eastAsia" w:ascii="宋体" w:hAnsi="宋体" w:cs="Arial"/>
          <w:szCs w:val="21"/>
        </w:rPr>
        <w:t>可只提供首页、含金额页、盖章页并加盖投标人</w:t>
      </w:r>
      <w:r>
        <w:rPr>
          <w:rFonts w:hint="eastAsia" w:ascii="宋体" w:hAnsi="宋体" w:cs="Arial"/>
          <w:szCs w:val="21"/>
          <w:lang w:eastAsia="zh-CN"/>
        </w:rPr>
        <w:t>电子印章</w:t>
      </w:r>
      <w:r>
        <w:rPr>
          <w:rFonts w:ascii="宋体" w:hAnsi="宋体" w:cs="Arial"/>
          <w:szCs w:val="21"/>
        </w:rPr>
        <w:t>）</w:t>
      </w:r>
      <w:r>
        <w:rPr>
          <w:rFonts w:hint="eastAsia" w:ascii="宋体" w:hAnsi="宋体" w:cs="Arial"/>
          <w:szCs w:val="21"/>
          <w:lang w:eastAsia="zh-CN"/>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投标人名称（</w:t>
      </w:r>
      <w:r>
        <w:rPr>
          <w:rFonts w:hint="eastAsia" w:ascii="宋体" w:hAnsi="宋体"/>
          <w:sz w:val="24"/>
          <w:lang w:eastAsia="zh-CN"/>
        </w:rPr>
        <w:t>电子印章</w:t>
      </w:r>
      <w:r>
        <w:rPr>
          <w:rFonts w:hint="eastAsia" w:ascii="宋体" w:hAnsi="宋体"/>
          <w:sz w:val="24"/>
        </w:rPr>
        <w:t>）：</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w:t>
      </w:r>
      <w:r>
        <w:rPr>
          <w:rFonts w:hint="eastAsia" w:ascii="宋体" w:hAnsi="宋体"/>
          <w:sz w:val="24"/>
          <w:lang w:eastAsia="zh-CN"/>
        </w:rPr>
        <w:t>电子印章</w:t>
      </w:r>
      <w:r>
        <w:rPr>
          <w:rFonts w:hint="eastAsia" w:ascii="宋体" w:hAnsi="宋体"/>
          <w:sz w:val="24"/>
        </w:rPr>
        <w:t>：</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spacing w:line="360" w:lineRule="auto"/>
        <w:ind w:firstLine="435"/>
        <w:rPr>
          <w:rFonts w:ascii="宋体" w:hAnsi="宋体"/>
          <w:sz w:val="24"/>
          <w:u w:val="single"/>
        </w:rPr>
      </w:pPr>
    </w:p>
    <w:p>
      <w:pPr>
        <w:spacing w:line="360" w:lineRule="auto"/>
        <w:ind w:firstLine="435"/>
        <w:rPr>
          <w:rFonts w:ascii="宋体" w:hAnsi="宋体"/>
          <w:sz w:val="24"/>
          <w:u w:val="single"/>
        </w:rPr>
      </w:pPr>
    </w:p>
    <w:p>
      <w:pPr>
        <w:pStyle w:val="2"/>
        <w:rPr>
          <w:rFonts w:ascii="宋体" w:hAnsi="宋体"/>
          <w:sz w:val="24"/>
          <w:u w:val="single"/>
        </w:rPr>
      </w:pPr>
    </w:p>
    <w:p>
      <w:pPr>
        <w:pStyle w:val="2"/>
        <w:rPr>
          <w:rFonts w:ascii="宋体" w:hAnsi="宋体"/>
          <w:sz w:val="24"/>
          <w:u w:val="single"/>
        </w:rPr>
      </w:pPr>
    </w:p>
    <w:p>
      <w:pPr>
        <w:pStyle w:val="2"/>
        <w:rPr>
          <w:rFonts w:ascii="宋体" w:hAnsi="宋体"/>
          <w:sz w:val="24"/>
          <w:u w:val="single"/>
        </w:rPr>
      </w:pPr>
    </w:p>
    <w:p>
      <w:pPr>
        <w:pStyle w:val="2"/>
        <w:rPr>
          <w:rFonts w:ascii="宋体" w:hAnsi="宋体"/>
          <w:sz w:val="24"/>
          <w:u w:val="single"/>
        </w:rPr>
      </w:pPr>
    </w:p>
    <w:p>
      <w:pPr>
        <w:spacing w:line="360" w:lineRule="auto"/>
        <w:ind w:right="-110"/>
        <w:jc w:val="left"/>
        <w:rPr>
          <w:rFonts w:ascii="宋体" w:hAnsi="宋体"/>
          <w:b/>
          <w:sz w:val="28"/>
        </w:rPr>
      </w:pPr>
    </w:p>
    <w:p>
      <w:pPr>
        <w:rPr>
          <w:rFonts w:hint="eastAsia" w:ascii="宋体" w:hAnsi="宋体"/>
          <w:spacing w:val="40"/>
          <w:sz w:val="52"/>
          <w:szCs w:val="52"/>
        </w:rPr>
      </w:pPr>
      <w:r>
        <w:rPr>
          <w:rFonts w:hint="eastAsia" w:ascii="宋体" w:hAnsi="宋体"/>
          <w:spacing w:val="40"/>
          <w:sz w:val="52"/>
          <w:szCs w:val="52"/>
        </w:rPr>
        <w:br w:type="page"/>
      </w: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312" w:beforeLines="100" w:line="360" w:lineRule="auto"/>
        <w:ind w:right="-108"/>
        <w:jc w:val="center"/>
        <w:rPr>
          <w:rFonts w:ascii="宋体" w:hAnsi="宋体"/>
          <w:sz w:val="36"/>
          <w:szCs w:val="36"/>
        </w:rPr>
      </w:pPr>
      <w:r>
        <w:rPr>
          <w:rFonts w:hint="eastAsia" w:ascii="宋体" w:hAnsi="宋体"/>
          <w:sz w:val="36"/>
          <w:szCs w:val="36"/>
        </w:rPr>
        <w:t>项目编号：（标段）</w:t>
      </w:r>
    </w:p>
    <w:p>
      <w:pPr>
        <w:spacing w:after="100" w:afterAutospacing="1" w:line="360" w:lineRule="auto"/>
        <w:ind w:right="-108"/>
        <w:jc w:val="center"/>
        <w:rPr>
          <w:rFonts w:ascii="宋体" w:hAnsi="宋体"/>
          <w:b/>
          <w:spacing w:val="40"/>
          <w:sz w:val="84"/>
          <w:szCs w:val="84"/>
        </w:rPr>
      </w:pP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报</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价</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件</w:t>
      </w:r>
    </w:p>
    <w:p>
      <w:pPr>
        <w:spacing w:line="360" w:lineRule="auto"/>
        <w:ind w:right="532"/>
        <w:jc w:val="center"/>
        <w:rPr>
          <w:rFonts w:ascii="宋体" w:hAnsi="宋体"/>
          <w:sz w:val="36"/>
          <w:szCs w:val="36"/>
        </w:rPr>
      </w:pPr>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r>
        <w:rPr>
          <w:rFonts w:hint="eastAsia" w:ascii="宋体" w:hAnsi="宋体"/>
          <w:sz w:val="36"/>
          <w:szCs w:val="36"/>
        </w:rPr>
        <w:t>供应商全称（</w:t>
      </w:r>
      <w:r>
        <w:rPr>
          <w:rFonts w:hint="eastAsia" w:ascii="宋体" w:hAnsi="宋体"/>
          <w:sz w:val="36"/>
          <w:szCs w:val="36"/>
          <w:lang w:eastAsia="zh-CN"/>
        </w:rPr>
        <w:t>电子印章</w:t>
      </w:r>
      <w:r>
        <w:rPr>
          <w:rFonts w:hint="eastAsia" w:ascii="宋体" w:hAnsi="宋体"/>
          <w:sz w:val="36"/>
          <w:szCs w:val="36"/>
        </w:rPr>
        <w:t>）：</w:t>
      </w:r>
    </w:p>
    <w:p>
      <w:pPr>
        <w:spacing w:line="360" w:lineRule="auto"/>
        <w:ind w:right="-108" w:firstLine="720" w:firstLineChars="200"/>
        <w:rPr>
          <w:rFonts w:ascii="宋体" w:hAnsi="宋体"/>
          <w:sz w:val="36"/>
          <w:szCs w:val="36"/>
        </w:rPr>
      </w:pPr>
      <w:r>
        <w:rPr>
          <w:rFonts w:hint="eastAsia" w:ascii="宋体" w:hAnsi="宋体"/>
          <w:sz w:val="36"/>
          <w:szCs w:val="36"/>
        </w:rPr>
        <w:t>地    址：</w:t>
      </w:r>
    </w:p>
    <w:p>
      <w:pPr>
        <w:spacing w:line="360" w:lineRule="auto"/>
        <w:ind w:right="-108" w:firstLine="720" w:firstLineChars="200"/>
        <w:rPr>
          <w:rFonts w:ascii="宋体" w:hAnsi="宋体"/>
          <w:sz w:val="36"/>
          <w:szCs w:val="36"/>
        </w:rPr>
      </w:pPr>
      <w:r>
        <w:rPr>
          <w:rFonts w:hint="eastAsia" w:ascii="宋体" w:hAnsi="宋体"/>
          <w:sz w:val="36"/>
          <w:szCs w:val="36"/>
        </w:rPr>
        <w:t>时    间：</w:t>
      </w:r>
    </w:p>
    <w:p>
      <w:pPr>
        <w:spacing w:line="360" w:lineRule="auto"/>
        <w:ind w:right="-108"/>
        <w:jc w:val="center"/>
        <w:rPr>
          <w:rFonts w:ascii="仿宋_GB2312" w:hAnsi="宋体" w:eastAsia="仿宋_GB2312"/>
          <w:b/>
          <w:sz w:val="36"/>
          <w:szCs w:val="36"/>
        </w:rPr>
      </w:pPr>
    </w:p>
    <w:p>
      <w:pPr>
        <w:spacing w:line="360" w:lineRule="auto"/>
        <w:ind w:right="-108"/>
        <w:jc w:val="center"/>
        <w:rPr>
          <w:rFonts w:hint="eastAsia" w:ascii="宋体" w:hAnsi="宋体"/>
          <w:b/>
          <w:sz w:val="32"/>
          <w:szCs w:val="32"/>
        </w:rPr>
      </w:pPr>
    </w:p>
    <w:p>
      <w:pPr>
        <w:spacing w:line="360" w:lineRule="auto"/>
        <w:ind w:right="-108"/>
        <w:jc w:val="center"/>
        <w:rPr>
          <w:rFonts w:ascii="宋体" w:hAnsi="宋体"/>
          <w:b/>
          <w:sz w:val="32"/>
          <w:szCs w:val="32"/>
        </w:rPr>
      </w:pPr>
      <w:r>
        <w:rPr>
          <w:rFonts w:hint="eastAsia" w:ascii="宋体" w:hAnsi="宋体"/>
          <w:b/>
          <w:sz w:val="32"/>
          <w:szCs w:val="32"/>
        </w:rPr>
        <w:t>报价文件目录</w:t>
      </w:r>
    </w:p>
    <w:p>
      <w:pPr>
        <w:spacing w:line="360" w:lineRule="auto"/>
        <w:ind w:right="-108"/>
        <w:jc w:val="center"/>
        <w:rPr>
          <w:rFonts w:ascii="仿宋_GB2312" w:hAnsi="宋体" w:eastAsia="仿宋_GB2312"/>
          <w:b/>
          <w:sz w:val="36"/>
          <w:szCs w:val="36"/>
        </w:rPr>
      </w:pPr>
    </w:p>
    <w:p>
      <w:pPr>
        <w:spacing w:line="360" w:lineRule="auto"/>
        <w:rPr>
          <w:rFonts w:ascii="宋体" w:hAnsi="宋体"/>
          <w:sz w:val="24"/>
        </w:rPr>
      </w:pPr>
    </w:p>
    <w:p>
      <w:pPr>
        <w:snapToGrid w:val="0"/>
        <w:spacing w:line="360" w:lineRule="auto"/>
        <w:jc w:val="left"/>
        <w:rPr>
          <w:rFonts w:ascii="宋体" w:hAnsi="宋体"/>
          <w:sz w:val="24"/>
        </w:rPr>
      </w:pPr>
      <w:r>
        <w:rPr>
          <w:rFonts w:hint="eastAsia" w:ascii="宋体" w:hAnsi="宋体"/>
          <w:sz w:val="24"/>
        </w:rPr>
        <w:t>1、开标一览表（附件</w:t>
      </w:r>
      <w:r>
        <w:rPr>
          <w:rFonts w:hint="eastAsia" w:ascii="宋体" w:hAnsi="宋体"/>
          <w:sz w:val="24"/>
          <w:lang w:val="en-US" w:eastAsia="zh-CN"/>
        </w:rPr>
        <w:t>10</w:t>
      </w:r>
      <w:r>
        <w:rPr>
          <w:rFonts w:hint="eastAsia" w:ascii="宋体" w:hAnsi="宋体"/>
          <w:sz w:val="24"/>
        </w:rPr>
        <w:t>）；</w:t>
      </w:r>
    </w:p>
    <w:p>
      <w:pPr>
        <w:snapToGrid w:val="0"/>
        <w:spacing w:line="360" w:lineRule="auto"/>
        <w:rPr>
          <w:rFonts w:ascii="宋体" w:hAnsi="宋体"/>
          <w:sz w:val="24"/>
        </w:rPr>
      </w:pPr>
      <w:r>
        <w:rPr>
          <w:rFonts w:hint="eastAsia" w:hAnsi="宋体"/>
          <w:sz w:val="24"/>
          <w:lang w:val="en-US" w:eastAsia="zh-CN"/>
        </w:rPr>
        <w:t>2</w:t>
      </w:r>
      <w:r>
        <w:rPr>
          <w:rFonts w:hint="eastAsia" w:hAnsi="宋体"/>
          <w:sz w:val="24"/>
        </w:rPr>
        <w:t>、</w:t>
      </w:r>
      <w:r>
        <w:rPr>
          <w:rFonts w:hint="eastAsia" w:ascii="宋体" w:hAnsi="宋体"/>
          <w:sz w:val="24"/>
        </w:rPr>
        <w:t>针对报价投标人认为其他需要说明的；</w:t>
      </w:r>
    </w:p>
    <w:p>
      <w:pPr>
        <w:pStyle w:val="39"/>
        <w:spacing w:line="360" w:lineRule="auto"/>
        <w:rPr>
          <w:rFonts w:hAnsi="宋体"/>
          <w:sz w:val="24"/>
        </w:rPr>
      </w:pPr>
      <w:r>
        <w:rPr>
          <w:rFonts w:hint="eastAsia" w:hAnsi="宋体"/>
          <w:sz w:val="24"/>
          <w:lang w:val="en-US" w:eastAsia="zh-CN"/>
        </w:rPr>
        <w:t>3</w:t>
      </w:r>
      <w:r>
        <w:rPr>
          <w:rFonts w:hint="eastAsia" w:hAnsi="宋体"/>
          <w:sz w:val="24"/>
        </w:rPr>
        <w:t>、</w:t>
      </w:r>
      <w:r>
        <w:rPr>
          <w:rFonts w:hAnsi="宋体"/>
          <w:sz w:val="24"/>
        </w:rPr>
        <w:t>小微企业</w:t>
      </w:r>
      <w:r>
        <w:rPr>
          <w:rFonts w:hint="eastAsia" w:hAnsi="宋体"/>
          <w:sz w:val="24"/>
        </w:rPr>
        <w:t>等</w:t>
      </w:r>
      <w:r>
        <w:rPr>
          <w:rFonts w:hAnsi="宋体"/>
          <w:sz w:val="24"/>
        </w:rPr>
        <w:t>声明函</w:t>
      </w:r>
      <w:r>
        <w:rPr>
          <w:rFonts w:hint="eastAsia" w:hAnsi="宋体"/>
          <w:sz w:val="24"/>
        </w:rPr>
        <w:t>（附件</w:t>
      </w:r>
      <w:r>
        <w:rPr>
          <w:rFonts w:hint="eastAsia" w:hAnsi="宋体"/>
          <w:sz w:val="24"/>
          <w:lang w:val="en-US" w:eastAsia="zh-CN"/>
        </w:rPr>
        <w:t>11</w:t>
      </w:r>
      <w:r>
        <w:rPr>
          <w:rFonts w:hint="eastAsia" w:hAnsi="宋体"/>
          <w:sz w:val="24"/>
        </w:rPr>
        <w:t>）；</w:t>
      </w:r>
    </w:p>
    <w:p>
      <w:pPr>
        <w:pStyle w:val="40"/>
        <w:spacing w:line="360" w:lineRule="auto"/>
        <w:rPr>
          <w:rFonts w:ascii="宋体" w:hAnsi="宋体"/>
          <w:kern w:val="0"/>
          <w:sz w:val="24"/>
        </w:rPr>
      </w:pPr>
      <w:r>
        <w:rPr>
          <w:rFonts w:hint="eastAsia" w:ascii="宋体" w:hAnsi="宋体"/>
          <w:kern w:val="0"/>
          <w:sz w:val="24"/>
          <w:lang w:val="en-US" w:eastAsia="zh-CN"/>
        </w:rPr>
        <w:t>4</w:t>
      </w:r>
      <w:r>
        <w:rPr>
          <w:rFonts w:hint="eastAsia" w:ascii="宋体" w:hAnsi="宋体"/>
          <w:kern w:val="0"/>
          <w:sz w:val="24"/>
        </w:rPr>
        <w:t>、产品适用政府采购政策情况表</w:t>
      </w:r>
      <w:r>
        <w:rPr>
          <w:rFonts w:hint="eastAsia" w:ascii="宋体" w:hAnsi="宋体"/>
          <w:sz w:val="24"/>
        </w:rPr>
        <w:t>（附件</w:t>
      </w:r>
      <w:r>
        <w:rPr>
          <w:rFonts w:hint="eastAsia" w:ascii="宋体" w:hAnsi="宋体"/>
          <w:sz w:val="24"/>
          <w:lang w:val="en-US" w:eastAsia="zh-CN"/>
        </w:rPr>
        <w:t>12</w:t>
      </w:r>
      <w:r>
        <w:rPr>
          <w:rFonts w:hint="eastAsia" w:ascii="宋体" w:hAnsi="宋体"/>
          <w:sz w:val="24"/>
        </w:rPr>
        <w:t>）</w:t>
      </w:r>
      <w:r>
        <w:rPr>
          <w:rFonts w:hint="eastAsia" w:ascii="宋体" w:hAnsi="宋体"/>
          <w:kern w:val="0"/>
          <w:sz w:val="24"/>
        </w:rPr>
        <w:t>。</w:t>
      </w:r>
    </w:p>
    <w:p>
      <w:pPr>
        <w:spacing w:line="360" w:lineRule="auto"/>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pStyle w:val="2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10</w:t>
      </w:r>
    </w:p>
    <w:p>
      <w:pPr>
        <w:spacing w:line="360" w:lineRule="auto"/>
        <w:ind w:left="-2" w:hanging="2"/>
        <w:jc w:val="center"/>
        <w:rPr>
          <w:rFonts w:ascii="宋体" w:hAnsi="宋体"/>
          <w:b/>
          <w:color w:val="33CCCC"/>
          <w:sz w:val="32"/>
          <w:szCs w:val="32"/>
        </w:rPr>
      </w:pPr>
      <w:r>
        <w:rPr>
          <w:rFonts w:hint="eastAsia" w:ascii="宋体" w:hAnsi="宋体"/>
          <w:b/>
          <w:sz w:val="32"/>
          <w:szCs w:val="32"/>
        </w:rPr>
        <w:t>开标一览表</w:t>
      </w:r>
    </w:p>
    <w:p>
      <w:pPr>
        <w:spacing w:line="360" w:lineRule="auto"/>
        <w:ind w:left="-2" w:hanging="2"/>
        <w:jc w:val="center"/>
        <w:rPr>
          <w:rFonts w:ascii="宋体" w:hAnsi="宋体"/>
          <w:b/>
          <w:color w:val="33CCCC"/>
          <w:sz w:val="32"/>
          <w:szCs w:val="32"/>
        </w:rPr>
      </w:pPr>
    </w:p>
    <w:p>
      <w:pPr>
        <w:pStyle w:val="12"/>
        <w:spacing w:line="320" w:lineRule="exact"/>
        <w:rPr>
          <w:rFonts w:hAnsi="宋体"/>
          <w:b/>
          <w:color w:val="000000"/>
          <w:sz w:val="24"/>
        </w:rPr>
      </w:pPr>
      <w:r>
        <w:rPr>
          <w:rFonts w:hAnsi="宋体"/>
          <w:b/>
          <w:color w:val="000000"/>
          <w:sz w:val="24"/>
        </w:rPr>
        <w:t>项目编号：</w:t>
      </w:r>
    </w:p>
    <w:p>
      <w:pPr>
        <w:pStyle w:val="41"/>
        <w:spacing w:line="360" w:lineRule="auto"/>
        <w:ind w:right="480"/>
        <w:jc w:val="left"/>
        <w:rPr>
          <w:rFonts w:hAnsi="宋体"/>
          <w:color w:val="000000"/>
          <w:sz w:val="24"/>
        </w:rPr>
      </w:pPr>
      <w:r>
        <w:rPr>
          <w:rFonts w:hAnsi="宋体"/>
          <w:b/>
          <w:color w:val="000000"/>
          <w:sz w:val="24"/>
        </w:rPr>
        <w:t>项目名称：</w:t>
      </w:r>
      <w:r>
        <w:rPr>
          <w:rFonts w:hint="eastAsia" w:ascii="宋体" w:hAnsi="宋体"/>
          <w:sz w:val="24"/>
        </w:rPr>
        <w:t xml:space="preserve">                                     [货币单位：人民币元]</w:t>
      </w:r>
    </w:p>
    <w:p>
      <w:pPr>
        <w:keepNext w:val="0"/>
        <w:keepLines w:val="0"/>
        <w:pageBreakBefore w:val="0"/>
        <w:widowControl w:val="0"/>
        <w:kinsoku/>
        <w:wordWrap/>
        <w:overflowPunct/>
        <w:topLinePunct w:val="0"/>
        <w:bidi w:val="0"/>
        <w:snapToGrid/>
        <w:spacing w:line="360" w:lineRule="auto"/>
        <w:textAlignment w:val="auto"/>
        <w:outlineLvl w:val="9"/>
        <w:rPr>
          <w:rFonts w:hint="eastAsia" w:asciiTheme="majorEastAsia" w:hAnsiTheme="majorEastAsia" w:eastAsiaTheme="majorEastAsia" w:cstheme="majorEastAsia"/>
          <w:sz w:val="24"/>
          <w:szCs w:val="24"/>
          <w:shd w:val="clear" w:color="auto" w:fill="auto"/>
        </w:rPr>
      </w:pPr>
    </w:p>
    <w:tbl>
      <w:tblPr>
        <w:tblStyle w:val="21"/>
        <w:tblW w:w="8814"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785"/>
        <w:gridCol w:w="2055"/>
        <w:gridCol w:w="1911"/>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7" w:hRule="atLeast"/>
        </w:trPr>
        <w:tc>
          <w:tcPr>
            <w:tcW w:w="834" w:type="dxa"/>
            <w:vAlign w:val="center"/>
          </w:tcPr>
          <w:p>
            <w:pPr>
              <w:keepNext w:val="0"/>
              <w:keepLines w:val="0"/>
              <w:pageBreakBefore w:val="0"/>
              <w:widowControl w:val="0"/>
              <w:kinsoku/>
              <w:wordWrap/>
              <w:overflowPunct/>
              <w:topLinePunct w:val="0"/>
              <w:bidi w:val="0"/>
              <w:snapToGrid/>
              <w:spacing w:line="360" w:lineRule="auto"/>
              <w:textAlignment w:val="auto"/>
              <w:outlineLvl w:val="9"/>
              <w:rPr>
                <w:rFonts w:hint="eastAsia" w:asciiTheme="majorEastAsia" w:hAnsiTheme="majorEastAsia" w:eastAsiaTheme="majorEastAsia" w:cstheme="majorEastAsia"/>
                <w:b/>
                <w:sz w:val="24"/>
                <w:szCs w:val="24"/>
                <w:shd w:val="clear" w:color="auto" w:fill="auto"/>
              </w:rPr>
            </w:pPr>
            <w:r>
              <w:rPr>
                <w:rFonts w:hint="eastAsia" w:asciiTheme="majorEastAsia" w:hAnsiTheme="majorEastAsia" w:eastAsiaTheme="majorEastAsia" w:cstheme="majorEastAsia"/>
                <w:b/>
                <w:sz w:val="24"/>
                <w:szCs w:val="24"/>
                <w:shd w:val="clear" w:color="auto" w:fill="auto"/>
              </w:rPr>
              <w:t>序号</w:t>
            </w:r>
          </w:p>
        </w:tc>
        <w:tc>
          <w:tcPr>
            <w:tcW w:w="1785"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5" w:firstLine="120" w:firstLineChars="50"/>
              <w:textAlignment w:val="auto"/>
              <w:outlineLvl w:val="9"/>
              <w:rPr>
                <w:rFonts w:hint="eastAsia" w:asciiTheme="majorEastAsia" w:hAnsiTheme="majorEastAsia" w:eastAsiaTheme="majorEastAsia" w:cstheme="majorEastAsia"/>
                <w:b/>
                <w:sz w:val="24"/>
                <w:szCs w:val="24"/>
                <w:shd w:val="clear" w:color="auto" w:fill="auto"/>
              </w:rPr>
            </w:pPr>
            <w:r>
              <w:rPr>
                <w:rFonts w:hint="eastAsia" w:asciiTheme="majorEastAsia" w:hAnsiTheme="majorEastAsia" w:eastAsiaTheme="majorEastAsia" w:cstheme="majorEastAsia"/>
                <w:b/>
                <w:sz w:val="24"/>
                <w:szCs w:val="24"/>
                <w:shd w:val="clear" w:color="auto" w:fill="auto"/>
              </w:rPr>
              <w:t>报价内容</w:t>
            </w:r>
          </w:p>
        </w:tc>
        <w:tc>
          <w:tcPr>
            <w:tcW w:w="2055"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5"/>
              <w:jc w:val="center"/>
              <w:textAlignment w:val="auto"/>
              <w:outlineLvl w:val="9"/>
              <w:rPr>
                <w:rFonts w:hint="eastAsia" w:asciiTheme="majorEastAsia" w:hAnsiTheme="majorEastAsia" w:eastAsiaTheme="majorEastAsia" w:cstheme="majorEastAsia"/>
                <w:b/>
                <w:sz w:val="24"/>
                <w:szCs w:val="24"/>
                <w:shd w:val="clear" w:color="auto" w:fill="auto"/>
                <w:lang w:eastAsia="zh-CN"/>
              </w:rPr>
            </w:pPr>
            <w:r>
              <w:rPr>
                <w:rFonts w:hint="eastAsia" w:asciiTheme="majorEastAsia" w:hAnsiTheme="majorEastAsia" w:eastAsiaTheme="majorEastAsia" w:cstheme="majorEastAsia"/>
                <w:b/>
                <w:sz w:val="24"/>
                <w:szCs w:val="24"/>
                <w:shd w:val="clear" w:color="auto" w:fill="auto"/>
                <w:lang w:eastAsia="zh-CN"/>
              </w:rPr>
              <w:t>投标报价（人均保费）</w:t>
            </w:r>
          </w:p>
        </w:tc>
        <w:tc>
          <w:tcPr>
            <w:tcW w:w="1911"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5"/>
              <w:jc w:val="center"/>
              <w:textAlignment w:val="auto"/>
              <w:outlineLvl w:val="9"/>
              <w:rPr>
                <w:rFonts w:hint="eastAsia" w:asciiTheme="majorEastAsia" w:hAnsiTheme="majorEastAsia" w:eastAsiaTheme="majorEastAsia" w:cstheme="majorEastAsia"/>
                <w:b/>
                <w:sz w:val="24"/>
                <w:szCs w:val="24"/>
                <w:shd w:val="clear" w:color="auto" w:fill="auto"/>
                <w:lang w:eastAsia="zh-CN"/>
              </w:rPr>
            </w:pPr>
            <w:r>
              <w:rPr>
                <w:rFonts w:hint="eastAsia" w:asciiTheme="majorEastAsia" w:hAnsiTheme="majorEastAsia" w:eastAsiaTheme="majorEastAsia" w:cstheme="majorEastAsia"/>
                <w:b/>
                <w:sz w:val="24"/>
                <w:szCs w:val="24"/>
                <w:shd w:val="clear" w:color="auto" w:fill="auto"/>
                <w:lang w:eastAsia="zh-CN"/>
              </w:rPr>
              <w:t>参保人数</w:t>
            </w:r>
          </w:p>
        </w:tc>
        <w:tc>
          <w:tcPr>
            <w:tcW w:w="2229"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5"/>
              <w:jc w:val="center"/>
              <w:textAlignment w:val="auto"/>
              <w:outlineLvl w:val="9"/>
              <w:rPr>
                <w:rFonts w:hint="eastAsia" w:asciiTheme="majorEastAsia" w:hAnsiTheme="majorEastAsia" w:eastAsiaTheme="majorEastAsia" w:cstheme="majorEastAsia"/>
                <w:b/>
                <w:sz w:val="24"/>
                <w:szCs w:val="24"/>
                <w:shd w:val="clear" w:color="auto" w:fill="auto"/>
                <w:lang w:eastAsia="zh-CN"/>
              </w:rPr>
            </w:pPr>
            <w:r>
              <w:rPr>
                <w:rFonts w:hint="eastAsia" w:asciiTheme="majorEastAsia" w:hAnsiTheme="majorEastAsia" w:eastAsiaTheme="majorEastAsia" w:cstheme="majorEastAsia"/>
                <w:b/>
                <w:sz w:val="24"/>
                <w:szCs w:val="24"/>
                <w:shd w:val="clear" w:color="auto" w:fill="auto"/>
                <w:lang w:eastAsia="zh-CN"/>
              </w:rPr>
              <w:t>总保险费</w:t>
            </w:r>
            <w:r>
              <w:rPr>
                <w:rFonts w:hint="eastAsia" w:asciiTheme="majorEastAsia" w:hAnsiTheme="majorEastAsia" w:eastAsiaTheme="majorEastAsia" w:cstheme="majorEastAsia"/>
                <w:b/>
                <w:sz w:val="24"/>
                <w:szCs w:val="24"/>
                <w:shd w:val="clear" w:color="auto" w:fill="auto"/>
                <w:lang w:val="en-US" w:eastAsia="zh-CN"/>
              </w:rPr>
              <w:t>(</w:t>
            </w:r>
            <w:r>
              <w:rPr>
                <w:rFonts w:hint="eastAsia" w:asciiTheme="majorEastAsia" w:hAnsiTheme="majorEastAsia" w:eastAsiaTheme="majorEastAsia" w:cstheme="majorEastAsia"/>
                <w:color w:val="000000"/>
                <w:sz w:val="24"/>
                <w:szCs w:val="24"/>
                <w:shd w:val="clear" w:color="auto" w:fill="auto"/>
              </w:rPr>
              <w:t>人均保费*</w:t>
            </w:r>
            <w:r>
              <w:rPr>
                <w:rFonts w:hint="eastAsia" w:asciiTheme="majorEastAsia" w:hAnsiTheme="majorEastAsia" w:eastAsiaTheme="majorEastAsia" w:cstheme="majorEastAsia"/>
                <w:color w:val="000000"/>
                <w:sz w:val="24"/>
                <w:szCs w:val="24"/>
                <w:shd w:val="clear" w:color="auto" w:fill="auto"/>
                <w:lang w:eastAsia="zh-CN"/>
              </w:rPr>
              <w:t>参保</w:t>
            </w:r>
            <w:r>
              <w:rPr>
                <w:rFonts w:hint="eastAsia" w:asciiTheme="majorEastAsia" w:hAnsiTheme="majorEastAsia" w:eastAsiaTheme="majorEastAsia" w:cstheme="majorEastAsia"/>
                <w:color w:val="000000"/>
                <w:sz w:val="24"/>
                <w:szCs w:val="24"/>
                <w:shd w:val="clear" w:color="auto" w:fill="auto"/>
              </w:rPr>
              <w:t>人数</w:t>
            </w:r>
            <w:r>
              <w:rPr>
                <w:rFonts w:hint="eastAsia" w:asciiTheme="majorEastAsia" w:hAnsiTheme="majorEastAsia" w:eastAsiaTheme="majorEastAsia" w:cstheme="majorEastAsia"/>
                <w:color w:val="000000"/>
                <w:sz w:val="24"/>
                <w:szCs w:val="24"/>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atLeast"/>
        </w:trPr>
        <w:tc>
          <w:tcPr>
            <w:tcW w:w="834"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5"/>
              <w:jc w:val="center"/>
              <w:textAlignment w:val="auto"/>
              <w:outlineLvl w:val="9"/>
              <w:rPr>
                <w:rFonts w:hint="eastAsia" w:asciiTheme="majorEastAsia" w:hAnsiTheme="majorEastAsia" w:eastAsiaTheme="majorEastAsia" w:cstheme="majorEastAsia"/>
                <w:b/>
                <w:sz w:val="24"/>
                <w:szCs w:val="24"/>
                <w:shd w:val="clear" w:color="auto" w:fill="auto"/>
                <w:lang w:val="en-US" w:eastAsia="zh-CN"/>
              </w:rPr>
            </w:pPr>
            <w:r>
              <w:rPr>
                <w:rFonts w:hint="eastAsia" w:asciiTheme="majorEastAsia" w:hAnsiTheme="majorEastAsia" w:eastAsiaTheme="majorEastAsia" w:cstheme="majorEastAsia"/>
                <w:b/>
                <w:sz w:val="24"/>
                <w:szCs w:val="24"/>
                <w:shd w:val="clear" w:color="auto" w:fill="auto"/>
                <w:lang w:val="en-US" w:eastAsia="zh-CN"/>
              </w:rPr>
              <w:t>1</w:t>
            </w:r>
          </w:p>
        </w:tc>
        <w:tc>
          <w:tcPr>
            <w:tcW w:w="1785"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5"/>
              <w:jc w:val="center"/>
              <w:textAlignment w:val="auto"/>
              <w:outlineLvl w:val="9"/>
              <w:rPr>
                <w:rFonts w:hint="eastAsia" w:asciiTheme="majorEastAsia" w:hAnsiTheme="majorEastAsia" w:eastAsiaTheme="majorEastAsia" w:cstheme="majorEastAsia"/>
                <w:b/>
                <w:sz w:val="24"/>
                <w:szCs w:val="24"/>
                <w:shd w:val="clear" w:color="auto" w:fill="auto"/>
              </w:rPr>
            </w:pPr>
            <w:r>
              <w:rPr>
                <w:rFonts w:hint="eastAsia" w:asciiTheme="majorEastAsia" w:hAnsiTheme="majorEastAsia" w:eastAsiaTheme="majorEastAsia" w:cstheme="majorEastAsia"/>
                <w:color w:val="000000"/>
                <w:sz w:val="24"/>
                <w:szCs w:val="24"/>
                <w:shd w:val="clear" w:color="auto" w:fill="auto"/>
              </w:rPr>
              <w:t>台州市公共安全综合险保险</w:t>
            </w:r>
          </w:p>
        </w:tc>
        <w:tc>
          <w:tcPr>
            <w:tcW w:w="2055"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5"/>
              <w:jc w:val="center"/>
              <w:textAlignment w:val="auto"/>
              <w:outlineLvl w:val="9"/>
              <w:rPr>
                <w:rFonts w:hint="eastAsia" w:asciiTheme="majorEastAsia" w:hAnsiTheme="majorEastAsia" w:eastAsiaTheme="majorEastAsia" w:cstheme="majorEastAsia"/>
                <w:b/>
                <w:sz w:val="24"/>
                <w:szCs w:val="24"/>
                <w:shd w:val="clear" w:color="auto" w:fill="auto"/>
                <w:lang w:val="en-US" w:eastAsia="zh-CN"/>
              </w:rPr>
            </w:pPr>
            <w:r>
              <w:rPr>
                <w:rFonts w:hint="eastAsia" w:asciiTheme="majorEastAsia" w:hAnsiTheme="majorEastAsia" w:eastAsiaTheme="majorEastAsia" w:cstheme="majorEastAsia"/>
                <w:b/>
                <w:sz w:val="24"/>
                <w:szCs w:val="24"/>
                <w:u w:val="single"/>
                <w:shd w:val="clear" w:color="auto" w:fill="auto"/>
                <w:lang w:val="en-US" w:eastAsia="zh-CN"/>
              </w:rPr>
              <w:t xml:space="preserve">   </w:t>
            </w:r>
            <w:r>
              <w:rPr>
                <w:rFonts w:hint="eastAsia" w:asciiTheme="majorEastAsia" w:hAnsiTheme="majorEastAsia" w:eastAsiaTheme="majorEastAsia" w:cstheme="majorEastAsia"/>
                <w:b/>
                <w:sz w:val="24"/>
                <w:szCs w:val="24"/>
                <w:shd w:val="clear" w:color="auto" w:fill="auto"/>
                <w:lang w:val="en-US" w:eastAsia="zh-CN"/>
              </w:rPr>
              <w:t>元/人</w:t>
            </w:r>
          </w:p>
        </w:tc>
        <w:tc>
          <w:tcPr>
            <w:tcW w:w="1911"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5"/>
              <w:jc w:val="center"/>
              <w:textAlignment w:val="auto"/>
              <w:outlineLvl w:val="9"/>
              <w:rPr>
                <w:rFonts w:hint="eastAsia" w:asciiTheme="majorEastAsia" w:hAnsiTheme="majorEastAsia" w:eastAsiaTheme="majorEastAsia" w:cstheme="majorEastAsia"/>
                <w:b/>
                <w:sz w:val="24"/>
                <w:szCs w:val="24"/>
                <w:u w:val="single"/>
                <w:shd w:val="clear" w:color="auto" w:fill="auto"/>
                <w:lang w:val="en-US" w:eastAsia="zh-CN"/>
              </w:rPr>
            </w:pPr>
            <w:r>
              <w:rPr>
                <w:rFonts w:hint="eastAsia" w:ascii="宋体" w:hAnsi="宋体" w:eastAsia="宋体" w:cs="宋体"/>
                <w:b/>
                <w:bCs w:val="0"/>
                <w:sz w:val="24"/>
                <w:szCs w:val="24"/>
                <w:u w:val="none"/>
                <w:shd w:val="clear" w:color="auto" w:fill="auto"/>
                <w:lang w:val="en-US" w:eastAsia="zh-CN"/>
              </w:rPr>
              <w:t>6</w:t>
            </w:r>
            <w:r>
              <w:rPr>
                <w:rFonts w:hint="eastAsia" w:ascii="宋体" w:hAnsi="宋体" w:eastAsia="宋体" w:cs="宋体"/>
                <w:b/>
                <w:bCs w:val="0"/>
                <w:sz w:val="24"/>
                <w:szCs w:val="24"/>
                <w:lang w:val="en-US" w:eastAsia="zh-CN"/>
              </w:rPr>
              <w:t>62.2</w:t>
            </w:r>
            <w:r>
              <w:rPr>
                <w:rFonts w:hint="eastAsia" w:asciiTheme="majorEastAsia" w:hAnsiTheme="majorEastAsia" w:eastAsiaTheme="majorEastAsia" w:cstheme="majorEastAsia"/>
                <w:b/>
                <w:sz w:val="24"/>
                <w:szCs w:val="24"/>
                <w:u w:val="none"/>
                <w:shd w:val="clear" w:color="auto" w:fill="auto"/>
                <w:lang w:val="en-US" w:eastAsia="zh-CN"/>
              </w:rPr>
              <w:t>万人</w:t>
            </w:r>
          </w:p>
        </w:tc>
        <w:tc>
          <w:tcPr>
            <w:tcW w:w="2229"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5"/>
              <w:jc w:val="center"/>
              <w:textAlignment w:val="auto"/>
              <w:outlineLvl w:val="9"/>
              <w:rPr>
                <w:rFonts w:hint="eastAsia" w:asciiTheme="majorEastAsia" w:hAnsiTheme="majorEastAsia" w:eastAsiaTheme="majorEastAsia" w:cstheme="majorEastAsia"/>
                <w:b/>
                <w:sz w:val="24"/>
                <w:szCs w:val="24"/>
                <w:u w:val="single"/>
                <w:shd w:val="clear" w:color="auto" w:fill="auto"/>
                <w:lang w:val="en-US" w:eastAsia="zh-CN"/>
              </w:rPr>
            </w:pPr>
          </w:p>
        </w:tc>
      </w:tr>
    </w:tbl>
    <w:p>
      <w:pPr>
        <w:keepNext w:val="0"/>
        <w:keepLines w:val="0"/>
        <w:pageBreakBefore w:val="0"/>
        <w:widowControl w:val="0"/>
        <w:kinsoku/>
        <w:wordWrap/>
        <w:overflowPunct/>
        <w:topLinePunct w:val="0"/>
        <w:bidi w:val="0"/>
        <w:snapToGrid/>
        <w:spacing w:line="360" w:lineRule="auto"/>
        <w:ind w:left="420"/>
        <w:textAlignment w:val="auto"/>
        <w:outlineLvl w:val="9"/>
        <w:rPr>
          <w:rFonts w:hint="eastAsia" w:asciiTheme="majorEastAsia" w:hAnsiTheme="majorEastAsia" w:eastAsiaTheme="majorEastAsia" w:cstheme="majorEastAsia"/>
          <w:sz w:val="24"/>
          <w:szCs w:val="24"/>
          <w:shd w:val="clear" w:color="auto" w:fill="auto"/>
        </w:rPr>
      </w:pPr>
    </w:p>
    <w:p>
      <w:pPr>
        <w:keepNext w:val="0"/>
        <w:keepLines w:val="0"/>
        <w:pageBreakBefore w:val="0"/>
        <w:widowControl w:val="0"/>
        <w:kinsoku/>
        <w:wordWrap/>
        <w:overflowPunct/>
        <w:topLinePunct w:val="0"/>
        <w:bidi w:val="0"/>
        <w:snapToGrid/>
        <w:spacing w:line="360" w:lineRule="auto"/>
        <w:textAlignment w:val="auto"/>
        <w:outlineLvl w:val="9"/>
        <w:rPr>
          <w:rFonts w:hint="eastAsia" w:asciiTheme="majorEastAsia" w:hAnsiTheme="majorEastAsia" w:eastAsiaTheme="majorEastAsia" w:cstheme="majorEastAsia"/>
          <w:b/>
          <w:sz w:val="24"/>
          <w:szCs w:val="24"/>
          <w:shd w:val="clear" w:color="auto" w:fill="auto"/>
        </w:rPr>
      </w:pPr>
      <w:r>
        <w:rPr>
          <w:rFonts w:hint="eastAsia" w:asciiTheme="majorEastAsia" w:hAnsiTheme="majorEastAsia" w:eastAsiaTheme="majorEastAsia" w:cstheme="majorEastAsia"/>
          <w:b/>
          <w:sz w:val="24"/>
          <w:szCs w:val="24"/>
          <w:shd w:val="clear" w:color="auto" w:fill="auto"/>
        </w:rPr>
        <w:t>要求：</w:t>
      </w:r>
    </w:p>
    <w:p>
      <w:pPr>
        <w:keepNext w:val="0"/>
        <w:keepLines w:val="0"/>
        <w:pageBreakBefore w:val="0"/>
        <w:widowControl w:val="0"/>
        <w:kinsoku/>
        <w:wordWrap/>
        <w:overflowPunct/>
        <w:topLinePunct w:val="0"/>
        <w:bidi w:val="0"/>
        <w:snapToGrid/>
        <w:spacing w:line="360" w:lineRule="auto"/>
        <w:ind w:firstLine="360" w:firstLineChars="150"/>
        <w:textAlignment w:val="auto"/>
        <w:outlineLvl w:val="9"/>
        <w:rPr>
          <w:rFonts w:hint="eastAsia" w:asciiTheme="majorEastAsia" w:hAnsiTheme="majorEastAsia" w:eastAsiaTheme="majorEastAsia" w:cstheme="majorEastAsia"/>
          <w:sz w:val="24"/>
          <w:szCs w:val="24"/>
          <w:shd w:val="clear" w:color="auto" w:fill="auto"/>
          <w:lang w:eastAsia="zh-CN"/>
        </w:rPr>
      </w:pPr>
      <w:r>
        <w:rPr>
          <w:rFonts w:hint="eastAsia" w:asciiTheme="majorEastAsia" w:hAnsiTheme="majorEastAsia" w:eastAsiaTheme="majorEastAsia" w:cstheme="majorEastAsia"/>
          <w:sz w:val="24"/>
          <w:szCs w:val="24"/>
          <w:shd w:val="clear" w:color="auto" w:fill="auto"/>
          <w:lang w:val="en-US" w:eastAsia="zh-CN"/>
        </w:rPr>
        <w:t>1.</w:t>
      </w:r>
      <w:r>
        <w:rPr>
          <w:rFonts w:hint="eastAsia" w:asciiTheme="majorEastAsia" w:hAnsiTheme="majorEastAsia" w:eastAsiaTheme="majorEastAsia" w:cstheme="majorEastAsia"/>
          <w:sz w:val="24"/>
          <w:szCs w:val="24"/>
          <w:shd w:val="clear" w:color="auto" w:fill="auto"/>
        </w:rPr>
        <w:t>人均保费</w:t>
      </w:r>
      <w:r>
        <w:rPr>
          <w:rFonts w:hint="eastAsia" w:asciiTheme="majorEastAsia" w:hAnsiTheme="majorEastAsia" w:eastAsiaTheme="majorEastAsia" w:cstheme="majorEastAsia"/>
          <w:sz w:val="24"/>
          <w:szCs w:val="24"/>
          <w:shd w:val="clear" w:color="auto" w:fill="auto"/>
          <w:lang w:eastAsia="zh-CN"/>
        </w:rPr>
        <w:t>、总保险费</w:t>
      </w:r>
      <w:r>
        <w:rPr>
          <w:rFonts w:hint="eastAsia" w:asciiTheme="majorEastAsia" w:hAnsiTheme="majorEastAsia" w:eastAsiaTheme="majorEastAsia" w:cstheme="majorEastAsia"/>
          <w:sz w:val="24"/>
          <w:szCs w:val="24"/>
          <w:shd w:val="clear" w:color="auto" w:fill="auto"/>
        </w:rPr>
        <w:t>以元为单位并保留小数点后2位数</w:t>
      </w:r>
      <w:r>
        <w:rPr>
          <w:rFonts w:hint="eastAsia" w:asciiTheme="majorEastAsia" w:hAnsiTheme="majorEastAsia" w:eastAsiaTheme="majorEastAsia" w:cstheme="majorEastAsia"/>
          <w:sz w:val="24"/>
          <w:szCs w:val="24"/>
          <w:shd w:val="clear" w:color="auto" w:fill="auto"/>
          <w:lang w:eastAsia="zh-CN"/>
        </w:rPr>
        <w:t>；</w:t>
      </w:r>
    </w:p>
    <w:p>
      <w:pPr>
        <w:keepNext w:val="0"/>
        <w:keepLines w:val="0"/>
        <w:pageBreakBefore w:val="0"/>
        <w:widowControl w:val="0"/>
        <w:kinsoku/>
        <w:wordWrap/>
        <w:overflowPunct/>
        <w:topLinePunct w:val="0"/>
        <w:bidi w:val="0"/>
        <w:snapToGrid/>
        <w:spacing w:line="360" w:lineRule="auto"/>
        <w:ind w:firstLine="360" w:firstLineChars="150"/>
        <w:textAlignment w:val="auto"/>
        <w:outlineLvl w:val="9"/>
        <w:rPr>
          <w:rFonts w:hint="eastAsia" w:asciiTheme="majorEastAsia" w:hAnsiTheme="majorEastAsia" w:eastAsiaTheme="majorEastAsia" w:cstheme="majorEastAsia"/>
          <w:sz w:val="24"/>
          <w:szCs w:val="24"/>
          <w:shd w:val="clear" w:color="auto" w:fill="auto"/>
        </w:rPr>
      </w:pPr>
      <w:r>
        <w:rPr>
          <w:rFonts w:hint="eastAsia" w:asciiTheme="majorEastAsia" w:hAnsiTheme="majorEastAsia" w:eastAsiaTheme="majorEastAsia" w:cstheme="majorEastAsia"/>
          <w:sz w:val="24"/>
          <w:szCs w:val="24"/>
          <w:shd w:val="clear" w:color="auto" w:fill="auto"/>
          <w:lang w:val="en-US" w:eastAsia="zh-CN"/>
        </w:rPr>
        <w:t>2.</w:t>
      </w:r>
      <w:r>
        <w:rPr>
          <w:rFonts w:hint="eastAsia" w:asciiTheme="majorEastAsia" w:hAnsiTheme="majorEastAsia" w:eastAsiaTheme="majorEastAsia" w:cstheme="majorEastAsia"/>
          <w:sz w:val="24"/>
          <w:szCs w:val="24"/>
          <w:shd w:val="clear" w:color="auto" w:fill="auto"/>
        </w:rPr>
        <w:t>上述报价均已包含增值税，我方可以开具增值税专用发票。</w:t>
      </w:r>
    </w:p>
    <w:p>
      <w:pPr>
        <w:keepNext w:val="0"/>
        <w:keepLines w:val="0"/>
        <w:pageBreakBefore w:val="0"/>
        <w:widowControl w:val="0"/>
        <w:kinsoku/>
        <w:wordWrap/>
        <w:overflowPunct/>
        <w:topLinePunct w:val="0"/>
        <w:bidi w:val="0"/>
        <w:snapToGrid/>
        <w:spacing w:line="360" w:lineRule="auto"/>
        <w:ind w:firstLine="360" w:firstLineChars="150"/>
        <w:textAlignment w:val="auto"/>
        <w:outlineLvl w:val="9"/>
        <w:rPr>
          <w:rFonts w:hint="eastAsia" w:asciiTheme="majorEastAsia" w:hAnsiTheme="majorEastAsia" w:eastAsiaTheme="majorEastAsia" w:cstheme="majorEastAsia"/>
          <w:sz w:val="24"/>
          <w:szCs w:val="24"/>
          <w:shd w:val="clear" w:color="auto" w:fill="auto"/>
          <w:lang w:val="en-US" w:eastAsia="zh-CN"/>
        </w:rPr>
      </w:pPr>
      <w:r>
        <w:rPr>
          <w:rFonts w:hint="eastAsia" w:ascii="宋体" w:hAnsi="宋体" w:eastAsia="宋体" w:cs="宋体"/>
          <w:sz w:val="24"/>
          <w:szCs w:val="24"/>
          <w:shd w:val="clear" w:color="auto" w:fill="auto"/>
          <w:lang w:val="en-US" w:eastAsia="zh-CN"/>
        </w:rPr>
        <w:t>▲</w:t>
      </w:r>
      <w:r>
        <w:rPr>
          <w:rFonts w:hint="eastAsia" w:asciiTheme="majorEastAsia" w:hAnsiTheme="majorEastAsia" w:eastAsiaTheme="majorEastAsia" w:cstheme="majorEastAsia"/>
          <w:sz w:val="24"/>
          <w:szCs w:val="24"/>
          <w:shd w:val="clear" w:color="auto" w:fill="auto"/>
          <w:lang w:val="en-US" w:eastAsia="zh-CN"/>
        </w:rPr>
        <w:t>3.</w:t>
      </w:r>
      <w:r>
        <w:rPr>
          <w:rFonts w:hint="eastAsia" w:asciiTheme="majorEastAsia" w:hAnsiTheme="majorEastAsia" w:eastAsiaTheme="majorEastAsia" w:cstheme="majorEastAsia"/>
          <w:sz w:val="24"/>
          <w:szCs w:val="24"/>
          <w:shd w:val="clear" w:color="auto" w:fill="auto"/>
          <w:lang w:eastAsia="zh-CN"/>
        </w:rPr>
        <w:t>人均保费不超过</w:t>
      </w:r>
      <w:r>
        <w:rPr>
          <w:rFonts w:hint="eastAsia" w:asciiTheme="majorEastAsia" w:hAnsiTheme="majorEastAsia" w:eastAsiaTheme="majorEastAsia" w:cstheme="majorEastAsia"/>
          <w:sz w:val="24"/>
          <w:szCs w:val="24"/>
          <w:shd w:val="clear" w:color="auto" w:fill="auto"/>
          <w:lang w:val="en-US" w:eastAsia="zh-CN"/>
        </w:rPr>
        <w:t>2元/人</w:t>
      </w:r>
      <w:r>
        <w:rPr>
          <w:rFonts w:hint="eastAsia" w:asciiTheme="majorEastAsia" w:hAnsiTheme="majorEastAsia" w:eastAsiaTheme="majorEastAsia" w:cstheme="majorEastAsia"/>
          <w:sz w:val="24"/>
          <w:szCs w:val="24"/>
          <w:shd w:val="clear" w:color="auto" w:fill="auto"/>
          <w:lang w:eastAsia="zh-CN"/>
        </w:rPr>
        <w:t>且总报价不得超过</w:t>
      </w:r>
      <w:r>
        <w:rPr>
          <w:rFonts w:hint="eastAsia" w:asciiTheme="majorEastAsia" w:hAnsiTheme="majorEastAsia" w:eastAsiaTheme="majorEastAsia" w:cstheme="majorEastAsia"/>
          <w:sz w:val="24"/>
          <w:szCs w:val="24"/>
          <w:shd w:val="clear" w:color="auto" w:fill="auto"/>
          <w:lang w:val="en-US" w:eastAsia="zh-CN"/>
        </w:rPr>
        <w:t>1325万元</w:t>
      </w:r>
      <w:r>
        <w:rPr>
          <w:rFonts w:hint="eastAsia" w:asciiTheme="majorEastAsia" w:hAnsiTheme="majorEastAsia" w:eastAsiaTheme="majorEastAsia" w:cstheme="majorEastAsia"/>
          <w:sz w:val="24"/>
          <w:szCs w:val="24"/>
          <w:shd w:val="clear" w:color="auto" w:fill="auto"/>
          <w:lang w:eastAsia="zh-CN"/>
        </w:rPr>
        <w:t>。</w:t>
      </w:r>
    </w:p>
    <w:p>
      <w:pPr>
        <w:keepNext w:val="0"/>
        <w:keepLines w:val="0"/>
        <w:pageBreakBefore w:val="0"/>
        <w:widowControl w:val="0"/>
        <w:kinsoku/>
        <w:wordWrap/>
        <w:overflowPunct/>
        <w:topLinePunct w:val="0"/>
        <w:bidi w:val="0"/>
        <w:snapToGrid/>
        <w:spacing w:line="360" w:lineRule="auto"/>
        <w:ind w:left="420"/>
        <w:textAlignment w:val="auto"/>
        <w:outlineLvl w:val="9"/>
        <w:rPr>
          <w:rFonts w:hint="eastAsia" w:asciiTheme="majorEastAsia" w:hAnsiTheme="majorEastAsia" w:eastAsiaTheme="majorEastAsia" w:cstheme="majorEastAsia"/>
          <w:sz w:val="24"/>
          <w:szCs w:val="24"/>
          <w:shd w:val="clear" w:color="auto" w:fill="auto"/>
        </w:rPr>
      </w:pPr>
    </w:p>
    <w:p>
      <w:pPr>
        <w:keepNext w:val="0"/>
        <w:keepLines w:val="0"/>
        <w:pageBreakBefore w:val="0"/>
        <w:widowControl w:val="0"/>
        <w:kinsoku/>
        <w:wordWrap/>
        <w:overflowPunct/>
        <w:topLinePunct w:val="0"/>
        <w:bidi w:val="0"/>
        <w:snapToGrid/>
        <w:spacing w:line="360" w:lineRule="auto"/>
        <w:ind w:left="420"/>
        <w:textAlignment w:val="auto"/>
        <w:outlineLvl w:val="9"/>
        <w:rPr>
          <w:rFonts w:hint="eastAsia" w:asciiTheme="majorEastAsia" w:hAnsiTheme="majorEastAsia" w:eastAsiaTheme="majorEastAsia" w:cstheme="majorEastAsia"/>
          <w:sz w:val="24"/>
          <w:szCs w:val="24"/>
          <w:shd w:val="clear" w:color="auto" w:fill="auto"/>
        </w:rPr>
      </w:pPr>
    </w:p>
    <w:p>
      <w:pPr>
        <w:keepNext w:val="0"/>
        <w:keepLines w:val="0"/>
        <w:pageBreakBefore w:val="0"/>
        <w:widowControl w:val="0"/>
        <w:kinsoku/>
        <w:wordWrap/>
        <w:overflowPunct/>
        <w:topLinePunct w:val="0"/>
        <w:bidi w:val="0"/>
        <w:snapToGrid/>
        <w:spacing w:line="360" w:lineRule="auto"/>
        <w:ind w:left="420"/>
        <w:textAlignment w:val="auto"/>
        <w:outlineLvl w:val="9"/>
        <w:rPr>
          <w:rFonts w:hint="eastAsia" w:asciiTheme="majorEastAsia" w:hAnsiTheme="majorEastAsia" w:eastAsiaTheme="majorEastAsia" w:cstheme="majorEastAsia"/>
          <w:sz w:val="24"/>
          <w:szCs w:val="24"/>
          <w:shd w:val="clear" w:color="auto" w:fill="auto"/>
        </w:rPr>
      </w:pPr>
    </w:p>
    <w:p>
      <w:pPr>
        <w:keepNext w:val="0"/>
        <w:keepLines w:val="0"/>
        <w:pageBreakBefore w:val="0"/>
        <w:widowControl w:val="0"/>
        <w:kinsoku/>
        <w:wordWrap/>
        <w:overflowPunct/>
        <w:topLinePunct w:val="0"/>
        <w:bidi w:val="0"/>
        <w:snapToGrid/>
        <w:spacing w:line="360" w:lineRule="auto"/>
        <w:ind w:left="420"/>
        <w:textAlignment w:val="auto"/>
        <w:outlineLvl w:val="9"/>
        <w:rPr>
          <w:rFonts w:hint="eastAsia" w:asciiTheme="majorEastAsia" w:hAnsiTheme="majorEastAsia" w:eastAsiaTheme="majorEastAsia" w:cstheme="majorEastAsia"/>
          <w:sz w:val="24"/>
          <w:szCs w:val="24"/>
          <w:u w:val="single"/>
          <w:shd w:val="clear" w:color="auto" w:fill="auto"/>
        </w:rPr>
      </w:pPr>
      <w:r>
        <w:rPr>
          <w:rFonts w:hint="eastAsia" w:asciiTheme="majorEastAsia" w:hAnsiTheme="majorEastAsia" w:eastAsiaTheme="majorEastAsia" w:cstheme="majorEastAsia"/>
          <w:sz w:val="24"/>
          <w:szCs w:val="24"/>
          <w:shd w:val="clear" w:color="auto" w:fill="auto"/>
        </w:rPr>
        <w:t>投标人名称（盖章）：</w:t>
      </w:r>
      <w:r>
        <w:rPr>
          <w:rFonts w:hint="eastAsia" w:asciiTheme="majorEastAsia" w:hAnsiTheme="majorEastAsia" w:eastAsiaTheme="majorEastAsia" w:cstheme="majorEastAsia"/>
          <w:sz w:val="24"/>
          <w:szCs w:val="24"/>
          <w:u w:val="single"/>
          <w:shd w:val="clear" w:color="auto" w:fill="auto"/>
        </w:rPr>
        <w:t xml:space="preserve">                      </w:t>
      </w:r>
    </w:p>
    <w:p>
      <w:pPr>
        <w:keepNext w:val="0"/>
        <w:keepLines w:val="0"/>
        <w:pageBreakBefore w:val="0"/>
        <w:widowControl w:val="0"/>
        <w:kinsoku/>
        <w:wordWrap/>
        <w:overflowPunct/>
        <w:topLinePunct w:val="0"/>
        <w:bidi w:val="0"/>
        <w:snapToGrid/>
        <w:spacing w:line="360" w:lineRule="auto"/>
        <w:ind w:firstLine="435"/>
        <w:textAlignment w:val="auto"/>
        <w:outlineLvl w:val="9"/>
        <w:rPr>
          <w:rFonts w:hint="eastAsia" w:asciiTheme="majorEastAsia" w:hAnsiTheme="majorEastAsia" w:eastAsiaTheme="majorEastAsia" w:cstheme="majorEastAsia"/>
          <w:sz w:val="24"/>
          <w:szCs w:val="24"/>
          <w:shd w:val="clear" w:color="auto" w:fill="auto"/>
        </w:rPr>
      </w:pPr>
      <w:r>
        <w:rPr>
          <w:rFonts w:hint="eastAsia" w:asciiTheme="majorEastAsia" w:hAnsiTheme="majorEastAsia" w:eastAsiaTheme="majorEastAsia" w:cstheme="majorEastAsia"/>
          <w:sz w:val="24"/>
          <w:szCs w:val="24"/>
          <w:shd w:val="clear" w:color="auto" w:fill="auto"/>
          <w:lang w:eastAsia="zh-CN"/>
        </w:rPr>
        <w:t>授权委托人</w:t>
      </w:r>
      <w:r>
        <w:rPr>
          <w:rFonts w:hint="eastAsia" w:asciiTheme="majorEastAsia" w:hAnsiTheme="majorEastAsia" w:eastAsiaTheme="majorEastAsia" w:cstheme="majorEastAsia"/>
          <w:sz w:val="24"/>
          <w:szCs w:val="24"/>
          <w:shd w:val="clear" w:color="auto" w:fill="auto"/>
        </w:rPr>
        <w:t>签字：</w:t>
      </w:r>
      <w:r>
        <w:rPr>
          <w:rFonts w:hint="eastAsia" w:asciiTheme="majorEastAsia" w:hAnsiTheme="majorEastAsia" w:eastAsiaTheme="majorEastAsia" w:cstheme="majorEastAsia"/>
          <w:sz w:val="24"/>
          <w:szCs w:val="24"/>
          <w:u w:val="single"/>
          <w:shd w:val="clear" w:color="auto" w:fill="auto"/>
        </w:rPr>
        <w:t xml:space="preserve">                         </w:t>
      </w:r>
    </w:p>
    <w:p>
      <w:pPr>
        <w:keepNext w:val="0"/>
        <w:keepLines w:val="0"/>
        <w:pageBreakBefore w:val="0"/>
        <w:widowControl w:val="0"/>
        <w:kinsoku/>
        <w:wordWrap/>
        <w:overflowPunct/>
        <w:topLinePunct w:val="0"/>
        <w:bidi w:val="0"/>
        <w:snapToGrid/>
        <w:spacing w:line="360" w:lineRule="auto"/>
        <w:ind w:firstLine="435"/>
        <w:textAlignment w:val="auto"/>
        <w:outlineLvl w:val="9"/>
        <w:rPr>
          <w:rFonts w:hint="eastAsia" w:asciiTheme="majorEastAsia" w:hAnsiTheme="majorEastAsia" w:eastAsiaTheme="majorEastAsia" w:cstheme="majorEastAsia"/>
          <w:sz w:val="24"/>
          <w:szCs w:val="24"/>
          <w:shd w:val="clear" w:color="auto" w:fill="auto"/>
        </w:rPr>
      </w:pPr>
      <w:r>
        <w:rPr>
          <w:rFonts w:hint="eastAsia" w:asciiTheme="majorEastAsia" w:hAnsiTheme="majorEastAsia" w:eastAsiaTheme="majorEastAsia" w:cstheme="majorEastAsia"/>
          <w:sz w:val="24"/>
          <w:szCs w:val="24"/>
          <w:shd w:val="clear" w:color="auto" w:fill="auto"/>
        </w:rPr>
        <w:t>职        务：</w:t>
      </w:r>
      <w:r>
        <w:rPr>
          <w:rFonts w:hint="eastAsia" w:asciiTheme="majorEastAsia" w:hAnsiTheme="majorEastAsia" w:eastAsiaTheme="majorEastAsia" w:cstheme="majorEastAsia"/>
          <w:sz w:val="24"/>
          <w:szCs w:val="24"/>
          <w:u w:val="single"/>
          <w:shd w:val="clear" w:color="auto" w:fill="auto"/>
        </w:rPr>
        <w:t xml:space="preserve">                           </w:t>
      </w:r>
    </w:p>
    <w:p>
      <w:pPr>
        <w:keepNext w:val="0"/>
        <w:keepLines w:val="0"/>
        <w:pageBreakBefore w:val="0"/>
        <w:widowControl w:val="0"/>
        <w:kinsoku/>
        <w:wordWrap/>
        <w:overflowPunct/>
        <w:topLinePunct w:val="0"/>
        <w:bidi w:val="0"/>
        <w:snapToGrid/>
        <w:spacing w:line="360" w:lineRule="auto"/>
        <w:ind w:firstLine="435"/>
        <w:textAlignment w:val="auto"/>
        <w:outlineLvl w:val="9"/>
        <w:rPr>
          <w:rFonts w:hint="eastAsia" w:asciiTheme="majorEastAsia" w:hAnsiTheme="majorEastAsia" w:eastAsiaTheme="majorEastAsia" w:cstheme="majorEastAsia"/>
          <w:sz w:val="24"/>
          <w:szCs w:val="24"/>
          <w:shd w:val="clear" w:color="auto" w:fill="auto"/>
        </w:rPr>
      </w:pPr>
      <w:r>
        <w:rPr>
          <w:rFonts w:hint="eastAsia" w:asciiTheme="majorEastAsia" w:hAnsiTheme="majorEastAsia" w:eastAsiaTheme="majorEastAsia" w:cstheme="majorEastAsia"/>
          <w:sz w:val="24"/>
          <w:szCs w:val="24"/>
          <w:shd w:val="clear" w:color="auto" w:fill="auto"/>
        </w:rPr>
        <w:t>日        期：</w:t>
      </w:r>
      <w:r>
        <w:rPr>
          <w:rFonts w:hint="eastAsia" w:asciiTheme="majorEastAsia" w:hAnsiTheme="majorEastAsia" w:eastAsiaTheme="majorEastAsia" w:cstheme="majorEastAsia"/>
          <w:sz w:val="24"/>
          <w:szCs w:val="24"/>
          <w:u w:val="single"/>
          <w:shd w:val="clear" w:color="auto" w:fill="auto"/>
        </w:rPr>
        <w:t xml:space="preserve">                            </w:t>
      </w:r>
    </w:p>
    <w:p>
      <w:pPr>
        <w:spacing w:line="360" w:lineRule="auto"/>
        <w:rPr>
          <w:rFonts w:hint="eastAsia" w:ascii="宋体" w:hAnsi="宋体"/>
          <w:b/>
          <w:sz w:val="28"/>
        </w:rPr>
      </w:pPr>
    </w:p>
    <w:p>
      <w:pPr>
        <w:snapToGrid w:val="0"/>
        <w:spacing w:before="156" w:beforeLines="50" w:after="50" w:line="360" w:lineRule="auto"/>
        <w:rPr>
          <w:rFonts w:hint="eastAsia" w:ascii="宋体" w:hAnsi="宋体"/>
          <w:b/>
          <w:sz w:val="28"/>
        </w:rPr>
      </w:pPr>
    </w:p>
    <w:p>
      <w:pPr>
        <w:snapToGrid w:val="0"/>
        <w:spacing w:before="156" w:beforeLines="50" w:after="50" w:line="360" w:lineRule="auto"/>
        <w:rPr>
          <w:rFonts w:hint="default" w:ascii="仿宋_GB2312" w:hAnsi="宋体" w:eastAsia="宋体"/>
          <w:bCs/>
          <w:sz w:val="30"/>
          <w:szCs w:val="30"/>
          <w:lang w:val="en-US" w:eastAsia="zh-CN"/>
        </w:rPr>
      </w:pPr>
      <w:r>
        <w:rPr>
          <w:rFonts w:hint="eastAsia" w:ascii="宋体" w:hAnsi="宋体"/>
          <w:b/>
          <w:sz w:val="28"/>
        </w:rPr>
        <w:t>附件</w:t>
      </w:r>
      <w:r>
        <w:rPr>
          <w:rFonts w:hint="eastAsia" w:ascii="宋体" w:hAnsi="宋体"/>
          <w:b/>
          <w:sz w:val="28"/>
          <w:lang w:val="en-US" w:eastAsia="zh-CN"/>
        </w:rPr>
        <w:t>11</w:t>
      </w:r>
    </w:p>
    <w:p>
      <w:pPr>
        <w:pStyle w:val="42"/>
        <w:spacing w:line="360" w:lineRule="auto"/>
        <w:jc w:val="center"/>
        <w:rPr>
          <w:rFonts w:ascii="宋体" w:hAnsi="宋体"/>
          <w:b/>
          <w:sz w:val="32"/>
          <w:szCs w:val="32"/>
          <w:lang w:val="en-GB"/>
        </w:rPr>
      </w:pPr>
      <w:r>
        <w:rPr>
          <w:rFonts w:hint="eastAsia" w:ascii="宋体" w:hAnsi="宋体"/>
          <w:b/>
          <w:sz w:val="32"/>
          <w:szCs w:val="32"/>
          <w:lang w:val="en-GB"/>
        </w:rPr>
        <w:t>中小企业声明函</w:t>
      </w:r>
    </w:p>
    <w:p>
      <w:pPr>
        <w:pStyle w:val="42"/>
        <w:spacing w:line="360" w:lineRule="auto"/>
        <w:jc w:val="center"/>
        <w:rPr>
          <w:rFonts w:ascii="宋体" w:hAnsi="宋体"/>
          <w:b/>
          <w:sz w:val="24"/>
          <w:lang w:val="en-GB"/>
        </w:rPr>
      </w:pPr>
    </w:p>
    <w:p>
      <w:pPr>
        <w:pStyle w:val="42"/>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42"/>
        <w:numPr>
          <w:ilvl w:val="0"/>
          <w:numId w:val="14"/>
        </w:numPr>
        <w:spacing w:line="360" w:lineRule="auto"/>
        <w:ind w:firstLine="480" w:firstLineChars="200"/>
        <w:rPr>
          <w:rFonts w:ascii="宋体" w:hAnsi="宋体"/>
          <w:sz w:val="24"/>
        </w:rPr>
      </w:pPr>
      <w:r>
        <w:rPr>
          <w:rFonts w:hint="eastAsia" w:ascii="宋体" w:hAnsi="宋体"/>
          <w:sz w:val="24"/>
        </w:rPr>
        <w:t>（标的名称），属于（招标文件中明确的所属行业）；承建（承接）企业为（企业名称），从业人员人，营业收入为万元，资产总额为万元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z w:val="24"/>
        </w:rPr>
        <w:t>，属于（中型企业、小型企业、微型企业）；</w:t>
      </w:r>
    </w:p>
    <w:p>
      <w:pPr>
        <w:pStyle w:val="42"/>
        <w:spacing w:line="360" w:lineRule="auto"/>
        <w:ind w:firstLine="480" w:firstLineChars="200"/>
        <w:rPr>
          <w:rFonts w:ascii="宋体" w:hAnsi="宋体"/>
          <w:sz w:val="24"/>
        </w:rPr>
      </w:pPr>
      <w:r>
        <w:rPr>
          <w:rFonts w:hint="eastAsia" w:ascii="宋体" w:hAnsi="宋体"/>
          <w:sz w:val="24"/>
        </w:rPr>
        <w:t>2.（标的名称），属于（招标文件中明确的所属行业）；承建（承接）企业为（企业名称），从业人员人，营业收入为万元，资产总额为万元，属于（中型企业、小型企业、微型企业）；</w:t>
      </w:r>
    </w:p>
    <w:p>
      <w:pPr>
        <w:pStyle w:val="42"/>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42"/>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pPr>
        <w:pStyle w:val="42"/>
        <w:spacing w:line="360" w:lineRule="auto"/>
        <w:ind w:firstLine="480" w:firstLineChars="200"/>
        <w:rPr>
          <w:rFonts w:ascii="宋体" w:hAnsi="宋体" w:cs="Arial"/>
          <w:bCs/>
          <w:sz w:val="24"/>
        </w:rPr>
      </w:pPr>
      <w:r>
        <w:rPr>
          <w:rFonts w:ascii="宋体" w:hAnsi="宋体" w:cs="Arial"/>
          <w:bCs/>
          <w:sz w:val="24"/>
        </w:rPr>
        <w:t>信息查询</w:t>
      </w:r>
      <w:r>
        <w:rPr>
          <w:rFonts w:hint="eastAsia" w:ascii="宋体" w:hAnsi="宋体" w:cs="Arial"/>
          <w:bCs/>
          <w:sz w:val="24"/>
        </w:rPr>
        <w:t>网址为：</w:t>
      </w:r>
    </w:p>
    <w:p>
      <w:pPr>
        <w:pStyle w:val="42"/>
        <w:spacing w:line="360" w:lineRule="auto"/>
        <w:ind w:firstLine="480" w:firstLineChars="200"/>
        <w:rPr>
          <w:rFonts w:ascii="宋体" w:hAnsi="宋体" w:cs="Arial"/>
          <w:bCs/>
          <w:sz w:val="24"/>
        </w:rPr>
      </w:pPr>
    </w:p>
    <w:p>
      <w:pPr>
        <w:pStyle w:val="42"/>
        <w:spacing w:line="360" w:lineRule="auto"/>
        <w:rPr>
          <w:rFonts w:ascii="宋体" w:hAnsi="宋体"/>
          <w:sz w:val="24"/>
        </w:rPr>
      </w:pPr>
    </w:p>
    <w:p>
      <w:pPr>
        <w:keepNext w:val="0"/>
        <w:keepLines w:val="0"/>
        <w:pageBreakBefore w:val="0"/>
        <w:widowControl w:val="0"/>
        <w:kinsoku/>
        <w:wordWrap/>
        <w:overflowPunct/>
        <w:topLinePunct w:val="0"/>
        <w:bidi w:val="0"/>
        <w:snapToGrid/>
        <w:spacing w:line="360" w:lineRule="auto"/>
        <w:ind w:left="420"/>
        <w:textAlignment w:val="auto"/>
        <w:outlineLvl w:val="9"/>
        <w:rPr>
          <w:rFonts w:hint="eastAsia" w:asciiTheme="majorEastAsia" w:hAnsiTheme="majorEastAsia" w:eastAsiaTheme="majorEastAsia" w:cstheme="majorEastAsia"/>
          <w:sz w:val="24"/>
          <w:szCs w:val="24"/>
          <w:u w:val="single"/>
          <w:shd w:val="clear" w:color="auto" w:fill="auto"/>
        </w:rPr>
      </w:pPr>
      <w:r>
        <w:rPr>
          <w:rFonts w:hint="eastAsia" w:asciiTheme="majorEastAsia" w:hAnsiTheme="majorEastAsia" w:eastAsiaTheme="majorEastAsia" w:cstheme="majorEastAsia"/>
          <w:sz w:val="24"/>
          <w:szCs w:val="24"/>
          <w:shd w:val="clear" w:color="auto" w:fill="auto"/>
        </w:rPr>
        <w:t>投标人名称（盖章）：</w:t>
      </w:r>
      <w:r>
        <w:rPr>
          <w:rFonts w:hint="eastAsia" w:asciiTheme="majorEastAsia" w:hAnsiTheme="majorEastAsia" w:eastAsiaTheme="majorEastAsia" w:cstheme="majorEastAsia"/>
          <w:sz w:val="24"/>
          <w:szCs w:val="24"/>
          <w:u w:val="single"/>
          <w:shd w:val="clear" w:color="auto" w:fill="auto"/>
        </w:rPr>
        <w:t xml:space="preserve">                      </w:t>
      </w:r>
    </w:p>
    <w:p>
      <w:pPr>
        <w:keepNext w:val="0"/>
        <w:keepLines w:val="0"/>
        <w:pageBreakBefore w:val="0"/>
        <w:widowControl w:val="0"/>
        <w:kinsoku/>
        <w:wordWrap/>
        <w:overflowPunct/>
        <w:topLinePunct w:val="0"/>
        <w:bidi w:val="0"/>
        <w:snapToGrid/>
        <w:spacing w:line="360" w:lineRule="auto"/>
        <w:ind w:firstLine="435"/>
        <w:textAlignment w:val="auto"/>
        <w:outlineLvl w:val="9"/>
        <w:rPr>
          <w:rFonts w:hint="eastAsia" w:asciiTheme="majorEastAsia" w:hAnsiTheme="majorEastAsia" w:eastAsiaTheme="majorEastAsia" w:cstheme="majorEastAsia"/>
          <w:sz w:val="24"/>
          <w:szCs w:val="24"/>
          <w:shd w:val="clear" w:color="auto" w:fill="auto"/>
        </w:rPr>
      </w:pPr>
      <w:r>
        <w:rPr>
          <w:rFonts w:hint="eastAsia" w:asciiTheme="majorEastAsia" w:hAnsiTheme="majorEastAsia" w:eastAsiaTheme="majorEastAsia" w:cstheme="majorEastAsia"/>
          <w:sz w:val="24"/>
          <w:szCs w:val="24"/>
          <w:shd w:val="clear" w:color="auto" w:fill="auto"/>
          <w:lang w:eastAsia="zh-CN"/>
        </w:rPr>
        <w:t>授权委托人</w:t>
      </w:r>
      <w:r>
        <w:rPr>
          <w:rFonts w:hint="eastAsia" w:asciiTheme="majorEastAsia" w:hAnsiTheme="majorEastAsia" w:eastAsiaTheme="majorEastAsia" w:cstheme="majorEastAsia"/>
          <w:sz w:val="24"/>
          <w:szCs w:val="24"/>
          <w:shd w:val="clear" w:color="auto" w:fill="auto"/>
        </w:rPr>
        <w:t>签字：</w:t>
      </w:r>
      <w:r>
        <w:rPr>
          <w:rFonts w:hint="eastAsia" w:asciiTheme="majorEastAsia" w:hAnsiTheme="majorEastAsia" w:eastAsiaTheme="majorEastAsia" w:cstheme="majorEastAsia"/>
          <w:sz w:val="24"/>
          <w:szCs w:val="24"/>
          <w:u w:val="single"/>
          <w:shd w:val="clear" w:color="auto" w:fill="auto"/>
        </w:rPr>
        <w:t xml:space="preserve">                         </w:t>
      </w:r>
    </w:p>
    <w:p>
      <w:pPr>
        <w:keepNext w:val="0"/>
        <w:keepLines w:val="0"/>
        <w:pageBreakBefore w:val="0"/>
        <w:widowControl w:val="0"/>
        <w:kinsoku/>
        <w:wordWrap/>
        <w:overflowPunct/>
        <w:topLinePunct w:val="0"/>
        <w:bidi w:val="0"/>
        <w:snapToGrid/>
        <w:spacing w:line="360" w:lineRule="auto"/>
        <w:ind w:firstLine="435"/>
        <w:textAlignment w:val="auto"/>
        <w:outlineLvl w:val="9"/>
        <w:rPr>
          <w:rFonts w:hint="eastAsia" w:asciiTheme="majorEastAsia" w:hAnsiTheme="majorEastAsia" w:eastAsiaTheme="majorEastAsia" w:cstheme="majorEastAsia"/>
          <w:sz w:val="24"/>
          <w:szCs w:val="24"/>
          <w:shd w:val="clear" w:color="auto" w:fill="auto"/>
        </w:rPr>
      </w:pPr>
      <w:r>
        <w:rPr>
          <w:rFonts w:hint="eastAsia" w:asciiTheme="majorEastAsia" w:hAnsiTheme="majorEastAsia" w:eastAsiaTheme="majorEastAsia" w:cstheme="majorEastAsia"/>
          <w:sz w:val="24"/>
          <w:szCs w:val="24"/>
          <w:shd w:val="clear" w:color="auto" w:fill="auto"/>
        </w:rPr>
        <w:t>职        务：</w:t>
      </w:r>
      <w:r>
        <w:rPr>
          <w:rFonts w:hint="eastAsia" w:asciiTheme="majorEastAsia" w:hAnsiTheme="majorEastAsia" w:eastAsiaTheme="majorEastAsia" w:cstheme="majorEastAsia"/>
          <w:sz w:val="24"/>
          <w:szCs w:val="24"/>
          <w:u w:val="single"/>
          <w:shd w:val="clear" w:color="auto" w:fill="auto"/>
        </w:rPr>
        <w:t xml:space="preserve">                           </w:t>
      </w:r>
    </w:p>
    <w:p>
      <w:pPr>
        <w:keepNext w:val="0"/>
        <w:keepLines w:val="0"/>
        <w:pageBreakBefore w:val="0"/>
        <w:widowControl w:val="0"/>
        <w:kinsoku/>
        <w:wordWrap/>
        <w:overflowPunct/>
        <w:topLinePunct w:val="0"/>
        <w:bidi w:val="0"/>
        <w:snapToGrid/>
        <w:spacing w:line="360" w:lineRule="auto"/>
        <w:ind w:firstLine="435"/>
        <w:textAlignment w:val="auto"/>
        <w:outlineLvl w:val="9"/>
        <w:rPr>
          <w:rFonts w:hint="eastAsia" w:asciiTheme="majorEastAsia" w:hAnsiTheme="majorEastAsia" w:eastAsiaTheme="majorEastAsia" w:cstheme="majorEastAsia"/>
          <w:sz w:val="24"/>
          <w:szCs w:val="24"/>
          <w:shd w:val="clear" w:color="auto" w:fill="auto"/>
        </w:rPr>
      </w:pPr>
      <w:r>
        <w:rPr>
          <w:rFonts w:hint="eastAsia" w:asciiTheme="majorEastAsia" w:hAnsiTheme="majorEastAsia" w:eastAsiaTheme="majorEastAsia" w:cstheme="majorEastAsia"/>
          <w:sz w:val="24"/>
          <w:szCs w:val="24"/>
          <w:shd w:val="clear" w:color="auto" w:fill="auto"/>
        </w:rPr>
        <w:t>日        期：</w:t>
      </w:r>
      <w:r>
        <w:rPr>
          <w:rFonts w:hint="eastAsia" w:asciiTheme="majorEastAsia" w:hAnsiTheme="majorEastAsia" w:eastAsiaTheme="majorEastAsia" w:cstheme="majorEastAsia"/>
          <w:sz w:val="24"/>
          <w:szCs w:val="24"/>
          <w:u w:val="single"/>
          <w:shd w:val="clear" w:color="auto" w:fill="auto"/>
        </w:rPr>
        <w:t xml:space="preserve">                            </w:t>
      </w:r>
    </w:p>
    <w:p>
      <w:pPr>
        <w:pStyle w:val="42"/>
        <w:spacing w:line="360" w:lineRule="auto"/>
        <w:ind w:left="4253" w:leftChars="2025" w:right="360"/>
        <w:jc w:val="center"/>
        <w:rPr>
          <w:rFonts w:hint="eastAsia" w:ascii="宋体" w:hAnsi="宋体"/>
          <w:sz w:val="24"/>
        </w:rPr>
      </w:pP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52946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29463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416.9pt;z-index:251659264;mso-width-relative:page;mso-height-relative:page;" filled="f" stroked="t" coordsize="21600,21600" o:gfxdata="UEsDBAoAAAAAAIdO4kAAAAAAAAAAAAAAAAAEAAAAZHJzL1BLAwQUAAAACACHTuJABJs9c9QAAAAG&#10;AQAADwAAAGRycy9kb3ducmV2LnhtbE2PwU7DMBBE70j8g7VI3KgdAlEV4lQCCYlekEh74OjGSxJq&#10;r6PYbdO/ZxEHetyZ0czbajV7J444xSGQhmyhQCC1wQ7UadhuXu+WIGIyZI0LhBrOGGFVX19VprTh&#10;RB94bFInuIRiaTT0KY2llLHt0Zu4CCMSe19h8ibxOXXSTubE5d7Je6UK6c1AvNCbEV96bPfNwWt4&#10;b7b7tczmx+/oPp+pMNlGvTmtb28y9QQi4Zz+w/CLz+hQM9MuHMhG4TQwd9KQ5/wQu8v8oQCx+xNk&#10;XclL/PoHUEsDBBQAAAAIAIdO4kDrTyOj2wEAAIYDAAAOAAAAZHJzL2Uyb0RvYy54bWytU81uEzEQ&#10;viP1HSzfyaYJKWGVTQ+NygVBJMoDTL32riX/yeNmk5fgBZC4wYkjd96G8hiMnTQEeqvIwZnxeD7P&#10;9/nbxeXWGraREbV3DT8fjTmTTvhWu67hH26un885wwSuBeOdbPhOIr9cnj1bDKGWE99708rICMRh&#10;PYSG9ymFuqpQ9NICjnyQjorKRwuJ0thVbYSB0K2pJuPxRTX42IbohUSk3dW+yJcFXykp0julUCZm&#10;Gk6zpbLGst7mtVouoO4ihF6LwxjwhCksaEeXHqFWkIDdRf0IymoRPXqVRsLbyiulhSwciM35+B82&#10;73sIsnAhcTAcZcL/ByvebtaR6bbhU84cWHqi+0/ff3788uvHZ1rvv31l0yzSELCms1duHQ8ZhnXM&#10;jLcq2vxPXNi2CLs7Ciu3iQnanE1evbiYkv7ioVb9aQwR02vpLctBw412mTPUsHmDiS6jow9H8rbz&#10;19qY8m7GsYFMN5u/nBE0kH2UgUShDUQIXccZmI58KVIskOiNbnN7BsIdXpnINkDWIEe1friheTkz&#10;gIkKRKL8Mnsa4a/WPM8KsN83l9LeSVYnsrPRtuHz027j8o2yGPLAKiu61zBHt77dFWmrnNFjl0sP&#10;xsxuOs0pPv18l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Js9c9QAAAAGAQAADwAAAAAAAAAB&#10;ACAAAAAiAAAAZHJzL2Rvd25yZXYueG1sUEsBAhQAFAAAAAgAh07iQOtPI6PbAQAAhgMAAA4AAAAA&#10;AAAAAQAgAAAAIwEAAGRycy9lMm9Eb2MueG1sUEsFBgAAAAAGAAYAWQEAAHAFAAAAAA==&#10;">
                <v:fill on="f" focussize="0,0"/>
                <v:stroke weight="1.25pt" color="#000000" miterlimit="8" joinstyle="miter"/>
                <v:imagedata o:title=""/>
                <o:lock v:ext="edit" aspectratio="f"/>
              </v:line>
            </w:pict>
          </mc:Fallback>
        </mc:AlternateContent>
      </w: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pStyle w:val="42"/>
        <w:spacing w:line="360" w:lineRule="auto"/>
        <w:ind w:left="4253" w:leftChars="2025" w:right="360"/>
        <w:jc w:val="center"/>
        <w:rPr>
          <w:rFonts w:hint="eastAsia" w:ascii="宋体" w:hAnsi="宋体"/>
          <w:sz w:val="24"/>
        </w:rPr>
      </w:pPr>
    </w:p>
    <w:p>
      <w:pPr>
        <w:pStyle w:val="12"/>
        <w:spacing w:line="360" w:lineRule="auto"/>
        <w:jc w:val="center"/>
        <w:outlineLvl w:val="1"/>
        <w:rPr>
          <w:rFonts w:hAnsi="宋体"/>
          <w:b/>
          <w:sz w:val="32"/>
          <w:szCs w:val="32"/>
          <w:lang w:val="en-GB"/>
        </w:rPr>
      </w:pPr>
      <w:r>
        <w:rPr>
          <w:rFonts w:hint="eastAsia" w:hAnsi="宋体"/>
          <w:b/>
          <w:sz w:val="32"/>
          <w:szCs w:val="32"/>
          <w:lang w:val="en-GB"/>
        </w:rPr>
        <w:t>残疾人福利性单位声明函</w:t>
      </w:r>
    </w:p>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tabs>
          <w:tab w:val="left" w:pos="4860"/>
        </w:tabs>
        <w:spacing w:line="588" w:lineRule="exact"/>
        <w:ind w:right="1560" w:firstLine="504" w:firstLineChars="200"/>
        <w:jc w:val="center"/>
        <w:rPr>
          <w:rFonts w:ascii="宋体" w:hAnsi="宋体"/>
          <w:spacing w:val="6"/>
          <w:sz w:val="24"/>
        </w:rPr>
      </w:pPr>
    </w:p>
    <w:p>
      <w:pPr>
        <w:keepNext w:val="0"/>
        <w:keepLines w:val="0"/>
        <w:pageBreakBefore w:val="0"/>
        <w:widowControl w:val="0"/>
        <w:kinsoku/>
        <w:wordWrap/>
        <w:overflowPunct/>
        <w:topLinePunct w:val="0"/>
        <w:bidi w:val="0"/>
        <w:snapToGrid/>
        <w:spacing w:line="360" w:lineRule="auto"/>
        <w:ind w:left="420"/>
        <w:textAlignment w:val="auto"/>
        <w:outlineLvl w:val="9"/>
        <w:rPr>
          <w:rFonts w:hint="eastAsia" w:asciiTheme="majorEastAsia" w:hAnsiTheme="majorEastAsia" w:eastAsiaTheme="majorEastAsia" w:cstheme="majorEastAsia"/>
          <w:sz w:val="24"/>
          <w:szCs w:val="24"/>
          <w:u w:val="single"/>
          <w:shd w:val="clear" w:color="auto" w:fill="auto"/>
        </w:rPr>
      </w:pPr>
      <w:r>
        <w:rPr>
          <w:rFonts w:hint="eastAsia" w:asciiTheme="majorEastAsia" w:hAnsiTheme="majorEastAsia" w:eastAsiaTheme="majorEastAsia" w:cstheme="majorEastAsia"/>
          <w:sz w:val="24"/>
          <w:szCs w:val="24"/>
          <w:shd w:val="clear" w:color="auto" w:fill="auto"/>
        </w:rPr>
        <w:t>投标人名称（盖章）：</w:t>
      </w:r>
      <w:r>
        <w:rPr>
          <w:rFonts w:hint="eastAsia" w:asciiTheme="majorEastAsia" w:hAnsiTheme="majorEastAsia" w:eastAsiaTheme="majorEastAsia" w:cstheme="majorEastAsia"/>
          <w:sz w:val="24"/>
          <w:szCs w:val="24"/>
          <w:u w:val="single"/>
          <w:shd w:val="clear" w:color="auto" w:fill="auto"/>
        </w:rPr>
        <w:t xml:space="preserve">                      </w:t>
      </w:r>
    </w:p>
    <w:p>
      <w:pPr>
        <w:keepNext w:val="0"/>
        <w:keepLines w:val="0"/>
        <w:pageBreakBefore w:val="0"/>
        <w:widowControl w:val="0"/>
        <w:kinsoku/>
        <w:wordWrap/>
        <w:overflowPunct/>
        <w:topLinePunct w:val="0"/>
        <w:bidi w:val="0"/>
        <w:snapToGrid/>
        <w:spacing w:line="360" w:lineRule="auto"/>
        <w:ind w:firstLine="435"/>
        <w:textAlignment w:val="auto"/>
        <w:outlineLvl w:val="9"/>
        <w:rPr>
          <w:rFonts w:hint="eastAsia" w:asciiTheme="majorEastAsia" w:hAnsiTheme="majorEastAsia" w:eastAsiaTheme="majorEastAsia" w:cstheme="majorEastAsia"/>
          <w:sz w:val="24"/>
          <w:szCs w:val="24"/>
          <w:shd w:val="clear" w:color="auto" w:fill="auto"/>
        </w:rPr>
      </w:pPr>
      <w:r>
        <w:rPr>
          <w:rFonts w:hint="eastAsia" w:asciiTheme="majorEastAsia" w:hAnsiTheme="majorEastAsia" w:eastAsiaTheme="majorEastAsia" w:cstheme="majorEastAsia"/>
          <w:sz w:val="24"/>
          <w:szCs w:val="24"/>
          <w:shd w:val="clear" w:color="auto" w:fill="auto"/>
          <w:lang w:eastAsia="zh-CN"/>
        </w:rPr>
        <w:t>授权委托人</w:t>
      </w:r>
      <w:r>
        <w:rPr>
          <w:rFonts w:hint="eastAsia" w:asciiTheme="majorEastAsia" w:hAnsiTheme="majorEastAsia" w:eastAsiaTheme="majorEastAsia" w:cstheme="majorEastAsia"/>
          <w:sz w:val="24"/>
          <w:szCs w:val="24"/>
          <w:shd w:val="clear" w:color="auto" w:fill="auto"/>
        </w:rPr>
        <w:t>签字：</w:t>
      </w:r>
      <w:r>
        <w:rPr>
          <w:rFonts w:hint="eastAsia" w:asciiTheme="majorEastAsia" w:hAnsiTheme="majorEastAsia" w:eastAsiaTheme="majorEastAsia" w:cstheme="majorEastAsia"/>
          <w:sz w:val="24"/>
          <w:szCs w:val="24"/>
          <w:u w:val="single"/>
          <w:shd w:val="clear" w:color="auto" w:fill="auto"/>
        </w:rPr>
        <w:t xml:space="preserve">                         </w:t>
      </w:r>
    </w:p>
    <w:p>
      <w:pPr>
        <w:keepNext w:val="0"/>
        <w:keepLines w:val="0"/>
        <w:pageBreakBefore w:val="0"/>
        <w:widowControl w:val="0"/>
        <w:kinsoku/>
        <w:wordWrap/>
        <w:overflowPunct/>
        <w:topLinePunct w:val="0"/>
        <w:bidi w:val="0"/>
        <w:snapToGrid/>
        <w:spacing w:line="360" w:lineRule="auto"/>
        <w:ind w:firstLine="435"/>
        <w:textAlignment w:val="auto"/>
        <w:outlineLvl w:val="9"/>
        <w:rPr>
          <w:rFonts w:hint="eastAsia" w:asciiTheme="majorEastAsia" w:hAnsiTheme="majorEastAsia" w:eastAsiaTheme="majorEastAsia" w:cstheme="majorEastAsia"/>
          <w:sz w:val="24"/>
          <w:szCs w:val="24"/>
          <w:shd w:val="clear" w:color="auto" w:fill="auto"/>
        </w:rPr>
      </w:pPr>
      <w:r>
        <w:rPr>
          <w:rFonts w:hint="eastAsia" w:asciiTheme="majorEastAsia" w:hAnsiTheme="majorEastAsia" w:eastAsiaTheme="majorEastAsia" w:cstheme="majorEastAsia"/>
          <w:sz w:val="24"/>
          <w:szCs w:val="24"/>
          <w:shd w:val="clear" w:color="auto" w:fill="auto"/>
        </w:rPr>
        <w:t>职        务：</w:t>
      </w:r>
      <w:r>
        <w:rPr>
          <w:rFonts w:hint="eastAsia" w:asciiTheme="majorEastAsia" w:hAnsiTheme="majorEastAsia" w:eastAsiaTheme="majorEastAsia" w:cstheme="majorEastAsia"/>
          <w:sz w:val="24"/>
          <w:szCs w:val="24"/>
          <w:u w:val="single"/>
          <w:shd w:val="clear" w:color="auto" w:fill="auto"/>
        </w:rPr>
        <w:t xml:space="preserve">                           </w:t>
      </w:r>
    </w:p>
    <w:p>
      <w:pPr>
        <w:keepNext w:val="0"/>
        <w:keepLines w:val="0"/>
        <w:pageBreakBefore w:val="0"/>
        <w:widowControl w:val="0"/>
        <w:kinsoku/>
        <w:wordWrap/>
        <w:overflowPunct/>
        <w:topLinePunct w:val="0"/>
        <w:bidi w:val="0"/>
        <w:snapToGrid/>
        <w:spacing w:line="360" w:lineRule="auto"/>
        <w:ind w:firstLine="435"/>
        <w:textAlignment w:val="auto"/>
        <w:outlineLvl w:val="9"/>
        <w:rPr>
          <w:rFonts w:hint="eastAsia" w:asciiTheme="majorEastAsia" w:hAnsiTheme="majorEastAsia" w:eastAsiaTheme="majorEastAsia" w:cstheme="majorEastAsia"/>
          <w:sz w:val="24"/>
          <w:szCs w:val="24"/>
          <w:shd w:val="clear" w:color="auto" w:fill="auto"/>
        </w:rPr>
      </w:pPr>
      <w:r>
        <w:rPr>
          <w:rFonts w:hint="eastAsia" w:asciiTheme="majorEastAsia" w:hAnsiTheme="majorEastAsia" w:eastAsiaTheme="majorEastAsia" w:cstheme="majorEastAsia"/>
          <w:sz w:val="24"/>
          <w:szCs w:val="24"/>
          <w:shd w:val="clear" w:color="auto" w:fill="auto"/>
        </w:rPr>
        <w:t>日        期：</w:t>
      </w:r>
      <w:r>
        <w:rPr>
          <w:rFonts w:hint="eastAsia" w:asciiTheme="majorEastAsia" w:hAnsiTheme="majorEastAsia" w:eastAsiaTheme="majorEastAsia" w:cstheme="majorEastAsia"/>
          <w:sz w:val="24"/>
          <w:szCs w:val="24"/>
          <w:u w:val="single"/>
          <w:shd w:val="clear" w:color="auto" w:fill="auto"/>
        </w:rPr>
        <w:t xml:space="preserve">                            </w:t>
      </w:r>
    </w:p>
    <w:p>
      <w:pPr>
        <w:pStyle w:val="42"/>
        <w:spacing w:line="360" w:lineRule="auto"/>
        <w:rPr>
          <w:rFonts w:ascii="宋体" w:hAnsi="宋体"/>
          <w:b/>
          <w:sz w:val="28"/>
          <w:szCs w:val="28"/>
        </w:rPr>
      </w:pPr>
    </w:p>
    <w:p>
      <w:pPr>
        <w:pStyle w:val="42"/>
        <w:spacing w:line="360" w:lineRule="auto"/>
        <w:rPr>
          <w:rFonts w:ascii="宋体" w:hAnsi="宋体"/>
          <w:b/>
          <w:sz w:val="28"/>
          <w:szCs w:val="28"/>
        </w:rPr>
      </w:pPr>
    </w:p>
    <w:p>
      <w:pPr>
        <w:pStyle w:val="42"/>
        <w:spacing w:line="360" w:lineRule="auto"/>
        <w:rPr>
          <w:rFonts w:hint="default" w:ascii="宋体" w:hAnsi="宋体" w:eastAsia="宋体"/>
          <w:b/>
          <w:sz w:val="28"/>
          <w:szCs w:val="28"/>
          <w:lang w:val="en-US" w:eastAsia="zh-CN"/>
        </w:rPr>
      </w:pPr>
      <w:r>
        <w:rPr>
          <w:rFonts w:hint="eastAsia" w:ascii="宋体" w:hAnsi="宋体"/>
          <w:b/>
          <w:sz w:val="28"/>
          <w:szCs w:val="28"/>
        </w:rPr>
        <w:t>附件</w:t>
      </w:r>
      <w:r>
        <w:rPr>
          <w:rFonts w:hint="eastAsia" w:ascii="宋体" w:hAnsi="宋体"/>
          <w:b/>
          <w:sz w:val="28"/>
          <w:szCs w:val="28"/>
          <w:lang w:val="en-US" w:eastAsia="zh-CN"/>
        </w:rPr>
        <w:t>12</w:t>
      </w:r>
    </w:p>
    <w:p>
      <w:pPr>
        <w:pStyle w:val="43"/>
        <w:spacing w:line="360" w:lineRule="auto"/>
      </w:pPr>
    </w:p>
    <w:p>
      <w:pPr>
        <w:pStyle w:val="40"/>
        <w:spacing w:line="360" w:lineRule="auto"/>
        <w:jc w:val="center"/>
        <w:rPr>
          <w:rFonts w:ascii="宋体" w:hAnsi="宋体"/>
          <w:b/>
          <w:sz w:val="32"/>
          <w:szCs w:val="32"/>
          <w:lang w:val="en-GB"/>
        </w:rPr>
      </w:pPr>
      <w:bookmarkStart w:id="51" w:name="_Toc12041_WPSOffice_Level1"/>
      <w:bookmarkStart w:id="52" w:name="_Toc28100_WPSOffice_Level1"/>
      <w:r>
        <w:rPr>
          <w:rFonts w:hint="eastAsia" w:ascii="宋体" w:hAnsi="宋体"/>
          <w:b/>
          <w:sz w:val="32"/>
          <w:szCs w:val="32"/>
          <w:lang w:val="en-GB"/>
        </w:rPr>
        <w:t>产品适用政府采购政策情况表</w:t>
      </w:r>
      <w:bookmarkEnd w:id="51"/>
      <w:bookmarkEnd w:id="52"/>
    </w:p>
    <w:p>
      <w:pPr>
        <w:pStyle w:val="40"/>
        <w:spacing w:line="360" w:lineRule="auto"/>
        <w:jc w:val="center"/>
        <w:rPr>
          <w:rFonts w:ascii="宋体" w:hAnsi="宋体"/>
          <w:b/>
          <w:sz w:val="24"/>
          <w:lang w:val="en-GB"/>
        </w:rPr>
      </w:pPr>
    </w:p>
    <w:tbl>
      <w:tblPr>
        <w:tblStyle w:val="21"/>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restart"/>
            <w:vAlign w:val="center"/>
          </w:tcPr>
          <w:p>
            <w:pPr>
              <w:pStyle w:val="40"/>
              <w:tabs>
                <w:tab w:val="left" w:pos="1260"/>
              </w:tabs>
              <w:jc w:val="center"/>
              <w:rPr>
                <w:rFonts w:ascii="宋体" w:hAnsi="宋体"/>
                <w:sz w:val="24"/>
                <w:lang w:val="en-GB"/>
              </w:rPr>
            </w:pPr>
            <w:r>
              <w:rPr>
                <w:rFonts w:hint="eastAsia" w:ascii="宋体" w:hAnsi="宋体"/>
                <w:sz w:val="24"/>
                <w:lang w:val="en-GB"/>
              </w:rPr>
              <w:t>小微企业扶持政策</w:t>
            </w:r>
          </w:p>
        </w:tc>
        <w:tc>
          <w:tcPr>
            <w:tcW w:w="8111" w:type="dxa"/>
            <w:gridSpan w:val="3"/>
            <w:vAlign w:val="center"/>
          </w:tcPr>
          <w:tbl>
            <w:tblPr>
              <w:tblStyle w:val="21"/>
              <w:tblW w:w="8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111" w:type="dxa"/>
                  <w:vAlign w:val="center"/>
                </w:tcPr>
                <w:p>
                  <w:pPr>
                    <w:pStyle w:val="40"/>
                    <w:tabs>
                      <w:tab w:val="left" w:pos="1260"/>
                    </w:tabs>
                    <w:spacing w:line="360" w:lineRule="auto"/>
                    <w:rPr>
                      <w:rFonts w:ascii="宋体" w:hAnsi="宋体"/>
                      <w:sz w:val="24"/>
                    </w:rPr>
                  </w:pPr>
                  <w:r>
                    <w:rPr>
                      <w:rFonts w:hint="eastAsia" w:ascii="宋体" w:hAnsi="宋体"/>
                      <w:b/>
                      <w:bCs/>
                      <w:sz w:val="24"/>
                    </w:rPr>
                    <w:t>小型、微型企业投标且所投产品（指货物、工程、服务）由本企业制造，或者所投产品（仅指货物）含有其他小型、微型企业制造的，应</w:t>
                  </w:r>
                  <w:r>
                    <w:rPr>
                      <w:rFonts w:hint="eastAsia" w:ascii="宋体" w:hAnsi="宋体"/>
                      <w:b/>
                      <w:bCs/>
                      <w:sz w:val="24"/>
                      <w:lang w:val="en-GB"/>
                    </w:rPr>
                    <w:t>按要求列出具体产品与金额。</w:t>
                  </w:r>
                </w:p>
              </w:tc>
            </w:tr>
          </w:tbl>
          <w:p>
            <w:pPr>
              <w:pStyle w:val="40"/>
              <w:tabs>
                <w:tab w:val="left" w:pos="1260"/>
              </w:tabs>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40"/>
              <w:tabs>
                <w:tab w:val="left" w:pos="1260"/>
              </w:tabs>
              <w:jc w:val="center"/>
              <w:rPr>
                <w:rFonts w:ascii="宋体" w:hAnsi="宋体"/>
                <w:sz w:val="24"/>
                <w:lang w:val="en-GB"/>
              </w:rPr>
            </w:pPr>
          </w:p>
        </w:tc>
        <w:tc>
          <w:tcPr>
            <w:tcW w:w="2679" w:type="dxa"/>
            <w:vAlign w:val="center"/>
          </w:tcPr>
          <w:p>
            <w:pPr>
              <w:pStyle w:val="40"/>
              <w:tabs>
                <w:tab w:val="left" w:pos="1260"/>
              </w:tabs>
              <w:jc w:val="center"/>
              <w:rPr>
                <w:rFonts w:ascii="宋体" w:hAnsi="宋体"/>
                <w:sz w:val="24"/>
                <w:lang w:val="en-GB"/>
              </w:rPr>
            </w:pPr>
            <w:r>
              <w:rPr>
                <w:rFonts w:hint="eastAsia" w:ascii="宋体" w:hAnsi="宋体"/>
                <w:sz w:val="24"/>
                <w:lang w:val="en-GB"/>
              </w:rPr>
              <w:t>产品名称（品牌、型号）</w:t>
            </w:r>
          </w:p>
        </w:tc>
        <w:tc>
          <w:tcPr>
            <w:tcW w:w="3811" w:type="dxa"/>
            <w:vAlign w:val="center"/>
          </w:tcPr>
          <w:p>
            <w:pPr>
              <w:pStyle w:val="40"/>
              <w:tabs>
                <w:tab w:val="left" w:pos="1260"/>
              </w:tabs>
              <w:jc w:val="center"/>
              <w:rPr>
                <w:rFonts w:ascii="宋体" w:hAnsi="宋体"/>
                <w:sz w:val="24"/>
                <w:lang w:val="en-GB"/>
              </w:rPr>
            </w:pPr>
            <w:r>
              <w:rPr>
                <w:rFonts w:hint="eastAsia" w:ascii="宋体" w:hAnsi="宋体"/>
                <w:sz w:val="24"/>
                <w:lang w:val="en-GB"/>
              </w:rPr>
              <w:t>制造企业名称</w:t>
            </w:r>
          </w:p>
        </w:tc>
        <w:tc>
          <w:tcPr>
            <w:tcW w:w="1621" w:type="dxa"/>
            <w:vAlign w:val="center"/>
          </w:tcPr>
          <w:p>
            <w:pPr>
              <w:pStyle w:val="40"/>
              <w:tabs>
                <w:tab w:val="left" w:pos="1260"/>
              </w:tabs>
              <w:jc w:val="center"/>
              <w:rPr>
                <w:rFonts w:ascii="宋体" w:hAnsi="宋体"/>
                <w:sz w:val="24"/>
                <w:lang w:val="en-GB"/>
              </w:rPr>
            </w:pPr>
            <w:r>
              <w:rPr>
                <w:rFonts w:hint="eastAsia" w:ascii="宋体" w:hAnsi="宋体"/>
                <w:sz w:val="24"/>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40"/>
              <w:tabs>
                <w:tab w:val="left" w:pos="1260"/>
              </w:tabs>
              <w:jc w:val="center"/>
              <w:rPr>
                <w:rFonts w:ascii="宋体" w:hAnsi="宋体"/>
                <w:sz w:val="24"/>
                <w:lang w:val="en-GB"/>
              </w:rPr>
            </w:pPr>
          </w:p>
        </w:tc>
        <w:tc>
          <w:tcPr>
            <w:tcW w:w="2679" w:type="dxa"/>
            <w:vAlign w:val="center"/>
          </w:tcPr>
          <w:p>
            <w:pPr>
              <w:pStyle w:val="40"/>
              <w:tabs>
                <w:tab w:val="left" w:pos="1260"/>
              </w:tabs>
              <w:jc w:val="center"/>
              <w:rPr>
                <w:rFonts w:ascii="宋体" w:hAnsi="宋体"/>
                <w:sz w:val="24"/>
                <w:lang w:val="en-GB"/>
              </w:rPr>
            </w:pPr>
          </w:p>
        </w:tc>
        <w:tc>
          <w:tcPr>
            <w:tcW w:w="3811" w:type="dxa"/>
            <w:vAlign w:val="center"/>
          </w:tcPr>
          <w:p>
            <w:pPr>
              <w:pStyle w:val="40"/>
              <w:tabs>
                <w:tab w:val="left" w:pos="1260"/>
              </w:tabs>
              <w:jc w:val="center"/>
              <w:rPr>
                <w:rFonts w:ascii="宋体" w:hAnsi="宋体"/>
                <w:sz w:val="24"/>
                <w:lang w:val="en-GB"/>
              </w:rPr>
            </w:pPr>
          </w:p>
        </w:tc>
        <w:tc>
          <w:tcPr>
            <w:tcW w:w="1621" w:type="dxa"/>
            <w:vAlign w:val="center"/>
          </w:tcPr>
          <w:p>
            <w:pPr>
              <w:pStyle w:val="40"/>
              <w:tabs>
                <w:tab w:val="left" w:pos="1260"/>
              </w:tabs>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40"/>
              <w:tabs>
                <w:tab w:val="left" w:pos="1260"/>
              </w:tabs>
              <w:jc w:val="center"/>
              <w:rPr>
                <w:rFonts w:ascii="宋体" w:hAnsi="宋体"/>
                <w:sz w:val="24"/>
                <w:lang w:val="en-GB"/>
              </w:rPr>
            </w:pPr>
          </w:p>
        </w:tc>
        <w:tc>
          <w:tcPr>
            <w:tcW w:w="2679" w:type="dxa"/>
            <w:vAlign w:val="center"/>
          </w:tcPr>
          <w:p>
            <w:pPr>
              <w:pStyle w:val="40"/>
              <w:tabs>
                <w:tab w:val="left" w:pos="1260"/>
              </w:tabs>
              <w:jc w:val="center"/>
              <w:rPr>
                <w:rFonts w:ascii="宋体" w:hAnsi="宋体"/>
                <w:sz w:val="24"/>
                <w:lang w:val="en-GB"/>
              </w:rPr>
            </w:pPr>
          </w:p>
        </w:tc>
        <w:tc>
          <w:tcPr>
            <w:tcW w:w="3811" w:type="dxa"/>
            <w:vAlign w:val="center"/>
          </w:tcPr>
          <w:p>
            <w:pPr>
              <w:pStyle w:val="40"/>
              <w:tabs>
                <w:tab w:val="left" w:pos="1260"/>
              </w:tabs>
              <w:jc w:val="center"/>
              <w:rPr>
                <w:rFonts w:ascii="宋体" w:hAnsi="宋体"/>
                <w:sz w:val="24"/>
                <w:lang w:val="en-GB"/>
              </w:rPr>
            </w:pPr>
          </w:p>
        </w:tc>
        <w:tc>
          <w:tcPr>
            <w:tcW w:w="1621" w:type="dxa"/>
            <w:vAlign w:val="center"/>
          </w:tcPr>
          <w:p>
            <w:pPr>
              <w:pStyle w:val="40"/>
              <w:tabs>
                <w:tab w:val="left" w:pos="1260"/>
              </w:tabs>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40"/>
              <w:tabs>
                <w:tab w:val="left" w:pos="1260"/>
              </w:tabs>
              <w:jc w:val="center"/>
              <w:rPr>
                <w:rFonts w:ascii="宋体" w:hAnsi="宋体"/>
                <w:sz w:val="24"/>
                <w:lang w:val="en-GB"/>
              </w:rPr>
            </w:pPr>
          </w:p>
        </w:tc>
        <w:tc>
          <w:tcPr>
            <w:tcW w:w="2679" w:type="dxa"/>
            <w:vAlign w:val="center"/>
          </w:tcPr>
          <w:p>
            <w:pPr>
              <w:pStyle w:val="40"/>
              <w:tabs>
                <w:tab w:val="left" w:pos="1260"/>
              </w:tabs>
              <w:jc w:val="center"/>
              <w:rPr>
                <w:rFonts w:ascii="宋体" w:hAnsi="宋体"/>
                <w:sz w:val="24"/>
                <w:lang w:val="en-GB"/>
              </w:rPr>
            </w:pPr>
          </w:p>
        </w:tc>
        <w:tc>
          <w:tcPr>
            <w:tcW w:w="3811" w:type="dxa"/>
            <w:vAlign w:val="center"/>
          </w:tcPr>
          <w:p>
            <w:pPr>
              <w:pStyle w:val="40"/>
              <w:tabs>
                <w:tab w:val="left" w:pos="1260"/>
              </w:tabs>
              <w:jc w:val="center"/>
              <w:rPr>
                <w:rFonts w:ascii="宋体" w:hAnsi="宋体"/>
                <w:sz w:val="24"/>
                <w:lang w:val="en-GB"/>
              </w:rPr>
            </w:pPr>
          </w:p>
        </w:tc>
        <w:tc>
          <w:tcPr>
            <w:tcW w:w="1621" w:type="dxa"/>
            <w:vAlign w:val="center"/>
          </w:tcPr>
          <w:p>
            <w:pPr>
              <w:pStyle w:val="40"/>
              <w:tabs>
                <w:tab w:val="left" w:pos="1260"/>
              </w:tabs>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40"/>
              <w:tabs>
                <w:tab w:val="left" w:pos="1260"/>
              </w:tabs>
              <w:jc w:val="center"/>
              <w:rPr>
                <w:rFonts w:ascii="宋体" w:hAnsi="宋体"/>
                <w:sz w:val="24"/>
                <w:lang w:val="en-GB"/>
              </w:rPr>
            </w:pPr>
          </w:p>
        </w:tc>
        <w:tc>
          <w:tcPr>
            <w:tcW w:w="6490" w:type="dxa"/>
            <w:gridSpan w:val="2"/>
            <w:vAlign w:val="center"/>
          </w:tcPr>
          <w:p>
            <w:pPr>
              <w:pStyle w:val="40"/>
              <w:tabs>
                <w:tab w:val="left" w:pos="1260"/>
              </w:tabs>
              <w:jc w:val="center"/>
              <w:rPr>
                <w:rFonts w:ascii="宋体" w:hAnsi="宋体"/>
                <w:sz w:val="24"/>
                <w:lang w:val="en-GB"/>
              </w:rPr>
            </w:pPr>
            <w:r>
              <w:rPr>
                <w:rFonts w:hint="eastAsia" w:ascii="宋体" w:hAnsi="宋体"/>
                <w:sz w:val="24"/>
              </w:rPr>
              <w:t>小型、微型企业产品</w:t>
            </w:r>
            <w:r>
              <w:rPr>
                <w:rFonts w:hint="eastAsia" w:ascii="宋体" w:hAnsi="宋体"/>
                <w:sz w:val="24"/>
                <w:lang w:val="en-GB"/>
              </w:rPr>
              <w:t>金额合计（元）</w:t>
            </w:r>
          </w:p>
          <w:p/>
        </w:tc>
        <w:tc>
          <w:tcPr>
            <w:tcW w:w="1621" w:type="dxa"/>
            <w:vAlign w:val="center"/>
          </w:tcPr>
          <w:p>
            <w:pPr>
              <w:pStyle w:val="40"/>
              <w:tabs>
                <w:tab w:val="left" w:pos="1260"/>
              </w:tabs>
              <w:jc w:val="center"/>
              <w:rPr>
                <w:rFonts w:ascii="宋体" w:hAnsi="宋体"/>
                <w:sz w:val="24"/>
                <w:lang w:val="en-GB"/>
              </w:rPr>
            </w:pPr>
          </w:p>
        </w:tc>
      </w:tr>
    </w:tbl>
    <w:p>
      <w:pPr>
        <w:pStyle w:val="40"/>
        <w:spacing w:line="360" w:lineRule="auto"/>
        <w:rPr>
          <w:rFonts w:ascii="宋体" w:hAnsi="宋体"/>
          <w:szCs w:val="21"/>
          <w:lang w:val="en-GB"/>
        </w:rPr>
      </w:pPr>
    </w:p>
    <w:p>
      <w:pPr>
        <w:pStyle w:val="40"/>
        <w:spacing w:line="360" w:lineRule="auto"/>
        <w:rPr>
          <w:rFonts w:ascii="宋体" w:hAnsi="宋体"/>
          <w:szCs w:val="21"/>
          <w:lang w:val="en-GB"/>
        </w:rPr>
      </w:pPr>
      <w:r>
        <w:rPr>
          <w:rFonts w:hint="eastAsia" w:ascii="宋体" w:hAnsi="宋体"/>
          <w:szCs w:val="21"/>
          <w:lang w:val="en-GB"/>
        </w:rPr>
        <w:t>填报要求：</w:t>
      </w:r>
    </w:p>
    <w:p>
      <w:pPr>
        <w:pStyle w:val="40"/>
        <w:widowControl/>
        <w:numPr>
          <w:ilvl w:val="0"/>
          <w:numId w:val="15"/>
        </w:numPr>
        <w:spacing w:line="360" w:lineRule="auto"/>
        <w:ind w:right="84" w:rightChars="40"/>
        <w:jc w:val="left"/>
        <w:rPr>
          <w:rFonts w:ascii="宋体" w:hAnsi="宋体"/>
          <w:szCs w:val="21"/>
          <w:lang w:val="en-GB"/>
        </w:rPr>
      </w:pPr>
      <w:r>
        <w:rPr>
          <w:rFonts w:hint="eastAsia" w:ascii="宋体" w:hAnsi="宋体"/>
          <w:szCs w:val="21"/>
          <w:lang w:val="en-GB"/>
        </w:rPr>
        <w:t>本表的产品名称、规格型号和注册商标、金额要与《</w:t>
      </w:r>
      <w:r>
        <w:rPr>
          <w:rFonts w:hint="eastAsia" w:ascii="宋体" w:hAnsi="宋体"/>
          <w:szCs w:val="21"/>
          <w:lang w:val="en-US" w:eastAsia="zh-CN"/>
        </w:rPr>
        <w:t>开标一览表</w:t>
      </w:r>
      <w:r>
        <w:rPr>
          <w:rFonts w:hint="eastAsia" w:ascii="宋体" w:hAnsi="宋体"/>
          <w:szCs w:val="21"/>
          <w:lang w:val="en-GB"/>
        </w:rPr>
        <w:t>》一致。</w:t>
      </w:r>
    </w:p>
    <w:p>
      <w:pPr>
        <w:pStyle w:val="40"/>
        <w:widowControl/>
        <w:numPr>
          <w:ilvl w:val="0"/>
          <w:numId w:val="15"/>
        </w:numPr>
        <w:tabs>
          <w:tab w:val="left" w:pos="360"/>
        </w:tabs>
        <w:spacing w:line="360" w:lineRule="auto"/>
        <w:ind w:left="360" w:right="84" w:rightChars="40" w:hanging="360"/>
        <w:jc w:val="left"/>
        <w:rPr>
          <w:rFonts w:ascii="宋体" w:hAnsi="宋体"/>
          <w:szCs w:val="21"/>
          <w:lang w:val="en-GB"/>
        </w:rPr>
      </w:pPr>
      <w:r>
        <w:rPr>
          <w:rFonts w:hint="eastAsia" w:ascii="宋体" w:hAnsi="宋体"/>
          <w:szCs w:val="21"/>
          <w:lang w:val="en-GB"/>
        </w:rPr>
        <w:t>制造商为小型或微型企业时才需要填“制造商企业类型”栏，填写内容为“小型”或“微型”。</w:t>
      </w:r>
    </w:p>
    <w:p>
      <w:pPr>
        <w:pStyle w:val="40"/>
        <w:widowControl/>
        <w:numPr>
          <w:ilvl w:val="0"/>
          <w:numId w:val="15"/>
        </w:numPr>
        <w:spacing w:line="360" w:lineRule="auto"/>
        <w:ind w:right="84" w:rightChars="40"/>
        <w:jc w:val="left"/>
        <w:rPr>
          <w:rFonts w:ascii="宋体" w:hAnsi="宋体"/>
          <w:szCs w:val="21"/>
          <w:lang w:val="en-GB"/>
        </w:rPr>
      </w:pPr>
      <w:r>
        <w:rPr>
          <w:rFonts w:hint="eastAsia" w:ascii="宋体" w:hAnsi="宋体"/>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w:t>
      </w:r>
      <w:r>
        <w:rPr>
          <w:rFonts w:hint="eastAsia" w:ascii="宋体" w:hAnsi="宋体"/>
          <w:szCs w:val="21"/>
        </w:rPr>
        <w:t>不符产品核</w:t>
      </w:r>
      <w:r>
        <w:rPr>
          <w:rFonts w:hint="eastAsia" w:ascii="宋体" w:hAnsi="宋体"/>
          <w:szCs w:val="21"/>
          <w:lang w:val="en-GB"/>
        </w:rPr>
        <w:t>计金额将不予以享受小微企业扶持政策优惠）。</w:t>
      </w:r>
    </w:p>
    <w:p>
      <w:pPr>
        <w:pStyle w:val="40"/>
        <w:widowControl/>
        <w:numPr>
          <w:ilvl w:val="0"/>
          <w:numId w:val="0"/>
        </w:numPr>
        <w:spacing w:line="360" w:lineRule="auto"/>
        <w:ind w:leftChars="0" w:right="84" w:rightChars="40"/>
        <w:jc w:val="left"/>
        <w:rPr>
          <w:rFonts w:hint="eastAsia" w:ascii="宋体" w:hAnsi="宋体"/>
          <w:szCs w:val="21"/>
          <w:lang w:val="en-GB"/>
        </w:rPr>
      </w:pPr>
    </w:p>
    <w:p>
      <w:pPr>
        <w:pStyle w:val="40"/>
        <w:widowControl/>
        <w:numPr>
          <w:ilvl w:val="0"/>
          <w:numId w:val="0"/>
        </w:numPr>
        <w:spacing w:line="360" w:lineRule="auto"/>
        <w:ind w:leftChars="0" w:right="84" w:rightChars="40"/>
        <w:jc w:val="left"/>
        <w:rPr>
          <w:rFonts w:hint="eastAsia" w:ascii="宋体" w:hAnsi="宋体"/>
          <w:szCs w:val="21"/>
          <w:lang w:val="en-GB"/>
        </w:rPr>
      </w:pPr>
    </w:p>
    <w:p>
      <w:pPr>
        <w:keepNext w:val="0"/>
        <w:keepLines w:val="0"/>
        <w:pageBreakBefore w:val="0"/>
        <w:widowControl w:val="0"/>
        <w:kinsoku/>
        <w:wordWrap/>
        <w:overflowPunct/>
        <w:topLinePunct w:val="0"/>
        <w:bidi w:val="0"/>
        <w:snapToGrid/>
        <w:spacing w:line="360" w:lineRule="auto"/>
        <w:ind w:left="420"/>
        <w:textAlignment w:val="auto"/>
        <w:outlineLvl w:val="9"/>
        <w:rPr>
          <w:rFonts w:hint="eastAsia" w:asciiTheme="majorEastAsia" w:hAnsiTheme="majorEastAsia" w:eastAsiaTheme="majorEastAsia" w:cstheme="majorEastAsia"/>
          <w:sz w:val="24"/>
          <w:szCs w:val="24"/>
          <w:u w:val="single"/>
          <w:shd w:val="clear" w:color="auto" w:fill="auto"/>
        </w:rPr>
      </w:pPr>
      <w:r>
        <w:rPr>
          <w:rFonts w:hint="eastAsia" w:asciiTheme="majorEastAsia" w:hAnsiTheme="majorEastAsia" w:eastAsiaTheme="majorEastAsia" w:cstheme="majorEastAsia"/>
          <w:sz w:val="24"/>
          <w:szCs w:val="24"/>
          <w:shd w:val="clear" w:color="auto" w:fill="auto"/>
        </w:rPr>
        <w:t>投标人名称（盖章）：</w:t>
      </w:r>
      <w:r>
        <w:rPr>
          <w:rFonts w:hint="eastAsia" w:asciiTheme="majorEastAsia" w:hAnsiTheme="majorEastAsia" w:eastAsiaTheme="majorEastAsia" w:cstheme="majorEastAsia"/>
          <w:sz w:val="24"/>
          <w:szCs w:val="24"/>
          <w:u w:val="single"/>
          <w:shd w:val="clear" w:color="auto" w:fill="auto"/>
        </w:rPr>
        <w:t xml:space="preserve">                      </w:t>
      </w:r>
    </w:p>
    <w:p>
      <w:pPr>
        <w:keepNext w:val="0"/>
        <w:keepLines w:val="0"/>
        <w:pageBreakBefore w:val="0"/>
        <w:widowControl w:val="0"/>
        <w:kinsoku/>
        <w:wordWrap/>
        <w:overflowPunct/>
        <w:topLinePunct w:val="0"/>
        <w:bidi w:val="0"/>
        <w:snapToGrid/>
        <w:spacing w:line="360" w:lineRule="auto"/>
        <w:ind w:firstLine="435"/>
        <w:textAlignment w:val="auto"/>
        <w:outlineLvl w:val="9"/>
        <w:rPr>
          <w:rFonts w:hint="eastAsia" w:asciiTheme="majorEastAsia" w:hAnsiTheme="majorEastAsia" w:eastAsiaTheme="majorEastAsia" w:cstheme="majorEastAsia"/>
          <w:sz w:val="24"/>
          <w:szCs w:val="24"/>
          <w:shd w:val="clear" w:color="auto" w:fill="auto"/>
        </w:rPr>
      </w:pPr>
      <w:r>
        <w:rPr>
          <w:rFonts w:hint="eastAsia" w:asciiTheme="majorEastAsia" w:hAnsiTheme="majorEastAsia" w:eastAsiaTheme="majorEastAsia" w:cstheme="majorEastAsia"/>
          <w:sz w:val="24"/>
          <w:szCs w:val="24"/>
          <w:shd w:val="clear" w:color="auto" w:fill="auto"/>
          <w:lang w:eastAsia="zh-CN"/>
        </w:rPr>
        <w:t>授权委托人</w:t>
      </w:r>
      <w:r>
        <w:rPr>
          <w:rFonts w:hint="eastAsia" w:asciiTheme="majorEastAsia" w:hAnsiTheme="majorEastAsia" w:eastAsiaTheme="majorEastAsia" w:cstheme="majorEastAsia"/>
          <w:sz w:val="24"/>
          <w:szCs w:val="24"/>
          <w:shd w:val="clear" w:color="auto" w:fill="auto"/>
        </w:rPr>
        <w:t>签字：</w:t>
      </w:r>
      <w:r>
        <w:rPr>
          <w:rFonts w:hint="eastAsia" w:asciiTheme="majorEastAsia" w:hAnsiTheme="majorEastAsia" w:eastAsiaTheme="majorEastAsia" w:cstheme="majorEastAsia"/>
          <w:sz w:val="24"/>
          <w:szCs w:val="24"/>
          <w:u w:val="single"/>
          <w:shd w:val="clear" w:color="auto" w:fill="auto"/>
        </w:rPr>
        <w:t xml:space="preserve">                         </w:t>
      </w:r>
    </w:p>
    <w:p>
      <w:pPr>
        <w:keepNext w:val="0"/>
        <w:keepLines w:val="0"/>
        <w:pageBreakBefore w:val="0"/>
        <w:widowControl w:val="0"/>
        <w:kinsoku/>
        <w:wordWrap/>
        <w:overflowPunct/>
        <w:topLinePunct w:val="0"/>
        <w:bidi w:val="0"/>
        <w:snapToGrid/>
        <w:spacing w:line="360" w:lineRule="auto"/>
        <w:ind w:firstLine="435"/>
        <w:textAlignment w:val="auto"/>
        <w:outlineLvl w:val="9"/>
        <w:rPr>
          <w:rFonts w:hint="eastAsia" w:asciiTheme="majorEastAsia" w:hAnsiTheme="majorEastAsia" w:eastAsiaTheme="majorEastAsia" w:cstheme="majorEastAsia"/>
          <w:sz w:val="24"/>
          <w:szCs w:val="24"/>
          <w:shd w:val="clear" w:color="auto" w:fill="auto"/>
        </w:rPr>
      </w:pPr>
      <w:r>
        <w:rPr>
          <w:rFonts w:hint="eastAsia" w:asciiTheme="majorEastAsia" w:hAnsiTheme="majorEastAsia" w:eastAsiaTheme="majorEastAsia" w:cstheme="majorEastAsia"/>
          <w:sz w:val="24"/>
          <w:szCs w:val="24"/>
          <w:shd w:val="clear" w:color="auto" w:fill="auto"/>
        </w:rPr>
        <w:t>职        务：</w:t>
      </w:r>
      <w:r>
        <w:rPr>
          <w:rFonts w:hint="eastAsia" w:asciiTheme="majorEastAsia" w:hAnsiTheme="majorEastAsia" w:eastAsiaTheme="majorEastAsia" w:cstheme="majorEastAsia"/>
          <w:sz w:val="24"/>
          <w:szCs w:val="24"/>
          <w:u w:val="single"/>
          <w:shd w:val="clear" w:color="auto" w:fill="auto"/>
        </w:rPr>
        <w:t xml:space="preserve">                           </w:t>
      </w:r>
    </w:p>
    <w:p>
      <w:pPr>
        <w:keepNext w:val="0"/>
        <w:keepLines w:val="0"/>
        <w:pageBreakBefore w:val="0"/>
        <w:widowControl w:val="0"/>
        <w:kinsoku/>
        <w:wordWrap/>
        <w:overflowPunct/>
        <w:topLinePunct w:val="0"/>
        <w:bidi w:val="0"/>
        <w:snapToGrid/>
        <w:spacing w:line="360" w:lineRule="auto"/>
        <w:ind w:firstLine="435"/>
        <w:textAlignment w:val="auto"/>
        <w:outlineLvl w:val="9"/>
        <w:rPr>
          <w:rFonts w:hint="eastAsia" w:asciiTheme="majorEastAsia" w:hAnsiTheme="majorEastAsia" w:eastAsiaTheme="majorEastAsia" w:cstheme="majorEastAsia"/>
          <w:sz w:val="24"/>
          <w:szCs w:val="24"/>
          <w:shd w:val="clear" w:color="auto" w:fill="auto"/>
        </w:rPr>
      </w:pPr>
      <w:r>
        <w:rPr>
          <w:rFonts w:hint="eastAsia" w:asciiTheme="majorEastAsia" w:hAnsiTheme="majorEastAsia" w:eastAsiaTheme="majorEastAsia" w:cstheme="majorEastAsia"/>
          <w:sz w:val="24"/>
          <w:szCs w:val="24"/>
          <w:shd w:val="clear" w:color="auto" w:fill="auto"/>
        </w:rPr>
        <w:t>日        期：</w:t>
      </w:r>
      <w:r>
        <w:rPr>
          <w:rFonts w:hint="eastAsia" w:asciiTheme="majorEastAsia" w:hAnsiTheme="majorEastAsia" w:eastAsiaTheme="majorEastAsia" w:cstheme="majorEastAsia"/>
          <w:sz w:val="24"/>
          <w:szCs w:val="24"/>
          <w:u w:val="single"/>
          <w:shd w:val="clear" w:color="auto" w:fill="auto"/>
        </w:rPr>
        <w:t xml:space="preserve">                            </w:t>
      </w:r>
    </w:p>
    <w:p>
      <w:pPr>
        <w:pStyle w:val="40"/>
        <w:widowControl/>
        <w:numPr>
          <w:ilvl w:val="0"/>
          <w:numId w:val="0"/>
        </w:numPr>
        <w:spacing w:line="360" w:lineRule="auto"/>
        <w:ind w:leftChars="0" w:right="84" w:rightChars="40"/>
        <w:jc w:val="left"/>
        <w:rPr>
          <w:rFonts w:hint="eastAsia" w:ascii="宋体" w:hAnsi="宋体"/>
          <w:szCs w:val="21"/>
          <w:lang w:val="en-GB"/>
        </w:rPr>
      </w:pPr>
    </w:p>
    <w:p>
      <w:pPr>
        <w:snapToGrid w:val="0"/>
        <w:spacing w:line="360" w:lineRule="auto"/>
        <w:ind w:firstLine="480" w:firstLineChars="200"/>
        <w:jc w:val="left"/>
        <w:rPr>
          <w:rFonts w:asciiTheme="minorEastAsia" w:hAnsiTheme="minorEastAsia" w:eastAsiaTheme="minorEastAsia"/>
          <w:sz w:val="24"/>
        </w:rPr>
      </w:pPr>
    </w:p>
    <w:p/>
    <w:p/>
    <w:p>
      <w:pPr>
        <w:rPr>
          <w:color w:val="auto"/>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lang w:val="en-US" w:eastAsia="zh-CN"/>
        <w14:textFill>
          <w14:solidFill>
            <w14:schemeClr w14:val="tx1"/>
          </w14:solidFill>
        </w14:textFill>
      </w:rPr>
      <w:t>台州</w:t>
    </w:r>
    <w:r>
      <w:rPr>
        <w:rFonts w:hint="eastAsia"/>
        <w:b/>
        <w:i/>
        <w:color w:val="000000" w:themeColor="text1"/>
        <w:kern w:val="0"/>
        <w:sz w:val="18"/>
        <w:u w:val="single"/>
        <w14:textFill>
          <w14:solidFill>
            <w14:schemeClr w14:val="tx1"/>
          </w14:solidFill>
        </w14:textFill>
      </w:rPr>
      <w:t xml:space="preserve">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18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95CFA382"/>
    <w:multiLevelType w:val="singleLevel"/>
    <w:tmpl w:val="95CFA382"/>
    <w:lvl w:ilvl="0" w:tentative="0">
      <w:start w:val="1"/>
      <w:numFmt w:val="decimal"/>
      <w:suff w:val="nothing"/>
      <w:lvlText w:val="%1、"/>
      <w:lvlJc w:val="left"/>
    </w:lvl>
  </w:abstractNum>
  <w:abstractNum w:abstractNumId="2">
    <w:nsid w:val="ACB7FADE"/>
    <w:multiLevelType w:val="singleLevel"/>
    <w:tmpl w:val="ACB7FADE"/>
    <w:lvl w:ilvl="0" w:tentative="0">
      <w:start w:val="5"/>
      <w:numFmt w:val="decimal"/>
      <w:suff w:val="nothing"/>
      <w:lvlText w:val="（%1）"/>
      <w:lvlJc w:val="left"/>
    </w:lvl>
  </w:abstractNum>
  <w:abstractNum w:abstractNumId="3">
    <w:nsid w:val="AE2D8F7B"/>
    <w:multiLevelType w:val="singleLevel"/>
    <w:tmpl w:val="AE2D8F7B"/>
    <w:lvl w:ilvl="0" w:tentative="0">
      <w:start w:val="1"/>
      <w:numFmt w:val="decimal"/>
      <w:pStyle w:val="8"/>
      <w:lvlText w:val="%1."/>
      <w:lvlJc w:val="left"/>
      <w:pPr>
        <w:tabs>
          <w:tab w:val="left" w:pos="360"/>
        </w:tabs>
        <w:ind w:left="360" w:hanging="360"/>
      </w:pPr>
    </w:lvl>
  </w:abstractNum>
  <w:abstractNum w:abstractNumId="4">
    <w:nsid w:val="C8A3F0D0"/>
    <w:multiLevelType w:val="singleLevel"/>
    <w:tmpl w:val="C8A3F0D0"/>
    <w:lvl w:ilvl="0" w:tentative="0">
      <w:start w:val="2"/>
      <w:numFmt w:val="chineseCounting"/>
      <w:suff w:val="nothing"/>
      <w:lvlText w:val="（%1）"/>
      <w:lvlJc w:val="left"/>
      <w:pPr>
        <w:ind w:left="210" w:firstLine="0"/>
      </w:pPr>
      <w:rPr>
        <w:rFonts w:hint="eastAsia"/>
      </w:rPr>
    </w:lvl>
  </w:abstractNum>
  <w:abstractNum w:abstractNumId="5">
    <w:nsid w:val="E9CBAF48"/>
    <w:multiLevelType w:val="singleLevel"/>
    <w:tmpl w:val="E9CBAF48"/>
    <w:lvl w:ilvl="0" w:tentative="0">
      <w:start w:val="1"/>
      <w:numFmt w:val="decimal"/>
      <w:suff w:val="nothing"/>
      <w:lvlText w:val="（%1）"/>
      <w:lvlJc w:val="left"/>
    </w:lvl>
  </w:abstractNum>
  <w:abstractNum w:abstractNumId="6">
    <w:nsid w:val="EEAFAC12"/>
    <w:multiLevelType w:val="singleLevel"/>
    <w:tmpl w:val="EEAFAC12"/>
    <w:lvl w:ilvl="0" w:tentative="0">
      <w:start w:val="12"/>
      <w:numFmt w:val="decimal"/>
      <w:suff w:val="nothing"/>
      <w:lvlText w:val="%1、"/>
      <w:lvlJc w:val="left"/>
      <w:pPr>
        <w:ind w:left="-60"/>
      </w:pPr>
    </w:lvl>
  </w:abstractNum>
  <w:abstractNum w:abstractNumId="7">
    <w:nsid w:val="023419C9"/>
    <w:multiLevelType w:val="singleLevel"/>
    <w:tmpl w:val="023419C9"/>
    <w:lvl w:ilvl="0" w:tentative="0">
      <w:start w:val="2"/>
      <w:numFmt w:val="decimal"/>
      <w:suff w:val="nothing"/>
      <w:lvlText w:val="%1、"/>
      <w:lvlJc w:val="left"/>
    </w:lvl>
  </w:abstractNum>
  <w:abstractNum w:abstractNumId="8">
    <w:nsid w:val="461E5E94"/>
    <w:multiLevelType w:val="singleLevel"/>
    <w:tmpl w:val="461E5E94"/>
    <w:lvl w:ilvl="0" w:tentative="0">
      <w:start w:val="2"/>
      <w:numFmt w:val="chineseCounting"/>
      <w:suff w:val="space"/>
      <w:lvlText w:val="第%1章"/>
      <w:lvlJc w:val="left"/>
      <w:rPr>
        <w:rFonts w:hint="eastAsia"/>
      </w:rPr>
    </w:lvl>
  </w:abstractNum>
  <w:abstractNum w:abstractNumId="9">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10">
    <w:nsid w:val="50168B74"/>
    <w:multiLevelType w:val="singleLevel"/>
    <w:tmpl w:val="50168B74"/>
    <w:lvl w:ilvl="0" w:tentative="0">
      <w:start w:val="2"/>
      <w:numFmt w:val="chineseCounting"/>
      <w:suff w:val="nothing"/>
      <w:lvlText w:val="%1、"/>
      <w:lvlJc w:val="left"/>
      <w:rPr>
        <w:rFonts w:hint="eastAsia"/>
      </w:rPr>
    </w:lvl>
  </w:abstractNum>
  <w:abstractNum w:abstractNumId="11">
    <w:nsid w:val="53F985B4"/>
    <w:multiLevelType w:val="singleLevel"/>
    <w:tmpl w:val="53F985B4"/>
    <w:lvl w:ilvl="0" w:tentative="0">
      <w:start w:val="1"/>
      <w:numFmt w:val="decimal"/>
      <w:lvlText w:val="%1."/>
      <w:lvlJc w:val="left"/>
      <w:pPr>
        <w:tabs>
          <w:tab w:val="left" w:pos="312"/>
        </w:tabs>
      </w:pPr>
    </w:lvl>
  </w:abstractNum>
  <w:abstractNum w:abstractNumId="12">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3">
    <w:nsid w:val="66DDD653"/>
    <w:multiLevelType w:val="singleLevel"/>
    <w:tmpl w:val="66DDD653"/>
    <w:lvl w:ilvl="0" w:tentative="0">
      <w:start w:val="1"/>
      <w:numFmt w:val="chineseCounting"/>
      <w:suff w:val="space"/>
      <w:lvlText w:val="第%1章"/>
      <w:lvlJc w:val="left"/>
      <w:rPr>
        <w:rFonts w:hint="eastAsia"/>
      </w:rPr>
    </w:lvl>
  </w:abstractNum>
  <w:abstractNum w:abstractNumId="14">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num w:numId="1">
    <w:abstractNumId w:val="12"/>
  </w:num>
  <w:num w:numId="2">
    <w:abstractNumId w:val="3"/>
  </w:num>
  <w:num w:numId="3">
    <w:abstractNumId w:val="9"/>
  </w:num>
  <w:num w:numId="4">
    <w:abstractNumId w:val="13"/>
  </w:num>
  <w:num w:numId="5">
    <w:abstractNumId w:val="8"/>
  </w:num>
  <w:num w:numId="6">
    <w:abstractNumId w:val="4"/>
  </w:num>
  <w:num w:numId="7">
    <w:abstractNumId w:val="5"/>
  </w:num>
  <w:num w:numId="8">
    <w:abstractNumId w:val="7"/>
  </w:num>
  <w:num w:numId="9">
    <w:abstractNumId w:val="6"/>
  </w:num>
  <w:num w:numId="10">
    <w:abstractNumId w:val="10"/>
  </w:num>
  <w:num w:numId="11">
    <w:abstractNumId w:val="2"/>
  </w:num>
  <w:num w:numId="12">
    <w:abstractNumId w:val="0"/>
  </w:num>
  <w:num w:numId="13">
    <w:abstractNumId w:val="1"/>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970358"/>
    <w:rsid w:val="0006294D"/>
    <w:rsid w:val="00062AB3"/>
    <w:rsid w:val="000B6EB6"/>
    <w:rsid w:val="000D4942"/>
    <w:rsid w:val="00107BF6"/>
    <w:rsid w:val="00165F2A"/>
    <w:rsid w:val="001B5BCA"/>
    <w:rsid w:val="00201D62"/>
    <w:rsid w:val="0021318F"/>
    <w:rsid w:val="002A1620"/>
    <w:rsid w:val="002D7F8A"/>
    <w:rsid w:val="003102FB"/>
    <w:rsid w:val="00332E30"/>
    <w:rsid w:val="003C5E00"/>
    <w:rsid w:val="003F595C"/>
    <w:rsid w:val="003F78E0"/>
    <w:rsid w:val="0043046A"/>
    <w:rsid w:val="00441FAE"/>
    <w:rsid w:val="00446CEF"/>
    <w:rsid w:val="00482879"/>
    <w:rsid w:val="00491BDF"/>
    <w:rsid w:val="004B4165"/>
    <w:rsid w:val="00527EFD"/>
    <w:rsid w:val="00616E31"/>
    <w:rsid w:val="00655E3C"/>
    <w:rsid w:val="00674C42"/>
    <w:rsid w:val="006F4DFE"/>
    <w:rsid w:val="007A2629"/>
    <w:rsid w:val="007C1005"/>
    <w:rsid w:val="00802325"/>
    <w:rsid w:val="00847BE5"/>
    <w:rsid w:val="0088066B"/>
    <w:rsid w:val="00901D6C"/>
    <w:rsid w:val="00912983"/>
    <w:rsid w:val="00934C69"/>
    <w:rsid w:val="009875E3"/>
    <w:rsid w:val="009B3E22"/>
    <w:rsid w:val="009F3459"/>
    <w:rsid w:val="00A05DA7"/>
    <w:rsid w:val="00A30B75"/>
    <w:rsid w:val="00A730CA"/>
    <w:rsid w:val="00BA25A5"/>
    <w:rsid w:val="00BB201C"/>
    <w:rsid w:val="00C376DF"/>
    <w:rsid w:val="00C52E14"/>
    <w:rsid w:val="00C767D4"/>
    <w:rsid w:val="00CC232E"/>
    <w:rsid w:val="00CD1804"/>
    <w:rsid w:val="00D559AE"/>
    <w:rsid w:val="00DF7014"/>
    <w:rsid w:val="00E319E7"/>
    <w:rsid w:val="00EF2797"/>
    <w:rsid w:val="00F127FF"/>
    <w:rsid w:val="0118771F"/>
    <w:rsid w:val="014011E2"/>
    <w:rsid w:val="01935887"/>
    <w:rsid w:val="01A82F36"/>
    <w:rsid w:val="01AD7B32"/>
    <w:rsid w:val="01BD7005"/>
    <w:rsid w:val="01D435FB"/>
    <w:rsid w:val="01ED7D22"/>
    <w:rsid w:val="023B4212"/>
    <w:rsid w:val="027638E8"/>
    <w:rsid w:val="02782E93"/>
    <w:rsid w:val="02945C00"/>
    <w:rsid w:val="030D5E47"/>
    <w:rsid w:val="0311374C"/>
    <w:rsid w:val="0336696D"/>
    <w:rsid w:val="034628D3"/>
    <w:rsid w:val="035F6A7D"/>
    <w:rsid w:val="03975E79"/>
    <w:rsid w:val="04162490"/>
    <w:rsid w:val="041C127C"/>
    <w:rsid w:val="044405B7"/>
    <w:rsid w:val="0470673A"/>
    <w:rsid w:val="04A33DD1"/>
    <w:rsid w:val="04CC341D"/>
    <w:rsid w:val="05137CD7"/>
    <w:rsid w:val="05855436"/>
    <w:rsid w:val="058E2529"/>
    <w:rsid w:val="05A50164"/>
    <w:rsid w:val="05B43C6D"/>
    <w:rsid w:val="05D92A57"/>
    <w:rsid w:val="05DD68BD"/>
    <w:rsid w:val="05E70F70"/>
    <w:rsid w:val="05EA7A8F"/>
    <w:rsid w:val="05F50E9D"/>
    <w:rsid w:val="060B26E0"/>
    <w:rsid w:val="0675689F"/>
    <w:rsid w:val="067C192C"/>
    <w:rsid w:val="068F0380"/>
    <w:rsid w:val="06D52D47"/>
    <w:rsid w:val="06E40CB7"/>
    <w:rsid w:val="070122F0"/>
    <w:rsid w:val="075E4944"/>
    <w:rsid w:val="075F7318"/>
    <w:rsid w:val="079C4ADE"/>
    <w:rsid w:val="07BD0726"/>
    <w:rsid w:val="07FC1B3E"/>
    <w:rsid w:val="080F2FE4"/>
    <w:rsid w:val="084F68CB"/>
    <w:rsid w:val="085A1BE1"/>
    <w:rsid w:val="086A431A"/>
    <w:rsid w:val="08904514"/>
    <w:rsid w:val="08A9367B"/>
    <w:rsid w:val="08B37ED2"/>
    <w:rsid w:val="08D86E72"/>
    <w:rsid w:val="093D06B0"/>
    <w:rsid w:val="098951A5"/>
    <w:rsid w:val="09DC400A"/>
    <w:rsid w:val="0A096EBC"/>
    <w:rsid w:val="0A1357D4"/>
    <w:rsid w:val="0A3B11A3"/>
    <w:rsid w:val="0A4B72BB"/>
    <w:rsid w:val="0A6A2A5E"/>
    <w:rsid w:val="0AB2466D"/>
    <w:rsid w:val="0AB66338"/>
    <w:rsid w:val="0AE67587"/>
    <w:rsid w:val="0B34232A"/>
    <w:rsid w:val="0B3A4CFE"/>
    <w:rsid w:val="0B631F3C"/>
    <w:rsid w:val="0BB96227"/>
    <w:rsid w:val="0BCA1551"/>
    <w:rsid w:val="0BF02F5F"/>
    <w:rsid w:val="0C1205E8"/>
    <w:rsid w:val="0C1E2BA0"/>
    <w:rsid w:val="0C21217E"/>
    <w:rsid w:val="0C240CE5"/>
    <w:rsid w:val="0C3F6D5B"/>
    <w:rsid w:val="0C765CB2"/>
    <w:rsid w:val="0CDA4F6D"/>
    <w:rsid w:val="0CDF43DD"/>
    <w:rsid w:val="0CFB3563"/>
    <w:rsid w:val="0D0475F6"/>
    <w:rsid w:val="0D373669"/>
    <w:rsid w:val="0D764E12"/>
    <w:rsid w:val="0D7D3EC3"/>
    <w:rsid w:val="0D937226"/>
    <w:rsid w:val="0DEB19AF"/>
    <w:rsid w:val="0E2D7F14"/>
    <w:rsid w:val="0E3627D0"/>
    <w:rsid w:val="0E422197"/>
    <w:rsid w:val="0E615169"/>
    <w:rsid w:val="0E970358"/>
    <w:rsid w:val="0EAE4C53"/>
    <w:rsid w:val="0EBA70AE"/>
    <w:rsid w:val="0ECC7A1A"/>
    <w:rsid w:val="0EDE4D61"/>
    <w:rsid w:val="0EF27825"/>
    <w:rsid w:val="0F1747D0"/>
    <w:rsid w:val="0F361AD2"/>
    <w:rsid w:val="0F766D8E"/>
    <w:rsid w:val="0F884221"/>
    <w:rsid w:val="0FEA710D"/>
    <w:rsid w:val="101355CD"/>
    <w:rsid w:val="10392EAE"/>
    <w:rsid w:val="106C2B22"/>
    <w:rsid w:val="10706EC2"/>
    <w:rsid w:val="10801E69"/>
    <w:rsid w:val="10A11DDD"/>
    <w:rsid w:val="10A4463E"/>
    <w:rsid w:val="10E94F29"/>
    <w:rsid w:val="11394306"/>
    <w:rsid w:val="11405A21"/>
    <w:rsid w:val="115E5333"/>
    <w:rsid w:val="117C1E77"/>
    <w:rsid w:val="119E054E"/>
    <w:rsid w:val="11E338D3"/>
    <w:rsid w:val="1224063D"/>
    <w:rsid w:val="12807280"/>
    <w:rsid w:val="13030129"/>
    <w:rsid w:val="13215400"/>
    <w:rsid w:val="134F3708"/>
    <w:rsid w:val="138B2D26"/>
    <w:rsid w:val="13A13753"/>
    <w:rsid w:val="13A81874"/>
    <w:rsid w:val="13C77E0B"/>
    <w:rsid w:val="13CB2484"/>
    <w:rsid w:val="14093B52"/>
    <w:rsid w:val="141C7045"/>
    <w:rsid w:val="14821B06"/>
    <w:rsid w:val="148463E6"/>
    <w:rsid w:val="14972906"/>
    <w:rsid w:val="14B71FA9"/>
    <w:rsid w:val="14D20D9B"/>
    <w:rsid w:val="14E73786"/>
    <w:rsid w:val="150E601B"/>
    <w:rsid w:val="150F63E9"/>
    <w:rsid w:val="15170D44"/>
    <w:rsid w:val="15771668"/>
    <w:rsid w:val="15901FEA"/>
    <w:rsid w:val="159077C1"/>
    <w:rsid w:val="15A72BED"/>
    <w:rsid w:val="15B03AAF"/>
    <w:rsid w:val="15CF7A2F"/>
    <w:rsid w:val="1608185A"/>
    <w:rsid w:val="1621170E"/>
    <w:rsid w:val="16332332"/>
    <w:rsid w:val="16743AA7"/>
    <w:rsid w:val="16A71BB1"/>
    <w:rsid w:val="16F23890"/>
    <w:rsid w:val="17200067"/>
    <w:rsid w:val="175F2BE6"/>
    <w:rsid w:val="176F5589"/>
    <w:rsid w:val="177A072A"/>
    <w:rsid w:val="17A8137B"/>
    <w:rsid w:val="17AA759A"/>
    <w:rsid w:val="17B4164A"/>
    <w:rsid w:val="17C4052C"/>
    <w:rsid w:val="17C86B7D"/>
    <w:rsid w:val="17E13854"/>
    <w:rsid w:val="17F032A2"/>
    <w:rsid w:val="18531096"/>
    <w:rsid w:val="18593EEB"/>
    <w:rsid w:val="18B91D2B"/>
    <w:rsid w:val="18BC2176"/>
    <w:rsid w:val="18BD0806"/>
    <w:rsid w:val="18C40414"/>
    <w:rsid w:val="191C4FE8"/>
    <w:rsid w:val="192720E3"/>
    <w:rsid w:val="19584E18"/>
    <w:rsid w:val="198620BB"/>
    <w:rsid w:val="19DE4711"/>
    <w:rsid w:val="19F1626B"/>
    <w:rsid w:val="1A604B05"/>
    <w:rsid w:val="1A6A6D44"/>
    <w:rsid w:val="1A817123"/>
    <w:rsid w:val="1AFB0E51"/>
    <w:rsid w:val="1B133C8C"/>
    <w:rsid w:val="1B4C0B5A"/>
    <w:rsid w:val="1B595DCE"/>
    <w:rsid w:val="1BE82792"/>
    <w:rsid w:val="1C093ECB"/>
    <w:rsid w:val="1C9B76A0"/>
    <w:rsid w:val="1CDD0584"/>
    <w:rsid w:val="1CE4433A"/>
    <w:rsid w:val="1CF666F0"/>
    <w:rsid w:val="1D4B5507"/>
    <w:rsid w:val="1D54609B"/>
    <w:rsid w:val="1D561465"/>
    <w:rsid w:val="1DA31ABA"/>
    <w:rsid w:val="1DA8229F"/>
    <w:rsid w:val="1DEB7E6D"/>
    <w:rsid w:val="1E0E2DF3"/>
    <w:rsid w:val="1E0F1FD7"/>
    <w:rsid w:val="1E2018BE"/>
    <w:rsid w:val="1E6A78CD"/>
    <w:rsid w:val="1E9001D9"/>
    <w:rsid w:val="1EA30B4C"/>
    <w:rsid w:val="1EA47357"/>
    <w:rsid w:val="1EE84AA8"/>
    <w:rsid w:val="1EF60959"/>
    <w:rsid w:val="1F5B1BF0"/>
    <w:rsid w:val="1F6E52A2"/>
    <w:rsid w:val="1F735B62"/>
    <w:rsid w:val="1FA87FC1"/>
    <w:rsid w:val="1FB549C6"/>
    <w:rsid w:val="1FB57D4D"/>
    <w:rsid w:val="1FC80796"/>
    <w:rsid w:val="204A1E13"/>
    <w:rsid w:val="209025EE"/>
    <w:rsid w:val="20AE3204"/>
    <w:rsid w:val="20D40F99"/>
    <w:rsid w:val="20D50165"/>
    <w:rsid w:val="2110521B"/>
    <w:rsid w:val="214624ED"/>
    <w:rsid w:val="215819F6"/>
    <w:rsid w:val="218D4481"/>
    <w:rsid w:val="21FA01A1"/>
    <w:rsid w:val="221D5E85"/>
    <w:rsid w:val="222C1CC0"/>
    <w:rsid w:val="222E2931"/>
    <w:rsid w:val="22484E58"/>
    <w:rsid w:val="227C0DCD"/>
    <w:rsid w:val="228447E5"/>
    <w:rsid w:val="23422BB0"/>
    <w:rsid w:val="23424F53"/>
    <w:rsid w:val="234A5F84"/>
    <w:rsid w:val="23582408"/>
    <w:rsid w:val="23660707"/>
    <w:rsid w:val="236E14E2"/>
    <w:rsid w:val="237D0FC2"/>
    <w:rsid w:val="238F7DCE"/>
    <w:rsid w:val="23970167"/>
    <w:rsid w:val="24244D92"/>
    <w:rsid w:val="24296133"/>
    <w:rsid w:val="242F631F"/>
    <w:rsid w:val="244E66FF"/>
    <w:rsid w:val="24577DE4"/>
    <w:rsid w:val="24783194"/>
    <w:rsid w:val="24CE3BAF"/>
    <w:rsid w:val="24D92305"/>
    <w:rsid w:val="24D96B70"/>
    <w:rsid w:val="24E21308"/>
    <w:rsid w:val="2519505F"/>
    <w:rsid w:val="25671AF5"/>
    <w:rsid w:val="25821982"/>
    <w:rsid w:val="25A242DE"/>
    <w:rsid w:val="25D60AD2"/>
    <w:rsid w:val="25D65461"/>
    <w:rsid w:val="25E3371B"/>
    <w:rsid w:val="25E76D27"/>
    <w:rsid w:val="261F0C17"/>
    <w:rsid w:val="26233BFC"/>
    <w:rsid w:val="266B421D"/>
    <w:rsid w:val="267252A4"/>
    <w:rsid w:val="268400FD"/>
    <w:rsid w:val="26C62E0C"/>
    <w:rsid w:val="26CA6350"/>
    <w:rsid w:val="26CE19BE"/>
    <w:rsid w:val="26E00FED"/>
    <w:rsid w:val="27117EDE"/>
    <w:rsid w:val="277045E3"/>
    <w:rsid w:val="27731F31"/>
    <w:rsid w:val="27A7080A"/>
    <w:rsid w:val="28546E15"/>
    <w:rsid w:val="289E691E"/>
    <w:rsid w:val="28EE1F1A"/>
    <w:rsid w:val="295802C0"/>
    <w:rsid w:val="29AA77D6"/>
    <w:rsid w:val="29BB5D7A"/>
    <w:rsid w:val="29C57527"/>
    <w:rsid w:val="29C857FB"/>
    <w:rsid w:val="29D148D0"/>
    <w:rsid w:val="29EA37EA"/>
    <w:rsid w:val="2A492AF2"/>
    <w:rsid w:val="2A703A89"/>
    <w:rsid w:val="2A7C3B5D"/>
    <w:rsid w:val="2AB76578"/>
    <w:rsid w:val="2AC62BEA"/>
    <w:rsid w:val="2AC803DC"/>
    <w:rsid w:val="2AF9481A"/>
    <w:rsid w:val="2AFE711F"/>
    <w:rsid w:val="2B00287F"/>
    <w:rsid w:val="2B071159"/>
    <w:rsid w:val="2B092FB2"/>
    <w:rsid w:val="2B1023C9"/>
    <w:rsid w:val="2B9C69B1"/>
    <w:rsid w:val="2BA2013E"/>
    <w:rsid w:val="2BC417BC"/>
    <w:rsid w:val="2BE766BB"/>
    <w:rsid w:val="2C0A7A1A"/>
    <w:rsid w:val="2C1C4D2D"/>
    <w:rsid w:val="2C5222A1"/>
    <w:rsid w:val="2CA6260C"/>
    <w:rsid w:val="2CB108D7"/>
    <w:rsid w:val="2CB40E56"/>
    <w:rsid w:val="2CDA24DC"/>
    <w:rsid w:val="2D256322"/>
    <w:rsid w:val="2D33402D"/>
    <w:rsid w:val="2D54010B"/>
    <w:rsid w:val="2D8D51DC"/>
    <w:rsid w:val="2D912C47"/>
    <w:rsid w:val="2DB71FAC"/>
    <w:rsid w:val="2DD1427F"/>
    <w:rsid w:val="2DD268C9"/>
    <w:rsid w:val="2E0B54D4"/>
    <w:rsid w:val="2E0D1401"/>
    <w:rsid w:val="2EA2717F"/>
    <w:rsid w:val="2EBA077D"/>
    <w:rsid w:val="2EBC618D"/>
    <w:rsid w:val="2ED222F3"/>
    <w:rsid w:val="2EF726B0"/>
    <w:rsid w:val="2EF97816"/>
    <w:rsid w:val="2F237FB3"/>
    <w:rsid w:val="2F266F50"/>
    <w:rsid w:val="2F84259E"/>
    <w:rsid w:val="2F88471F"/>
    <w:rsid w:val="2F8B40F9"/>
    <w:rsid w:val="2FA50222"/>
    <w:rsid w:val="2FB2377D"/>
    <w:rsid w:val="2FD752A5"/>
    <w:rsid w:val="2FDE6467"/>
    <w:rsid w:val="30036AAC"/>
    <w:rsid w:val="30143D85"/>
    <w:rsid w:val="312668F0"/>
    <w:rsid w:val="3128199B"/>
    <w:rsid w:val="31752B09"/>
    <w:rsid w:val="31894973"/>
    <w:rsid w:val="31FD2290"/>
    <w:rsid w:val="320202A4"/>
    <w:rsid w:val="32152C33"/>
    <w:rsid w:val="324B117A"/>
    <w:rsid w:val="32614BF6"/>
    <w:rsid w:val="3295270B"/>
    <w:rsid w:val="32D55D51"/>
    <w:rsid w:val="32E81934"/>
    <w:rsid w:val="332F7BA5"/>
    <w:rsid w:val="337D122C"/>
    <w:rsid w:val="33E1098E"/>
    <w:rsid w:val="33F31C06"/>
    <w:rsid w:val="34015A86"/>
    <w:rsid w:val="341548E3"/>
    <w:rsid w:val="341C73AD"/>
    <w:rsid w:val="3441741D"/>
    <w:rsid w:val="34685578"/>
    <w:rsid w:val="3477614B"/>
    <w:rsid w:val="347A456B"/>
    <w:rsid w:val="3487190D"/>
    <w:rsid w:val="34AD403F"/>
    <w:rsid w:val="34B5757E"/>
    <w:rsid w:val="34FD7B2D"/>
    <w:rsid w:val="35017C0D"/>
    <w:rsid w:val="35375367"/>
    <w:rsid w:val="35880431"/>
    <w:rsid w:val="358C3618"/>
    <w:rsid w:val="35AB7A5F"/>
    <w:rsid w:val="35BF1C6E"/>
    <w:rsid w:val="35D57D5C"/>
    <w:rsid w:val="35EC203E"/>
    <w:rsid w:val="361355EA"/>
    <w:rsid w:val="3651686F"/>
    <w:rsid w:val="367D48AA"/>
    <w:rsid w:val="36833CEB"/>
    <w:rsid w:val="3756612A"/>
    <w:rsid w:val="37712A39"/>
    <w:rsid w:val="377C07CA"/>
    <w:rsid w:val="379E03C0"/>
    <w:rsid w:val="37B24C52"/>
    <w:rsid w:val="37DD1C48"/>
    <w:rsid w:val="38160592"/>
    <w:rsid w:val="38271A77"/>
    <w:rsid w:val="38644486"/>
    <w:rsid w:val="38C23305"/>
    <w:rsid w:val="390471EE"/>
    <w:rsid w:val="390F3C45"/>
    <w:rsid w:val="391A3788"/>
    <w:rsid w:val="39577F6A"/>
    <w:rsid w:val="39856D57"/>
    <w:rsid w:val="39920EA7"/>
    <w:rsid w:val="39C30F5C"/>
    <w:rsid w:val="39F367FB"/>
    <w:rsid w:val="3A0002E7"/>
    <w:rsid w:val="3A1447B7"/>
    <w:rsid w:val="3A21262E"/>
    <w:rsid w:val="3A350059"/>
    <w:rsid w:val="3A8B488F"/>
    <w:rsid w:val="3A992A50"/>
    <w:rsid w:val="3AA21A97"/>
    <w:rsid w:val="3ACA751B"/>
    <w:rsid w:val="3AD01DBA"/>
    <w:rsid w:val="3AE50133"/>
    <w:rsid w:val="3AEF184B"/>
    <w:rsid w:val="3AF65D65"/>
    <w:rsid w:val="3B103EC0"/>
    <w:rsid w:val="3B25794D"/>
    <w:rsid w:val="3B345EA5"/>
    <w:rsid w:val="3B491C1C"/>
    <w:rsid w:val="3B6E61A1"/>
    <w:rsid w:val="3B7A083A"/>
    <w:rsid w:val="3B837FF9"/>
    <w:rsid w:val="3BD94BB0"/>
    <w:rsid w:val="3BF12A1E"/>
    <w:rsid w:val="3C3F2C20"/>
    <w:rsid w:val="3C6148EE"/>
    <w:rsid w:val="3C871D6F"/>
    <w:rsid w:val="3C9514F9"/>
    <w:rsid w:val="3CAC27E0"/>
    <w:rsid w:val="3CD55589"/>
    <w:rsid w:val="3CD65F8E"/>
    <w:rsid w:val="3D223D6D"/>
    <w:rsid w:val="3D332F79"/>
    <w:rsid w:val="3D445AEB"/>
    <w:rsid w:val="3D7413A5"/>
    <w:rsid w:val="3D7C4212"/>
    <w:rsid w:val="3D856805"/>
    <w:rsid w:val="3DB531EC"/>
    <w:rsid w:val="3E147F83"/>
    <w:rsid w:val="3E406DCB"/>
    <w:rsid w:val="3E5F5711"/>
    <w:rsid w:val="3E6924FD"/>
    <w:rsid w:val="3EAD7AA4"/>
    <w:rsid w:val="3ECA4CC1"/>
    <w:rsid w:val="3EF3522E"/>
    <w:rsid w:val="3F4262D2"/>
    <w:rsid w:val="3F5D3F9F"/>
    <w:rsid w:val="3FCA392F"/>
    <w:rsid w:val="4008010E"/>
    <w:rsid w:val="4023400E"/>
    <w:rsid w:val="402F540C"/>
    <w:rsid w:val="40643820"/>
    <w:rsid w:val="4079502C"/>
    <w:rsid w:val="407F21FD"/>
    <w:rsid w:val="40994131"/>
    <w:rsid w:val="40A146E6"/>
    <w:rsid w:val="40C76003"/>
    <w:rsid w:val="40DA19A4"/>
    <w:rsid w:val="40F02A6D"/>
    <w:rsid w:val="41745EF0"/>
    <w:rsid w:val="41884255"/>
    <w:rsid w:val="41986365"/>
    <w:rsid w:val="419B35F4"/>
    <w:rsid w:val="41CD3C0B"/>
    <w:rsid w:val="41DD616F"/>
    <w:rsid w:val="41E559E6"/>
    <w:rsid w:val="426B3BFD"/>
    <w:rsid w:val="42910AC3"/>
    <w:rsid w:val="42A6641E"/>
    <w:rsid w:val="42B30059"/>
    <w:rsid w:val="42B636BE"/>
    <w:rsid w:val="42CA3562"/>
    <w:rsid w:val="42D4753C"/>
    <w:rsid w:val="42D65CE3"/>
    <w:rsid w:val="43036342"/>
    <w:rsid w:val="431C50CE"/>
    <w:rsid w:val="43467841"/>
    <w:rsid w:val="438E57BC"/>
    <w:rsid w:val="43BA688B"/>
    <w:rsid w:val="43BD3B11"/>
    <w:rsid w:val="43C326B1"/>
    <w:rsid w:val="43C93DA7"/>
    <w:rsid w:val="43E63F63"/>
    <w:rsid w:val="43F47D4D"/>
    <w:rsid w:val="43FA1665"/>
    <w:rsid w:val="440F6EBE"/>
    <w:rsid w:val="4487596E"/>
    <w:rsid w:val="449065E4"/>
    <w:rsid w:val="44C52600"/>
    <w:rsid w:val="44D442B3"/>
    <w:rsid w:val="451E5AF8"/>
    <w:rsid w:val="451E7709"/>
    <w:rsid w:val="452A27C4"/>
    <w:rsid w:val="4559551E"/>
    <w:rsid w:val="455A0DA3"/>
    <w:rsid w:val="4563730C"/>
    <w:rsid w:val="45D83A86"/>
    <w:rsid w:val="45ED1351"/>
    <w:rsid w:val="46037123"/>
    <w:rsid w:val="46102354"/>
    <w:rsid w:val="46224E26"/>
    <w:rsid w:val="462840D2"/>
    <w:rsid w:val="46997F5B"/>
    <w:rsid w:val="46B55E43"/>
    <w:rsid w:val="46DD0EA4"/>
    <w:rsid w:val="46DF04B4"/>
    <w:rsid w:val="46ED47E4"/>
    <w:rsid w:val="471932DC"/>
    <w:rsid w:val="47667F82"/>
    <w:rsid w:val="47732475"/>
    <w:rsid w:val="477E6769"/>
    <w:rsid w:val="47BB49A9"/>
    <w:rsid w:val="47E278F4"/>
    <w:rsid w:val="47E44CE0"/>
    <w:rsid w:val="48193EDE"/>
    <w:rsid w:val="4831484D"/>
    <w:rsid w:val="485932BB"/>
    <w:rsid w:val="48694FA0"/>
    <w:rsid w:val="488E768B"/>
    <w:rsid w:val="48BB264B"/>
    <w:rsid w:val="493D0335"/>
    <w:rsid w:val="4957376D"/>
    <w:rsid w:val="49676AC2"/>
    <w:rsid w:val="4976578C"/>
    <w:rsid w:val="498F4936"/>
    <w:rsid w:val="49D1074D"/>
    <w:rsid w:val="49E67D8E"/>
    <w:rsid w:val="49F41D5E"/>
    <w:rsid w:val="4A047D76"/>
    <w:rsid w:val="4A1A61CA"/>
    <w:rsid w:val="4A327238"/>
    <w:rsid w:val="4A903713"/>
    <w:rsid w:val="4A943C10"/>
    <w:rsid w:val="4AA92CE9"/>
    <w:rsid w:val="4AC41DB7"/>
    <w:rsid w:val="4B1E31F7"/>
    <w:rsid w:val="4B3E700B"/>
    <w:rsid w:val="4B3F1232"/>
    <w:rsid w:val="4B57703E"/>
    <w:rsid w:val="4B662107"/>
    <w:rsid w:val="4B9A0561"/>
    <w:rsid w:val="4BCB3573"/>
    <w:rsid w:val="4C035F37"/>
    <w:rsid w:val="4C212DEA"/>
    <w:rsid w:val="4C22747C"/>
    <w:rsid w:val="4C514E97"/>
    <w:rsid w:val="4CB90340"/>
    <w:rsid w:val="4CE75373"/>
    <w:rsid w:val="4D097EF2"/>
    <w:rsid w:val="4D3747FF"/>
    <w:rsid w:val="4D52667D"/>
    <w:rsid w:val="4D543359"/>
    <w:rsid w:val="4DB67461"/>
    <w:rsid w:val="4E0C268A"/>
    <w:rsid w:val="4E765E5A"/>
    <w:rsid w:val="4E8318E1"/>
    <w:rsid w:val="4EAE23AB"/>
    <w:rsid w:val="4EDE2EB6"/>
    <w:rsid w:val="4EEE29D8"/>
    <w:rsid w:val="4EF633AB"/>
    <w:rsid w:val="4F106249"/>
    <w:rsid w:val="4F1670CF"/>
    <w:rsid w:val="4F384879"/>
    <w:rsid w:val="4F55729E"/>
    <w:rsid w:val="4FB330C1"/>
    <w:rsid w:val="4FC06E79"/>
    <w:rsid w:val="4FFE6E2E"/>
    <w:rsid w:val="5030536B"/>
    <w:rsid w:val="503E32E5"/>
    <w:rsid w:val="50513BF5"/>
    <w:rsid w:val="50675DFF"/>
    <w:rsid w:val="509A2890"/>
    <w:rsid w:val="50B924A3"/>
    <w:rsid w:val="50BE6945"/>
    <w:rsid w:val="50C25FD7"/>
    <w:rsid w:val="50F857A1"/>
    <w:rsid w:val="514756C4"/>
    <w:rsid w:val="514B75E8"/>
    <w:rsid w:val="51737993"/>
    <w:rsid w:val="517B6271"/>
    <w:rsid w:val="5194469F"/>
    <w:rsid w:val="519D0DB4"/>
    <w:rsid w:val="51A53B14"/>
    <w:rsid w:val="51AF1C3C"/>
    <w:rsid w:val="51BE4911"/>
    <w:rsid w:val="51D239AD"/>
    <w:rsid w:val="51D6436B"/>
    <w:rsid w:val="51EF2E47"/>
    <w:rsid w:val="5200122E"/>
    <w:rsid w:val="52121EAC"/>
    <w:rsid w:val="52215111"/>
    <w:rsid w:val="525F4868"/>
    <w:rsid w:val="530E3EB4"/>
    <w:rsid w:val="531F30C4"/>
    <w:rsid w:val="538748A2"/>
    <w:rsid w:val="538F5E1B"/>
    <w:rsid w:val="539D1320"/>
    <w:rsid w:val="53DF0AB7"/>
    <w:rsid w:val="53FB2D98"/>
    <w:rsid w:val="54151CB2"/>
    <w:rsid w:val="54371409"/>
    <w:rsid w:val="544F049A"/>
    <w:rsid w:val="54796757"/>
    <w:rsid w:val="54955562"/>
    <w:rsid w:val="549B6672"/>
    <w:rsid w:val="54A91F22"/>
    <w:rsid w:val="54BD4069"/>
    <w:rsid w:val="54EE0FF2"/>
    <w:rsid w:val="54F27CFD"/>
    <w:rsid w:val="55230FD0"/>
    <w:rsid w:val="553B0BD0"/>
    <w:rsid w:val="555C3C85"/>
    <w:rsid w:val="55633F28"/>
    <w:rsid w:val="55B24F2B"/>
    <w:rsid w:val="55BC2787"/>
    <w:rsid w:val="55D12532"/>
    <w:rsid w:val="5601257D"/>
    <w:rsid w:val="563C5D54"/>
    <w:rsid w:val="566D4B95"/>
    <w:rsid w:val="567C7800"/>
    <w:rsid w:val="568D6638"/>
    <w:rsid w:val="56BF11D0"/>
    <w:rsid w:val="56FF1D12"/>
    <w:rsid w:val="572656D4"/>
    <w:rsid w:val="57462C31"/>
    <w:rsid w:val="57DF4914"/>
    <w:rsid w:val="581B2431"/>
    <w:rsid w:val="5836129D"/>
    <w:rsid w:val="58951701"/>
    <w:rsid w:val="58970B50"/>
    <w:rsid w:val="58C12419"/>
    <w:rsid w:val="58DE7069"/>
    <w:rsid w:val="58F62B5D"/>
    <w:rsid w:val="58F816CA"/>
    <w:rsid w:val="58FA36D0"/>
    <w:rsid w:val="593F52E8"/>
    <w:rsid w:val="595B296C"/>
    <w:rsid w:val="59AD06A4"/>
    <w:rsid w:val="5A1E4155"/>
    <w:rsid w:val="5A3938A1"/>
    <w:rsid w:val="5A395D10"/>
    <w:rsid w:val="5A4A514C"/>
    <w:rsid w:val="5A4D586D"/>
    <w:rsid w:val="5A6249B0"/>
    <w:rsid w:val="5A964AB8"/>
    <w:rsid w:val="5AC97447"/>
    <w:rsid w:val="5B333C3C"/>
    <w:rsid w:val="5B8E16C2"/>
    <w:rsid w:val="5CA34613"/>
    <w:rsid w:val="5CF52A1F"/>
    <w:rsid w:val="5D08610F"/>
    <w:rsid w:val="5D0C0B25"/>
    <w:rsid w:val="5D1E702C"/>
    <w:rsid w:val="5DA43012"/>
    <w:rsid w:val="5DAC32CF"/>
    <w:rsid w:val="5DCD78A7"/>
    <w:rsid w:val="5E0E3ACB"/>
    <w:rsid w:val="5E0F09F4"/>
    <w:rsid w:val="5E173FF3"/>
    <w:rsid w:val="5E603F7F"/>
    <w:rsid w:val="5ED90BE8"/>
    <w:rsid w:val="5EE84C68"/>
    <w:rsid w:val="5EED4301"/>
    <w:rsid w:val="5F0626B0"/>
    <w:rsid w:val="5F1B0044"/>
    <w:rsid w:val="5F8F0673"/>
    <w:rsid w:val="5FA62E35"/>
    <w:rsid w:val="5FC97FEB"/>
    <w:rsid w:val="606301FB"/>
    <w:rsid w:val="60D8319C"/>
    <w:rsid w:val="60E42E34"/>
    <w:rsid w:val="60F31D14"/>
    <w:rsid w:val="61014D78"/>
    <w:rsid w:val="611932AF"/>
    <w:rsid w:val="614B72AC"/>
    <w:rsid w:val="614C3C26"/>
    <w:rsid w:val="6165708A"/>
    <w:rsid w:val="617102D4"/>
    <w:rsid w:val="61E2672A"/>
    <w:rsid w:val="621D5BA4"/>
    <w:rsid w:val="622215D8"/>
    <w:rsid w:val="622F0005"/>
    <w:rsid w:val="625E2024"/>
    <w:rsid w:val="631A6DAA"/>
    <w:rsid w:val="63256512"/>
    <w:rsid w:val="63280107"/>
    <w:rsid w:val="632D4A3C"/>
    <w:rsid w:val="633E23DD"/>
    <w:rsid w:val="634D4ADC"/>
    <w:rsid w:val="635B6748"/>
    <w:rsid w:val="635C429C"/>
    <w:rsid w:val="63947A95"/>
    <w:rsid w:val="63995DF3"/>
    <w:rsid w:val="63D0057D"/>
    <w:rsid w:val="6433403C"/>
    <w:rsid w:val="645D5A93"/>
    <w:rsid w:val="645E43BF"/>
    <w:rsid w:val="646225C9"/>
    <w:rsid w:val="64A94977"/>
    <w:rsid w:val="65194FD3"/>
    <w:rsid w:val="657C0DAF"/>
    <w:rsid w:val="65B9511C"/>
    <w:rsid w:val="65DB2DB8"/>
    <w:rsid w:val="660C7F20"/>
    <w:rsid w:val="66361B8F"/>
    <w:rsid w:val="664A18DF"/>
    <w:rsid w:val="666A0D6A"/>
    <w:rsid w:val="66B479A6"/>
    <w:rsid w:val="66D85417"/>
    <w:rsid w:val="66DC2963"/>
    <w:rsid w:val="6727655C"/>
    <w:rsid w:val="678A5484"/>
    <w:rsid w:val="678F10A0"/>
    <w:rsid w:val="67967995"/>
    <w:rsid w:val="679B1417"/>
    <w:rsid w:val="67B167D1"/>
    <w:rsid w:val="67B8730F"/>
    <w:rsid w:val="68077B91"/>
    <w:rsid w:val="68265256"/>
    <w:rsid w:val="68315DA2"/>
    <w:rsid w:val="68446CCF"/>
    <w:rsid w:val="68482DB3"/>
    <w:rsid w:val="685F0E50"/>
    <w:rsid w:val="685F1C50"/>
    <w:rsid w:val="68B61411"/>
    <w:rsid w:val="68CA6271"/>
    <w:rsid w:val="68CD7322"/>
    <w:rsid w:val="68D67C69"/>
    <w:rsid w:val="68D81E4F"/>
    <w:rsid w:val="68FD31D7"/>
    <w:rsid w:val="693636EF"/>
    <w:rsid w:val="69410BEE"/>
    <w:rsid w:val="695125CA"/>
    <w:rsid w:val="69680525"/>
    <w:rsid w:val="699022E9"/>
    <w:rsid w:val="6A2C3949"/>
    <w:rsid w:val="6A35559C"/>
    <w:rsid w:val="6A4F6B08"/>
    <w:rsid w:val="6A714498"/>
    <w:rsid w:val="6AA74D9D"/>
    <w:rsid w:val="6AC3299D"/>
    <w:rsid w:val="6ACF57D2"/>
    <w:rsid w:val="6AFB6F52"/>
    <w:rsid w:val="6B2C481B"/>
    <w:rsid w:val="6B4B5E14"/>
    <w:rsid w:val="6B4C4CC5"/>
    <w:rsid w:val="6B8F62FC"/>
    <w:rsid w:val="6B976CB9"/>
    <w:rsid w:val="6BE7576E"/>
    <w:rsid w:val="6BEC5F07"/>
    <w:rsid w:val="6BF27B2F"/>
    <w:rsid w:val="6BFE0885"/>
    <w:rsid w:val="6C0D0E79"/>
    <w:rsid w:val="6C1F6AA2"/>
    <w:rsid w:val="6C2755B4"/>
    <w:rsid w:val="6C6C35F5"/>
    <w:rsid w:val="6CB87D98"/>
    <w:rsid w:val="6CB95A74"/>
    <w:rsid w:val="6CE21AC1"/>
    <w:rsid w:val="6CF47C36"/>
    <w:rsid w:val="6CFC1CBF"/>
    <w:rsid w:val="6D3379CF"/>
    <w:rsid w:val="6D3E3D80"/>
    <w:rsid w:val="6D5D3196"/>
    <w:rsid w:val="6D664EE6"/>
    <w:rsid w:val="6D862606"/>
    <w:rsid w:val="6DA13C29"/>
    <w:rsid w:val="6DF93C55"/>
    <w:rsid w:val="6E140C84"/>
    <w:rsid w:val="6E7F3835"/>
    <w:rsid w:val="6EA56F68"/>
    <w:rsid w:val="6EFC549E"/>
    <w:rsid w:val="6F3A2165"/>
    <w:rsid w:val="6FF84FF4"/>
    <w:rsid w:val="70060541"/>
    <w:rsid w:val="703665DE"/>
    <w:rsid w:val="703B2961"/>
    <w:rsid w:val="706104F8"/>
    <w:rsid w:val="706A3279"/>
    <w:rsid w:val="70795A00"/>
    <w:rsid w:val="70FD4802"/>
    <w:rsid w:val="71280F29"/>
    <w:rsid w:val="716440FB"/>
    <w:rsid w:val="717B1A6C"/>
    <w:rsid w:val="71987E7A"/>
    <w:rsid w:val="71A04FFD"/>
    <w:rsid w:val="72081430"/>
    <w:rsid w:val="720B6D0C"/>
    <w:rsid w:val="72162671"/>
    <w:rsid w:val="721D01CC"/>
    <w:rsid w:val="727C06F2"/>
    <w:rsid w:val="72B7064C"/>
    <w:rsid w:val="72D36F5F"/>
    <w:rsid w:val="72EB61AE"/>
    <w:rsid w:val="732676ED"/>
    <w:rsid w:val="73591ED0"/>
    <w:rsid w:val="7360126A"/>
    <w:rsid w:val="73803F85"/>
    <w:rsid w:val="73A0232C"/>
    <w:rsid w:val="73A77F04"/>
    <w:rsid w:val="73B175BA"/>
    <w:rsid w:val="73E90A84"/>
    <w:rsid w:val="73F43BF0"/>
    <w:rsid w:val="741929F9"/>
    <w:rsid w:val="74375E04"/>
    <w:rsid w:val="745919C6"/>
    <w:rsid w:val="74702A9A"/>
    <w:rsid w:val="74B558F2"/>
    <w:rsid w:val="74C90CFC"/>
    <w:rsid w:val="74CB2564"/>
    <w:rsid w:val="74FE3D65"/>
    <w:rsid w:val="75143BEB"/>
    <w:rsid w:val="7540712D"/>
    <w:rsid w:val="7587153D"/>
    <w:rsid w:val="75D6706B"/>
    <w:rsid w:val="75E13EAC"/>
    <w:rsid w:val="75F107FD"/>
    <w:rsid w:val="7608791A"/>
    <w:rsid w:val="761C2BBB"/>
    <w:rsid w:val="7631361A"/>
    <w:rsid w:val="76476BA1"/>
    <w:rsid w:val="7664068F"/>
    <w:rsid w:val="766B3623"/>
    <w:rsid w:val="7677643E"/>
    <w:rsid w:val="767C2539"/>
    <w:rsid w:val="76F24F99"/>
    <w:rsid w:val="77365F0A"/>
    <w:rsid w:val="774114F6"/>
    <w:rsid w:val="776A1DE8"/>
    <w:rsid w:val="77F644F7"/>
    <w:rsid w:val="780C2D10"/>
    <w:rsid w:val="785D00CA"/>
    <w:rsid w:val="785E76E8"/>
    <w:rsid w:val="786C062C"/>
    <w:rsid w:val="78E36E01"/>
    <w:rsid w:val="78F364A9"/>
    <w:rsid w:val="79212831"/>
    <w:rsid w:val="792A1A22"/>
    <w:rsid w:val="793B5C30"/>
    <w:rsid w:val="79670CD3"/>
    <w:rsid w:val="7980797E"/>
    <w:rsid w:val="79822868"/>
    <w:rsid w:val="79C17EE8"/>
    <w:rsid w:val="79D15FE4"/>
    <w:rsid w:val="79F07533"/>
    <w:rsid w:val="79F36117"/>
    <w:rsid w:val="7A3F692E"/>
    <w:rsid w:val="7A8D09B0"/>
    <w:rsid w:val="7A96685C"/>
    <w:rsid w:val="7AA21ED1"/>
    <w:rsid w:val="7AAE6128"/>
    <w:rsid w:val="7ABA5B25"/>
    <w:rsid w:val="7AE107C6"/>
    <w:rsid w:val="7AEE350D"/>
    <w:rsid w:val="7B170A0B"/>
    <w:rsid w:val="7B3728FD"/>
    <w:rsid w:val="7B3C2695"/>
    <w:rsid w:val="7B3C2E48"/>
    <w:rsid w:val="7B792F7C"/>
    <w:rsid w:val="7BE44159"/>
    <w:rsid w:val="7C0D2D6E"/>
    <w:rsid w:val="7C767CAC"/>
    <w:rsid w:val="7C7C10D6"/>
    <w:rsid w:val="7C807EF4"/>
    <w:rsid w:val="7CAF0AA9"/>
    <w:rsid w:val="7CC62A72"/>
    <w:rsid w:val="7D153328"/>
    <w:rsid w:val="7DCE7305"/>
    <w:rsid w:val="7DDD6CEA"/>
    <w:rsid w:val="7DE62822"/>
    <w:rsid w:val="7DEF588E"/>
    <w:rsid w:val="7E064E23"/>
    <w:rsid w:val="7E1D75EC"/>
    <w:rsid w:val="7E4E4DF5"/>
    <w:rsid w:val="7E565841"/>
    <w:rsid w:val="7E636E14"/>
    <w:rsid w:val="7E753189"/>
    <w:rsid w:val="7EF41B6E"/>
    <w:rsid w:val="7EFE7741"/>
    <w:rsid w:val="7F6874AC"/>
    <w:rsid w:val="7F6B4AD7"/>
    <w:rsid w:val="7F891C56"/>
    <w:rsid w:val="7FB7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Chars="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paragraph" w:styleId="6">
    <w:name w:val="heading 4"/>
    <w:basedOn w:val="1"/>
    <w:next w:val="1"/>
    <w:qFormat/>
    <w:uiPriority w:val="0"/>
    <w:pPr>
      <w:keepNext/>
      <w:keepLines/>
      <w:tabs>
        <w:tab w:val="left" w:pos="142"/>
        <w:tab w:val="left" w:pos="993"/>
        <w:tab w:val="left" w:pos="1418"/>
        <w:tab w:val="left" w:pos="1560"/>
      </w:tabs>
      <w:adjustRightInd w:val="0"/>
      <w:spacing w:line="377" w:lineRule="auto"/>
      <w:outlineLvl w:val="3"/>
    </w:pPr>
    <w:rPr>
      <w:rFonts w:asciiTheme="majorEastAsia" w:hAnsiTheme="majorEastAsia" w:eastAsiaTheme="majorEastAsia"/>
      <w:b/>
      <w:sz w:val="24"/>
    </w:rPr>
  </w:style>
  <w:style w:type="paragraph" w:styleId="7">
    <w:name w:val="heading 5"/>
    <w:basedOn w:val="1"/>
    <w:next w:val="1"/>
    <w:unhideWhenUsed/>
    <w:qFormat/>
    <w:uiPriority w:val="0"/>
    <w:pPr>
      <w:keepNext/>
      <w:keepLines/>
      <w:spacing w:line="372" w:lineRule="auto"/>
      <w:outlineLvl w:val="4"/>
    </w:pPr>
    <w:rPr>
      <w:rFonts w:asciiTheme="majorEastAsia" w:hAnsiTheme="majorEastAsia" w:eastAsiaTheme="majorEastAsia"/>
      <w:bCs/>
      <w:sz w:val="24"/>
    </w:rPr>
  </w:style>
  <w:style w:type="character" w:default="1" w:styleId="23">
    <w:name w:val="Default Paragraph Font"/>
    <w:link w:val="24"/>
    <w:semiHidden/>
    <w:unhideWhenUsed/>
    <w:qFormat/>
    <w:uiPriority w:val="1"/>
    <w:rPr>
      <w:rFonts w:ascii="Tahoma" w:hAnsi="Tahoma"/>
      <w:sz w:val="24"/>
      <w:szCs w:val="20"/>
    </w:rPr>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8">
    <w:name w:val="List Number"/>
    <w:basedOn w:val="1"/>
    <w:qFormat/>
    <w:uiPriority w:val="0"/>
    <w:pPr>
      <w:numPr>
        <w:ilvl w:val="0"/>
        <w:numId w:val="2"/>
      </w:numPr>
    </w:pPr>
  </w:style>
  <w:style w:type="paragraph" w:styleId="9">
    <w:name w:val="annotation text"/>
    <w:basedOn w:val="1"/>
    <w:link w:val="44"/>
    <w:qFormat/>
    <w:uiPriority w:val="0"/>
    <w:pPr>
      <w:jc w:val="left"/>
    </w:pPr>
  </w:style>
  <w:style w:type="paragraph" w:styleId="10">
    <w:name w:val="Body Text"/>
    <w:basedOn w:val="1"/>
    <w:qFormat/>
    <w:uiPriority w:val="0"/>
    <w:pPr>
      <w:spacing w:line="360" w:lineRule="exact"/>
    </w:pPr>
    <w:rPr>
      <w:sz w:val="24"/>
    </w:rPr>
  </w:style>
  <w:style w:type="paragraph" w:styleId="11">
    <w:name w:val="Body Text Indent"/>
    <w:basedOn w:val="1"/>
    <w:next w:val="1"/>
    <w:link w:val="47"/>
    <w:qFormat/>
    <w:uiPriority w:val="0"/>
    <w:pPr>
      <w:spacing w:after="120"/>
      <w:ind w:left="420" w:leftChars="200"/>
    </w:pPr>
  </w:style>
  <w:style w:type="paragraph" w:styleId="12">
    <w:name w:val="Plain Text"/>
    <w:basedOn w:val="1"/>
    <w:qFormat/>
    <w:uiPriority w:val="0"/>
    <w:rPr>
      <w:rFonts w:ascii="宋体" w:hAnsi="Courier New" w:cstheme="minorBidi"/>
    </w:rPr>
  </w:style>
  <w:style w:type="paragraph" w:styleId="13">
    <w:name w:val="Date"/>
    <w:basedOn w:val="1"/>
    <w:next w:val="1"/>
    <w:qFormat/>
    <w:uiPriority w:val="0"/>
    <w:pPr>
      <w:ind w:left="2500" w:leftChars="2500"/>
    </w:pPr>
    <w:rPr>
      <w:rFonts w:eastAsia="楷体_GB2312" w:asciiTheme="minorHAnsi" w:hAnsiTheme="minorHAnsi" w:cstheme="minorBidi"/>
      <w:sz w:val="32"/>
      <w:szCs w:val="22"/>
    </w:rPr>
  </w:style>
  <w:style w:type="paragraph" w:styleId="14">
    <w:name w:val="Balloon Text"/>
    <w:basedOn w:val="1"/>
    <w:link w:val="46"/>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8">
    <w:name w:val="annotation subject"/>
    <w:basedOn w:val="9"/>
    <w:next w:val="9"/>
    <w:link w:val="45"/>
    <w:qFormat/>
    <w:uiPriority w:val="0"/>
    <w:rPr>
      <w:b/>
      <w:bCs/>
    </w:rPr>
  </w:style>
  <w:style w:type="paragraph" w:styleId="19">
    <w:name w:val="Body Text First Indent"/>
    <w:basedOn w:val="1"/>
    <w:qFormat/>
    <w:uiPriority w:val="0"/>
    <w:pPr>
      <w:ind w:firstLine="200" w:firstLineChars="200"/>
    </w:pPr>
    <w:rPr>
      <w:sz w:val="21"/>
    </w:rPr>
  </w:style>
  <w:style w:type="paragraph" w:styleId="20">
    <w:name w:val="Body Text First Indent 2"/>
    <w:basedOn w:val="11"/>
    <w:qFormat/>
    <w:uiPriority w:val="0"/>
    <w:pPr>
      <w:ind w:firstLine="420"/>
    </w:pPr>
  </w:style>
  <w:style w:type="table" w:styleId="22">
    <w:name w:val="Table Grid"/>
    <w:basedOn w:val="21"/>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
  </w:style>
  <w:style w:type="paragraph" w:customStyle="1" w:styleId="24">
    <w:name w:val="Char1"/>
    <w:basedOn w:val="1"/>
    <w:link w:val="23"/>
    <w:qFormat/>
    <w:uiPriority w:val="0"/>
    <w:rPr>
      <w:rFonts w:ascii="Tahoma" w:hAnsi="Tahoma"/>
      <w:sz w:val="24"/>
      <w:szCs w:val="20"/>
    </w:rPr>
  </w:style>
  <w:style w:type="character" w:styleId="25">
    <w:name w:val="Hyperlink"/>
    <w:qFormat/>
    <w:uiPriority w:val="0"/>
    <w:rPr>
      <w:color w:val="0000FF"/>
      <w:u w:val="single"/>
    </w:rPr>
  </w:style>
  <w:style w:type="character" w:styleId="26">
    <w:name w:val="annotation reference"/>
    <w:basedOn w:val="23"/>
    <w:qFormat/>
    <w:uiPriority w:val="0"/>
    <w:rPr>
      <w:sz w:val="21"/>
      <w:szCs w:val="21"/>
    </w:rPr>
  </w:style>
  <w:style w:type="paragraph" w:customStyle="1" w:styleId="27">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28">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29">
    <w:name w:val="List Paragraph"/>
    <w:basedOn w:val="1"/>
    <w:qFormat/>
    <w:uiPriority w:val="34"/>
    <w:pPr>
      <w:ind w:firstLine="420" w:firstLineChars="200"/>
    </w:pPr>
    <w:rPr>
      <w:rFonts w:ascii="Calibri" w:hAnsi="Calibri"/>
      <w:szCs w:val="22"/>
    </w:rPr>
  </w:style>
  <w:style w:type="paragraph" w:customStyle="1" w:styleId="30">
    <w:name w:val="列出段落1"/>
    <w:basedOn w:val="1"/>
    <w:qFormat/>
    <w:uiPriority w:val="0"/>
    <w:pPr>
      <w:ind w:firstLine="420" w:firstLineChars="200"/>
    </w:pPr>
    <w:rPr>
      <w:rFonts w:ascii="Calibri" w:hAnsi="Calibri"/>
      <w:kern w:val="0"/>
      <w:szCs w:val="20"/>
    </w:rPr>
  </w:style>
  <w:style w:type="paragraph" w:customStyle="1" w:styleId="31">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4"/>
    <w:qFormat/>
    <w:uiPriority w:val="0"/>
    <w:rPr>
      <w:rFonts w:ascii="Times New Roman" w:hAnsi="Times New Roman" w:eastAsia="宋体" w:cs="Times New Roman"/>
      <w:sz w:val="21"/>
      <w:szCs w:val="22"/>
      <w:lang w:val="en-US" w:eastAsia="zh-CN" w:bidi="ar-SA"/>
    </w:rPr>
  </w:style>
  <w:style w:type="paragraph" w:customStyle="1" w:styleId="3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纯文本_3"/>
    <w:basedOn w:val="37"/>
    <w:qFormat/>
    <w:uiPriority w:val="0"/>
    <w:pPr>
      <w:widowControl/>
      <w:jc w:val="left"/>
    </w:pPr>
    <w:rPr>
      <w:rFonts w:ascii="宋体" w:hAnsi="Courier New" w:eastAsiaTheme="minorEastAsia" w:cstheme="minorBidi"/>
      <w:szCs w:val="21"/>
    </w:rPr>
  </w:style>
  <w:style w:type="paragraph" w:customStyle="1" w:styleId="39">
    <w:name w:val="纯文本_0_1"/>
    <w:basedOn w:val="1"/>
    <w:qFormat/>
    <w:uiPriority w:val="0"/>
    <w:pPr>
      <w:widowControl/>
      <w:jc w:val="left"/>
    </w:pPr>
    <w:rPr>
      <w:rFonts w:ascii="宋体" w:hAnsi="Courier New" w:eastAsiaTheme="minorEastAsia" w:cstheme="minorBidi"/>
      <w:szCs w:val="21"/>
    </w:rPr>
  </w:style>
  <w:style w:type="paragraph" w:customStyle="1" w:styleId="4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批注文字 字符"/>
    <w:basedOn w:val="23"/>
    <w:link w:val="9"/>
    <w:qFormat/>
    <w:uiPriority w:val="0"/>
    <w:rPr>
      <w:rFonts w:ascii="Times New Roman" w:hAnsi="Times New Roman" w:eastAsia="宋体" w:cs="Times New Roman"/>
      <w:kern w:val="2"/>
      <w:sz w:val="21"/>
      <w:szCs w:val="24"/>
    </w:rPr>
  </w:style>
  <w:style w:type="character" w:customStyle="1" w:styleId="45">
    <w:name w:val="批注主题 字符"/>
    <w:basedOn w:val="44"/>
    <w:link w:val="18"/>
    <w:qFormat/>
    <w:uiPriority w:val="0"/>
    <w:rPr>
      <w:rFonts w:ascii="Times New Roman" w:hAnsi="Times New Roman" w:eastAsia="宋体" w:cs="Times New Roman"/>
      <w:b/>
      <w:bCs/>
      <w:kern w:val="2"/>
      <w:sz w:val="21"/>
      <w:szCs w:val="24"/>
    </w:rPr>
  </w:style>
  <w:style w:type="character" w:customStyle="1" w:styleId="46">
    <w:name w:val="批注框文本 字符"/>
    <w:basedOn w:val="23"/>
    <w:link w:val="14"/>
    <w:qFormat/>
    <w:uiPriority w:val="0"/>
    <w:rPr>
      <w:rFonts w:ascii="Times New Roman" w:hAnsi="Times New Roman" w:eastAsia="宋体" w:cs="Times New Roman"/>
      <w:kern w:val="2"/>
      <w:sz w:val="18"/>
      <w:szCs w:val="18"/>
    </w:rPr>
  </w:style>
  <w:style w:type="character" w:customStyle="1" w:styleId="47">
    <w:name w:val="正文文本缩进 字符"/>
    <w:basedOn w:val="23"/>
    <w:link w:val="11"/>
    <w:qFormat/>
    <w:uiPriority w:val="0"/>
    <w:rPr>
      <w:kern w:val="2"/>
      <w:sz w:val="21"/>
      <w:szCs w:val="24"/>
    </w:rPr>
  </w:style>
  <w:style w:type="paragraph" w:customStyle="1" w:styleId="48">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49">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50">
    <w:name w:val="Table Text"/>
    <w:qFormat/>
    <w:uiPriority w:val="0"/>
    <w:pPr>
      <w:snapToGrid w:val="0"/>
      <w:spacing w:before="80" w:after="80"/>
    </w:pPr>
    <w:rPr>
      <w:rFonts w:ascii="Arial" w:hAnsi="Arial" w:eastAsia="宋体" w:cs="Times New Roman"/>
      <w:sz w:val="18"/>
      <w:lang w:val="en-US" w:eastAsia="zh-CN" w:bidi="ar-SA"/>
    </w:rPr>
  </w:style>
  <w:style w:type="paragraph" w:customStyle="1" w:styleId="51">
    <w:name w:val="正文首行缩进（绿盟科技）"/>
    <w:basedOn w:val="52"/>
    <w:qFormat/>
    <w:uiPriority w:val="0"/>
    <w:pPr>
      <w:spacing w:after="50"/>
      <w:ind w:firstLine="200" w:firstLineChars="200"/>
    </w:pPr>
  </w:style>
  <w:style w:type="paragraph" w:customStyle="1" w:styleId="52">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53">
    <w:name w:val="无"/>
    <w:qFormat/>
    <w:uiPriority w:val="0"/>
  </w:style>
  <w:style w:type="character" w:customStyle="1" w:styleId="54">
    <w:name w:val="标题 1 Char Char"/>
    <w:basedOn w:val="23"/>
    <w:qFormat/>
    <w:uiPriority w:val="0"/>
    <w:rPr>
      <w:rFonts w:eastAsia="宋体"/>
      <w:b/>
      <w:spacing w:val="-2"/>
      <w:sz w:val="24"/>
      <w:lang w:val="en-US" w:eastAsia="zh-CN" w:bidi="ar-SA"/>
    </w:rPr>
  </w:style>
  <w:style w:type="character" w:customStyle="1" w:styleId="55">
    <w:name w:val="font51"/>
    <w:basedOn w:val="23"/>
    <w:qFormat/>
    <w:uiPriority w:val="0"/>
    <w:rPr>
      <w:rFonts w:hint="eastAsia" w:ascii="宋体" w:hAnsi="宋体" w:eastAsia="宋体" w:cs="宋体"/>
      <w:color w:val="000000"/>
      <w:sz w:val="18"/>
      <w:szCs w:val="18"/>
      <w:u w:val="none"/>
    </w:rPr>
  </w:style>
  <w:style w:type="character" w:customStyle="1" w:styleId="56">
    <w:name w:val="font61"/>
    <w:basedOn w:val="23"/>
    <w:qFormat/>
    <w:uiPriority w:val="0"/>
    <w:rPr>
      <w:rFonts w:hint="eastAsia" w:ascii="宋体" w:hAnsi="宋体" w:eastAsia="宋体" w:cs="宋体"/>
      <w:b/>
      <w:color w:val="FF0000"/>
      <w:sz w:val="18"/>
      <w:szCs w:val="18"/>
      <w:u w:val="none"/>
    </w:rPr>
  </w:style>
  <w:style w:type="character" w:customStyle="1" w:styleId="57">
    <w:name w:val="font41"/>
    <w:basedOn w:val="23"/>
    <w:qFormat/>
    <w:uiPriority w:val="0"/>
    <w:rPr>
      <w:rFonts w:hint="eastAsia" w:ascii="宋体" w:hAnsi="宋体" w:eastAsia="宋体" w:cs="宋体"/>
      <w:color w:val="000000"/>
      <w:sz w:val="18"/>
      <w:szCs w:val="18"/>
      <w:u w:val="none"/>
    </w:rPr>
  </w:style>
  <w:style w:type="character" w:customStyle="1" w:styleId="58">
    <w:name w:val="font01"/>
    <w:basedOn w:val="23"/>
    <w:qFormat/>
    <w:uiPriority w:val="0"/>
    <w:rPr>
      <w:rFonts w:hint="eastAsia" w:ascii="宋体" w:hAnsi="宋体" w:eastAsia="宋体" w:cs="宋体"/>
      <w:color w:val="000000"/>
      <w:sz w:val="24"/>
      <w:szCs w:val="24"/>
      <w:u w:val="none"/>
    </w:rPr>
  </w:style>
  <w:style w:type="paragraph" w:customStyle="1" w:styleId="59">
    <w:name w:val="_Style 253"/>
    <w:basedOn w:val="1"/>
    <w:next w:val="19"/>
    <w:qFormat/>
    <w:uiPriority w:val="99"/>
  </w:style>
  <w:style w:type="paragraph" w:customStyle="1" w:styleId="60">
    <w:name w:val="*正文"/>
    <w:basedOn w:val="1"/>
    <w:qFormat/>
    <w:uiPriority w:val="0"/>
    <w:pPr>
      <w:spacing w:line="300" w:lineRule="auto"/>
      <w:ind w:firstLine="480" w:firstLineChars="200"/>
    </w:pPr>
    <w:rPr>
      <w:rFonts w:ascii="宋体" w:hAnsi="宋体"/>
      <w:bCs/>
      <w:color w:val="auto"/>
    </w:rPr>
  </w:style>
  <w:style w:type="paragraph" w:customStyle="1" w:styleId="61">
    <w:name w:val="正文 A"/>
    <w:qFormat/>
    <w:uiPriority w:val="0"/>
    <w:pPr>
      <w:widowControl w:val="0"/>
      <w:jc w:val="both"/>
    </w:pPr>
    <w:rPr>
      <w:rFonts w:ascii="Arial Unicode MS" w:hAnsi="Arial Unicode MS"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77</Pages>
  <Words>6855</Words>
  <Characters>39079</Characters>
  <Lines>325</Lines>
  <Paragraphs>91</Paragraphs>
  <TotalTime>55</TotalTime>
  <ScaleCrop>false</ScaleCrop>
  <LinksUpToDate>false</LinksUpToDate>
  <CharactersWithSpaces>45843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2019-07-25T01:04:00Z</dcterms:created>
  <dc:creator>S-mile</dc:creator>
  <cp:lastModifiedBy>lenovo</cp:lastModifiedBy>
  <cp:lastPrinted>2019-07-03T07:20:00Z</cp:lastPrinted>
  <dcterms:modified xsi:type="dcterms:W3CDTF">2021-08-19T06:32:02Z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