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C14ABE">
      <w:pPr>
        <w:rPr>
          <w:rFonts w:ascii="宋体" w:hAnsi="宋体" w:cs="宋体"/>
          <w:color w:val="auto"/>
        </w:rPr>
      </w:pPr>
      <w:r>
        <w:rPr>
          <w:rFonts w:hint="eastAsia" w:ascii="宋体" w:hAnsi="宋体" w:cs="宋体"/>
          <w:color w:val="auto"/>
        </w:rPr>
        <w:t xml:space="preserve">                                                                                                                                                                                                                                                                                                                                                                                                                                                                                                                               </w:t>
      </w:r>
    </w:p>
    <w:p w14:paraId="47D8CBE0">
      <w:pPr>
        <w:jc w:val="center"/>
        <w:rPr>
          <w:rFonts w:ascii="宋体" w:hAnsi="宋体" w:cs="宋体"/>
          <w:b/>
          <w:color w:val="auto"/>
          <w:spacing w:val="-11"/>
          <w:sz w:val="48"/>
          <w:szCs w:val="48"/>
        </w:rPr>
      </w:pPr>
    </w:p>
    <w:p w14:paraId="10F4CBF2">
      <w:pPr>
        <w:jc w:val="center"/>
        <w:rPr>
          <w:rFonts w:ascii="宋体" w:hAnsi="宋体" w:cs="宋体"/>
          <w:b/>
          <w:color w:val="auto"/>
          <w:spacing w:val="-11"/>
          <w:sz w:val="48"/>
          <w:szCs w:val="48"/>
        </w:rPr>
      </w:pPr>
      <w:r>
        <w:rPr>
          <w:rFonts w:hint="eastAsia" w:ascii="宋体" w:hAnsi="宋体" w:cs="宋体"/>
          <w:b/>
          <w:color w:val="auto"/>
          <w:spacing w:val="-11"/>
          <w:sz w:val="48"/>
          <w:szCs w:val="48"/>
        </w:rPr>
        <w:t>天台县2025年度补充林地库建设项目</w:t>
      </w:r>
    </w:p>
    <w:p w14:paraId="0D6D74CC">
      <w:pPr>
        <w:pStyle w:val="40"/>
        <w:rPr>
          <w:rFonts w:hAnsi="宋体" w:eastAsia="宋体"/>
          <w:color w:val="auto"/>
        </w:rPr>
      </w:pPr>
    </w:p>
    <w:p w14:paraId="38ABE239">
      <w:pPr>
        <w:pStyle w:val="44"/>
        <w:spacing w:before="152"/>
        <w:rPr>
          <w:rFonts w:ascii="宋体" w:hAnsi="宋体" w:cs="宋体"/>
          <w:color w:val="auto"/>
        </w:rPr>
      </w:pPr>
    </w:p>
    <w:p w14:paraId="617F10B0">
      <w:pPr>
        <w:jc w:val="center"/>
        <w:rPr>
          <w:rFonts w:ascii="宋体" w:hAnsi="宋体" w:cs="宋体"/>
          <w:b/>
          <w:color w:val="auto"/>
          <w:sz w:val="84"/>
          <w:szCs w:val="84"/>
        </w:rPr>
      </w:pPr>
      <w:r>
        <w:rPr>
          <w:rFonts w:hint="eastAsia" w:ascii="宋体" w:hAnsi="宋体" w:cs="宋体"/>
          <w:b/>
          <w:color w:val="auto"/>
          <w:sz w:val="84"/>
          <w:szCs w:val="84"/>
        </w:rPr>
        <w:t>公开招标采购文件</w:t>
      </w:r>
    </w:p>
    <w:p w14:paraId="74E4CF7F">
      <w:pPr>
        <w:widowControl/>
        <w:jc w:val="center"/>
        <w:rPr>
          <w:rFonts w:ascii="宋体" w:hAnsi="宋体" w:cs="宋体"/>
          <w:b/>
          <w:color w:val="auto"/>
          <w:sz w:val="32"/>
          <w:szCs w:val="32"/>
        </w:rPr>
      </w:pPr>
      <w:r>
        <w:rPr>
          <w:rFonts w:hint="eastAsia" w:ascii="宋体" w:hAnsi="宋体" w:cs="宋体"/>
          <w:b/>
          <w:color w:val="auto"/>
          <w:kern w:val="0"/>
          <w:sz w:val="32"/>
          <w:szCs w:val="32"/>
        </w:rPr>
        <w:t>（线上电子招投标）</w:t>
      </w:r>
    </w:p>
    <w:p w14:paraId="21B0E9DD">
      <w:pPr>
        <w:pStyle w:val="4"/>
        <w:spacing w:line="240" w:lineRule="auto"/>
        <w:jc w:val="center"/>
        <w:rPr>
          <w:rFonts w:ascii="宋体" w:eastAsia="宋体" w:cs="宋体"/>
          <w:color w:val="auto"/>
          <w:sz w:val="32"/>
          <w:szCs w:val="32"/>
        </w:rPr>
      </w:pPr>
    </w:p>
    <w:p w14:paraId="7F445731">
      <w:pPr>
        <w:pStyle w:val="4"/>
        <w:spacing w:line="240" w:lineRule="auto"/>
        <w:rPr>
          <w:rFonts w:ascii="宋体" w:eastAsia="宋体" w:cs="宋体"/>
          <w:color w:val="auto"/>
        </w:rPr>
      </w:pPr>
    </w:p>
    <w:p w14:paraId="4B7AF07B">
      <w:pPr>
        <w:pStyle w:val="4"/>
        <w:spacing w:line="240" w:lineRule="auto"/>
        <w:rPr>
          <w:rFonts w:ascii="宋体" w:eastAsia="宋体" w:cs="宋体"/>
          <w:color w:val="auto"/>
          <w:sz w:val="32"/>
          <w:szCs w:val="32"/>
        </w:rPr>
      </w:pPr>
      <w:r>
        <w:rPr>
          <w:rFonts w:hint="eastAsia" w:ascii="宋体" w:eastAsia="宋体" w:cs="宋体"/>
          <w:color w:val="auto"/>
          <w:sz w:val="32"/>
          <w:szCs w:val="32"/>
        </w:rPr>
        <w:t xml:space="preserve">      </w:t>
      </w:r>
    </w:p>
    <w:tbl>
      <w:tblPr>
        <w:tblStyle w:val="31"/>
        <w:tblW w:w="7590" w:type="dxa"/>
        <w:jc w:val="center"/>
        <w:tblLayout w:type="fixed"/>
        <w:tblCellMar>
          <w:top w:w="0" w:type="dxa"/>
          <w:left w:w="108" w:type="dxa"/>
          <w:bottom w:w="0" w:type="dxa"/>
          <w:right w:w="108" w:type="dxa"/>
        </w:tblCellMar>
      </w:tblPr>
      <w:tblGrid>
        <w:gridCol w:w="2550"/>
        <w:gridCol w:w="5040"/>
      </w:tblGrid>
      <w:tr w14:paraId="50252C61">
        <w:tblPrEx>
          <w:tblCellMar>
            <w:top w:w="0" w:type="dxa"/>
            <w:left w:w="108" w:type="dxa"/>
            <w:bottom w:w="0" w:type="dxa"/>
            <w:right w:w="108" w:type="dxa"/>
          </w:tblCellMar>
        </w:tblPrEx>
        <w:trPr>
          <w:trHeight w:val="567" w:hRule="exact"/>
          <w:jc w:val="center"/>
        </w:trPr>
        <w:tc>
          <w:tcPr>
            <w:tcW w:w="2550" w:type="dxa"/>
            <w:vAlign w:val="center"/>
          </w:tcPr>
          <w:p w14:paraId="05F6F080">
            <w:pPr>
              <w:rPr>
                <w:rFonts w:ascii="宋体" w:hAnsi="宋体" w:cs="宋体"/>
                <w:color w:val="auto"/>
                <w:sz w:val="28"/>
              </w:rPr>
            </w:pPr>
            <w:r>
              <w:rPr>
                <w:rFonts w:hint="eastAsia" w:ascii="宋体" w:hAnsi="宋体" w:cs="宋体"/>
                <w:color w:val="auto"/>
                <w:sz w:val="28"/>
              </w:rPr>
              <w:t>项目编号：</w:t>
            </w:r>
          </w:p>
        </w:tc>
        <w:tc>
          <w:tcPr>
            <w:tcW w:w="5040" w:type="dxa"/>
            <w:vAlign w:val="center"/>
          </w:tcPr>
          <w:p w14:paraId="42D4720E">
            <w:pPr>
              <w:rPr>
                <w:rFonts w:ascii="宋体" w:hAnsi="宋体" w:cs="宋体"/>
                <w:color w:val="auto"/>
                <w:sz w:val="28"/>
                <w:u w:val="single"/>
              </w:rPr>
            </w:pPr>
            <w:r>
              <w:rPr>
                <w:rFonts w:hint="eastAsia" w:ascii="宋体" w:hAnsi="宋体" w:cs="宋体"/>
                <w:color w:val="auto"/>
                <w:sz w:val="28"/>
                <w:u w:val="single"/>
              </w:rPr>
              <w:t>TCCG-2025-Z070</w:t>
            </w:r>
          </w:p>
        </w:tc>
      </w:tr>
      <w:tr w14:paraId="6097E76F">
        <w:tblPrEx>
          <w:tblCellMar>
            <w:top w:w="0" w:type="dxa"/>
            <w:left w:w="108" w:type="dxa"/>
            <w:bottom w:w="0" w:type="dxa"/>
            <w:right w:w="108" w:type="dxa"/>
          </w:tblCellMar>
        </w:tblPrEx>
        <w:trPr>
          <w:trHeight w:val="567" w:hRule="exact"/>
          <w:jc w:val="center"/>
        </w:trPr>
        <w:tc>
          <w:tcPr>
            <w:tcW w:w="2550" w:type="dxa"/>
            <w:vAlign w:val="center"/>
          </w:tcPr>
          <w:p w14:paraId="04965C13">
            <w:pPr>
              <w:rPr>
                <w:rFonts w:ascii="宋体" w:hAnsi="宋体" w:cs="宋体"/>
                <w:color w:val="auto"/>
                <w:sz w:val="28"/>
              </w:rPr>
            </w:pPr>
            <w:r>
              <w:rPr>
                <w:rFonts w:hint="eastAsia" w:ascii="宋体" w:hAnsi="宋体" w:cs="宋体"/>
                <w:color w:val="auto"/>
                <w:sz w:val="28"/>
              </w:rPr>
              <w:t>采购单位：</w:t>
            </w:r>
          </w:p>
        </w:tc>
        <w:tc>
          <w:tcPr>
            <w:tcW w:w="5040" w:type="dxa"/>
            <w:vAlign w:val="center"/>
          </w:tcPr>
          <w:p w14:paraId="5051B217">
            <w:pPr>
              <w:rPr>
                <w:rFonts w:ascii="宋体" w:hAnsi="宋体" w:cs="宋体"/>
                <w:color w:val="auto"/>
                <w:sz w:val="28"/>
              </w:rPr>
            </w:pPr>
            <w:r>
              <w:rPr>
                <w:rFonts w:hint="eastAsia" w:ascii="宋体" w:hAnsi="宋体" w:cs="宋体"/>
                <w:color w:val="auto"/>
                <w:sz w:val="28"/>
              </w:rPr>
              <w:t>天台县自然资源和规划局</w:t>
            </w:r>
          </w:p>
        </w:tc>
      </w:tr>
      <w:tr w14:paraId="2FF18D46">
        <w:tblPrEx>
          <w:tblCellMar>
            <w:top w:w="0" w:type="dxa"/>
            <w:left w:w="108" w:type="dxa"/>
            <w:bottom w:w="0" w:type="dxa"/>
            <w:right w:w="108" w:type="dxa"/>
          </w:tblCellMar>
        </w:tblPrEx>
        <w:trPr>
          <w:trHeight w:val="567" w:hRule="exact"/>
          <w:jc w:val="center"/>
        </w:trPr>
        <w:tc>
          <w:tcPr>
            <w:tcW w:w="2550" w:type="dxa"/>
            <w:vAlign w:val="center"/>
          </w:tcPr>
          <w:p w14:paraId="778B0E78">
            <w:pPr>
              <w:rPr>
                <w:rFonts w:ascii="宋体" w:hAnsi="宋体" w:cs="宋体"/>
                <w:color w:val="auto"/>
                <w:sz w:val="28"/>
              </w:rPr>
            </w:pPr>
            <w:r>
              <w:rPr>
                <w:rFonts w:hint="eastAsia" w:ascii="宋体" w:hAnsi="宋体" w:cs="宋体"/>
                <w:color w:val="auto"/>
                <w:sz w:val="28"/>
              </w:rPr>
              <w:t>联系人：</w:t>
            </w:r>
          </w:p>
        </w:tc>
        <w:tc>
          <w:tcPr>
            <w:tcW w:w="5040" w:type="dxa"/>
            <w:vAlign w:val="center"/>
          </w:tcPr>
          <w:p w14:paraId="3C730C7B">
            <w:pPr>
              <w:rPr>
                <w:rFonts w:ascii="宋体" w:hAnsi="宋体" w:cs="宋体"/>
                <w:color w:val="auto"/>
                <w:sz w:val="28"/>
              </w:rPr>
            </w:pPr>
            <w:r>
              <w:rPr>
                <w:rFonts w:hint="eastAsia" w:ascii="宋体" w:hAnsi="宋体" w:cs="宋体"/>
                <w:color w:val="auto"/>
                <w:sz w:val="28"/>
              </w:rPr>
              <w:t>徐友盛</w:t>
            </w:r>
          </w:p>
        </w:tc>
      </w:tr>
      <w:tr w14:paraId="0AAEEDB3">
        <w:tblPrEx>
          <w:tblCellMar>
            <w:top w:w="0" w:type="dxa"/>
            <w:left w:w="108" w:type="dxa"/>
            <w:bottom w:w="0" w:type="dxa"/>
            <w:right w:w="108" w:type="dxa"/>
          </w:tblCellMar>
        </w:tblPrEx>
        <w:trPr>
          <w:trHeight w:val="567" w:hRule="exact"/>
          <w:jc w:val="center"/>
        </w:trPr>
        <w:tc>
          <w:tcPr>
            <w:tcW w:w="2550" w:type="dxa"/>
            <w:vAlign w:val="center"/>
          </w:tcPr>
          <w:p w14:paraId="1B04D731">
            <w:pPr>
              <w:rPr>
                <w:rFonts w:ascii="宋体" w:hAnsi="宋体" w:cs="宋体"/>
                <w:color w:val="auto"/>
                <w:sz w:val="28"/>
              </w:rPr>
            </w:pPr>
            <w:r>
              <w:rPr>
                <w:rFonts w:hint="eastAsia" w:ascii="宋体" w:hAnsi="宋体" w:cs="宋体"/>
                <w:color w:val="auto"/>
                <w:sz w:val="28"/>
              </w:rPr>
              <w:t>联系电话：</w:t>
            </w:r>
          </w:p>
        </w:tc>
        <w:tc>
          <w:tcPr>
            <w:tcW w:w="5040" w:type="dxa"/>
            <w:vAlign w:val="center"/>
          </w:tcPr>
          <w:p w14:paraId="4B54A95E">
            <w:pPr>
              <w:rPr>
                <w:rFonts w:ascii="宋体" w:hAnsi="宋体" w:cs="宋体"/>
                <w:color w:val="auto"/>
                <w:sz w:val="28"/>
              </w:rPr>
            </w:pPr>
            <w:r>
              <w:rPr>
                <w:rFonts w:hint="eastAsia" w:ascii="宋体" w:hAnsi="宋体" w:cs="宋体"/>
                <w:color w:val="auto"/>
                <w:sz w:val="28"/>
              </w:rPr>
              <w:t>18158609985</w:t>
            </w:r>
          </w:p>
        </w:tc>
      </w:tr>
      <w:tr w14:paraId="6D9E8960">
        <w:tblPrEx>
          <w:tblCellMar>
            <w:top w:w="0" w:type="dxa"/>
            <w:left w:w="108" w:type="dxa"/>
            <w:bottom w:w="0" w:type="dxa"/>
            <w:right w:w="108" w:type="dxa"/>
          </w:tblCellMar>
        </w:tblPrEx>
        <w:trPr>
          <w:trHeight w:val="567" w:hRule="exact"/>
          <w:jc w:val="center"/>
        </w:trPr>
        <w:tc>
          <w:tcPr>
            <w:tcW w:w="2550" w:type="dxa"/>
            <w:vAlign w:val="center"/>
          </w:tcPr>
          <w:p w14:paraId="35837EB7">
            <w:pPr>
              <w:rPr>
                <w:rFonts w:ascii="宋体" w:hAnsi="宋体" w:cs="宋体"/>
                <w:color w:val="auto"/>
                <w:sz w:val="28"/>
              </w:rPr>
            </w:pPr>
            <w:r>
              <w:rPr>
                <w:rFonts w:hint="eastAsia" w:ascii="宋体" w:hAnsi="宋体" w:cs="宋体"/>
                <w:color w:val="auto"/>
                <w:sz w:val="28"/>
              </w:rPr>
              <w:t>采购代理机构：</w:t>
            </w:r>
          </w:p>
        </w:tc>
        <w:tc>
          <w:tcPr>
            <w:tcW w:w="5040" w:type="dxa"/>
            <w:vAlign w:val="center"/>
          </w:tcPr>
          <w:p w14:paraId="215D8D74">
            <w:pPr>
              <w:rPr>
                <w:rFonts w:ascii="宋体" w:hAnsi="宋体" w:cs="宋体"/>
                <w:color w:val="auto"/>
                <w:sz w:val="28"/>
              </w:rPr>
            </w:pPr>
            <w:r>
              <w:rPr>
                <w:rFonts w:hint="eastAsia" w:ascii="宋体" w:hAnsi="宋体" w:cs="宋体"/>
                <w:color w:val="auto"/>
                <w:sz w:val="28"/>
              </w:rPr>
              <w:t>台州市天诚工程造价咨询有限公司</w:t>
            </w:r>
          </w:p>
        </w:tc>
      </w:tr>
      <w:tr w14:paraId="4D3CBAE5">
        <w:tblPrEx>
          <w:tblCellMar>
            <w:top w:w="0" w:type="dxa"/>
            <w:left w:w="108" w:type="dxa"/>
            <w:bottom w:w="0" w:type="dxa"/>
            <w:right w:w="108" w:type="dxa"/>
          </w:tblCellMar>
        </w:tblPrEx>
        <w:trPr>
          <w:trHeight w:val="567" w:hRule="exact"/>
          <w:jc w:val="center"/>
        </w:trPr>
        <w:tc>
          <w:tcPr>
            <w:tcW w:w="2550" w:type="dxa"/>
            <w:vAlign w:val="center"/>
          </w:tcPr>
          <w:p w14:paraId="2837615D">
            <w:pPr>
              <w:rPr>
                <w:rFonts w:ascii="宋体" w:hAnsi="宋体" w:cs="宋体"/>
                <w:color w:val="auto"/>
                <w:sz w:val="28"/>
              </w:rPr>
            </w:pPr>
            <w:r>
              <w:rPr>
                <w:rFonts w:hint="eastAsia" w:ascii="宋体" w:hAnsi="宋体" w:cs="宋体"/>
                <w:color w:val="auto"/>
                <w:sz w:val="28"/>
              </w:rPr>
              <w:t>联系人：</w:t>
            </w:r>
          </w:p>
        </w:tc>
        <w:tc>
          <w:tcPr>
            <w:tcW w:w="5040" w:type="dxa"/>
            <w:vAlign w:val="center"/>
          </w:tcPr>
          <w:p w14:paraId="26FB3FA7">
            <w:pPr>
              <w:rPr>
                <w:rFonts w:ascii="宋体" w:hAnsi="宋体" w:cs="宋体"/>
                <w:color w:val="auto"/>
                <w:sz w:val="28"/>
              </w:rPr>
            </w:pPr>
            <w:r>
              <w:rPr>
                <w:rFonts w:hint="eastAsia" w:ascii="宋体" w:hAnsi="宋体" w:cs="宋体"/>
                <w:color w:val="auto"/>
                <w:sz w:val="28"/>
              </w:rPr>
              <w:t>谷婷婷  褚洪彬</w:t>
            </w:r>
          </w:p>
        </w:tc>
      </w:tr>
      <w:tr w14:paraId="5A0638DA">
        <w:tblPrEx>
          <w:tblCellMar>
            <w:top w:w="0" w:type="dxa"/>
            <w:left w:w="108" w:type="dxa"/>
            <w:bottom w:w="0" w:type="dxa"/>
            <w:right w:w="108" w:type="dxa"/>
          </w:tblCellMar>
        </w:tblPrEx>
        <w:trPr>
          <w:trHeight w:val="567" w:hRule="exact"/>
          <w:jc w:val="center"/>
        </w:trPr>
        <w:tc>
          <w:tcPr>
            <w:tcW w:w="2550" w:type="dxa"/>
            <w:vAlign w:val="center"/>
          </w:tcPr>
          <w:p w14:paraId="4F39E757">
            <w:pPr>
              <w:rPr>
                <w:rFonts w:ascii="宋体" w:hAnsi="宋体" w:cs="宋体"/>
                <w:color w:val="auto"/>
                <w:sz w:val="28"/>
              </w:rPr>
            </w:pPr>
            <w:r>
              <w:rPr>
                <w:rFonts w:hint="eastAsia" w:ascii="宋体" w:hAnsi="宋体" w:cs="宋体"/>
                <w:color w:val="auto"/>
                <w:sz w:val="28"/>
              </w:rPr>
              <w:t>联系电话：</w:t>
            </w:r>
          </w:p>
        </w:tc>
        <w:tc>
          <w:tcPr>
            <w:tcW w:w="5040" w:type="dxa"/>
            <w:vAlign w:val="center"/>
          </w:tcPr>
          <w:p w14:paraId="7E491777">
            <w:pPr>
              <w:rPr>
                <w:rFonts w:ascii="宋体" w:hAnsi="宋体" w:cs="宋体"/>
                <w:color w:val="auto"/>
                <w:sz w:val="28"/>
              </w:rPr>
            </w:pPr>
            <w:r>
              <w:rPr>
                <w:rFonts w:hint="eastAsia" w:ascii="宋体" w:hAnsi="宋体" w:cs="宋体"/>
                <w:color w:val="auto"/>
                <w:sz w:val="28"/>
              </w:rPr>
              <w:t>15968606386  18858644891</w:t>
            </w:r>
          </w:p>
        </w:tc>
      </w:tr>
    </w:tbl>
    <w:p w14:paraId="450BC294">
      <w:pPr>
        <w:rPr>
          <w:rFonts w:ascii="宋体" w:hAnsi="宋体" w:cs="宋体"/>
          <w:b/>
          <w:color w:val="auto"/>
          <w:spacing w:val="20"/>
          <w:kern w:val="21"/>
          <w:sz w:val="30"/>
          <w:szCs w:val="30"/>
        </w:rPr>
      </w:pPr>
    </w:p>
    <w:p w14:paraId="2DE9DDD8">
      <w:pPr>
        <w:pStyle w:val="29"/>
        <w:spacing w:line="240" w:lineRule="auto"/>
        <w:ind w:firstLine="341"/>
        <w:rPr>
          <w:rFonts w:ascii="宋体" w:hAnsi="宋体" w:cs="宋体"/>
          <w:b/>
          <w:color w:val="auto"/>
          <w:spacing w:val="20"/>
          <w:kern w:val="21"/>
          <w:sz w:val="30"/>
          <w:szCs w:val="30"/>
        </w:rPr>
      </w:pPr>
    </w:p>
    <w:p w14:paraId="5DF4D2F1">
      <w:pPr>
        <w:jc w:val="center"/>
        <w:rPr>
          <w:rFonts w:ascii="宋体" w:hAnsi="宋体" w:cs="宋体"/>
          <w:b/>
          <w:color w:val="auto"/>
          <w:spacing w:val="20"/>
          <w:kern w:val="21"/>
          <w:sz w:val="32"/>
          <w:szCs w:val="32"/>
        </w:rPr>
      </w:pPr>
      <w:r>
        <w:rPr>
          <w:rFonts w:hint="eastAsia" w:ascii="宋体" w:hAnsi="宋体" w:cs="宋体"/>
          <w:b/>
          <w:color w:val="auto"/>
          <w:spacing w:val="20"/>
          <w:kern w:val="21"/>
          <w:sz w:val="32"/>
          <w:szCs w:val="32"/>
        </w:rPr>
        <w:t>二〇二五年</w:t>
      </w:r>
      <w:r>
        <w:rPr>
          <w:rFonts w:hint="eastAsia" w:ascii="宋体" w:hAnsi="宋体" w:cs="宋体"/>
          <w:b/>
          <w:color w:val="auto"/>
          <w:spacing w:val="20"/>
          <w:kern w:val="21"/>
          <w:sz w:val="32"/>
          <w:szCs w:val="32"/>
          <w:lang w:val="en-US" w:eastAsia="zh-CN"/>
        </w:rPr>
        <w:t>七</w:t>
      </w:r>
      <w:r>
        <w:rPr>
          <w:rFonts w:hint="eastAsia" w:ascii="宋体" w:hAnsi="宋体" w:cs="宋体"/>
          <w:b/>
          <w:color w:val="auto"/>
          <w:spacing w:val="20"/>
          <w:kern w:val="21"/>
          <w:sz w:val="32"/>
          <w:szCs w:val="32"/>
        </w:rPr>
        <w:t>月</w:t>
      </w:r>
    </w:p>
    <w:p w14:paraId="51CD43F1">
      <w:pPr>
        <w:pStyle w:val="29"/>
        <w:spacing w:line="240" w:lineRule="auto"/>
        <w:ind w:firstLine="0" w:firstLineChars="0"/>
        <w:rPr>
          <w:rFonts w:ascii="宋体" w:hAnsi="宋体" w:cs="宋体"/>
          <w:color w:val="auto"/>
        </w:rPr>
        <w:sectPr>
          <w:pgSz w:w="11905" w:h="16838"/>
          <w:pgMar w:top="1440" w:right="1080" w:bottom="1440" w:left="1080" w:header="851" w:footer="992" w:gutter="0"/>
          <w:cols w:space="720" w:num="1"/>
          <w:docGrid w:type="lines" w:linePitch="304" w:charSpace="0"/>
        </w:sectPr>
      </w:pPr>
    </w:p>
    <w:p w14:paraId="4A38B146">
      <w:pPr>
        <w:jc w:val="center"/>
        <w:rPr>
          <w:rFonts w:ascii="宋体" w:hAnsi="宋体" w:cs="宋体"/>
          <w:b/>
          <w:bCs/>
          <w:color w:val="auto"/>
          <w:sz w:val="36"/>
          <w:szCs w:val="36"/>
        </w:rPr>
      </w:pPr>
      <w:r>
        <w:rPr>
          <w:rFonts w:hint="eastAsia" w:ascii="宋体" w:hAnsi="宋体" w:cs="宋体"/>
          <w:b/>
          <w:bCs/>
          <w:color w:val="auto"/>
          <w:sz w:val="36"/>
          <w:szCs w:val="36"/>
        </w:rPr>
        <w:t>目  录</w:t>
      </w:r>
    </w:p>
    <w:p w14:paraId="04438160">
      <w:pPr>
        <w:pStyle w:val="2"/>
        <w:spacing w:line="240" w:lineRule="auto"/>
        <w:rPr>
          <w:rFonts w:ascii="宋体" w:hAnsi="宋体" w:cs="宋体"/>
          <w:color w:val="auto"/>
        </w:rPr>
      </w:pPr>
    </w:p>
    <w:p w14:paraId="502F1060">
      <w:pPr>
        <w:pStyle w:val="23"/>
        <w:tabs>
          <w:tab w:val="right" w:leader="dot" w:pos="9745"/>
          <w:tab w:val="clear" w:pos="9060"/>
          <w:tab w:val="clear" w:pos="9170"/>
        </w:tabs>
        <w:spacing w:line="480" w:lineRule="auto"/>
        <w:rPr>
          <w:rFonts w:ascii="宋体" w:hAnsi="宋体" w:eastAsia="宋体" w:cs="宋体"/>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TOC \o "1-2" \h \u </w:instrText>
      </w:r>
      <w:r>
        <w:rPr>
          <w:rFonts w:hint="eastAsia" w:ascii="宋体" w:hAnsi="宋体" w:eastAsia="宋体" w:cs="宋体"/>
          <w:color w:val="auto"/>
          <w:sz w:val="28"/>
          <w:szCs w:val="28"/>
        </w:rPr>
        <w:fldChar w:fldCharType="separate"/>
      </w:r>
      <w:r>
        <w:rPr>
          <w:color w:val="auto"/>
        </w:rPr>
        <w:fldChar w:fldCharType="begin"/>
      </w:r>
      <w:r>
        <w:rPr>
          <w:color w:val="auto"/>
        </w:rPr>
        <w:instrText xml:space="preserve"> HYPERLINK \l "_Toc32317" </w:instrText>
      </w:r>
      <w:r>
        <w:rPr>
          <w:color w:val="auto"/>
        </w:rPr>
        <w:fldChar w:fldCharType="separate"/>
      </w:r>
      <w:r>
        <w:rPr>
          <w:rFonts w:hint="eastAsia" w:ascii="宋体" w:hAnsi="宋体" w:eastAsia="宋体" w:cs="宋体"/>
          <w:color w:val="auto"/>
          <w:sz w:val="28"/>
          <w:szCs w:val="28"/>
        </w:rPr>
        <w:t>第一章 招标公告</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_Toc32317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1</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fldChar w:fldCharType="end"/>
      </w:r>
    </w:p>
    <w:p w14:paraId="2731C196">
      <w:pPr>
        <w:pStyle w:val="23"/>
        <w:tabs>
          <w:tab w:val="right" w:leader="dot" w:pos="9745"/>
          <w:tab w:val="clear" w:pos="9060"/>
          <w:tab w:val="clear" w:pos="9170"/>
        </w:tabs>
        <w:spacing w:line="480" w:lineRule="auto"/>
        <w:rPr>
          <w:rFonts w:ascii="宋体" w:hAnsi="宋体" w:eastAsia="宋体" w:cs="宋体"/>
          <w:color w:val="auto"/>
          <w:sz w:val="28"/>
          <w:szCs w:val="28"/>
        </w:rPr>
      </w:pPr>
      <w:r>
        <w:rPr>
          <w:color w:val="auto"/>
        </w:rPr>
        <w:fldChar w:fldCharType="begin"/>
      </w:r>
      <w:r>
        <w:rPr>
          <w:color w:val="auto"/>
        </w:rPr>
        <w:instrText xml:space="preserve"> HYPERLINK \l "_Toc702" </w:instrText>
      </w:r>
      <w:r>
        <w:rPr>
          <w:color w:val="auto"/>
        </w:rPr>
        <w:fldChar w:fldCharType="separate"/>
      </w:r>
      <w:r>
        <w:rPr>
          <w:rFonts w:hint="eastAsia" w:ascii="宋体" w:hAnsi="宋体" w:eastAsia="宋体" w:cs="宋体"/>
          <w:color w:val="auto"/>
          <w:sz w:val="28"/>
          <w:szCs w:val="28"/>
        </w:rPr>
        <w:t>第二章 投标人须知</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_Toc702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4</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fldChar w:fldCharType="end"/>
      </w:r>
    </w:p>
    <w:p w14:paraId="0E811968">
      <w:pPr>
        <w:pStyle w:val="26"/>
        <w:tabs>
          <w:tab w:val="right" w:leader="dot" w:pos="9745"/>
          <w:tab w:val="clear" w:pos="9170"/>
        </w:tabs>
        <w:spacing w:line="480" w:lineRule="auto"/>
        <w:rPr>
          <w:rFonts w:ascii="宋体" w:hAnsi="宋体" w:cs="宋体"/>
          <w:color w:val="auto"/>
          <w:sz w:val="28"/>
          <w:szCs w:val="28"/>
        </w:rPr>
      </w:pPr>
      <w:r>
        <w:rPr>
          <w:color w:val="auto"/>
        </w:rPr>
        <w:fldChar w:fldCharType="begin"/>
      </w:r>
      <w:r>
        <w:rPr>
          <w:color w:val="auto"/>
        </w:rPr>
        <w:instrText xml:space="preserve"> HYPERLINK \l "_Toc25504" </w:instrText>
      </w:r>
      <w:r>
        <w:rPr>
          <w:color w:val="auto"/>
        </w:rPr>
        <w:fldChar w:fldCharType="separate"/>
      </w:r>
      <w:r>
        <w:rPr>
          <w:rFonts w:hint="eastAsia" w:ascii="宋体" w:hAnsi="宋体" w:cs="宋体"/>
          <w:bCs/>
          <w:color w:val="auto"/>
          <w:sz w:val="28"/>
          <w:szCs w:val="28"/>
        </w:rPr>
        <w:t>投标人须知前附表</w:t>
      </w:r>
      <w:r>
        <w:rPr>
          <w:rFonts w:hint="eastAsia" w:ascii="宋体" w:hAnsi="宋体" w:cs="宋体"/>
          <w:color w:val="auto"/>
          <w:sz w:val="28"/>
          <w:szCs w:val="28"/>
        </w:rPr>
        <w:tab/>
      </w:r>
      <w:r>
        <w:rPr>
          <w:rFonts w:hint="eastAsia" w:ascii="宋体" w:hAnsi="宋体" w:cs="宋体"/>
          <w:color w:val="auto"/>
          <w:sz w:val="28"/>
          <w:szCs w:val="28"/>
        </w:rPr>
        <w:fldChar w:fldCharType="begin"/>
      </w:r>
      <w:r>
        <w:rPr>
          <w:rFonts w:hint="eastAsia" w:ascii="宋体" w:hAnsi="宋体" w:cs="宋体"/>
          <w:color w:val="auto"/>
          <w:sz w:val="28"/>
          <w:szCs w:val="28"/>
        </w:rPr>
        <w:instrText xml:space="preserve"> PAGEREF _Toc25504 \h </w:instrText>
      </w:r>
      <w:r>
        <w:rPr>
          <w:rFonts w:hint="eastAsia" w:ascii="宋体" w:hAnsi="宋体" w:cs="宋体"/>
          <w:color w:val="auto"/>
          <w:sz w:val="28"/>
          <w:szCs w:val="28"/>
        </w:rPr>
        <w:fldChar w:fldCharType="separate"/>
      </w:r>
      <w:r>
        <w:rPr>
          <w:rFonts w:hint="eastAsia" w:ascii="宋体" w:hAnsi="宋体" w:cs="宋体"/>
          <w:color w:val="auto"/>
          <w:sz w:val="28"/>
          <w:szCs w:val="28"/>
        </w:rPr>
        <w:t>4</w:t>
      </w:r>
      <w:r>
        <w:rPr>
          <w:rFonts w:hint="eastAsia" w:ascii="宋体" w:hAnsi="宋体" w:cs="宋体"/>
          <w:color w:val="auto"/>
          <w:sz w:val="28"/>
          <w:szCs w:val="28"/>
        </w:rPr>
        <w:fldChar w:fldCharType="end"/>
      </w:r>
      <w:r>
        <w:rPr>
          <w:rFonts w:hint="eastAsia" w:ascii="宋体" w:hAnsi="宋体" w:cs="宋体"/>
          <w:color w:val="auto"/>
          <w:sz w:val="28"/>
          <w:szCs w:val="28"/>
        </w:rPr>
        <w:fldChar w:fldCharType="end"/>
      </w:r>
    </w:p>
    <w:p w14:paraId="4BD6C1EE">
      <w:pPr>
        <w:pStyle w:val="26"/>
        <w:tabs>
          <w:tab w:val="right" w:leader="dot" w:pos="9745"/>
          <w:tab w:val="clear" w:pos="9170"/>
        </w:tabs>
        <w:spacing w:line="480" w:lineRule="auto"/>
        <w:rPr>
          <w:rFonts w:ascii="宋体" w:hAnsi="宋体" w:cs="宋体"/>
          <w:color w:val="auto"/>
          <w:sz w:val="28"/>
          <w:szCs w:val="28"/>
        </w:rPr>
      </w:pPr>
      <w:r>
        <w:rPr>
          <w:color w:val="auto"/>
        </w:rPr>
        <w:fldChar w:fldCharType="begin"/>
      </w:r>
      <w:r>
        <w:rPr>
          <w:color w:val="auto"/>
        </w:rPr>
        <w:instrText xml:space="preserve"> HYPERLINK \l "_Toc2872" </w:instrText>
      </w:r>
      <w:r>
        <w:rPr>
          <w:color w:val="auto"/>
        </w:rPr>
        <w:fldChar w:fldCharType="separate"/>
      </w:r>
      <w:r>
        <w:rPr>
          <w:rFonts w:hint="eastAsia" w:ascii="宋体" w:hAnsi="宋体" w:cs="宋体"/>
          <w:bCs/>
          <w:color w:val="auto"/>
          <w:sz w:val="28"/>
          <w:szCs w:val="28"/>
        </w:rPr>
        <w:t>第一节  总 则</w:t>
      </w:r>
      <w:r>
        <w:rPr>
          <w:rFonts w:hint="eastAsia" w:ascii="宋体" w:hAnsi="宋体" w:cs="宋体"/>
          <w:color w:val="auto"/>
          <w:sz w:val="28"/>
          <w:szCs w:val="28"/>
        </w:rPr>
        <w:tab/>
      </w:r>
      <w:r>
        <w:rPr>
          <w:rFonts w:hint="eastAsia" w:ascii="宋体" w:hAnsi="宋体" w:cs="宋体"/>
          <w:color w:val="auto"/>
          <w:sz w:val="28"/>
          <w:szCs w:val="28"/>
        </w:rPr>
        <w:fldChar w:fldCharType="begin"/>
      </w:r>
      <w:r>
        <w:rPr>
          <w:rFonts w:hint="eastAsia" w:ascii="宋体" w:hAnsi="宋体" w:cs="宋体"/>
          <w:color w:val="auto"/>
          <w:sz w:val="28"/>
          <w:szCs w:val="28"/>
        </w:rPr>
        <w:instrText xml:space="preserve"> PAGEREF _Toc2872 \h </w:instrText>
      </w:r>
      <w:r>
        <w:rPr>
          <w:rFonts w:hint="eastAsia" w:ascii="宋体" w:hAnsi="宋体" w:cs="宋体"/>
          <w:color w:val="auto"/>
          <w:sz w:val="28"/>
          <w:szCs w:val="28"/>
        </w:rPr>
        <w:fldChar w:fldCharType="separate"/>
      </w:r>
      <w:r>
        <w:rPr>
          <w:rFonts w:hint="eastAsia" w:ascii="宋体" w:hAnsi="宋体" w:cs="宋体"/>
          <w:color w:val="auto"/>
          <w:sz w:val="28"/>
          <w:szCs w:val="28"/>
        </w:rPr>
        <w:t>9</w:t>
      </w:r>
      <w:r>
        <w:rPr>
          <w:rFonts w:hint="eastAsia" w:ascii="宋体" w:hAnsi="宋体" w:cs="宋体"/>
          <w:color w:val="auto"/>
          <w:sz w:val="28"/>
          <w:szCs w:val="28"/>
        </w:rPr>
        <w:fldChar w:fldCharType="end"/>
      </w:r>
      <w:r>
        <w:rPr>
          <w:rFonts w:hint="eastAsia" w:ascii="宋体" w:hAnsi="宋体" w:cs="宋体"/>
          <w:color w:val="auto"/>
          <w:sz w:val="28"/>
          <w:szCs w:val="28"/>
        </w:rPr>
        <w:fldChar w:fldCharType="end"/>
      </w:r>
    </w:p>
    <w:p w14:paraId="053CD014">
      <w:pPr>
        <w:pStyle w:val="26"/>
        <w:tabs>
          <w:tab w:val="right" w:leader="dot" w:pos="9745"/>
          <w:tab w:val="clear" w:pos="9170"/>
        </w:tabs>
        <w:spacing w:line="480" w:lineRule="auto"/>
        <w:rPr>
          <w:rFonts w:ascii="宋体" w:hAnsi="宋体" w:cs="宋体"/>
          <w:color w:val="auto"/>
          <w:sz w:val="28"/>
          <w:szCs w:val="28"/>
        </w:rPr>
      </w:pPr>
      <w:r>
        <w:rPr>
          <w:color w:val="auto"/>
        </w:rPr>
        <w:fldChar w:fldCharType="begin"/>
      </w:r>
      <w:r>
        <w:rPr>
          <w:color w:val="auto"/>
        </w:rPr>
        <w:instrText xml:space="preserve"> HYPERLINK \l "_Toc13674" </w:instrText>
      </w:r>
      <w:r>
        <w:rPr>
          <w:color w:val="auto"/>
        </w:rPr>
        <w:fldChar w:fldCharType="separate"/>
      </w:r>
      <w:r>
        <w:rPr>
          <w:rFonts w:hint="eastAsia" w:ascii="宋体" w:hAnsi="宋体" w:cs="宋体"/>
          <w:bCs/>
          <w:color w:val="auto"/>
          <w:sz w:val="28"/>
          <w:szCs w:val="28"/>
        </w:rPr>
        <w:t>第二节  采购文件</w:t>
      </w:r>
      <w:r>
        <w:rPr>
          <w:rFonts w:hint="eastAsia" w:ascii="宋体" w:hAnsi="宋体" w:cs="宋体"/>
          <w:color w:val="auto"/>
          <w:sz w:val="28"/>
          <w:szCs w:val="28"/>
        </w:rPr>
        <w:tab/>
      </w:r>
      <w:r>
        <w:rPr>
          <w:rFonts w:hint="eastAsia" w:ascii="宋体" w:hAnsi="宋体" w:cs="宋体"/>
          <w:color w:val="auto"/>
          <w:sz w:val="28"/>
          <w:szCs w:val="28"/>
        </w:rPr>
        <w:fldChar w:fldCharType="begin"/>
      </w:r>
      <w:r>
        <w:rPr>
          <w:rFonts w:hint="eastAsia" w:ascii="宋体" w:hAnsi="宋体" w:cs="宋体"/>
          <w:color w:val="auto"/>
          <w:sz w:val="28"/>
          <w:szCs w:val="28"/>
        </w:rPr>
        <w:instrText xml:space="preserve"> PAGEREF _Toc13674 \h </w:instrText>
      </w:r>
      <w:r>
        <w:rPr>
          <w:rFonts w:hint="eastAsia" w:ascii="宋体" w:hAnsi="宋体" w:cs="宋体"/>
          <w:color w:val="auto"/>
          <w:sz w:val="28"/>
          <w:szCs w:val="28"/>
        </w:rPr>
        <w:fldChar w:fldCharType="separate"/>
      </w:r>
      <w:r>
        <w:rPr>
          <w:rFonts w:hint="eastAsia" w:ascii="宋体" w:hAnsi="宋体" w:cs="宋体"/>
          <w:color w:val="auto"/>
          <w:sz w:val="28"/>
          <w:szCs w:val="28"/>
        </w:rPr>
        <w:t>11</w:t>
      </w:r>
      <w:r>
        <w:rPr>
          <w:rFonts w:hint="eastAsia" w:ascii="宋体" w:hAnsi="宋体" w:cs="宋体"/>
          <w:color w:val="auto"/>
          <w:sz w:val="28"/>
          <w:szCs w:val="28"/>
        </w:rPr>
        <w:fldChar w:fldCharType="end"/>
      </w:r>
      <w:r>
        <w:rPr>
          <w:rFonts w:hint="eastAsia" w:ascii="宋体" w:hAnsi="宋体" w:cs="宋体"/>
          <w:color w:val="auto"/>
          <w:sz w:val="28"/>
          <w:szCs w:val="28"/>
        </w:rPr>
        <w:fldChar w:fldCharType="end"/>
      </w:r>
    </w:p>
    <w:p w14:paraId="0E721C3F">
      <w:pPr>
        <w:pStyle w:val="26"/>
        <w:tabs>
          <w:tab w:val="right" w:leader="dot" w:pos="9745"/>
          <w:tab w:val="clear" w:pos="9170"/>
        </w:tabs>
        <w:spacing w:line="480" w:lineRule="auto"/>
        <w:rPr>
          <w:rFonts w:ascii="宋体" w:hAnsi="宋体" w:cs="宋体"/>
          <w:color w:val="auto"/>
          <w:sz w:val="28"/>
          <w:szCs w:val="28"/>
        </w:rPr>
      </w:pPr>
      <w:r>
        <w:rPr>
          <w:color w:val="auto"/>
        </w:rPr>
        <w:fldChar w:fldCharType="begin"/>
      </w:r>
      <w:r>
        <w:rPr>
          <w:color w:val="auto"/>
        </w:rPr>
        <w:instrText xml:space="preserve"> HYPERLINK \l "_Toc5331" </w:instrText>
      </w:r>
      <w:r>
        <w:rPr>
          <w:color w:val="auto"/>
        </w:rPr>
        <w:fldChar w:fldCharType="separate"/>
      </w:r>
      <w:r>
        <w:rPr>
          <w:rFonts w:hint="eastAsia" w:ascii="宋体" w:hAnsi="宋体" w:cs="宋体"/>
          <w:bCs/>
          <w:color w:val="auto"/>
          <w:sz w:val="28"/>
          <w:szCs w:val="28"/>
        </w:rPr>
        <w:t>第三节  投标文件</w:t>
      </w:r>
      <w:r>
        <w:rPr>
          <w:rFonts w:hint="eastAsia" w:ascii="宋体" w:hAnsi="宋体" w:cs="宋体"/>
          <w:color w:val="auto"/>
          <w:sz w:val="28"/>
          <w:szCs w:val="28"/>
        </w:rPr>
        <w:tab/>
      </w:r>
      <w:r>
        <w:rPr>
          <w:rFonts w:hint="eastAsia" w:ascii="宋体" w:hAnsi="宋体" w:cs="宋体"/>
          <w:color w:val="auto"/>
          <w:sz w:val="28"/>
          <w:szCs w:val="28"/>
        </w:rPr>
        <w:fldChar w:fldCharType="begin"/>
      </w:r>
      <w:r>
        <w:rPr>
          <w:rFonts w:hint="eastAsia" w:ascii="宋体" w:hAnsi="宋体" w:cs="宋体"/>
          <w:color w:val="auto"/>
          <w:sz w:val="28"/>
          <w:szCs w:val="28"/>
        </w:rPr>
        <w:instrText xml:space="preserve"> PAGEREF _Toc5331 \h </w:instrText>
      </w:r>
      <w:r>
        <w:rPr>
          <w:rFonts w:hint="eastAsia" w:ascii="宋体" w:hAnsi="宋体" w:cs="宋体"/>
          <w:color w:val="auto"/>
          <w:sz w:val="28"/>
          <w:szCs w:val="28"/>
        </w:rPr>
        <w:fldChar w:fldCharType="separate"/>
      </w:r>
      <w:r>
        <w:rPr>
          <w:rFonts w:hint="eastAsia" w:ascii="宋体" w:hAnsi="宋体" w:cs="宋体"/>
          <w:color w:val="auto"/>
          <w:sz w:val="28"/>
          <w:szCs w:val="28"/>
        </w:rPr>
        <w:t>12</w:t>
      </w:r>
      <w:r>
        <w:rPr>
          <w:rFonts w:hint="eastAsia" w:ascii="宋体" w:hAnsi="宋体" w:cs="宋体"/>
          <w:color w:val="auto"/>
          <w:sz w:val="28"/>
          <w:szCs w:val="28"/>
        </w:rPr>
        <w:fldChar w:fldCharType="end"/>
      </w:r>
      <w:r>
        <w:rPr>
          <w:rFonts w:hint="eastAsia" w:ascii="宋体" w:hAnsi="宋体" w:cs="宋体"/>
          <w:color w:val="auto"/>
          <w:sz w:val="28"/>
          <w:szCs w:val="28"/>
        </w:rPr>
        <w:fldChar w:fldCharType="end"/>
      </w:r>
    </w:p>
    <w:p w14:paraId="3BBB8464">
      <w:pPr>
        <w:pStyle w:val="26"/>
        <w:tabs>
          <w:tab w:val="right" w:leader="dot" w:pos="9745"/>
          <w:tab w:val="clear" w:pos="9170"/>
        </w:tabs>
        <w:spacing w:line="480" w:lineRule="auto"/>
        <w:rPr>
          <w:rFonts w:ascii="宋体" w:hAnsi="宋体" w:cs="宋体"/>
          <w:color w:val="auto"/>
          <w:sz w:val="28"/>
          <w:szCs w:val="28"/>
        </w:rPr>
      </w:pPr>
      <w:r>
        <w:rPr>
          <w:color w:val="auto"/>
        </w:rPr>
        <w:fldChar w:fldCharType="begin"/>
      </w:r>
      <w:r>
        <w:rPr>
          <w:color w:val="auto"/>
        </w:rPr>
        <w:instrText xml:space="preserve"> HYPERLINK \l "_Toc22990" </w:instrText>
      </w:r>
      <w:r>
        <w:rPr>
          <w:color w:val="auto"/>
        </w:rPr>
        <w:fldChar w:fldCharType="separate"/>
      </w:r>
      <w:r>
        <w:rPr>
          <w:rFonts w:hint="eastAsia" w:ascii="宋体" w:hAnsi="宋体" w:cs="宋体"/>
          <w:bCs/>
          <w:color w:val="auto"/>
          <w:sz w:val="28"/>
          <w:szCs w:val="28"/>
        </w:rPr>
        <w:t>第四节  投 标</w:t>
      </w:r>
      <w:r>
        <w:rPr>
          <w:rFonts w:hint="eastAsia" w:ascii="宋体" w:hAnsi="宋体" w:cs="宋体"/>
          <w:color w:val="auto"/>
          <w:sz w:val="28"/>
          <w:szCs w:val="28"/>
        </w:rPr>
        <w:tab/>
      </w:r>
      <w:r>
        <w:rPr>
          <w:rFonts w:hint="eastAsia" w:ascii="宋体" w:hAnsi="宋体" w:cs="宋体"/>
          <w:color w:val="auto"/>
          <w:sz w:val="28"/>
          <w:szCs w:val="28"/>
        </w:rPr>
        <w:fldChar w:fldCharType="begin"/>
      </w:r>
      <w:r>
        <w:rPr>
          <w:rFonts w:hint="eastAsia" w:ascii="宋体" w:hAnsi="宋体" w:cs="宋体"/>
          <w:color w:val="auto"/>
          <w:sz w:val="28"/>
          <w:szCs w:val="28"/>
        </w:rPr>
        <w:instrText xml:space="preserve"> PAGEREF _Toc22990 \h </w:instrText>
      </w:r>
      <w:r>
        <w:rPr>
          <w:rFonts w:hint="eastAsia" w:ascii="宋体" w:hAnsi="宋体" w:cs="宋体"/>
          <w:color w:val="auto"/>
          <w:sz w:val="28"/>
          <w:szCs w:val="28"/>
        </w:rPr>
        <w:fldChar w:fldCharType="separate"/>
      </w:r>
      <w:r>
        <w:rPr>
          <w:rFonts w:hint="eastAsia" w:ascii="宋体" w:hAnsi="宋体" w:cs="宋体"/>
          <w:color w:val="auto"/>
          <w:sz w:val="28"/>
          <w:szCs w:val="28"/>
        </w:rPr>
        <w:t>16</w:t>
      </w:r>
      <w:r>
        <w:rPr>
          <w:rFonts w:hint="eastAsia" w:ascii="宋体" w:hAnsi="宋体" w:cs="宋体"/>
          <w:color w:val="auto"/>
          <w:sz w:val="28"/>
          <w:szCs w:val="28"/>
        </w:rPr>
        <w:fldChar w:fldCharType="end"/>
      </w:r>
      <w:r>
        <w:rPr>
          <w:rFonts w:hint="eastAsia" w:ascii="宋体" w:hAnsi="宋体" w:cs="宋体"/>
          <w:color w:val="auto"/>
          <w:sz w:val="28"/>
          <w:szCs w:val="28"/>
        </w:rPr>
        <w:fldChar w:fldCharType="end"/>
      </w:r>
    </w:p>
    <w:p w14:paraId="2C8322A4">
      <w:pPr>
        <w:pStyle w:val="26"/>
        <w:tabs>
          <w:tab w:val="right" w:leader="dot" w:pos="9745"/>
          <w:tab w:val="clear" w:pos="9170"/>
        </w:tabs>
        <w:spacing w:line="480" w:lineRule="auto"/>
        <w:rPr>
          <w:rFonts w:ascii="宋体" w:hAnsi="宋体" w:cs="宋体"/>
          <w:color w:val="auto"/>
          <w:sz w:val="28"/>
          <w:szCs w:val="28"/>
        </w:rPr>
      </w:pPr>
      <w:r>
        <w:rPr>
          <w:color w:val="auto"/>
        </w:rPr>
        <w:fldChar w:fldCharType="begin"/>
      </w:r>
      <w:r>
        <w:rPr>
          <w:color w:val="auto"/>
        </w:rPr>
        <w:instrText xml:space="preserve"> HYPERLINK \l "_Toc10662" </w:instrText>
      </w:r>
      <w:r>
        <w:rPr>
          <w:color w:val="auto"/>
        </w:rPr>
        <w:fldChar w:fldCharType="separate"/>
      </w:r>
      <w:r>
        <w:rPr>
          <w:rFonts w:hint="eastAsia" w:ascii="宋体" w:hAnsi="宋体" w:cs="宋体"/>
          <w:bCs/>
          <w:color w:val="auto"/>
          <w:sz w:val="28"/>
          <w:szCs w:val="28"/>
        </w:rPr>
        <w:t>第五节  开 标</w:t>
      </w:r>
      <w:r>
        <w:rPr>
          <w:rFonts w:hint="eastAsia" w:ascii="宋体" w:hAnsi="宋体" w:cs="宋体"/>
          <w:color w:val="auto"/>
          <w:sz w:val="28"/>
          <w:szCs w:val="28"/>
        </w:rPr>
        <w:tab/>
      </w:r>
      <w:r>
        <w:rPr>
          <w:rFonts w:hint="eastAsia" w:ascii="宋体" w:hAnsi="宋体" w:cs="宋体"/>
          <w:color w:val="auto"/>
          <w:sz w:val="28"/>
          <w:szCs w:val="28"/>
        </w:rPr>
        <w:fldChar w:fldCharType="begin"/>
      </w:r>
      <w:r>
        <w:rPr>
          <w:rFonts w:hint="eastAsia" w:ascii="宋体" w:hAnsi="宋体" w:cs="宋体"/>
          <w:color w:val="auto"/>
          <w:sz w:val="28"/>
          <w:szCs w:val="28"/>
        </w:rPr>
        <w:instrText xml:space="preserve"> PAGEREF _Toc10662 \h </w:instrText>
      </w:r>
      <w:r>
        <w:rPr>
          <w:rFonts w:hint="eastAsia" w:ascii="宋体" w:hAnsi="宋体" w:cs="宋体"/>
          <w:color w:val="auto"/>
          <w:sz w:val="28"/>
          <w:szCs w:val="28"/>
        </w:rPr>
        <w:fldChar w:fldCharType="separate"/>
      </w:r>
      <w:r>
        <w:rPr>
          <w:rFonts w:hint="eastAsia" w:ascii="宋体" w:hAnsi="宋体" w:cs="宋体"/>
          <w:color w:val="auto"/>
          <w:sz w:val="28"/>
          <w:szCs w:val="28"/>
        </w:rPr>
        <w:t>17</w:t>
      </w:r>
      <w:r>
        <w:rPr>
          <w:rFonts w:hint="eastAsia" w:ascii="宋体" w:hAnsi="宋体" w:cs="宋体"/>
          <w:color w:val="auto"/>
          <w:sz w:val="28"/>
          <w:szCs w:val="28"/>
        </w:rPr>
        <w:fldChar w:fldCharType="end"/>
      </w:r>
      <w:r>
        <w:rPr>
          <w:rFonts w:hint="eastAsia" w:ascii="宋体" w:hAnsi="宋体" w:cs="宋体"/>
          <w:color w:val="auto"/>
          <w:sz w:val="28"/>
          <w:szCs w:val="28"/>
        </w:rPr>
        <w:fldChar w:fldCharType="end"/>
      </w:r>
    </w:p>
    <w:p w14:paraId="662638EE">
      <w:pPr>
        <w:pStyle w:val="26"/>
        <w:tabs>
          <w:tab w:val="right" w:leader="dot" w:pos="9745"/>
          <w:tab w:val="clear" w:pos="9170"/>
        </w:tabs>
        <w:spacing w:line="480" w:lineRule="auto"/>
        <w:rPr>
          <w:rFonts w:ascii="宋体" w:hAnsi="宋体" w:cs="宋体"/>
          <w:color w:val="auto"/>
          <w:sz w:val="28"/>
          <w:szCs w:val="28"/>
        </w:rPr>
      </w:pPr>
      <w:r>
        <w:rPr>
          <w:color w:val="auto"/>
        </w:rPr>
        <w:fldChar w:fldCharType="begin"/>
      </w:r>
      <w:r>
        <w:rPr>
          <w:color w:val="auto"/>
        </w:rPr>
        <w:instrText xml:space="preserve"> HYPERLINK \l "_Toc17521" </w:instrText>
      </w:r>
      <w:r>
        <w:rPr>
          <w:color w:val="auto"/>
        </w:rPr>
        <w:fldChar w:fldCharType="separate"/>
      </w:r>
      <w:r>
        <w:rPr>
          <w:rFonts w:hint="eastAsia" w:ascii="宋体" w:hAnsi="宋体" w:cs="宋体"/>
          <w:bCs/>
          <w:color w:val="auto"/>
          <w:sz w:val="28"/>
          <w:szCs w:val="28"/>
        </w:rPr>
        <w:t>第六节  评 标</w:t>
      </w:r>
      <w:r>
        <w:rPr>
          <w:rFonts w:hint="eastAsia" w:ascii="宋体" w:hAnsi="宋体" w:cs="宋体"/>
          <w:color w:val="auto"/>
          <w:sz w:val="28"/>
          <w:szCs w:val="28"/>
        </w:rPr>
        <w:tab/>
      </w:r>
      <w:r>
        <w:rPr>
          <w:rFonts w:hint="eastAsia" w:ascii="宋体" w:hAnsi="宋体" w:cs="宋体"/>
          <w:color w:val="auto"/>
          <w:sz w:val="28"/>
          <w:szCs w:val="28"/>
        </w:rPr>
        <w:fldChar w:fldCharType="begin"/>
      </w:r>
      <w:r>
        <w:rPr>
          <w:rFonts w:hint="eastAsia" w:ascii="宋体" w:hAnsi="宋体" w:cs="宋体"/>
          <w:color w:val="auto"/>
          <w:sz w:val="28"/>
          <w:szCs w:val="28"/>
        </w:rPr>
        <w:instrText xml:space="preserve"> PAGEREF _Toc17521 \h </w:instrText>
      </w:r>
      <w:r>
        <w:rPr>
          <w:rFonts w:hint="eastAsia" w:ascii="宋体" w:hAnsi="宋体" w:cs="宋体"/>
          <w:color w:val="auto"/>
          <w:sz w:val="28"/>
          <w:szCs w:val="28"/>
        </w:rPr>
        <w:fldChar w:fldCharType="separate"/>
      </w:r>
      <w:r>
        <w:rPr>
          <w:rFonts w:hint="eastAsia" w:ascii="宋体" w:hAnsi="宋体" w:cs="宋体"/>
          <w:color w:val="auto"/>
          <w:sz w:val="28"/>
          <w:szCs w:val="28"/>
        </w:rPr>
        <w:t>18</w:t>
      </w:r>
      <w:r>
        <w:rPr>
          <w:rFonts w:hint="eastAsia" w:ascii="宋体" w:hAnsi="宋体" w:cs="宋体"/>
          <w:color w:val="auto"/>
          <w:sz w:val="28"/>
          <w:szCs w:val="28"/>
        </w:rPr>
        <w:fldChar w:fldCharType="end"/>
      </w:r>
      <w:r>
        <w:rPr>
          <w:rFonts w:hint="eastAsia" w:ascii="宋体" w:hAnsi="宋体" w:cs="宋体"/>
          <w:color w:val="auto"/>
          <w:sz w:val="28"/>
          <w:szCs w:val="28"/>
        </w:rPr>
        <w:fldChar w:fldCharType="end"/>
      </w:r>
    </w:p>
    <w:p w14:paraId="7BE5F494">
      <w:pPr>
        <w:pStyle w:val="26"/>
        <w:tabs>
          <w:tab w:val="right" w:leader="dot" w:pos="9745"/>
          <w:tab w:val="clear" w:pos="9170"/>
        </w:tabs>
        <w:spacing w:line="480" w:lineRule="auto"/>
        <w:rPr>
          <w:rFonts w:ascii="宋体" w:hAnsi="宋体" w:cs="宋体"/>
          <w:color w:val="auto"/>
          <w:sz w:val="28"/>
          <w:szCs w:val="28"/>
        </w:rPr>
      </w:pPr>
      <w:r>
        <w:rPr>
          <w:color w:val="auto"/>
        </w:rPr>
        <w:fldChar w:fldCharType="begin"/>
      </w:r>
      <w:r>
        <w:rPr>
          <w:color w:val="auto"/>
        </w:rPr>
        <w:instrText xml:space="preserve"> HYPERLINK \l "_Toc24840" </w:instrText>
      </w:r>
      <w:r>
        <w:rPr>
          <w:color w:val="auto"/>
        </w:rPr>
        <w:fldChar w:fldCharType="separate"/>
      </w:r>
      <w:r>
        <w:rPr>
          <w:rFonts w:hint="eastAsia" w:ascii="宋体" w:hAnsi="宋体" w:cs="宋体"/>
          <w:bCs/>
          <w:color w:val="auto"/>
          <w:sz w:val="28"/>
          <w:szCs w:val="28"/>
        </w:rPr>
        <w:t>第七节  定 标</w:t>
      </w:r>
      <w:r>
        <w:rPr>
          <w:rFonts w:hint="eastAsia" w:ascii="宋体" w:hAnsi="宋体" w:cs="宋体"/>
          <w:color w:val="auto"/>
          <w:sz w:val="28"/>
          <w:szCs w:val="28"/>
        </w:rPr>
        <w:tab/>
      </w:r>
      <w:r>
        <w:rPr>
          <w:rFonts w:hint="eastAsia" w:ascii="宋体" w:hAnsi="宋体" w:cs="宋体"/>
          <w:color w:val="auto"/>
          <w:sz w:val="28"/>
          <w:szCs w:val="28"/>
        </w:rPr>
        <w:fldChar w:fldCharType="begin"/>
      </w:r>
      <w:r>
        <w:rPr>
          <w:rFonts w:hint="eastAsia" w:ascii="宋体" w:hAnsi="宋体" w:cs="宋体"/>
          <w:color w:val="auto"/>
          <w:sz w:val="28"/>
          <w:szCs w:val="28"/>
        </w:rPr>
        <w:instrText xml:space="preserve"> PAGEREF _Toc24840 \h </w:instrText>
      </w:r>
      <w:r>
        <w:rPr>
          <w:rFonts w:hint="eastAsia" w:ascii="宋体" w:hAnsi="宋体" w:cs="宋体"/>
          <w:color w:val="auto"/>
          <w:sz w:val="28"/>
          <w:szCs w:val="28"/>
        </w:rPr>
        <w:fldChar w:fldCharType="separate"/>
      </w:r>
      <w:r>
        <w:rPr>
          <w:rFonts w:hint="eastAsia" w:ascii="宋体" w:hAnsi="宋体" w:cs="宋体"/>
          <w:color w:val="auto"/>
          <w:sz w:val="28"/>
          <w:szCs w:val="28"/>
        </w:rPr>
        <w:t>22</w:t>
      </w:r>
      <w:r>
        <w:rPr>
          <w:rFonts w:hint="eastAsia" w:ascii="宋体" w:hAnsi="宋体" w:cs="宋体"/>
          <w:color w:val="auto"/>
          <w:sz w:val="28"/>
          <w:szCs w:val="28"/>
        </w:rPr>
        <w:fldChar w:fldCharType="end"/>
      </w:r>
      <w:r>
        <w:rPr>
          <w:rFonts w:hint="eastAsia" w:ascii="宋体" w:hAnsi="宋体" w:cs="宋体"/>
          <w:color w:val="auto"/>
          <w:sz w:val="28"/>
          <w:szCs w:val="28"/>
        </w:rPr>
        <w:fldChar w:fldCharType="end"/>
      </w:r>
    </w:p>
    <w:p w14:paraId="2767D26E">
      <w:pPr>
        <w:pStyle w:val="26"/>
        <w:tabs>
          <w:tab w:val="right" w:leader="dot" w:pos="9745"/>
          <w:tab w:val="clear" w:pos="9170"/>
        </w:tabs>
        <w:spacing w:line="480" w:lineRule="auto"/>
        <w:rPr>
          <w:rFonts w:ascii="宋体" w:hAnsi="宋体" w:cs="宋体"/>
          <w:color w:val="auto"/>
          <w:sz w:val="28"/>
          <w:szCs w:val="28"/>
        </w:rPr>
      </w:pPr>
      <w:r>
        <w:rPr>
          <w:color w:val="auto"/>
        </w:rPr>
        <w:fldChar w:fldCharType="begin"/>
      </w:r>
      <w:r>
        <w:rPr>
          <w:color w:val="auto"/>
        </w:rPr>
        <w:instrText xml:space="preserve"> HYPERLINK \l "_Toc24712" </w:instrText>
      </w:r>
      <w:r>
        <w:rPr>
          <w:color w:val="auto"/>
        </w:rPr>
        <w:fldChar w:fldCharType="separate"/>
      </w:r>
      <w:r>
        <w:rPr>
          <w:rFonts w:hint="eastAsia" w:ascii="宋体" w:hAnsi="宋体" w:cs="宋体"/>
          <w:bCs/>
          <w:color w:val="auto"/>
          <w:sz w:val="28"/>
          <w:szCs w:val="28"/>
        </w:rPr>
        <w:t>第八节  合同签订及其他</w:t>
      </w:r>
      <w:r>
        <w:rPr>
          <w:rFonts w:hint="eastAsia" w:ascii="宋体" w:hAnsi="宋体" w:cs="宋体"/>
          <w:color w:val="auto"/>
          <w:sz w:val="28"/>
          <w:szCs w:val="28"/>
        </w:rPr>
        <w:tab/>
      </w:r>
      <w:r>
        <w:rPr>
          <w:rFonts w:hint="eastAsia" w:ascii="宋体" w:hAnsi="宋体" w:cs="宋体"/>
          <w:color w:val="auto"/>
          <w:sz w:val="28"/>
          <w:szCs w:val="28"/>
        </w:rPr>
        <w:fldChar w:fldCharType="begin"/>
      </w:r>
      <w:r>
        <w:rPr>
          <w:rFonts w:hint="eastAsia" w:ascii="宋体" w:hAnsi="宋体" w:cs="宋体"/>
          <w:color w:val="auto"/>
          <w:sz w:val="28"/>
          <w:szCs w:val="28"/>
        </w:rPr>
        <w:instrText xml:space="preserve"> PAGEREF _Toc24712 \h </w:instrText>
      </w:r>
      <w:r>
        <w:rPr>
          <w:rFonts w:hint="eastAsia" w:ascii="宋体" w:hAnsi="宋体" w:cs="宋体"/>
          <w:color w:val="auto"/>
          <w:sz w:val="28"/>
          <w:szCs w:val="28"/>
        </w:rPr>
        <w:fldChar w:fldCharType="separate"/>
      </w:r>
      <w:r>
        <w:rPr>
          <w:rFonts w:hint="eastAsia" w:ascii="宋体" w:hAnsi="宋体" w:cs="宋体"/>
          <w:color w:val="auto"/>
          <w:sz w:val="28"/>
          <w:szCs w:val="28"/>
        </w:rPr>
        <w:t>23</w:t>
      </w:r>
      <w:r>
        <w:rPr>
          <w:rFonts w:hint="eastAsia" w:ascii="宋体" w:hAnsi="宋体" w:cs="宋体"/>
          <w:color w:val="auto"/>
          <w:sz w:val="28"/>
          <w:szCs w:val="28"/>
        </w:rPr>
        <w:fldChar w:fldCharType="end"/>
      </w:r>
      <w:r>
        <w:rPr>
          <w:rFonts w:hint="eastAsia" w:ascii="宋体" w:hAnsi="宋体" w:cs="宋体"/>
          <w:color w:val="auto"/>
          <w:sz w:val="28"/>
          <w:szCs w:val="28"/>
        </w:rPr>
        <w:fldChar w:fldCharType="end"/>
      </w:r>
    </w:p>
    <w:p w14:paraId="5B4E9968">
      <w:pPr>
        <w:pStyle w:val="23"/>
        <w:tabs>
          <w:tab w:val="right" w:leader="dot" w:pos="9745"/>
          <w:tab w:val="clear" w:pos="9060"/>
          <w:tab w:val="clear" w:pos="9170"/>
        </w:tabs>
        <w:spacing w:line="480" w:lineRule="auto"/>
        <w:rPr>
          <w:rFonts w:ascii="宋体" w:hAnsi="宋体" w:eastAsia="宋体" w:cs="宋体"/>
          <w:color w:val="auto"/>
          <w:sz w:val="28"/>
          <w:szCs w:val="28"/>
        </w:rPr>
      </w:pPr>
      <w:r>
        <w:rPr>
          <w:color w:val="auto"/>
        </w:rPr>
        <w:fldChar w:fldCharType="begin"/>
      </w:r>
      <w:r>
        <w:rPr>
          <w:color w:val="auto"/>
        </w:rPr>
        <w:instrText xml:space="preserve"> HYPERLINK \l "_Toc19885" </w:instrText>
      </w:r>
      <w:r>
        <w:rPr>
          <w:color w:val="auto"/>
        </w:rPr>
        <w:fldChar w:fldCharType="separate"/>
      </w:r>
      <w:r>
        <w:rPr>
          <w:rFonts w:hint="eastAsia" w:ascii="宋体" w:hAnsi="宋体" w:eastAsia="宋体" w:cs="宋体"/>
          <w:color w:val="auto"/>
          <w:sz w:val="28"/>
          <w:szCs w:val="28"/>
        </w:rPr>
        <w:t>第三章 招标内容及需求</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_Toc19885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25</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fldChar w:fldCharType="end"/>
      </w:r>
    </w:p>
    <w:p w14:paraId="291D5913">
      <w:pPr>
        <w:pStyle w:val="23"/>
        <w:tabs>
          <w:tab w:val="right" w:leader="dot" w:pos="9745"/>
          <w:tab w:val="clear" w:pos="9060"/>
          <w:tab w:val="clear" w:pos="9170"/>
        </w:tabs>
        <w:spacing w:line="480" w:lineRule="auto"/>
        <w:rPr>
          <w:rFonts w:ascii="宋体" w:hAnsi="宋体" w:eastAsia="宋体" w:cs="宋体"/>
          <w:color w:val="auto"/>
          <w:sz w:val="28"/>
          <w:szCs w:val="28"/>
        </w:rPr>
      </w:pPr>
      <w:r>
        <w:rPr>
          <w:color w:val="auto"/>
        </w:rPr>
        <w:fldChar w:fldCharType="begin"/>
      </w:r>
      <w:r>
        <w:rPr>
          <w:color w:val="auto"/>
        </w:rPr>
        <w:instrText xml:space="preserve"> HYPERLINK \l "_Toc16642" </w:instrText>
      </w:r>
      <w:r>
        <w:rPr>
          <w:color w:val="auto"/>
        </w:rPr>
        <w:fldChar w:fldCharType="separate"/>
      </w:r>
      <w:r>
        <w:rPr>
          <w:rFonts w:hint="eastAsia" w:ascii="宋体" w:hAnsi="宋体" w:eastAsia="宋体" w:cs="宋体"/>
          <w:color w:val="auto"/>
          <w:sz w:val="28"/>
          <w:szCs w:val="28"/>
        </w:rPr>
        <w:t>第四章 合同主要条款</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_Toc16642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27</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fldChar w:fldCharType="end"/>
      </w:r>
    </w:p>
    <w:p w14:paraId="598C0620">
      <w:pPr>
        <w:pStyle w:val="23"/>
        <w:tabs>
          <w:tab w:val="right" w:leader="dot" w:pos="9745"/>
          <w:tab w:val="clear" w:pos="9060"/>
          <w:tab w:val="clear" w:pos="9170"/>
        </w:tabs>
        <w:spacing w:line="480" w:lineRule="auto"/>
        <w:rPr>
          <w:rFonts w:ascii="宋体" w:hAnsi="宋体" w:eastAsia="宋体" w:cs="宋体"/>
          <w:color w:val="auto"/>
          <w:sz w:val="28"/>
          <w:szCs w:val="28"/>
        </w:rPr>
      </w:pPr>
      <w:r>
        <w:rPr>
          <w:color w:val="auto"/>
        </w:rPr>
        <w:fldChar w:fldCharType="begin"/>
      </w:r>
      <w:r>
        <w:rPr>
          <w:color w:val="auto"/>
        </w:rPr>
        <w:instrText xml:space="preserve"> HYPERLINK \l "_Toc32166" </w:instrText>
      </w:r>
      <w:r>
        <w:rPr>
          <w:color w:val="auto"/>
        </w:rPr>
        <w:fldChar w:fldCharType="separate"/>
      </w:r>
      <w:r>
        <w:rPr>
          <w:rFonts w:hint="eastAsia" w:ascii="宋体" w:hAnsi="宋体" w:eastAsia="宋体" w:cs="宋体"/>
          <w:color w:val="auto"/>
          <w:sz w:val="28"/>
          <w:szCs w:val="28"/>
        </w:rPr>
        <w:t>第五章 评标办法及评分标准</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_Toc32166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31</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fldChar w:fldCharType="end"/>
      </w:r>
    </w:p>
    <w:p w14:paraId="2E33C89B">
      <w:pPr>
        <w:pStyle w:val="23"/>
        <w:tabs>
          <w:tab w:val="right" w:leader="dot" w:pos="9745"/>
          <w:tab w:val="clear" w:pos="9060"/>
          <w:tab w:val="clear" w:pos="9170"/>
        </w:tabs>
        <w:spacing w:line="480" w:lineRule="auto"/>
        <w:rPr>
          <w:rFonts w:ascii="宋体" w:hAnsi="宋体" w:eastAsia="宋体" w:cs="宋体"/>
          <w:color w:val="auto"/>
          <w:sz w:val="28"/>
          <w:szCs w:val="28"/>
        </w:rPr>
      </w:pPr>
      <w:r>
        <w:rPr>
          <w:color w:val="auto"/>
        </w:rPr>
        <w:fldChar w:fldCharType="begin"/>
      </w:r>
      <w:r>
        <w:rPr>
          <w:color w:val="auto"/>
        </w:rPr>
        <w:instrText xml:space="preserve"> HYPERLINK \l "_Toc28422" </w:instrText>
      </w:r>
      <w:r>
        <w:rPr>
          <w:color w:val="auto"/>
        </w:rPr>
        <w:fldChar w:fldCharType="separate"/>
      </w:r>
      <w:r>
        <w:rPr>
          <w:rFonts w:hint="eastAsia" w:ascii="宋体" w:hAnsi="宋体" w:eastAsia="宋体" w:cs="宋体"/>
          <w:color w:val="auto"/>
          <w:sz w:val="28"/>
          <w:szCs w:val="28"/>
        </w:rPr>
        <w:t>第六章 应提交的有关格式范例</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_Toc28422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37</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fldChar w:fldCharType="end"/>
      </w:r>
    </w:p>
    <w:p w14:paraId="3E722484">
      <w:pPr>
        <w:spacing w:afterLines="40" w:line="480" w:lineRule="auto"/>
        <w:jc w:val="center"/>
        <w:outlineLvl w:val="0"/>
        <w:rPr>
          <w:rFonts w:ascii="宋体" w:hAnsi="宋体" w:cs="宋体"/>
          <w:b/>
          <w:color w:val="auto"/>
          <w:sz w:val="36"/>
          <w:szCs w:val="44"/>
        </w:rPr>
        <w:sectPr>
          <w:headerReference r:id="rId3" w:type="default"/>
          <w:footerReference r:id="rId4" w:type="default"/>
          <w:pgSz w:w="11905" w:h="16838"/>
          <w:pgMar w:top="1440" w:right="1080" w:bottom="1440" w:left="1080" w:header="851" w:footer="992" w:gutter="0"/>
          <w:pgNumType w:start="1"/>
          <w:cols w:space="720" w:num="1"/>
          <w:docGrid w:type="lines" w:linePitch="304" w:charSpace="0"/>
        </w:sectPr>
      </w:pPr>
      <w:r>
        <w:rPr>
          <w:rFonts w:hint="eastAsia" w:ascii="宋体" w:hAnsi="宋体" w:cs="宋体"/>
          <w:color w:val="auto"/>
          <w:sz w:val="28"/>
          <w:szCs w:val="28"/>
        </w:rPr>
        <w:fldChar w:fldCharType="end"/>
      </w:r>
      <w:bookmarkStart w:id="44" w:name="_GoBack"/>
      <w:bookmarkEnd w:id="44"/>
    </w:p>
    <w:p w14:paraId="6F5A2104">
      <w:pPr>
        <w:numPr>
          <w:ilvl w:val="0"/>
          <w:numId w:val="3"/>
        </w:numPr>
        <w:spacing w:beforeLines="100" w:afterLines="40"/>
        <w:jc w:val="center"/>
        <w:outlineLvl w:val="0"/>
        <w:rPr>
          <w:rFonts w:ascii="宋体" w:hAnsi="宋体" w:cs="宋体"/>
          <w:b/>
          <w:color w:val="auto"/>
          <w:sz w:val="36"/>
          <w:szCs w:val="44"/>
        </w:rPr>
      </w:pPr>
      <w:bookmarkStart w:id="0" w:name="_Toc32317"/>
      <w:r>
        <w:rPr>
          <w:rFonts w:hint="eastAsia" w:ascii="宋体" w:hAnsi="宋体" w:cs="宋体"/>
          <w:b/>
          <w:color w:val="auto"/>
          <w:sz w:val="36"/>
          <w:szCs w:val="44"/>
        </w:rPr>
        <w:t>招标公告</w:t>
      </w:r>
      <w:bookmarkEnd w:id="0"/>
    </w:p>
    <w:tbl>
      <w:tblPr>
        <w:tblStyle w:val="32"/>
        <w:tblW w:w="94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0"/>
      </w:tblGrid>
      <w:tr w14:paraId="2E62A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400" w:type="dxa"/>
            <w:shd w:val="clear" w:color="auto" w:fill="auto"/>
          </w:tcPr>
          <w:p w14:paraId="31F3FF8D">
            <w:pPr>
              <w:spacing w:line="288" w:lineRule="auto"/>
              <w:jc w:val="left"/>
              <w:rPr>
                <w:rFonts w:ascii="宋体" w:hAnsi="宋体" w:cs="宋体"/>
                <w:b/>
                <w:color w:val="auto"/>
                <w:sz w:val="24"/>
              </w:rPr>
            </w:pPr>
            <w:r>
              <w:rPr>
                <w:rFonts w:hint="eastAsia" w:ascii="宋体" w:hAnsi="宋体" w:cs="宋体"/>
                <w:b/>
                <w:color w:val="auto"/>
                <w:sz w:val="24"/>
              </w:rPr>
              <w:t>项目概况</w:t>
            </w:r>
          </w:p>
          <w:p w14:paraId="5C14D2B2">
            <w:pPr>
              <w:spacing w:line="288" w:lineRule="auto"/>
              <w:ind w:firstLine="480" w:firstLineChars="200"/>
              <w:jc w:val="left"/>
              <w:rPr>
                <w:rFonts w:ascii="宋体" w:hAnsi="宋体" w:cs="宋体"/>
                <w:b/>
                <w:bCs/>
                <w:color w:val="auto"/>
                <w:sz w:val="24"/>
              </w:rPr>
            </w:pPr>
            <w:r>
              <w:rPr>
                <w:rFonts w:hint="eastAsia" w:ascii="宋体" w:hAnsi="宋体" w:cs="宋体"/>
                <w:color w:val="auto"/>
                <w:sz w:val="24"/>
                <w:u w:val="single"/>
              </w:rPr>
              <w:t>天台县2025年度补充林地库建设项目</w:t>
            </w:r>
            <w:r>
              <w:rPr>
                <w:rFonts w:hint="eastAsia" w:ascii="宋体" w:hAnsi="宋体" w:cs="宋体"/>
                <w:color w:val="auto"/>
                <w:sz w:val="24"/>
              </w:rPr>
              <w:t>招标项目的潜在投标人应在</w:t>
            </w:r>
            <w:r>
              <w:rPr>
                <w:rFonts w:hint="eastAsia" w:ascii="宋体" w:hAnsi="宋体" w:cs="宋体"/>
                <w:color w:val="auto"/>
                <w:sz w:val="24"/>
                <w:u w:val="single"/>
              </w:rPr>
              <w:t>政府采购云平台（www.zcygov.cn）</w:t>
            </w:r>
            <w:r>
              <w:rPr>
                <w:rFonts w:hint="eastAsia" w:ascii="宋体" w:hAnsi="宋体" w:cs="宋体"/>
                <w:color w:val="auto"/>
                <w:sz w:val="24"/>
              </w:rPr>
              <w:t>获取（下载）招标文件，并于</w:t>
            </w:r>
            <w:r>
              <w:rPr>
                <w:rFonts w:hint="eastAsia" w:ascii="宋体" w:hAnsi="宋体" w:cs="宋体"/>
                <w:b/>
                <w:bCs/>
                <w:color w:val="auto"/>
                <w:sz w:val="24"/>
                <w:u w:val="single"/>
              </w:rPr>
              <w:t xml:space="preserve">2025年00月00日09：00 </w:t>
            </w:r>
            <w:r>
              <w:rPr>
                <w:rFonts w:hint="eastAsia" w:ascii="宋体" w:hAnsi="宋体" w:cs="宋体"/>
                <w:b/>
                <w:bCs/>
                <w:color w:val="auto"/>
                <w:sz w:val="24"/>
              </w:rPr>
              <w:t>（北京时间）</w:t>
            </w:r>
            <w:r>
              <w:rPr>
                <w:rFonts w:hint="eastAsia" w:ascii="宋体" w:hAnsi="宋体" w:cs="宋体"/>
                <w:color w:val="auto"/>
                <w:sz w:val="24"/>
              </w:rPr>
              <w:t>前递交（上传）投标文件。</w:t>
            </w:r>
            <w:r>
              <w:rPr>
                <w:rFonts w:hint="eastAsia" w:ascii="宋体" w:hAnsi="宋体" w:cs="宋体"/>
                <w:color w:val="auto"/>
                <w:sz w:val="27"/>
                <w:szCs w:val="27"/>
              </w:rPr>
              <w:t>      </w:t>
            </w:r>
          </w:p>
        </w:tc>
      </w:tr>
    </w:tbl>
    <w:p w14:paraId="1F401F5E">
      <w:pPr>
        <w:spacing w:line="288" w:lineRule="auto"/>
        <w:rPr>
          <w:rFonts w:ascii="宋体" w:hAnsi="宋体" w:cs="宋体"/>
          <w:b/>
          <w:color w:val="auto"/>
          <w:sz w:val="24"/>
        </w:rPr>
      </w:pPr>
      <w:r>
        <w:rPr>
          <w:rFonts w:hint="eastAsia" w:ascii="宋体" w:hAnsi="宋体" w:cs="宋体"/>
          <w:b/>
          <w:color w:val="auto"/>
          <w:sz w:val="24"/>
        </w:rPr>
        <w:t>一、项目基本情况</w:t>
      </w:r>
    </w:p>
    <w:p w14:paraId="37AF34FE">
      <w:pPr>
        <w:spacing w:line="288" w:lineRule="auto"/>
        <w:ind w:firstLine="480" w:firstLineChars="200"/>
        <w:rPr>
          <w:rFonts w:ascii="宋体" w:hAnsi="宋体" w:cs="宋体"/>
          <w:color w:val="auto"/>
          <w:sz w:val="24"/>
        </w:rPr>
      </w:pPr>
      <w:r>
        <w:rPr>
          <w:rFonts w:hint="eastAsia" w:ascii="宋体" w:hAnsi="宋体" w:cs="宋体"/>
          <w:color w:val="auto"/>
          <w:sz w:val="24"/>
        </w:rPr>
        <w:t>项目编号：TCCG-2025-Z070</w:t>
      </w:r>
    </w:p>
    <w:p w14:paraId="6BF52A5B">
      <w:pPr>
        <w:spacing w:line="288" w:lineRule="auto"/>
        <w:ind w:firstLine="480" w:firstLineChars="200"/>
        <w:rPr>
          <w:rFonts w:ascii="宋体" w:hAnsi="宋体" w:cs="宋体"/>
          <w:color w:val="auto"/>
          <w:sz w:val="24"/>
        </w:rPr>
      </w:pPr>
      <w:r>
        <w:rPr>
          <w:rFonts w:hint="eastAsia" w:ascii="宋体" w:hAnsi="宋体" w:cs="宋体"/>
          <w:color w:val="auto"/>
          <w:sz w:val="24"/>
        </w:rPr>
        <w:t>项目名称：天台县2025年度补充林地库建设项目</w:t>
      </w:r>
    </w:p>
    <w:p w14:paraId="41ADEC6F">
      <w:pPr>
        <w:spacing w:line="288" w:lineRule="auto"/>
        <w:ind w:firstLine="480" w:firstLineChars="200"/>
        <w:rPr>
          <w:rFonts w:ascii="宋体" w:hAnsi="宋体" w:cs="宋体"/>
          <w:color w:val="auto"/>
          <w:sz w:val="24"/>
        </w:rPr>
      </w:pPr>
      <w:r>
        <w:rPr>
          <w:rFonts w:hint="eastAsia" w:ascii="宋体" w:hAnsi="宋体" w:cs="宋体"/>
          <w:color w:val="auto"/>
          <w:sz w:val="24"/>
        </w:rPr>
        <w:t>预算金额（元）：350000</w:t>
      </w:r>
    </w:p>
    <w:p w14:paraId="052AB81E">
      <w:pPr>
        <w:spacing w:line="288" w:lineRule="auto"/>
        <w:ind w:firstLine="480" w:firstLineChars="200"/>
        <w:rPr>
          <w:rFonts w:ascii="宋体" w:hAnsi="宋体" w:cs="宋体"/>
          <w:color w:val="auto"/>
          <w:sz w:val="24"/>
        </w:rPr>
      </w:pPr>
      <w:r>
        <w:rPr>
          <w:rFonts w:hint="eastAsia" w:ascii="宋体" w:hAnsi="宋体" w:cs="宋体"/>
          <w:color w:val="auto"/>
          <w:sz w:val="24"/>
        </w:rPr>
        <w:t>最高限价（元）：350000</w:t>
      </w:r>
    </w:p>
    <w:p w14:paraId="7682A46C">
      <w:pPr>
        <w:spacing w:line="288" w:lineRule="auto"/>
        <w:ind w:firstLine="480" w:firstLineChars="200"/>
        <w:rPr>
          <w:rFonts w:ascii="宋体" w:hAnsi="宋体" w:cs="宋体"/>
          <w:color w:val="auto"/>
          <w:sz w:val="24"/>
        </w:rPr>
      </w:pPr>
      <w:r>
        <w:rPr>
          <w:rFonts w:hint="eastAsia" w:ascii="宋体" w:hAnsi="宋体" w:cs="宋体"/>
          <w:color w:val="auto"/>
          <w:sz w:val="24"/>
        </w:rPr>
        <w:t>采购需求：</w:t>
      </w:r>
    </w:p>
    <w:p w14:paraId="7BAC1187">
      <w:pPr>
        <w:spacing w:line="288" w:lineRule="auto"/>
        <w:ind w:firstLine="480" w:firstLineChars="200"/>
        <w:rPr>
          <w:rFonts w:ascii="宋体" w:hAnsi="宋体" w:cs="宋体"/>
          <w:color w:val="auto"/>
          <w:sz w:val="24"/>
        </w:rPr>
      </w:pPr>
    </w:p>
    <w:p w14:paraId="2696DDE3">
      <w:pPr>
        <w:spacing w:line="288" w:lineRule="auto"/>
        <w:ind w:firstLine="480" w:firstLineChars="200"/>
        <w:rPr>
          <w:rFonts w:ascii="宋体" w:hAnsi="宋体" w:cs="宋体"/>
          <w:color w:val="auto"/>
          <w:sz w:val="24"/>
        </w:rPr>
      </w:pPr>
      <w:r>
        <w:rPr>
          <w:rFonts w:hint="eastAsia" w:ascii="宋体" w:hAnsi="宋体" w:cs="宋体"/>
          <w:color w:val="auto"/>
          <w:sz w:val="24"/>
        </w:rPr>
        <w:t>标项名称: 天台县2025年度补充林地库建设项目</w:t>
      </w:r>
    </w:p>
    <w:p w14:paraId="1965C929">
      <w:pPr>
        <w:spacing w:line="288" w:lineRule="auto"/>
        <w:ind w:firstLine="480" w:firstLineChars="200"/>
        <w:rPr>
          <w:rFonts w:hint="eastAsia" w:ascii="宋体" w:hAnsi="宋体" w:eastAsia="宋体" w:cs="宋体"/>
          <w:color w:val="auto"/>
          <w:sz w:val="24"/>
          <w:lang w:eastAsia="zh-CN"/>
        </w:rPr>
      </w:pPr>
      <w:r>
        <w:rPr>
          <w:rFonts w:hint="eastAsia" w:ascii="宋体" w:hAnsi="宋体" w:cs="宋体"/>
          <w:color w:val="auto"/>
          <w:sz w:val="24"/>
        </w:rPr>
        <w:t>数量: </w:t>
      </w:r>
      <w:r>
        <w:rPr>
          <w:rFonts w:hint="eastAsia" w:ascii="宋体" w:hAnsi="宋体" w:cs="宋体"/>
          <w:color w:val="auto"/>
          <w:sz w:val="24"/>
          <w:lang w:val="en-US" w:eastAsia="zh-CN"/>
        </w:rPr>
        <w:t>1</w:t>
      </w:r>
    </w:p>
    <w:p w14:paraId="7571D584">
      <w:pPr>
        <w:spacing w:line="288" w:lineRule="auto"/>
        <w:ind w:firstLine="480" w:firstLineChars="200"/>
        <w:rPr>
          <w:rFonts w:ascii="宋体" w:hAnsi="宋体" w:cs="宋体"/>
          <w:color w:val="auto"/>
          <w:sz w:val="24"/>
        </w:rPr>
      </w:pPr>
      <w:r>
        <w:rPr>
          <w:rFonts w:hint="eastAsia" w:ascii="宋体" w:hAnsi="宋体" w:cs="宋体"/>
          <w:color w:val="auto"/>
          <w:sz w:val="24"/>
        </w:rPr>
        <w:t>预算金额（元）: 350000 </w:t>
      </w:r>
    </w:p>
    <w:p w14:paraId="66CA31A9">
      <w:pPr>
        <w:spacing w:line="288" w:lineRule="auto"/>
        <w:ind w:firstLine="480" w:firstLineChars="200"/>
        <w:rPr>
          <w:rFonts w:ascii="宋体" w:hAnsi="宋体" w:cs="宋体"/>
          <w:color w:val="auto"/>
          <w:sz w:val="24"/>
        </w:rPr>
      </w:pPr>
      <w:r>
        <w:rPr>
          <w:rFonts w:hint="eastAsia" w:ascii="宋体" w:hAnsi="宋体" w:cs="宋体"/>
          <w:color w:val="auto"/>
          <w:sz w:val="24"/>
        </w:rPr>
        <w:t>简要规格描述或项目基本概况介绍、用途：详见采购文件第三章。</w:t>
      </w:r>
    </w:p>
    <w:p w14:paraId="692D74FF">
      <w:pPr>
        <w:spacing w:line="288" w:lineRule="auto"/>
        <w:ind w:firstLine="480" w:firstLineChars="200"/>
        <w:rPr>
          <w:rFonts w:ascii="宋体" w:hAnsi="宋体" w:cs="宋体"/>
          <w:color w:val="auto"/>
          <w:sz w:val="24"/>
        </w:rPr>
      </w:pPr>
      <w:r>
        <w:rPr>
          <w:rFonts w:hint="eastAsia" w:ascii="宋体" w:hAnsi="宋体" w:cs="宋体"/>
          <w:color w:val="auto"/>
          <w:sz w:val="24"/>
        </w:rPr>
        <w:t>备注： </w:t>
      </w:r>
    </w:p>
    <w:p w14:paraId="73A1A8A3">
      <w:pPr>
        <w:pStyle w:val="2"/>
        <w:spacing w:line="288" w:lineRule="auto"/>
        <w:rPr>
          <w:rFonts w:ascii="宋体" w:hAnsi="宋体" w:cs="宋体"/>
          <w:color w:val="auto"/>
        </w:rPr>
      </w:pPr>
    </w:p>
    <w:p w14:paraId="1356C522">
      <w:pPr>
        <w:spacing w:line="288" w:lineRule="auto"/>
        <w:ind w:firstLine="482" w:firstLineChars="200"/>
        <w:rPr>
          <w:rFonts w:ascii="宋体" w:hAnsi="宋体" w:cs="宋体"/>
          <w:b/>
          <w:bCs/>
          <w:color w:val="auto"/>
          <w:sz w:val="24"/>
          <w:highlight w:val="yellow"/>
        </w:rPr>
      </w:pPr>
      <w:r>
        <w:rPr>
          <w:rFonts w:hint="eastAsia" w:ascii="宋体" w:hAnsi="宋体" w:cs="宋体"/>
          <w:b/>
          <w:bCs/>
          <w:color w:val="auto"/>
          <w:sz w:val="24"/>
        </w:rPr>
        <w:t>合同履约期限：</w:t>
      </w:r>
      <w:r>
        <w:rPr>
          <w:rFonts w:hint="eastAsia" w:ascii="宋体" w:hAnsi="宋体" w:cs="宋体"/>
          <w:b/>
          <w:bCs/>
          <w:color w:val="auto"/>
          <w:sz w:val="24"/>
          <w:highlight w:val="yellow"/>
        </w:rPr>
        <w:t>于2025年12月31日前完成。（具体根据省林业局的要求调整完成时间）</w:t>
      </w:r>
    </w:p>
    <w:p w14:paraId="03CAA54A">
      <w:pPr>
        <w:spacing w:line="288" w:lineRule="auto"/>
        <w:ind w:firstLine="482" w:firstLineChars="200"/>
        <w:rPr>
          <w:rFonts w:ascii="宋体" w:hAnsi="宋体" w:cs="宋体"/>
          <w:b/>
          <w:bCs/>
          <w:color w:val="auto"/>
          <w:sz w:val="24"/>
        </w:rPr>
      </w:pPr>
      <w:r>
        <w:rPr>
          <w:rFonts w:hint="eastAsia" w:ascii="宋体" w:hAnsi="宋体" w:cs="宋体"/>
          <w:b/>
          <w:bCs/>
          <w:color w:val="auto"/>
          <w:sz w:val="24"/>
        </w:rPr>
        <w:t>本项目</w:t>
      </w:r>
      <w:r>
        <w:rPr>
          <w:rFonts w:hint="eastAsia" w:ascii="宋体" w:hAnsi="宋体" w:cs="宋体"/>
          <w:b/>
          <w:bCs/>
          <w:color w:val="auto"/>
          <w:sz w:val="24"/>
          <w:highlight w:val="yellow"/>
        </w:rPr>
        <w:t>（否）</w:t>
      </w:r>
      <w:r>
        <w:rPr>
          <w:rFonts w:hint="eastAsia" w:ascii="宋体" w:hAnsi="宋体" w:cs="宋体"/>
          <w:b/>
          <w:bCs/>
          <w:color w:val="auto"/>
          <w:sz w:val="24"/>
        </w:rPr>
        <w:t>接受联合体投标。</w:t>
      </w:r>
    </w:p>
    <w:p w14:paraId="4638539F">
      <w:pPr>
        <w:widowControl/>
        <w:spacing w:line="288" w:lineRule="auto"/>
        <w:jc w:val="left"/>
        <w:rPr>
          <w:rFonts w:ascii="宋体" w:hAnsi="宋体" w:cs="宋体"/>
          <w:b/>
          <w:bCs/>
          <w:color w:val="auto"/>
          <w:sz w:val="24"/>
        </w:rPr>
      </w:pPr>
      <w:bookmarkStart w:id="1" w:name="_Toc35393799"/>
      <w:bookmarkStart w:id="2" w:name="_Toc28359090"/>
      <w:bookmarkStart w:id="3" w:name="_Toc28359013"/>
      <w:bookmarkStart w:id="4" w:name="_Toc35393630"/>
      <w:r>
        <w:rPr>
          <w:rFonts w:hint="eastAsia" w:ascii="宋体" w:hAnsi="宋体" w:cs="宋体"/>
          <w:b/>
          <w:bCs/>
          <w:color w:val="auto"/>
          <w:sz w:val="24"/>
        </w:rPr>
        <w:t>二、申请人的资格要求</w:t>
      </w:r>
      <w:bookmarkEnd w:id="1"/>
      <w:bookmarkEnd w:id="2"/>
      <w:bookmarkEnd w:id="3"/>
      <w:bookmarkEnd w:id="4"/>
    </w:p>
    <w:p w14:paraId="4E30F453">
      <w:pPr>
        <w:pStyle w:val="57"/>
        <w:spacing w:line="288" w:lineRule="auto"/>
        <w:ind w:left="420"/>
        <w:rPr>
          <w:rFonts w:ascii="宋体" w:hAnsi="宋体" w:cs="宋体"/>
          <w:color w:val="auto"/>
          <w:kern w:val="2"/>
          <w:sz w:val="24"/>
          <w:szCs w:val="24"/>
        </w:rPr>
      </w:pPr>
      <w:r>
        <w:rPr>
          <w:rFonts w:hint="eastAsia" w:ascii="宋体" w:hAnsi="宋体" w:cs="宋体"/>
          <w:color w:val="auto"/>
          <w:kern w:val="2"/>
          <w:sz w:val="24"/>
          <w:szCs w:val="24"/>
        </w:rPr>
        <w:t xml:space="preserve">  1.满足《中华人民共和国政府采购法》第二十二条规定；未被“信用中国”（www.creditchina.gov.cn)、中国政府采购网（www.ccgp.gov.cn）列入失信被执行人、重大税收违法案件当事人名单、政府采购严重违法失信行为记录名单。</w:t>
      </w:r>
    </w:p>
    <w:p w14:paraId="30F1B8C3">
      <w:pPr>
        <w:pStyle w:val="57"/>
        <w:spacing w:line="288" w:lineRule="auto"/>
        <w:ind w:left="420" w:firstLine="240" w:firstLineChars="100"/>
        <w:rPr>
          <w:rFonts w:ascii="宋体" w:hAnsi="宋体" w:cs="宋体"/>
          <w:color w:val="auto"/>
          <w:kern w:val="2"/>
          <w:sz w:val="24"/>
          <w:szCs w:val="24"/>
        </w:rPr>
      </w:pPr>
      <w:r>
        <w:rPr>
          <w:rFonts w:hint="eastAsia" w:ascii="宋体" w:hAnsi="宋体" w:cs="宋体"/>
          <w:color w:val="auto"/>
          <w:kern w:val="2"/>
          <w:sz w:val="24"/>
          <w:szCs w:val="24"/>
        </w:rPr>
        <w:t>2.落实政府采购政策需满足的资格要求：</w:t>
      </w:r>
      <w:r>
        <w:rPr>
          <w:rFonts w:hint="eastAsia" w:ascii="宋体" w:hAnsi="宋体" w:cs="宋体"/>
          <w:color w:val="auto"/>
          <w:kern w:val="2"/>
          <w:sz w:val="24"/>
          <w:szCs w:val="24"/>
          <w:highlight w:val="yellow"/>
        </w:rPr>
        <w:t>专门面向中小企业：服务全部由符合政策要求的中小企业承接，提供中小企业声明函；</w:t>
      </w:r>
    </w:p>
    <w:p w14:paraId="7E691753">
      <w:pPr>
        <w:pStyle w:val="57"/>
        <w:spacing w:line="288" w:lineRule="auto"/>
        <w:ind w:left="420" w:firstLine="240" w:firstLineChars="100"/>
        <w:rPr>
          <w:rFonts w:ascii="宋体" w:hAnsi="宋体" w:cs="宋体"/>
          <w:color w:val="auto"/>
          <w:kern w:val="2"/>
          <w:sz w:val="24"/>
          <w:szCs w:val="24"/>
          <w:highlight w:val="yellow"/>
          <w:u w:val="single"/>
        </w:rPr>
      </w:pPr>
      <w:r>
        <w:rPr>
          <w:rFonts w:hint="eastAsia" w:ascii="宋体" w:hAnsi="宋体" w:cs="宋体"/>
          <w:color w:val="auto"/>
          <w:kern w:val="2"/>
          <w:sz w:val="24"/>
          <w:szCs w:val="24"/>
        </w:rPr>
        <w:t>3.本项目的特定资格要求：无</w:t>
      </w:r>
    </w:p>
    <w:p w14:paraId="48C38D42">
      <w:pPr>
        <w:widowControl/>
        <w:spacing w:line="288" w:lineRule="auto"/>
        <w:jc w:val="left"/>
        <w:rPr>
          <w:rFonts w:ascii="宋体" w:hAnsi="宋体" w:cs="宋体"/>
          <w:b/>
          <w:bCs/>
          <w:color w:val="auto"/>
          <w:sz w:val="24"/>
        </w:rPr>
      </w:pPr>
      <w:bookmarkStart w:id="5" w:name="_Toc35393631"/>
      <w:bookmarkStart w:id="6" w:name="_Toc28359014"/>
      <w:bookmarkStart w:id="7" w:name="_Toc35393800"/>
      <w:bookmarkStart w:id="8" w:name="_Toc28359091"/>
      <w:r>
        <w:rPr>
          <w:rFonts w:hint="eastAsia" w:ascii="宋体" w:hAnsi="宋体" w:cs="宋体"/>
          <w:b/>
          <w:bCs/>
          <w:color w:val="auto"/>
          <w:sz w:val="24"/>
        </w:rPr>
        <w:t>三、获取招标文件</w:t>
      </w:r>
      <w:bookmarkEnd w:id="5"/>
      <w:bookmarkEnd w:id="6"/>
      <w:bookmarkEnd w:id="7"/>
      <w:bookmarkEnd w:id="8"/>
    </w:p>
    <w:p w14:paraId="0795817C">
      <w:pPr>
        <w:spacing w:line="288" w:lineRule="auto"/>
        <w:ind w:firstLine="540"/>
        <w:rPr>
          <w:rFonts w:ascii="宋体" w:hAnsi="宋体" w:cs="宋体"/>
          <w:color w:val="auto"/>
          <w:sz w:val="24"/>
        </w:rPr>
      </w:pPr>
      <w:r>
        <w:rPr>
          <w:rFonts w:hint="eastAsia" w:ascii="宋体" w:hAnsi="宋体" w:cs="宋体"/>
          <w:b/>
          <w:bCs/>
          <w:color w:val="auto"/>
          <w:sz w:val="24"/>
        </w:rPr>
        <w:t>时间：</w:t>
      </w:r>
      <w:r>
        <w:rPr>
          <w:rFonts w:hint="eastAsia" w:ascii="宋体" w:hAnsi="宋体" w:cs="宋体"/>
          <w:color w:val="auto"/>
          <w:sz w:val="24"/>
          <w:u w:val="single"/>
        </w:rPr>
        <w:t>公告发布之日起至投标文件提交截止时间</w:t>
      </w:r>
      <w:r>
        <w:rPr>
          <w:rFonts w:hint="eastAsia" w:ascii="宋体" w:hAnsi="宋体" w:cs="宋体"/>
          <w:color w:val="auto"/>
          <w:sz w:val="24"/>
        </w:rPr>
        <w:t>；</w:t>
      </w:r>
    </w:p>
    <w:p w14:paraId="4538DB7B">
      <w:pPr>
        <w:spacing w:line="288" w:lineRule="auto"/>
        <w:ind w:firstLine="540"/>
        <w:rPr>
          <w:rFonts w:ascii="宋体" w:hAnsi="宋体" w:cs="宋体"/>
          <w:color w:val="auto"/>
          <w:sz w:val="24"/>
        </w:rPr>
      </w:pPr>
      <w:r>
        <w:rPr>
          <w:rFonts w:hint="eastAsia" w:ascii="宋体" w:hAnsi="宋体" w:cs="宋体"/>
          <w:b/>
          <w:bCs/>
          <w:color w:val="auto"/>
          <w:sz w:val="24"/>
        </w:rPr>
        <w:t>地点（网址）：</w:t>
      </w:r>
      <w:r>
        <w:rPr>
          <w:rFonts w:hint="eastAsia" w:ascii="宋体" w:hAnsi="宋体" w:cs="宋体"/>
          <w:color w:val="auto"/>
          <w:sz w:val="24"/>
        </w:rPr>
        <w:t>政府采购云平台（</w:t>
      </w:r>
      <w:r>
        <w:rPr>
          <w:color w:val="auto"/>
        </w:rPr>
        <w:fldChar w:fldCharType="begin"/>
      </w:r>
      <w:r>
        <w:rPr>
          <w:color w:val="auto"/>
        </w:rPr>
        <w:instrText xml:space="preserve"> HYPERLINK "http://www.zcygov.cn），以下简称" </w:instrText>
      </w:r>
      <w:r>
        <w:rPr>
          <w:color w:val="auto"/>
        </w:rPr>
        <w:fldChar w:fldCharType="separate"/>
      </w:r>
      <w:r>
        <w:rPr>
          <w:rStyle w:val="38"/>
          <w:rFonts w:hint="eastAsia" w:ascii="宋体" w:hAnsi="宋体" w:cs="宋体"/>
          <w:color w:val="auto"/>
          <w:sz w:val="24"/>
        </w:rPr>
        <w:t>www.zcygov.cn）</w:t>
      </w:r>
      <w:r>
        <w:rPr>
          <w:rStyle w:val="38"/>
          <w:rFonts w:hint="eastAsia" w:ascii="宋体" w:hAnsi="宋体" w:cs="宋体"/>
          <w:color w:val="auto"/>
          <w:sz w:val="24"/>
        </w:rPr>
        <w:fldChar w:fldCharType="end"/>
      </w:r>
    </w:p>
    <w:p w14:paraId="1274C201">
      <w:pPr>
        <w:spacing w:line="288" w:lineRule="auto"/>
        <w:ind w:firstLine="540"/>
        <w:rPr>
          <w:rFonts w:ascii="宋体" w:hAnsi="宋体" w:cs="宋体"/>
          <w:color w:val="auto"/>
          <w:spacing w:val="-23"/>
          <w:sz w:val="24"/>
        </w:rPr>
      </w:pPr>
      <w:r>
        <w:rPr>
          <w:rFonts w:hint="eastAsia" w:ascii="宋体" w:hAnsi="宋体" w:cs="宋体"/>
          <w:b/>
          <w:bCs/>
          <w:color w:val="auto"/>
          <w:sz w:val="24"/>
        </w:rPr>
        <w:t>方式：</w:t>
      </w:r>
      <w:bookmarkStart w:id="9" w:name="_Toc28359015"/>
      <w:bookmarkStart w:id="10" w:name="_Toc35393801"/>
      <w:bookmarkStart w:id="11" w:name="_Toc28359092"/>
      <w:bookmarkStart w:id="12" w:name="_Toc35393632"/>
      <w:r>
        <w:rPr>
          <w:rFonts w:hint="eastAsia" w:ascii="宋体" w:hAnsi="宋体" w:cs="宋体"/>
          <w:color w:val="auto"/>
          <w:sz w:val="24"/>
        </w:rPr>
        <w:t>供应商登录政采云平台https://www.zcygov.cn/在线申请获取采购文件（进入“项目采购”应用，在获取采购文件菜单中选择项目，申请获取采购文件）</w:t>
      </w:r>
    </w:p>
    <w:p w14:paraId="539DF626">
      <w:pPr>
        <w:pStyle w:val="29"/>
        <w:spacing w:after="0" w:line="288" w:lineRule="auto"/>
        <w:ind w:firstLine="241"/>
        <w:rPr>
          <w:rFonts w:ascii="宋体" w:hAnsi="宋体" w:cs="宋体"/>
          <w:color w:val="auto"/>
        </w:rPr>
      </w:pPr>
      <w:r>
        <w:rPr>
          <w:rFonts w:hint="eastAsia" w:ascii="宋体" w:hAnsi="宋体" w:cs="宋体"/>
          <w:b/>
          <w:bCs/>
          <w:color w:val="auto"/>
          <w:sz w:val="24"/>
        </w:rPr>
        <w:t xml:space="preserve">  售价（元）：</w:t>
      </w:r>
      <w:r>
        <w:rPr>
          <w:rFonts w:hint="eastAsia" w:ascii="宋体" w:hAnsi="宋体" w:cs="宋体"/>
          <w:color w:val="auto"/>
          <w:sz w:val="24"/>
        </w:rPr>
        <w:t>0；</w:t>
      </w:r>
    </w:p>
    <w:p w14:paraId="28A8AE59">
      <w:pPr>
        <w:spacing w:line="288" w:lineRule="auto"/>
        <w:rPr>
          <w:rFonts w:ascii="宋体" w:hAnsi="宋体" w:cs="宋体"/>
          <w:bCs/>
          <w:color w:val="auto"/>
          <w:sz w:val="24"/>
        </w:rPr>
      </w:pPr>
      <w:r>
        <w:rPr>
          <w:rFonts w:hint="eastAsia" w:ascii="宋体" w:hAnsi="宋体" w:cs="宋体"/>
          <w:bCs/>
          <w:color w:val="auto"/>
          <w:sz w:val="24"/>
        </w:rPr>
        <w:t>四、</w:t>
      </w:r>
      <w:bookmarkEnd w:id="9"/>
      <w:bookmarkEnd w:id="10"/>
      <w:bookmarkEnd w:id="11"/>
      <w:bookmarkEnd w:id="12"/>
      <w:r>
        <w:rPr>
          <w:rFonts w:hint="eastAsia" w:ascii="宋体" w:hAnsi="宋体" w:cs="宋体"/>
          <w:bCs/>
          <w:color w:val="auto"/>
          <w:sz w:val="24"/>
        </w:rPr>
        <w:t>提交投标文件截止时间、开标时间和地点</w:t>
      </w:r>
    </w:p>
    <w:p w14:paraId="0FAA7E2E">
      <w:pPr>
        <w:pStyle w:val="57"/>
        <w:spacing w:line="288" w:lineRule="auto"/>
        <w:ind w:left="420"/>
        <w:rPr>
          <w:rFonts w:ascii="宋体" w:hAnsi="宋体" w:cs="宋体"/>
          <w:b/>
          <w:bCs/>
          <w:color w:val="auto"/>
          <w:kern w:val="2"/>
          <w:sz w:val="24"/>
          <w:szCs w:val="24"/>
        </w:rPr>
      </w:pPr>
      <w:bookmarkStart w:id="13" w:name="_Toc35393803"/>
      <w:bookmarkStart w:id="14" w:name="_Toc28359094"/>
      <w:bookmarkStart w:id="15" w:name="_Toc35393634"/>
      <w:bookmarkStart w:id="16" w:name="_Toc28359017"/>
      <w:r>
        <w:rPr>
          <w:rFonts w:hint="eastAsia" w:ascii="宋体" w:hAnsi="宋体" w:cs="宋体"/>
          <w:b/>
          <w:bCs/>
          <w:color w:val="auto"/>
          <w:kern w:val="2"/>
          <w:sz w:val="24"/>
          <w:szCs w:val="24"/>
        </w:rPr>
        <w:t>提交投标文件截止时间：2025年00月00日09：00 （北京时间）</w:t>
      </w:r>
    </w:p>
    <w:p w14:paraId="10DE37C0">
      <w:pPr>
        <w:pStyle w:val="57"/>
        <w:spacing w:line="288" w:lineRule="auto"/>
        <w:ind w:left="420"/>
        <w:rPr>
          <w:rFonts w:ascii="宋体" w:hAnsi="宋体" w:cs="宋体"/>
          <w:color w:val="auto"/>
          <w:kern w:val="2"/>
          <w:sz w:val="24"/>
          <w:szCs w:val="24"/>
        </w:rPr>
      </w:pPr>
      <w:r>
        <w:rPr>
          <w:rFonts w:hint="eastAsia" w:ascii="宋体" w:hAnsi="宋体" w:cs="宋体"/>
          <w:color w:val="auto"/>
          <w:kern w:val="2"/>
          <w:sz w:val="24"/>
          <w:szCs w:val="24"/>
        </w:rPr>
        <w:t>投标地点（网址）：请登录政采云投标客户端投标</w:t>
      </w:r>
    </w:p>
    <w:p w14:paraId="7794BD48">
      <w:pPr>
        <w:pStyle w:val="57"/>
        <w:spacing w:line="288" w:lineRule="auto"/>
        <w:ind w:left="420"/>
        <w:rPr>
          <w:rFonts w:ascii="宋体" w:hAnsi="宋体" w:cs="宋体"/>
          <w:b/>
          <w:bCs/>
          <w:color w:val="auto"/>
          <w:kern w:val="2"/>
          <w:sz w:val="24"/>
          <w:szCs w:val="24"/>
        </w:rPr>
      </w:pPr>
      <w:r>
        <w:rPr>
          <w:rFonts w:hint="eastAsia" w:ascii="宋体" w:hAnsi="宋体" w:cs="宋体"/>
          <w:b/>
          <w:bCs/>
          <w:color w:val="auto"/>
          <w:kern w:val="2"/>
          <w:sz w:val="24"/>
          <w:szCs w:val="24"/>
        </w:rPr>
        <w:t>开标时间：2025年00月00日09：00 （北京时间）</w:t>
      </w:r>
    </w:p>
    <w:p w14:paraId="4DB2C1EE">
      <w:pPr>
        <w:pStyle w:val="57"/>
        <w:spacing w:line="288" w:lineRule="auto"/>
        <w:ind w:left="420"/>
        <w:rPr>
          <w:rFonts w:ascii="宋体" w:hAnsi="宋体" w:cs="宋体"/>
          <w:color w:val="auto"/>
        </w:rPr>
      </w:pPr>
      <w:r>
        <w:rPr>
          <w:rFonts w:hint="eastAsia" w:ascii="宋体" w:hAnsi="宋体" w:cs="宋体"/>
          <w:color w:val="auto"/>
          <w:kern w:val="2"/>
          <w:sz w:val="24"/>
          <w:szCs w:val="24"/>
        </w:rPr>
        <w:t xml:space="preserve">开标地点（网址）：天台县公共资源交易中心开标室1  </w:t>
      </w:r>
    </w:p>
    <w:p w14:paraId="7884536F">
      <w:pPr>
        <w:spacing w:line="288" w:lineRule="auto"/>
        <w:rPr>
          <w:rFonts w:ascii="宋体" w:hAnsi="宋体" w:cs="宋体"/>
          <w:b/>
          <w:bCs/>
          <w:color w:val="auto"/>
          <w:kern w:val="0"/>
          <w:sz w:val="24"/>
        </w:rPr>
      </w:pPr>
      <w:r>
        <w:rPr>
          <w:rFonts w:hint="eastAsia" w:ascii="宋体" w:hAnsi="宋体" w:cs="宋体"/>
          <w:b/>
          <w:bCs/>
          <w:color w:val="auto"/>
          <w:kern w:val="0"/>
          <w:sz w:val="24"/>
        </w:rPr>
        <w:t>五、公告期限</w:t>
      </w:r>
      <w:bookmarkEnd w:id="13"/>
      <w:bookmarkEnd w:id="14"/>
      <w:bookmarkEnd w:id="15"/>
      <w:bookmarkEnd w:id="16"/>
    </w:p>
    <w:p w14:paraId="5365C654">
      <w:pPr>
        <w:spacing w:line="288" w:lineRule="auto"/>
        <w:ind w:firstLine="480" w:firstLineChars="200"/>
        <w:rPr>
          <w:rFonts w:ascii="宋体" w:hAnsi="宋体" w:cs="宋体"/>
          <w:color w:val="auto"/>
          <w:kern w:val="0"/>
          <w:sz w:val="24"/>
        </w:rPr>
      </w:pPr>
      <w:r>
        <w:rPr>
          <w:rFonts w:hint="eastAsia" w:ascii="宋体" w:hAnsi="宋体" w:cs="宋体"/>
          <w:color w:val="auto"/>
          <w:kern w:val="0"/>
          <w:sz w:val="24"/>
        </w:rPr>
        <w:t>自本公告发布之日起5个工作日。</w:t>
      </w:r>
    </w:p>
    <w:p w14:paraId="32DBBB78">
      <w:pPr>
        <w:numPr>
          <w:ilvl w:val="0"/>
          <w:numId w:val="4"/>
        </w:numPr>
        <w:spacing w:line="288" w:lineRule="auto"/>
        <w:rPr>
          <w:rFonts w:ascii="宋体" w:hAnsi="宋体" w:cs="宋体"/>
          <w:b/>
          <w:color w:val="auto"/>
          <w:sz w:val="24"/>
        </w:rPr>
      </w:pPr>
      <w:r>
        <w:rPr>
          <w:rFonts w:hint="eastAsia" w:ascii="宋体" w:hAnsi="宋体" w:cs="宋体"/>
          <w:b/>
          <w:color w:val="auto"/>
          <w:sz w:val="24"/>
        </w:rPr>
        <w:t>其他补充事宜</w:t>
      </w:r>
    </w:p>
    <w:p w14:paraId="430562AC">
      <w:pPr>
        <w:widowControl/>
        <w:spacing w:line="288" w:lineRule="auto"/>
        <w:ind w:firstLine="480" w:firstLineChars="200"/>
        <w:jc w:val="left"/>
        <w:rPr>
          <w:rFonts w:ascii="宋体" w:hAnsi="宋体" w:cs="宋体"/>
          <w:color w:val="auto"/>
          <w:sz w:val="24"/>
        </w:rPr>
      </w:pPr>
      <w:r>
        <w:rPr>
          <w:rFonts w:hint="eastAsia" w:ascii="宋体" w:hAnsi="宋体" w:cs="宋体"/>
          <w:color w:val="auto"/>
          <w:sz w:val="24"/>
        </w:rPr>
        <w:t xml:space="preserve"> 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7532742C">
      <w:pPr>
        <w:widowControl/>
        <w:spacing w:line="288" w:lineRule="auto"/>
        <w:ind w:firstLine="480" w:firstLineChars="200"/>
        <w:jc w:val="left"/>
        <w:rPr>
          <w:rFonts w:ascii="宋体" w:hAnsi="宋体" w:cs="宋体"/>
          <w:color w:val="auto"/>
          <w:sz w:val="24"/>
        </w:rPr>
      </w:pPr>
      <w:r>
        <w:rPr>
          <w:rFonts w:hint="eastAsia" w:ascii="宋体" w:hAnsi="宋体" w:cs="宋体"/>
          <w:color w:val="auto"/>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3112C44">
      <w:pPr>
        <w:widowControl/>
        <w:spacing w:line="288" w:lineRule="auto"/>
        <w:ind w:firstLine="480" w:firstLineChars="200"/>
        <w:jc w:val="left"/>
        <w:rPr>
          <w:rFonts w:ascii="宋体" w:hAnsi="宋体" w:cs="宋体"/>
          <w:color w:val="auto"/>
          <w:sz w:val="24"/>
        </w:rPr>
      </w:pPr>
      <w:r>
        <w:rPr>
          <w:rFonts w:hint="eastAsia" w:ascii="宋体" w:hAnsi="宋体" w:cs="宋体"/>
          <w:color w:val="auto"/>
          <w:sz w:val="24"/>
        </w:rPr>
        <w:t xml:space="preserve"> 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E442A2E">
      <w:pPr>
        <w:widowControl/>
        <w:spacing w:line="288" w:lineRule="auto"/>
        <w:ind w:firstLine="480" w:firstLineChars="200"/>
        <w:jc w:val="left"/>
        <w:rPr>
          <w:rFonts w:ascii="宋体" w:hAnsi="宋体" w:cs="宋体"/>
          <w:color w:val="auto"/>
          <w:sz w:val="24"/>
        </w:rPr>
      </w:pPr>
      <w:r>
        <w:rPr>
          <w:rFonts w:hint="eastAsia" w:ascii="宋体" w:hAnsi="宋体" w:cs="宋体"/>
          <w:color w:val="auto"/>
          <w:sz w:val="24"/>
        </w:rPr>
        <w:t xml:space="preserve"> 4.其他事项：为保障项目开标的连贯性、减少电子投标的意外事件，建议制作电子投标文件人员与参加开标人员为同一人，并提前熟悉政采云-供应商操作指南：浙江省“电子交易/不见面开评标”学习专题：</w:t>
      </w:r>
      <w:r>
        <w:rPr>
          <w:rFonts w:hint="eastAsia" w:ascii="宋体" w:hAnsi="宋体" w:cs="宋体"/>
          <w:color w:val="auto"/>
          <w:sz w:val="24"/>
          <w:u w:val="single"/>
        </w:rPr>
        <w:t xml:space="preserve"> </w:t>
      </w:r>
      <w:r>
        <w:rPr>
          <w:color w:val="auto"/>
        </w:rPr>
        <w:fldChar w:fldCharType="begin"/>
      </w:r>
      <w:r>
        <w:rPr>
          <w:color w:val="auto"/>
        </w:rPr>
        <w:instrText xml:space="preserve"> HYPERLINK "https://edu.zcygov.cn/luban/e-biding" </w:instrText>
      </w:r>
      <w:r>
        <w:rPr>
          <w:color w:val="auto"/>
        </w:rPr>
        <w:fldChar w:fldCharType="separate"/>
      </w:r>
      <w:r>
        <w:rPr>
          <w:rStyle w:val="36"/>
          <w:rFonts w:hint="eastAsia" w:ascii="宋体" w:hAnsi="宋体" w:cs="宋体"/>
          <w:color w:val="auto"/>
          <w:spacing w:val="-20"/>
          <w:sz w:val="24"/>
          <w:u w:val="single"/>
        </w:rPr>
        <w:t>https://edu.zcygov.cn/luban/e-biding</w:t>
      </w:r>
      <w:r>
        <w:rPr>
          <w:rStyle w:val="36"/>
          <w:rFonts w:hint="eastAsia" w:ascii="宋体" w:hAnsi="宋体" w:cs="宋体"/>
          <w:color w:val="auto"/>
          <w:spacing w:val="-20"/>
          <w:sz w:val="24"/>
          <w:u w:val="single"/>
        </w:rPr>
        <w:fldChar w:fldCharType="end"/>
      </w:r>
      <w:r>
        <w:rPr>
          <w:rFonts w:hint="eastAsia" w:ascii="宋体" w:hAnsi="宋体" w:cs="宋体"/>
          <w:color w:val="auto"/>
          <w:spacing w:val="-20"/>
          <w:sz w:val="24"/>
          <w:u w:val="single"/>
        </w:rPr>
        <w:t xml:space="preserve"> </w:t>
      </w:r>
      <w:r>
        <w:rPr>
          <w:rFonts w:hint="eastAsia" w:ascii="宋体" w:hAnsi="宋体" w:cs="宋体"/>
          <w:color w:val="auto"/>
          <w:sz w:val="24"/>
        </w:rPr>
        <w:t>。</w:t>
      </w:r>
    </w:p>
    <w:p w14:paraId="067521DB">
      <w:pPr>
        <w:numPr>
          <w:ilvl w:val="0"/>
          <w:numId w:val="4"/>
        </w:numPr>
        <w:spacing w:line="288" w:lineRule="auto"/>
        <w:rPr>
          <w:rFonts w:ascii="宋体" w:hAnsi="宋体" w:cs="宋体"/>
          <w:b/>
          <w:color w:val="auto"/>
          <w:sz w:val="24"/>
        </w:rPr>
      </w:pPr>
      <w:r>
        <w:rPr>
          <w:rFonts w:hint="eastAsia" w:ascii="宋体" w:hAnsi="宋体" w:cs="宋体"/>
          <w:b/>
          <w:color w:val="auto"/>
          <w:sz w:val="24"/>
        </w:rPr>
        <w:t>对本次采购提出询问、质疑、投诉，请按以下方式联系</w:t>
      </w:r>
    </w:p>
    <w:p w14:paraId="362A2704">
      <w:pPr>
        <w:widowControl/>
        <w:spacing w:line="288" w:lineRule="auto"/>
        <w:ind w:firstLine="480" w:firstLineChars="200"/>
        <w:jc w:val="left"/>
        <w:rPr>
          <w:rFonts w:ascii="宋体" w:hAnsi="宋体" w:cs="宋体"/>
          <w:color w:val="auto"/>
          <w:sz w:val="24"/>
        </w:rPr>
      </w:pPr>
      <w:r>
        <w:rPr>
          <w:rFonts w:hint="eastAsia" w:ascii="宋体" w:hAnsi="宋体" w:cs="宋体"/>
          <w:color w:val="auto"/>
          <w:sz w:val="24"/>
        </w:rPr>
        <w:t>1.采购人信息</w:t>
      </w:r>
    </w:p>
    <w:p w14:paraId="0D3BFBFB">
      <w:pPr>
        <w:widowControl/>
        <w:tabs>
          <w:tab w:val="left" w:pos="7443"/>
        </w:tabs>
        <w:spacing w:line="288" w:lineRule="auto"/>
        <w:ind w:firstLine="480" w:firstLineChars="200"/>
        <w:jc w:val="left"/>
        <w:rPr>
          <w:rFonts w:ascii="宋体" w:hAnsi="宋体" w:cs="宋体"/>
          <w:color w:val="auto"/>
          <w:sz w:val="24"/>
        </w:rPr>
      </w:pPr>
      <w:r>
        <w:rPr>
          <w:rFonts w:hint="eastAsia" w:ascii="宋体" w:hAnsi="宋体" w:cs="宋体"/>
          <w:color w:val="auto"/>
          <w:sz w:val="24"/>
        </w:rPr>
        <w:t>    名    称：天台县自然资源和规划局</w:t>
      </w:r>
      <w:r>
        <w:rPr>
          <w:rFonts w:hint="eastAsia" w:ascii="宋体" w:hAnsi="宋体" w:cs="宋体"/>
          <w:color w:val="auto"/>
          <w:sz w:val="24"/>
        </w:rPr>
        <w:tab/>
      </w:r>
    </w:p>
    <w:p w14:paraId="34492104">
      <w:pPr>
        <w:widowControl/>
        <w:spacing w:line="288" w:lineRule="auto"/>
        <w:ind w:firstLine="480" w:firstLineChars="200"/>
        <w:jc w:val="left"/>
        <w:rPr>
          <w:rFonts w:ascii="宋体" w:hAnsi="宋体" w:cs="宋体"/>
          <w:color w:val="auto"/>
          <w:sz w:val="24"/>
        </w:rPr>
      </w:pPr>
      <w:r>
        <w:rPr>
          <w:rFonts w:hint="eastAsia" w:ascii="宋体" w:hAnsi="宋体" w:cs="宋体"/>
          <w:color w:val="auto"/>
          <w:sz w:val="24"/>
        </w:rPr>
        <w:t>    地    址：天台县工人东路111号</w:t>
      </w:r>
    </w:p>
    <w:p w14:paraId="01FE062D">
      <w:pPr>
        <w:widowControl/>
        <w:spacing w:line="288" w:lineRule="auto"/>
        <w:ind w:firstLine="480" w:firstLineChars="200"/>
        <w:jc w:val="left"/>
        <w:rPr>
          <w:rFonts w:ascii="宋体" w:hAnsi="宋体" w:cs="宋体"/>
          <w:color w:val="auto"/>
          <w:sz w:val="24"/>
        </w:rPr>
      </w:pPr>
      <w:r>
        <w:rPr>
          <w:rFonts w:hint="eastAsia" w:ascii="宋体" w:hAnsi="宋体" w:cs="宋体"/>
          <w:color w:val="auto"/>
          <w:sz w:val="24"/>
        </w:rPr>
        <w:t>    传    真：/  </w:t>
      </w:r>
    </w:p>
    <w:p w14:paraId="1EF6C315">
      <w:pPr>
        <w:widowControl/>
        <w:spacing w:line="288" w:lineRule="auto"/>
        <w:ind w:firstLine="480" w:firstLineChars="200"/>
        <w:jc w:val="left"/>
        <w:rPr>
          <w:rFonts w:ascii="宋体" w:hAnsi="宋体" w:cs="宋体"/>
          <w:color w:val="auto"/>
          <w:sz w:val="24"/>
        </w:rPr>
      </w:pPr>
      <w:r>
        <w:rPr>
          <w:rFonts w:hint="eastAsia" w:ascii="宋体" w:hAnsi="宋体" w:cs="宋体"/>
          <w:color w:val="auto"/>
          <w:sz w:val="24"/>
        </w:rPr>
        <w:t>    项目联系人（询问）：徐友盛</w:t>
      </w:r>
    </w:p>
    <w:p w14:paraId="2FBE1EDE">
      <w:pPr>
        <w:widowControl/>
        <w:spacing w:line="288" w:lineRule="auto"/>
        <w:ind w:firstLine="480" w:firstLineChars="200"/>
        <w:jc w:val="left"/>
        <w:rPr>
          <w:rFonts w:ascii="宋体" w:hAnsi="宋体" w:cs="宋体"/>
          <w:color w:val="auto"/>
          <w:sz w:val="24"/>
        </w:rPr>
      </w:pPr>
      <w:r>
        <w:rPr>
          <w:rFonts w:hint="eastAsia" w:ascii="宋体" w:hAnsi="宋体" w:cs="宋体"/>
          <w:color w:val="auto"/>
          <w:sz w:val="24"/>
        </w:rPr>
        <w:t>    项目联系方式（询问）：18158609985</w:t>
      </w:r>
    </w:p>
    <w:p w14:paraId="292C6EA9">
      <w:pPr>
        <w:widowControl/>
        <w:tabs>
          <w:tab w:val="left" w:pos="7420"/>
        </w:tabs>
        <w:spacing w:line="288" w:lineRule="auto"/>
        <w:ind w:firstLine="480" w:firstLineChars="200"/>
        <w:jc w:val="left"/>
        <w:rPr>
          <w:rFonts w:ascii="宋体" w:hAnsi="宋体" w:cs="宋体"/>
          <w:color w:val="auto"/>
          <w:sz w:val="24"/>
        </w:rPr>
      </w:pPr>
      <w:r>
        <w:rPr>
          <w:rFonts w:hint="eastAsia" w:ascii="宋体" w:hAnsi="宋体" w:cs="宋体"/>
          <w:color w:val="auto"/>
          <w:sz w:val="24"/>
        </w:rPr>
        <w:t>    质疑联系人：王永胜   </w:t>
      </w:r>
      <w:r>
        <w:rPr>
          <w:rFonts w:hint="eastAsia" w:ascii="宋体" w:hAnsi="宋体" w:cs="宋体"/>
          <w:color w:val="auto"/>
          <w:sz w:val="24"/>
        </w:rPr>
        <w:tab/>
      </w:r>
    </w:p>
    <w:p w14:paraId="6A29980F">
      <w:pPr>
        <w:widowControl/>
        <w:spacing w:line="288" w:lineRule="auto"/>
        <w:ind w:firstLine="480" w:firstLineChars="200"/>
        <w:jc w:val="left"/>
        <w:rPr>
          <w:rFonts w:ascii="宋体" w:hAnsi="宋体" w:cs="宋体"/>
          <w:color w:val="auto"/>
          <w:sz w:val="24"/>
        </w:rPr>
      </w:pPr>
      <w:r>
        <w:rPr>
          <w:rFonts w:hint="eastAsia" w:ascii="宋体" w:hAnsi="宋体" w:cs="宋体"/>
          <w:color w:val="auto"/>
          <w:sz w:val="24"/>
        </w:rPr>
        <w:t>    质疑联系方式：0576-83895520</w:t>
      </w:r>
    </w:p>
    <w:p w14:paraId="54E3AEFE">
      <w:pPr>
        <w:widowControl/>
        <w:spacing w:line="288" w:lineRule="auto"/>
        <w:ind w:firstLine="480" w:firstLineChars="200"/>
        <w:jc w:val="left"/>
        <w:rPr>
          <w:rFonts w:ascii="宋体" w:hAnsi="宋体" w:cs="宋体"/>
          <w:color w:val="auto"/>
          <w:sz w:val="24"/>
        </w:rPr>
      </w:pPr>
      <w:r>
        <w:rPr>
          <w:rFonts w:hint="eastAsia" w:ascii="宋体" w:hAnsi="宋体" w:cs="宋体"/>
          <w:color w:val="auto"/>
          <w:sz w:val="24"/>
        </w:rPr>
        <w:t> 2.采购代理机构信息            </w:t>
      </w:r>
    </w:p>
    <w:p w14:paraId="46CFEF0A">
      <w:pPr>
        <w:widowControl/>
        <w:spacing w:line="288" w:lineRule="auto"/>
        <w:ind w:firstLine="480" w:firstLineChars="200"/>
        <w:jc w:val="left"/>
        <w:rPr>
          <w:rFonts w:ascii="宋体" w:hAnsi="宋体" w:cs="宋体"/>
          <w:color w:val="auto"/>
          <w:sz w:val="24"/>
        </w:rPr>
      </w:pPr>
      <w:r>
        <w:rPr>
          <w:rFonts w:hint="eastAsia" w:ascii="宋体" w:hAnsi="宋体" w:cs="宋体"/>
          <w:color w:val="auto"/>
          <w:sz w:val="24"/>
        </w:rPr>
        <w:t>    名    称：台州市天诚工程造价咨询有限公司             </w:t>
      </w:r>
    </w:p>
    <w:p w14:paraId="01DBC560">
      <w:pPr>
        <w:widowControl/>
        <w:spacing w:line="288" w:lineRule="auto"/>
        <w:ind w:firstLine="480" w:firstLineChars="200"/>
        <w:jc w:val="left"/>
        <w:rPr>
          <w:rFonts w:ascii="宋体" w:hAnsi="宋体" w:cs="宋体"/>
          <w:color w:val="auto"/>
          <w:sz w:val="24"/>
        </w:rPr>
      </w:pPr>
      <w:r>
        <w:rPr>
          <w:rFonts w:hint="eastAsia" w:ascii="宋体" w:hAnsi="宋体" w:cs="宋体"/>
          <w:color w:val="auto"/>
          <w:sz w:val="24"/>
        </w:rPr>
        <w:t>    地    址：天台县赤城街道春晓路200号天诚大厦二楼（招标代理部）</w:t>
      </w:r>
    </w:p>
    <w:p w14:paraId="481507AA">
      <w:pPr>
        <w:widowControl/>
        <w:spacing w:line="288" w:lineRule="auto"/>
        <w:ind w:firstLine="480" w:firstLineChars="200"/>
        <w:jc w:val="left"/>
        <w:rPr>
          <w:rFonts w:ascii="宋体" w:hAnsi="宋体" w:cs="宋体"/>
          <w:color w:val="auto"/>
          <w:sz w:val="24"/>
        </w:rPr>
      </w:pPr>
      <w:r>
        <w:rPr>
          <w:rFonts w:hint="eastAsia" w:ascii="宋体" w:hAnsi="宋体" w:cs="宋体"/>
          <w:color w:val="auto"/>
          <w:sz w:val="24"/>
        </w:rPr>
        <w:t>    传    真：/             </w:t>
      </w:r>
    </w:p>
    <w:p w14:paraId="0755AF8B">
      <w:pPr>
        <w:widowControl/>
        <w:spacing w:line="288" w:lineRule="auto"/>
        <w:ind w:firstLine="480" w:firstLineChars="200"/>
        <w:jc w:val="left"/>
        <w:rPr>
          <w:rFonts w:ascii="宋体" w:hAnsi="宋体" w:cs="宋体"/>
          <w:color w:val="auto"/>
          <w:sz w:val="24"/>
        </w:rPr>
      </w:pPr>
      <w:r>
        <w:rPr>
          <w:rFonts w:hint="eastAsia" w:ascii="宋体" w:hAnsi="宋体" w:cs="宋体"/>
          <w:color w:val="auto"/>
          <w:sz w:val="24"/>
        </w:rPr>
        <w:t>    项目联系人（询问）：谷婷婷              </w:t>
      </w:r>
    </w:p>
    <w:p w14:paraId="7AB83761">
      <w:pPr>
        <w:widowControl/>
        <w:spacing w:line="288" w:lineRule="auto"/>
        <w:ind w:firstLine="480" w:firstLineChars="200"/>
        <w:jc w:val="left"/>
        <w:rPr>
          <w:rFonts w:ascii="宋体" w:hAnsi="宋体" w:cs="宋体"/>
          <w:color w:val="auto"/>
          <w:sz w:val="24"/>
        </w:rPr>
      </w:pPr>
      <w:r>
        <w:rPr>
          <w:rFonts w:hint="eastAsia" w:ascii="宋体" w:hAnsi="宋体" w:cs="宋体"/>
          <w:color w:val="auto"/>
          <w:sz w:val="24"/>
        </w:rPr>
        <w:t>    项目联系方式（询问）：15968606386</w:t>
      </w:r>
    </w:p>
    <w:p w14:paraId="08827FBD">
      <w:pPr>
        <w:widowControl/>
        <w:spacing w:line="288" w:lineRule="auto"/>
        <w:ind w:firstLine="480" w:firstLineChars="200"/>
        <w:jc w:val="left"/>
        <w:rPr>
          <w:rFonts w:ascii="宋体" w:hAnsi="宋体" w:cs="宋体"/>
          <w:color w:val="auto"/>
          <w:sz w:val="24"/>
        </w:rPr>
      </w:pPr>
      <w:r>
        <w:rPr>
          <w:rFonts w:hint="eastAsia" w:ascii="宋体" w:hAnsi="宋体" w:cs="宋体"/>
          <w:color w:val="auto"/>
          <w:sz w:val="24"/>
        </w:rPr>
        <w:t>    质疑联系人：褚洪彬             </w:t>
      </w:r>
    </w:p>
    <w:p w14:paraId="1B598C19">
      <w:pPr>
        <w:widowControl/>
        <w:spacing w:line="288" w:lineRule="auto"/>
        <w:ind w:firstLine="480" w:firstLineChars="200"/>
        <w:jc w:val="left"/>
        <w:rPr>
          <w:rFonts w:ascii="宋体" w:hAnsi="宋体" w:cs="宋体"/>
          <w:color w:val="auto"/>
          <w:sz w:val="24"/>
        </w:rPr>
      </w:pPr>
      <w:r>
        <w:rPr>
          <w:rFonts w:hint="eastAsia" w:ascii="宋体" w:hAnsi="宋体" w:cs="宋体"/>
          <w:color w:val="auto"/>
          <w:sz w:val="24"/>
        </w:rPr>
        <w:t>    质疑联系方式：18858644891　　　　　　     </w:t>
      </w:r>
    </w:p>
    <w:p w14:paraId="69CC2CB8">
      <w:pPr>
        <w:widowControl/>
        <w:spacing w:line="288" w:lineRule="auto"/>
        <w:ind w:firstLine="480" w:firstLineChars="200"/>
        <w:jc w:val="left"/>
        <w:rPr>
          <w:rFonts w:ascii="宋体" w:hAnsi="宋体" w:cs="宋体"/>
          <w:color w:val="auto"/>
          <w:sz w:val="24"/>
        </w:rPr>
      </w:pPr>
      <w:r>
        <w:rPr>
          <w:rFonts w:hint="eastAsia" w:ascii="宋体" w:hAnsi="宋体" w:cs="宋体"/>
          <w:color w:val="auto"/>
          <w:sz w:val="24"/>
        </w:rPr>
        <w:t>     3.同级政府采购监督管理部门            </w:t>
      </w:r>
    </w:p>
    <w:p w14:paraId="4BC2CE58">
      <w:pPr>
        <w:widowControl/>
        <w:spacing w:line="288" w:lineRule="auto"/>
        <w:ind w:firstLine="480" w:firstLineChars="200"/>
        <w:jc w:val="left"/>
        <w:rPr>
          <w:rFonts w:ascii="宋体" w:hAnsi="宋体" w:cs="宋体"/>
          <w:color w:val="auto"/>
          <w:sz w:val="24"/>
        </w:rPr>
      </w:pPr>
      <w:r>
        <w:rPr>
          <w:rFonts w:hint="eastAsia" w:ascii="宋体" w:hAnsi="宋体" w:cs="宋体"/>
          <w:color w:val="auto"/>
          <w:sz w:val="24"/>
        </w:rPr>
        <w:t>    名    称：天台县财政局             </w:t>
      </w:r>
    </w:p>
    <w:p w14:paraId="3263D485">
      <w:pPr>
        <w:widowControl/>
        <w:spacing w:line="288" w:lineRule="auto"/>
        <w:ind w:firstLine="480" w:firstLineChars="200"/>
        <w:jc w:val="left"/>
        <w:rPr>
          <w:rFonts w:ascii="宋体" w:hAnsi="宋体" w:cs="宋体"/>
          <w:color w:val="auto"/>
          <w:sz w:val="24"/>
        </w:rPr>
      </w:pPr>
      <w:r>
        <w:rPr>
          <w:rFonts w:hint="eastAsia" w:ascii="宋体" w:hAnsi="宋体" w:cs="宋体"/>
          <w:color w:val="auto"/>
          <w:sz w:val="24"/>
        </w:rPr>
        <w:t>    地    址：天台县飞鹤路189号            </w:t>
      </w:r>
    </w:p>
    <w:p w14:paraId="19504A70">
      <w:pPr>
        <w:widowControl/>
        <w:spacing w:line="288" w:lineRule="auto"/>
        <w:ind w:firstLine="480" w:firstLineChars="200"/>
        <w:jc w:val="left"/>
        <w:rPr>
          <w:rFonts w:ascii="宋体" w:hAnsi="宋体" w:cs="宋体"/>
          <w:color w:val="auto"/>
          <w:sz w:val="24"/>
        </w:rPr>
      </w:pPr>
      <w:r>
        <w:rPr>
          <w:rFonts w:hint="eastAsia" w:ascii="宋体" w:hAnsi="宋体" w:cs="宋体"/>
          <w:color w:val="auto"/>
          <w:sz w:val="24"/>
        </w:rPr>
        <w:t>    传    真：/             </w:t>
      </w:r>
    </w:p>
    <w:p w14:paraId="5B6335D9">
      <w:pPr>
        <w:widowControl/>
        <w:spacing w:line="288" w:lineRule="auto"/>
        <w:ind w:firstLine="480" w:firstLineChars="200"/>
        <w:jc w:val="left"/>
        <w:rPr>
          <w:rFonts w:ascii="宋体" w:hAnsi="宋体" w:cs="宋体"/>
          <w:color w:val="auto"/>
          <w:sz w:val="24"/>
        </w:rPr>
      </w:pPr>
      <w:r>
        <w:rPr>
          <w:rFonts w:hint="eastAsia" w:ascii="宋体" w:hAnsi="宋体" w:cs="宋体"/>
          <w:color w:val="auto"/>
          <w:sz w:val="24"/>
        </w:rPr>
        <w:t>    联系人 ：王女士            </w:t>
      </w:r>
    </w:p>
    <w:p w14:paraId="0EA10DE2">
      <w:pPr>
        <w:widowControl/>
        <w:tabs>
          <w:tab w:val="center" w:pos="4592"/>
        </w:tabs>
        <w:spacing w:line="288" w:lineRule="auto"/>
        <w:ind w:firstLine="480" w:firstLineChars="200"/>
        <w:jc w:val="left"/>
        <w:rPr>
          <w:rFonts w:ascii="宋体" w:hAnsi="宋体" w:cs="宋体"/>
          <w:color w:val="auto"/>
          <w:sz w:val="24"/>
        </w:rPr>
      </w:pPr>
      <w:r>
        <w:rPr>
          <w:rFonts w:hint="eastAsia" w:ascii="宋体" w:hAnsi="宋体" w:cs="宋体"/>
          <w:color w:val="auto"/>
          <w:sz w:val="24"/>
        </w:rPr>
        <w:t>    监督投诉电话：0576-89353856  </w:t>
      </w:r>
      <w:r>
        <w:rPr>
          <w:rFonts w:hint="eastAsia" w:ascii="宋体" w:hAnsi="宋体" w:cs="宋体"/>
          <w:color w:val="auto"/>
          <w:sz w:val="24"/>
        </w:rPr>
        <w:tab/>
      </w:r>
    </w:p>
    <w:p w14:paraId="1E00136F">
      <w:pPr>
        <w:spacing w:line="400" w:lineRule="exact"/>
        <w:rPr>
          <w:rFonts w:ascii="宋体" w:hAnsi="宋体" w:cs="宋体"/>
          <w:color w:val="auto"/>
          <w:sz w:val="24"/>
        </w:rPr>
      </w:pPr>
    </w:p>
    <w:p w14:paraId="653ACCA8">
      <w:pPr>
        <w:pStyle w:val="2"/>
        <w:rPr>
          <w:rFonts w:ascii="宋体" w:hAnsi="宋体" w:cs="宋体"/>
          <w:color w:val="auto"/>
        </w:rPr>
      </w:pPr>
    </w:p>
    <w:p w14:paraId="08C49033">
      <w:pPr>
        <w:spacing w:line="288" w:lineRule="auto"/>
        <w:ind w:firstLine="480" w:firstLineChars="200"/>
        <w:rPr>
          <w:rFonts w:ascii="宋体" w:hAnsi="宋体" w:cs="宋体"/>
          <w:color w:val="auto"/>
          <w:sz w:val="24"/>
        </w:rPr>
      </w:pPr>
    </w:p>
    <w:p w14:paraId="5B2DD926">
      <w:pPr>
        <w:spacing w:afterLines="100" w:line="288" w:lineRule="auto"/>
        <w:rPr>
          <w:rFonts w:ascii="宋体" w:hAnsi="宋体" w:cs="宋体"/>
          <w:color w:val="auto"/>
          <w:sz w:val="24"/>
        </w:rPr>
      </w:pPr>
      <w:r>
        <w:rPr>
          <w:rFonts w:hint="eastAsia" w:ascii="宋体" w:hAnsi="宋体" w:cs="宋体"/>
          <w:color w:val="auto"/>
          <w:sz w:val="24"/>
        </w:rPr>
        <w:t>若对项目采购电子交易系统操作有疑问，可登录政采云（https://www.zcygov.cn/），点击右侧咨询小采，获取采小蜜智能服务管家帮助，或拨打政采云服务热线400-881-7190获取热线服务帮助。       </w:t>
      </w:r>
    </w:p>
    <w:p w14:paraId="5A0270AC">
      <w:pPr>
        <w:spacing w:afterLines="100" w:line="288" w:lineRule="auto"/>
        <w:rPr>
          <w:rFonts w:ascii="宋体" w:hAnsi="宋体" w:cs="宋体"/>
          <w:color w:val="auto"/>
          <w:sz w:val="24"/>
        </w:rPr>
      </w:pPr>
      <w:r>
        <w:rPr>
          <w:rFonts w:hint="eastAsia" w:ascii="宋体" w:hAnsi="宋体" w:cs="宋体"/>
          <w:color w:val="auto"/>
          <w:sz w:val="24"/>
        </w:rPr>
        <w:t>CA问题联系电话（人工）：汇信CA 400-888-4636；天谷CA 400-087-8198。</w:t>
      </w:r>
    </w:p>
    <w:p w14:paraId="08C0893E">
      <w:pPr>
        <w:pStyle w:val="27"/>
        <w:rPr>
          <w:rFonts w:hAnsi="宋体" w:cs="宋体"/>
          <w:color w:val="auto"/>
        </w:rPr>
      </w:pPr>
    </w:p>
    <w:p w14:paraId="6589C738">
      <w:pPr>
        <w:pStyle w:val="41"/>
        <w:rPr>
          <w:rFonts w:ascii="宋体" w:hAnsi="宋体" w:cs="宋体"/>
          <w:color w:val="auto"/>
        </w:rPr>
      </w:pPr>
    </w:p>
    <w:p w14:paraId="48AE5514">
      <w:pPr>
        <w:rPr>
          <w:rFonts w:ascii="宋体" w:hAnsi="宋体" w:cs="宋体"/>
          <w:color w:val="auto"/>
        </w:rPr>
      </w:pPr>
    </w:p>
    <w:p w14:paraId="27F559DB">
      <w:pPr>
        <w:pStyle w:val="41"/>
        <w:rPr>
          <w:rFonts w:ascii="宋体" w:hAnsi="宋体" w:cs="宋体"/>
          <w:color w:val="auto"/>
        </w:rPr>
      </w:pPr>
    </w:p>
    <w:p w14:paraId="11B4553C">
      <w:pPr>
        <w:rPr>
          <w:rFonts w:ascii="宋体" w:hAnsi="宋体" w:cs="宋体"/>
          <w:color w:val="auto"/>
        </w:rPr>
      </w:pPr>
    </w:p>
    <w:p w14:paraId="0EA1DECA">
      <w:pPr>
        <w:pStyle w:val="41"/>
        <w:rPr>
          <w:rFonts w:ascii="宋体" w:hAnsi="宋体" w:cs="宋体"/>
          <w:color w:val="auto"/>
        </w:rPr>
      </w:pPr>
    </w:p>
    <w:p w14:paraId="73434A44">
      <w:pPr>
        <w:rPr>
          <w:rFonts w:ascii="宋体" w:hAnsi="宋体" w:cs="宋体"/>
          <w:color w:val="auto"/>
        </w:rPr>
      </w:pPr>
    </w:p>
    <w:p w14:paraId="7EBD8D77">
      <w:pPr>
        <w:pStyle w:val="40"/>
        <w:rPr>
          <w:rFonts w:hAnsi="宋体" w:eastAsia="宋体"/>
          <w:color w:val="auto"/>
        </w:rPr>
      </w:pPr>
    </w:p>
    <w:p w14:paraId="66AB541C">
      <w:pPr>
        <w:pStyle w:val="40"/>
        <w:rPr>
          <w:rFonts w:hAnsi="宋体" w:eastAsia="宋体"/>
          <w:color w:val="auto"/>
        </w:rPr>
      </w:pPr>
    </w:p>
    <w:p w14:paraId="773F6AE9">
      <w:pPr>
        <w:pStyle w:val="40"/>
        <w:rPr>
          <w:rFonts w:hAnsi="宋体" w:eastAsia="宋体"/>
          <w:color w:val="auto"/>
        </w:rPr>
      </w:pPr>
    </w:p>
    <w:p w14:paraId="45C45A7D">
      <w:pPr>
        <w:pStyle w:val="40"/>
        <w:rPr>
          <w:rFonts w:hAnsi="宋体" w:eastAsia="宋体"/>
          <w:color w:val="auto"/>
        </w:rPr>
      </w:pPr>
    </w:p>
    <w:p w14:paraId="72113F55">
      <w:pPr>
        <w:pStyle w:val="40"/>
        <w:rPr>
          <w:rFonts w:hAnsi="宋体" w:eastAsia="宋体"/>
          <w:color w:val="auto"/>
        </w:rPr>
      </w:pPr>
    </w:p>
    <w:p w14:paraId="2D5F236D">
      <w:pPr>
        <w:pStyle w:val="40"/>
        <w:rPr>
          <w:rFonts w:hAnsi="宋体" w:eastAsia="宋体"/>
          <w:color w:val="auto"/>
        </w:rPr>
      </w:pPr>
    </w:p>
    <w:p w14:paraId="20D6EB73">
      <w:pPr>
        <w:pStyle w:val="40"/>
        <w:rPr>
          <w:rFonts w:hAnsi="宋体" w:eastAsia="宋体"/>
          <w:color w:val="auto"/>
        </w:rPr>
      </w:pPr>
    </w:p>
    <w:p w14:paraId="2FA2E2FB">
      <w:pPr>
        <w:pStyle w:val="40"/>
        <w:rPr>
          <w:rFonts w:hAnsi="宋体" w:eastAsia="宋体"/>
          <w:color w:val="auto"/>
        </w:rPr>
      </w:pPr>
    </w:p>
    <w:p w14:paraId="3CC2C0F7">
      <w:pPr>
        <w:pStyle w:val="40"/>
        <w:rPr>
          <w:rFonts w:hAnsi="宋体" w:eastAsia="宋体"/>
          <w:color w:val="auto"/>
        </w:rPr>
      </w:pPr>
    </w:p>
    <w:p w14:paraId="013CD583">
      <w:pPr>
        <w:pStyle w:val="40"/>
        <w:rPr>
          <w:rFonts w:hAnsi="宋体" w:eastAsia="宋体"/>
          <w:color w:val="auto"/>
        </w:rPr>
      </w:pPr>
    </w:p>
    <w:p w14:paraId="7157D635">
      <w:pPr>
        <w:pStyle w:val="40"/>
        <w:rPr>
          <w:rFonts w:hAnsi="宋体" w:eastAsia="宋体"/>
          <w:color w:val="auto"/>
        </w:rPr>
      </w:pPr>
    </w:p>
    <w:p w14:paraId="63DC23D6">
      <w:pPr>
        <w:pStyle w:val="40"/>
        <w:rPr>
          <w:rFonts w:hAnsi="宋体" w:eastAsia="宋体"/>
          <w:color w:val="auto"/>
        </w:rPr>
      </w:pPr>
    </w:p>
    <w:p w14:paraId="6D5ABFF4">
      <w:pPr>
        <w:pStyle w:val="40"/>
        <w:rPr>
          <w:rFonts w:hAnsi="宋体" w:eastAsia="宋体"/>
          <w:color w:val="auto"/>
        </w:rPr>
      </w:pPr>
    </w:p>
    <w:p w14:paraId="47A68B49">
      <w:pPr>
        <w:pStyle w:val="41"/>
        <w:rPr>
          <w:rFonts w:ascii="宋体" w:hAnsi="宋体" w:cs="宋体"/>
          <w:color w:val="auto"/>
        </w:rPr>
      </w:pPr>
    </w:p>
    <w:p w14:paraId="48A4FC1D">
      <w:pPr>
        <w:rPr>
          <w:rFonts w:ascii="宋体" w:hAnsi="宋体" w:cs="宋体"/>
          <w:color w:val="auto"/>
        </w:rPr>
      </w:pPr>
    </w:p>
    <w:p w14:paraId="78110ECC">
      <w:pPr>
        <w:spacing w:beforeLines="200" w:afterLines="40" w:line="400" w:lineRule="exact"/>
        <w:jc w:val="center"/>
        <w:outlineLvl w:val="0"/>
        <w:rPr>
          <w:rFonts w:ascii="宋体" w:hAnsi="宋体" w:cs="宋体"/>
          <w:b/>
          <w:color w:val="auto"/>
          <w:sz w:val="36"/>
          <w:szCs w:val="44"/>
        </w:rPr>
      </w:pPr>
      <w:r>
        <w:rPr>
          <w:rFonts w:hint="eastAsia" w:ascii="宋体" w:hAnsi="宋体" w:cs="宋体"/>
          <w:b/>
          <w:color w:val="auto"/>
          <w:sz w:val="36"/>
          <w:szCs w:val="44"/>
        </w:rPr>
        <w:t xml:space="preserve"> </w:t>
      </w:r>
      <w:bookmarkStart w:id="17" w:name="_Toc702"/>
      <w:r>
        <w:rPr>
          <w:rFonts w:hint="eastAsia" w:ascii="宋体" w:hAnsi="宋体" w:cs="宋体"/>
          <w:b/>
          <w:color w:val="auto"/>
          <w:sz w:val="36"/>
          <w:szCs w:val="44"/>
        </w:rPr>
        <w:t>第二章 投标人须知</w:t>
      </w:r>
      <w:bookmarkEnd w:id="17"/>
    </w:p>
    <w:p w14:paraId="7A8A7C91">
      <w:pPr>
        <w:pStyle w:val="7"/>
        <w:spacing w:line="400" w:lineRule="exact"/>
        <w:jc w:val="center"/>
        <w:outlineLvl w:val="1"/>
        <w:rPr>
          <w:rFonts w:hAnsi="宋体" w:cs="宋体"/>
          <w:b/>
          <w:bCs/>
          <w:color w:val="auto"/>
          <w:sz w:val="30"/>
          <w:szCs w:val="30"/>
        </w:rPr>
      </w:pPr>
      <w:bookmarkStart w:id="18" w:name="_Toc25504"/>
      <w:r>
        <w:rPr>
          <w:rFonts w:hint="eastAsia" w:hAnsi="宋体" w:cs="宋体"/>
          <w:b/>
          <w:bCs/>
          <w:color w:val="auto"/>
          <w:sz w:val="30"/>
          <w:szCs w:val="30"/>
        </w:rPr>
        <w:t>投标人须知前附表</w:t>
      </w:r>
      <w:bookmarkEnd w:id="18"/>
    </w:p>
    <w:tbl>
      <w:tblPr>
        <w:tblStyle w:val="31"/>
        <w:tblW w:w="9634"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57" w:type="dxa"/>
          <w:left w:w="108" w:type="dxa"/>
          <w:bottom w:w="57" w:type="dxa"/>
          <w:right w:w="108" w:type="dxa"/>
        </w:tblCellMar>
      </w:tblPr>
      <w:tblGrid>
        <w:gridCol w:w="771"/>
        <w:gridCol w:w="1907"/>
        <w:gridCol w:w="6956"/>
      </w:tblGrid>
      <w:tr w14:paraId="4ABCE9C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108" w:type="dxa"/>
            <w:bottom w:w="57" w:type="dxa"/>
            <w:right w:w="108" w:type="dxa"/>
          </w:tblCellMar>
        </w:tblPrEx>
        <w:trPr>
          <w:cantSplit/>
          <w:trHeight w:val="454" w:hRule="atLeast"/>
          <w:tblHeader/>
          <w:jc w:val="center"/>
        </w:trPr>
        <w:tc>
          <w:tcPr>
            <w:tcW w:w="771" w:type="dxa"/>
            <w:tcBorders>
              <w:tl2br w:val="nil"/>
              <w:tr2bl w:val="nil"/>
            </w:tcBorders>
            <w:shd w:val="clear" w:color="auto" w:fill="auto"/>
            <w:vAlign w:val="center"/>
          </w:tcPr>
          <w:p w14:paraId="0446FBA8">
            <w:pPr>
              <w:spacing w:line="400" w:lineRule="exact"/>
              <w:jc w:val="center"/>
              <w:rPr>
                <w:rFonts w:ascii="宋体" w:hAnsi="宋体" w:cs="宋体"/>
                <w:color w:val="auto"/>
                <w:sz w:val="24"/>
              </w:rPr>
            </w:pPr>
            <w:r>
              <w:rPr>
                <w:rFonts w:hint="eastAsia" w:ascii="宋体" w:hAnsi="宋体" w:cs="宋体"/>
                <w:color w:val="auto"/>
                <w:sz w:val="24"/>
              </w:rPr>
              <w:t>序号</w:t>
            </w:r>
          </w:p>
        </w:tc>
        <w:tc>
          <w:tcPr>
            <w:tcW w:w="1907" w:type="dxa"/>
            <w:tcBorders>
              <w:tl2br w:val="nil"/>
              <w:tr2bl w:val="nil"/>
            </w:tcBorders>
            <w:shd w:val="clear" w:color="auto" w:fill="auto"/>
            <w:vAlign w:val="center"/>
          </w:tcPr>
          <w:p w14:paraId="68239559">
            <w:pPr>
              <w:spacing w:line="300" w:lineRule="exact"/>
              <w:jc w:val="center"/>
              <w:rPr>
                <w:rFonts w:ascii="宋体" w:hAnsi="宋体" w:cs="宋体"/>
                <w:color w:val="auto"/>
                <w:sz w:val="24"/>
              </w:rPr>
            </w:pPr>
            <w:r>
              <w:rPr>
                <w:rFonts w:hint="eastAsia" w:ascii="宋体" w:hAnsi="宋体" w:cs="宋体"/>
                <w:color w:val="auto"/>
                <w:sz w:val="24"/>
              </w:rPr>
              <w:t>内容</w:t>
            </w:r>
          </w:p>
        </w:tc>
        <w:tc>
          <w:tcPr>
            <w:tcW w:w="6956" w:type="dxa"/>
            <w:tcBorders>
              <w:tl2br w:val="nil"/>
              <w:tr2bl w:val="nil"/>
            </w:tcBorders>
            <w:shd w:val="clear" w:color="auto" w:fill="auto"/>
            <w:vAlign w:val="center"/>
          </w:tcPr>
          <w:p w14:paraId="3ECA987A">
            <w:pPr>
              <w:spacing w:line="300" w:lineRule="exact"/>
              <w:jc w:val="center"/>
              <w:rPr>
                <w:rFonts w:ascii="宋体" w:hAnsi="宋体" w:cs="宋体"/>
                <w:color w:val="auto"/>
                <w:sz w:val="24"/>
              </w:rPr>
            </w:pPr>
            <w:r>
              <w:rPr>
                <w:rFonts w:hint="eastAsia" w:ascii="宋体" w:hAnsi="宋体" w:cs="宋体"/>
                <w:color w:val="auto"/>
                <w:sz w:val="24"/>
              </w:rPr>
              <w:t>说明与要求</w:t>
            </w:r>
          </w:p>
        </w:tc>
      </w:tr>
      <w:tr w14:paraId="3969D73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108" w:type="dxa"/>
            <w:bottom w:w="57" w:type="dxa"/>
            <w:right w:w="108" w:type="dxa"/>
          </w:tblCellMar>
        </w:tblPrEx>
        <w:trPr>
          <w:cantSplit/>
          <w:trHeight w:val="454" w:hRule="atLeast"/>
          <w:jc w:val="center"/>
        </w:trPr>
        <w:tc>
          <w:tcPr>
            <w:tcW w:w="771" w:type="dxa"/>
            <w:tcBorders>
              <w:tl2br w:val="nil"/>
              <w:tr2bl w:val="nil"/>
            </w:tcBorders>
            <w:vAlign w:val="center"/>
          </w:tcPr>
          <w:p w14:paraId="516AFC64">
            <w:pPr>
              <w:numPr>
                <w:ilvl w:val="0"/>
                <w:numId w:val="5"/>
              </w:numPr>
              <w:spacing w:line="400" w:lineRule="exact"/>
              <w:jc w:val="center"/>
              <w:rPr>
                <w:rFonts w:ascii="宋体" w:hAnsi="宋体" w:cs="宋体"/>
                <w:color w:val="auto"/>
                <w:sz w:val="24"/>
              </w:rPr>
            </w:pPr>
          </w:p>
        </w:tc>
        <w:tc>
          <w:tcPr>
            <w:tcW w:w="1907" w:type="dxa"/>
            <w:tcBorders>
              <w:tl2br w:val="nil"/>
              <w:tr2bl w:val="nil"/>
            </w:tcBorders>
            <w:vAlign w:val="center"/>
          </w:tcPr>
          <w:p w14:paraId="6F24BE38">
            <w:pPr>
              <w:spacing w:line="300" w:lineRule="exact"/>
              <w:jc w:val="center"/>
              <w:rPr>
                <w:rFonts w:ascii="宋体" w:hAnsi="宋体" w:cs="宋体"/>
                <w:color w:val="auto"/>
                <w:sz w:val="24"/>
              </w:rPr>
            </w:pPr>
            <w:r>
              <w:rPr>
                <w:rFonts w:hint="eastAsia" w:ascii="宋体" w:hAnsi="宋体" w:cs="宋体"/>
                <w:color w:val="auto"/>
                <w:sz w:val="24"/>
              </w:rPr>
              <w:t>项目名称</w:t>
            </w:r>
          </w:p>
        </w:tc>
        <w:tc>
          <w:tcPr>
            <w:tcW w:w="6956" w:type="dxa"/>
            <w:tcBorders>
              <w:tl2br w:val="nil"/>
              <w:tr2bl w:val="nil"/>
            </w:tcBorders>
            <w:vAlign w:val="center"/>
          </w:tcPr>
          <w:p w14:paraId="379754EE">
            <w:pPr>
              <w:spacing w:line="300" w:lineRule="exact"/>
              <w:rPr>
                <w:rFonts w:ascii="宋体" w:hAnsi="宋体" w:cs="宋体"/>
                <w:color w:val="auto"/>
                <w:sz w:val="24"/>
              </w:rPr>
            </w:pPr>
            <w:r>
              <w:rPr>
                <w:rFonts w:hint="eastAsia" w:ascii="宋体" w:hAnsi="宋体" w:cs="宋体"/>
                <w:color w:val="auto"/>
                <w:sz w:val="24"/>
              </w:rPr>
              <w:t>天台县2025年度补充林地库建设项目</w:t>
            </w:r>
          </w:p>
        </w:tc>
      </w:tr>
      <w:tr w14:paraId="34A7053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108" w:type="dxa"/>
            <w:bottom w:w="57" w:type="dxa"/>
            <w:right w:w="108" w:type="dxa"/>
          </w:tblCellMar>
        </w:tblPrEx>
        <w:trPr>
          <w:cantSplit/>
          <w:trHeight w:val="454" w:hRule="atLeast"/>
          <w:jc w:val="center"/>
        </w:trPr>
        <w:tc>
          <w:tcPr>
            <w:tcW w:w="771" w:type="dxa"/>
            <w:tcBorders>
              <w:tl2br w:val="nil"/>
              <w:tr2bl w:val="nil"/>
            </w:tcBorders>
            <w:vAlign w:val="center"/>
          </w:tcPr>
          <w:p w14:paraId="5D9FC95B">
            <w:pPr>
              <w:numPr>
                <w:ilvl w:val="0"/>
                <w:numId w:val="5"/>
              </w:numPr>
              <w:spacing w:line="400" w:lineRule="exact"/>
              <w:jc w:val="center"/>
              <w:rPr>
                <w:rFonts w:ascii="宋体" w:hAnsi="宋体" w:cs="宋体"/>
                <w:color w:val="auto"/>
                <w:sz w:val="24"/>
              </w:rPr>
            </w:pPr>
          </w:p>
        </w:tc>
        <w:tc>
          <w:tcPr>
            <w:tcW w:w="1907" w:type="dxa"/>
            <w:tcBorders>
              <w:tl2br w:val="nil"/>
              <w:tr2bl w:val="nil"/>
            </w:tcBorders>
            <w:vAlign w:val="center"/>
          </w:tcPr>
          <w:p w14:paraId="48F435EA">
            <w:pPr>
              <w:spacing w:line="300" w:lineRule="exact"/>
              <w:jc w:val="center"/>
              <w:rPr>
                <w:rFonts w:ascii="宋体" w:hAnsi="宋体" w:cs="宋体"/>
                <w:color w:val="auto"/>
                <w:sz w:val="24"/>
              </w:rPr>
            </w:pPr>
            <w:r>
              <w:rPr>
                <w:rFonts w:hint="eastAsia" w:ascii="宋体" w:hAnsi="宋体" w:cs="宋体"/>
                <w:color w:val="auto"/>
                <w:sz w:val="24"/>
              </w:rPr>
              <w:t>项目编号</w:t>
            </w:r>
          </w:p>
        </w:tc>
        <w:tc>
          <w:tcPr>
            <w:tcW w:w="6956" w:type="dxa"/>
            <w:tcBorders>
              <w:tl2br w:val="nil"/>
              <w:tr2bl w:val="nil"/>
            </w:tcBorders>
            <w:vAlign w:val="center"/>
          </w:tcPr>
          <w:p w14:paraId="3BA19813">
            <w:pPr>
              <w:spacing w:line="300" w:lineRule="exact"/>
              <w:rPr>
                <w:rFonts w:ascii="宋体" w:hAnsi="宋体" w:cs="宋体"/>
                <w:color w:val="auto"/>
                <w:sz w:val="24"/>
              </w:rPr>
            </w:pPr>
            <w:r>
              <w:rPr>
                <w:rFonts w:hint="eastAsia" w:ascii="宋体" w:hAnsi="宋体" w:cs="宋体"/>
                <w:color w:val="auto"/>
                <w:sz w:val="24"/>
              </w:rPr>
              <w:t>TCCG-2025-Z070</w:t>
            </w:r>
          </w:p>
        </w:tc>
      </w:tr>
      <w:tr w14:paraId="69EFDD9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108" w:type="dxa"/>
            <w:bottom w:w="57" w:type="dxa"/>
            <w:right w:w="108" w:type="dxa"/>
          </w:tblCellMar>
        </w:tblPrEx>
        <w:trPr>
          <w:cantSplit/>
          <w:trHeight w:val="454" w:hRule="atLeast"/>
          <w:jc w:val="center"/>
        </w:trPr>
        <w:tc>
          <w:tcPr>
            <w:tcW w:w="771" w:type="dxa"/>
            <w:tcBorders>
              <w:tl2br w:val="nil"/>
              <w:tr2bl w:val="nil"/>
            </w:tcBorders>
            <w:vAlign w:val="center"/>
          </w:tcPr>
          <w:p w14:paraId="7AB98414">
            <w:pPr>
              <w:numPr>
                <w:ilvl w:val="0"/>
                <w:numId w:val="5"/>
              </w:numPr>
              <w:spacing w:line="400" w:lineRule="exact"/>
              <w:jc w:val="center"/>
              <w:rPr>
                <w:rFonts w:ascii="宋体" w:hAnsi="宋体" w:cs="宋体"/>
                <w:color w:val="auto"/>
                <w:sz w:val="24"/>
              </w:rPr>
            </w:pPr>
          </w:p>
        </w:tc>
        <w:tc>
          <w:tcPr>
            <w:tcW w:w="1907" w:type="dxa"/>
            <w:tcBorders>
              <w:tl2br w:val="nil"/>
              <w:tr2bl w:val="nil"/>
            </w:tcBorders>
            <w:vAlign w:val="center"/>
          </w:tcPr>
          <w:p w14:paraId="49447DB6">
            <w:pPr>
              <w:spacing w:line="300" w:lineRule="exact"/>
              <w:jc w:val="center"/>
              <w:rPr>
                <w:rFonts w:ascii="宋体" w:hAnsi="宋体" w:cs="宋体"/>
                <w:color w:val="auto"/>
                <w:sz w:val="24"/>
              </w:rPr>
            </w:pPr>
            <w:r>
              <w:rPr>
                <w:rFonts w:hint="eastAsia" w:ascii="宋体" w:hAnsi="宋体" w:cs="宋体"/>
                <w:color w:val="auto"/>
                <w:sz w:val="24"/>
              </w:rPr>
              <w:t>采购方式</w:t>
            </w:r>
          </w:p>
        </w:tc>
        <w:tc>
          <w:tcPr>
            <w:tcW w:w="6956" w:type="dxa"/>
            <w:tcBorders>
              <w:tl2br w:val="nil"/>
              <w:tr2bl w:val="nil"/>
            </w:tcBorders>
            <w:vAlign w:val="center"/>
          </w:tcPr>
          <w:p w14:paraId="7E17AE4B">
            <w:pPr>
              <w:spacing w:line="300" w:lineRule="exact"/>
              <w:rPr>
                <w:rFonts w:ascii="宋体" w:hAnsi="宋体" w:cs="宋体"/>
                <w:color w:val="auto"/>
                <w:sz w:val="24"/>
              </w:rPr>
            </w:pPr>
            <w:r>
              <w:rPr>
                <w:rFonts w:hint="eastAsia" w:ascii="宋体" w:hAnsi="宋体" w:cs="宋体"/>
                <w:color w:val="auto"/>
                <w:sz w:val="24"/>
              </w:rPr>
              <w:t>公开招标</w:t>
            </w:r>
          </w:p>
        </w:tc>
      </w:tr>
      <w:tr w14:paraId="758D3C0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108" w:type="dxa"/>
            <w:bottom w:w="57" w:type="dxa"/>
            <w:right w:w="108" w:type="dxa"/>
          </w:tblCellMar>
        </w:tblPrEx>
        <w:trPr>
          <w:cantSplit/>
          <w:trHeight w:val="454" w:hRule="atLeast"/>
          <w:jc w:val="center"/>
        </w:trPr>
        <w:tc>
          <w:tcPr>
            <w:tcW w:w="771" w:type="dxa"/>
            <w:tcBorders>
              <w:tl2br w:val="nil"/>
              <w:tr2bl w:val="nil"/>
            </w:tcBorders>
            <w:vAlign w:val="center"/>
          </w:tcPr>
          <w:p w14:paraId="53D95B67">
            <w:pPr>
              <w:numPr>
                <w:ilvl w:val="0"/>
                <w:numId w:val="5"/>
              </w:numPr>
              <w:spacing w:line="400" w:lineRule="exact"/>
              <w:jc w:val="center"/>
              <w:rPr>
                <w:rFonts w:ascii="宋体" w:hAnsi="宋体" w:cs="宋体"/>
                <w:color w:val="auto"/>
                <w:sz w:val="24"/>
              </w:rPr>
            </w:pPr>
          </w:p>
        </w:tc>
        <w:tc>
          <w:tcPr>
            <w:tcW w:w="1907" w:type="dxa"/>
            <w:tcBorders>
              <w:tl2br w:val="nil"/>
              <w:tr2bl w:val="nil"/>
            </w:tcBorders>
            <w:vAlign w:val="center"/>
          </w:tcPr>
          <w:p w14:paraId="41AD4699">
            <w:pPr>
              <w:spacing w:line="300" w:lineRule="exact"/>
              <w:jc w:val="center"/>
              <w:rPr>
                <w:rFonts w:ascii="宋体" w:hAnsi="宋体" w:cs="宋体"/>
                <w:color w:val="auto"/>
                <w:sz w:val="24"/>
              </w:rPr>
            </w:pPr>
            <w:r>
              <w:rPr>
                <w:rFonts w:hint="eastAsia" w:ascii="宋体" w:hAnsi="宋体" w:cs="宋体"/>
                <w:color w:val="auto"/>
                <w:sz w:val="24"/>
              </w:rPr>
              <w:t>采购预算</w:t>
            </w:r>
          </w:p>
        </w:tc>
        <w:tc>
          <w:tcPr>
            <w:tcW w:w="6956" w:type="dxa"/>
            <w:tcBorders>
              <w:tl2br w:val="nil"/>
              <w:tr2bl w:val="nil"/>
            </w:tcBorders>
            <w:vAlign w:val="center"/>
          </w:tcPr>
          <w:p w14:paraId="1B90A0F8">
            <w:pPr>
              <w:spacing w:line="300" w:lineRule="exact"/>
              <w:rPr>
                <w:rFonts w:ascii="宋体" w:hAnsi="宋体" w:cs="宋体"/>
                <w:color w:val="auto"/>
                <w:sz w:val="24"/>
              </w:rPr>
            </w:pPr>
            <w:r>
              <w:rPr>
                <w:rFonts w:hint="eastAsia" w:ascii="宋体" w:hAnsi="宋体" w:cs="宋体"/>
                <w:b/>
                <w:color w:val="auto"/>
                <w:sz w:val="24"/>
              </w:rPr>
              <w:t>350000元</w:t>
            </w:r>
          </w:p>
        </w:tc>
      </w:tr>
      <w:tr w14:paraId="30BF079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108" w:type="dxa"/>
            <w:bottom w:w="57" w:type="dxa"/>
            <w:right w:w="108" w:type="dxa"/>
          </w:tblCellMar>
        </w:tblPrEx>
        <w:trPr>
          <w:cantSplit/>
          <w:trHeight w:val="454" w:hRule="atLeast"/>
          <w:jc w:val="center"/>
        </w:trPr>
        <w:tc>
          <w:tcPr>
            <w:tcW w:w="771" w:type="dxa"/>
            <w:tcBorders>
              <w:tl2br w:val="nil"/>
              <w:tr2bl w:val="nil"/>
            </w:tcBorders>
            <w:vAlign w:val="center"/>
          </w:tcPr>
          <w:p w14:paraId="5663F1A8">
            <w:pPr>
              <w:numPr>
                <w:ilvl w:val="0"/>
                <w:numId w:val="5"/>
              </w:numPr>
              <w:spacing w:line="400" w:lineRule="exact"/>
              <w:jc w:val="center"/>
              <w:rPr>
                <w:rFonts w:ascii="宋体" w:hAnsi="宋体" w:cs="宋体"/>
                <w:color w:val="auto"/>
                <w:sz w:val="24"/>
              </w:rPr>
            </w:pPr>
          </w:p>
        </w:tc>
        <w:tc>
          <w:tcPr>
            <w:tcW w:w="1907" w:type="dxa"/>
            <w:tcBorders>
              <w:tl2br w:val="nil"/>
              <w:tr2bl w:val="nil"/>
            </w:tcBorders>
            <w:vAlign w:val="center"/>
          </w:tcPr>
          <w:p w14:paraId="32B0FC81">
            <w:pPr>
              <w:spacing w:line="300" w:lineRule="exact"/>
              <w:jc w:val="center"/>
              <w:rPr>
                <w:rFonts w:ascii="宋体" w:hAnsi="宋体" w:cs="宋体"/>
                <w:color w:val="auto"/>
                <w:sz w:val="24"/>
              </w:rPr>
            </w:pPr>
            <w:r>
              <w:rPr>
                <w:rFonts w:hint="eastAsia" w:ascii="宋体" w:hAnsi="宋体" w:cs="宋体"/>
                <w:color w:val="auto"/>
                <w:sz w:val="24"/>
              </w:rPr>
              <w:t>服务期</w:t>
            </w:r>
          </w:p>
        </w:tc>
        <w:tc>
          <w:tcPr>
            <w:tcW w:w="6956" w:type="dxa"/>
            <w:tcBorders>
              <w:tl2br w:val="nil"/>
              <w:tr2bl w:val="nil"/>
            </w:tcBorders>
            <w:vAlign w:val="center"/>
          </w:tcPr>
          <w:p w14:paraId="51AF14E9">
            <w:pPr>
              <w:spacing w:line="300" w:lineRule="exact"/>
              <w:rPr>
                <w:rFonts w:ascii="宋体" w:hAnsi="宋体" w:cs="宋体"/>
                <w:bCs/>
                <w:color w:val="auto"/>
                <w:sz w:val="24"/>
              </w:rPr>
            </w:pPr>
            <w:r>
              <w:rPr>
                <w:rFonts w:hint="eastAsia" w:ascii="宋体" w:hAnsi="宋体" w:cs="宋体"/>
                <w:b/>
                <w:bCs/>
                <w:color w:val="auto"/>
                <w:sz w:val="24"/>
                <w:highlight w:val="yellow"/>
              </w:rPr>
              <w:t>于2025年12月31日前完成。（具体根据省林业局的要求调整完成时间）</w:t>
            </w:r>
          </w:p>
        </w:tc>
      </w:tr>
      <w:tr w14:paraId="76923A2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108" w:type="dxa"/>
            <w:bottom w:w="57" w:type="dxa"/>
            <w:right w:w="108" w:type="dxa"/>
          </w:tblCellMar>
        </w:tblPrEx>
        <w:trPr>
          <w:cantSplit/>
          <w:trHeight w:val="454" w:hRule="atLeast"/>
          <w:jc w:val="center"/>
        </w:trPr>
        <w:tc>
          <w:tcPr>
            <w:tcW w:w="771" w:type="dxa"/>
            <w:tcBorders>
              <w:tl2br w:val="nil"/>
              <w:tr2bl w:val="nil"/>
            </w:tcBorders>
            <w:vAlign w:val="center"/>
          </w:tcPr>
          <w:p w14:paraId="59D80109">
            <w:pPr>
              <w:numPr>
                <w:ilvl w:val="0"/>
                <w:numId w:val="5"/>
              </w:numPr>
              <w:spacing w:line="400" w:lineRule="exact"/>
              <w:jc w:val="center"/>
              <w:rPr>
                <w:rFonts w:ascii="宋体" w:hAnsi="宋体" w:cs="宋体"/>
                <w:color w:val="auto"/>
                <w:sz w:val="24"/>
              </w:rPr>
            </w:pPr>
          </w:p>
        </w:tc>
        <w:tc>
          <w:tcPr>
            <w:tcW w:w="1907" w:type="dxa"/>
            <w:tcBorders>
              <w:tl2br w:val="nil"/>
              <w:tr2bl w:val="nil"/>
            </w:tcBorders>
            <w:vAlign w:val="center"/>
          </w:tcPr>
          <w:p w14:paraId="24B7388F">
            <w:pPr>
              <w:spacing w:line="300" w:lineRule="exact"/>
              <w:jc w:val="center"/>
              <w:rPr>
                <w:rFonts w:ascii="宋体" w:hAnsi="宋体" w:cs="宋体"/>
                <w:color w:val="auto"/>
                <w:sz w:val="24"/>
              </w:rPr>
            </w:pPr>
            <w:r>
              <w:rPr>
                <w:rFonts w:hint="eastAsia" w:ascii="宋体" w:hAnsi="宋体" w:cs="宋体"/>
                <w:color w:val="auto"/>
                <w:sz w:val="24"/>
              </w:rPr>
              <w:t>服务地点</w:t>
            </w:r>
          </w:p>
        </w:tc>
        <w:tc>
          <w:tcPr>
            <w:tcW w:w="6956" w:type="dxa"/>
            <w:tcBorders>
              <w:tl2br w:val="nil"/>
              <w:tr2bl w:val="nil"/>
            </w:tcBorders>
            <w:vAlign w:val="center"/>
          </w:tcPr>
          <w:p w14:paraId="6D08B90C">
            <w:pPr>
              <w:spacing w:line="300" w:lineRule="exact"/>
              <w:rPr>
                <w:rFonts w:ascii="宋体" w:hAnsi="宋体" w:cs="宋体"/>
                <w:bCs/>
                <w:color w:val="auto"/>
                <w:sz w:val="24"/>
              </w:rPr>
            </w:pPr>
            <w:r>
              <w:rPr>
                <w:rFonts w:hint="eastAsia" w:ascii="宋体" w:hAnsi="宋体" w:cs="宋体"/>
                <w:bCs/>
                <w:color w:val="auto"/>
                <w:sz w:val="24"/>
              </w:rPr>
              <w:t>采购人指定地点</w:t>
            </w:r>
          </w:p>
        </w:tc>
      </w:tr>
      <w:tr w14:paraId="402F104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108" w:type="dxa"/>
            <w:bottom w:w="57" w:type="dxa"/>
            <w:right w:w="108" w:type="dxa"/>
          </w:tblCellMar>
        </w:tblPrEx>
        <w:trPr>
          <w:cantSplit/>
          <w:trHeight w:val="454" w:hRule="atLeast"/>
          <w:jc w:val="center"/>
        </w:trPr>
        <w:tc>
          <w:tcPr>
            <w:tcW w:w="771" w:type="dxa"/>
            <w:tcBorders>
              <w:tl2br w:val="nil"/>
              <w:tr2bl w:val="nil"/>
            </w:tcBorders>
            <w:vAlign w:val="center"/>
          </w:tcPr>
          <w:p w14:paraId="611C930F">
            <w:pPr>
              <w:numPr>
                <w:ilvl w:val="0"/>
                <w:numId w:val="5"/>
              </w:numPr>
              <w:spacing w:line="400" w:lineRule="exact"/>
              <w:jc w:val="center"/>
              <w:rPr>
                <w:rFonts w:ascii="宋体" w:hAnsi="宋体" w:cs="宋体"/>
                <w:color w:val="auto"/>
                <w:sz w:val="24"/>
              </w:rPr>
            </w:pPr>
          </w:p>
        </w:tc>
        <w:tc>
          <w:tcPr>
            <w:tcW w:w="1907" w:type="dxa"/>
            <w:tcBorders>
              <w:tl2br w:val="nil"/>
              <w:tr2bl w:val="nil"/>
            </w:tcBorders>
            <w:vAlign w:val="center"/>
          </w:tcPr>
          <w:p w14:paraId="7919EFA3">
            <w:pPr>
              <w:spacing w:line="300" w:lineRule="exact"/>
              <w:jc w:val="center"/>
              <w:rPr>
                <w:rFonts w:ascii="宋体" w:hAnsi="宋体" w:cs="宋体"/>
                <w:color w:val="auto"/>
                <w:sz w:val="24"/>
              </w:rPr>
            </w:pPr>
            <w:r>
              <w:rPr>
                <w:rFonts w:hint="eastAsia" w:ascii="宋体" w:hAnsi="宋体" w:cs="宋体"/>
                <w:color w:val="auto"/>
                <w:sz w:val="24"/>
              </w:rPr>
              <w:t>付款方式</w:t>
            </w:r>
          </w:p>
        </w:tc>
        <w:tc>
          <w:tcPr>
            <w:tcW w:w="6956" w:type="dxa"/>
            <w:tcBorders>
              <w:tl2br w:val="nil"/>
              <w:tr2bl w:val="nil"/>
            </w:tcBorders>
            <w:vAlign w:val="center"/>
          </w:tcPr>
          <w:p w14:paraId="72CC687B">
            <w:pPr>
              <w:spacing w:line="300" w:lineRule="exact"/>
              <w:rPr>
                <w:rFonts w:ascii="宋体" w:hAnsi="宋体" w:cs="宋体"/>
                <w:bCs/>
                <w:color w:val="auto"/>
                <w:sz w:val="24"/>
              </w:rPr>
            </w:pPr>
            <w:r>
              <w:rPr>
                <w:rFonts w:hint="eastAsia" w:ascii="宋体" w:hAnsi="宋体" w:cs="宋体"/>
                <w:color w:val="auto"/>
                <w:sz w:val="24"/>
              </w:rPr>
              <w:t>详见采购文件第三章</w:t>
            </w:r>
          </w:p>
        </w:tc>
      </w:tr>
      <w:tr w14:paraId="1F14270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108" w:type="dxa"/>
            <w:bottom w:w="57" w:type="dxa"/>
            <w:right w:w="108" w:type="dxa"/>
          </w:tblCellMar>
        </w:tblPrEx>
        <w:trPr>
          <w:cantSplit/>
          <w:trHeight w:val="454" w:hRule="atLeast"/>
          <w:jc w:val="center"/>
        </w:trPr>
        <w:tc>
          <w:tcPr>
            <w:tcW w:w="771" w:type="dxa"/>
            <w:tcBorders>
              <w:tl2br w:val="nil"/>
              <w:tr2bl w:val="nil"/>
            </w:tcBorders>
            <w:vAlign w:val="center"/>
          </w:tcPr>
          <w:p w14:paraId="343656F3">
            <w:pPr>
              <w:numPr>
                <w:ilvl w:val="0"/>
                <w:numId w:val="5"/>
              </w:numPr>
              <w:spacing w:line="400" w:lineRule="exact"/>
              <w:jc w:val="center"/>
              <w:rPr>
                <w:rFonts w:ascii="宋体" w:hAnsi="宋体" w:cs="宋体"/>
                <w:color w:val="auto"/>
                <w:sz w:val="24"/>
              </w:rPr>
            </w:pPr>
          </w:p>
        </w:tc>
        <w:tc>
          <w:tcPr>
            <w:tcW w:w="1907" w:type="dxa"/>
            <w:tcBorders>
              <w:tl2br w:val="nil"/>
              <w:tr2bl w:val="nil"/>
            </w:tcBorders>
            <w:vAlign w:val="center"/>
          </w:tcPr>
          <w:p w14:paraId="4674AE10">
            <w:pPr>
              <w:spacing w:line="300" w:lineRule="exact"/>
              <w:jc w:val="center"/>
              <w:rPr>
                <w:rFonts w:ascii="宋体" w:hAnsi="宋体" w:cs="宋体"/>
                <w:color w:val="auto"/>
                <w:sz w:val="24"/>
              </w:rPr>
            </w:pPr>
            <w:r>
              <w:rPr>
                <w:rFonts w:hint="eastAsia" w:ascii="宋体" w:hAnsi="宋体" w:cs="宋体"/>
                <w:color w:val="auto"/>
                <w:sz w:val="24"/>
              </w:rPr>
              <w:t>采购人</w:t>
            </w:r>
          </w:p>
        </w:tc>
        <w:tc>
          <w:tcPr>
            <w:tcW w:w="6956" w:type="dxa"/>
            <w:tcBorders>
              <w:tl2br w:val="nil"/>
              <w:tr2bl w:val="nil"/>
            </w:tcBorders>
            <w:vAlign w:val="center"/>
          </w:tcPr>
          <w:p w14:paraId="21614B5D">
            <w:pPr>
              <w:spacing w:line="300" w:lineRule="exact"/>
              <w:rPr>
                <w:rFonts w:ascii="宋体" w:hAnsi="宋体" w:cs="宋体"/>
                <w:color w:val="auto"/>
                <w:sz w:val="24"/>
              </w:rPr>
            </w:pPr>
            <w:r>
              <w:rPr>
                <w:rFonts w:hint="eastAsia" w:ascii="宋体" w:hAnsi="宋体" w:cs="宋体"/>
                <w:color w:val="auto"/>
                <w:sz w:val="24"/>
              </w:rPr>
              <w:t>名称：天台县自然资源和规划局</w:t>
            </w:r>
          </w:p>
          <w:p w14:paraId="0F3E5F2F">
            <w:pPr>
              <w:spacing w:line="300" w:lineRule="exact"/>
              <w:rPr>
                <w:rFonts w:ascii="宋体" w:hAnsi="宋体" w:cs="宋体"/>
                <w:color w:val="auto"/>
                <w:sz w:val="24"/>
              </w:rPr>
            </w:pPr>
            <w:r>
              <w:rPr>
                <w:rFonts w:hint="eastAsia" w:ascii="宋体" w:hAnsi="宋体" w:cs="宋体"/>
                <w:color w:val="auto"/>
                <w:sz w:val="24"/>
              </w:rPr>
              <w:t>地址：天台县工人东路111号</w:t>
            </w:r>
          </w:p>
          <w:p w14:paraId="0534A760">
            <w:pPr>
              <w:spacing w:line="300" w:lineRule="exact"/>
              <w:rPr>
                <w:rFonts w:ascii="宋体" w:hAnsi="宋体" w:cs="宋体"/>
                <w:color w:val="auto"/>
                <w:sz w:val="24"/>
              </w:rPr>
            </w:pPr>
            <w:r>
              <w:rPr>
                <w:rFonts w:hint="eastAsia" w:ascii="宋体" w:hAnsi="宋体" w:cs="宋体"/>
                <w:color w:val="auto"/>
                <w:sz w:val="24"/>
              </w:rPr>
              <w:t>联系人：徐友盛 </w:t>
            </w:r>
          </w:p>
          <w:p w14:paraId="0928B5D4">
            <w:pPr>
              <w:spacing w:line="300" w:lineRule="exact"/>
              <w:rPr>
                <w:rFonts w:ascii="宋体" w:hAnsi="宋体" w:cs="宋体"/>
                <w:color w:val="auto"/>
                <w:sz w:val="24"/>
              </w:rPr>
            </w:pPr>
            <w:r>
              <w:rPr>
                <w:rFonts w:hint="eastAsia" w:ascii="宋体" w:hAnsi="宋体" w:cs="宋体"/>
                <w:color w:val="auto"/>
                <w:sz w:val="24"/>
              </w:rPr>
              <w:t xml:space="preserve">联系电话：18158609985 </w:t>
            </w:r>
          </w:p>
        </w:tc>
      </w:tr>
      <w:tr w14:paraId="2FD34E2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108" w:type="dxa"/>
            <w:bottom w:w="57" w:type="dxa"/>
            <w:right w:w="108" w:type="dxa"/>
          </w:tblCellMar>
        </w:tblPrEx>
        <w:trPr>
          <w:cantSplit/>
          <w:trHeight w:val="454" w:hRule="atLeast"/>
          <w:jc w:val="center"/>
        </w:trPr>
        <w:tc>
          <w:tcPr>
            <w:tcW w:w="771" w:type="dxa"/>
            <w:tcBorders>
              <w:tl2br w:val="nil"/>
              <w:tr2bl w:val="nil"/>
            </w:tcBorders>
            <w:vAlign w:val="center"/>
          </w:tcPr>
          <w:p w14:paraId="5C94DC8E">
            <w:pPr>
              <w:numPr>
                <w:ilvl w:val="0"/>
                <w:numId w:val="5"/>
              </w:numPr>
              <w:spacing w:line="400" w:lineRule="exact"/>
              <w:jc w:val="center"/>
              <w:rPr>
                <w:rFonts w:ascii="宋体" w:hAnsi="宋体" w:cs="宋体"/>
                <w:color w:val="auto"/>
                <w:sz w:val="24"/>
              </w:rPr>
            </w:pPr>
          </w:p>
        </w:tc>
        <w:tc>
          <w:tcPr>
            <w:tcW w:w="1907" w:type="dxa"/>
            <w:tcBorders>
              <w:tl2br w:val="nil"/>
              <w:tr2bl w:val="nil"/>
            </w:tcBorders>
            <w:vAlign w:val="center"/>
          </w:tcPr>
          <w:p w14:paraId="236F2478">
            <w:pPr>
              <w:spacing w:line="300" w:lineRule="exact"/>
              <w:jc w:val="center"/>
              <w:rPr>
                <w:rFonts w:ascii="宋体" w:hAnsi="宋体" w:cs="宋体"/>
                <w:color w:val="auto"/>
                <w:sz w:val="24"/>
              </w:rPr>
            </w:pPr>
            <w:r>
              <w:rPr>
                <w:rFonts w:hint="eastAsia" w:ascii="宋体" w:hAnsi="宋体" w:cs="宋体"/>
                <w:color w:val="auto"/>
                <w:sz w:val="24"/>
              </w:rPr>
              <w:t>采购代理机构</w:t>
            </w:r>
          </w:p>
        </w:tc>
        <w:tc>
          <w:tcPr>
            <w:tcW w:w="6956" w:type="dxa"/>
            <w:tcBorders>
              <w:tl2br w:val="nil"/>
              <w:tr2bl w:val="nil"/>
            </w:tcBorders>
            <w:vAlign w:val="center"/>
          </w:tcPr>
          <w:p w14:paraId="63F4A169">
            <w:pPr>
              <w:spacing w:line="300" w:lineRule="exact"/>
              <w:rPr>
                <w:rFonts w:ascii="宋体" w:hAnsi="宋体" w:cs="宋体"/>
                <w:color w:val="auto"/>
                <w:sz w:val="24"/>
              </w:rPr>
            </w:pPr>
            <w:r>
              <w:rPr>
                <w:rFonts w:hint="eastAsia" w:ascii="宋体" w:hAnsi="宋体" w:cs="宋体"/>
                <w:color w:val="auto"/>
                <w:sz w:val="24"/>
              </w:rPr>
              <w:t>名称：台州市天诚工程造价咨询有限公司</w:t>
            </w:r>
          </w:p>
          <w:p w14:paraId="3FE8211C">
            <w:pPr>
              <w:spacing w:line="300" w:lineRule="exact"/>
              <w:rPr>
                <w:rFonts w:ascii="宋体" w:hAnsi="宋体" w:cs="宋体"/>
                <w:color w:val="auto"/>
                <w:sz w:val="24"/>
              </w:rPr>
            </w:pPr>
            <w:r>
              <w:rPr>
                <w:rFonts w:hint="eastAsia" w:ascii="宋体" w:hAnsi="宋体" w:cs="宋体"/>
                <w:color w:val="auto"/>
                <w:sz w:val="24"/>
              </w:rPr>
              <w:t>地址：天台县赤城街道春晓路200号天诚大厦二楼（招标代理部）</w:t>
            </w:r>
          </w:p>
          <w:p w14:paraId="004E3B17">
            <w:pPr>
              <w:spacing w:line="300" w:lineRule="exact"/>
              <w:rPr>
                <w:rFonts w:ascii="宋体" w:hAnsi="宋体" w:cs="宋体"/>
                <w:color w:val="auto"/>
                <w:sz w:val="24"/>
              </w:rPr>
            </w:pPr>
            <w:r>
              <w:rPr>
                <w:rFonts w:hint="eastAsia" w:ascii="宋体" w:hAnsi="宋体" w:cs="宋体"/>
                <w:color w:val="auto"/>
                <w:sz w:val="24"/>
              </w:rPr>
              <w:t>项目联系人：谷婷婷  褚洪彬</w:t>
            </w:r>
          </w:p>
          <w:p w14:paraId="47F2F76D">
            <w:pPr>
              <w:spacing w:line="300" w:lineRule="exact"/>
              <w:rPr>
                <w:rFonts w:ascii="宋体" w:hAnsi="宋体" w:cs="宋体"/>
                <w:color w:val="auto"/>
                <w:sz w:val="24"/>
              </w:rPr>
            </w:pPr>
            <w:r>
              <w:rPr>
                <w:rFonts w:hint="eastAsia" w:ascii="宋体" w:hAnsi="宋体" w:cs="宋体"/>
                <w:color w:val="auto"/>
                <w:sz w:val="24"/>
              </w:rPr>
              <w:t>联系电话：15968606386  18858644891</w:t>
            </w:r>
          </w:p>
          <w:p w14:paraId="3E12415F">
            <w:pPr>
              <w:spacing w:line="300" w:lineRule="exact"/>
              <w:rPr>
                <w:rFonts w:ascii="宋体" w:hAnsi="宋体" w:cs="宋体"/>
                <w:color w:val="auto"/>
              </w:rPr>
            </w:pPr>
            <w:r>
              <w:rPr>
                <w:rFonts w:hint="eastAsia" w:ascii="宋体" w:hAnsi="宋体" w:cs="宋体"/>
                <w:b/>
                <w:bCs/>
                <w:color w:val="auto"/>
                <w:sz w:val="24"/>
              </w:rPr>
              <w:t>指定邮箱：772022916@qq.com</w:t>
            </w:r>
          </w:p>
        </w:tc>
      </w:tr>
      <w:tr w14:paraId="596D8CC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108" w:type="dxa"/>
            <w:bottom w:w="57" w:type="dxa"/>
            <w:right w:w="108" w:type="dxa"/>
          </w:tblCellMar>
        </w:tblPrEx>
        <w:trPr>
          <w:cantSplit/>
          <w:trHeight w:val="454" w:hRule="atLeast"/>
          <w:jc w:val="center"/>
        </w:trPr>
        <w:tc>
          <w:tcPr>
            <w:tcW w:w="771" w:type="dxa"/>
            <w:tcBorders>
              <w:tl2br w:val="nil"/>
              <w:tr2bl w:val="nil"/>
            </w:tcBorders>
            <w:vAlign w:val="center"/>
          </w:tcPr>
          <w:p w14:paraId="504028A9">
            <w:pPr>
              <w:numPr>
                <w:ilvl w:val="0"/>
                <w:numId w:val="5"/>
              </w:numPr>
              <w:spacing w:line="400" w:lineRule="exact"/>
              <w:jc w:val="center"/>
              <w:rPr>
                <w:rFonts w:ascii="宋体" w:hAnsi="宋体" w:cs="宋体"/>
                <w:color w:val="auto"/>
                <w:sz w:val="24"/>
              </w:rPr>
            </w:pPr>
          </w:p>
        </w:tc>
        <w:tc>
          <w:tcPr>
            <w:tcW w:w="1907" w:type="dxa"/>
            <w:tcBorders>
              <w:tl2br w:val="nil"/>
              <w:tr2bl w:val="nil"/>
            </w:tcBorders>
            <w:vAlign w:val="center"/>
          </w:tcPr>
          <w:p w14:paraId="55B1D88F">
            <w:pPr>
              <w:spacing w:line="300" w:lineRule="exact"/>
              <w:jc w:val="center"/>
              <w:rPr>
                <w:rFonts w:ascii="宋体" w:hAnsi="宋体" w:cs="宋体"/>
                <w:color w:val="auto"/>
                <w:sz w:val="24"/>
              </w:rPr>
            </w:pPr>
            <w:r>
              <w:rPr>
                <w:rFonts w:hint="eastAsia" w:ascii="宋体" w:hAnsi="宋体" w:cs="宋体"/>
                <w:color w:val="auto"/>
                <w:sz w:val="24"/>
              </w:rPr>
              <w:t>评标办法</w:t>
            </w:r>
          </w:p>
        </w:tc>
        <w:tc>
          <w:tcPr>
            <w:tcW w:w="6956" w:type="dxa"/>
            <w:tcBorders>
              <w:tl2br w:val="nil"/>
              <w:tr2bl w:val="nil"/>
            </w:tcBorders>
            <w:vAlign w:val="center"/>
          </w:tcPr>
          <w:p w14:paraId="78224718">
            <w:pPr>
              <w:spacing w:line="300" w:lineRule="exact"/>
              <w:ind w:firstLine="240" w:firstLineChars="100"/>
              <w:rPr>
                <w:rFonts w:ascii="宋体" w:hAnsi="宋体" w:cs="宋体"/>
                <w:color w:val="auto"/>
                <w:sz w:val="24"/>
              </w:rPr>
            </w:pPr>
            <w:r>
              <w:rPr>
                <w:rFonts w:hint="eastAsia" w:ascii="宋体" w:hAnsi="宋体" w:cs="宋体"/>
                <w:color w:val="auto"/>
                <w:sz w:val="24"/>
              </w:rPr>
              <w:t>综合评分法</w:t>
            </w:r>
          </w:p>
        </w:tc>
      </w:tr>
      <w:tr w14:paraId="5F3854C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108" w:type="dxa"/>
            <w:bottom w:w="57" w:type="dxa"/>
            <w:right w:w="108" w:type="dxa"/>
          </w:tblCellMar>
        </w:tblPrEx>
        <w:trPr>
          <w:cantSplit/>
          <w:trHeight w:val="454" w:hRule="atLeast"/>
          <w:jc w:val="center"/>
        </w:trPr>
        <w:tc>
          <w:tcPr>
            <w:tcW w:w="771" w:type="dxa"/>
            <w:tcBorders>
              <w:tl2br w:val="nil"/>
              <w:tr2bl w:val="nil"/>
            </w:tcBorders>
            <w:vAlign w:val="center"/>
          </w:tcPr>
          <w:p w14:paraId="58854B82">
            <w:pPr>
              <w:numPr>
                <w:ilvl w:val="0"/>
                <w:numId w:val="5"/>
              </w:numPr>
              <w:spacing w:line="400" w:lineRule="exact"/>
              <w:jc w:val="center"/>
              <w:rPr>
                <w:rFonts w:ascii="宋体" w:hAnsi="宋体" w:cs="宋体"/>
                <w:color w:val="auto"/>
                <w:sz w:val="24"/>
              </w:rPr>
            </w:pPr>
          </w:p>
        </w:tc>
        <w:tc>
          <w:tcPr>
            <w:tcW w:w="1907" w:type="dxa"/>
            <w:tcBorders>
              <w:tl2br w:val="nil"/>
              <w:tr2bl w:val="nil"/>
            </w:tcBorders>
            <w:vAlign w:val="center"/>
          </w:tcPr>
          <w:p w14:paraId="2E7DFFD9">
            <w:pPr>
              <w:pStyle w:val="7"/>
              <w:spacing w:line="300" w:lineRule="exact"/>
              <w:jc w:val="center"/>
              <w:rPr>
                <w:rFonts w:hAnsi="宋体" w:cs="宋体"/>
                <w:color w:val="auto"/>
                <w:sz w:val="24"/>
              </w:rPr>
            </w:pPr>
            <w:r>
              <w:rPr>
                <w:rFonts w:hint="eastAsia" w:hAnsi="宋体" w:cs="宋体"/>
                <w:color w:val="auto"/>
                <w:sz w:val="24"/>
              </w:rPr>
              <w:t>中标候选人数</w:t>
            </w:r>
          </w:p>
        </w:tc>
        <w:tc>
          <w:tcPr>
            <w:tcW w:w="6956" w:type="dxa"/>
            <w:tcBorders>
              <w:tl2br w:val="nil"/>
              <w:tr2bl w:val="nil"/>
            </w:tcBorders>
            <w:vAlign w:val="center"/>
          </w:tcPr>
          <w:p w14:paraId="2F1D43AF">
            <w:pPr>
              <w:pStyle w:val="7"/>
              <w:spacing w:line="300" w:lineRule="exact"/>
              <w:ind w:firstLine="240" w:firstLineChars="100"/>
              <w:rPr>
                <w:rFonts w:hAnsi="宋体" w:cs="宋体"/>
                <w:color w:val="auto"/>
                <w:sz w:val="24"/>
              </w:rPr>
            </w:pPr>
            <w:r>
              <w:rPr>
                <w:rFonts w:hint="eastAsia" w:hAnsi="宋体" w:cs="宋体"/>
                <w:color w:val="auto"/>
                <w:sz w:val="24"/>
              </w:rPr>
              <w:t>推荐一名中标候选人</w:t>
            </w:r>
          </w:p>
        </w:tc>
      </w:tr>
      <w:tr w14:paraId="19C59DD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108" w:type="dxa"/>
            <w:bottom w:w="57" w:type="dxa"/>
            <w:right w:w="108" w:type="dxa"/>
          </w:tblCellMar>
        </w:tblPrEx>
        <w:trPr>
          <w:cantSplit/>
          <w:trHeight w:val="454" w:hRule="atLeast"/>
          <w:jc w:val="center"/>
        </w:trPr>
        <w:tc>
          <w:tcPr>
            <w:tcW w:w="771" w:type="dxa"/>
            <w:tcBorders>
              <w:tl2br w:val="nil"/>
              <w:tr2bl w:val="nil"/>
            </w:tcBorders>
            <w:vAlign w:val="center"/>
          </w:tcPr>
          <w:p w14:paraId="78B4598A">
            <w:pPr>
              <w:numPr>
                <w:ilvl w:val="0"/>
                <w:numId w:val="5"/>
              </w:numPr>
              <w:spacing w:line="400" w:lineRule="exact"/>
              <w:jc w:val="center"/>
              <w:rPr>
                <w:rFonts w:ascii="宋体" w:hAnsi="宋体" w:cs="宋体"/>
                <w:color w:val="auto"/>
                <w:sz w:val="24"/>
              </w:rPr>
            </w:pPr>
          </w:p>
        </w:tc>
        <w:tc>
          <w:tcPr>
            <w:tcW w:w="1907" w:type="dxa"/>
            <w:tcBorders>
              <w:tl2br w:val="nil"/>
              <w:tr2bl w:val="nil"/>
            </w:tcBorders>
            <w:vAlign w:val="center"/>
          </w:tcPr>
          <w:p w14:paraId="39F530F4">
            <w:pPr>
              <w:spacing w:line="300" w:lineRule="exact"/>
              <w:jc w:val="center"/>
              <w:rPr>
                <w:rFonts w:ascii="宋体" w:hAnsi="宋体" w:cs="宋体"/>
                <w:b/>
                <w:bCs/>
                <w:color w:val="auto"/>
                <w:sz w:val="24"/>
              </w:rPr>
            </w:pPr>
            <w:r>
              <w:rPr>
                <w:rFonts w:hint="eastAsia" w:ascii="宋体" w:hAnsi="宋体" w:cs="宋体"/>
                <w:color w:val="auto"/>
                <w:sz w:val="24"/>
              </w:rPr>
              <w:t>▲</w:t>
            </w:r>
            <w:r>
              <w:rPr>
                <w:rFonts w:hint="eastAsia" w:ascii="宋体" w:hAnsi="宋体" w:cs="宋体"/>
                <w:b/>
                <w:bCs/>
                <w:color w:val="auto"/>
                <w:sz w:val="24"/>
              </w:rPr>
              <w:t>投标截止时间</w:t>
            </w:r>
          </w:p>
        </w:tc>
        <w:tc>
          <w:tcPr>
            <w:tcW w:w="6956" w:type="dxa"/>
            <w:tcBorders>
              <w:tl2br w:val="nil"/>
              <w:tr2bl w:val="nil"/>
            </w:tcBorders>
            <w:vAlign w:val="center"/>
          </w:tcPr>
          <w:p w14:paraId="25F62814">
            <w:pPr>
              <w:spacing w:line="300" w:lineRule="exact"/>
              <w:rPr>
                <w:rFonts w:ascii="宋体" w:hAnsi="宋体" w:cs="宋体"/>
                <w:b/>
                <w:bCs/>
                <w:color w:val="auto"/>
                <w:sz w:val="24"/>
              </w:rPr>
            </w:pPr>
            <w:r>
              <w:rPr>
                <w:rFonts w:hint="eastAsia" w:ascii="宋体" w:hAnsi="宋体" w:cs="宋体"/>
                <w:b/>
                <w:bCs/>
                <w:color w:val="auto"/>
                <w:sz w:val="24"/>
              </w:rPr>
              <w:t>2025年00月00日09：00 （北京时间）</w:t>
            </w:r>
          </w:p>
        </w:tc>
      </w:tr>
      <w:tr w14:paraId="639D836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108" w:type="dxa"/>
            <w:bottom w:w="57" w:type="dxa"/>
            <w:right w:w="108" w:type="dxa"/>
          </w:tblCellMar>
        </w:tblPrEx>
        <w:trPr>
          <w:cantSplit/>
          <w:trHeight w:val="454" w:hRule="atLeast"/>
          <w:jc w:val="center"/>
        </w:trPr>
        <w:tc>
          <w:tcPr>
            <w:tcW w:w="771" w:type="dxa"/>
            <w:tcBorders>
              <w:tl2br w:val="nil"/>
              <w:tr2bl w:val="nil"/>
            </w:tcBorders>
            <w:vAlign w:val="center"/>
          </w:tcPr>
          <w:p w14:paraId="0C74CF17">
            <w:pPr>
              <w:numPr>
                <w:ilvl w:val="0"/>
                <w:numId w:val="5"/>
              </w:numPr>
              <w:spacing w:line="400" w:lineRule="exact"/>
              <w:jc w:val="center"/>
              <w:rPr>
                <w:rFonts w:ascii="宋体" w:hAnsi="宋体" w:cs="宋体"/>
                <w:color w:val="auto"/>
                <w:sz w:val="24"/>
              </w:rPr>
            </w:pPr>
          </w:p>
        </w:tc>
        <w:tc>
          <w:tcPr>
            <w:tcW w:w="1907" w:type="dxa"/>
            <w:tcBorders>
              <w:tl2br w:val="nil"/>
              <w:tr2bl w:val="nil"/>
            </w:tcBorders>
            <w:vAlign w:val="center"/>
          </w:tcPr>
          <w:p w14:paraId="35F1AACB">
            <w:pPr>
              <w:spacing w:line="300" w:lineRule="exact"/>
              <w:jc w:val="center"/>
              <w:rPr>
                <w:rFonts w:ascii="宋体" w:hAnsi="宋体" w:cs="宋体"/>
                <w:color w:val="auto"/>
                <w:sz w:val="24"/>
              </w:rPr>
            </w:pPr>
            <w:r>
              <w:rPr>
                <w:rFonts w:hint="eastAsia" w:ascii="宋体" w:hAnsi="宋体" w:cs="宋体"/>
                <w:color w:val="auto"/>
                <w:sz w:val="24"/>
              </w:rPr>
              <w:t>投标地点（网址）</w:t>
            </w:r>
          </w:p>
        </w:tc>
        <w:tc>
          <w:tcPr>
            <w:tcW w:w="6956" w:type="dxa"/>
            <w:tcBorders>
              <w:tl2br w:val="nil"/>
              <w:tr2bl w:val="nil"/>
            </w:tcBorders>
            <w:vAlign w:val="center"/>
          </w:tcPr>
          <w:p w14:paraId="4255F239">
            <w:pPr>
              <w:spacing w:line="300" w:lineRule="exact"/>
              <w:ind w:firstLine="240" w:firstLineChars="100"/>
              <w:rPr>
                <w:rFonts w:ascii="宋体" w:hAnsi="宋体" w:cs="宋体"/>
                <w:color w:val="auto"/>
                <w:sz w:val="24"/>
              </w:rPr>
            </w:pPr>
            <w:r>
              <w:rPr>
                <w:rFonts w:hint="eastAsia" w:ascii="宋体" w:hAnsi="宋体" w:cs="宋体"/>
                <w:color w:val="auto"/>
                <w:sz w:val="24"/>
              </w:rPr>
              <w:t>请登录政采云投标客户端投标</w:t>
            </w:r>
          </w:p>
        </w:tc>
      </w:tr>
      <w:tr w14:paraId="79FE7B5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108" w:type="dxa"/>
            <w:bottom w:w="57" w:type="dxa"/>
            <w:right w:w="108" w:type="dxa"/>
          </w:tblCellMar>
        </w:tblPrEx>
        <w:trPr>
          <w:cantSplit/>
          <w:trHeight w:val="454" w:hRule="atLeast"/>
          <w:jc w:val="center"/>
        </w:trPr>
        <w:tc>
          <w:tcPr>
            <w:tcW w:w="771" w:type="dxa"/>
            <w:tcBorders>
              <w:tl2br w:val="nil"/>
              <w:tr2bl w:val="nil"/>
            </w:tcBorders>
            <w:vAlign w:val="center"/>
          </w:tcPr>
          <w:p w14:paraId="173E58DF">
            <w:pPr>
              <w:numPr>
                <w:ilvl w:val="0"/>
                <w:numId w:val="5"/>
              </w:numPr>
              <w:spacing w:line="400" w:lineRule="exact"/>
              <w:jc w:val="center"/>
              <w:rPr>
                <w:rFonts w:ascii="宋体" w:hAnsi="宋体" w:cs="宋体"/>
                <w:color w:val="auto"/>
                <w:sz w:val="24"/>
              </w:rPr>
            </w:pPr>
          </w:p>
        </w:tc>
        <w:tc>
          <w:tcPr>
            <w:tcW w:w="1907" w:type="dxa"/>
            <w:tcBorders>
              <w:tl2br w:val="nil"/>
              <w:tr2bl w:val="nil"/>
            </w:tcBorders>
            <w:vAlign w:val="center"/>
          </w:tcPr>
          <w:p w14:paraId="163B4EEE">
            <w:pPr>
              <w:spacing w:line="300" w:lineRule="exact"/>
              <w:jc w:val="center"/>
              <w:rPr>
                <w:rFonts w:ascii="宋体" w:hAnsi="宋体" w:cs="宋体"/>
                <w:b/>
                <w:bCs/>
                <w:color w:val="auto"/>
                <w:sz w:val="24"/>
              </w:rPr>
            </w:pPr>
            <w:r>
              <w:rPr>
                <w:rFonts w:hint="eastAsia" w:ascii="宋体" w:hAnsi="宋体" w:cs="宋体"/>
                <w:color w:val="auto"/>
                <w:sz w:val="24"/>
              </w:rPr>
              <w:t>▲</w:t>
            </w:r>
            <w:r>
              <w:rPr>
                <w:rFonts w:hint="eastAsia" w:ascii="宋体" w:hAnsi="宋体" w:cs="宋体"/>
                <w:b/>
                <w:bCs/>
                <w:color w:val="auto"/>
                <w:sz w:val="24"/>
              </w:rPr>
              <w:t>开标时间</w:t>
            </w:r>
          </w:p>
        </w:tc>
        <w:tc>
          <w:tcPr>
            <w:tcW w:w="6956" w:type="dxa"/>
            <w:tcBorders>
              <w:tl2br w:val="nil"/>
              <w:tr2bl w:val="nil"/>
            </w:tcBorders>
            <w:vAlign w:val="center"/>
          </w:tcPr>
          <w:p w14:paraId="22999792">
            <w:pPr>
              <w:spacing w:line="300" w:lineRule="exact"/>
              <w:rPr>
                <w:rFonts w:ascii="宋体" w:hAnsi="宋体" w:cs="宋体"/>
                <w:b/>
                <w:bCs/>
                <w:color w:val="auto"/>
                <w:sz w:val="24"/>
              </w:rPr>
            </w:pPr>
            <w:r>
              <w:rPr>
                <w:rFonts w:hint="eastAsia" w:ascii="宋体" w:hAnsi="宋体" w:cs="宋体"/>
                <w:b/>
                <w:bCs/>
                <w:color w:val="auto"/>
                <w:sz w:val="24"/>
              </w:rPr>
              <w:t>2025年00月00日09：00 （北京时间）</w:t>
            </w:r>
          </w:p>
        </w:tc>
      </w:tr>
      <w:tr w14:paraId="6DE7B27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108" w:type="dxa"/>
            <w:bottom w:w="57" w:type="dxa"/>
            <w:right w:w="108" w:type="dxa"/>
          </w:tblCellMar>
        </w:tblPrEx>
        <w:trPr>
          <w:cantSplit/>
          <w:trHeight w:val="454" w:hRule="atLeast"/>
          <w:jc w:val="center"/>
        </w:trPr>
        <w:tc>
          <w:tcPr>
            <w:tcW w:w="771" w:type="dxa"/>
            <w:tcBorders>
              <w:tl2br w:val="nil"/>
              <w:tr2bl w:val="nil"/>
            </w:tcBorders>
            <w:vAlign w:val="center"/>
          </w:tcPr>
          <w:p w14:paraId="56BA52E2">
            <w:pPr>
              <w:numPr>
                <w:ilvl w:val="0"/>
                <w:numId w:val="5"/>
              </w:numPr>
              <w:spacing w:line="400" w:lineRule="exact"/>
              <w:jc w:val="center"/>
              <w:rPr>
                <w:rFonts w:ascii="宋体" w:hAnsi="宋体" w:cs="宋体"/>
                <w:color w:val="auto"/>
                <w:sz w:val="24"/>
              </w:rPr>
            </w:pPr>
          </w:p>
        </w:tc>
        <w:tc>
          <w:tcPr>
            <w:tcW w:w="1907" w:type="dxa"/>
            <w:tcBorders>
              <w:tl2br w:val="nil"/>
              <w:tr2bl w:val="nil"/>
            </w:tcBorders>
            <w:vAlign w:val="center"/>
          </w:tcPr>
          <w:p w14:paraId="75DCD7F4">
            <w:pPr>
              <w:spacing w:line="300" w:lineRule="exact"/>
              <w:jc w:val="center"/>
              <w:rPr>
                <w:rFonts w:ascii="宋体" w:hAnsi="宋体" w:cs="宋体"/>
                <w:color w:val="auto"/>
                <w:sz w:val="24"/>
              </w:rPr>
            </w:pPr>
            <w:r>
              <w:rPr>
                <w:rFonts w:hint="eastAsia" w:ascii="宋体" w:hAnsi="宋体" w:cs="宋体"/>
                <w:color w:val="auto"/>
                <w:sz w:val="24"/>
              </w:rPr>
              <w:t>开标地点（网址）</w:t>
            </w:r>
          </w:p>
        </w:tc>
        <w:tc>
          <w:tcPr>
            <w:tcW w:w="6956" w:type="dxa"/>
            <w:tcBorders>
              <w:tl2br w:val="nil"/>
              <w:tr2bl w:val="nil"/>
            </w:tcBorders>
            <w:vAlign w:val="center"/>
          </w:tcPr>
          <w:p w14:paraId="5B6DF6C8">
            <w:pPr>
              <w:spacing w:line="300" w:lineRule="exact"/>
              <w:ind w:firstLine="240" w:firstLineChars="100"/>
              <w:rPr>
                <w:rFonts w:ascii="宋体" w:hAnsi="宋体" w:cs="宋体"/>
                <w:color w:val="auto"/>
                <w:sz w:val="24"/>
              </w:rPr>
            </w:pPr>
            <w:r>
              <w:rPr>
                <w:rFonts w:hint="eastAsia" w:ascii="宋体" w:hAnsi="宋体" w:cs="宋体"/>
                <w:color w:val="auto"/>
                <w:sz w:val="24"/>
              </w:rPr>
              <w:t>天台县公共资源交易中心开标室1</w:t>
            </w:r>
          </w:p>
        </w:tc>
      </w:tr>
      <w:tr w14:paraId="32EA47A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108" w:type="dxa"/>
            <w:bottom w:w="57" w:type="dxa"/>
            <w:right w:w="108" w:type="dxa"/>
          </w:tblCellMar>
        </w:tblPrEx>
        <w:trPr>
          <w:trHeight w:val="454" w:hRule="atLeast"/>
          <w:jc w:val="center"/>
        </w:trPr>
        <w:tc>
          <w:tcPr>
            <w:tcW w:w="771" w:type="dxa"/>
            <w:tcBorders>
              <w:tl2br w:val="nil"/>
              <w:tr2bl w:val="nil"/>
            </w:tcBorders>
            <w:vAlign w:val="center"/>
          </w:tcPr>
          <w:p w14:paraId="287FA654">
            <w:pPr>
              <w:numPr>
                <w:ilvl w:val="0"/>
                <w:numId w:val="5"/>
              </w:numPr>
              <w:spacing w:line="400" w:lineRule="exact"/>
              <w:jc w:val="center"/>
              <w:rPr>
                <w:rFonts w:ascii="宋体" w:hAnsi="宋体" w:cs="宋体"/>
                <w:color w:val="auto"/>
                <w:sz w:val="24"/>
              </w:rPr>
            </w:pPr>
          </w:p>
        </w:tc>
        <w:tc>
          <w:tcPr>
            <w:tcW w:w="1907" w:type="dxa"/>
            <w:tcBorders>
              <w:tl2br w:val="nil"/>
              <w:tr2bl w:val="nil"/>
            </w:tcBorders>
            <w:vAlign w:val="center"/>
          </w:tcPr>
          <w:p w14:paraId="19BE691B">
            <w:pPr>
              <w:spacing w:line="300" w:lineRule="exact"/>
              <w:jc w:val="center"/>
              <w:rPr>
                <w:rFonts w:ascii="宋体" w:hAnsi="宋体" w:cs="宋体"/>
                <w:color w:val="auto"/>
                <w:sz w:val="24"/>
              </w:rPr>
            </w:pPr>
            <w:r>
              <w:rPr>
                <w:rFonts w:hint="eastAsia" w:ascii="宋体" w:hAnsi="宋体" w:cs="宋体"/>
                <w:color w:val="auto"/>
                <w:sz w:val="24"/>
              </w:rPr>
              <w:t>资格审查方式</w:t>
            </w:r>
          </w:p>
        </w:tc>
        <w:tc>
          <w:tcPr>
            <w:tcW w:w="6956" w:type="dxa"/>
            <w:tcBorders>
              <w:tl2br w:val="nil"/>
              <w:tr2bl w:val="nil"/>
            </w:tcBorders>
            <w:vAlign w:val="center"/>
          </w:tcPr>
          <w:p w14:paraId="5F6EA14B">
            <w:pPr>
              <w:pStyle w:val="2"/>
              <w:spacing w:line="300" w:lineRule="exact"/>
              <w:ind w:firstLine="240" w:firstLineChars="100"/>
              <w:rPr>
                <w:rFonts w:ascii="宋体" w:hAnsi="宋体" w:cs="宋体"/>
                <w:color w:val="auto"/>
              </w:rPr>
            </w:pPr>
            <w:r>
              <w:rPr>
                <w:rFonts w:hint="eastAsia" w:ascii="宋体" w:hAnsi="宋体" w:cs="宋体"/>
                <w:color w:val="auto"/>
              </w:rPr>
              <w:t>资格后审。开标后由采购人代表或采购代理机构根据采购文件的规定对投标人进行的资格审查，资格后审不合格的投标人，其投标作无效标处理。</w:t>
            </w:r>
          </w:p>
        </w:tc>
      </w:tr>
      <w:tr w14:paraId="706D87E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108" w:type="dxa"/>
            <w:bottom w:w="57" w:type="dxa"/>
            <w:right w:w="108" w:type="dxa"/>
          </w:tblCellMar>
        </w:tblPrEx>
        <w:trPr>
          <w:cantSplit/>
          <w:trHeight w:val="454" w:hRule="atLeast"/>
          <w:jc w:val="center"/>
        </w:trPr>
        <w:tc>
          <w:tcPr>
            <w:tcW w:w="771" w:type="dxa"/>
            <w:tcBorders>
              <w:tl2br w:val="nil"/>
              <w:tr2bl w:val="nil"/>
            </w:tcBorders>
            <w:vAlign w:val="center"/>
          </w:tcPr>
          <w:p w14:paraId="261E37A6">
            <w:pPr>
              <w:numPr>
                <w:ilvl w:val="0"/>
                <w:numId w:val="5"/>
              </w:numPr>
              <w:spacing w:line="400" w:lineRule="exact"/>
              <w:jc w:val="center"/>
              <w:rPr>
                <w:rFonts w:ascii="宋体" w:hAnsi="宋体" w:cs="宋体"/>
                <w:color w:val="auto"/>
                <w:sz w:val="24"/>
              </w:rPr>
            </w:pPr>
          </w:p>
        </w:tc>
        <w:tc>
          <w:tcPr>
            <w:tcW w:w="1907" w:type="dxa"/>
            <w:tcBorders>
              <w:tl2br w:val="nil"/>
              <w:tr2bl w:val="nil"/>
            </w:tcBorders>
            <w:vAlign w:val="center"/>
          </w:tcPr>
          <w:p w14:paraId="445ACA69">
            <w:pPr>
              <w:spacing w:line="300" w:lineRule="exact"/>
              <w:jc w:val="center"/>
              <w:rPr>
                <w:rFonts w:ascii="宋体" w:hAnsi="宋体" w:cs="宋体"/>
                <w:color w:val="auto"/>
                <w:sz w:val="24"/>
              </w:rPr>
            </w:pPr>
            <w:r>
              <w:rPr>
                <w:rFonts w:hint="eastAsia" w:ascii="宋体" w:hAnsi="宋体" w:cs="宋体"/>
                <w:color w:val="auto"/>
                <w:sz w:val="24"/>
              </w:rPr>
              <w:t>投标文件组成</w:t>
            </w:r>
          </w:p>
        </w:tc>
        <w:tc>
          <w:tcPr>
            <w:tcW w:w="6956" w:type="dxa"/>
            <w:tcBorders>
              <w:tl2br w:val="nil"/>
              <w:tr2bl w:val="nil"/>
            </w:tcBorders>
            <w:vAlign w:val="center"/>
          </w:tcPr>
          <w:p w14:paraId="2D52C89A">
            <w:pPr>
              <w:spacing w:line="300" w:lineRule="exact"/>
              <w:ind w:firstLine="240" w:firstLineChars="100"/>
              <w:rPr>
                <w:rFonts w:ascii="宋体" w:hAnsi="宋体" w:cs="宋体"/>
                <w:color w:val="auto"/>
                <w:sz w:val="24"/>
              </w:rPr>
            </w:pPr>
            <w:r>
              <w:rPr>
                <w:rFonts w:hint="eastAsia" w:ascii="宋体" w:hAnsi="宋体" w:cs="宋体"/>
                <w:color w:val="auto"/>
                <w:sz w:val="24"/>
              </w:rPr>
              <w:t>投标文件由资格文件、商务技术文件、报价文件三部分组成。</w:t>
            </w:r>
          </w:p>
        </w:tc>
      </w:tr>
      <w:tr w14:paraId="3CC8B96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108" w:type="dxa"/>
            <w:bottom w:w="57" w:type="dxa"/>
            <w:right w:w="108" w:type="dxa"/>
          </w:tblCellMar>
        </w:tblPrEx>
        <w:trPr>
          <w:cantSplit/>
          <w:trHeight w:val="454" w:hRule="atLeast"/>
          <w:jc w:val="center"/>
        </w:trPr>
        <w:tc>
          <w:tcPr>
            <w:tcW w:w="771" w:type="dxa"/>
            <w:tcBorders>
              <w:tl2br w:val="nil"/>
              <w:tr2bl w:val="nil"/>
            </w:tcBorders>
            <w:vAlign w:val="center"/>
          </w:tcPr>
          <w:p w14:paraId="2EED090C">
            <w:pPr>
              <w:numPr>
                <w:ilvl w:val="0"/>
                <w:numId w:val="5"/>
              </w:numPr>
              <w:spacing w:line="400" w:lineRule="exact"/>
              <w:jc w:val="center"/>
              <w:rPr>
                <w:rFonts w:ascii="宋体" w:hAnsi="宋体" w:cs="宋体"/>
                <w:color w:val="auto"/>
                <w:sz w:val="24"/>
              </w:rPr>
            </w:pPr>
          </w:p>
        </w:tc>
        <w:tc>
          <w:tcPr>
            <w:tcW w:w="1907" w:type="dxa"/>
            <w:tcBorders>
              <w:tl2br w:val="nil"/>
              <w:tr2bl w:val="nil"/>
            </w:tcBorders>
            <w:vAlign w:val="center"/>
          </w:tcPr>
          <w:p w14:paraId="493E4C57">
            <w:pPr>
              <w:spacing w:line="300" w:lineRule="exact"/>
              <w:jc w:val="center"/>
              <w:rPr>
                <w:rFonts w:ascii="宋体" w:hAnsi="宋体" w:cs="宋体"/>
                <w:color w:val="auto"/>
                <w:sz w:val="24"/>
              </w:rPr>
            </w:pPr>
            <w:r>
              <w:rPr>
                <w:rFonts w:hint="eastAsia" w:ascii="宋体" w:hAnsi="宋体" w:cs="宋体"/>
                <w:color w:val="auto"/>
                <w:sz w:val="24"/>
              </w:rPr>
              <w:t>投标文件编制</w:t>
            </w:r>
          </w:p>
        </w:tc>
        <w:tc>
          <w:tcPr>
            <w:tcW w:w="6956" w:type="dxa"/>
            <w:tcBorders>
              <w:tl2br w:val="nil"/>
              <w:tr2bl w:val="nil"/>
            </w:tcBorders>
            <w:vAlign w:val="center"/>
          </w:tcPr>
          <w:p w14:paraId="6D5F9EB1">
            <w:pPr>
              <w:pStyle w:val="27"/>
              <w:spacing w:before="0" w:beforeAutospacing="0" w:after="0" w:afterAutospacing="0" w:line="300" w:lineRule="exact"/>
              <w:ind w:firstLine="482" w:firstLineChars="200"/>
              <w:rPr>
                <w:rFonts w:hAnsi="宋体" w:cs="宋体"/>
                <w:b/>
                <w:bCs/>
                <w:color w:val="auto"/>
              </w:rPr>
            </w:pPr>
            <w:r>
              <w:rPr>
                <w:rFonts w:hint="eastAsia" w:hAnsi="宋体" w:cs="宋体"/>
                <w:b/>
                <w:bCs/>
                <w:color w:val="auto"/>
              </w:rPr>
              <w:t>供应商应先进行“政采云电子交易客户端”安装及CA数字证书申领，并按照本采购文件和“政采云平台”的要求，通过“政采云电子交易客户端”编制并加密投标文件。</w:t>
            </w:r>
          </w:p>
          <w:p w14:paraId="04004470">
            <w:pPr>
              <w:pStyle w:val="27"/>
              <w:spacing w:before="0" w:beforeAutospacing="0" w:after="0" w:afterAutospacing="0" w:line="300" w:lineRule="exact"/>
              <w:ind w:firstLine="480" w:firstLineChars="200"/>
              <w:rPr>
                <w:rFonts w:hAnsi="宋体" w:cs="宋体"/>
                <w:color w:val="auto"/>
                <w:kern w:val="2"/>
              </w:rPr>
            </w:pPr>
            <w:r>
              <w:rPr>
                <w:rFonts w:hint="eastAsia" w:hAnsi="宋体" w:cs="宋体"/>
                <w:color w:val="auto"/>
                <w:kern w:val="2"/>
              </w:rPr>
              <w:t>电子交易客户端下载：</w:t>
            </w:r>
            <w:r>
              <w:rPr>
                <w:rFonts w:hint="eastAsia" w:hAnsi="宋体" w:cs="宋体"/>
                <w:color w:val="auto"/>
                <w:spacing w:val="-40"/>
                <w:u w:val="single"/>
              </w:rPr>
              <w:t>https://zfcg.czt.zj.gov.cn/site/detail?parentId=600030&amp;articleId=ZoGATzO%2FwUdM7eXAIXLAyg%3D%3D；</w:t>
            </w:r>
          </w:p>
          <w:p w14:paraId="6A41E1C7">
            <w:pPr>
              <w:pStyle w:val="27"/>
              <w:spacing w:before="0" w:beforeAutospacing="0" w:after="0" w:afterAutospacing="0" w:line="300" w:lineRule="exact"/>
              <w:ind w:firstLine="480" w:firstLineChars="200"/>
              <w:rPr>
                <w:rFonts w:hAnsi="宋体" w:cs="宋体"/>
                <w:color w:val="auto"/>
              </w:rPr>
            </w:pPr>
            <w:r>
              <w:rPr>
                <w:rFonts w:hint="eastAsia" w:hAnsi="宋体" w:cs="宋体"/>
                <w:color w:val="auto"/>
                <w:kern w:val="2"/>
              </w:rPr>
              <w:t>CA数字证书申领：</w:t>
            </w:r>
            <w:r>
              <w:rPr>
                <w:rFonts w:hint="eastAsia" w:hAnsi="宋体" w:cs="宋体"/>
                <w:color w:val="auto"/>
                <w:spacing w:val="-40"/>
                <w:u w:val="single"/>
              </w:rPr>
              <w:t>https://zfcg.czt.zj.gov.cn/site/category?parentId=600030&amp;childrenCode=zjcgCategory17</w:t>
            </w:r>
          </w:p>
        </w:tc>
      </w:tr>
      <w:tr w14:paraId="5A68F6C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108" w:type="dxa"/>
            <w:bottom w:w="57" w:type="dxa"/>
            <w:right w:w="108" w:type="dxa"/>
          </w:tblCellMar>
        </w:tblPrEx>
        <w:trPr>
          <w:cantSplit/>
          <w:trHeight w:val="454" w:hRule="atLeast"/>
          <w:jc w:val="center"/>
        </w:trPr>
        <w:tc>
          <w:tcPr>
            <w:tcW w:w="771" w:type="dxa"/>
            <w:tcBorders>
              <w:tl2br w:val="nil"/>
              <w:tr2bl w:val="nil"/>
            </w:tcBorders>
            <w:vAlign w:val="center"/>
          </w:tcPr>
          <w:p w14:paraId="236FBA74">
            <w:pPr>
              <w:numPr>
                <w:ilvl w:val="0"/>
                <w:numId w:val="5"/>
              </w:numPr>
              <w:spacing w:line="400" w:lineRule="exact"/>
              <w:jc w:val="center"/>
              <w:rPr>
                <w:rFonts w:ascii="宋体" w:hAnsi="宋体" w:cs="宋体"/>
                <w:color w:val="auto"/>
                <w:sz w:val="24"/>
              </w:rPr>
            </w:pPr>
          </w:p>
        </w:tc>
        <w:tc>
          <w:tcPr>
            <w:tcW w:w="1907" w:type="dxa"/>
            <w:tcBorders>
              <w:tl2br w:val="nil"/>
              <w:tr2bl w:val="nil"/>
            </w:tcBorders>
            <w:vAlign w:val="center"/>
          </w:tcPr>
          <w:p w14:paraId="01F64102">
            <w:pPr>
              <w:spacing w:line="300" w:lineRule="exact"/>
              <w:jc w:val="center"/>
              <w:rPr>
                <w:rFonts w:ascii="宋体" w:hAnsi="宋体" w:cs="宋体"/>
                <w:b/>
                <w:bCs/>
                <w:color w:val="auto"/>
                <w:sz w:val="24"/>
              </w:rPr>
            </w:pPr>
            <w:r>
              <w:rPr>
                <w:rFonts w:hint="eastAsia" w:ascii="宋体" w:hAnsi="宋体" w:cs="宋体"/>
                <w:color w:val="auto"/>
                <w:sz w:val="24"/>
              </w:rPr>
              <w:t>▲投标文件的签章</w:t>
            </w:r>
          </w:p>
        </w:tc>
        <w:tc>
          <w:tcPr>
            <w:tcW w:w="6956" w:type="dxa"/>
            <w:tcBorders>
              <w:tl2br w:val="nil"/>
              <w:tr2bl w:val="nil"/>
            </w:tcBorders>
            <w:vAlign w:val="center"/>
          </w:tcPr>
          <w:p w14:paraId="3BB51819">
            <w:pPr>
              <w:spacing w:line="300" w:lineRule="exact"/>
              <w:ind w:firstLine="240" w:firstLineChars="100"/>
              <w:rPr>
                <w:rFonts w:ascii="宋体" w:hAnsi="宋体" w:cs="宋体"/>
                <w:color w:val="auto"/>
              </w:rPr>
            </w:pPr>
            <w:r>
              <w:rPr>
                <w:rFonts w:hint="eastAsia" w:ascii="宋体" w:hAnsi="宋体" w:cs="宋体"/>
                <w:color w:val="auto"/>
                <w:sz w:val="24"/>
              </w:rPr>
              <w:t>采用CA电子签章；其中法定代表人（负责人）或授权代表签字或盖章的，可线下签字或盖章后上传相关文件；直接键盘输入姓名文字，视为无效；</w:t>
            </w:r>
          </w:p>
        </w:tc>
      </w:tr>
      <w:tr w14:paraId="4D5C3AC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108" w:type="dxa"/>
            <w:bottom w:w="57" w:type="dxa"/>
            <w:right w:w="108" w:type="dxa"/>
          </w:tblCellMar>
        </w:tblPrEx>
        <w:trPr>
          <w:cantSplit/>
          <w:trHeight w:val="454" w:hRule="atLeast"/>
          <w:jc w:val="center"/>
        </w:trPr>
        <w:tc>
          <w:tcPr>
            <w:tcW w:w="771" w:type="dxa"/>
            <w:tcBorders>
              <w:tl2br w:val="nil"/>
              <w:tr2bl w:val="nil"/>
            </w:tcBorders>
            <w:vAlign w:val="center"/>
          </w:tcPr>
          <w:p w14:paraId="2031CA0D">
            <w:pPr>
              <w:numPr>
                <w:ilvl w:val="0"/>
                <w:numId w:val="5"/>
              </w:numPr>
              <w:spacing w:line="400" w:lineRule="exact"/>
              <w:jc w:val="center"/>
              <w:rPr>
                <w:rFonts w:ascii="宋体" w:hAnsi="宋体" w:cs="宋体"/>
                <w:color w:val="auto"/>
                <w:sz w:val="24"/>
              </w:rPr>
            </w:pPr>
          </w:p>
        </w:tc>
        <w:tc>
          <w:tcPr>
            <w:tcW w:w="1907" w:type="dxa"/>
            <w:tcBorders>
              <w:tl2br w:val="nil"/>
              <w:tr2bl w:val="nil"/>
            </w:tcBorders>
            <w:vAlign w:val="center"/>
          </w:tcPr>
          <w:p w14:paraId="6A808525">
            <w:pPr>
              <w:spacing w:line="300" w:lineRule="exact"/>
              <w:jc w:val="center"/>
              <w:rPr>
                <w:rFonts w:ascii="宋体" w:hAnsi="宋体" w:cs="宋体"/>
                <w:color w:val="auto"/>
                <w:sz w:val="24"/>
              </w:rPr>
            </w:pPr>
            <w:r>
              <w:rPr>
                <w:rFonts w:hint="eastAsia" w:ascii="宋体" w:hAnsi="宋体" w:cs="宋体"/>
                <w:color w:val="auto"/>
                <w:sz w:val="24"/>
              </w:rPr>
              <w:t>投标文件的形式</w:t>
            </w:r>
          </w:p>
        </w:tc>
        <w:tc>
          <w:tcPr>
            <w:tcW w:w="6956" w:type="dxa"/>
            <w:tcBorders>
              <w:tl2br w:val="nil"/>
              <w:tr2bl w:val="nil"/>
            </w:tcBorders>
            <w:vAlign w:val="center"/>
          </w:tcPr>
          <w:p w14:paraId="5250136D">
            <w:pPr>
              <w:spacing w:line="300" w:lineRule="exact"/>
              <w:ind w:firstLine="240" w:firstLineChars="100"/>
              <w:rPr>
                <w:rFonts w:ascii="宋体" w:hAnsi="宋体" w:cs="宋体"/>
                <w:color w:val="auto"/>
                <w:sz w:val="24"/>
              </w:rPr>
            </w:pPr>
            <w:r>
              <w:rPr>
                <w:rFonts w:hint="eastAsia" w:ascii="宋体" w:hAnsi="宋体" w:cs="宋体"/>
                <w:color w:val="auto"/>
                <w:sz w:val="24"/>
              </w:rPr>
              <w:t>电子投标文件（包括“电子加密投标文件”和“备份投标文件”，在投标文件编制完成后同时生成）</w:t>
            </w:r>
            <w:r>
              <w:rPr>
                <w:rFonts w:hint="eastAsia" w:ascii="宋体" w:hAnsi="宋体" w:cs="宋体"/>
                <w:b/>
                <w:bCs/>
                <w:color w:val="auto"/>
                <w:sz w:val="24"/>
              </w:rPr>
              <w:t>：</w:t>
            </w:r>
          </w:p>
          <w:p w14:paraId="6F98DC14">
            <w:pPr>
              <w:spacing w:line="300" w:lineRule="exact"/>
              <w:ind w:firstLine="241" w:firstLineChars="100"/>
              <w:rPr>
                <w:rFonts w:ascii="宋体" w:hAnsi="宋体" w:cs="宋体"/>
                <w:color w:val="auto"/>
                <w:sz w:val="24"/>
              </w:rPr>
            </w:pPr>
            <w:r>
              <w:rPr>
                <w:rFonts w:hint="eastAsia" w:ascii="宋体" w:hAnsi="宋体" w:cs="宋体"/>
                <w:b/>
                <w:bCs/>
                <w:color w:val="auto"/>
                <w:sz w:val="24"/>
              </w:rPr>
              <w:t>1.“电子加密投标文件</w:t>
            </w:r>
            <w:r>
              <w:rPr>
                <w:rFonts w:hint="eastAsia" w:ascii="宋体" w:hAnsi="宋体" w:cs="宋体"/>
                <w:b/>
                <w:bCs/>
                <w:color w:val="auto"/>
                <w:szCs w:val="21"/>
              </w:rPr>
              <w:t>（文件扩展名为.jmbs）</w:t>
            </w:r>
            <w:r>
              <w:rPr>
                <w:rFonts w:hint="eastAsia" w:ascii="宋体" w:hAnsi="宋体" w:cs="宋体"/>
                <w:b/>
                <w:bCs/>
                <w:color w:val="auto"/>
                <w:sz w:val="24"/>
              </w:rPr>
              <w:t>”</w:t>
            </w:r>
            <w:r>
              <w:rPr>
                <w:rFonts w:hint="eastAsia" w:ascii="宋体" w:hAnsi="宋体" w:cs="宋体"/>
                <w:color w:val="auto"/>
                <w:sz w:val="24"/>
              </w:rPr>
              <w:t>是指通过“政采云电子交易客户端”完成投标文件编制后生成并加密的数据电文形式的投标文件，用于供应商投标上传。</w:t>
            </w:r>
          </w:p>
          <w:p w14:paraId="4C10F65B">
            <w:pPr>
              <w:spacing w:line="300" w:lineRule="exact"/>
              <w:ind w:firstLine="241" w:firstLineChars="100"/>
              <w:rPr>
                <w:rFonts w:ascii="宋体" w:hAnsi="宋体" w:cs="宋体"/>
                <w:color w:val="auto"/>
                <w:sz w:val="24"/>
              </w:rPr>
            </w:pPr>
            <w:r>
              <w:rPr>
                <w:rFonts w:hint="eastAsia" w:ascii="宋体" w:hAnsi="宋体" w:cs="宋体"/>
                <w:b/>
                <w:bCs/>
                <w:color w:val="auto"/>
                <w:sz w:val="24"/>
              </w:rPr>
              <w:t>2.“备份投标文件</w:t>
            </w:r>
            <w:r>
              <w:rPr>
                <w:rFonts w:hint="eastAsia" w:ascii="宋体" w:hAnsi="宋体" w:cs="宋体"/>
                <w:b/>
                <w:bCs/>
                <w:color w:val="auto"/>
                <w:szCs w:val="21"/>
              </w:rPr>
              <w:t>（文件扩展名为.bfbs）</w:t>
            </w:r>
            <w:r>
              <w:rPr>
                <w:rFonts w:hint="eastAsia" w:ascii="宋体" w:hAnsi="宋体" w:cs="宋体"/>
                <w:b/>
                <w:bCs/>
                <w:color w:val="auto"/>
                <w:sz w:val="24"/>
              </w:rPr>
              <w:t>”</w:t>
            </w:r>
            <w:r>
              <w:rPr>
                <w:rFonts w:hint="eastAsia" w:ascii="宋体" w:hAnsi="宋体" w:cs="宋体"/>
                <w:color w:val="auto"/>
                <w:sz w:val="24"/>
              </w:rPr>
              <w:t>是指与“电子加密投标文件”同时生成的数据电文形式的电子文件（备份标书），用于供应商标书解密异常时应急使用，其他方式编制的备份投标文件视为无效“备份投标文件”。</w:t>
            </w:r>
          </w:p>
        </w:tc>
      </w:tr>
      <w:tr w14:paraId="297A6DB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108" w:type="dxa"/>
            <w:bottom w:w="57" w:type="dxa"/>
            <w:right w:w="108" w:type="dxa"/>
          </w:tblCellMar>
        </w:tblPrEx>
        <w:trPr>
          <w:cantSplit/>
          <w:trHeight w:val="454" w:hRule="atLeast"/>
          <w:jc w:val="center"/>
        </w:trPr>
        <w:tc>
          <w:tcPr>
            <w:tcW w:w="771" w:type="dxa"/>
            <w:tcBorders>
              <w:tl2br w:val="nil"/>
              <w:tr2bl w:val="nil"/>
            </w:tcBorders>
            <w:vAlign w:val="center"/>
          </w:tcPr>
          <w:p w14:paraId="23165646">
            <w:pPr>
              <w:numPr>
                <w:ilvl w:val="0"/>
                <w:numId w:val="5"/>
              </w:numPr>
              <w:spacing w:line="400" w:lineRule="exact"/>
              <w:jc w:val="center"/>
              <w:rPr>
                <w:rFonts w:ascii="宋体" w:hAnsi="宋体" w:cs="宋体"/>
                <w:color w:val="auto"/>
                <w:sz w:val="24"/>
              </w:rPr>
            </w:pPr>
          </w:p>
        </w:tc>
        <w:tc>
          <w:tcPr>
            <w:tcW w:w="1907" w:type="dxa"/>
            <w:tcBorders>
              <w:tl2br w:val="nil"/>
              <w:tr2bl w:val="nil"/>
            </w:tcBorders>
            <w:vAlign w:val="center"/>
          </w:tcPr>
          <w:p w14:paraId="37480B61">
            <w:pPr>
              <w:spacing w:line="300" w:lineRule="exact"/>
              <w:jc w:val="center"/>
              <w:rPr>
                <w:rFonts w:ascii="宋体" w:hAnsi="宋体" w:cs="宋体"/>
                <w:color w:val="auto"/>
                <w:sz w:val="24"/>
              </w:rPr>
            </w:pPr>
            <w:r>
              <w:rPr>
                <w:rFonts w:hint="eastAsia" w:ascii="宋体" w:hAnsi="宋体" w:cs="宋体"/>
                <w:color w:val="auto"/>
                <w:sz w:val="24"/>
              </w:rPr>
              <w:t>投标文件份数</w:t>
            </w:r>
          </w:p>
        </w:tc>
        <w:tc>
          <w:tcPr>
            <w:tcW w:w="6956" w:type="dxa"/>
            <w:tcBorders>
              <w:tl2br w:val="nil"/>
              <w:tr2bl w:val="nil"/>
            </w:tcBorders>
            <w:vAlign w:val="center"/>
          </w:tcPr>
          <w:p w14:paraId="0108869E">
            <w:pPr>
              <w:spacing w:line="300" w:lineRule="exact"/>
              <w:ind w:firstLine="240" w:firstLineChars="100"/>
              <w:rPr>
                <w:rFonts w:ascii="宋体" w:hAnsi="宋体" w:cs="宋体"/>
                <w:color w:val="auto"/>
                <w:sz w:val="24"/>
              </w:rPr>
            </w:pPr>
            <w:r>
              <w:rPr>
                <w:rFonts w:hint="eastAsia" w:ascii="宋体" w:hAnsi="宋体" w:cs="宋体"/>
                <w:color w:val="auto"/>
                <w:sz w:val="24"/>
              </w:rPr>
              <w:t>1.“电子加密投标文件”：在“政采云平台”制作上传，一份。</w:t>
            </w:r>
          </w:p>
          <w:p w14:paraId="30759D71">
            <w:pPr>
              <w:spacing w:line="300" w:lineRule="exact"/>
              <w:ind w:firstLine="240" w:firstLineChars="100"/>
              <w:rPr>
                <w:rFonts w:ascii="宋体" w:hAnsi="宋体" w:cs="宋体"/>
                <w:b/>
                <w:bCs/>
                <w:color w:val="auto"/>
                <w:sz w:val="24"/>
              </w:rPr>
            </w:pPr>
            <w:r>
              <w:rPr>
                <w:rFonts w:hint="eastAsia" w:ascii="宋体" w:hAnsi="宋体" w:cs="宋体"/>
                <w:color w:val="auto"/>
                <w:sz w:val="24"/>
              </w:rPr>
              <w:t>2.“备份投标文件”：以电子邮件方式递交（非强制递交），一份。</w:t>
            </w:r>
            <w:r>
              <w:rPr>
                <w:rFonts w:hint="eastAsia" w:ascii="宋体" w:hAnsi="宋体" w:cs="宋体"/>
                <w:b/>
                <w:bCs/>
                <w:color w:val="auto"/>
                <w:sz w:val="24"/>
              </w:rPr>
              <w:t>本项目指定邮箱</w:t>
            </w:r>
            <w:r>
              <w:rPr>
                <w:rFonts w:hint="eastAsia" w:ascii="宋体" w:hAnsi="宋体" w:cs="宋体"/>
                <w:b/>
                <w:bCs/>
                <w:color w:val="auto"/>
                <w:sz w:val="24"/>
                <w:u w:val="single"/>
              </w:rPr>
              <w:t xml:space="preserve"> </w:t>
            </w:r>
            <w:r>
              <w:rPr>
                <w:color w:val="auto"/>
              </w:rPr>
              <w:fldChar w:fldCharType="begin"/>
            </w:r>
            <w:r>
              <w:rPr>
                <w:color w:val="auto"/>
              </w:rPr>
              <w:instrText xml:space="preserve"> HYPERLINK "mailto:772022916@qq.com" </w:instrText>
            </w:r>
            <w:r>
              <w:rPr>
                <w:color w:val="auto"/>
              </w:rPr>
              <w:fldChar w:fldCharType="separate"/>
            </w:r>
            <w:r>
              <w:rPr>
                <w:rFonts w:hint="eastAsia" w:ascii="宋体" w:hAnsi="宋体" w:cs="宋体"/>
                <w:b/>
                <w:bCs/>
                <w:color w:val="auto"/>
                <w:sz w:val="24"/>
                <w:u w:val="single"/>
              </w:rPr>
              <w:t>772022916@qq.com</w:t>
            </w:r>
            <w:r>
              <w:rPr>
                <w:rFonts w:hint="eastAsia" w:ascii="宋体" w:hAnsi="宋体" w:cs="宋体"/>
                <w:b/>
                <w:bCs/>
                <w:color w:val="auto"/>
                <w:sz w:val="24"/>
                <w:u w:val="single"/>
              </w:rPr>
              <w:fldChar w:fldCharType="end"/>
            </w:r>
            <w:r>
              <w:rPr>
                <w:rFonts w:hint="eastAsia" w:ascii="宋体" w:hAnsi="宋体" w:cs="宋体"/>
                <w:b/>
                <w:bCs/>
                <w:color w:val="auto"/>
                <w:sz w:val="24"/>
                <w:u w:val="single"/>
              </w:rPr>
              <w:t xml:space="preserve"> </w:t>
            </w:r>
            <w:r>
              <w:rPr>
                <w:rFonts w:hint="eastAsia" w:ascii="宋体" w:hAnsi="宋体" w:cs="宋体"/>
                <w:b/>
                <w:bCs/>
                <w:color w:val="auto"/>
                <w:sz w:val="24"/>
              </w:rPr>
              <w:t>。</w:t>
            </w:r>
          </w:p>
          <w:p w14:paraId="7548D852">
            <w:pPr>
              <w:spacing w:line="300" w:lineRule="exact"/>
              <w:ind w:firstLine="240" w:firstLineChars="100"/>
              <w:rPr>
                <w:rFonts w:ascii="宋体" w:hAnsi="宋体" w:cs="宋体"/>
                <w:color w:val="auto"/>
              </w:rPr>
            </w:pPr>
            <w:r>
              <w:rPr>
                <w:rFonts w:hint="eastAsia" w:ascii="宋体" w:hAnsi="宋体" w:cs="宋体"/>
                <w:color w:val="auto"/>
                <w:sz w:val="24"/>
              </w:rPr>
              <w:t>注：中标供应商在领取中标通知书时须向采购代理机构提供与电子投标文件内容一致的纸质投标文件</w:t>
            </w:r>
            <w:r>
              <w:rPr>
                <w:rFonts w:hint="eastAsia" w:ascii="宋体" w:hAnsi="宋体" w:cs="宋体"/>
                <w:b/>
                <w:bCs/>
                <w:color w:val="auto"/>
                <w:sz w:val="24"/>
                <w:lang w:val="en-US" w:eastAsia="zh-CN"/>
              </w:rPr>
              <w:t>3套</w:t>
            </w:r>
            <w:r>
              <w:rPr>
                <w:rFonts w:hint="eastAsia" w:ascii="宋体" w:hAnsi="宋体" w:cs="宋体"/>
                <w:color w:val="auto"/>
                <w:sz w:val="24"/>
              </w:rPr>
              <w:t>，装订成册。递交或邮寄信息：详见本表</w:t>
            </w:r>
            <w:r>
              <w:rPr>
                <w:color w:val="auto"/>
              </w:rPr>
              <w:fldChar w:fldCharType="begin"/>
            </w:r>
            <w:r>
              <w:rPr>
                <w:color w:val="auto"/>
              </w:rPr>
              <w:instrText xml:space="preserve"> HYPERLINK \l "代理机构" </w:instrText>
            </w:r>
            <w:r>
              <w:rPr>
                <w:color w:val="auto"/>
              </w:rPr>
              <w:fldChar w:fldCharType="separate"/>
            </w:r>
            <w:r>
              <w:rPr>
                <w:rStyle w:val="36"/>
                <w:rFonts w:hint="eastAsia" w:ascii="宋体" w:hAnsi="宋体" w:cs="宋体"/>
                <w:b/>
                <w:bCs/>
                <w:color w:val="auto"/>
                <w:szCs w:val="21"/>
                <w:u w:val="single"/>
              </w:rPr>
              <w:t>序号9</w:t>
            </w:r>
            <w:r>
              <w:rPr>
                <w:rStyle w:val="36"/>
                <w:rFonts w:hint="eastAsia" w:ascii="宋体" w:hAnsi="宋体" w:cs="宋体"/>
                <w:b/>
                <w:bCs/>
                <w:color w:val="auto"/>
                <w:szCs w:val="21"/>
                <w:u w:val="single"/>
              </w:rPr>
              <w:fldChar w:fldCharType="end"/>
            </w:r>
            <w:r>
              <w:rPr>
                <w:rFonts w:hint="eastAsia" w:ascii="宋体" w:hAnsi="宋体" w:cs="宋体"/>
                <w:b/>
                <w:bCs/>
                <w:color w:val="auto"/>
                <w:szCs w:val="21"/>
                <w:u w:val="single"/>
              </w:rPr>
              <w:t>.</w:t>
            </w:r>
            <w:r>
              <w:rPr>
                <w:rFonts w:hint="eastAsia" w:ascii="宋体" w:hAnsi="宋体" w:cs="宋体"/>
                <w:color w:val="auto"/>
                <w:sz w:val="24"/>
              </w:rPr>
              <w:t>。</w:t>
            </w:r>
          </w:p>
        </w:tc>
      </w:tr>
      <w:tr w14:paraId="7A01852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108" w:type="dxa"/>
            <w:bottom w:w="57" w:type="dxa"/>
            <w:right w:w="108" w:type="dxa"/>
          </w:tblCellMar>
        </w:tblPrEx>
        <w:trPr>
          <w:trHeight w:val="454" w:hRule="atLeast"/>
          <w:jc w:val="center"/>
        </w:trPr>
        <w:tc>
          <w:tcPr>
            <w:tcW w:w="771" w:type="dxa"/>
            <w:tcBorders>
              <w:tl2br w:val="nil"/>
              <w:tr2bl w:val="nil"/>
            </w:tcBorders>
            <w:vAlign w:val="center"/>
          </w:tcPr>
          <w:p w14:paraId="0EF33F5B">
            <w:pPr>
              <w:numPr>
                <w:ilvl w:val="0"/>
                <w:numId w:val="5"/>
              </w:numPr>
              <w:spacing w:line="400" w:lineRule="exact"/>
              <w:jc w:val="center"/>
              <w:rPr>
                <w:rFonts w:ascii="宋体" w:hAnsi="宋体" w:cs="宋体"/>
                <w:color w:val="auto"/>
                <w:sz w:val="24"/>
              </w:rPr>
            </w:pPr>
          </w:p>
        </w:tc>
        <w:tc>
          <w:tcPr>
            <w:tcW w:w="1907" w:type="dxa"/>
            <w:tcBorders>
              <w:tl2br w:val="nil"/>
              <w:tr2bl w:val="nil"/>
            </w:tcBorders>
            <w:vAlign w:val="center"/>
          </w:tcPr>
          <w:p w14:paraId="42E01A6A">
            <w:pPr>
              <w:spacing w:line="300" w:lineRule="exact"/>
              <w:jc w:val="center"/>
              <w:rPr>
                <w:rFonts w:ascii="宋体" w:hAnsi="宋体" w:cs="宋体"/>
                <w:color w:val="auto"/>
                <w:sz w:val="24"/>
              </w:rPr>
            </w:pPr>
            <w:r>
              <w:rPr>
                <w:rFonts w:hint="eastAsia" w:ascii="宋体" w:hAnsi="宋体" w:cs="宋体"/>
                <w:b/>
                <w:bCs/>
                <w:color w:val="auto"/>
                <w:sz w:val="24"/>
              </w:rPr>
              <w:t>投标文件的上传和递交</w:t>
            </w:r>
          </w:p>
        </w:tc>
        <w:tc>
          <w:tcPr>
            <w:tcW w:w="6956" w:type="dxa"/>
            <w:tcBorders>
              <w:tl2br w:val="nil"/>
              <w:tr2bl w:val="nil"/>
            </w:tcBorders>
            <w:vAlign w:val="center"/>
          </w:tcPr>
          <w:p w14:paraId="5C7F2817">
            <w:pPr>
              <w:spacing w:line="300" w:lineRule="exact"/>
              <w:ind w:firstLine="241" w:firstLineChars="100"/>
              <w:rPr>
                <w:rFonts w:ascii="宋体" w:hAnsi="宋体" w:cs="宋体"/>
                <w:b/>
                <w:bCs/>
                <w:color w:val="auto"/>
                <w:sz w:val="24"/>
              </w:rPr>
            </w:pPr>
            <w:r>
              <w:rPr>
                <w:rFonts w:hint="eastAsia" w:ascii="宋体" w:hAnsi="宋体" w:cs="宋体"/>
                <w:b/>
                <w:bCs/>
                <w:color w:val="auto"/>
                <w:sz w:val="24"/>
              </w:rPr>
              <w:t>1.“电子加密投标文件”的上传、递交：</w:t>
            </w:r>
          </w:p>
          <w:p w14:paraId="47B36917">
            <w:pPr>
              <w:spacing w:line="300" w:lineRule="exact"/>
              <w:ind w:firstLine="482" w:firstLineChars="200"/>
              <w:rPr>
                <w:rFonts w:ascii="宋体" w:hAnsi="宋体" w:cs="宋体"/>
                <w:color w:val="auto"/>
                <w:sz w:val="24"/>
              </w:rPr>
            </w:pPr>
            <w:r>
              <w:rPr>
                <w:rFonts w:hint="eastAsia" w:ascii="宋体" w:hAnsi="宋体" w:cs="宋体"/>
                <w:b/>
                <w:bCs/>
                <w:color w:val="auto"/>
                <w:sz w:val="24"/>
              </w:rPr>
              <w:t>a.</w:t>
            </w:r>
            <w:r>
              <w:rPr>
                <w:rFonts w:hint="eastAsia" w:ascii="宋体" w:hAnsi="宋体" w:cs="宋体"/>
                <w:color w:val="auto"/>
                <w:sz w:val="24"/>
              </w:rPr>
              <w:t>供应商应在投标截止时间前将“电子加密投标文件”成功上传递交至“政采云平台”，否则投标无效。</w:t>
            </w:r>
          </w:p>
          <w:p w14:paraId="741C30D7">
            <w:pPr>
              <w:spacing w:line="300" w:lineRule="exact"/>
              <w:ind w:firstLine="482" w:firstLineChars="200"/>
              <w:rPr>
                <w:rFonts w:ascii="宋体" w:hAnsi="宋体" w:cs="宋体"/>
                <w:color w:val="auto"/>
                <w:sz w:val="24"/>
              </w:rPr>
            </w:pPr>
            <w:r>
              <w:rPr>
                <w:rFonts w:hint="eastAsia" w:ascii="宋体" w:hAnsi="宋体" w:cs="宋体"/>
                <w:b/>
                <w:bCs/>
                <w:color w:val="auto"/>
                <w:sz w:val="24"/>
              </w:rPr>
              <w:t>b.</w:t>
            </w:r>
            <w:r>
              <w:rPr>
                <w:rFonts w:hint="eastAsia" w:ascii="宋体" w:hAnsi="宋体" w:cs="宋体"/>
                <w:color w:val="auto"/>
                <w:sz w:val="24"/>
              </w:rPr>
              <w:t>在投标文件上传页面，需填写基本信息，当投标文件开始解密，系统将发送短信至指定联系人（法定代表人或授权代表）手机，请准确填写。</w:t>
            </w:r>
          </w:p>
          <w:p w14:paraId="4CD8CFE6">
            <w:pPr>
              <w:spacing w:line="300" w:lineRule="exact"/>
              <w:ind w:firstLine="482" w:firstLineChars="200"/>
              <w:rPr>
                <w:rFonts w:ascii="宋体" w:hAnsi="宋体" w:cs="宋体"/>
                <w:color w:val="auto"/>
                <w:sz w:val="24"/>
              </w:rPr>
            </w:pPr>
            <w:r>
              <w:rPr>
                <w:rFonts w:hint="eastAsia" w:ascii="宋体" w:hAnsi="宋体" w:cs="宋体"/>
                <w:b/>
                <w:bCs/>
                <w:color w:val="auto"/>
                <w:sz w:val="24"/>
              </w:rPr>
              <w:t>c.</w:t>
            </w:r>
            <w:r>
              <w:rPr>
                <w:rFonts w:hint="eastAsia" w:ascii="宋体" w:hAnsi="宋体" w:cs="宋体"/>
                <w:color w:val="auto"/>
                <w:sz w:val="24"/>
              </w:rPr>
              <w:t>“电子加密投标文件”成功上传递交后，供应商可自行打印投标文件接收回执。</w:t>
            </w:r>
          </w:p>
          <w:p w14:paraId="7E137256">
            <w:pPr>
              <w:spacing w:line="300" w:lineRule="exact"/>
              <w:ind w:firstLine="241" w:firstLineChars="100"/>
              <w:rPr>
                <w:rFonts w:ascii="宋体" w:hAnsi="宋体" w:cs="宋体"/>
                <w:b/>
                <w:bCs/>
                <w:color w:val="auto"/>
                <w:sz w:val="24"/>
              </w:rPr>
            </w:pPr>
            <w:r>
              <w:rPr>
                <w:rFonts w:hint="eastAsia" w:ascii="宋体" w:hAnsi="宋体" w:cs="宋体"/>
                <w:b/>
                <w:bCs/>
                <w:color w:val="auto"/>
                <w:sz w:val="24"/>
              </w:rPr>
              <w:t>2.“备份投标文件”的上传、递交：</w:t>
            </w:r>
          </w:p>
          <w:p w14:paraId="10DD1454">
            <w:pPr>
              <w:spacing w:line="300" w:lineRule="exact"/>
              <w:ind w:firstLine="482" w:firstLineChars="200"/>
              <w:rPr>
                <w:rFonts w:ascii="宋体" w:hAnsi="宋体" w:cs="宋体"/>
                <w:color w:val="auto"/>
                <w:sz w:val="24"/>
              </w:rPr>
            </w:pPr>
            <w:r>
              <w:rPr>
                <w:rFonts w:hint="eastAsia" w:ascii="宋体" w:hAnsi="宋体" w:cs="宋体"/>
                <w:b/>
                <w:bCs/>
                <w:color w:val="auto"/>
                <w:sz w:val="24"/>
              </w:rPr>
              <w:t>a.</w:t>
            </w:r>
            <w:r>
              <w:rPr>
                <w:rFonts w:hint="eastAsia" w:ascii="宋体" w:hAnsi="宋体" w:cs="宋体"/>
                <w:color w:val="auto"/>
                <w:sz w:val="24"/>
              </w:rPr>
              <w:t>本项目不强制供应商递交“备份投标文件”。如在开评标时出现电子投标文件无法解密或解密失败等情况，因供应商未提供有效“备份投标文件”而造成投标无效等一切后果和风险由供应商自行承担。</w:t>
            </w:r>
          </w:p>
          <w:p w14:paraId="2644ED4A">
            <w:pPr>
              <w:pStyle w:val="91"/>
              <w:spacing w:line="300" w:lineRule="exact"/>
              <w:ind w:firstLine="480"/>
              <w:rPr>
                <w:rFonts w:cs="宋体"/>
                <w:b/>
                <w:bCs/>
                <w:color w:val="auto"/>
                <w:lang w:eastAsia="zh-CN"/>
              </w:rPr>
            </w:pPr>
            <w:r>
              <w:rPr>
                <w:rFonts w:hint="eastAsia" w:cs="宋体"/>
                <w:b/>
                <w:bCs/>
                <w:color w:val="auto"/>
                <w:kern w:val="2"/>
                <w:szCs w:val="24"/>
                <w:lang w:eastAsia="zh-CN"/>
              </w:rPr>
              <w:t>b.</w:t>
            </w:r>
            <w:r>
              <w:rPr>
                <w:rFonts w:hint="eastAsia" w:cs="宋体"/>
                <w:b/>
                <w:bCs/>
                <w:color w:val="auto"/>
                <w:u w:val="single"/>
                <w:lang w:eastAsia="zh-CN"/>
              </w:rPr>
              <w:t>“备份投标文件”提交说明</w:t>
            </w:r>
            <w:r>
              <w:rPr>
                <w:rFonts w:hint="eastAsia" w:cs="宋体"/>
                <w:b/>
                <w:bCs/>
                <w:color w:val="auto"/>
                <w:lang w:eastAsia="zh-CN"/>
              </w:rPr>
              <w:t>：</w:t>
            </w:r>
          </w:p>
          <w:p w14:paraId="4F977B87">
            <w:pPr>
              <w:pStyle w:val="91"/>
              <w:spacing w:line="300" w:lineRule="exact"/>
              <w:ind w:firstLine="480"/>
              <w:rPr>
                <w:rFonts w:cs="宋体"/>
                <w:color w:val="auto"/>
                <w:u w:val="single"/>
                <w:lang w:eastAsia="zh-CN"/>
              </w:rPr>
            </w:pPr>
            <w:r>
              <w:rPr>
                <w:color w:val="auto"/>
              </w:rPr>
              <w:fldChar w:fldCharType="begin"/>
            </w:r>
            <w:r>
              <w:rPr>
                <w:color w:val="auto"/>
              </w:rPr>
              <w:instrText xml:space="preserve"> HYPERLINK "mailto:供应商在投标截止时间前自愿将" </w:instrText>
            </w:r>
            <w:r>
              <w:rPr>
                <w:color w:val="auto"/>
              </w:rPr>
              <w:fldChar w:fldCharType="separate"/>
            </w:r>
            <w:r>
              <w:rPr>
                <w:rStyle w:val="38"/>
                <w:rFonts w:hint="eastAsia" w:cs="宋体"/>
                <w:b/>
                <w:bCs/>
                <w:color w:val="auto"/>
                <w:lang w:eastAsia="zh-CN"/>
              </w:rPr>
              <w:t>供应商在投标截止时间前将“备份投标文件”</w:t>
            </w:r>
            <w:r>
              <w:rPr>
                <w:rFonts w:hint="eastAsia" w:cs="宋体"/>
                <w:b/>
                <w:bCs/>
                <w:color w:val="auto"/>
                <w:szCs w:val="21"/>
                <w:lang w:eastAsia="zh-CN"/>
              </w:rPr>
              <w:t>以邮件附件形式</w:t>
            </w:r>
            <w:r>
              <w:rPr>
                <w:rStyle w:val="38"/>
                <w:rFonts w:hint="eastAsia" w:cs="宋体"/>
                <w:b/>
                <w:bCs/>
                <w:color w:val="auto"/>
                <w:lang w:eastAsia="zh-CN"/>
              </w:rPr>
              <w:t>发送至采购代理机构指定邮箱。邮件主题：</w:t>
            </w:r>
            <w:r>
              <w:rPr>
                <w:rStyle w:val="38"/>
                <w:rFonts w:hint="eastAsia" w:cs="宋体"/>
                <w:b/>
                <w:bCs/>
                <w:color w:val="auto"/>
                <w:u w:val="single"/>
                <w:lang w:eastAsia="zh-CN"/>
              </w:rPr>
              <w:t xml:space="preserve"> ***公司备份投标文件 </w:t>
            </w:r>
            <w:r>
              <w:rPr>
                <w:rStyle w:val="38"/>
                <w:rFonts w:hint="eastAsia" w:cs="宋体"/>
                <w:b/>
                <w:bCs/>
                <w:color w:val="auto"/>
                <w:lang w:eastAsia="zh-CN"/>
              </w:rPr>
              <w:t>。请注意查收回执（自动回复），送达时间以采购代理机构实际接收邮件时间为准。</w:t>
            </w:r>
            <w:r>
              <w:rPr>
                <w:rStyle w:val="38"/>
                <w:rFonts w:hint="eastAsia" w:cs="宋体"/>
                <w:b/>
                <w:bCs/>
                <w:color w:val="auto"/>
                <w:lang w:eastAsia="zh-CN"/>
              </w:rPr>
              <w:fldChar w:fldCharType="end"/>
            </w:r>
            <w:r>
              <w:rPr>
                <w:rFonts w:hint="eastAsia" w:cs="宋体"/>
                <w:b/>
                <w:bCs/>
                <w:color w:val="auto"/>
                <w:lang w:eastAsia="zh-CN"/>
              </w:rPr>
              <w:t>“备份投标文件”逾期或未按要求提供的视为未提供。</w:t>
            </w:r>
          </w:p>
          <w:p w14:paraId="2AF50E08">
            <w:pPr>
              <w:spacing w:line="300" w:lineRule="exact"/>
              <w:ind w:firstLine="482" w:firstLineChars="200"/>
              <w:rPr>
                <w:rFonts w:ascii="宋体" w:hAnsi="宋体" w:cs="宋体"/>
                <w:color w:val="auto"/>
                <w:sz w:val="24"/>
              </w:rPr>
            </w:pPr>
            <w:r>
              <w:rPr>
                <w:rFonts w:hint="eastAsia" w:ascii="宋体" w:hAnsi="宋体" w:cs="宋体"/>
                <w:b/>
                <w:bCs/>
                <w:color w:val="auto"/>
                <w:sz w:val="24"/>
              </w:rPr>
              <w:t>c.</w:t>
            </w:r>
            <w:r>
              <w:rPr>
                <w:rFonts w:hint="eastAsia" w:ascii="宋体" w:hAnsi="宋体" w:cs="宋体"/>
                <w:color w:val="auto"/>
                <w:sz w:val="24"/>
              </w:rPr>
              <w:t>投标截止时间前，投标供应商仅提供了“备份投标文件”而未将“电子加密投标文件”成功上传至“政采云平台”的，投标无效。</w:t>
            </w:r>
          </w:p>
          <w:p w14:paraId="3AA9B872">
            <w:pPr>
              <w:spacing w:line="300" w:lineRule="exact"/>
              <w:ind w:firstLine="241" w:firstLineChars="100"/>
              <w:rPr>
                <w:rFonts w:ascii="宋体" w:hAnsi="宋体" w:cs="宋体"/>
                <w:b/>
                <w:bCs/>
                <w:color w:val="auto"/>
                <w:sz w:val="24"/>
              </w:rPr>
            </w:pPr>
            <w:r>
              <w:rPr>
                <w:rFonts w:hint="eastAsia" w:ascii="宋体" w:hAnsi="宋体" w:cs="宋体"/>
                <w:b/>
                <w:bCs/>
                <w:color w:val="auto"/>
                <w:sz w:val="24"/>
              </w:rPr>
              <w:t>3.投标文件启用顺序和效力：</w:t>
            </w:r>
          </w:p>
          <w:p w14:paraId="017B4F41">
            <w:pPr>
              <w:spacing w:line="300" w:lineRule="exact"/>
              <w:ind w:firstLine="480" w:firstLineChars="200"/>
              <w:rPr>
                <w:rFonts w:ascii="宋体" w:hAnsi="宋体" w:cs="宋体"/>
                <w:color w:val="auto"/>
                <w:sz w:val="24"/>
              </w:rPr>
            </w:pPr>
            <w:r>
              <w:rPr>
                <w:rFonts w:hint="eastAsia" w:ascii="宋体" w:hAnsi="宋体" w:cs="宋体"/>
                <w:color w:val="auto"/>
                <w:sz w:val="24"/>
              </w:rPr>
              <w:t>投标文件的启用，按先后顺位分别为“电子加密投标文件”、“备份投标文件”。在下一顺位的投标文件启用时，前一顺位的投标文件自动失效。所有投标文件逾期解密的视作无效标。</w:t>
            </w:r>
          </w:p>
        </w:tc>
      </w:tr>
      <w:tr w14:paraId="6099BE3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108" w:type="dxa"/>
            <w:bottom w:w="57" w:type="dxa"/>
            <w:right w:w="108" w:type="dxa"/>
          </w:tblCellMar>
        </w:tblPrEx>
        <w:trPr>
          <w:trHeight w:val="454" w:hRule="atLeast"/>
          <w:jc w:val="center"/>
        </w:trPr>
        <w:tc>
          <w:tcPr>
            <w:tcW w:w="771" w:type="dxa"/>
            <w:tcBorders>
              <w:tl2br w:val="nil"/>
              <w:tr2bl w:val="nil"/>
            </w:tcBorders>
            <w:vAlign w:val="center"/>
          </w:tcPr>
          <w:p w14:paraId="1F04B540">
            <w:pPr>
              <w:numPr>
                <w:ilvl w:val="0"/>
                <w:numId w:val="5"/>
              </w:numPr>
              <w:spacing w:line="400" w:lineRule="exact"/>
              <w:jc w:val="center"/>
              <w:rPr>
                <w:rFonts w:ascii="宋体" w:hAnsi="宋体" w:cs="宋体"/>
                <w:color w:val="auto"/>
                <w:sz w:val="24"/>
              </w:rPr>
            </w:pPr>
          </w:p>
        </w:tc>
        <w:tc>
          <w:tcPr>
            <w:tcW w:w="1907" w:type="dxa"/>
            <w:tcBorders>
              <w:tl2br w:val="nil"/>
              <w:tr2bl w:val="nil"/>
            </w:tcBorders>
            <w:vAlign w:val="center"/>
          </w:tcPr>
          <w:p w14:paraId="747FB8FE">
            <w:pPr>
              <w:spacing w:line="300" w:lineRule="exact"/>
              <w:jc w:val="center"/>
              <w:rPr>
                <w:rFonts w:ascii="宋体" w:hAnsi="宋体" w:cs="宋体"/>
                <w:color w:val="auto"/>
                <w:sz w:val="24"/>
              </w:rPr>
            </w:pPr>
            <w:r>
              <w:rPr>
                <w:rFonts w:hint="eastAsia" w:ascii="宋体" w:hAnsi="宋体" w:cs="宋体"/>
                <w:color w:val="auto"/>
                <w:sz w:val="24"/>
              </w:rPr>
              <w:t>电子加密投标文件的解密和异常情况处理</w:t>
            </w:r>
          </w:p>
          <w:p w14:paraId="62E69F46">
            <w:pPr>
              <w:spacing w:line="300" w:lineRule="exact"/>
              <w:jc w:val="center"/>
              <w:rPr>
                <w:rFonts w:ascii="宋体" w:hAnsi="宋体" w:cs="宋体"/>
                <w:color w:val="auto"/>
                <w:sz w:val="24"/>
              </w:rPr>
            </w:pPr>
          </w:p>
        </w:tc>
        <w:tc>
          <w:tcPr>
            <w:tcW w:w="6956" w:type="dxa"/>
            <w:tcBorders>
              <w:tl2br w:val="nil"/>
              <w:tr2bl w:val="nil"/>
            </w:tcBorders>
            <w:vAlign w:val="center"/>
          </w:tcPr>
          <w:p w14:paraId="08A65E70">
            <w:pPr>
              <w:spacing w:line="300" w:lineRule="exact"/>
              <w:ind w:firstLine="240" w:firstLineChars="100"/>
              <w:rPr>
                <w:rFonts w:ascii="宋体" w:hAnsi="宋体" w:cs="宋体"/>
                <w:color w:val="auto"/>
                <w:sz w:val="24"/>
              </w:rPr>
            </w:pPr>
            <w:r>
              <w:rPr>
                <w:rFonts w:hint="eastAsia" w:ascii="宋体" w:hAnsi="宋体" w:cs="宋体"/>
                <w:color w:val="auto"/>
                <w:sz w:val="24"/>
              </w:rPr>
              <w:t>1.开标后，采购代理机构将通过“政采云平台”向各投标人发出“电子加密投标文件”的解密通知，各投标人应当在接到解密通知后</w:t>
            </w:r>
            <w:r>
              <w:rPr>
                <w:rFonts w:hint="eastAsia" w:ascii="宋体" w:hAnsi="宋体" w:cs="宋体"/>
                <w:color w:val="auto"/>
                <w:sz w:val="24"/>
                <w:u w:val="single"/>
              </w:rPr>
              <w:t xml:space="preserve"> </w:t>
            </w:r>
            <w:r>
              <w:rPr>
                <w:rFonts w:hint="eastAsia" w:ascii="宋体" w:hAnsi="宋体" w:cs="宋体"/>
                <w:b/>
                <w:bCs/>
                <w:color w:val="auto"/>
                <w:sz w:val="24"/>
                <w:u w:val="single"/>
              </w:rPr>
              <w:t>30分钟</w:t>
            </w:r>
            <w:r>
              <w:rPr>
                <w:rFonts w:hint="eastAsia" w:ascii="宋体" w:hAnsi="宋体" w:cs="宋体"/>
                <w:color w:val="auto"/>
                <w:sz w:val="24"/>
                <w:u w:val="single"/>
              </w:rPr>
              <w:t xml:space="preserve"> </w:t>
            </w:r>
            <w:r>
              <w:rPr>
                <w:rFonts w:hint="eastAsia" w:ascii="宋体" w:hAnsi="宋体" w:cs="宋体"/>
                <w:color w:val="auto"/>
                <w:sz w:val="24"/>
              </w:rPr>
              <w:t>内用“项目采购-开标评标”功能自行完成“电子加密投标文件”的在线解密。</w:t>
            </w:r>
          </w:p>
          <w:p w14:paraId="22AAD0A7">
            <w:pPr>
              <w:spacing w:line="300" w:lineRule="exact"/>
              <w:ind w:firstLine="240" w:firstLineChars="100"/>
              <w:rPr>
                <w:rFonts w:ascii="宋体" w:hAnsi="宋体" w:cs="宋体"/>
                <w:color w:val="auto"/>
                <w:sz w:val="24"/>
              </w:rPr>
            </w:pPr>
            <w:r>
              <w:rPr>
                <w:rFonts w:hint="eastAsia" w:ascii="宋体" w:hAnsi="宋体" w:cs="宋体"/>
                <w:color w:val="auto"/>
                <w:sz w:val="24"/>
              </w:rPr>
              <w:t>2.通过“政采云平台”成功上传递交的“电子加密投标文件”无法按时解密，投标人如按规定递交了“备份投标文件”的，以“备份投标文件”为依据；</w:t>
            </w:r>
          </w:p>
          <w:p w14:paraId="119B8592">
            <w:pPr>
              <w:spacing w:line="300" w:lineRule="exact"/>
              <w:ind w:firstLine="241" w:firstLineChars="100"/>
              <w:rPr>
                <w:rFonts w:ascii="宋体" w:hAnsi="宋体" w:cs="宋体"/>
                <w:b/>
                <w:color w:val="auto"/>
                <w:sz w:val="24"/>
              </w:rPr>
            </w:pPr>
            <w:r>
              <w:rPr>
                <w:rFonts w:hint="eastAsia" w:ascii="宋体" w:hAnsi="宋体" w:cs="宋体"/>
                <w:b/>
                <w:color w:val="auto"/>
                <w:sz w:val="24"/>
              </w:rPr>
              <w:t>采购代理机构在收到供应商“备份投标文件”同时，视为已获得对该供应商进行异常处理的授权，但备份投标文件上传失败的风险由供应商自行承担。</w:t>
            </w:r>
          </w:p>
          <w:p w14:paraId="01DBE0A6">
            <w:pPr>
              <w:spacing w:line="300" w:lineRule="exact"/>
              <w:ind w:firstLine="240" w:firstLineChars="100"/>
              <w:rPr>
                <w:rFonts w:ascii="宋体" w:hAnsi="宋体" w:cs="宋体"/>
                <w:color w:val="auto"/>
                <w:sz w:val="24"/>
              </w:rPr>
            </w:pPr>
            <w:r>
              <w:rPr>
                <w:rFonts w:hint="eastAsia" w:ascii="宋体" w:hAnsi="宋体" w:cs="宋体"/>
                <w:color w:val="auto"/>
                <w:sz w:val="24"/>
              </w:rPr>
              <w:t>采购代理机构按“政采云平台”操作规范将“备份投标文件”上传至“政采云平台”，上传成功后，“电子加密投标文件”自动失效，未按规定递交合格“备份投标文件”的或递交的“备份投标文件”无法成功上传的，视为投标文件撤回。</w:t>
            </w:r>
          </w:p>
          <w:p w14:paraId="125041D2">
            <w:pPr>
              <w:spacing w:line="300" w:lineRule="exact"/>
              <w:jc w:val="left"/>
              <w:rPr>
                <w:rFonts w:ascii="宋体" w:hAnsi="宋体" w:cs="宋体"/>
                <w:color w:val="auto"/>
              </w:rPr>
            </w:pPr>
            <w:r>
              <w:rPr>
                <w:rFonts w:hint="eastAsia" w:ascii="宋体" w:hAnsi="宋体" w:cs="宋体"/>
                <w:b/>
                <w:bCs/>
                <w:color w:val="auto"/>
                <w:sz w:val="24"/>
              </w:rPr>
              <w:t>注：供应商在投标过程中遇到涉及平台使用的任何问题，可登录政采云点击右侧咨询小采或拨打政采云服务热线400-881-7190。</w:t>
            </w:r>
          </w:p>
        </w:tc>
      </w:tr>
      <w:tr w14:paraId="510B3F7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108" w:type="dxa"/>
            <w:bottom w:w="57" w:type="dxa"/>
            <w:right w:w="108" w:type="dxa"/>
          </w:tblCellMar>
        </w:tblPrEx>
        <w:trPr>
          <w:trHeight w:val="454" w:hRule="atLeast"/>
          <w:jc w:val="center"/>
        </w:trPr>
        <w:tc>
          <w:tcPr>
            <w:tcW w:w="771" w:type="dxa"/>
            <w:tcBorders>
              <w:tl2br w:val="nil"/>
              <w:tr2bl w:val="nil"/>
            </w:tcBorders>
            <w:vAlign w:val="center"/>
          </w:tcPr>
          <w:p w14:paraId="0F1A9BC1">
            <w:pPr>
              <w:numPr>
                <w:ilvl w:val="0"/>
                <w:numId w:val="5"/>
              </w:numPr>
              <w:spacing w:line="400" w:lineRule="exact"/>
              <w:jc w:val="center"/>
              <w:rPr>
                <w:rFonts w:ascii="宋体" w:hAnsi="宋体" w:cs="宋体"/>
                <w:color w:val="auto"/>
                <w:sz w:val="24"/>
              </w:rPr>
            </w:pPr>
          </w:p>
        </w:tc>
        <w:tc>
          <w:tcPr>
            <w:tcW w:w="1907" w:type="dxa"/>
            <w:tcBorders>
              <w:tl2br w:val="nil"/>
              <w:tr2bl w:val="nil"/>
            </w:tcBorders>
            <w:vAlign w:val="center"/>
          </w:tcPr>
          <w:p w14:paraId="4AF90766">
            <w:pPr>
              <w:spacing w:line="300" w:lineRule="exact"/>
              <w:jc w:val="center"/>
              <w:rPr>
                <w:rFonts w:ascii="宋体" w:hAnsi="宋体" w:cs="宋体"/>
                <w:color w:val="auto"/>
                <w:sz w:val="24"/>
              </w:rPr>
            </w:pPr>
            <w:r>
              <w:rPr>
                <w:rFonts w:hint="eastAsia" w:ascii="宋体" w:hAnsi="宋体" w:cs="宋体"/>
                <w:color w:val="auto"/>
                <w:sz w:val="24"/>
              </w:rPr>
              <w:t>注意事项</w:t>
            </w:r>
          </w:p>
        </w:tc>
        <w:tc>
          <w:tcPr>
            <w:tcW w:w="6956" w:type="dxa"/>
            <w:tcBorders>
              <w:tl2br w:val="nil"/>
              <w:tr2bl w:val="nil"/>
            </w:tcBorders>
            <w:vAlign w:val="center"/>
          </w:tcPr>
          <w:p w14:paraId="3E77CB01">
            <w:pPr>
              <w:spacing w:line="300" w:lineRule="exact"/>
              <w:ind w:firstLine="240" w:firstLineChars="100"/>
              <w:rPr>
                <w:rFonts w:ascii="宋体" w:hAnsi="宋体" w:cs="宋体"/>
                <w:color w:val="auto"/>
                <w:sz w:val="24"/>
              </w:rPr>
            </w:pPr>
            <w:r>
              <w:rPr>
                <w:rFonts w:hint="eastAsia" w:ascii="宋体" w:hAnsi="宋体" w:cs="宋体"/>
                <w:color w:val="auto"/>
                <w:sz w:val="24"/>
              </w:rPr>
              <w:t>1.请务必确保投标文件制作客户端为最新版本，旧版本可能导致投标文件解密失败。</w:t>
            </w:r>
          </w:p>
          <w:p w14:paraId="33453BC4">
            <w:pPr>
              <w:spacing w:line="300" w:lineRule="exact"/>
              <w:ind w:firstLine="240" w:firstLineChars="100"/>
              <w:rPr>
                <w:rFonts w:ascii="宋体" w:hAnsi="宋体" w:cs="宋体"/>
                <w:color w:val="auto"/>
                <w:sz w:val="24"/>
              </w:rPr>
            </w:pPr>
            <w:r>
              <w:rPr>
                <w:rFonts w:hint="eastAsia" w:ascii="宋体" w:hAnsi="宋体" w:cs="宋体"/>
                <w:color w:val="auto"/>
                <w:sz w:val="24"/>
              </w:rPr>
              <w:t>2.请务必确保投标文件制作时所用的 CA 锁与投标文件解密时的 CA 锁为同一把，否则可能导致投标文件解密失败。</w:t>
            </w:r>
          </w:p>
          <w:p w14:paraId="45E37E91">
            <w:pPr>
              <w:spacing w:line="300" w:lineRule="exact"/>
              <w:ind w:firstLine="240" w:firstLineChars="100"/>
              <w:rPr>
                <w:rFonts w:ascii="宋体" w:hAnsi="宋体" w:cs="宋体"/>
                <w:color w:val="auto"/>
                <w:sz w:val="24"/>
              </w:rPr>
            </w:pPr>
            <w:r>
              <w:rPr>
                <w:rFonts w:hint="eastAsia" w:ascii="宋体" w:hAnsi="宋体" w:cs="宋体"/>
                <w:color w:val="auto"/>
                <w:sz w:val="24"/>
              </w:rPr>
              <w:t>3.投标人授权委托书上的邮箱为合法往来函件的邮箱。“备份投标文件”等原则上应从该邮箱发出，否则引起的一切后果和风险由投标人自行承担。</w:t>
            </w:r>
          </w:p>
        </w:tc>
      </w:tr>
      <w:tr w14:paraId="1296237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108" w:type="dxa"/>
            <w:bottom w:w="57" w:type="dxa"/>
            <w:right w:w="108" w:type="dxa"/>
          </w:tblCellMar>
        </w:tblPrEx>
        <w:trPr>
          <w:cantSplit/>
          <w:trHeight w:val="454" w:hRule="atLeast"/>
          <w:jc w:val="center"/>
        </w:trPr>
        <w:tc>
          <w:tcPr>
            <w:tcW w:w="771" w:type="dxa"/>
            <w:tcBorders>
              <w:tl2br w:val="nil"/>
              <w:tr2bl w:val="nil"/>
            </w:tcBorders>
            <w:vAlign w:val="center"/>
          </w:tcPr>
          <w:p w14:paraId="2283097C">
            <w:pPr>
              <w:numPr>
                <w:ilvl w:val="0"/>
                <w:numId w:val="5"/>
              </w:numPr>
              <w:spacing w:line="400" w:lineRule="exact"/>
              <w:jc w:val="center"/>
              <w:rPr>
                <w:rFonts w:ascii="宋体" w:hAnsi="宋体" w:cs="宋体"/>
                <w:color w:val="auto"/>
                <w:sz w:val="24"/>
              </w:rPr>
            </w:pPr>
          </w:p>
        </w:tc>
        <w:tc>
          <w:tcPr>
            <w:tcW w:w="1907" w:type="dxa"/>
            <w:tcBorders>
              <w:tl2br w:val="nil"/>
              <w:tr2bl w:val="nil"/>
            </w:tcBorders>
            <w:vAlign w:val="center"/>
          </w:tcPr>
          <w:p w14:paraId="0BEAF757">
            <w:pPr>
              <w:spacing w:line="300" w:lineRule="exact"/>
              <w:jc w:val="center"/>
              <w:rPr>
                <w:rFonts w:ascii="宋体" w:hAnsi="宋体" w:cs="宋体"/>
                <w:color w:val="auto"/>
                <w:sz w:val="24"/>
              </w:rPr>
            </w:pPr>
            <w:r>
              <w:rPr>
                <w:rFonts w:hint="eastAsia" w:ascii="宋体" w:hAnsi="宋体" w:cs="宋体"/>
                <w:color w:val="auto"/>
                <w:sz w:val="24"/>
              </w:rPr>
              <w:t>▲投标有效期</w:t>
            </w:r>
          </w:p>
        </w:tc>
        <w:tc>
          <w:tcPr>
            <w:tcW w:w="6956" w:type="dxa"/>
            <w:tcBorders>
              <w:tl2br w:val="nil"/>
              <w:tr2bl w:val="nil"/>
            </w:tcBorders>
            <w:vAlign w:val="center"/>
          </w:tcPr>
          <w:p w14:paraId="7248BE15">
            <w:pPr>
              <w:spacing w:line="300" w:lineRule="exact"/>
              <w:rPr>
                <w:rFonts w:ascii="宋体" w:hAnsi="宋体" w:cs="宋体"/>
                <w:color w:val="auto"/>
                <w:sz w:val="24"/>
              </w:rPr>
            </w:pPr>
            <w:r>
              <w:rPr>
                <w:rFonts w:hint="eastAsia" w:ascii="宋体" w:hAnsi="宋体" w:cs="宋体"/>
                <w:color w:val="auto"/>
                <w:sz w:val="24"/>
              </w:rPr>
              <w:t>提交投标文件截止时间起90天内</w:t>
            </w:r>
          </w:p>
        </w:tc>
      </w:tr>
      <w:tr w14:paraId="11E48AA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108" w:type="dxa"/>
            <w:bottom w:w="57" w:type="dxa"/>
            <w:right w:w="108" w:type="dxa"/>
          </w:tblCellMar>
        </w:tblPrEx>
        <w:trPr>
          <w:cantSplit/>
          <w:trHeight w:val="454" w:hRule="atLeast"/>
          <w:jc w:val="center"/>
        </w:trPr>
        <w:tc>
          <w:tcPr>
            <w:tcW w:w="771" w:type="dxa"/>
            <w:tcBorders>
              <w:tl2br w:val="nil"/>
              <w:tr2bl w:val="nil"/>
            </w:tcBorders>
            <w:vAlign w:val="center"/>
          </w:tcPr>
          <w:p w14:paraId="5416EA69">
            <w:pPr>
              <w:numPr>
                <w:ilvl w:val="0"/>
                <w:numId w:val="5"/>
              </w:numPr>
              <w:spacing w:line="400" w:lineRule="exact"/>
              <w:jc w:val="center"/>
              <w:rPr>
                <w:rFonts w:ascii="宋体" w:hAnsi="宋体" w:cs="宋体"/>
                <w:color w:val="auto"/>
                <w:sz w:val="24"/>
              </w:rPr>
            </w:pPr>
          </w:p>
        </w:tc>
        <w:tc>
          <w:tcPr>
            <w:tcW w:w="1907" w:type="dxa"/>
            <w:tcBorders>
              <w:tl2br w:val="nil"/>
              <w:tr2bl w:val="nil"/>
            </w:tcBorders>
            <w:vAlign w:val="center"/>
          </w:tcPr>
          <w:p w14:paraId="2E91DAF1">
            <w:pPr>
              <w:pStyle w:val="7"/>
              <w:spacing w:line="300" w:lineRule="exact"/>
              <w:jc w:val="center"/>
              <w:rPr>
                <w:rFonts w:hAnsi="宋体" w:cs="宋体"/>
                <w:color w:val="auto"/>
                <w:sz w:val="24"/>
              </w:rPr>
            </w:pPr>
            <w:r>
              <w:rPr>
                <w:rFonts w:hint="eastAsia" w:hAnsi="宋体" w:cs="宋体"/>
                <w:color w:val="auto"/>
                <w:sz w:val="24"/>
              </w:rPr>
              <w:t>▲投标报价币种及单位</w:t>
            </w:r>
          </w:p>
        </w:tc>
        <w:tc>
          <w:tcPr>
            <w:tcW w:w="6956" w:type="dxa"/>
            <w:tcBorders>
              <w:tl2br w:val="nil"/>
              <w:tr2bl w:val="nil"/>
            </w:tcBorders>
            <w:vAlign w:val="center"/>
          </w:tcPr>
          <w:p w14:paraId="1B619919">
            <w:pPr>
              <w:pStyle w:val="7"/>
              <w:spacing w:line="300" w:lineRule="exact"/>
              <w:rPr>
                <w:rFonts w:hAnsi="宋体" w:cs="宋体"/>
                <w:color w:val="auto"/>
                <w:sz w:val="24"/>
              </w:rPr>
            </w:pPr>
            <w:r>
              <w:rPr>
                <w:rFonts w:hint="eastAsia" w:hAnsi="宋体" w:cs="宋体"/>
                <w:color w:val="auto"/>
                <w:sz w:val="24"/>
              </w:rPr>
              <w:t>人民币、元</w:t>
            </w:r>
          </w:p>
        </w:tc>
      </w:tr>
      <w:tr w14:paraId="5A4B2C2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108" w:type="dxa"/>
            <w:bottom w:w="57" w:type="dxa"/>
            <w:right w:w="108" w:type="dxa"/>
          </w:tblCellMar>
        </w:tblPrEx>
        <w:trPr>
          <w:trHeight w:val="454" w:hRule="atLeast"/>
          <w:jc w:val="center"/>
        </w:trPr>
        <w:tc>
          <w:tcPr>
            <w:tcW w:w="771" w:type="dxa"/>
            <w:tcBorders>
              <w:tl2br w:val="nil"/>
              <w:tr2bl w:val="nil"/>
            </w:tcBorders>
            <w:vAlign w:val="center"/>
          </w:tcPr>
          <w:p w14:paraId="7F9BC226">
            <w:pPr>
              <w:numPr>
                <w:ilvl w:val="0"/>
                <w:numId w:val="5"/>
              </w:numPr>
              <w:spacing w:line="400" w:lineRule="exact"/>
              <w:jc w:val="center"/>
              <w:rPr>
                <w:rFonts w:ascii="宋体" w:hAnsi="宋体" w:cs="宋体"/>
                <w:color w:val="auto"/>
                <w:sz w:val="24"/>
              </w:rPr>
            </w:pPr>
          </w:p>
        </w:tc>
        <w:tc>
          <w:tcPr>
            <w:tcW w:w="1907" w:type="dxa"/>
            <w:tcBorders>
              <w:tl2br w:val="nil"/>
              <w:tr2bl w:val="nil"/>
            </w:tcBorders>
            <w:vAlign w:val="center"/>
          </w:tcPr>
          <w:p w14:paraId="6570D8AA">
            <w:pPr>
              <w:spacing w:line="300" w:lineRule="exact"/>
              <w:jc w:val="center"/>
              <w:rPr>
                <w:rFonts w:ascii="宋体" w:hAnsi="宋体" w:cs="宋体"/>
                <w:color w:val="auto"/>
                <w:spacing w:val="-20"/>
                <w:sz w:val="24"/>
              </w:rPr>
            </w:pPr>
            <w:r>
              <w:rPr>
                <w:rFonts w:hint="eastAsia" w:ascii="宋体" w:hAnsi="宋体" w:cs="宋体"/>
                <w:color w:val="auto"/>
                <w:sz w:val="24"/>
              </w:rPr>
              <w:t>是否接受联合体投标</w:t>
            </w:r>
          </w:p>
        </w:tc>
        <w:tc>
          <w:tcPr>
            <w:tcW w:w="6956" w:type="dxa"/>
            <w:tcBorders>
              <w:tl2br w:val="nil"/>
              <w:tr2bl w:val="nil"/>
            </w:tcBorders>
            <w:vAlign w:val="center"/>
          </w:tcPr>
          <w:p w14:paraId="4A4B8C83">
            <w:pPr>
              <w:spacing w:line="300" w:lineRule="exact"/>
              <w:rPr>
                <w:rFonts w:ascii="宋体" w:hAnsi="宋体" w:cs="宋体"/>
                <w:color w:val="auto"/>
                <w:sz w:val="24"/>
              </w:rPr>
            </w:pPr>
            <w:r>
              <w:rPr>
                <w:rFonts w:hint="eastAsia" w:ascii="宋体" w:hAnsi="宋体" w:cs="宋体"/>
                <w:color w:val="auto"/>
                <w:sz w:val="24"/>
              </w:rPr>
              <w:sym w:font="Wingdings 2" w:char="0052"/>
            </w:r>
            <w:r>
              <w:rPr>
                <w:rFonts w:hint="eastAsia" w:ascii="宋体" w:hAnsi="宋体" w:cs="宋体"/>
                <w:color w:val="auto"/>
                <w:sz w:val="24"/>
              </w:rPr>
              <w:t>不接受</w:t>
            </w:r>
          </w:p>
          <w:p w14:paraId="4744278F">
            <w:pPr>
              <w:spacing w:line="300" w:lineRule="exact"/>
              <w:rPr>
                <w:rFonts w:ascii="宋体" w:hAnsi="宋体" w:cs="宋体"/>
                <w:color w:val="auto"/>
                <w:sz w:val="24"/>
              </w:rPr>
            </w:pPr>
            <w:r>
              <w:rPr>
                <w:rFonts w:hint="eastAsia" w:ascii="宋体" w:hAnsi="宋体" w:cs="宋体"/>
                <w:color w:val="auto"/>
                <w:sz w:val="24"/>
              </w:rPr>
              <w:sym w:font="Wingdings 2" w:char="00A3"/>
            </w:r>
            <w:r>
              <w:rPr>
                <w:rFonts w:hint="eastAsia" w:ascii="宋体" w:hAnsi="宋体" w:cs="宋体"/>
                <w:color w:val="auto"/>
                <w:sz w:val="24"/>
              </w:rPr>
              <w:t>接受，联合体投标的，应满足下列要求：联合体各方不得再以自己名义单独或加入其他联合体对本项目进行投标，联合体各方应签署具有法律效力的联合协议，并编入投标文件中。</w:t>
            </w:r>
          </w:p>
        </w:tc>
      </w:tr>
      <w:tr w14:paraId="0F57300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108" w:type="dxa"/>
            <w:bottom w:w="57" w:type="dxa"/>
            <w:right w:w="108" w:type="dxa"/>
          </w:tblCellMar>
        </w:tblPrEx>
        <w:trPr>
          <w:cantSplit/>
          <w:trHeight w:val="454" w:hRule="atLeast"/>
          <w:jc w:val="center"/>
        </w:trPr>
        <w:tc>
          <w:tcPr>
            <w:tcW w:w="771" w:type="dxa"/>
            <w:tcBorders>
              <w:tl2br w:val="nil"/>
              <w:tr2bl w:val="nil"/>
            </w:tcBorders>
            <w:vAlign w:val="center"/>
          </w:tcPr>
          <w:p w14:paraId="44940597">
            <w:pPr>
              <w:numPr>
                <w:ilvl w:val="0"/>
                <w:numId w:val="5"/>
              </w:numPr>
              <w:spacing w:line="400" w:lineRule="exact"/>
              <w:jc w:val="center"/>
              <w:rPr>
                <w:rFonts w:ascii="宋体" w:hAnsi="宋体" w:cs="宋体"/>
                <w:color w:val="auto"/>
                <w:sz w:val="24"/>
              </w:rPr>
            </w:pPr>
          </w:p>
        </w:tc>
        <w:tc>
          <w:tcPr>
            <w:tcW w:w="1907" w:type="dxa"/>
            <w:tcBorders>
              <w:tl2br w:val="nil"/>
              <w:tr2bl w:val="nil"/>
            </w:tcBorders>
            <w:vAlign w:val="center"/>
          </w:tcPr>
          <w:p w14:paraId="325C5091">
            <w:pPr>
              <w:spacing w:line="300" w:lineRule="exact"/>
              <w:jc w:val="center"/>
              <w:rPr>
                <w:rFonts w:ascii="宋体" w:hAnsi="宋体" w:cs="宋体"/>
                <w:color w:val="auto"/>
                <w:sz w:val="24"/>
              </w:rPr>
            </w:pPr>
            <w:r>
              <w:rPr>
                <w:rFonts w:hint="eastAsia" w:ascii="宋体" w:hAnsi="宋体" w:cs="宋体"/>
                <w:color w:val="auto"/>
                <w:sz w:val="24"/>
              </w:rPr>
              <w:t>踏勘现场</w:t>
            </w:r>
          </w:p>
        </w:tc>
        <w:tc>
          <w:tcPr>
            <w:tcW w:w="6956" w:type="dxa"/>
            <w:tcBorders>
              <w:tl2br w:val="nil"/>
              <w:tr2bl w:val="nil"/>
            </w:tcBorders>
            <w:vAlign w:val="center"/>
          </w:tcPr>
          <w:p w14:paraId="593A41E9">
            <w:pPr>
              <w:spacing w:line="300" w:lineRule="exact"/>
              <w:rPr>
                <w:rFonts w:ascii="宋体" w:hAnsi="宋体" w:cs="宋体"/>
                <w:color w:val="auto"/>
                <w:sz w:val="24"/>
              </w:rPr>
            </w:pPr>
            <w:r>
              <w:rPr>
                <w:rFonts w:hint="eastAsia" w:ascii="宋体" w:hAnsi="宋体" w:cs="宋体"/>
                <w:color w:val="auto"/>
                <w:sz w:val="24"/>
              </w:rPr>
              <w:t>不组织</w:t>
            </w:r>
          </w:p>
        </w:tc>
      </w:tr>
      <w:tr w14:paraId="51EF9E5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108" w:type="dxa"/>
            <w:bottom w:w="57" w:type="dxa"/>
            <w:right w:w="108" w:type="dxa"/>
          </w:tblCellMar>
        </w:tblPrEx>
        <w:trPr>
          <w:cantSplit/>
          <w:trHeight w:val="454" w:hRule="atLeast"/>
          <w:jc w:val="center"/>
        </w:trPr>
        <w:tc>
          <w:tcPr>
            <w:tcW w:w="771" w:type="dxa"/>
            <w:tcBorders>
              <w:tl2br w:val="nil"/>
              <w:tr2bl w:val="nil"/>
            </w:tcBorders>
            <w:vAlign w:val="center"/>
          </w:tcPr>
          <w:p w14:paraId="2D01252E">
            <w:pPr>
              <w:numPr>
                <w:ilvl w:val="0"/>
                <w:numId w:val="5"/>
              </w:numPr>
              <w:spacing w:line="400" w:lineRule="exact"/>
              <w:jc w:val="center"/>
              <w:rPr>
                <w:rFonts w:ascii="宋体" w:hAnsi="宋体" w:cs="宋体"/>
                <w:color w:val="auto"/>
                <w:sz w:val="24"/>
              </w:rPr>
            </w:pPr>
          </w:p>
        </w:tc>
        <w:tc>
          <w:tcPr>
            <w:tcW w:w="1907" w:type="dxa"/>
            <w:tcBorders>
              <w:tl2br w:val="nil"/>
              <w:tr2bl w:val="nil"/>
            </w:tcBorders>
            <w:vAlign w:val="center"/>
          </w:tcPr>
          <w:p w14:paraId="05E88CAA">
            <w:pPr>
              <w:spacing w:line="300" w:lineRule="exact"/>
              <w:jc w:val="center"/>
              <w:rPr>
                <w:rFonts w:ascii="宋体" w:hAnsi="宋体" w:cs="宋体"/>
                <w:color w:val="auto"/>
                <w:spacing w:val="-20"/>
                <w:sz w:val="24"/>
              </w:rPr>
            </w:pPr>
            <w:r>
              <w:rPr>
                <w:rFonts w:hint="eastAsia" w:ascii="宋体" w:hAnsi="宋体" w:cs="宋体"/>
                <w:color w:val="auto"/>
                <w:sz w:val="24"/>
              </w:rPr>
              <w:t>是否接受转包与分包</w:t>
            </w:r>
          </w:p>
        </w:tc>
        <w:tc>
          <w:tcPr>
            <w:tcW w:w="6956" w:type="dxa"/>
            <w:tcBorders>
              <w:tl2br w:val="nil"/>
              <w:tr2bl w:val="nil"/>
            </w:tcBorders>
            <w:vAlign w:val="center"/>
          </w:tcPr>
          <w:p w14:paraId="551C4F87">
            <w:pPr>
              <w:spacing w:line="360" w:lineRule="auto"/>
              <w:rPr>
                <w:rFonts w:ascii="宋体" w:hAnsi="宋体" w:cs="宋体"/>
                <w:color w:val="auto"/>
                <w:sz w:val="24"/>
              </w:rPr>
            </w:pPr>
            <w:r>
              <w:rPr>
                <w:rFonts w:hint="eastAsia" w:ascii="宋体" w:hAnsi="宋体" w:cs="宋体"/>
                <w:color w:val="auto"/>
                <w:sz w:val="24"/>
              </w:rPr>
              <w:t>转包：不接受</w:t>
            </w:r>
          </w:p>
          <w:p w14:paraId="5912D6AE">
            <w:pPr>
              <w:rPr>
                <w:rFonts w:ascii="宋体" w:hAnsi="宋体" w:cs="宋体"/>
                <w:color w:val="auto"/>
                <w:sz w:val="24"/>
              </w:rPr>
            </w:pPr>
            <w:r>
              <w:rPr>
                <w:rFonts w:hint="eastAsia" w:ascii="宋体" w:hAnsi="宋体" w:cs="宋体"/>
                <w:color w:val="auto"/>
                <w:sz w:val="24"/>
              </w:rPr>
              <w:t>分包：不接受</w:t>
            </w:r>
          </w:p>
        </w:tc>
      </w:tr>
      <w:tr w14:paraId="738934A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108" w:type="dxa"/>
            <w:bottom w:w="57" w:type="dxa"/>
            <w:right w:w="108" w:type="dxa"/>
          </w:tblCellMar>
        </w:tblPrEx>
        <w:trPr>
          <w:cantSplit/>
          <w:trHeight w:val="454" w:hRule="atLeast"/>
          <w:jc w:val="center"/>
        </w:trPr>
        <w:tc>
          <w:tcPr>
            <w:tcW w:w="771" w:type="dxa"/>
            <w:tcBorders>
              <w:tl2br w:val="nil"/>
              <w:tr2bl w:val="nil"/>
            </w:tcBorders>
            <w:vAlign w:val="center"/>
          </w:tcPr>
          <w:p w14:paraId="68BC0D49">
            <w:pPr>
              <w:numPr>
                <w:ilvl w:val="0"/>
                <w:numId w:val="5"/>
              </w:numPr>
              <w:spacing w:line="400" w:lineRule="exact"/>
              <w:jc w:val="center"/>
              <w:rPr>
                <w:rFonts w:ascii="宋体" w:hAnsi="宋体" w:cs="宋体"/>
                <w:color w:val="auto"/>
                <w:sz w:val="24"/>
              </w:rPr>
            </w:pPr>
          </w:p>
        </w:tc>
        <w:tc>
          <w:tcPr>
            <w:tcW w:w="1907" w:type="dxa"/>
            <w:tcBorders>
              <w:tl2br w:val="nil"/>
              <w:tr2bl w:val="nil"/>
            </w:tcBorders>
            <w:vAlign w:val="center"/>
          </w:tcPr>
          <w:p w14:paraId="642BC9A4">
            <w:pPr>
              <w:spacing w:line="300" w:lineRule="exact"/>
              <w:jc w:val="center"/>
              <w:rPr>
                <w:rFonts w:ascii="宋体" w:hAnsi="宋体" w:cs="宋体"/>
                <w:color w:val="auto"/>
                <w:spacing w:val="-20"/>
                <w:sz w:val="24"/>
              </w:rPr>
            </w:pPr>
            <w:r>
              <w:rPr>
                <w:rFonts w:hint="eastAsia" w:ascii="宋体" w:hAnsi="宋体" w:cs="宋体"/>
                <w:color w:val="auto"/>
                <w:sz w:val="24"/>
              </w:rPr>
              <w:t>投标样品</w:t>
            </w:r>
          </w:p>
        </w:tc>
        <w:tc>
          <w:tcPr>
            <w:tcW w:w="6956" w:type="dxa"/>
            <w:tcBorders>
              <w:tl2br w:val="nil"/>
              <w:tr2bl w:val="nil"/>
            </w:tcBorders>
            <w:vAlign w:val="center"/>
          </w:tcPr>
          <w:p w14:paraId="29F1AC78">
            <w:pPr>
              <w:spacing w:line="300" w:lineRule="exact"/>
              <w:rPr>
                <w:rFonts w:ascii="宋体" w:hAnsi="宋体" w:cs="宋体"/>
                <w:color w:val="auto"/>
                <w:sz w:val="24"/>
              </w:rPr>
            </w:pPr>
            <w:r>
              <w:rPr>
                <w:rFonts w:hint="eastAsia" w:ascii="宋体" w:hAnsi="宋体" w:cs="宋体"/>
                <w:color w:val="auto"/>
                <w:sz w:val="24"/>
              </w:rPr>
              <w:t>不需要</w:t>
            </w:r>
          </w:p>
        </w:tc>
      </w:tr>
      <w:tr w14:paraId="4695179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108" w:type="dxa"/>
            <w:bottom w:w="57" w:type="dxa"/>
            <w:right w:w="108" w:type="dxa"/>
          </w:tblCellMar>
        </w:tblPrEx>
        <w:trPr>
          <w:cantSplit/>
          <w:trHeight w:val="454" w:hRule="atLeast"/>
          <w:jc w:val="center"/>
        </w:trPr>
        <w:tc>
          <w:tcPr>
            <w:tcW w:w="771" w:type="dxa"/>
            <w:tcBorders>
              <w:tl2br w:val="nil"/>
              <w:tr2bl w:val="nil"/>
            </w:tcBorders>
            <w:vAlign w:val="center"/>
          </w:tcPr>
          <w:p w14:paraId="57FC354D">
            <w:pPr>
              <w:numPr>
                <w:ilvl w:val="0"/>
                <w:numId w:val="5"/>
              </w:numPr>
              <w:spacing w:line="400" w:lineRule="exact"/>
              <w:jc w:val="center"/>
              <w:rPr>
                <w:rFonts w:ascii="宋体" w:hAnsi="宋体" w:cs="宋体"/>
                <w:color w:val="auto"/>
                <w:sz w:val="24"/>
              </w:rPr>
            </w:pPr>
          </w:p>
        </w:tc>
        <w:tc>
          <w:tcPr>
            <w:tcW w:w="1907" w:type="dxa"/>
            <w:tcBorders>
              <w:tl2br w:val="nil"/>
              <w:tr2bl w:val="nil"/>
            </w:tcBorders>
            <w:vAlign w:val="center"/>
          </w:tcPr>
          <w:p w14:paraId="70433FA0">
            <w:pPr>
              <w:spacing w:line="300" w:lineRule="exact"/>
              <w:jc w:val="center"/>
              <w:rPr>
                <w:rFonts w:ascii="宋体" w:hAnsi="宋体" w:cs="宋体"/>
                <w:color w:val="auto"/>
                <w:sz w:val="24"/>
              </w:rPr>
            </w:pPr>
            <w:r>
              <w:rPr>
                <w:rFonts w:hint="eastAsia" w:ascii="宋体" w:hAnsi="宋体" w:cs="宋体"/>
                <w:color w:val="auto"/>
                <w:sz w:val="24"/>
              </w:rPr>
              <w:t>演示</w:t>
            </w:r>
          </w:p>
        </w:tc>
        <w:tc>
          <w:tcPr>
            <w:tcW w:w="6956" w:type="dxa"/>
            <w:tcBorders>
              <w:tl2br w:val="nil"/>
              <w:tr2bl w:val="nil"/>
            </w:tcBorders>
            <w:vAlign w:val="center"/>
          </w:tcPr>
          <w:p w14:paraId="4BDC9CB9">
            <w:pPr>
              <w:spacing w:line="300" w:lineRule="exact"/>
              <w:rPr>
                <w:rFonts w:ascii="宋体" w:hAnsi="宋体" w:cs="宋体"/>
                <w:color w:val="auto"/>
                <w:sz w:val="24"/>
              </w:rPr>
            </w:pPr>
            <w:r>
              <w:rPr>
                <w:rFonts w:hint="eastAsia" w:ascii="宋体" w:hAnsi="宋体" w:cs="宋体"/>
                <w:color w:val="auto"/>
                <w:sz w:val="24"/>
              </w:rPr>
              <w:t>不需要</w:t>
            </w:r>
          </w:p>
        </w:tc>
      </w:tr>
      <w:tr w14:paraId="61C88BD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108" w:type="dxa"/>
            <w:bottom w:w="57" w:type="dxa"/>
            <w:right w:w="108" w:type="dxa"/>
          </w:tblCellMar>
        </w:tblPrEx>
        <w:trPr>
          <w:trHeight w:val="454" w:hRule="atLeast"/>
          <w:jc w:val="center"/>
        </w:trPr>
        <w:tc>
          <w:tcPr>
            <w:tcW w:w="771" w:type="dxa"/>
            <w:tcBorders>
              <w:tl2br w:val="nil"/>
              <w:tr2bl w:val="nil"/>
            </w:tcBorders>
            <w:vAlign w:val="center"/>
          </w:tcPr>
          <w:p w14:paraId="474F72FC">
            <w:pPr>
              <w:numPr>
                <w:ilvl w:val="0"/>
                <w:numId w:val="5"/>
              </w:numPr>
              <w:spacing w:line="400" w:lineRule="exact"/>
              <w:jc w:val="center"/>
              <w:rPr>
                <w:rFonts w:ascii="宋体" w:hAnsi="宋体" w:cs="宋体"/>
                <w:color w:val="auto"/>
                <w:sz w:val="24"/>
              </w:rPr>
            </w:pPr>
          </w:p>
        </w:tc>
        <w:tc>
          <w:tcPr>
            <w:tcW w:w="1907" w:type="dxa"/>
            <w:tcBorders>
              <w:tl2br w:val="nil"/>
              <w:tr2bl w:val="nil"/>
            </w:tcBorders>
            <w:vAlign w:val="center"/>
          </w:tcPr>
          <w:p w14:paraId="3A4219FB">
            <w:pPr>
              <w:spacing w:line="300" w:lineRule="exact"/>
              <w:jc w:val="center"/>
              <w:rPr>
                <w:rFonts w:ascii="宋体" w:hAnsi="宋体" w:cs="宋体"/>
                <w:color w:val="auto"/>
                <w:sz w:val="24"/>
              </w:rPr>
            </w:pPr>
            <w:r>
              <w:rPr>
                <w:rFonts w:hint="eastAsia" w:ascii="宋体" w:hAnsi="宋体" w:cs="宋体"/>
                <w:color w:val="auto"/>
                <w:sz w:val="24"/>
              </w:rPr>
              <w:t>▲履约担保</w:t>
            </w:r>
          </w:p>
        </w:tc>
        <w:tc>
          <w:tcPr>
            <w:tcW w:w="6956" w:type="dxa"/>
            <w:tcBorders>
              <w:tl2br w:val="nil"/>
              <w:tr2bl w:val="nil"/>
            </w:tcBorders>
            <w:vAlign w:val="center"/>
          </w:tcPr>
          <w:p w14:paraId="5449D5C3">
            <w:pPr>
              <w:spacing w:line="300" w:lineRule="exact"/>
              <w:rPr>
                <w:rFonts w:ascii="宋体" w:hAnsi="宋体" w:cs="宋体"/>
                <w:b/>
                <w:bCs/>
                <w:color w:val="auto"/>
                <w:sz w:val="24"/>
              </w:rPr>
            </w:pPr>
            <w:r>
              <w:rPr>
                <w:rFonts w:hint="eastAsia" w:ascii="宋体" w:hAnsi="宋体" w:cs="宋体"/>
                <w:b/>
                <w:bCs/>
                <w:color w:val="auto"/>
                <w:sz w:val="24"/>
              </w:rPr>
              <w:sym w:font="Wingdings 2" w:char="0052"/>
            </w:r>
            <w:r>
              <w:rPr>
                <w:rFonts w:hint="eastAsia" w:ascii="宋体" w:hAnsi="宋体" w:cs="宋体"/>
                <w:b/>
                <w:bCs/>
                <w:color w:val="auto"/>
                <w:sz w:val="24"/>
              </w:rPr>
              <w:t>不需要</w:t>
            </w:r>
          </w:p>
          <w:p w14:paraId="41172089">
            <w:pPr>
              <w:spacing w:line="300" w:lineRule="exact"/>
              <w:rPr>
                <w:rFonts w:ascii="宋体" w:hAnsi="宋体" w:cs="宋体"/>
                <w:color w:val="auto"/>
                <w:sz w:val="24"/>
              </w:rPr>
            </w:pPr>
            <w:r>
              <w:rPr>
                <w:rFonts w:hint="eastAsia" w:ascii="宋体" w:hAnsi="宋体" w:cs="宋体"/>
                <w:color w:val="auto"/>
                <w:sz w:val="24"/>
              </w:rPr>
              <w:sym w:font="Wingdings 2" w:char="00A3"/>
            </w:r>
            <w:r>
              <w:rPr>
                <w:rFonts w:hint="eastAsia" w:ascii="宋体" w:hAnsi="宋体" w:cs="宋体"/>
                <w:color w:val="auto"/>
                <w:sz w:val="24"/>
              </w:rPr>
              <w:t>需要 领取中标通知书后5个工作日内，中标人须向采购人交纳相当于中标价</w:t>
            </w:r>
            <w:r>
              <w:rPr>
                <w:rFonts w:hint="eastAsia" w:ascii="宋体" w:hAnsi="宋体" w:cs="宋体"/>
                <w:color w:val="auto"/>
                <w:sz w:val="24"/>
                <w:u w:val="single"/>
              </w:rPr>
              <w:t xml:space="preserve"> 1％</w:t>
            </w:r>
            <w:r>
              <w:rPr>
                <w:rFonts w:hint="eastAsia" w:ascii="宋体" w:hAnsi="宋体" w:cs="宋体"/>
                <w:b/>
                <w:bCs/>
                <w:color w:val="auto"/>
                <w:sz w:val="24"/>
                <w:u w:val="single"/>
              </w:rPr>
              <w:t xml:space="preserve"> </w:t>
            </w:r>
            <w:r>
              <w:rPr>
                <w:rFonts w:hint="eastAsia" w:ascii="宋体" w:hAnsi="宋体" w:cs="宋体"/>
                <w:color w:val="auto"/>
                <w:sz w:val="24"/>
              </w:rPr>
              <w:t>的履约保证金（鼓励以银行、保险公司出具的履约保函形式提交；若以电汇、银行转账方式提交的，必须转到采购人的指定账户。</w:t>
            </w:r>
          </w:p>
          <w:p w14:paraId="5D47DE7D">
            <w:pPr>
              <w:spacing w:line="300" w:lineRule="exact"/>
              <w:ind w:firstLine="480" w:firstLineChars="200"/>
              <w:rPr>
                <w:rFonts w:ascii="宋体" w:hAnsi="宋体" w:cs="宋体"/>
                <w:color w:val="auto"/>
                <w:sz w:val="24"/>
              </w:rPr>
            </w:pPr>
            <w:r>
              <w:rPr>
                <w:rFonts w:hint="eastAsia" w:ascii="宋体" w:hAnsi="宋体" w:cs="宋体"/>
                <w:color w:val="auto"/>
                <w:sz w:val="24"/>
              </w:rPr>
              <w:t>如果中标供应商在服务期内没有涉及采购人的应付而未付金额或违约行为，采购人在项目终验合格后或提前终止合同后30天内全额无息退还履约保证金。</w:t>
            </w:r>
          </w:p>
        </w:tc>
      </w:tr>
      <w:tr w14:paraId="3E8FACC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108" w:type="dxa"/>
            <w:bottom w:w="57" w:type="dxa"/>
            <w:right w:w="108" w:type="dxa"/>
          </w:tblCellMar>
        </w:tblPrEx>
        <w:trPr>
          <w:trHeight w:val="454" w:hRule="atLeast"/>
          <w:jc w:val="center"/>
        </w:trPr>
        <w:tc>
          <w:tcPr>
            <w:tcW w:w="771" w:type="dxa"/>
            <w:tcBorders>
              <w:tl2br w:val="nil"/>
              <w:tr2bl w:val="nil"/>
            </w:tcBorders>
            <w:vAlign w:val="center"/>
          </w:tcPr>
          <w:p w14:paraId="4FB9033F">
            <w:pPr>
              <w:numPr>
                <w:ilvl w:val="0"/>
                <w:numId w:val="5"/>
              </w:numPr>
              <w:spacing w:line="400" w:lineRule="exact"/>
              <w:jc w:val="center"/>
              <w:rPr>
                <w:rFonts w:ascii="宋体" w:hAnsi="宋体" w:cs="宋体"/>
                <w:color w:val="auto"/>
                <w:sz w:val="24"/>
              </w:rPr>
            </w:pPr>
          </w:p>
        </w:tc>
        <w:tc>
          <w:tcPr>
            <w:tcW w:w="1907" w:type="dxa"/>
            <w:tcBorders>
              <w:tl2br w:val="nil"/>
              <w:tr2bl w:val="nil"/>
            </w:tcBorders>
            <w:vAlign w:val="center"/>
          </w:tcPr>
          <w:p w14:paraId="59FC3DB1">
            <w:pPr>
              <w:spacing w:line="300" w:lineRule="exact"/>
              <w:jc w:val="center"/>
              <w:rPr>
                <w:rFonts w:ascii="宋体" w:hAnsi="宋体" w:cs="宋体"/>
                <w:color w:val="auto"/>
                <w:sz w:val="24"/>
              </w:rPr>
            </w:pPr>
            <w:r>
              <w:rPr>
                <w:rFonts w:hint="eastAsia" w:ascii="宋体" w:hAnsi="宋体" w:cs="宋体"/>
                <w:color w:val="auto"/>
                <w:sz w:val="24"/>
              </w:rPr>
              <w:t>中小企业划分</w:t>
            </w:r>
          </w:p>
          <w:p w14:paraId="1DE322F8">
            <w:pPr>
              <w:spacing w:line="300" w:lineRule="exact"/>
              <w:jc w:val="center"/>
              <w:rPr>
                <w:rFonts w:ascii="宋体" w:hAnsi="宋体" w:cs="宋体"/>
                <w:color w:val="auto"/>
                <w:sz w:val="24"/>
              </w:rPr>
            </w:pPr>
            <w:r>
              <w:rPr>
                <w:rFonts w:hint="eastAsia" w:ascii="宋体" w:hAnsi="宋体" w:cs="宋体"/>
                <w:color w:val="auto"/>
                <w:sz w:val="24"/>
              </w:rPr>
              <w:t>标准所属行业</w:t>
            </w:r>
          </w:p>
        </w:tc>
        <w:tc>
          <w:tcPr>
            <w:tcW w:w="6956" w:type="dxa"/>
            <w:tcBorders>
              <w:tl2br w:val="nil"/>
              <w:tr2bl w:val="nil"/>
            </w:tcBorders>
            <w:vAlign w:val="center"/>
          </w:tcPr>
          <w:p w14:paraId="33965669">
            <w:pPr>
              <w:spacing w:line="300" w:lineRule="exact"/>
              <w:jc w:val="left"/>
              <w:rPr>
                <w:rFonts w:ascii="宋体" w:hAnsi="宋体" w:cs="宋体"/>
                <w:color w:val="auto"/>
                <w:sz w:val="24"/>
                <w:highlight w:val="yellow"/>
              </w:rPr>
            </w:pPr>
            <w:r>
              <w:rPr>
                <w:rFonts w:hint="eastAsia" w:ascii="宋体" w:hAnsi="宋体" w:cs="宋体"/>
                <w:color w:val="auto"/>
                <w:sz w:val="24"/>
                <w:highlight w:val="yellow"/>
              </w:rPr>
              <w:t>本项目</w:t>
            </w:r>
            <w:r>
              <w:rPr>
                <w:rFonts w:hint="eastAsia" w:ascii="宋体" w:hAnsi="宋体" w:cs="宋体"/>
                <w:color w:val="auto"/>
                <w:sz w:val="24"/>
                <w:highlight w:val="yellow"/>
                <w:u w:val="single"/>
              </w:rPr>
              <w:t xml:space="preserve"> 是 </w:t>
            </w:r>
            <w:r>
              <w:rPr>
                <w:rFonts w:hint="eastAsia" w:ascii="宋体" w:hAnsi="宋体" w:cs="宋体"/>
                <w:color w:val="auto"/>
                <w:sz w:val="24"/>
                <w:highlight w:val="yellow"/>
              </w:rPr>
              <w:t>属于专门面向中小企业采购的项目。</w:t>
            </w:r>
          </w:p>
          <w:tbl>
            <w:tblPr>
              <w:tblStyle w:val="32"/>
              <w:tblW w:w="6521" w:type="dxa"/>
              <w:tblInd w:w="0"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1051"/>
              <w:gridCol w:w="1213"/>
              <w:gridCol w:w="4257"/>
            </w:tblGrid>
            <w:tr w14:paraId="39D26DC1">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1051" w:type="dxa"/>
                  <w:tcBorders>
                    <w:tl2br w:val="nil"/>
                    <w:tr2bl w:val="nil"/>
                  </w:tcBorders>
                  <w:vAlign w:val="center"/>
                </w:tcPr>
                <w:p w14:paraId="2519372E">
                  <w:pPr>
                    <w:jc w:val="center"/>
                    <w:rPr>
                      <w:rFonts w:ascii="宋体" w:hAnsi="宋体" w:cs="宋体"/>
                      <w:b/>
                      <w:bCs/>
                      <w:color w:val="auto"/>
                      <w:sz w:val="18"/>
                      <w:szCs w:val="18"/>
                    </w:rPr>
                  </w:pPr>
                  <w:r>
                    <w:rPr>
                      <w:rFonts w:hint="eastAsia" w:ascii="宋体" w:hAnsi="宋体" w:cs="宋体"/>
                      <w:b/>
                      <w:bCs/>
                      <w:color w:val="auto"/>
                      <w:sz w:val="18"/>
                      <w:szCs w:val="18"/>
                    </w:rPr>
                    <w:t>采购标的</w:t>
                  </w:r>
                </w:p>
              </w:tc>
              <w:tc>
                <w:tcPr>
                  <w:tcW w:w="1213" w:type="dxa"/>
                  <w:tcBorders>
                    <w:tl2br w:val="nil"/>
                    <w:tr2bl w:val="nil"/>
                  </w:tcBorders>
                  <w:vAlign w:val="center"/>
                </w:tcPr>
                <w:p w14:paraId="7A24AFAA">
                  <w:pPr>
                    <w:jc w:val="center"/>
                    <w:rPr>
                      <w:rFonts w:ascii="宋体" w:hAnsi="宋体" w:cs="宋体"/>
                      <w:b/>
                      <w:bCs/>
                      <w:color w:val="auto"/>
                      <w:sz w:val="18"/>
                      <w:szCs w:val="18"/>
                    </w:rPr>
                  </w:pPr>
                  <w:r>
                    <w:rPr>
                      <w:rFonts w:hint="eastAsia" w:ascii="宋体" w:hAnsi="宋体" w:cs="宋体"/>
                      <w:b/>
                      <w:bCs/>
                      <w:color w:val="auto"/>
                      <w:sz w:val="18"/>
                      <w:szCs w:val="18"/>
                    </w:rPr>
                    <w:t>所属行业</w:t>
                  </w:r>
                </w:p>
              </w:tc>
              <w:tc>
                <w:tcPr>
                  <w:tcW w:w="4257" w:type="dxa"/>
                  <w:tcBorders>
                    <w:tl2br w:val="nil"/>
                    <w:tr2bl w:val="nil"/>
                  </w:tcBorders>
                  <w:vAlign w:val="center"/>
                </w:tcPr>
                <w:p w14:paraId="07BC31E2">
                  <w:pPr>
                    <w:jc w:val="center"/>
                    <w:rPr>
                      <w:rFonts w:ascii="宋体" w:hAnsi="宋体" w:cs="宋体"/>
                      <w:b/>
                      <w:bCs/>
                      <w:color w:val="auto"/>
                      <w:sz w:val="18"/>
                      <w:szCs w:val="18"/>
                    </w:rPr>
                  </w:pPr>
                  <w:r>
                    <w:rPr>
                      <w:rFonts w:hint="eastAsia" w:ascii="宋体" w:hAnsi="宋体" w:cs="宋体"/>
                      <w:b/>
                      <w:bCs/>
                      <w:color w:val="auto"/>
                      <w:sz w:val="18"/>
                      <w:szCs w:val="18"/>
                    </w:rPr>
                    <w:t>中小企业划型标准</w:t>
                  </w:r>
                </w:p>
              </w:tc>
            </w:tr>
            <w:tr w14:paraId="245646E2">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1114" w:hRule="atLeast"/>
              </w:trPr>
              <w:tc>
                <w:tcPr>
                  <w:tcW w:w="1051" w:type="dxa"/>
                  <w:tcBorders>
                    <w:tl2br w:val="nil"/>
                    <w:tr2bl w:val="nil"/>
                  </w:tcBorders>
                  <w:vAlign w:val="center"/>
                </w:tcPr>
                <w:p w14:paraId="78733F98">
                  <w:pPr>
                    <w:jc w:val="center"/>
                    <w:rPr>
                      <w:rFonts w:ascii="宋体" w:hAnsi="宋体" w:cs="宋体"/>
                      <w:color w:val="auto"/>
                      <w:sz w:val="18"/>
                      <w:szCs w:val="18"/>
                    </w:rPr>
                  </w:pPr>
                  <w:r>
                    <w:rPr>
                      <w:rFonts w:hint="eastAsia" w:ascii="宋体" w:hAnsi="宋体" w:cs="宋体"/>
                      <w:color w:val="auto"/>
                      <w:sz w:val="18"/>
                      <w:szCs w:val="18"/>
                    </w:rPr>
                    <w:t>补充林地库建设</w:t>
                  </w:r>
                </w:p>
              </w:tc>
              <w:tc>
                <w:tcPr>
                  <w:tcW w:w="1213" w:type="dxa"/>
                  <w:tcBorders>
                    <w:tl2br w:val="nil"/>
                    <w:tr2bl w:val="nil"/>
                  </w:tcBorders>
                  <w:vAlign w:val="center"/>
                </w:tcPr>
                <w:p w14:paraId="6CC2DFEE">
                  <w:pPr>
                    <w:jc w:val="center"/>
                    <w:rPr>
                      <w:rFonts w:ascii="宋体" w:hAnsi="宋体" w:cs="宋体"/>
                      <w:color w:val="auto"/>
                      <w:sz w:val="18"/>
                      <w:szCs w:val="18"/>
                    </w:rPr>
                  </w:pPr>
                  <w:r>
                    <w:rPr>
                      <w:rFonts w:hint="eastAsia" w:ascii="宋体" w:hAnsi="宋体" w:cs="宋体"/>
                      <w:color w:val="auto"/>
                      <w:sz w:val="18"/>
                      <w:szCs w:val="18"/>
                    </w:rPr>
                    <w:t>其他未列明行业</w:t>
                  </w:r>
                </w:p>
              </w:tc>
              <w:tc>
                <w:tcPr>
                  <w:tcW w:w="4257" w:type="dxa"/>
                  <w:tcBorders>
                    <w:tl2br w:val="nil"/>
                    <w:tr2bl w:val="nil"/>
                  </w:tcBorders>
                  <w:vAlign w:val="center"/>
                </w:tcPr>
                <w:p w14:paraId="738A305F">
                  <w:pPr>
                    <w:jc w:val="left"/>
                    <w:rPr>
                      <w:rFonts w:ascii="宋体" w:hAnsi="宋体" w:cs="宋体"/>
                      <w:color w:val="auto"/>
                      <w:sz w:val="18"/>
                      <w:szCs w:val="18"/>
                    </w:rPr>
                  </w:pPr>
                  <w:r>
                    <w:rPr>
                      <w:rFonts w:hint="eastAsia" w:ascii="宋体" w:hAnsi="宋体" w:cs="宋体"/>
                      <w:color w:val="auto"/>
                      <w:sz w:val="18"/>
                      <w:szCs w:val="18"/>
                    </w:rPr>
                    <w:t>从业人员300人以下的为中小微型企业。其中，从业人员100人及以上的为中型企业；从业人员10人及以上的为小型企业；从业人员10人以下的为微型企业。</w:t>
                  </w:r>
                </w:p>
              </w:tc>
            </w:tr>
            <w:tr w14:paraId="27B4E670">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6521" w:type="dxa"/>
                  <w:gridSpan w:val="3"/>
                  <w:tcBorders>
                    <w:tl2br w:val="nil"/>
                    <w:tr2bl w:val="nil"/>
                  </w:tcBorders>
                  <w:vAlign w:val="center"/>
                </w:tcPr>
                <w:p w14:paraId="000E6E65">
                  <w:pPr>
                    <w:jc w:val="left"/>
                    <w:rPr>
                      <w:rFonts w:ascii="宋体" w:hAnsi="宋体" w:cs="宋体"/>
                      <w:color w:val="auto"/>
                      <w:sz w:val="18"/>
                      <w:szCs w:val="18"/>
                    </w:rPr>
                  </w:pPr>
                  <w:r>
                    <w:rPr>
                      <w:rFonts w:hint="eastAsia" w:ascii="宋体" w:hAnsi="宋体" w:cs="宋体"/>
                      <w:color w:val="auto"/>
                      <w:sz w:val="18"/>
                      <w:szCs w:val="18"/>
                    </w:rPr>
                    <w:t>说明：中型企业标准上限即为大型企业标准的下限。</w:t>
                  </w:r>
                </w:p>
              </w:tc>
            </w:tr>
          </w:tbl>
          <w:p w14:paraId="1238E3C4">
            <w:pPr>
              <w:spacing w:line="300" w:lineRule="exact"/>
              <w:jc w:val="left"/>
              <w:rPr>
                <w:rFonts w:ascii="宋体" w:hAnsi="宋体" w:cs="宋体"/>
                <w:color w:val="auto"/>
                <w:sz w:val="24"/>
              </w:rPr>
            </w:pPr>
          </w:p>
        </w:tc>
      </w:tr>
      <w:tr w14:paraId="7279B8B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108" w:type="dxa"/>
            <w:bottom w:w="57" w:type="dxa"/>
            <w:right w:w="108" w:type="dxa"/>
          </w:tblCellMar>
        </w:tblPrEx>
        <w:trPr>
          <w:trHeight w:val="454" w:hRule="atLeast"/>
          <w:jc w:val="center"/>
        </w:trPr>
        <w:tc>
          <w:tcPr>
            <w:tcW w:w="771" w:type="dxa"/>
            <w:tcBorders>
              <w:tl2br w:val="nil"/>
              <w:tr2bl w:val="nil"/>
            </w:tcBorders>
            <w:vAlign w:val="center"/>
          </w:tcPr>
          <w:p w14:paraId="0FA42F86">
            <w:pPr>
              <w:numPr>
                <w:ilvl w:val="0"/>
                <w:numId w:val="5"/>
              </w:numPr>
              <w:spacing w:line="400" w:lineRule="exact"/>
              <w:jc w:val="center"/>
              <w:rPr>
                <w:rFonts w:ascii="宋体" w:hAnsi="宋体" w:cs="宋体"/>
                <w:color w:val="auto"/>
                <w:sz w:val="24"/>
              </w:rPr>
            </w:pPr>
          </w:p>
        </w:tc>
        <w:tc>
          <w:tcPr>
            <w:tcW w:w="1907" w:type="dxa"/>
            <w:tcBorders>
              <w:tl2br w:val="nil"/>
              <w:tr2bl w:val="nil"/>
            </w:tcBorders>
            <w:vAlign w:val="center"/>
          </w:tcPr>
          <w:p w14:paraId="2E7B73EE">
            <w:pPr>
              <w:spacing w:line="300" w:lineRule="exact"/>
              <w:jc w:val="center"/>
              <w:rPr>
                <w:rFonts w:ascii="宋体" w:hAnsi="宋体" w:cs="宋体"/>
                <w:color w:val="auto"/>
                <w:sz w:val="24"/>
              </w:rPr>
            </w:pPr>
            <w:r>
              <w:rPr>
                <w:rFonts w:hint="eastAsia" w:ascii="宋体" w:hAnsi="宋体" w:cs="宋体"/>
                <w:color w:val="auto"/>
                <w:sz w:val="24"/>
              </w:rPr>
              <w:t>落实政府</w:t>
            </w:r>
          </w:p>
          <w:p w14:paraId="556AD7BA">
            <w:pPr>
              <w:spacing w:line="300" w:lineRule="exact"/>
              <w:jc w:val="center"/>
              <w:rPr>
                <w:rFonts w:ascii="宋体" w:hAnsi="宋体" w:cs="宋体"/>
                <w:color w:val="auto"/>
                <w:sz w:val="24"/>
              </w:rPr>
            </w:pPr>
            <w:r>
              <w:rPr>
                <w:rFonts w:hint="eastAsia" w:ascii="宋体" w:hAnsi="宋体" w:cs="宋体"/>
                <w:color w:val="auto"/>
                <w:sz w:val="24"/>
              </w:rPr>
              <w:t>采购政策</w:t>
            </w:r>
          </w:p>
        </w:tc>
        <w:tc>
          <w:tcPr>
            <w:tcW w:w="6956" w:type="dxa"/>
            <w:tcBorders>
              <w:tl2br w:val="nil"/>
              <w:tr2bl w:val="nil"/>
            </w:tcBorders>
            <w:vAlign w:val="center"/>
          </w:tcPr>
          <w:p w14:paraId="6A9D0152">
            <w:pPr>
              <w:spacing w:line="300" w:lineRule="exact"/>
              <w:ind w:firstLine="480" w:firstLineChars="200"/>
              <w:jc w:val="left"/>
              <w:rPr>
                <w:rFonts w:ascii="宋体" w:hAnsi="宋体" w:cs="宋体"/>
                <w:color w:val="auto"/>
              </w:rPr>
            </w:pPr>
            <w:r>
              <w:rPr>
                <w:rFonts w:hint="eastAsia" w:ascii="宋体" w:hAnsi="宋体" w:cs="宋体"/>
                <w:color w:val="auto"/>
                <w:sz w:val="24"/>
              </w:rPr>
              <w:t>详见采购文件第五章</w:t>
            </w:r>
          </w:p>
        </w:tc>
      </w:tr>
      <w:tr w14:paraId="2AFD2C0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108" w:type="dxa"/>
            <w:bottom w:w="57" w:type="dxa"/>
            <w:right w:w="108" w:type="dxa"/>
          </w:tblCellMar>
        </w:tblPrEx>
        <w:trPr>
          <w:trHeight w:val="454" w:hRule="atLeast"/>
          <w:jc w:val="center"/>
        </w:trPr>
        <w:tc>
          <w:tcPr>
            <w:tcW w:w="771" w:type="dxa"/>
            <w:tcBorders>
              <w:tl2br w:val="nil"/>
              <w:tr2bl w:val="nil"/>
            </w:tcBorders>
            <w:vAlign w:val="center"/>
          </w:tcPr>
          <w:p w14:paraId="5E67DFEE">
            <w:pPr>
              <w:numPr>
                <w:ilvl w:val="0"/>
                <w:numId w:val="5"/>
              </w:numPr>
              <w:spacing w:line="400" w:lineRule="exact"/>
              <w:jc w:val="center"/>
              <w:rPr>
                <w:rFonts w:ascii="宋体" w:hAnsi="宋体" w:cs="宋体"/>
                <w:color w:val="auto"/>
                <w:sz w:val="24"/>
              </w:rPr>
            </w:pPr>
          </w:p>
        </w:tc>
        <w:tc>
          <w:tcPr>
            <w:tcW w:w="1907" w:type="dxa"/>
            <w:tcBorders>
              <w:tl2br w:val="nil"/>
              <w:tr2bl w:val="nil"/>
            </w:tcBorders>
            <w:vAlign w:val="center"/>
          </w:tcPr>
          <w:p w14:paraId="42DA8DDC">
            <w:pPr>
              <w:spacing w:line="300" w:lineRule="exact"/>
              <w:jc w:val="center"/>
              <w:rPr>
                <w:rFonts w:ascii="宋体" w:hAnsi="宋体" w:cs="宋体"/>
                <w:color w:val="auto"/>
                <w:sz w:val="24"/>
              </w:rPr>
            </w:pPr>
            <w:r>
              <w:rPr>
                <w:rFonts w:hint="eastAsia" w:ascii="宋体" w:hAnsi="宋体" w:cs="宋体"/>
                <w:color w:val="auto"/>
                <w:sz w:val="24"/>
              </w:rPr>
              <w:t>供应商信用查询</w:t>
            </w:r>
          </w:p>
        </w:tc>
        <w:tc>
          <w:tcPr>
            <w:tcW w:w="6956" w:type="dxa"/>
            <w:tcBorders>
              <w:tl2br w:val="nil"/>
              <w:tr2bl w:val="nil"/>
            </w:tcBorders>
            <w:vAlign w:val="center"/>
          </w:tcPr>
          <w:p w14:paraId="49D5D80A">
            <w:pPr>
              <w:spacing w:line="300" w:lineRule="exact"/>
              <w:ind w:firstLine="480" w:firstLineChars="200"/>
              <w:rPr>
                <w:rFonts w:ascii="宋体" w:hAnsi="宋体" w:cs="宋体"/>
                <w:color w:val="auto"/>
                <w:sz w:val="24"/>
              </w:rPr>
            </w:pPr>
            <w:r>
              <w:rPr>
                <w:rFonts w:hint="eastAsia" w:ascii="宋体" w:hAnsi="宋体" w:cs="宋体"/>
                <w:color w:val="auto"/>
                <w:sz w:val="24"/>
              </w:rPr>
              <w:t>根据《关于在政府采购活动中查询及使用信用记录有关问题的通知》财库[2016]125号的规定：</w:t>
            </w:r>
          </w:p>
          <w:p w14:paraId="03D5401F">
            <w:pPr>
              <w:spacing w:line="300" w:lineRule="exact"/>
              <w:ind w:firstLine="480" w:firstLineChars="200"/>
              <w:rPr>
                <w:rFonts w:ascii="宋体" w:hAnsi="宋体" w:cs="宋体"/>
                <w:color w:val="auto"/>
                <w:sz w:val="24"/>
              </w:rPr>
            </w:pPr>
            <w:r>
              <w:rPr>
                <w:rFonts w:hint="eastAsia" w:ascii="宋体" w:hAnsi="宋体" w:cs="宋体"/>
                <w:color w:val="auto"/>
                <w:sz w:val="24"/>
              </w:rPr>
              <w:t>1.采购人或采购代理机构将对本项目供应商的信用记录进行查询。查询渠道：信用中国网站（</w:t>
            </w:r>
            <w:r>
              <w:rPr>
                <w:color w:val="auto"/>
              </w:rPr>
              <w:fldChar w:fldCharType="begin"/>
            </w:r>
            <w:r>
              <w:rPr>
                <w:color w:val="auto"/>
              </w:rPr>
              <w:instrText xml:space="preserve"> HYPERLINK "http://www.creditchina.gov.cn" </w:instrText>
            </w:r>
            <w:r>
              <w:rPr>
                <w:color w:val="auto"/>
              </w:rPr>
              <w:fldChar w:fldCharType="separate"/>
            </w:r>
            <w:r>
              <w:rPr>
                <w:rStyle w:val="36"/>
                <w:rFonts w:hint="eastAsia" w:ascii="宋体" w:hAnsi="宋体" w:cs="宋体"/>
                <w:color w:val="auto"/>
                <w:sz w:val="24"/>
              </w:rPr>
              <w:t>www.creditchina.gov.cn</w:t>
            </w:r>
            <w:r>
              <w:rPr>
                <w:rStyle w:val="36"/>
                <w:rFonts w:hint="eastAsia" w:ascii="宋体" w:hAnsi="宋体" w:cs="宋体"/>
                <w:color w:val="auto"/>
                <w:sz w:val="24"/>
              </w:rPr>
              <w:fldChar w:fldCharType="end"/>
            </w:r>
            <w:r>
              <w:rPr>
                <w:rFonts w:hint="eastAsia" w:ascii="宋体" w:hAnsi="宋体" w:cs="宋体"/>
                <w:color w:val="auto"/>
                <w:sz w:val="24"/>
              </w:rPr>
              <w:t>）、中国政府采购网（</w:t>
            </w:r>
            <w:r>
              <w:rPr>
                <w:color w:val="auto"/>
              </w:rPr>
              <w:fldChar w:fldCharType="begin"/>
            </w:r>
            <w:r>
              <w:rPr>
                <w:color w:val="auto"/>
              </w:rPr>
              <w:instrText xml:space="preserve"> HYPERLINK "http://www.ccgp.gov.cn" </w:instrText>
            </w:r>
            <w:r>
              <w:rPr>
                <w:color w:val="auto"/>
              </w:rPr>
              <w:fldChar w:fldCharType="separate"/>
            </w:r>
            <w:r>
              <w:rPr>
                <w:rStyle w:val="36"/>
                <w:rFonts w:hint="eastAsia" w:ascii="宋体" w:hAnsi="宋体" w:cs="宋体"/>
                <w:color w:val="auto"/>
                <w:sz w:val="24"/>
              </w:rPr>
              <w:t>www.ccgp.gov.cn</w:t>
            </w:r>
            <w:r>
              <w:rPr>
                <w:rStyle w:val="36"/>
                <w:rFonts w:hint="eastAsia" w:ascii="宋体" w:hAnsi="宋体" w:cs="宋体"/>
                <w:color w:val="auto"/>
                <w:sz w:val="24"/>
              </w:rPr>
              <w:fldChar w:fldCharType="end"/>
            </w:r>
            <w:r>
              <w:rPr>
                <w:rFonts w:hint="eastAsia" w:ascii="宋体" w:hAnsi="宋体" w:cs="宋体"/>
                <w:color w:val="auto"/>
                <w:sz w:val="24"/>
              </w:rPr>
              <w:t>）；</w:t>
            </w:r>
          </w:p>
          <w:p w14:paraId="245F21CD">
            <w:pPr>
              <w:spacing w:line="300" w:lineRule="exact"/>
              <w:ind w:firstLine="480" w:firstLineChars="200"/>
              <w:rPr>
                <w:rFonts w:ascii="宋体" w:hAnsi="宋体" w:cs="宋体"/>
                <w:color w:val="auto"/>
                <w:sz w:val="24"/>
              </w:rPr>
            </w:pPr>
            <w:r>
              <w:rPr>
                <w:rFonts w:hint="eastAsia" w:ascii="宋体" w:hAnsi="宋体" w:cs="宋体"/>
                <w:color w:val="auto"/>
                <w:sz w:val="24"/>
              </w:rPr>
              <w:t>2.信用信息查询截止时点：开标后评标前；</w:t>
            </w:r>
          </w:p>
          <w:p w14:paraId="4C47E88A">
            <w:pPr>
              <w:spacing w:line="300" w:lineRule="exact"/>
              <w:ind w:firstLine="480" w:firstLineChars="200"/>
              <w:rPr>
                <w:rFonts w:ascii="宋体" w:hAnsi="宋体" w:cs="宋体"/>
                <w:color w:val="auto"/>
                <w:sz w:val="24"/>
              </w:rPr>
            </w:pPr>
            <w:r>
              <w:rPr>
                <w:rFonts w:hint="eastAsia" w:ascii="宋体" w:hAnsi="宋体" w:cs="宋体"/>
                <w:color w:val="auto"/>
                <w:sz w:val="24"/>
              </w:rPr>
              <w:t>3.信用信息查询记录和证据留存的具体方式：由采购组织机构在规定查询时间内打印信用信息查询记录并归入项目档案；</w:t>
            </w:r>
          </w:p>
          <w:p w14:paraId="01294D93">
            <w:pPr>
              <w:spacing w:line="300" w:lineRule="exact"/>
              <w:ind w:firstLine="482" w:firstLineChars="200"/>
              <w:rPr>
                <w:rFonts w:ascii="宋体" w:hAnsi="宋体" w:cs="宋体"/>
                <w:color w:val="auto"/>
                <w:sz w:val="24"/>
              </w:rPr>
            </w:pPr>
            <w:r>
              <w:rPr>
                <w:rFonts w:hint="eastAsia" w:ascii="宋体" w:hAnsi="宋体" w:cs="宋体"/>
                <w:b/>
                <w:bCs/>
                <w:color w:val="auto"/>
                <w:sz w:val="24"/>
              </w:rPr>
              <w:t>4.信用信息的使用规则：</w:t>
            </w:r>
            <w:r>
              <w:rPr>
                <w:rFonts w:hint="eastAsia" w:ascii="宋体" w:hAnsi="宋体" w:cs="宋体"/>
                <w:color w:val="auto"/>
                <w:sz w:val="24"/>
              </w:rPr>
              <w:t>对列入失信被执行人、重大税收违法案件当事人名单、政府采购严重违法失信行为记录名单及其他不符合《中华人民共和国政府采购法》第二十二条规定条件的供应商，将被拒绝其参与政府采购活动。</w:t>
            </w:r>
            <w:r>
              <w:rPr>
                <w:rFonts w:hint="eastAsia" w:ascii="宋体" w:hAnsi="宋体" w:cs="宋体"/>
                <w:b/>
                <w:bCs/>
                <w:color w:val="auto"/>
                <w:sz w:val="24"/>
              </w:rPr>
              <w:t>联合体成员任意一方存在不良信用记录的，视同联合体存在不良信用记录。</w:t>
            </w:r>
          </w:p>
        </w:tc>
      </w:tr>
      <w:tr w14:paraId="3D82190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108" w:type="dxa"/>
            <w:bottom w:w="57" w:type="dxa"/>
            <w:right w:w="108" w:type="dxa"/>
          </w:tblCellMar>
        </w:tblPrEx>
        <w:trPr>
          <w:cantSplit/>
          <w:trHeight w:val="454" w:hRule="atLeast"/>
          <w:jc w:val="center"/>
        </w:trPr>
        <w:tc>
          <w:tcPr>
            <w:tcW w:w="771" w:type="dxa"/>
            <w:tcBorders>
              <w:tl2br w:val="nil"/>
              <w:tr2bl w:val="nil"/>
            </w:tcBorders>
            <w:vAlign w:val="center"/>
          </w:tcPr>
          <w:p w14:paraId="533856AF">
            <w:pPr>
              <w:numPr>
                <w:ilvl w:val="0"/>
                <w:numId w:val="5"/>
              </w:numPr>
              <w:spacing w:line="400" w:lineRule="exact"/>
              <w:jc w:val="center"/>
              <w:rPr>
                <w:rFonts w:ascii="宋体" w:hAnsi="宋体" w:cs="宋体"/>
                <w:color w:val="auto"/>
                <w:sz w:val="24"/>
              </w:rPr>
            </w:pPr>
          </w:p>
        </w:tc>
        <w:tc>
          <w:tcPr>
            <w:tcW w:w="1907" w:type="dxa"/>
            <w:tcBorders>
              <w:tl2br w:val="nil"/>
              <w:tr2bl w:val="nil"/>
            </w:tcBorders>
            <w:vAlign w:val="center"/>
          </w:tcPr>
          <w:p w14:paraId="78AA6E5C">
            <w:pPr>
              <w:pStyle w:val="7"/>
              <w:spacing w:line="300" w:lineRule="exact"/>
              <w:jc w:val="center"/>
              <w:rPr>
                <w:rFonts w:hAnsi="宋体" w:cs="宋体"/>
                <w:color w:val="auto"/>
                <w:sz w:val="24"/>
              </w:rPr>
            </w:pPr>
            <w:r>
              <w:rPr>
                <w:rFonts w:hint="eastAsia" w:hAnsi="宋体" w:cs="宋体"/>
                <w:color w:val="auto"/>
                <w:sz w:val="24"/>
              </w:rPr>
              <w:t>中标公告和中标通知书</w:t>
            </w:r>
          </w:p>
        </w:tc>
        <w:tc>
          <w:tcPr>
            <w:tcW w:w="6956" w:type="dxa"/>
            <w:tcBorders>
              <w:tl2br w:val="nil"/>
              <w:tr2bl w:val="nil"/>
            </w:tcBorders>
            <w:vAlign w:val="center"/>
          </w:tcPr>
          <w:p w14:paraId="1B623935">
            <w:pPr>
              <w:spacing w:line="300" w:lineRule="exact"/>
              <w:jc w:val="left"/>
              <w:rPr>
                <w:rFonts w:ascii="宋体" w:hAnsi="宋体" w:cs="宋体"/>
                <w:color w:val="auto"/>
                <w:sz w:val="24"/>
              </w:rPr>
            </w:pPr>
            <w:r>
              <w:rPr>
                <w:rFonts w:hint="eastAsia" w:ascii="宋体" w:hAnsi="宋体" w:cs="宋体"/>
                <w:color w:val="auto"/>
                <w:sz w:val="24"/>
              </w:rPr>
              <w:t>1.中标公告发布网址：浙江政府采购网：</w:t>
            </w:r>
            <w:r>
              <w:rPr>
                <w:color w:val="auto"/>
              </w:rPr>
              <w:fldChar w:fldCharType="begin"/>
            </w:r>
            <w:r>
              <w:rPr>
                <w:color w:val="auto"/>
              </w:rPr>
              <w:instrText xml:space="preserve"> HYPERLINK "http://www.zjzfcg.gov.cn" </w:instrText>
            </w:r>
            <w:r>
              <w:rPr>
                <w:color w:val="auto"/>
              </w:rPr>
              <w:fldChar w:fldCharType="separate"/>
            </w:r>
            <w:r>
              <w:rPr>
                <w:rStyle w:val="36"/>
                <w:rFonts w:hint="eastAsia" w:ascii="宋体" w:hAnsi="宋体" w:cs="宋体"/>
                <w:color w:val="auto"/>
                <w:spacing w:val="-28"/>
                <w:sz w:val="24"/>
              </w:rPr>
              <w:t>http://zfcg.czt.zj.gov.cn/</w:t>
            </w:r>
            <w:r>
              <w:rPr>
                <w:rStyle w:val="36"/>
                <w:rFonts w:hint="eastAsia" w:ascii="宋体" w:hAnsi="宋体" w:cs="宋体"/>
                <w:color w:val="auto"/>
                <w:spacing w:val="-28"/>
                <w:sz w:val="24"/>
              </w:rPr>
              <w:fldChar w:fldCharType="end"/>
            </w:r>
            <w:r>
              <w:rPr>
                <w:rFonts w:hint="eastAsia" w:ascii="宋体" w:hAnsi="宋体" w:cs="宋体"/>
                <w:color w:val="auto"/>
                <w:sz w:val="24"/>
              </w:rPr>
              <w:t>；天台县公共资源交易中心网：</w:t>
            </w:r>
            <w:r>
              <w:rPr>
                <w:rFonts w:hint="eastAsia" w:ascii="宋体" w:hAnsi="宋体" w:cs="宋体"/>
                <w:color w:val="auto"/>
                <w:spacing w:val="-11"/>
                <w:sz w:val="24"/>
              </w:rPr>
              <w:t>http://www.zjtt.gov.cn/col/col1229793705/index.html</w:t>
            </w:r>
            <w:r>
              <w:rPr>
                <w:rFonts w:hint="eastAsia" w:ascii="宋体" w:hAnsi="宋体" w:cs="宋体"/>
                <w:color w:val="auto"/>
                <w:sz w:val="24"/>
              </w:rPr>
              <w:t>；</w:t>
            </w:r>
          </w:p>
          <w:p w14:paraId="4E2BCAA4">
            <w:pPr>
              <w:spacing w:line="300" w:lineRule="exact"/>
              <w:jc w:val="left"/>
              <w:rPr>
                <w:rFonts w:ascii="宋体" w:hAnsi="宋体" w:cs="宋体"/>
                <w:color w:val="auto"/>
                <w:sz w:val="24"/>
              </w:rPr>
            </w:pPr>
            <w:r>
              <w:rPr>
                <w:rFonts w:hint="eastAsia" w:ascii="宋体" w:hAnsi="宋体" w:cs="宋体"/>
                <w:b/>
                <w:bCs/>
                <w:color w:val="auto"/>
                <w:sz w:val="24"/>
              </w:rPr>
              <w:t>2.中标公告期限为1个工作日，中标公告的同时发出中标通知书。</w:t>
            </w:r>
          </w:p>
        </w:tc>
      </w:tr>
      <w:tr w14:paraId="01AC31C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108" w:type="dxa"/>
            <w:bottom w:w="57" w:type="dxa"/>
            <w:right w:w="108" w:type="dxa"/>
          </w:tblCellMar>
        </w:tblPrEx>
        <w:trPr>
          <w:cantSplit/>
          <w:trHeight w:val="454" w:hRule="atLeast"/>
          <w:jc w:val="center"/>
        </w:trPr>
        <w:tc>
          <w:tcPr>
            <w:tcW w:w="771" w:type="dxa"/>
            <w:tcBorders>
              <w:tl2br w:val="nil"/>
              <w:tr2bl w:val="nil"/>
            </w:tcBorders>
            <w:vAlign w:val="center"/>
          </w:tcPr>
          <w:p w14:paraId="52B54802">
            <w:pPr>
              <w:numPr>
                <w:ilvl w:val="0"/>
                <w:numId w:val="5"/>
              </w:numPr>
              <w:spacing w:line="400" w:lineRule="exact"/>
              <w:jc w:val="center"/>
              <w:rPr>
                <w:rFonts w:ascii="宋体" w:hAnsi="宋体" w:cs="宋体"/>
                <w:color w:val="auto"/>
                <w:sz w:val="24"/>
              </w:rPr>
            </w:pPr>
          </w:p>
        </w:tc>
        <w:tc>
          <w:tcPr>
            <w:tcW w:w="1907" w:type="dxa"/>
            <w:tcBorders>
              <w:tl2br w:val="nil"/>
              <w:tr2bl w:val="nil"/>
            </w:tcBorders>
            <w:vAlign w:val="center"/>
          </w:tcPr>
          <w:p w14:paraId="306A90D7">
            <w:pPr>
              <w:spacing w:line="300" w:lineRule="exact"/>
              <w:jc w:val="center"/>
              <w:rPr>
                <w:rFonts w:ascii="宋体" w:hAnsi="宋体" w:cs="宋体"/>
                <w:color w:val="auto"/>
                <w:sz w:val="24"/>
              </w:rPr>
            </w:pPr>
            <w:r>
              <w:rPr>
                <w:rFonts w:hint="eastAsia" w:ascii="宋体" w:hAnsi="宋体" w:cs="宋体"/>
                <w:color w:val="auto"/>
                <w:sz w:val="24"/>
              </w:rPr>
              <w:t>合同签订</w:t>
            </w:r>
          </w:p>
        </w:tc>
        <w:tc>
          <w:tcPr>
            <w:tcW w:w="6956" w:type="dxa"/>
            <w:tcBorders>
              <w:tl2br w:val="nil"/>
              <w:tr2bl w:val="nil"/>
            </w:tcBorders>
            <w:vAlign w:val="center"/>
          </w:tcPr>
          <w:p w14:paraId="30926043">
            <w:pPr>
              <w:pStyle w:val="7"/>
              <w:spacing w:line="300" w:lineRule="exact"/>
              <w:ind w:firstLine="240" w:firstLineChars="100"/>
              <w:rPr>
                <w:rFonts w:hAnsi="宋体" w:cs="宋体"/>
                <w:b/>
                <w:bCs/>
                <w:color w:val="auto"/>
                <w:sz w:val="24"/>
              </w:rPr>
            </w:pPr>
            <w:r>
              <w:rPr>
                <w:rFonts w:hint="eastAsia" w:hAnsi="宋体" w:cs="宋体"/>
                <w:color w:val="auto"/>
                <w:sz w:val="24"/>
              </w:rPr>
              <w:t>1.采购人应当自中标通知书发出之日起30日内，按照招标文件和中标人投标文件的规定，与中标人签订书面合同。</w:t>
            </w:r>
            <w:r>
              <w:rPr>
                <w:rFonts w:hint="eastAsia" w:hAnsi="宋体" w:cs="宋体"/>
                <w:b/>
                <w:bCs/>
                <w:color w:val="auto"/>
                <w:sz w:val="24"/>
              </w:rPr>
              <w:t>（鼓励有条件的中标人视情缩减采购合同签订时限，提高采购效率，除特殊情况外，原则上应当在中标通知书发出之日起</w:t>
            </w:r>
            <w:r>
              <w:rPr>
                <w:rFonts w:hint="eastAsia" w:hAnsi="宋体" w:cs="宋体"/>
                <w:b/>
                <w:bCs/>
                <w:color w:val="auto"/>
                <w:sz w:val="24"/>
                <w:u w:val="single"/>
              </w:rPr>
              <w:t>15日</w:t>
            </w:r>
            <w:r>
              <w:rPr>
                <w:rFonts w:hint="eastAsia" w:hAnsi="宋体" w:cs="宋体"/>
                <w:b/>
                <w:bCs/>
                <w:color w:val="auto"/>
                <w:sz w:val="24"/>
              </w:rPr>
              <w:t>内签订合同。）</w:t>
            </w:r>
          </w:p>
          <w:p w14:paraId="071A7AF9">
            <w:pPr>
              <w:pStyle w:val="8"/>
              <w:ind w:left="0" w:leftChars="0"/>
              <w:rPr>
                <w:color w:val="auto"/>
              </w:rPr>
            </w:pPr>
            <w:r>
              <w:rPr>
                <w:rFonts w:hint="eastAsia"/>
                <w:color w:val="auto"/>
              </w:rPr>
              <w:t xml:space="preserve"> </w:t>
            </w:r>
            <w:r>
              <w:rPr>
                <w:rFonts w:hint="eastAsia" w:ascii="宋体" w:hAnsi="宋体" w:cs="宋体"/>
                <w:color w:val="auto"/>
                <w:sz w:val="24"/>
              </w:rPr>
              <w:t xml:space="preserve"> 2.中标人需在领取中标通知书时，提供本项目纸质投标文件（资格文件、商务技术文件、报价文件）三套，并在合同签订完成当天将合同扫描件发送至采购代理机构指定邮箱。</w:t>
            </w:r>
          </w:p>
        </w:tc>
      </w:tr>
      <w:tr w14:paraId="289456C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108" w:type="dxa"/>
            <w:bottom w:w="57" w:type="dxa"/>
            <w:right w:w="108" w:type="dxa"/>
          </w:tblCellMar>
        </w:tblPrEx>
        <w:trPr>
          <w:trHeight w:val="454" w:hRule="atLeast"/>
          <w:jc w:val="center"/>
        </w:trPr>
        <w:tc>
          <w:tcPr>
            <w:tcW w:w="771" w:type="dxa"/>
            <w:tcBorders>
              <w:tl2br w:val="nil"/>
              <w:tr2bl w:val="nil"/>
            </w:tcBorders>
            <w:vAlign w:val="center"/>
          </w:tcPr>
          <w:p w14:paraId="679363D5">
            <w:pPr>
              <w:numPr>
                <w:ilvl w:val="0"/>
                <w:numId w:val="5"/>
              </w:numPr>
              <w:spacing w:line="400" w:lineRule="exact"/>
              <w:jc w:val="center"/>
              <w:rPr>
                <w:rFonts w:ascii="宋体" w:hAnsi="宋体" w:cs="宋体"/>
                <w:color w:val="auto"/>
                <w:sz w:val="24"/>
              </w:rPr>
            </w:pPr>
          </w:p>
        </w:tc>
        <w:tc>
          <w:tcPr>
            <w:tcW w:w="1907" w:type="dxa"/>
            <w:tcBorders>
              <w:tl2br w:val="nil"/>
              <w:tr2bl w:val="nil"/>
            </w:tcBorders>
            <w:vAlign w:val="center"/>
          </w:tcPr>
          <w:p w14:paraId="151AC5DE">
            <w:pPr>
              <w:spacing w:line="300" w:lineRule="exact"/>
              <w:jc w:val="center"/>
              <w:rPr>
                <w:rFonts w:ascii="宋体" w:hAnsi="宋体" w:cs="宋体"/>
                <w:color w:val="auto"/>
                <w:sz w:val="24"/>
              </w:rPr>
            </w:pPr>
            <w:r>
              <w:rPr>
                <w:rFonts w:hint="eastAsia" w:ascii="宋体" w:hAnsi="宋体" w:cs="宋体"/>
                <w:color w:val="auto"/>
                <w:sz w:val="24"/>
              </w:rPr>
              <w:t>答疑与澄清</w:t>
            </w:r>
          </w:p>
        </w:tc>
        <w:tc>
          <w:tcPr>
            <w:tcW w:w="6956" w:type="dxa"/>
            <w:tcBorders>
              <w:tl2br w:val="nil"/>
              <w:tr2bl w:val="nil"/>
            </w:tcBorders>
            <w:vAlign w:val="center"/>
          </w:tcPr>
          <w:p w14:paraId="7C311C8A">
            <w:pPr>
              <w:spacing w:line="300" w:lineRule="exact"/>
              <w:ind w:firstLine="240" w:firstLineChars="100"/>
              <w:rPr>
                <w:rFonts w:ascii="宋体" w:hAnsi="宋体" w:cs="宋体"/>
                <w:color w:val="auto"/>
                <w:sz w:val="24"/>
              </w:rPr>
            </w:pPr>
            <w:r>
              <w:rPr>
                <w:rFonts w:hint="eastAsia" w:ascii="宋体" w:hAnsi="宋体" w:cs="宋体"/>
                <w:color w:val="auto"/>
                <w:sz w:val="24"/>
              </w:rPr>
              <w:t>1.供应商依法获取采购文件后认为采购文件使自己的权益受到损害的，可以自获取采购文件之日或者采购文件公告期限届满之日（公告发布后的第6个工作日）起7个工作日内，以书面形式向采购人和采购代理机构提出质疑。采购人和采购代理机构将在规定时间前进行答疑与澄清。</w:t>
            </w:r>
          </w:p>
          <w:p w14:paraId="7694F3A0">
            <w:pPr>
              <w:spacing w:line="300" w:lineRule="exact"/>
              <w:ind w:firstLine="240" w:firstLineChars="100"/>
              <w:rPr>
                <w:rFonts w:ascii="宋体" w:hAnsi="宋体" w:cs="宋体"/>
                <w:color w:val="auto"/>
                <w:sz w:val="24"/>
              </w:rPr>
            </w:pPr>
            <w:r>
              <w:rPr>
                <w:rFonts w:hint="eastAsia" w:ascii="宋体" w:hAnsi="宋体" w:cs="宋体"/>
                <w:color w:val="auto"/>
                <w:sz w:val="24"/>
              </w:rPr>
              <w:t>2.供应商一旦参与本次采购活动，即被视为接受了本采购文件的所有内容，如有任何异议，均应在答疑截止时间前提出。</w:t>
            </w:r>
          </w:p>
        </w:tc>
      </w:tr>
      <w:tr w14:paraId="5A5362A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108" w:type="dxa"/>
            <w:bottom w:w="57" w:type="dxa"/>
            <w:right w:w="108" w:type="dxa"/>
          </w:tblCellMar>
        </w:tblPrEx>
        <w:trPr>
          <w:trHeight w:val="454" w:hRule="atLeast"/>
          <w:jc w:val="center"/>
        </w:trPr>
        <w:tc>
          <w:tcPr>
            <w:tcW w:w="771" w:type="dxa"/>
            <w:tcBorders>
              <w:tl2br w:val="nil"/>
              <w:tr2bl w:val="nil"/>
            </w:tcBorders>
            <w:vAlign w:val="center"/>
          </w:tcPr>
          <w:p w14:paraId="59787039">
            <w:pPr>
              <w:numPr>
                <w:ilvl w:val="0"/>
                <w:numId w:val="5"/>
              </w:numPr>
              <w:spacing w:line="400" w:lineRule="exact"/>
              <w:jc w:val="center"/>
              <w:rPr>
                <w:rFonts w:ascii="宋体" w:hAnsi="宋体" w:cs="宋体"/>
                <w:color w:val="auto"/>
                <w:sz w:val="24"/>
              </w:rPr>
            </w:pPr>
          </w:p>
        </w:tc>
        <w:tc>
          <w:tcPr>
            <w:tcW w:w="1907" w:type="dxa"/>
            <w:tcBorders>
              <w:tl2br w:val="nil"/>
              <w:tr2bl w:val="nil"/>
            </w:tcBorders>
            <w:vAlign w:val="center"/>
          </w:tcPr>
          <w:p w14:paraId="0B26871C">
            <w:pPr>
              <w:spacing w:line="300" w:lineRule="exact"/>
              <w:jc w:val="center"/>
              <w:rPr>
                <w:rFonts w:ascii="宋体" w:hAnsi="宋体" w:cs="宋体"/>
                <w:color w:val="auto"/>
                <w:sz w:val="24"/>
              </w:rPr>
            </w:pPr>
            <w:r>
              <w:rPr>
                <w:rFonts w:hint="eastAsia" w:ascii="宋体" w:hAnsi="宋体" w:cs="宋体"/>
                <w:color w:val="auto"/>
                <w:sz w:val="24"/>
              </w:rPr>
              <w:t>信用融资</w:t>
            </w:r>
          </w:p>
        </w:tc>
        <w:tc>
          <w:tcPr>
            <w:tcW w:w="6956" w:type="dxa"/>
            <w:tcBorders>
              <w:tl2br w:val="nil"/>
              <w:tr2bl w:val="nil"/>
            </w:tcBorders>
            <w:vAlign w:val="center"/>
          </w:tcPr>
          <w:p w14:paraId="711966DC">
            <w:pPr>
              <w:spacing w:line="300" w:lineRule="exact"/>
              <w:ind w:firstLine="240" w:firstLineChars="100"/>
              <w:rPr>
                <w:rFonts w:ascii="宋体" w:hAnsi="宋体" w:cs="宋体"/>
                <w:color w:val="auto"/>
                <w:sz w:val="24"/>
              </w:rPr>
            </w:pPr>
            <w:r>
              <w:rPr>
                <w:rFonts w:hint="eastAsia" w:ascii="宋体" w:hAnsi="宋体" w:cs="宋体"/>
                <w:color w:val="auto"/>
                <w:sz w:val="24"/>
              </w:rPr>
              <w:t>1.为支持和促进中小企业发展，进一步发挥政府采购政策功能，中标供应商若有融资意向，可点击“政采云平台”-金融服务模块查看信用融资政策文件及各相关银行服务方案，使用以下银行的政采贷（或政采保）等服务。</w:t>
            </w:r>
          </w:p>
          <w:p w14:paraId="0D59358B">
            <w:pPr>
              <w:spacing w:line="300" w:lineRule="exact"/>
              <w:ind w:firstLine="180" w:firstLineChars="100"/>
              <w:rPr>
                <w:rFonts w:ascii="宋体" w:hAnsi="宋体" w:cs="宋体"/>
                <w:color w:val="auto"/>
                <w:sz w:val="18"/>
                <w:szCs w:val="18"/>
              </w:rPr>
            </w:pPr>
            <w:r>
              <w:rPr>
                <w:rFonts w:hint="eastAsia" w:ascii="宋体" w:hAnsi="宋体" w:cs="宋体"/>
                <w:color w:val="auto"/>
                <w:sz w:val="18"/>
                <w:szCs w:val="18"/>
              </w:rPr>
              <w:t>附：政采贷联系方式：</w:t>
            </w:r>
          </w:p>
          <w:tbl>
            <w:tblPr>
              <w:tblStyle w:val="32"/>
              <w:tblW w:w="6366"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2408"/>
              <w:gridCol w:w="1275"/>
              <w:gridCol w:w="1103"/>
              <w:gridCol w:w="1580"/>
            </w:tblGrid>
            <w:tr w14:paraId="5B0EE454">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408" w:type="dxa"/>
                  <w:tcBorders>
                    <w:tl2br w:val="nil"/>
                    <w:tr2bl w:val="nil"/>
                  </w:tcBorders>
                  <w:vAlign w:val="center"/>
                </w:tcPr>
                <w:p w14:paraId="666F10EB">
                  <w:pPr>
                    <w:spacing w:line="300" w:lineRule="exact"/>
                    <w:jc w:val="center"/>
                    <w:rPr>
                      <w:rFonts w:ascii="宋体" w:hAnsi="宋体" w:cs="宋体"/>
                      <w:color w:val="auto"/>
                      <w:sz w:val="18"/>
                      <w:szCs w:val="18"/>
                    </w:rPr>
                  </w:pPr>
                  <w:r>
                    <w:rPr>
                      <w:rFonts w:hint="eastAsia" w:ascii="宋体" w:hAnsi="宋体" w:cs="宋体"/>
                      <w:color w:val="auto"/>
                      <w:sz w:val="18"/>
                      <w:szCs w:val="18"/>
                    </w:rPr>
                    <w:t>合作银行</w:t>
                  </w:r>
                </w:p>
              </w:tc>
              <w:tc>
                <w:tcPr>
                  <w:tcW w:w="1275" w:type="dxa"/>
                  <w:tcBorders>
                    <w:tl2br w:val="nil"/>
                    <w:tr2bl w:val="nil"/>
                  </w:tcBorders>
                  <w:vAlign w:val="center"/>
                </w:tcPr>
                <w:p w14:paraId="3B6B9B4C">
                  <w:pPr>
                    <w:spacing w:line="300" w:lineRule="exact"/>
                    <w:jc w:val="center"/>
                    <w:rPr>
                      <w:rFonts w:ascii="宋体" w:hAnsi="宋体" w:cs="宋体"/>
                      <w:color w:val="auto"/>
                      <w:sz w:val="18"/>
                      <w:szCs w:val="18"/>
                    </w:rPr>
                  </w:pPr>
                  <w:r>
                    <w:rPr>
                      <w:rFonts w:hint="eastAsia" w:ascii="宋体" w:hAnsi="宋体" w:cs="宋体"/>
                      <w:color w:val="auto"/>
                      <w:sz w:val="18"/>
                      <w:szCs w:val="18"/>
                    </w:rPr>
                    <w:t>贷款年利率</w:t>
                  </w:r>
                </w:p>
              </w:tc>
              <w:tc>
                <w:tcPr>
                  <w:tcW w:w="1103" w:type="dxa"/>
                  <w:tcBorders>
                    <w:tl2br w:val="nil"/>
                    <w:tr2bl w:val="nil"/>
                  </w:tcBorders>
                  <w:vAlign w:val="center"/>
                </w:tcPr>
                <w:p w14:paraId="140865AA">
                  <w:pPr>
                    <w:spacing w:line="300" w:lineRule="exact"/>
                    <w:jc w:val="center"/>
                    <w:rPr>
                      <w:rFonts w:ascii="宋体" w:hAnsi="宋体" w:cs="宋体"/>
                      <w:color w:val="auto"/>
                      <w:sz w:val="18"/>
                      <w:szCs w:val="18"/>
                    </w:rPr>
                  </w:pPr>
                  <w:r>
                    <w:rPr>
                      <w:rFonts w:hint="eastAsia" w:ascii="宋体" w:hAnsi="宋体" w:cs="宋体"/>
                      <w:color w:val="auto"/>
                      <w:sz w:val="18"/>
                      <w:szCs w:val="18"/>
                    </w:rPr>
                    <w:t>联系人</w:t>
                  </w:r>
                </w:p>
              </w:tc>
              <w:tc>
                <w:tcPr>
                  <w:tcW w:w="1580" w:type="dxa"/>
                  <w:tcBorders>
                    <w:tl2br w:val="nil"/>
                    <w:tr2bl w:val="nil"/>
                  </w:tcBorders>
                  <w:vAlign w:val="center"/>
                </w:tcPr>
                <w:p w14:paraId="144BECE4">
                  <w:pPr>
                    <w:spacing w:line="300" w:lineRule="exact"/>
                    <w:jc w:val="center"/>
                    <w:rPr>
                      <w:rFonts w:ascii="宋体" w:hAnsi="宋体" w:cs="宋体"/>
                      <w:color w:val="auto"/>
                      <w:sz w:val="18"/>
                      <w:szCs w:val="18"/>
                    </w:rPr>
                  </w:pPr>
                  <w:r>
                    <w:rPr>
                      <w:rFonts w:hint="eastAsia" w:ascii="宋体" w:hAnsi="宋体" w:cs="宋体"/>
                      <w:color w:val="auto"/>
                      <w:sz w:val="18"/>
                      <w:szCs w:val="18"/>
                    </w:rPr>
                    <w:t>电话</w:t>
                  </w:r>
                </w:p>
              </w:tc>
            </w:tr>
            <w:tr w14:paraId="28234FBB">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408" w:type="dxa"/>
                  <w:tcBorders>
                    <w:tl2br w:val="nil"/>
                    <w:tr2bl w:val="nil"/>
                  </w:tcBorders>
                  <w:vAlign w:val="center"/>
                </w:tcPr>
                <w:p w14:paraId="44D92B5E">
                  <w:pPr>
                    <w:jc w:val="center"/>
                    <w:rPr>
                      <w:rFonts w:ascii="宋体" w:hAnsi="宋体" w:cs="宋体"/>
                      <w:color w:val="auto"/>
                      <w:sz w:val="18"/>
                      <w:szCs w:val="18"/>
                    </w:rPr>
                  </w:pPr>
                  <w:r>
                    <w:rPr>
                      <w:rFonts w:hint="eastAsia" w:ascii="宋体" w:hAnsi="宋体" w:cs="宋体"/>
                      <w:color w:val="auto"/>
                      <w:sz w:val="18"/>
                      <w:szCs w:val="18"/>
                    </w:rPr>
                    <w:t>中国农业银行股份有限公司天台县支行</w:t>
                  </w:r>
                </w:p>
              </w:tc>
              <w:tc>
                <w:tcPr>
                  <w:tcW w:w="1275" w:type="dxa"/>
                  <w:tcBorders>
                    <w:tl2br w:val="nil"/>
                    <w:tr2bl w:val="nil"/>
                  </w:tcBorders>
                  <w:vAlign w:val="center"/>
                </w:tcPr>
                <w:p w14:paraId="3B603BC2">
                  <w:pPr>
                    <w:jc w:val="center"/>
                    <w:rPr>
                      <w:rFonts w:ascii="宋体" w:hAnsi="宋体" w:cs="宋体"/>
                      <w:color w:val="auto"/>
                      <w:sz w:val="18"/>
                      <w:szCs w:val="18"/>
                    </w:rPr>
                  </w:pPr>
                  <w:r>
                    <w:rPr>
                      <w:rFonts w:hint="eastAsia" w:ascii="宋体" w:hAnsi="宋体" w:cs="宋体"/>
                      <w:color w:val="auto"/>
                      <w:sz w:val="18"/>
                      <w:szCs w:val="18"/>
                    </w:rPr>
                    <w:t>3.8%起</w:t>
                  </w:r>
                </w:p>
              </w:tc>
              <w:tc>
                <w:tcPr>
                  <w:tcW w:w="1103" w:type="dxa"/>
                  <w:tcBorders>
                    <w:tl2br w:val="nil"/>
                    <w:tr2bl w:val="nil"/>
                  </w:tcBorders>
                  <w:vAlign w:val="center"/>
                </w:tcPr>
                <w:p w14:paraId="74C59D16">
                  <w:pPr>
                    <w:jc w:val="center"/>
                    <w:rPr>
                      <w:rFonts w:ascii="宋体" w:hAnsi="宋体" w:cs="宋体"/>
                      <w:color w:val="auto"/>
                      <w:sz w:val="18"/>
                      <w:szCs w:val="18"/>
                    </w:rPr>
                  </w:pPr>
                  <w:r>
                    <w:rPr>
                      <w:rFonts w:hint="eastAsia" w:ascii="宋体" w:hAnsi="宋体" w:cs="宋体"/>
                      <w:color w:val="auto"/>
                      <w:sz w:val="18"/>
                      <w:szCs w:val="18"/>
                    </w:rPr>
                    <w:t>章泳</w:t>
                  </w:r>
                </w:p>
              </w:tc>
              <w:tc>
                <w:tcPr>
                  <w:tcW w:w="1580" w:type="dxa"/>
                  <w:tcBorders>
                    <w:tl2br w:val="nil"/>
                    <w:tr2bl w:val="nil"/>
                  </w:tcBorders>
                  <w:vAlign w:val="center"/>
                </w:tcPr>
                <w:p w14:paraId="40E4B9DD">
                  <w:pPr>
                    <w:jc w:val="center"/>
                    <w:rPr>
                      <w:rFonts w:ascii="宋体" w:hAnsi="宋体" w:cs="宋体"/>
                      <w:color w:val="auto"/>
                      <w:sz w:val="18"/>
                      <w:szCs w:val="18"/>
                    </w:rPr>
                  </w:pPr>
                  <w:r>
                    <w:rPr>
                      <w:rFonts w:hint="eastAsia" w:ascii="宋体" w:hAnsi="宋体" w:cs="宋体"/>
                      <w:color w:val="auto"/>
                      <w:sz w:val="18"/>
                      <w:szCs w:val="18"/>
                    </w:rPr>
                    <w:t>18267658216</w:t>
                  </w:r>
                </w:p>
              </w:tc>
            </w:tr>
            <w:tr w14:paraId="26DBB4A5">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408" w:type="dxa"/>
                  <w:tcBorders>
                    <w:tl2br w:val="nil"/>
                    <w:tr2bl w:val="nil"/>
                  </w:tcBorders>
                  <w:vAlign w:val="center"/>
                </w:tcPr>
                <w:p w14:paraId="30223F87">
                  <w:pPr>
                    <w:jc w:val="center"/>
                    <w:rPr>
                      <w:rFonts w:ascii="宋体" w:hAnsi="宋体" w:cs="宋体"/>
                      <w:color w:val="auto"/>
                      <w:sz w:val="18"/>
                      <w:szCs w:val="18"/>
                    </w:rPr>
                  </w:pPr>
                  <w:r>
                    <w:rPr>
                      <w:rFonts w:hint="eastAsia" w:ascii="宋体" w:hAnsi="宋体" w:cs="宋体"/>
                      <w:color w:val="auto"/>
                      <w:sz w:val="18"/>
                      <w:szCs w:val="18"/>
                    </w:rPr>
                    <w:t>中国建设银行股份有限公司天台支行</w:t>
                  </w:r>
                </w:p>
              </w:tc>
              <w:tc>
                <w:tcPr>
                  <w:tcW w:w="1275" w:type="dxa"/>
                  <w:tcBorders>
                    <w:tl2br w:val="nil"/>
                    <w:tr2bl w:val="nil"/>
                  </w:tcBorders>
                  <w:vAlign w:val="center"/>
                </w:tcPr>
                <w:p w14:paraId="7625DDFF">
                  <w:pPr>
                    <w:jc w:val="center"/>
                    <w:rPr>
                      <w:rFonts w:ascii="宋体" w:hAnsi="宋体" w:cs="宋体"/>
                      <w:color w:val="auto"/>
                      <w:sz w:val="18"/>
                      <w:szCs w:val="18"/>
                    </w:rPr>
                  </w:pPr>
                  <w:r>
                    <w:rPr>
                      <w:rFonts w:hint="eastAsia" w:ascii="宋体" w:hAnsi="宋体" w:cs="宋体"/>
                      <w:color w:val="auto"/>
                      <w:sz w:val="18"/>
                      <w:szCs w:val="18"/>
                    </w:rPr>
                    <w:t>3.35%起</w:t>
                  </w:r>
                </w:p>
              </w:tc>
              <w:tc>
                <w:tcPr>
                  <w:tcW w:w="1103" w:type="dxa"/>
                  <w:tcBorders>
                    <w:tl2br w:val="nil"/>
                    <w:tr2bl w:val="nil"/>
                  </w:tcBorders>
                  <w:vAlign w:val="center"/>
                </w:tcPr>
                <w:p w14:paraId="40F370FF">
                  <w:pPr>
                    <w:jc w:val="center"/>
                    <w:rPr>
                      <w:rFonts w:ascii="宋体" w:hAnsi="宋体" w:cs="宋体"/>
                      <w:color w:val="auto"/>
                      <w:sz w:val="18"/>
                      <w:szCs w:val="18"/>
                    </w:rPr>
                  </w:pPr>
                  <w:r>
                    <w:rPr>
                      <w:rFonts w:hint="eastAsia" w:ascii="宋体" w:hAnsi="宋体" w:cs="宋体"/>
                      <w:color w:val="auto"/>
                      <w:sz w:val="18"/>
                      <w:szCs w:val="18"/>
                    </w:rPr>
                    <w:t>蒋晓峰</w:t>
                  </w:r>
                </w:p>
              </w:tc>
              <w:tc>
                <w:tcPr>
                  <w:tcW w:w="1580" w:type="dxa"/>
                  <w:tcBorders>
                    <w:tl2br w:val="nil"/>
                    <w:tr2bl w:val="nil"/>
                  </w:tcBorders>
                  <w:vAlign w:val="center"/>
                </w:tcPr>
                <w:p w14:paraId="0A0F4C96">
                  <w:pPr>
                    <w:jc w:val="center"/>
                    <w:rPr>
                      <w:rFonts w:ascii="宋体" w:hAnsi="宋体" w:cs="宋体"/>
                      <w:color w:val="auto"/>
                      <w:sz w:val="18"/>
                      <w:szCs w:val="18"/>
                    </w:rPr>
                  </w:pPr>
                  <w:r>
                    <w:rPr>
                      <w:rFonts w:hint="eastAsia" w:ascii="宋体" w:hAnsi="宋体" w:cs="宋体"/>
                      <w:color w:val="auto"/>
                      <w:sz w:val="18"/>
                      <w:szCs w:val="18"/>
                    </w:rPr>
                    <w:t>13968595968</w:t>
                  </w:r>
                </w:p>
              </w:tc>
            </w:tr>
            <w:tr w14:paraId="588652E3">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408" w:type="dxa"/>
                  <w:tcBorders>
                    <w:tl2br w:val="nil"/>
                    <w:tr2bl w:val="nil"/>
                  </w:tcBorders>
                  <w:vAlign w:val="center"/>
                </w:tcPr>
                <w:p w14:paraId="4C5C11EE">
                  <w:pPr>
                    <w:jc w:val="center"/>
                    <w:rPr>
                      <w:rFonts w:ascii="宋体" w:hAnsi="宋体" w:cs="宋体"/>
                      <w:color w:val="auto"/>
                      <w:sz w:val="18"/>
                      <w:szCs w:val="18"/>
                    </w:rPr>
                  </w:pPr>
                  <w:r>
                    <w:rPr>
                      <w:rFonts w:hint="eastAsia" w:ascii="宋体" w:hAnsi="宋体" w:cs="宋体"/>
                      <w:color w:val="auto"/>
                      <w:sz w:val="18"/>
                      <w:szCs w:val="18"/>
                    </w:rPr>
                    <w:t>中国工商银行股份有限公司天台支行</w:t>
                  </w:r>
                </w:p>
              </w:tc>
              <w:tc>
                <w:tcPr>
                  <w:tcW w:w="1275" w:type="dxa"/>
                  <w:tcBorders>
                    <w:tl2br w:val="nil"/>
                    <w:tr2bl w:val="nil"/>
                  </w:tcBorders>
                  <w:vAlign w:val="center"/>
                </w:tcPr>
                <w:p w14:paraId="2BF532CB">
                  <w:pPr>
                    <w:jc w:val="center"/>
                    <w:rPr>
                      <w:rFonts w:ascii="宋体" w:hAnsi="宋体" w:cs="宋体"/>
                      <w:color w:val="auto"/>
                      <w:sz w:val="18"/>
                      <w:szCs w:val="18"/>
                    </w:rPr>
                  </w:pPr>
                  <w:r>
                    <w:rPr>
                      <w:rFonts w:hint="eastAsia" w:ascii="宋体" w:hAnsi="宋体" w:cs="宋体"/>
                      <w:color w:val="auto"/>
                      <w:sz w:val="18"/>
                      <w:szCs w:val="18"/>
                    </w:rPr>
                    <w:t>4.5%起</w:t>
                  </w:r>
                </w:p>
              </w:tc>
              <w:tc>
                <w:tcPr>
                  <w:tcW w:w="1103" w:type="dxa"/>
                  <w:tcBorders>
                    <w:tl2br w:val="nil"/>
                    <w:tr2bl w:val="nil"/>
                  </w:tcBorders>
                  <w:vAlign w:val="center"/>
                </w:tcPr>
                <w:p w14:paraId="12471924">
                  <w:pPr>
                    <w:jc w:val="center"/>
                    <w:rPr>
                      <w:rFonts w:ascii="宋体" w:hAnsi="宋体" w:cs="宋体"/>
                      <w:color w:val="auto"/>
                      <w:sz w:val="18"/>
                      <w:szCs w:val="18"/>
                    </w:rPr>
                  </w:pPr>
                  <w:r>
                    <w:rPr>
                      <w:rFonts w:hint="eastAsia" w:ascii="宋体" w:hAnsi="宋体" w:cs="宋体"/>
                      <w:color w:val="auto"/>
                      <w:sz w:val="18"/>
                      <w:szCs w:val="18"/>
                    </w:rPr>
                    <w:t>洪文强</w:t>
                  </w:r>
                </w:p>
              </w:tc>
              <w:tc>
                <w:tcPr>
                  <w:tcW w:w="1580" w:type="dxa"/>
                  <w:tcBorders>
                    <w:tl2br w:val="nil"/>
                    <w:tr2bl w:val="nil"/>
                  </w:tcBorders>
                  <w:vAlign w:val="center"/>
                </w:tcPr>
                <w:p w14:paraId="130599B7">
                  <w:pPr>
                    <w:jc w:val="center"/>
                    <w:rPr>
                      <w:rFonts w:ascii="宋体" w:hAnsi="宋体" w:cs="宋体"/>
                      <w:color w:val="auto"/>
                      <w:sz w:val="18"/>
                      <w:szCs w:val="18"/>
                    </w:rPr>
                  </w:pPr>
                  <w:r>
                    <w:rPr>
                      <w:rFonts w:hint="eastAsia" w:ascii="宋体" w:hAnsi="宋体" w:cs="宋体"/>
                      <w:color w:val="auto"/>
                      <w:sz w:val="18"/>
                      <w:szCs w:val="18"/>
                    </w:rPr>
                    <w:t>0576-83815605</w:t>
                  </w:r>
                </w:p>
              </w:tc>
            </w:tr>
          </w:tbl>
          <w:p w14:paraId="44521FAA">
            <w:pPr>
              <w:spacing w:line="300" w:lineRule="exact"/>
              <w:ind w:firstLine="180" w:firstLineChars="100"/>
              <w:rPr>
                <w:rFonts w:ascii="宋体" w:hAnsi="宋体" w:cs="宋体"/>
                <w:color w:val="auto"/>
                <w:sz w:val="18"/>
                <w:szCs w:val="18"/>
              </w:rPr>
            </w:pPr>
            <w:r>
              <w:rPr>
                <w:rFonts w:hint="eastAsia" w:ascii="宋体" w:hAnsi="宋体" w:cs="宋体"/>
                <w:color w:val="auto"/>
                <w:sz w:val="18"/>
                <w:szCs w:val="18"/>
              </w:rPr>
              <w:t>政采保联系方式：</w:t>
            </w:r>
          </w:p>
          <w:tbl>
            <w:tblPr>
              <w:tblStyle w:val="31"/>
              <w:tblW w:w="6381"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3675"/>
              <w:gridCol w:w="1142"/>
              <w:gridCol w:w="1564"/>
            </w:tblGrid>
            <w:tr w14:paraId="6C682786">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675" w:type="dxa"/>
                  <w:tcBorders>
                    <w:tl2br w:val="nil"/>
                    <w:tr2bl w:val="nil"/>
                  </w:tcBorders>
                </w:tcPr>
                <w:p w14:paraId="21C98F1D">
                  <w:pPr>
                    <w:spacing w:line="300" w:lineRule="exact"/>
                    <w:jc w:val="center"/>
                    <w:rPr>
                      <w:rFonts w:ascii="宋体" w:hAnsi="宋体" w:cs="宋体"/>
                      <w:color w:val="auto"/>
                      <w:sz w:val="18"/>
                      <w:szCs w:val="18"/>
                    </w:rPr>
                  </w:pPr>
                  <w:r>
                    <w:rPr>
                      <w:rFonts w:hint="eastAsia" w:ascii="宋体" w:hAnsi="宋体" w:cs="宋体"/>
                      <w:color w:val="auto"/>
                      <w:sz w:val="18"/>
                      <w:szCs w:val="18"/>
                    </w:rPr>
                    <w:t>合作银行</w:t>
                  </w:r>
                </w:p>
              </w:tc>
              <w:tc>
                <w:tcPr>
                  <w:tcW w:w="1142" w:type="dxa"/>
                  <w:tcBorders>
                    <w:tl2br w:val="nil"/>
                    <w:tr2bl w:val="nil"/>
                  </w:tcBorders>
                </w:tcPr>
                <w:p w14:paraId="02E72996">
                  <w:pPr>
                    <w:spacing w:line="300" w:lineRule="exact"/>
                    <w:jc w:val="center"/>
                    <w:rPr>
                      <w:rFonts w:ascii="宋体" w:hAnsi="宋体" w:cs="宋体"/>
                      <w:color w:val="auto"/>
                      <w:sz w:val="18"/>
                      <w:szCs w:val="18"/>
                    </w:rPr>
                  </w:pPr>
                  <w:r>
                    <w:rPr>
                      <w:rFonts w:hint="eastAsia" w:ascii="宋体" w:hAnsi="宋体" w:cs="宋体"/>
                      <w:color w:val="auto"/>
                      <w:sz w:val="18"/>
                      <w:szCs w:val="18"/>
                    </w:rPr>
                    <w:t>联系人</w:t>
                  </w:r>
                </w:p>
              </w:tc>
              <w:tc>
                <w:tcPr>
                  <w:tcW w:w="1564" w:type="dxa"/>
                  <w:tcBorders>
                    <w:tl2br w:val="nil"/>
                    <w:tr2bl w:val="nil"/>
                  </w:tcBorders>
                </w:tcPr>
                <w:p w14:paraId="380B2014">
                  <w:pPr>
                    <w:spacing w:line="300" w:lineRule="exact"/>
                    <w:jc w:val="center"/>
                    <w:rPr>
                      <w:rFonts w:ascii="宋体" w:hAnsi="宋体" w:cs="宋体"/>
                      <w:color w:val="auto"/>
                      <w:sz w:val="18"/>
                      <w:szCs w:val="18"/>
                    </w:rPr>
                  </w:pPr>
                  <w:r>
                    <w:rPr>
                      <w:rFonts w:hint="eastAsia" w:ascii="宋体" w:hAnsi="宋体" w:cs="宋体"/>
                      <w:color w:val="auto"/>
                      <w:sz w:val="18"/>
                      <w:szCs w:val="18"/>
                    </w:rPr>
                    <w:t>电话</w:t>
                  </w:r>
                </w:p>
              </w:tc>
            </w:tr>
            <w:tr w14:paraId="1EC8AE3D">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675" w:type="dxa"/>
                  <w:tcBorders>
                    <w:tl2br w:val="nil"/>
                    <w:tr2bl w:val="nil"/>
                  </w:tcBorders>
                </w:tcPr>
                <w:p w14:paraId="351B7633">
                  <w:pPr>
                    <w:spacing w:line="300" w:lineRule="exact"/>
                    <w:jc w:val="center"/>
                    <w:rPr>
                      <w:rFonts w:ascii="宋体" w:hAnsi="宋体" w:cs="宋体"/>
                      <w:color w:val="auto"/>
                      <w:sz w:val="18"/>
                      <w:szCs w:val="18"/>
                    </w:rPr>
                  </w:pPr>
                  <w:r>
                    <w:rPr>
                      <w:rFonts w:hint="eastAsia" w:ascii="宋体" w:hAnsi="宋体" w:cs="宋体"/>
                      <w:color w:val="auto"/>
                      <w:sz w:val="18"/>
                      <w:szCs w:val="18"/>
                    </w:rPr>
                    <w:t>中国农业银行股份有限公司天台县支行</w:t>
                  </w:r>
                </w:p>
              </w:tc>
              <w:tc>
                <w:tcPr>
                  <w:tcW w:w="1142" w:type="dxa"/>
                  <w:tcBorders>
                    <w:tl2br w:val="nil"/>
                    <w:tr2bl w:val="nil"/>
                  </w:tcBorders>
                </w:tcPr>
                <w:p w14:paraId="2B1BA450">
                  <w:pPr>
                    <w:spacing w:line="300" w:lineRule="exact"/>
                    <w:jc w:val="center"/>
                    <w:rPr>
                      <w:rFonts w:ascii="宋体" w:hAnsi="宋体" w:cs="宋体"/>
                      <w:color w:val="auto"/>
                      <w:sz w:val="18"/>
                      <w:szCs w:val="18"/>
                    </w:rPr>
                  </w:pPr>
                  <w:r>
                    <w:rPr>
                      <w:rFonts w:hint="eastAsia" w:ascii="宋体" w:hAnsi="宋体" w:cs="宋体"/>
                      <w:color w:val="auto"/>
                      <w:sz w:val="18"/>
                      <w:szCs w:val="18"/>
                    </w:rPr>
                    <w:t>章泳</w:t>
                  </w:r>
                </w:p>
              </w:tc>
              <w:tc>
                <w:tcPr>
                  <w:tcW w:w="1564" w:type="dxa"/>
                  <w:tcBorders>
                    <w:tl2br w:val="nil"/>
                    <w:tr2bl w:val="nil"/>
                  </w:tcBorders>
                </w:tcPr>
                <w:p w14:paraId="40D4F1E6">
                  <w:pPr>
                    <w:spacing w:line="300" w:lineRule="exact"/>
                    <w:jc w:val="center"/>
                    <w:rPr>
                      <w:rFonts w:ascii="宋体" w:hAnsi="宋体" w:cs="宋体"/>
                      <w:color w:val="auto"/>
                      <w:sz w:val="18"/>
                      <w:szCs w:val="18"/>
                    </w:rPr>
                  </w:pPr>
                  <w:r>
                    <w:rPr>
                      <w:rFonts w:hint="eastAsia" w:ascii="宋体" w:hAnsi="宋体" w:cs="宋体"/>
                      <w:color w:val="auto"/>
                      <w:sz w:val="18"/>
                      <w:szCs w:val="18"/>
                    </w:rPr>
                    <w:t>18267658216</w:t>
                  </w:r>
                </w:p>
              </w:tc>
            </w:tr>
            <w:tr w14:paraId="5C877D67">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675" w:type="dxa"/>
                  <w:tcBorders>
                    <w:tl2br w:val="nil"/>
                    <w:tr2bl w:val="nil"/>
                  </w:tcBorders>
                </w:tcPr>
                <w:p w14:paraId="6210903F">
                  <w:pPr>
                    <w:spacing w:line="300" w:lineRule="exact"/>
                    <w:jc w:val="center"/>
                    <w:rPr>
                      <w:rFonts w:ascii="宋体" w:hAnsi="宋体" w:cs="宋体"/>
                      <w:color w:val="auto"/>
                      <w:sz w:val="18"/>
                      <w:szCs w:val="18"/>
                    </w:rPr>
                  </w:pPr>
                  <w:r>
                    <w:rPr>
                      <w:rFonts w:hint="eastAsia" w:ascii="宋体" w:hAnsi="宋体" w:cs="宋体"/>
                      <w:color w:val="auto"/>
                      <w:sz w:val="18"/>
                      <w:szCs w:val="18"/>
                    </w:rPr>
                    <w:t>中国建设银行股份有限公司天台支行</w:t>
                  </w:r>
                </w:p>
              </w:tc>
              <w:tc>
                <w:tcPr>
                  <w:tcW w:w="1142" w:type="dxa"/>
                  <w:tcBorders>
                    <w:tl2br w:val="nil"/>
                    <w:tr2bl w:val="nil"/>
                  </w:tcBorders>
                </w:tcPr>
                <w:p w14:paraId="0FC2F8DC">
                  <w:pPr>
                    <w:spacing w:line="300" w:lineRule="exact"/>
                    <w:jc w:val="center"/>
                    <w:rPr>
                      <w:rFonts w:ascii="宋体" w:hAnsi="宋体" w:cs="宋体"/>
                      <w:color w:val="auto"/>
                      <w:sz w:val="18"/>
                      <w:szCs w:val="18"/>
                    </w:rPr>
                  </w:pPr>
                  <w:r>
                    <w:rPr>
                      <w:rFonts w:hint="eastAsia" w:ascii="宋体" w:hAnsi="宋体" w:cs="宋体"/>
                      <w:color w:val="auto"/>
                      <w:sz w:val="18"/>
                      <w:szCs w:val="18"/>
                    </w:rPr>
                    <w:t>葛宇凡</w:t>
                  </w:r>
                </w:p>
              </w:tc>
              <w:tc>
                <w:tcPr>
                  <w:tcW w:w="1564" w:type="dxa"/>
                  <w:tcBorders>
                    <w:tl2br w:val="nil"/>
                    <w:tr2bl w:val="nil"/>
                  </w:tcBorders>
                </w:tcPr>
                <w:p w14:paraId="4978B864">
                  <w:pPr>
                    <w:spacing w:line="300" w:lineRule="exact"/>
                    <w:jc w:val="center"/>
                    <w:rPr>
                      <w:rFonts w:ascii="宋体" w:hAnsi="宋体" w:cs="宋体"/>
                      <w:color w:val="auto"/>
                      <w:sz w:val="18"/>
                      <w:szCs w:val="18"/>
                    </w:rPr>
                  </w:pPr>
                  <w:r>
                    <w:rPr>
                      <w:rFonts w:hint="eastAsia" w:ascii="宋体" w:hAnsi="宋体" w:cs="宋体"/>
                      <w:color w:val="auto"/>
                      <w:sz w:val="18"/>
                      <w:szCs w:val="18"/>
                    </w:rPr>
                    <w:t>18252002669</w:t>
                  </w:r>
                </w:p>
              </w:tc>
            </w:tr>
            <w:tr w14:paraId="4F91A073">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675" w:type="dxa"/>
                  <w:tcBorders>
                    <w:tl2br w:val="nil"/>
                    <w:tr2bl w:val="nil"/>
                  </w:tcBorders>
                  <w:vAlign w:val="center"/>
                </w:tcPr>
                <w:p w14:paraId="1FA7186C">
                  <w:pPr>
                    <w:spacing w:line="300" w:lineRule="exact"/>
                    <w:jc w:val="center"/>
                    <w:rPr>
                      <w:rFonts w:ascii="宋体" w:hAnsi="宋体" w:cs="宋体"/>
                      <w:color w:val="auto"/>
                      <w:sz w:val="18"/>
                      <w:szCs w:val="18"/>
                    </w:rPr>
                  </w:pPr>
                  <w:r>
                    <w:rPr>
                      <w:rFonts w:hint="eastAsia" w:ascii="宋体" w:hAnsi="宋体" w:cs="宋体"/>
                      <w:color w:val="auto"/>
                      <w:sz w:val="18"/>
                      <w:szCs w:val="18"/>
                    </w:rPr>
                    <w:t>中国工商银行股份有限公司天台支行</w:t>
                  </w:r>
                </w:p>
              </w:tc>
              <w:tc>
                <w:tcPr>
                  <w:tcW w:w="1142" w:type="dxa"/>
                  <w:tcBorders>
                    <w:tl2br w:val="nil"/>
                    <w:tr2bl w:val="nil"/>
                  </w:tcBorders>
                  <w:vAlign w:val="center"/>
                </w:tcPr>
                <w:p w14:paraId="3936D5CA">
                  <w:pPr>
                    <w:spacing w:line="300" w:lineRule="exact"/>
                    <w:jc w:val="center"/>
                    <w:rPr>
                      <w:rFonts w:ascii="宋体" w:hAnsi="宋体" w:cs="宋体"/>
                      <w:color w:val="auto"/>
                      <w:sz w:val="18"/>
                      <w:szCs w:val="18"/>
                    </w:rPr>
                  </w:pPr>
                  <w:r>
                    <w:rPr>
                      <w:rFonts w:hint="eastAsia" w:ascii="宋体" w:hAnsi="宋体" w:cs="宋体"/>
                      <w:color w:val="auto"/>
                      <w:sz w:val="18"/>
                      <w:szCs w:val="18"/>
                    </w:rPr>
                    <w:t>洪文强</w:t>
                  </w:r>
                </w:p>
              </w:tc>
              <w:tc>
                <w:tcPr>
                  <w:tcW w:w="1564" w:type="dxa"/>
                  <w:tcBorders>
                    <w:tl2br w:val="nil"/>
                    <w:tr2bl w:val="nil"/>
                  </w:tcBorders>
                  <w:vAlign w:val="center"/>
                </w:tcPr>
                <w:p w14:paraId="408AA724">
                  <w:pPr>
                    <w:spacing w:line="300" w:lineRule="exact"/>
                    <w:jc w:val="center"/>
                    <w:rPr>
                      <w:rFonts w:ascii="宋体" w:hAnsi="宋体" w:cs="宋体"/>
                      <w:color w:val="auto"/>
                      <w:sz w:val="18"/>
                      <w:szCs w:val="18"/>
                    </w:rPr>
                  </w:pPr>
                  <w:r>
                    <w:rPr>
                      <w:rFonts w:hint="eastAsia" w:ascii="宋体" w:hAnsi="宋体" w:cs="宋体"/>
                      <w:color w:val="auto"/>
                      <w:sz w:val="18"/>
                      <w:szCs w:val="18"/>
                    </w:rPr>
                    <w:t>0576-83815605</w:t>
                  </w:r>
                </w:p>
              </w:tc>
            </w:tr>
          </w:tbl>
          <w:p w14:paraId="5D70E9F1">
            <w:pPr>
              <w:spacing w:line="300" w:lineRule="exact"/>
              <w:ind w:firstLine="180" w:firstLineChars="100"/>
              <w:rPr>
                <w:rFonts w:ascii="宋体" w:hAnsi="宋体" w:cs="宋体"/>
                <w:color w:val="auto"/>
                <w:sz w:val="18"/>
                <w:szCs w:val="18"/>
              </w:rPr>
            </w:pPr>
            <w:r>
              <w:rPr>
                <w:rFonts w:hint="eastAsia" w:ascii="宋体" w:hAnsi="宋体" w:cs="宋体"/>
                <w:color w:val="auto"/>
                <w:sz w:val="18"/>
                <w:szCs w:val="18"/>
              </w:rPr>
              <w:t>预付款保函联系方式：</w:t>
            </w:r>
          </w:p>
          <w:tbl>
            <w:tblPr>
              <w:tblStyle w:val="31"/>
              <w:tblW w:w="6435"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3729"/>
              <w:gridCol w:w="1148"/>
              <w:gridCol w:w="1558"/>
            </w:tblGrid>
            <w:tr w14:paraId="12AA245F">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729" w:type="dxa"/>
                  <w:tcBorders>
                    <w:tl2br w:val="nil"/>
                    <w:tr2bl w:val="nil"/>
                  </w:tcBorders>
                </w:tcPr>
                <w:p w14:paraId="7E3A15B2">
                  <w:pPr>
                    <w:spacing w:line="300" w:lineRule="exact"/>
                    <w:jc w:val="center"/>
                    <w:rPr>
                      <w:rFonts w:ascii="宋体" w:hAnsi="宋体" w:cs="宋体"/>
                      <w:color w:val="auto"/>
                      <w:sz w:val="18"/>
                      <w:szCs w:val="18"/>
                    </w:rPr>
                  </w:pPr>
                  <w:r>
                    <w:rPr>
                      <w:rFonts w:hint="eastAsia" w:ascii="宋体" w:hAnsi="宋体" w:cs="宋体"/>
                      <w:color w:val="auto"/>
                      <w:sz w:val="18"/>
                      <w:szCs w:val="18"/>
                    </w:rPr>
                    <w:t>合作银行</w:t>
                  </w:r>
                </w:p>
              </w:tc>
              <w:tc>
                <w:tcPr>
                  <w:tcW w:w="1148" w:type="dxa"/>
                  <w:tcBorders>
                    <w:tl2br w:val="nil"/>
                    <w:tr2bl w:val="nil"/>
                  </w:tcBorders>
                </w:tcPr>
                <w:p w14:paraId="4AE3CD1B">
                  <w:pPr>
                    <w:spacing w:line="300" w:lineRule="exact"/>
                    <w:jc w:val="center"/>
                    <w:rPr>
                      <w:rFonts w:ascii="宋体" w:hAnsi="宋体" w:cs="宋体"/>
                      <w:color w:val="auto"/>
                      <w:sz w:val="18"/>
                      <w:szCs w:val="18"/>
                    </w:rPr>
                  </w:pPr>
                  <w:r>
                    <w:rPr>
                      <w:rFonts w:hint="eastAsia" w:ascii="宋体" w:hAnsi="宋体" w:cs="宋体"/>
                      <w:color w:val="auto"/>
                      <w:sz w:val="18"/>
                      <w:szCs w:val="18"/>
                    </w:rPr>
                    <w:t>联系人</w:t>
                  </w:r>
                </w:p>
              </w:tc>
              <w:tc>
                <w:tcPr>
                  <w:tcW w:w="1558" w:type="dxa"/>
                  <w:tcBorders>
                    <w:tl2br w:val="nil"/>
                    <w:tr2bl w:val="nil"/>
                  </w:tcBorders>
                </w:tcPr>
                <w:p w14:paraId="0E786FAE">
                  <w:pPr>
                    <w:spacing w:line="300" w:lineRule="exact"/>
                    <w:jc w:val="center"/>
                    <w:rPr>
                      <w:rFonts w:ascii="宋体" w:hAnsi="宋体" w:cs="宋体"/>
                      <w:color w:val="auto"/>
                      <w:sz w:val="18"/>
                      <w:szCs w:val="18"/>
                    </w:rPr>
                  </w:pPr>
                  <w:r>
                    <w:rPr>
                      <w:rFonts w:hint="eastAsia" w:ascii="宋体" w:hAnsi="宋体" w:cs="宋体"/>
                      <w:color w:val="auto"/>
                      <w:sz w:val="18"/>
                      <w:szCs w:val="18"/>
                    </w:rPr>
                    <w:t>电话</w:t>
                  </w:r>
                </w:p>
              </w:tc>
            </w:tr>
            <w:tr w14:paraId="5C2BF4E8">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PrEx>
              <w:trPr>
                <w:trHeight w:val="340" w:hRule="atLeast"/>
                <w:jc w:val="center"/>
              </w:trPr>
              <w:tc>
                <w:tcPr>
                  <w:tcW w:w="3729" w:type="dxa"/>
                  <w:tcBorders>
                    <w:tl2br w:val="nil"/>
                    <w:tr2bl w:val="nil"/>
                  </w:tcBorders>
                </w:tcPr>
                <w:p w14:paraId="7C4A3435">
                  <w:pPr>
                    <w:spacing w:line="300" w:lineRule="exact"/>
                    <w:jc w:val="center"/>
                    <w:rPr>
                      <w:rFonts w:ascii="宋体" w:hAnsi="宋体" w:cs="宋体"/>
                      <w:color w:val="auto"/>
                      <w:sz w:val="18"/>
                      <w:szCs w:val="18"/>
                    </w:rPr>
                  </w:pPr>
                  <w:r>
                    <w:rPr>
                      <w:rFonts w:hint="eastAsia" w:ascii="宋体" w:hAnsi="宋体" w:cs="宋体"/>
                      <w:color w:val="auto"/>
                      <w:sz w:val="18"/>
                      <w:szCs w:val="18"/>
                    </w:rPr>
                    <w:t>中国建设银行股份有限公司天台支行</w:t>
                  </w:r>
                </w:p>
              </w:tc>
              <w:tc>
                <w:tcPr>
                  <w:tcW w:w="1148" w:type="dxa"/>
                  <w:tcBorders>
                    <w:tl2br w:val="nil"/>
                    <w:tr2bl w:val="nil"/>
                  </w:tcBorders>
                </w:tcPr>
                <w:p w14:paraId="49331E13">
                  <w:pPr>
                    <w:spacing w:line="300" w:lineRule="exact"/>
                    <w:jc w:val="center"/>
                    <w:rPr>
                      <w:rFonts w:ascii="宋体" w:hAnsi="宋体" w:cs="宋体"/>
                      <w:color w:val="auto"/>
                      <w:sz w:val="18"/>
                      <w:szCs w:val="18"/>
                    </w:rPr>
                  </w:pPr>
                  <w:r>
                    <w:rPr>
                      <w:rFonts w:hint="eastAsia" w:ascii="宋体" w:hAnsi="宋体" w:cs="宋体"/>
                      <w:color w:val="auto"/>
                      <w:sz w:val="18"/>
                      <w:szCs w:val="18"/>
                    </w:rPr>
                    <w:t>蒋晓峰</w:t>
                  </w:r>
                </w:p>
              </w:tc>
              <w:tc>
                <w:tcPr>
                  <w:tcW w:w="1558" w:type="dxa"/>
                  <w:tcBorders>
                    <w:tl2br w:val="nil"/>
                    <w:tr2bl w:val="nil"/>
                  </w:tcBorders>
                </w:tcPr>
                <w:p w14:paraId="28839FDF">
                  <w:pPr>
                    <w:spacing w:line="300" w:lineRule="exact"/>
                    <w:jc w:val="center"/>
                    <w:rPr>
                      <w:rFonts w:ascii="宋体" w:hAnsi="宋体" w:cs="宋体"/>
                      <w:color w:val="auto"/>
                      <w:sz w:val="18"/>
                      <w:szCs w:val="18"/>
                    </w:rPr>
                  </w:pPr>
                  <w:r>
                    <w:rPr>
                      <w:rFonts w:hint="eastAsia" w:ascii="宋体" w:hAnsi="宋体" w:cs="宋体"/>
                      <w:color w:val="auto"/>
                      <w:sz w:val="18"/>
                      <w:szCs w:val="18"/>
                    </w:rPr>
                    <w:t>13968595968</w:t>
                  </w:r>
                </w:p>
              </w:tc>
            </w:tr>
            <w:tr w14:paraId="6D149363">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729" w:type="dxa"/>
                  <w:tcBorders>
                    <w:tl2br w:val="nil"/>
                    <w:tr2bl w:val="nil"/>
                  </w:tcBorders>
                  <w:vAlign w:val="center"/>
                </w:tcPr>
                <w:p w14:paraId="170DAB64">
                  <w:pPr>
                    <w:spacing w:line="300" w:lineRule="exact"/>
                    <w:jc w:val="center"/>
                    <w:rPr>
                      <w:rFonts w:ascii="宋体" w:hAnsi="宋体" w:cs="宋体"/>
                      <w:color w:val="auto"/>
                      <w:sz w:val="18"/>
                      <w:szCs w:val="18"/>
                    </w:rPr>
                  </w:pPr>
                  <w:r>
                    <w:rPr>
                      <w:rFonts w:hint="eastAsia" w:ascii="宋体" w:hAnsi="宋体" w:cs="宋体"/>
                      <w:color w:val="auto"/>
                      <w:sz w:val="18"/>
                      <w:szCs w:val="18"/>
                    </w:rPr>
                    <w:t>中国工商银行股份有限公司天台支行</w:t>
                  </w:r>
                </w:p>
              </w:tc>
              <w:tc>
                <w:tcPr>
                  <w:tcW w:w="1148" w:type="dxa"/>
                  <w:tcBorders>
                    <w:tl2br w:val="nil"/>
                    <w:tr2bl w:val="nil"/>
                  </w:tcBorders>
                  <w:vAlign w:val="center"/>
                </w:tcPr>
                <w:p w14:paraId="0FAF6596">
                  <w:pPr>
                    <w:spacing w:line="300" w:lineRule="exact"/>
                    <w:jc w:val="center"/>
                    <w:rPr>
                      <w:rFonts w:ascii="宋体" w:hAnsi="宋体" w:cs="宋体"/>
                      <w:color w:val="auto"/>
                      <w:sz w:val="18"/>
                      <w:szCs w:val="18"/>
                    </w:rPr>
                  </w:pPr>
                  <w:r>
                    <w:rPr>
                      <w:rFonts w:hint="eastAsia" w:ascii="宋体" w:hAnsi="宋体" w:cs="宋体"/>
                      <w:color w:val="auto"/>
                      <w:sz w:val="18"/>
                      <w:szCs w:val="18"/>
                    </w:rPr>
                    <w:t>洪文强</w:t>
                  </w:r>
                </w:p>
              </w:tc>
              <w:tc>
                <w:tcPr>
                  <w:tcW w:w="1558" w:type="dxa"/>
                  <w:tcBorders>
                    <w:tl2br w:val="nil"/>
                    <w:tr2bl w:val="nil"/>
                  </w:tcBorders>
                  <w:vAlign w:val="center"/>
                </w:tcPr>
                <w:p w14:paraId="2EE4AC21">
                  <w:pPr>
                    <w:spacing w:line="300" w:lineRule="exact"/>
                    <w:jc w:val="center"/>
                    <w:rPr>
                      <w:rFonts w:ascii="宋体" w:hAnsi="宋体" w:cs="宋体"/>
                      <w:color w:val="auto"/>
                      <w:sz w:val="18"/>
                      <w:szCs w:val="18"/>
                    </w:rPr>
                  </w:pPr>
                  <w:r>
                    <w:rPr>
                      <w:rFonts w:hint="eastAsia" w:ascii="宋体" w:hAnsi="宋体" w:cs="宋体"/>
                      <w:color w:val="auto"/>
                      <w:sz w:val="18"/>
                      <w:szCs w:val="18"/>
                    </w:rPr>
                    <w:t>0576-83815605</w:t>
                  </w:r>
                </w:p>
              </w:tc>
            </w:tr>
          </w:tbl>
          <w:p w14:paraId="6336416C">
            <w:pPr>
              <w:spacing w:line="300" w:lineRule="exact"/>
              <w:ind w:firstLine="240" w:firstLineChars="100"/>
              <w:rPr>
                <w:rFonts w:ascii="宋体" w:hAnsi="宋体" w:cs="宋体"/>
                <w:color w:val="auto"/>
                <w:sz w:val="24"/>
              </w:rPr>
            </w:pPr>
            <w:r>
              <w:rPr>
                <w:rFonts w:hint="eastAsia" w:ascii="宋体" w:hAnsi="宋体" w:cs="宋体"/>
                <w:color w:val="auto"/>
                <w:sz w:val="24"/>
              </w:rPr>
              <w:t>2.除了以上银行外，供应商也可以选择其他有能力的银行进行融资。</w:t>
            </w:r>
          </w:p>
        </w:tc>
      </w:tr>
      <w:tr w14:paraId="5C728DB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108" w:type="dxa"/>
            <w:bottom w:w="57" w:type="dxa"/>
            <w:right w:w="108" w:type="dxa"/>
          </w:tblCellMar>
        </w:tblPrEx>
        <w:trPr>
          <w:cantSplit/>
          <w:trHeight w:val="454" w:hRule="atLeast"/>
          <w:jc w:val="center"/>
        </w:trPr>
        <w:tc>
          <w:tcPr>
            <w:tcW w:w="771" w:type="dxa"/>
            <w:tcBorders>
              <w:tl2br w:val="nil"/>
              <w:tr2bl w:val="nil"/>
            </w:tcBorders>
            <w:vAlign w:val="center"/>
          </w:tcPr>
          <w:p w14:paraId="185D8972">
            <w:pPr>
              <w:numPr>
                <w:ilvl w:val="0"/>
                <w:numId w:val="5"/>
              </w:numPr>
              <w:spacing w:line="400" w:lineRule="exact"/>
              <w:jc w:val="center"/>
              <w:rPr>
                <w:rFonts w:ascii="宋体" w:hAnsi="宋体" w:cs="宋体"/>
                <w:color w:val="auto"/>
                <w:sz w:val="24"/>
              </w:rPr>
            </w:pPr>
          </w:p>
        </w:tc>
        <w:tc>
          <w:tcPr>
            <w:tcW w:w="1907" w:type="dxa"/>
            <w:tcBorders>
              <w:tl2br w:val="nil"/>
              <w:tr2bl w:val="nil"/>
            </w:tcBorders>
            <w:vAlign w:val="center"/>
          </w:tcPr>
          <w:p w14:paraId="4A4AC503">
            <w:pPr>
              <w:widowControl/>
              <w:spacing w:line="300" w:lineRule="exact"/>
              <w:jc w:val="center"/>
              <w:rPr>
                <w:rFonts w:ascii="宋体" w:hAnsi="宋体" w:cs="宋体"/>
                <w:color w:val="auto"/>
                <w:sz w:val="24"/>
              </w:rPr>
            </w:pPr>
            <w:r>
              <w:rPr>
                <w:rFonts w:hint="eastAsia" w:ascii="宋体" w:hAnsi="宋体" w:cs="宋体"/>
                <w:color w:val="auto"/>
                <w:sz w:val="24"/>
              </w:rPr>
              <w:t>免责声明</w:t>
            </w:r>
          </w:p>
        </w:tc>
        <w:tc>
          <w:tcPr>
            <w:tcW w:w="6956" w:type="dxa"/>
            <w:tcBorders>
              <w:tl2br w:val="nil"/>
              <w:tr2bl w:val="nil"/>
            </w:tcBorders>
            <w:vAlign w:val="center"/>
          </w:tcPr>
          <w:p w14:paraId="7488FC5B">
            <w:pPr>
              <w:spacing w:line="300" w:lineRule="exact"/>
              <w:ind w:firstLine="240" w:firstLineChars="100"/>
              <w:rPr>
                <w:rFonts w:ascii="宋体" w:hAnsi="宋体" w:cs="宋体"/>
                <w:color w:val="auto"/>
                <w:sz w:val="24"/>
              </w:rPr>
            </w:pPr>
            <w:r>
              <w:rPr>
                <w:rFonts w:hint="eastAsia" w:ascii="宋体" w:hAnsi="宋体" w:cs="宋体"/>
                <w:color w:val="auto"/>
                <w:sz w:val="24"/>
              </w:rPr>
              <w:t>1.投标供应商自行承担投标过程中产生的费用。无论何种因素导致采购项目延期开标、废标（流标）、投标供应商未中标、项目终止采购的，采购人与代理机构均不承担供应商投标费用。</w:t>
            </w:r>
          </w:p>
          <w:p w14:paraId="16D1E5F0">
            <w:pPr>
              <w:spacing w:line="300" w:lineRule="exact"/>
              <w:ind w:firstLine="240" w:firstLineChars="100"/>
              <w:rPr>
                <w:rFonts w:ascii="宋体" w:hAnsi="宋体" w:cs="宋体"/>
                <w:b/>
                <w:bCs/>
                <w:color w:val="auto"/>
                <w:sz w:val="24"/>
              </w:rPr>
            </w:pPr>
            <w:r>
              <w:rPr>
                <w:rFonts w:hint="eastAsia" w:ascii="宋体" w:hAnsi="宋体" w:cs="宋体"/>
                <w:color w:val="auto"/>
                <w:sz w:val="24"/>
              </w:rPr>
              <w:t>2.投标供应商在投标、合同履行过程中必须做好安全保障工作，不因项目实施而危及自身及第三方人员、财产安全。若发生任何安全事故，由中标供应商自行承担一切责任并赔偿损失。</w:t>
            </w:r>
          </w:p>
        </w:tc>
      </w:tr>
      <w:tr w14:paraId="16C7854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108" w:type="dxa"/>
            <w:bottom w:w="57" w:type="dxa"/>
            <w:right w:w="108" w:type="dxa"/>
          </w:tblCellMar>
        </w:tblPrEx>
        <w:trPr>
          <w:cantSplit/>
          <w:trHeight w:val="454" w:hRule="atLeast"/>
          <w:jc w:val="center"/>
        </w:trPr>
        <w:tc>
          <w:tcPr>
            <w:tcW w:w="771" w:type="dxa"/>
            <w:tcBorders>
              <w:tl2br w:val="nil"/>
              <w:tr2bl w:val="nil"/>
            </w:tcBorders>
            <w:vAlign w:val="center"/>
          </w:tcPr>
          <w:p w14:paraId="4C0CDE04">
            <w:pPr>
              <w:numPr>
                <w:ilvl w:val="0"/>
                <w:numId w:val="5"/>
              </w:numPr>
              <w:spacing w:line="400" w:lineRule="exact"/>
              <w:jc w:val="center"/>
              <w:rPr>
                <w:rFonts w:ascii="宋体" w:hAnsi="宋体" w:cs="宋体"/>
                <w:color w:val="auto"/>
                <w:sz w:val="24"/>
              </w:rPr>
            </w:pPr>
          </w:p>
        </w:tc>
        <w:tc>
          <w:tcPr>
            <w:tcW w:w="1907" w:type="dxa"/>
            <w:tcBorders>
              <w:tl2br w:val="nil"/>
              <w:tr2bl w:val="nil"/>
            </w:tcBorders>
            <w:vAlign w:val="center"/>
          </w:tcPr>
          <w:p w14:paraId="15A5DB15">
            <w:pPr>
              <w:spacing w:line="300" w:lineRule="exact"/>
              <w:jc w:val="center"/>
              <w:rPr>
                <w:rFonts w:ascii="宋体" w:hAnsi="宋体" w:cs="宋体"/>
                <w:color w:val="auto"/>
                <w:sz w:val="24"/>
              </w:rPr>
            </w:pPr>
            <w:r>
              <w:rPr>
                <w:rFonts w:hint="eastAsia" w:ascii="宋体" w:hAnsi="宋体" w:cs="宋体"/>
                <w:color w:val="auto"/>
                <w:sz w:val="24"/>
              </w:rPr>
              <w:t>解释权</w:t>
            </w:r>
          </w:p>
        </w:tc>
        <w:tc>
          <w:tcPr>
            <w:tcW w:w="6956" w:type="dxa"/>
            <w:tcBorders>
              <w:tl2br w:val="nil"/>
              <w:tr2bl w:val="nil"/>
            </w:tcBorders>
            <w:vAlign w:val="center"/>
          </w:tcPr>
          <w:p w14:paraId="562FE5F1">
            <w:pPr>
              <w:pStyle w:val="13"/>
              <w:spacing w:line="300" w:lineRule="exact"/>
              <w:ind w:firstLine="480" w:firstLineChars="200"/>
              <w:rPr>
                <w:rFonts w:hAnsi="宋体" w:cs="宋体"/>
                <w:color w:val="auto"/>
                <w:sz w:val="24"/>
              </w:rPr>
            </w:pPr>
            <w:r>
              <w:rPr>
                <w:rFonts w:hint="eastAsia" w:hAnsi="宋体" w:cs="宋体"/>
                <w:color w:val="auto"/>
                <w:sz w:val="24"/>
              </w:rPr>
              <w:t>本表与采购文件其他部分内容不一致的，以本表为准。本采购文件的解释权属于采购人和采购代理机构。</w:t>
            </w:r>
          </w:p>
        </w:tc>
      </w:tr>
    </w:tbl>
    <w:p w14:paraId="6EB4F548">
      <w:pPr>
        <w:pStyle w:val="7"/>
        <w:spacing w:beforeLines="50" w:afterLines="50" w:line="264" w:lineRule="auto"/>
        <w:jc w:val="center"/>
        <w:outlineLvl w:val="1"/>
        <w:rPr>
          <w:rFonts w:hAnsi="宋体" w:cs="宋体"/>
          <w:b/>
          <w:bCs/>
          <w:color w:val="auto"/>
          <w:sz w:val="30"/>
          <w:szCs w:val="30"/>
        </w:rPr>
      </w:pPr>
      <w:bookmarkStart w:id="19" w:name="_Toc2872"/>
    </w:p>
    <w:p w14:paraId="536ABCD3">
      <w:pPr>
        <w:pStyle w:val="8"/>
        <w:ind w:left="2520"/>
        <w:rPr>
          <w:color w:val="auto"/>
        </w:rPr>
      </w:pPr>
    </w:p>
    <w:p w14:paraId="65EA21B9">
      <w:pPr>
        <w:pStyle w:val="7"/>
        <w:spacing w:beforeLines="50" w:afterLines="50" w:line="264" w:lineRule="auto"/>
        <w:jc w:val="center"/>
        <w:outlineLvl w:val="1"/>
        <w:rPr>
          <w:rFonts w:hAnsi="宋体" w:cs="宋体"/>
          <w:b/>
          <w:bCs/>
          <w:color w:val="auto"/>
          <w:sz w:val="30"/>
          <w:szCs w:val="30"/>
        </w:rPr>
      </w:pPr>
      <w:r>
        <w:rPr>
          <w:rFonts w:hint="eastAsia" w:hAnsi="宋体" w:cs="宋体"/>
          <w:b/>
          <w:bCs/>
          <w:color w:val="auto"/>
          <w:sz w:val="30"/>
          <w:szCs w:val="30"/>
        </w:rPr>
        <w:t>第一节  总 则</w:t>
      </w:r>
      <w:bookmarkEnd w:id="19"/>
    </w:p>
    <w:p w14:paraId="3445122E">
      <w:pPr>
        <w:numPr>
          <w:ilvl w:val="0"/>
          <w:numId w:val="6"/>
        </w:numPr>
        <w:tabs>
          <w:tab w:val="left" w:pos="0"/>
          <w:tab w:val="left" w:pos="420"/>
        </w:tabs>
        <w:snapToGrid w:val="0"/>
        <w:spacing w:beforeLines="50" w:afterLines="50" w:line="264" w:lineRule="auto"/>
        <w:jc w:val="left"/>
        <w:rPr>
          <w:rFonts w:ascii="宋体" w:hAnsi="宋体" w:cs="宋体"/>
          <w:b/>
          <w:color w:val="auto"/>
          <w:sz w:val="24"/>
        </w:rPr>
      </w:pPr>
      <w:r>
        <w:rPr>
          <w:rFonts w:hint="eastAsia" w:ascii="宋体" w:hAnsi="宋体" w:cs="宋体"/>
          <w:b/>
          <w:color w:val="auto"/>
          <w:sz w:val="24"/>
        </w:rPr>
        <w:t>适用范围</w:t>
      </w:r>
    </w:p>
    <w:p w14:paraId="20071A24">
      <w:pPr>
        <w:pStyle w:val="13"/>
        <w:spacing w:beforeLines="50" w:afterLines="50" w:line="264" w:lineRule="auto"/>
        <w:ind w:firstLine="240" w:firstLineChars="100"/>
        <w:rPr>
          <w:rFonts w:hAnsi="宋体" w:cs="宋体"/>
          <w:color w:val="auto"/>
          <w:sz w:val="24"/>
        </w:rPr>
      </w:pPr>
      <w:r>
        <w:rPr>
          <w:rFonts w:hint="eastAsia" w:hAnsi="宋体" w:cs="宋体"/>
          <w:color w:val="auto"/>
          <w:sz w:val="24"/>
        </w:rPr>
        <w:t>1.1.本采购文件适用于本次项目的招标、投标、评标、定标、验收、合同履约、付款等行为（法律、法规另有规定的，从其规定）。</w:t>
      </w:r>
    </w:p>
    <w:p w14:paraId="1F4B9D05">
      <w:pPr>
        <w:numPr>
          <w:ilvl w:val="0"/>
          <w:numId w:val="6"/>
        </w:numPr>
        <w:tabs>
          <w:tab w:val="left" w:pos="0"/>
          <w:tab w:val="left" w:pos="420"/>
        </w:tabs>
        <w:snapToGrid w:val="0"/>
        <w:spacing w:beforeLines="50" w:afterLines="50" w:line="264" w:lineRule="auto"/>
        <w:jc w:val="left"/>
        <w:rPr>
          <w:rFonts w:ascii="宋体" w:hAnsi="宋体" w:cs="宋体"/>
          <w:b/>
          <w:color w:val="auto"/>
          <w:sz w:val="24"/>
        </w:rPr>
      </w:pPr>
      <w:r>
        <w:rPr>
          <w:rFonts w:hint="eastAsia" w:ascii="宋体" w:hAnsi="宋体" w:cs="宋体"/>
          <w:b/>
          <w:color w:val="auto"/>
          <w:sz w:val="24"/>
        </w:rPr>
        <w:t>定义</w:t>
      </w:r>
    </w:p>
    <w:p w14:paraId="39012DA0">
      <w:pPr>
        <w:spacing w:beforeLines="50" w:afterLines="50" w:line="264" w:lineRule="auto"/>
        <w:ind w:firstLine="240" w:firstLineChars="100"/>
        <w:rPr>
          <w:rFonts w:ascii="宋体" w:hAnsi="宋体" w:cs="宋体"/>
          <w:color w:val="auto"/>
          <w:sz w:val="24"/>
        </w:rPr>
      </w:pPr>
      <w:r>
        <w:rPr>
          <w:rFonts w:hint="eastAsia" w:ascii="宋体" w:hAnsi="宋体" w:cs="宋体"/>
          <w:color w:val="auto"/>
          <w:sz w:val="24"/>
        </w:rPr>
        <w:t>2.1.采购组织机构：是指采购人委托组织招标的采购代理机构；</w:t>
      </w:r>
    </w:p>
    <w:p w14:paraId="1436179C">
      <w:pPr>
        <w:spacing w:beforeLines="50" w:afterLines="50" w:line="264" w:lineRule="auto"/>
        <w:ind w:firstLine="240" w:firstLineChars="100"/>
        <w:rPr>
          <w:rFonts w:ascii="宋体" w:hAnsi="宋体" w:cs="宋体"/>
          <w:color w:val="auto"/>
          <w:sz w:val="24"/>
        </w:rPr>
      </w:pPr>
      <w:r>
        <w:rPr>
          <w:rFonts w:hint="eastAsia" w:ascii="宋体" w:hAnsi="宋体" w:cs="宋体"/>
          <w:color w:val="auto"/>
          <w:sz w:val="24"/>
        </w:rPr>
        <w:t>2.2.采购人：是指依法进行政府采购的国家机关、事业单位、团体组织；</w:t>
      </w:r>
    </w:p>
    <w:p w14:paraId="4746D91A">
      <w:pPr>
        <w:spacing w:beforeLines="50" w:afterLines="50" w:line="264" w:lineRule="auto"/>
        <w:ind w:firstLine="240" w:firstLineChars="100"/>
        <w:rPr>
          <w:rFonts w:ascii="宋体" w:hAnsi="宋体" w:cs="宋体"/>
          <w:color w:val="auto"/>
          <w:sz w:val="24"/>
        </w:rPr>
      </w:pPr>
      <w:r>
        <w:rPr>
          <w:rFonts w:hint="eastAsia" w:ascii="宋体" w:hAnsi="宋体" w:cs="宋体"/>
          <w:color w:val="auto"/>
          <w:sz w:val="24"/>
        </w:rPr>
        <w:t>2.3.供应商：是指向采购人提供货物、工程或者服务的法人、其他组织或者自然人；</w:t>
      </w:r>
    </w:p>
    <w:p w14:paraId="796AC00E">
      <w:pPr>
        <w:spacing w:beforeLines="50" w:afterLines="50" w:line="264" w:lineRule="auto"/>
        <w:ind w:firstLine="240" w:firstLineChars="100"/>
        <w:rPr>
          <w:rFonts w:ascii="宋体" w:hAnsi="宋体" w:cs="宋体"/>
          <w:color w:val="auto"/>
          <w:sz w:val="24"/>
        </w:rPr>
      </w:pPr>
      <w:r>
        <w:rPr>
          <w:rFonts w:hint="eastAsia" w:ascii="宋体" w:hAnsi="宋体" w:cs="宋体"/>
          <w:color w:val="auto"/>
          <w:sz w:val="24"/>
        </w:rPr>
        <w:t>2.4.货物：是指各种形态和种类的物品，包括原材料、燃料、设备、产品等；</w:t>
      </w:r>
    </w:p>
    <w:p w14:paraId="6A321EB1">
      <w:pPr>
        <w:spacing w:beforeLines="50" w:afterLines="50" w:line="264" w:lineRule="auto"/>
        <w:ind w:firstLine="240" w:firstLineChars="100"/>
        <w:rPr>
          <w:rFonts w:ascii="宋体" w:hAnsi="宋体" w:cs="宋体"/>
          <w:color w:val="auto"/>
          <w:sz w:val="24"/>
        </w:rPr>
      </w:pPr>
      <w:r>
        <w:rPr>
          <w:rFonts w:hint="eastAsia" w:ascii="宋体" w:hAnsi="宋体" w:cs="宋体"/>
          <w:color w:val="auto"/>
          <w:sz w:val="24"/>
        </w:rPr>
        <w:t>2.5.服务：是指除货物和工程以外的政府采购对象，包括各类专业服务、信息网络开发服务、金融保险服务、运输服务，以及维修与维护服务等；</w:t>
      </w:r>
    </w:p>
    <w:p w14:paraId="25AD0689">
      <w:pPr>
        <w:spacing w:beforeLines="50" w:afterLines="50" w:line="264" w:lineRule="auto"/>
        <w:ind w:firstLine="240" w:firstLineChars="100"/>
        <w:rPr>
          <w:rFonts w:ascii="宋体" w:hAnsi="宋体" w:cs="宋体"/>
          <w:color w:val="auto"/>
          <w:sz w:val="24"/>
        </w:rPr>
      </w:pPr>
      <w:r>
        <w:rPr>
          <w:rFonts w:hint="eastAsia" w:ascii="宋体" w:hAnsi="宋体" w:cs="宋体"/>
          <w:color w:val="auto"/>
          <w:sz w:val="24"/>
        </w:rPr>
        <w:t>2.6.书面形式：包括信函、传真、电子文档等，官方指定网站公示的内容视为书面告知；</w:t>
      </w:r>
    </w:p>
    <w:p w14:paraId="6724D578">
      <w:pPr>
        <w:spacing w:beforeLines="50" w:afterLines="50" w:line="264" w:lineRule="auto"/>
        <w:ind w:firstLine="240" w:firstLineChars="100"/>
        <w:rPr>
          <w:rFonts w:ascii="宋体" w:hAnsi="宋体" w:cs="宋体"/>
          <w:color w:val="auto"/>
        </w:rPr>
      </w:pPr>
      <w:r>
        <w:rPr>
          <w:rFonts w:hint="eastAsia" w:ascii="宋体" w:hAnsi="宋体" w:cs="宋体"/>
          <w:color w:val="auto"/>
          <w:sz w:val="24"/>
        </w:rPr>
        <w:t>2.7.“▲”条款系指实质性条款，电子投标文件须作出实质性响应，否则作无效标处理。</w:t>
      </w:r>
    </w:p>
    <w:p w14:paraId="4265BFCA">
      <w:pPr>
        <w:numPr>
          <w:ilvl w:val="0"/>
          <w:numId w:val="6"/>
        </w:numPr>
        <w:tabs>
          <w:tab w:val="left" w:pos="0"/>
          <w:tab w:val="left" w:pos="420"/>
        </w:tabs>
        <w:snapToGrid w:val="0"/>
        <w:spacing w:beforeLines="50" w:afterLines="50" w:line="264" w:lineRule="auto"/>
        <w:jc w:val="left"/>
        <w:rPr>
          <w:rFonts w:ascii="宋体" w:hAnsi="宋体" w:cs="宋体"/>
          <w:b/>
          <w:color w:val="auto"/>
          <w:sz w:val="24"/>
        </w:rPr>
      </w:pPr>
      <w:r>
        <w:rPr>
          <w:rFonts w:hint="eastAsia" w:ascii="宋体" w:hAnsi="宋体" w:cs="宋体"/>
          <w:b/>
          <w:color w:val="auto"/>
          <w:sz w:val="24"/>
        </w:rPr>
        <w:t>招标方式</w:t>
      </w:r>
    </w:p>
    <w:p w14:paraId="409A1DBC">
      <w:pPr>
        <w:spacing w:beforeLines="50" w:afterLines="50" w:line="264" w:lineRule="auto"/>
        <w:ind w:firstLine="480" w:firstLineChars="200"/>
        <w:rPr>
          <w:rFonts w:ascii="宋体" w:hAnsi="宋体" w:cs="宋体"/>
          <w:color w:val="auto"/>
          <w:sz w:val="24"/>
        </w:rPr>
      </w:pPr>
      <w:r>
        <w:rPr>
          <w:rFonts w:hint="eastAsia" w:ascii="宋体" w:hAnsi="宋体" w:cs="宋体"/>
          <w:color w:val="auto"/>
          <w:sz w:val="24"/>
        </w:rPr>
        <w:t>本次招标采用</w:t>
      </w:r>
      <w:r>
        <w:rPr>
          <w:rFonts w:hint="eastAsia" w:ascii="宋体" w:hAnsi="宋体" w:cs="宋体"/>
          <w:color w:val="auto"/>
          <w:sz w:val="24"/>
          <w:u w:val="single"/>
        </w:rPr>
        <w:t>公开招标</w:t>
      </w:r>
      <w:r>
        <w:rPr>
          <w:rFonts w:hint="eastAsia" w:ascii="宋体" w:hAnsi="宋体" w:cs="宋体"/>
          <w:color w:val="auto"/>
          <w:sz w:val="24"/>
        </w:rPr>
        <w:t>方式进行。</w:t>
      </w:r>
    </w:p>
    <w:p w14:paraId="34BBFCED">
      <w:pPr>
        <w:numPr>
          <w:ilvl w:val="0"/>
          <w:numId w:val="6"/>
        </w:numPr>
        <w:tabs>
          <w:tab w:val="left" w:pos="0"/>
          <w:tab w:val="left" w:pos="420"/>
        </w:tabs>
        <w:snapToGrid w:val="0"/>
        <w:spacing w:beforeLines="50" w:afterLines="50" w:line="264" w:lineRule="auto"/>
        <w:jc w:val="left"/>
        <w:rPr>
          <w:rFonts w:ascii="宋体" w:hAnsi="宋体" w:cs="宋体"/>
          <w:b/>
          <w:color w:val="auto"/>
          <w:sz w:val="24"/>
        </w:rPr>
      </w:pPr>
      <w:r>
        <w:rPr>
          <w:rFonts w:hint="eastAsia" w:ascii="宋体" w:hAnsi="宋体" w:cs="宋体"/>
          <w:b/>
          <w:color w:val="auto"/>
          <w:sz w:val="24"/>
        </w:rPr>
        <w:t>投标委托</w:t>
      </w:r>
    </w:p>
    <w:p w14:paraId="11763A8F">
      <w:pPr>
        <w:spacing w:beforeLines="50" w:afterLines="50" w:line="264" w:lineRule="auto"/>
        <w:ind w:firstLine="480" w:firstLineChars="200"/>
        <w:rPr>
          <w:rFonts w:ascii="宋体" w:hAnsi="宋体" w:cs="宋体"/>
          <w:color w:val="auto"/>
        </w:rPr>
      </w:pPr>
      <w:r>
        <w:rPr>
          <w:rFonts w:hint="eastAsia" w:ascii="宋体" w:hAnsi="宋体" w:cs="宋体"/>
          <w:color w:val="auto"/>
          <w:sz w:val="24"/>
        </w:rPr>
        <w:t>投标人的法定代表人可以授权其单位的其他在职员工全权代表其处理与本次投标有关的事项，但其授权代表必须持有经法定代表人（负责人）签字（或盖章）的授权委托书。</w:t>
      </w:r>
    </w:p>
    <w:p w14:paraId="24F3AB6D">
      <w:pPr>
        <w:numPr>
          <w:ilvl w:val="0"/>
          <w:numId w:val="6"/>
        </w:numPr>
        <w:tabs>
          <w:tab w:val="left" w:pos="0"/>
          <w:tab w:val="left" w:pos="420"/>
        </w:tabs>
        <w:snapToGrid w:val="0"/>
        <w:spacing w:beforeLines="50" w:afterLines="50" w:line="264" w:lineRule="auto"/>
        <w:jc w:val="left"/>
        <w:rPr>
          <w:rFonts w:ascii="宋体" w:hAnsi="宋体" w:cs="宋体"/>
          <w:b/>
          <w:color w:val="auto"/>
          <w:sz w:val="24"/>
        </w:rPr>
      </w:pPr>
      <w:r>
        <w:rPr>
          <w:rFonts w:hint="eastAsia" w:ascii="宋体" w:hAnsi="宋体" w:cs="宋体"/>
          <w:b/>
          <w:color w:val="auto"/>
          <w:sz w:val="24"/>
        </w:rPr>
        <w:t>联合体投标</w:t>
      </w:r>
    </w:p>
    <w:p w14:paraId="32BB8427">
      <w:pPr>
        <w:tabs>
          <w:tab w:val="left" w:pos="0"/>
          <w:tab w:val="left" w:pos="420"/>
        </w:tabs>
        <w:snapToGrid w:val="0"/>
        <w:spacing w:beforeLines="50" w:afterLines="50" w:line="264" w:lineRule="auto"/>
        <w:ind w:firstLine="241" w:firstLineChars="100"/>
        <w:jc w:val="left"/>
        <w:rPr>
          <w:rFonts w:ascii="宋体" w:hAnsi="宋体" w:cs="宋体"/>
          <w:b/>
          <w:bCs/>
          <w:color w:val="auto"/>
          <w:sz w:val="24"/>
        </w:rPr>
      </w:pPr>
      <w:r>
        <w:rPr>
          <w:rFonts w:hint="eastAsia" w:ascii="宋体" w:hAnsi="宋体" w:cs="宋体"/>
          <w:b/>
          <w:bCs/>
          <w:color w:val="auto"/>
          <w:sz w:val="24"/>
        </w:rPr>
        <w:t>《投标人须知前附表》规定可接受联合体投标的，则应遵守以下规定：</w:t>
      </w:r>
    </w:p>
    <w:p w14:paraId="385B5D6E">
      <w:pPr>
        <w:tabs>
          <w:tab w:val="left" w:pos="0"/>
          <w:tab w:val="left" w:pos="420"/>
        </w:tabs>
        <w:snapToGrid w:val="0"/>
        <w:spacing w:beforeLines="50" w:afterLines="50" w:line="264" w:lineRule="auto"/>
        <w:ind w:firstLine="480" w:firstLineChars="200"/>
        <w:jc w:val="left"/>
        <w:rPr>
          <w:rFonts w:ascii="宋体" w:hAnsi="宋体" w:cs="宋体"/>
          <w:color w:val="auto"/>
          <w:sz w:val="24"/>
        </w:rPr>
      </w:pPr>
      <w:r>
        <w:rPr>
          <w:rFonts w:hint="eastAsia" w:ascii="宋体" w:hAnsi="宋体" w:cs="宋体"/>
          <w:color w:val="auto"/>
          <w:sz w:val="24"/>
        </w:rPr>
        <w:t>5.1.两个以上的自然人、法人或者其他组织可以组成一个联合体，以一个供应商的身份共同参加政府采购。</w:t>
      </w:r>
    </w:p>
    <w:p w14:paraId="5364E13D">
      <w:pPr>
        <w:tabs>
          <w:tab w:val="left" w:pos="0"/>
          <w:tab w:val="left" w:pos="420"/>
        </w:tabs>
        <w:snapToGrid w:val="0"/>
        <w:spacing w:beforeLines="50" w:afterLines="50" w:line="264" w:lineRule="auto"/>
        <w:ind w:firstLine="480" w:firstLineChars="200"/>
        <w:jc w:val="left"/>
        <w:rPr>
          <w:rFonts w:ascii="宋体" w:hAnsi="宋体" w:cs="宋体"/>
          <w:color w:val="auto"/>
          <w:sz w:val="24"/>
        </w:rPr>
      </w:pPr>
      <w:r>
        <w:rPr>
          <w:rFonts w:hint="eastAsia" w:ascii="宋体" w:hAnsi="宋体" w:cs="宋体"/>
          <w:color w:val="auto"/>
          <w:sz w:val="24"/>
        </w:rPr>
        <w:t>5.2.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p>
    <w:p w14:paraId="4BCE07F5">
      <w:pPr>
        <w:tabs>
          <w:tab w:val="left" w:pos="0"/>
          <w:tab w:val="left" w:pos="420"/>
        </w:tabs>
        <w:snapToGrid w:val="0"/>
        <w:spacing w:beforeLines="50" w:afterLines="50" w:line="264" w:lineRule="auto"/>
        <w:ind w:firstLine="480" w:firstLineChars="200"/>
        <w:jc w:val="left"/>
        <w:rPr>
          <w:rFonts w:ascii="宋体" w:hAnsi="宋体" w:cs="宋体"/>
          <w:color w:val="auto"/>
          <w:sz w:val="24"/>
        </w:rPr>
      </w:pPr>
      <w:r>
        <w:rPr>
          <w:rFonts w:hint="eastAsia" w:ascii="宋体" w:hAnsi="宋体" w:cs="宋体"/>
          <w:color w:val="auto"/>
          <w:sz w:val="24"/>
        </w:rPr>
        <w:t>5.3.联合体中有同类资质的供应商按照联合体分工承担相同工作的，应当按照资质等级较低的供应商确定资质等级。以联合体形式参加政府采购活动的，联合体各方不得再单独参加或者与其他供应商另外组成联合体参加同一合同项下的政府采购活动。</w:t>
      </w:r>
    </w:p>
    <w:p w14:paraId="154106DA">
      <w:pPr>
        <w:tabs>
          <w:tab w:val="left" w:pos="0"/>
          <w:tab w:val="left" w:pos="420"/>
        </w:tabs>
        <w:snapToGrid w:val="0"/>
        <w:spacing w:beforeLines="50" w:afterLines="50" w:line="264" w:lineRule="auto"/>
        <w:ind w:firstLine="480" w:firstLineChars="200"/>
        <w:jc w:val="left"/>
        <w:rPr>
          <w:rFonts w:ascii="宋体" w:hAnsi="宋体" w:cs="宋体"/>
          <w:color w:val="auto"/>
        </w:rPr>
      </w:pPr>
      <w:r>
        <w:rPr>
          <w:rFonts w:hint="eastAsia" w:ascii="宋体" w:hAnsi="宋体" w:cs="宋体"/>
          <w:color w:val="auto"/>
          <w:sz w:val="24"/>
        </w:rPr>
        <w:t>5.4.投标文件须由牵头人盖章及其全权代表签署。</w:t>
      </w:r>
    </w:p>
    <w:p w14:paraId="2FB042CD">
      <w:pPr>
        <w:numPr>
          <w:ilvl w:val="0"/>
          <w:numId w:val="6"/>
        </w:numPr>
        <w:tabs>
          <w:tab w:val="left" w:pos="0"/>
          <w:tab w:val="left" w:pos="420"/>
        </w:tabs>
        <w:snapToGrid w:val="0"/>
        <w:spacing w:beforeLines="50" w:afterLines="50" w:line="264" w:lineRule="auto"/>
        <w:jc w:val="left"/>
        <w:rPr>
          <w:rFonts w:ascii="宋体" w:hAnsi="宋体" w:cs="宋体"/>
          <w:b/>
          <w:color w:val="auto"/>
          <w:sz w:val="24"/>
        </w:rPr>
      </w:pPr>
      <w:r>
        <w:rPr>
          <w:rFonts w:hint="eastAsia" w:ascii="宋体" w:hAnsi="宋体" w:cs="宋体"/>
          <w:b/>
          <w:color w:val="auto"/>
          <w:sz w:val="24"/>
        </w:rPr>
        <w:t>转包与分包</w:t>
      </w:r>
    </w:p>
    <w:p w14:paraId="12FE042C">
      <w:pPr>
        <w:pStyle w:val="2"/>
        <w:spacing w:beforeLines="50" w:afterLines="50" w:line="264" w:lineRule="auto"/>
        <w:ind w:firstLine="240" w:firstLineChars="100"/>
        <w:rPr>
          <w:rFonts w:ascii="宋体" w:hAnsi="宋体" w:cs="宋体"/>
          <w:color w:val="auto"/>
        </w:rPr>
      </w:pPr>
      <w:r>
        <w:rPr>
          <w:rFonts w:hint="eastAsia" w:ascii="宋体" w:hAnsi="宋体" w:cs="宋体"/>
          <w:color w:val="auto"/>
        </w:rPr>
        <w:t>6.1.本项目不允许转包。</w:t>
      </w:r>
    </w:p>
    <w:p w14:paraId="6A5944EC">
      <w:pPr>
        <w:pStyle w:val="2"/>
        <w:spacing w:beforeLines="50" w:afterLines="50" w:line="264" w:lineRule="auto"/>
        <w:ind w:firstLine="241" w:firstLineChars="100"/>
        <w:rPr>
          <w:rFonts w:ascii="宋体" w:hAnsi="宋体" w:cs="宋体"/>
          <w:color w:val="auto"/>
        </w:rPr>
      </w:pPr>
      <w:r>
        <w:rPr>
          <w:rFonts w:hint="eastAsia" w:ascii="宋体" w:hAnsi="宋体" w:cs="宋体"/>
          <w:b/>
          <w:bCs/>
          <w:color w:val="auto"/>
        </w:rPr>
        <w:t>6.2.《投标人须知前附表》规定可接受分包的，则应遵守以下规定：</w:t>
      </w:r>
    </w:p>
    <w:p w14:paraId="3FF38774">
      <w:pPr>
        <w:pStyle w:val="2"/>
        <w:spacing w:beforeLines="50" w:afterLines="50" w:line="264" w:lineRule="auto"/>
        <w:ind w:firstLine="480" w:firstLineChars="200"/>
        <w:rPr>
          <w:rFonts w:ascii="宋体" w:hAnsi="宋体" w:cs="宋体"/>
          <w:color w:val="auto"/>
        </w:rPr>
      </w:pPr>
      <w:r>
        <w:rPr>
          <w:rFonts w:hint="eastAsia" w:ascii="宋体" w:hAnsi="宋体" w:cs="宋体"/>
          <w:color w:val="auto"/>
        </w:rPr>
        <w:t>6.2.1供应商根据招标文件的规定和采购项目的实际情况，拟在中标后将中标项目的非主体、非关键性工作分包的，应当在投标文件中提交《分包意向协议》，载明分包承担主体，分包承担主体应当具备相应资质条件且不得再次分包。政府采购合同分包履行的，中标、成交供应商就采购项目及其分包项目向采购人负责，分包供应商就分包项目承担连带责任。</w:t>
      </w:r>
    </w:p>
    <w:p w14:paraId="0BEEAA1A">
      <w:pPr>
        <w:pStyle w:val="2"/>
        <w:spacing w:beforeLines="50" w:afterLines="50" w:line="264" w:lineRule="auto"/>
        <w:ind w:firstLine="480" w:firstLineChars="200"/>
        <w:rPr>
          <w:rFonts w:ascii="宋体" w:hAnsi="宋体" w:cs="宋体"/>
          <w:color w:val="auto"/>
        </w:rPr>
      </w:pPr>
      <w:r>
        <w:rPr>
          <w:rFonts w:hint="eastAsia" w:ascii="宋体" w:hAnsi="宋体" w:cs="宋体"/>
          <w:color w:val="auto"/>
        </w:rPr>
        <w:t>6.2.2中小企业享受扶持政策获得政府采购合同的，小微企业不得将合同分包给大中型企业，中型企业不得将合同分包给大型企业。</w:t>
      </w:r>
    </w:p>
    <w:p w14:paraId="08190FF8">
      <w:pPr>
        <w:numPr>
          <w:ilvl w:val="0"/>
          <w:numId w:val="6"/>
        </w:numPr>
        <w:tabs>
          <w:tab w:val="left" w:pos="0"/>
          <w:tab w:val="left" w:pos="420"/>
        </w:tabs>
        <w:snapToGrid w:val="0"/>
        <w:spacing w:beforeLines="50" w:afterLines="50" w:line="264" w:lineRule="auto"/>
        <w:jc w:val="left"/>
        <w:rPr>
          <w:rFonts w:ascii="宋体" w:hAnsi="宋体" w:cs="宋体"/>
          <w:b/>
          <w:color w:val="auto"/>
          <w:sz w:val="24"/>
        </w:rPr>
      </w:pPr>
      <w:r>
        <w:rPr>
          <w:rFonts w:hint="eastAsia" w:ascii="宋体" w:hAnsi="宋体" w:cs="宋体"/>
          <w:b/>
          <w:color w:val="auto"/>
          <w:sz w:val="24"/>
        </w:rPr>
        <w:t>现场踏勘</w:t>
      </w:r>
    </w:p>
    <w:p w14:paraId="186E3580">
      <w:pPr>
        <w:pStyle w:val="7"/>
        <w:spacing w:beforeLines="50" w:afterLines="50" w:line="264" w:lineRule="auto"/>
        <w:ind w:firstLine="480" w:firstLineChars="200"/>
        <w:rPr>
          <w:rFonts w:hAnsi="宋体" w:cs="宋体"/>
          <w:color w:val="auto"/>
        </w:rPr>
      </w:pPr>
      <w:r>
        <w:rPr>
          <w:rFonts w:hint="eastAsia" w:hAnsi="宋体" w:cs="宋体"/>
          <w:color w:val="auto"/>
          <w:sz w:val="24"/>
        </w:rPr>
        <w:t>本项目不组织现场踏勘。投标人如有需要，经采购人同意后可自行前往，踏勘期间发生的费用或意外导致伤亡等一切责任和损失均由投标人自负。</w:t>
      </w:r>
    </w:p>
    <w:p w14:paraId="36BA2998">
      <w:pPr>
        <w:numPr>
          <w:ilvl w:val="0"/>
          <w:numId w:val="6"/>
        </w:numPr>
        <w:tabs>
          <w:tab w:val="left" w:pos="0"/>
          <w:tab w:val="left" w:pos="420"/>
        </w:tabs>
        <w:snapToGrid w:val="0"/>
        <w:spacing w:beforeLines="50" w:afterLines="50" w:line="264" w:lineRule="auto"/>
        <w:jc w:val="left"/>
        <w:rPr>
          <w:rFonts w:ascii="宋体" w:hAnsi="宋体" w:cs="宋体"/>
          <w:b/>
          <w:color w:val="auto"/>
          <w:sz w:val="24"/>
        </w:rPr>
      </w:pPr>
      <w:r>
        <w:rPr>
          <w:rFonts w:hint="eastAsia" w:ascii="宋体" w:hAnsi="宋体" w:cs="宋体"/>
          <w:b/>
          <w:color w:val="auto"/>
          <w:sz w:val="24"/>
        </w:rPr>
        <w:t>投标费用</w:t>
      </w:r>
    </w:p>
    <w:p w14:paraId="0472CA75">
      <w:pPr>
        <w:snapToGrid w:val="0"/>
        <w:spacing w:beforeLines="50" w:afterLines="50" w:line="264" w:lineRule="auto"/>
        <w:ind w:firstLine="240" w:firstLineChars="100"/>
        <w:jc w:val="left"/>
        <w:rPr>
          <w:rFonts w:ascii="宋体" w:hAnsi="宋体" w:cs="宋体"/>
          <w:color w:val="auto"/>
          <w:sz w:val="24"/>
        </w:rPr>
      </w:pPr>
      <w:r>
        <w:rPr>
          <w:rFonts w:hint="eastAsia" w:ascii="宋体" w:hAnsi="宋体" w:cs="宋体"/>
          <w:color w:val="auto"/>
          <w:sz w:val="24"/>
        </w:rPr>
        <w:t>8.1.不论投标过程和结果如何，供应商自行承担与投标有关的全部费用（采购文件有其他相反规定除外）。</w:t>
      </w:r>
    </w:p>
    <w:p w14:paraId="674CBB84">
      <w:pPr>
        <w:spacing w:beforeLines="50" w:afterLines="50" w:line="264" w:lineRule="auto"/>
        <w:ind w:firstLine="240" w:firstLineChars="100"/>
        <w:rPr>
          <w:rFonts w:ascii="宋体" w:hAnsi="宋体" w:cs="宋体"/>
          <w:color w:val="auto"/>
          <w:sz w:val="24"/>
        </w:rPr>
      </w:pPr>
      <w:r>
        <w:rPr>
          <w:rFonts w:hint="eastAsia" w:ascii="宋体" w:hAnsi="宋体" w:cs="宋体"/>
          <w:color w:val="auto"/>
          <w:sz w:val="24"/>
        </w:rPr>
        <w:t>8.2.本项目由中标人承担招标代理服务费陆仟元。代理服务费包含在报价其他费用内，不在报价中单列，并在领取中标通知书前向采购代理机构提交。代理服务费金额为固定金额，不随合同金额的增减而浮动。</w:t>
      </w:r>
    </w:p>
    <w:p w14:paraId="797668BE">
      <w:pPr>
        <w:spacing w:beforeLines="50" w:afterLines="50" w:line="264" w:lineRule="auto"/>
        <w:ind w:firstLine="720" w:firstLineChars="400"/>
        <w:rPr>
          <w:rFonts w:ascii="宋体" w:hAnsi="宋体" w:cs="宋体"/>
          <w:color w:val="auto"/>
          <w:sz w:val="18"/>
          <w:szCs w:val="18"/>
        </w:rPr>
      </w:pPr>
      <w:r>
        <w:rPr>
          <w:rFonts w:hint="eastAsia" w:ascii="宋体" w:hAnsi="宋体" w:cs="宋体"/>
          <w:color w:val="auto"/>
          <w:sz w:val="18"/>
          <w:szCs w:val="18"/>
        </w:rPr>
        <w:t>收款单位： 台州市天诚工程造价咨询有限公司 ；</w:t>
      </w:r>
    </w:p>
    <w:p w14:paraId="4C6D6DCA">
      <w:pPr>
        <w:spacing w:beforeLines="50" w:afterLines="50" w:line="264" w:lineRule="auto"/>
        <w:ind w:firstLine="720" w:firstLineChars="400"/>
        <w:rPr>
          <w:rFonts w:ascii="宋体" w:hAnsi="宋体" w:cs="宋体"/>
          <w:color w:val="auto"/>
          <w:sz w:val="18"/>
          <w:szCs w:val="18"/>
        </w:rPr>
      </w:pPr>
      <w:r>
        <w:rPr>
          <w:rFonts w:hint="eastAsia" w:ascii="宋体" w:hAnsi="宋体" w:cs="宋体"/>
          <w:color w:val="auto"/>
          <w:sz w:val="18"/>
          <w:szCs w:val="18"/>
        </w:rPr>
        <w:t xml:space="preserve">开户银行： 工商银行天台县支行 ；            </w:t>
      </w:r>
    </w:p>
    <w:p w14:paraId="7F7332EC">
      <w:pPr>
        <w:spacing w:beforeLines="50" w:afterLines="50" w:line="264" w:lineRule="auto"/>
        <w:ind w:firstLine="720" w:firstLineChars="400"/>
        <w:rPr>
          <w:rFonts w:ascii="宋体" w:hAnsi="宋体" w:cs="宋体"/>
          <w:color w:val="auto"/>
          <w:sz w:val="18"/>
          <w:szCs w:val="18"/>
        </w:rPr>
      </w:pPr>
      <w:r>
        <w:rPr>
          <w:rFonts w:hint="eastAsia" w:ascii="宋体" w:hAnsi="宋体" w:cs="宋体"/>
          <w:color w:val="auto"/>
          <w:sz w:val="18"/>
          <w:szCs w:val="18"/>
        </w:rPr>
        <w:t>银行账号： 1207061109201001718 。</w:t>
      </w:r>
    </w:p>
    <w:p w14:paraId="434E429C">
      <w:pPr>
        <w:numPr>
          <w:ilvl w:val="0"/>
          <w:numId w:val="6"/>
        </w:numPr>
        <w:tabs>
          <w:tab w:val="left" w:pos="0"/>
          <w:tab w:val="left" w:pos="420"/>
        </w:tabs>
        <w:snapToGrid w:val="0"/>
        <w:spacing w:beforeLines="50" w:afterLines="50" w:line="264" w:lineRule="auto"/>
        <w:jc w:val="left"/>
        <w:rPr>
          <w:rFonts w:ascii="宋体" w:hAnsi="宋体" w:cs="宋体"/>
          <w:b/>
          <w:color w:val="auto"/>
          <w:sz w:val="24"/>
        </w:rPr>
      </w:pPr>
      <w:r>
        <w:rPr>
          <w:rFonts w:hint="eastAsia" w:ascii="宋体" w:hAnsi="宋体" w:cs="宋体"/>
          <w:b/>
          <w:color w:val="auto"/>
          <w:sz w:val="24"/>
        </w:rPr>
        <w:t>采购项目需要落实的政府采购政策：（详见采购文件第五章）</w:t>
      </w:r>
    </w:p>
    <w:p w14:paraId="1D59B0BF">
      <w:pPr>
        <w:numPr>
          <w:ilvl w:val="0"/>
          <w:numId w:val="6"/>
        </w:numPr>
        <w:tabs>
          <w:tab w:val="left" w:pos="0"/>
          <w:tab w:val="left" w:pos="420"/>
        </w:tabs>
        <w:snapToGrid w:val="0"/>
        <w:spacing w:beforeLines="50" w:afterLines="50" w:line="264" w:lineRule="auto"/>
        <w:jc w:val="left"/>
        <w:rPr>
          <w:rFonts w:ascii="宋体" w:hAnsi="宋体" w:cs="宋体"/>
          <w:b/>
          <w:color w:val="auto"/>
          <w:sz w:val="24"/>
        </w:rPr>
      </w:pPr>
      <w:r>
        <w:rPr>
          <w:rFonts w:hint="eastAsia" w:ascii="宋体" w:hAnsi="宋体" w:cs="宋体"/>
          <w:b/>
          <w:color w:val="auto"/>
          <w:sz w:val="24"/>
        </w:rPr>
        <w:t>特别说明</w:t>
      </w:r>
    </w:p>
    <w:p w14:paraId="2094C511">
      <w:pPr>
        <w:spacing w:beforeLines="50" w:afterLines="50" w:line="264" w:lineRule="auto"/>
        <w:ind w:firstLine="240" w:firstLineChars="100"/>
        <w:rPr>
          <w:rFonts w:ascii="宋体" w:hAnsi="宋体" w:cs="宋体"/>
          <w:color w:val="auto"/>
          <w:sz w:val="24"/>
        </w:rPr>
      </w:pPr>
      <w:r>
        <w:rPr>
          <w:rFonts w:hint="eastAsia" w:ascii="宋体" w:hAnsi="宋体" w:cs="宋体"/>
          <w:color w:val="auto"/>
          <w:sz w:val="24"/>
        </w:rPr>
        <w:t>▲10.1.供应商不得是采购人的附属机构（单位）。</w:t>
      </w:r>
    </w:p>
    <w:p w14:paraId="53E2EED0">
      <w:pPr>
        <w:spacing w:beforeLines="50" w:afterLines="50" w:line="264" w:lineRule="auto"/>
        <w:ind w:firstLine="240" w:firstLineChars="100"/>
        <w:rPr>
          <w:rFonts w:ascii="宋体" w:hAnsi="宋体" w:cs="宋体"/>
          <w:color w:val="auto"/>
          <w:sz w:val="24"/>
        </w:rPr>
      </w:pPr>
      <w:r>
        <w:rPr>
          <w:rFonts w:hint="eastAsia" w:ascii="宋体" w:hAnsi="宋体" w:cs="宋体"/>
          <w:color w:val="auto"/>
          <w:sz w:val="24"/>
        </w:rPr>
        <w:t>▲10.2.单位负责人为同一人或者存在直接控股、管理关系的不同供应商，不得参加同一合同项下的政府采购活动。</w:t>
      </w:r>
    </w:p>
    <w:p w14:paraId="77662507">
      <w:pPr>
        <w:spacing w:beforeLines="50" w:afterLines="50" w:line="264" w:lineRule="auto"/>
        <w:ind w:firstLine="240" w:firstLineChars="100"/>
        <w:rPr>
          <w:rFonts w:ascii="宋体" w:hAnsi="宋体" w:cs="宋体"/>
          <w:color w:val="auto"/>
          <w:sz w:val="24"/>
        </w:rPr>
      </w:pPr>
      <w:r>
        <w:rPr>
          <w:rFonts w:hint="eastAsia" w:ascii="宋体" w:hAnsi="宋体" w:cs="宋体"/>
          <w:color w:val="auto"/>
          <w:sz w:val="24"/>
        </w:rPr>
        <w:t>▲10.3.除单一来源采购项目外，为采购项目提供整体设计、规范编制或者项目管理、监理、检测等服务的供应商，不得再参加该采购项目的其他采购活动。</w:t>
      </w:r>
    </w:p>
    <w:p w14:paraId="5AD03654">
      <w:pPr>
        <w:spacing w:beforeLines="50" w:afterLines="50" w:line="264" w:lineRule="auto"/>
        <w:ind w:firstLine="240" w:firstLineChars="100"/>
        <w:rPr>
          <w:rFonts w:ascii="宋体" w:hAnsi="宋体" w:cs="宋体"/>
          <w:color w:val="auto"/>
          <w:sz w:val="24"/>
        </w:rPr>
      </w:pPr>
      <w:r>
        <w:rPr>
          <w:rFonts w:hint="eastAsia" w:ascii="宋体" w:hAnsi="宋体" w:cs="宋体"/>
          <w:color w:val="auto"/>
          <w:sz w:val="24"/>
        </w:rPr>
        <w:t>▲10.4.公益一类事业单位、使用事业编制且由财政拨款保障的群团组织，不作为政府购买服务的购买主体和承接主体。</w:t>
      </w:r>
    </w:p>
    <w:p w14:paraId="4187127C">
      <w:pPr>
        <w:spacing w:beforeLines="50" w:afterLines="50" w:line="264" w:lineRule="auto"/>
        <w:ind w:firstLine="240" w:firstLineChars="100"/>
        <w:rPr>
          <w:rFonts w:ascii="宋体" w:hAnsi="宋体" w:cs="宋体"/>
          <w:color w:val="auto"/>
          <w:sz w:val="24"/>
        </w:rPr>
      </w:pPr>
      <w:r>
        <w:rPr>
          <w:rFonts w:hint="eastAsia" w:ascii="宋体" w:hAnsi="宋体" w:cs="宋体"/>
          <w:color w:val="auto"/>
          <w:sz w:val="24"/>
        </w:rPr>
        <w:t>10.5.供应商投标所使用的资格、信誉、荣誉、业绩、认证等必须为供应商所合法享有。供应商母公司（总机构）或者同一母公司下属的其他子公司（同一总机构下属的其他分支机构）的人员、业绩、荣誉、知识产权、项目案例等不作为供应商的资信文件。供应商投标所使用的采购项目实施人员必须为投标单位正式员工。</w:t>
      </w:r>
    </w:p>
    <w:p w14:paraId="414C55C7">
      <w:pPr>
        <w:spacing w:beforeLines="50" w:afterLines="50" w:line="264" w:lineRule="auto"/>
        <w:ind w:firstLine="240" w:firstLineChars="100"/>
        <w:rPr>
          <w:rFonts w:ascii="宋体" w:hAnsi="宋体" w:cs="宋体"/>
          <w:color w:val="auto"/>
          <w:sz w:val="24"/>
        </w:rPr>
      </w:pPr>
      <w:r>
        <w:rPr>
          <w:rFonts w:hint="eastAsia" w:ascii="宋体" w:hAnsi="宋体" w:cs="宋体"/>
          <w:color w:val="auto"/>
          <w:sz w:val="24"/>
        </w:rPr>
        <w:t>10.6.供应商须对所投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14:paraId="54430A74">
      <w:pPr>
        <w:spacing w:beforeLines="50" w:afterLines="50" w:line="264" w:lineRule="auto"/>
        <w:ind w:firstLine="240" w:firstLineChars="100"/>
        <w:rPr>
          <w:rFonts w:ascii="宋体" w:hAnsi="宋体" w:cs="宋体"/>
          <w:color w:val="auto"/>
          <w:sz w:val="24"/>
        </w:rPr>
      </w:pPr>
      <w:r>
        <w:rPr>
          <w:rFonts w:hint="eastAsia" w:ascii="宋体" w:hAnsi="宋体" w:cs="宋体"/>
          <w:color w:val="auto"/>
          <w:sz w:val="24"/>
        </w:rPr>
        <w:t>10.7.投标供应商所投产品除招标文件中明确规定要求“提供官网截图或相应检测报告 的证明材料”以外，所有技术参数描述均以投标文件为准，投标供应商需在投标文件中说明本次投标产品的技术参数是否与官网上公开的技术参数一致，如不一致，明确哪些 参数不一致，不一致的原因以及使用何种技术可以达到投标产品参数。投标供应商对所 投产品技术参数的真实性承担法律责任。项目招标结束后、质疑期限内，如有质疑供应商认为中标供应商所投产品、投标文件技术参数与招标需求存在重大偏离、错误、甚至造假的情况，应提供具体有效的证明材料。</w:t>
      </w:r>
    </w:p>
    <w:p w14:paraId="5A0FCF95">
      <w:pPr>
        <w:spacing w:beforeLines="50" w:afterLines="50" w:line="264" w:lineRule="auto"/>
        <w:ind w:firstLine="240" w:firstLineChars="100"/>
        <w:rPr>
          <w:rFonts w:ascii="宋体" w:hAnsi="宋体" w:cs="宋体"/>
          <w:color w:val="auto"/>
          <w:sz w:val="24"/>
        </w:rPr>
      </w:pPr>
      <w:r>
        <w:rPr>
          <w:rFonts w:hint="eastAsia" w:ascii="宋体" w:hAnsi="宋体" w:cs="宋体"/>
          <w:color w:val="auto"/>
          <w:sz w:val="24"/>
        </w:rPr>
        <w:t>10.8.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1A860814">
      <w:pPr>
        <w:spacing w:beforeLines="50" w:afterLines="50" w:line="264" w:lineRule="auto"/>
        <w:ind w:firstLine="480" w:firstLineChars="200"/>
        <w:rPr>
          <w:rFonts w:ascii="宋体" w:hAnsi="宋体" w:cs="宋体"/>
          <w:color w:val="auto"/>
          <w:sz w:val="24"/>
        </w:rPr>
      </w:pPr>
      <w:r>
        <w:rPr>
          <w:rFonts w:hint="eastAsia" w:ascii="宋体" w:hAnsi="宋体" w:cs="宋体"/>
          <w:color w:val="auto"/>
          <w:sz w:val="24"/>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02EAC304">
      <w:pPr>
        <w:spacing w:beforeLines="50" w:afterLines="50" w:line="264" w:lineRule="auto"/>
        <w:ind w:firstLine="480" w:firstLineChars="200"/>
        <w:rPr>
          <w:rFonts w:ascii="宋体" w:hAnsi="宋体" w:cs="宋体"/>
          <w:color w:val="auto"/>
          <w:sz w:val="24"/>
        </w:rPr>
      </w:pPr>
      <w:r>
        <w:rPr>
          <w:rFonts w:hint="eastAsia" w:ascii="宋体" w:hAnsi="宋体" w:cs="宋体"/>
          <w:color w:val="auto"/>
          <w:sz w:val="24"/>
        </w:rPr>
        <w:t>非单一产品采购项目，采购人应当根据采购项目技术构成、产品价格比重等合理确定核心产品，并在招标文件中载明。多家投标人提供的核心产品品牌相同的，按前两款规定处理。</w:t>
      </w:r>
    </w:p>
    <w:p w14:paraId="03367266">
      <w:pPr>
        <w:spacing w:beforeLines="50" w:afterLines="50" w:line="264" w:lineRule="auto"/>
        <w:ind w:firstLine="482" w:firstLineChars="200"/>
        <w:rPr>
          <w:rFonts w:ascii="宋体" w:hAnsi="宋体" w:cs="宋体"/>
          <w:b/>
          <w:bCs/>
          <w:color w:val="auto"/>
          <w:sz w:val="24"/>
        </w:rPr>
      </w:pPr>
      <w:r>
        <w:rPr>
          <w:rFonts w:hint="eastAsia" w:ascii="宋体" w:hAnsi="宋体" w:cs="宋体"/>
          <w:b/>
          <w:bCs/>
          <w:color w:val="auto"/>
          <w:sz w:val="24"/>
        </w:rPr>
        <w:t>本项目的核心产品为：</w:t>
      </w:r>
      <w:r>
        <w:rPr>
          <w:rFonts w:hint="eastAsia" w:ascii="宋体" w:hAnsi="宋体" w:cs="宋体"/>
          <w:b/>
          <w:bCs/>
          <w:color w:val="auto"/>
          <w:sz w:val="24"/>
          <w:u w:val="single"/>
        </w:rPr>
        <w:t xml:space="preserve">     /     </w:t>
      </w:r>
      <w:r>
        <w:rPr>
          <w:rFonts w:hint="eastAsia" w:ascii="宋体" w:hAnsi="宋体" w:cs="宋体"/>
          <w:b/>
          <w:bCs/>
          <w:color w:val="auto"/>
          <w:sz w:val="24"/>
        </w:rPr>
        <w:t>。</w:t>
      </w:r>
    </w:p>
    <w:p w14:paraId="4C3BD895">
      <w:pPr>
        <w:spacing w:beforeLines="50" w:afterLines="50" w:line="264" w:lineRule="auto"/>
        <w:ind w:firstLine="240" w:firstLineChars="100"/>
        <w:rPr>
          <w:rFonts w:ascii="宋体" w:hAnsi="宋体" w:cs="宋体"/>
          <w:color w:val="auto"/>
          <w:sz w:val="24"/>
        </w:rPr>
      </w:pPr>
      <w:r>
        <w:rPr>
          <w:rFonts w:hint="eastAsia" w:ascii="宋体" w:hAnsi="宋体" w:cs="宋体"/>
          <w:color w:val="auto"/>
          <w:sz w:val="24"/>
        </w:rPr>
        <w:t>10.9.供应商在投标活动中提供虚假材料谋取中标、成交的,其投标无效，并报有关行政监督部门查处。中标后发现的,根据《中华人民共和国政府采购法》第七十七条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2C0B8BB5">
      <w:pPr>
        <w:pStyle w:val="7"/>
        <w:spacing w:beforeLines="50" w:afterLines="50" w:line="264" w:lineRule="auto"/>
        <w:jc w:val="center"/>
        <w:outlineLvl w:val="1"/>
        <w:rPr>
          <w:rFonts w:hAnsi="宋体" w:cs="宋体"/>
          <w:b/>
          <w:bCs/>
          <w:color w:val="auto"/>
          <w:sz w:val="30"/>
          <w:szCs w:val="30"/>
        </w:rPr>
      </w:pPr>
      <w:bookmarkStart w:id="20" w:name="_Toc13674"/>
      <w:r>
        <w:rPr>
          <w:rFonts w:hint="eastAsia" w:hAnsi="宋体" w:cs="宋体"/>
          <w:b/>
          <w:bCs/>
          <w:color w:val="auto"/>
          <w:sz w:val="30"/>
          <w:szCs w:val="30"/>
        </w:rPr>
        <w:t>第二节  采购文件</w:t>
      </w:r>
      <w:bookmarkEnd w:id="20"/>
    </w:p>
    <w:p w14:paraId="6382F0CD">
      <w:pPr>
        <w:numPr>
          <w:ilvl w:val="0"/>
          <w:numId w:val="6"/>
        </w:numPr>
        <w:tabs>
          <w:tab w:val="left" w:pos="0"/>
          <w:tab w:val="left" w:pos="420"/>
        </w:tabs>
        <w:snapToGrid w:val="0"/>
        <w:spacing w:beforeLines="50" w:afterLines="50" w:line="264" w:lineRule="auto"/>
        <w:jc w:val="left"/>
        <w:rPr>
          <w:rFonts w:ascii="宋体" w:hAnsi="宋体" w:cs="宋体"/>
          <w:b/>
          <w:color w:val="auto"/>
          <w:sz w:val="24"/>
        </w:rPr>
      </w:pPr>
      <w:r>
        <w:rPr>
          <w:rFonts w:hint="eastAsia" w:ascii="宋体" w:hAnsi="宋体" w:cs="宋体"/>
          <w:b/>
          <w:color w:val="auto"/>
          <w:sz w:val="24"/>
        </w:rPr>
        <w:t>采购文件发放</w:t>
      </w:r>
    </w:p>
    <w:p w14:paraId="4E00A7D5">
      <w:pPr>
        <w:spacing w:beforeLines="50" w:afterLines="50" w:line="264" w:lineRule="auto"/>
        <w:ind w:firstLine="480" w:firstLineChars="200"/>
        <w:rPr>
          <w:rFonts w:ascii="宋体" w:hAnsi="宋体" w:cs="宋体"/>
          <w:color w:val="auto"/>
          <w:sz w:val="24"/>
        </w:rPr>
      </w:pPr>
      <w:r>
        <w:rPr>
          <w:rFonts w:hint="eastAsia" w:ascii="宋体" w:hAnsi="宋体" w:cs="宋体"/>
          <w:color w:val="auto"/>
          <w:sz w:val="24"/>
          <w:lang w:val="zh-CN"/>
        </w:rPr>
        <w:t>投标供应商网上自行下载采购文件。</w:t>
      </w:r>
    </w:p>
    <w:p w14:paraId="61010297">
      <w:pPr>
        <w:numPr>
          <w:ilvl w:val="0"/>
          <w:numId w:val="6"/>
        </w:numPr>
        <w:tabs>
          <w:tab w:val="left" w:pos="0"/>
          <w:tab w:val="left" w:pos="420"/>
        </w:tabs>
        <w:snapToGrid w:val="0"/>
        <w:spacing w:beforeLines="50" w:afterLines="50" w:line="264" w:lineRule="auto"/>
        <w:jc w:val="left"/>
        <w:rPr>
          <w:rFonts w:ascii="宋体" w:hAnsi="宋体" w:cs="宋体"/>
          <w:b/>
          <w:color w:val="auto"/>
          <w:sz w:val="24"/>
        </w:rPr>
      </w:pPr>
      <w:r>
        <w:rPr>
          <w:rFonts w:hint="eastAsia" w:ascii="宋体" w:hAnsi="宋体" w:cs="宋体"/>
          <w:b/>
          <w:color w:val="auto"/>
          <w:sz w:val="24"/>
        </w:rPr>
        <w:t>采购文件约束力</w:t>
      </w:r>
    </w:p>
    <w:p w14:paraId="0E9503B2">
      <w:pPr>
        <w:spacing w:beforeLines="50" w:afterLines="50" w:line="264" w:lineRule="auto"/>
        <w:ind w:firstLine="480" w:firstLineChars="200"/>
        <w:rPr>
          <w:rFonts w:ascii="宋体" w:hAnsi="宋体" w:cs="宋体"/>
          <w:color w:val="auto"/>
          <w:sz w:val="24"/>
          <w:lang w:val="zh-CN"/>
        </w:rPr>
      </w:pPr>
      <w:r>
        <w:rPr>
          <w:rFonts w:hint="eastAsia" w:ascii="宋体" w:hAnsi="宋体" w:cs="宋体"/>
          <w:color w:val="auto"/>
          <w:sz w:val="24"/>
          <w:lang w:val="zh-CN"/>
        </w:rPr>
        <w:t>供应商一旦获取本采购文件并参加投标，即被</w:t>
      </w:r>
      <w:r>
        <w:rPr>
          <w:rFonts w:hint="eastAsia" w:ascii="宋体" w:hAnsi="宋体" w:cs="宋体"/>
          <w:color w:val="auto"/>
          <w:sz w:val="24"/>
        </w:rPr>
        <w:t>视</w:t>
      </w:r>
      <w:r>
        <w:rPr>
          <w:rFonts w:hint="eastAsia" w:ascii="宋体" w:hAnsi="宋体" w:cs="宋体"/>
          <w:color w:val="auto"/>
          <w:sz w:val="24"/>
          <w:lang w:val="zh-CN"/>
        </w:rPr>
        <w:t>为接受了本采购文件</w:t>
      </w:r>
      <w:r>
        <w:rPr>
          <w:rFonts w:hint="eastAsia" w:ascii="宋体" w:hAnsi="宋体" w:cs="宋体"/>
          <w:color w:val="auto"/>
          <w:sz w:val="24"/>
        </w:rPr>
        <w:t>的所有内容</w:t>
      </w:r>
      <w:r>
        <w:rPr>
          <w:rFonts w:hint="eastAsia" w:ascii="宋体" w:hAnsi="宋体" w:cs="宋体"/>
          <w:color w:val="auto"/>
          <w:sz w:val="24"/>
          <w:lang w:val="zh-CN"/>
        </w:rPr>
        <w:t>。</w:t>
      </w:r>
    </w:p>
    <w:p w14:paraId="5A0E3441">
      <w:pPr>
        <w:numPr>
          <w:ilvl w:val="0"/>
          <w:numId w:val="6"/>
        </w:numPr>
        <w:tabs>
          <w:tab w:val="left" w:pos="0"/>
          <w:tab w:val="left" w:pos="420"/>
        </w:tabs>
        <w:snapToGrid w:val="0"/>
        <w:spacing w:beforeLines="50" w:afterLines="50" w:line="264" w:lineRule="auto"/>
        <w:jc w:val="left"/>
        <w:rPr>
          <w:rFonts w:ascii="宋体" w:hAnsi="宋体" w:cs="宋体"/>
          <w:b/>
          <w:color w:val="auto"/>
          <w:sz w:val="24"/>
        </w:rPr>
      </w:pPr>
      <w:r>
        <w:rPr>
          <w:rFonts w:hint="eastAsia" w:ascii="宋体" w:hAnsi="宋体" w:cs="宋体"/>
          <w:b/>
          <w:color w:val="auto"/>
          <w:sz w:val="24"/>
        </w:rPr>
        <w:t>采购文件的组成</w:t>
      </w:r>
    </w:p>
    <w:p w14:paraId="6D7DB20A">
      <w:pPr>
        <w:spacing w:beforeLines="50" w:afterLines="50" w:line="264" w:lineRule="auto"/>
        <w:ind w:firstLine="240" w:firstLineChars="100"/>
        <w:rPr>
          <w:rFonts w:ascii="宋体" w:hAnsi="宋体" w:cs="宋体"/>
          <w:color w:val="auto"/>
          <w:sz w:val="24"/>
        </w:rPr>
      </w:pPr>
      <w:r>
        <w:rPr>
          <w:rFonts w:hint="eastAsia" w:ascii="宋体" w:hAnsi="宋体" w:cs="宋体"/>
          <w:color w:val="auto"/>
          <w:sz w:val="24"/>
        </w:rPr>
        <w:t>13.1.第一章 招标公告</w:t>
      </w:r>
    </w:p>
    <w:p w14:paraId="162F6AC1">
      <w:pPr>
        <w:spacing w:beforeLines="50" w:afterLines="50" w:line="264" w:lineRule="auto"/>
        <w:ind w:firstLine="240" w:firstLineChars="100"/>
        <w:rPr>
          <w:rFonts w:ascii="宋体" w:hAnsi="宋体" w:cs="宋体"/>
          <w:color w:val="auto"/>
          <w:sz w:val="24"/>
        </w:rPr>
      </w:pPr>
      <w:r>
        <w:rPr>
          <w:rFonts w:hint="eastAsia" w:ascii="宋体" w:hAnsi="宋体" w:cs="宋体"/>
          <w:color w:val="auto"/>
          <w:sz w:val="24"/>
        </w:rPr>
        <w:t>13.2.第二章 投标人须知</w:t>
      </w:r>
    </w:p>
    <w:p w14:paraId="1967C441">
      <w:pPr>
        <w:spacing w:beforeLines="50" w:afterLines="50" w:line="264" w:lineRule="auto"/>
        <w:ind w:firstLine="240" w:firstLineChars="100"/>
        <w:rPr>
          <w:rFonts w:ascii="宋体" w:hAnsi="宋体" w:cs="宋体"/>
          <w:color w:val="auto"/>
          <w:sz w:val="24"/>
        </w:rPr>
      </w:pPr>
      <w:r>
        <w:rPr>
          <w:rFonts w:hint="eastAsia" w:ascii="宋体" w:hAnsi="宋体" w:cs="宋体"/>
          <w:color w:val="auto"/>
          <w:sz w:val="24"/>
        </w:rPr>
        <w:t>13.3.第三章 招标内容及需求</w:t>
      </w:r>
    </w:p>
    <w:p w14:paraId="3A8BE7E6">
      <w:pPr>
        <w:spacing w:beforeLines="50" w:afterLines="50" w:line="264" w:lineRule="auto"/>
        <w:ind w:firstLine="240" w:firstLineChars="100"/>
        <w:rPr>
          <w:rFonts w:ascii="宋体" w:hAnsi="宋体" w:cs="宋体"/>
          <w:color w:val="auto"/>
          <w:sz w:val="24"/>
        </w:rPr>
      </w:pPr>
      <w:r>
        <w:rPr>
          <w:rFonts w:hint="eastAsia" w:ascii="宋体" w:hAnsi="宋体" w:cs="宋体"/>
          <w:color w:val="auto"/>
          <w:sz w:val="24"/>
        </w:rPr>
        <w:t>13.4.第四章 合同主要条款</w:t>
      </w:r>
    </w:p>
    <w:p w14:paraId="3B7E7F95">
      <w:pPr>
        <w:spacing w:beforeLines="50" w:afterLines="50" w:line="264" w:lineRule="auto"/>
        <w:ind w:firstLine="240" w:firstLineChars="100"/>
        <w:rPr>
          <w:rFonts w:ascii="宋体" w:hAnsi="宋体" w:cs="宋体"/>
          <w:color w:val="auto"/>
          <w:sz w:val="24"/>
        </w:rPr>
      </w:pPr>
      <w:r>
        <w:rPr>
          <w:rFonts w:hint="eastAsia" w:ascii="宋体" w:hAnsi="宋体" w:cs="宋体"/>
          <w:color w:val="auto"/>
          <w:sz w:val="24"/>
        </w:rPr>
        <w:t>13.5.第五章 评标办法及评分标准</w:t>
      </w:r>
    </w:p>
    <w:p w14:paraId="5388E886">
      <w:pPr>
        <w:spacing w:beforeLines="50" w:afterLines="50" w:line="264" w:lineRule="auto"/>
        <w:ind w:firstLine="240" w:firstLineChars="100"/>
        <w:rPr>
          <w:rFonts w:ascii="宋体" w:hAnsi="宋体" w:cs="宋体"/>
          <w:color w:val="auto"/>
          <w:sz w:val="24"/>
        </w:rPr>
      </w:pPr>
      <w:r>
        <w:rPr>
          <w:rFonts w:hint="eastAsia" w:ascii="宋体" w:hAnsi="宋体" w:cs="宋体"/>
          <w:color w:val="auto"/>
          <w:sz w:val="24"/>
        </w:rPr>
        <w:t>13.6.第六章 应提交的有关格式范例</w:t>
      </w:r>
    </w:p>
    <w:p w14:paraId="783B134D">
      <w:pPr>
        <w:spacing w:beforeLines="50" w:afterLines="50" w:line="264" w:lineRule="auto"/>
        <w:ind w:firstLine="240" w:firstLineChars="100"/>
        <w:rPr>
          <w:rFonts w:ascii="宋体" w:hAnsi="宋体" w:cs="宋体"/>
          <w:color w:val="auto"/>
          <w:sz w:val="24"/>
        </w:rPr>
      </w:pPr>
      <w:r>
        <w:rPr>
          <w:rFonts w:hint="eastAsia" w:ascii="宋体" w:hAnsi="宋体" w:cs="宋体"/>
          <w:color w:val="auto"/>
          <w:sz w:val="24"/>
        </w:rPr>
        <w:t>13.7.本项目采购文件的澄清、答复、修改、补充的内容</w:t>
      </w:r>
    </w:p>
    <w:p w14:paraId="7E5E88A0">
      <w:pPr>
        <w:numPr>
          <w:ilvl w:val="0"/>
          <w:numId w:val="6"/>
        </w:numPr>
        <w:tabs>
          <w:tab w:val="left" w:pos="0"/>
          <w:tab w:val="left" w:pos="420"/>
        </w:tabs>
        <w:snapToGrid w:val="0"/>
        <w:spacing w:beforeLines="50" w:afterLines="50" w:line="264" w:lineRule="auto"/>
        <w:jc w:val="left"/>
        <w:rPr>
          <w:rFonts w:ascii="宋体" w:hAnsi="宋体" w:cs="宋体"/>
          <w:b/>
          <w:color w:val="auto"/>
          <w:sz w:val="24"/>
        </w:rPr>
      </w:pPr>
      <w:r>
        <w:rPr>
          <w:rFonts w:hint="eastAsia" w:ascii="宋体" w:hAnsi="宋体" w:cs="宋体"/>
          <w:b/>
          <w:color w:val="auto"/>
          <w:sz w:val="24"/>
        </w:rPr>
        <w:t>投标人的风险</w:t>
      </w:r>
    </w:p>
    <w:p w14:paraId="23DA3CE6">
      <w:pPr>
        <w:pStyle w:val="25"/>
        <w:spacing w:beforeLines="50" w:afterLines="50" w:line="264" w:lineRule="auto"/>
        <w:ind w:firstLine="240" w:firstLineChars="100"/>
        <w:rPr>
          <w:rFonts w:ascii="宋体" w:eastAsia="宋体" w:cs="宋体"/>
          <w:color w:val="auto"/>
        </w:rPr>
      </w:pPr>
      <w:r>
        <w:rPr>
          <w:rFonts w:hint="eastAsia" w:ascii="宋体" w:eastAsia="宋体" w:cs="宋体"/>
          <w:color w:val="auto"/>
        </w:rPr>
        <w:t xml:space="preserve">  投标人没有按照采购文件要求提供全部资料，或者投标人没有对采购文件在各方面作出实质性响应是投标人的风险，并可能导致其投标被拒绝。</w:t>
      </w:r>
    </w:p>
    <w:p w14:paraId="42616579">
      <w:pPr>
        <w:numPr>
          <w:ilvl w:val="0"/>
          <w:numId w:val="6"/>
        </w:numPr>
        <w:tabs>
          <w:tab w:val="left" w:pos="0"/>
          <w:tab w:val="left" w:pos="420"/>
        </w:tabs>
        <w:snapToGrid w:val="0"/>
        <w:spacing w:beforeLines="50" w:afterLines="50" w:line="264" w:lineRule="auto"/>
        <w:jc w:val="left"/>
        <w:rPr>
          <w:rFonts w:ascii="宋体" w:hAnsi="宋体" w:cs="宋体"/>
          <w:b/>
          <w:color w:val="auto"/>
          <w:sz w:val="24"/>
        </w:rPr>
      </w:pPr>
      <w:r>
        <w:rPr>
          <w:rFonts w:hint="eastAsia" w:ascii="宋体" w:hAnsi="宋体" w:cs="宋体"/>
          <w:b/>
          <w:color w:val="auto"/>
          <w:sz w:val="24"/>
        </w:rPr>
        <w:t>采购文件的澄清、修改和补充</w:t>
      </w:r>
    </w:p>
    <w:p w14:paraId="42889D4C">
      <w:pPr>
        <w:spacing w:beforeLines="50" w:afterLines="50" w:line="264" w:lineRule="auto"/>
        <w:ind w:firstLine="240" w:firstLineChars="100"/>
        <w:rPr>
          <w:rFonts w:ascii="宋体" w:hAnsi="宋体" w:cs="宋体"/>
          <w:color w:val="auto"/>
          <w:sz w:val="24"/>
        </w:rPr>
      </w:pPr>
      <w:r>
        <w:rPr>
          <w:rFonts w:hint="eastAsia" w:ascii="宋体" w:hAnsi="宋体" w:cs="宋体"/>
          <w:color w:val="auto"/>
          <w:sz w:val="24"/>
        </w:rPr>
        <w:t>15.1.投标人按招标公告要求依法获取采购文件后，应认真阅读本采购文件的所有内容，发现其中有误或有不合理要求的，投标人必须在法定时间内以书面形式要求采购人澄清。逾期提出的，采购人将不予受理。</w:t>
      </w:r>
      <w:r>
        <w:rPr>
          <w:rFonts w:hint="eastAsia" w:ascii="宋体" w:hAnsi="宋体" w:cs="宋体"/>
          <w:b/>
          <w:bCs/>
          <w:color w:val="auto"/>
          <w:sz w:val="24"/>
        </w:rPr>
        <w:t>供应商在规定的时间内未对采购文件提出质疑或要求澄清的，将视其为无异议。</w:t>
      </w:r>
      <w:r>
        <w:rPr>
          <w:rFonts w:hint="eastAsia" w:ascii="宋体" w:hAnsi="宋体" w:cs="宋体"/>
          <w:color w:val="auto"/>
          <w:sz w:val="24"/>
        </w:rPr>
        <w:t>质疑函范本、投诉书范本请到浙江政府采购网下载专区下载。</w:t>
      </w:r>
    </w:p>
    <w:p w14:paraId="488F373A">
      <w:pPr>
        <w:widowControl/>
        <w:spacing w:beforeLines="50" w:afterLines="50" w:line="264" w:lineRule="auto"/>
        <w:ind w:firstLine="480" w:firstLineChars="200"/>
        <w:jc w:val="left"/>
        <w:rPr>
          <w:rFonts w:ascii="宋体" w:hAnsi="宋体" w:cs="宋体"/>
          <w:color w:val="auto"/>
          <w:sz w:val="24"/>
        </w:rPr>
      </w:pPr>
      <w:r>
        <w:rPr>
          <w:rFonts w:hint="eastAsia" w:ascii="宋体" w:hAnsi="宋体" w:cs="宋体"/>
          <w:color w:val="auto"/>
          <w:sz w:val="24"/>
        </w:rPr>
        <w:t>15.2.采购代理机构如对采购文件进行澄清、修改、补充的，或者在投标截止时间前规定时间内，采购代理机构需要对采购文件进行补充或修改的，将会通过投标人须知前附表规定的网址以更正公告的形式发布。更正公告作为采购文件的补充和组成部分，对所有投标人均有约束力。当采购文件与采购文件的澄清、修改、补充通知就同一内容的表述不一致时，以最后发出的文件为准。</w:t>
      </w:r>
      <w:r>
        <w:rPr>
          <w:rFonts w:hint="eastAsia" w:ascii="宋体" w:hAnsi="宋体" w:cs="宋体"/>
          <w:b/>
          <w:bCs/>
          <w:color w:val="auto"/>
          <w:sz w:val="24"/>
        </w:rPr>
        <w:t>投标人须在投标截止前自行查看是否有补充、更正文件，并按补充、更正文件要求投标，否则责任自负。</w:t>
      </w:r>
    </w:p>
    <w:p w14:paraId="673AE9B9">
      <w:pPr>
        <w:pStyle w:val="7"/>
        <w:spacing w:beforeLines="50" w:afterLines="50" w:line="264" w:lineRule="auto"/>
        <w:jc w:val="center"/>
        <w:outlineLvl w:val="1"/>
        <w:rPr>
          <w:rFonts w:hAnsi="宋体" w:cs="宋体"/>
          <w:b/>
          <w:bCs/>
          <w:color w:val="auto"/>
          <w:sz w:val="30"/>
          <w:szCs w:val="30"/>
        </w:rPr>
      </w:pPr>
      <w:bookmarkStart w:id="21" w:name="_Toc5331"/>
      <w:r>
        <w:rPr>
          <w:rFonts w:hint="eastAsia" w:hAnsi="宋体" w:cs="宋体"/>
          <w:b/>
          <w:bCs/>
          <w:color w:val="auto"/>
          <w:sz w:val="30"/>
          <w:szCs w:val="30"/>
        </w:rPr>
        <w:t>第三节  投标文件</w:t>
      </w:r>
      <w:bookmarkEnd w:id="21"/>
    </w:p>
    <w:p w14:paraId="47D20833">
      <w:pPr>
        <w:numPr>
          <w:ilvl w:val="0"/>
          <w:numId w:val="6"/>
        </w:numPr>
        <w:tabs>
          <w:tab w:val="left" w:pos="0"/>
          <w:tab w:val="left" w:pos="420"/>
        </w:tabs>
        <w:snapToGrid w:val="0"/>
        <w:spacing w:beforeLines="50" w:afterLines="50" w:line="264" w:lineRule="auto"/>
        <w:jc w:val="left"/>
        <w:rPr>
          <w:rFonts w:ascii="宋体" w:hAnsi="宋体" w:cs="宋体"/>
          <w:b/>
          <w:color w:val="auto"/>
          <w:sz w:val="24"/>
        </w:rPr>
      </w:pPr>
      <w:r>
        <w:rPr>
          <w:rFonts w:hint="eastAsia" w:ascii="宋体" w:hAnsi="宋体" w:cs="宋体"/>
          <w:b/>
          <w:color w:val="auto"/>
          <w:sz w:val="24"/>
        </w:rPr>
        <w:t>投标文件的编制</w:t>
      </w:r>
    </w:p>
    <w:p w14:paraId="5DE28CB8">
      <w:pPr>
        <w:pStyle w:val="7"/>
        <w:spacing w:beforeLines="50" w:afterLines="50" w:line="264" w:lineRule="auto"/>
        <w:ind w:firstLine="240" w:firstLineChars="100"/>
        <w:rPr>
          <w:rFonts w:hAnsi="宋体" w:cs="宋体"/>
          <w:color w:val="auto"/>
          <w:sz w:val="24"/>
        </w:rPr>
      </w:pPr>
      <w:r>
        <w:rPr>
          <w:rFonts w:hint="eastAsia" w:hAnsi="宋体" w:cs="宋体"/>
          <w:color w:val="auto"/>
          <w:sz w:val="24"/>
        </w:rPr>
        <w:t>16.1.本项目通过“政采云平台（www.zcygov.cn）”实行在线投标响应（电子投标）。供应商应先进行“政采云电子交易客户端”安装及CA数字证书申领，并按照本采购文件和“政采云平台”的要求，通过“政采云电子交易客户端”编制并加密响应文件。电子响应文件包括“电子加密响应文件”和“备份响应文件”，在响应文件编制完成后同时生成。</w:t>
      </w:r>
    </w:p>
    <w:p w14:paraId="6EC3304D">
      <w:pPr>
        <w:widowControl/>
        <w:spacing w:beforeLines="50" w:afterLines="50" w:line="264" w:lineRule="auto"/>
        <w:ind w:firstLine="240" w:firstLineChars="100"/>
        <w:jc w:val="left"/>
        <w:rPr>
          <w:rFonts w:ascii="宋体" w:hAnsi="宋体" w:cs="宋体"/>
          <w:color w:val="auto"/>
          <w:sz w:val="24"/>
        </w:rPr>
      </w:pPr>
      <w:r>
        <w:rPr>
          <w:rFonts w:hint="eastAsia" w:ascii="宋体" w:hAnsi="宋体" w:cs="宋体"/>
          <w:color w:val="auto"/>
          <w:sz w:val="24"/>
        </w:rPr>
        <w:t>16.2.投标人应仔细阅读采购文件(包括澄清或者修改)的所有内容，并对采购文件实质性内容作出响应，制作投标文件时，内容简洁明了、有针对性。所提交的全部资料必须真实有效，并且要保证字迹清晰易于辨认。</w:t>
      </w:r>
    </w:p>
    <w:p w14:paraId="01C9AC1C">
      <w:pPr>
        <w:pStyle w:val="7"/>
        <w:spacing w:beforeLines="50" w:afterLines="50" w:line="264" w:lineRule="auto"/>
        <w:ind w:firstLine="240" w:firstLineChars="100"/>
        <w:rPr>
          <w:rFonts w:hAnsi="宋体" w:cs="宋体"/>
          <w:color w:val="auto"/>
          <w:sz w:val="24"/>
        </w:rPr>
      </w:pPr>
      <w:r>
        <w:rPr>
          <w:rFonts w:hint="eastAsia" w:hAnsi="宋体" w:cs="宋体"/>
          <w:color w:val="auto"/>
          <w:sz w:val="24"/>
        </w:rPr>
        <w:t>16.3.本项目所涉投标文件格式详见</w:t>
      </w:r>
      <w:r>
        <w:rPr>
          <w:color w:val="auto"/>
        </w:rPr>
        <w:fldChar w:fldCharType="begin"/>
      </w:r>
      <w:r>
        <w:rPr>
          <w:color w:val="auto"/>
        </w:rPr>
        <w:instrText xml:space="preserve"> HYPERLINK \l "第六章" </w:instrText>
      </w:r>
      <w:r>
        <w:rPr>
          <w:color w:val="auto"/>
        </w:rPr>
        <w:fldChar w:fldCharType="separate"/>
      </w:r>
      <w:r>
        <w:rPr>
          <w:rStyle w:val="36"/>
          <w:rFonts w:hint="eastAsia" w:hAnsi="宋体" w:cs="宋体"/>
          <w:color w:val="auto"/>
          <w:sz w:val="24"/>
          <w:u w:val="single"/>
        </w:rPr>
        <w:t>第六章</w:t>
      </w:r>
      <w:r>
        <w:rPr>
          <w:rStyle w:val="36"/>
          <w:rFonts w:hint="eastAsia" w:hAnsi="宋体" w:cs="宋体"/>
          <w:color w:val="auto"/>
          <w:sz w:val="24"/>
          <w:u w:val="single"/>
        </w:rPr>
        <w:fldChar w:fldCharType="end"/>
      </w:r>
      <w:r>
        <w:rPr>
          <w:rFonts w:hint="eastAsia" w:hAnsi="宋体" w:cs="宋体"/>
          <w:color w:val="auto"/>
          <w:sz w:val="24"/>
        </w:rPr>
        <w:t>，格式中要求提供相关证明材料的还需后附相关证明材料，并按格式要求在指定位置进行签章。编制投标文件时，不得随意对</w:t>
      </w:r>
      <w:r>
        <w:rPr>
          <w:rStyle w:val="36"/>
          <w:rFonts w:hint="eastAsia" w:hAnsi="宋体" w:cs="宋体"/>
          <w:color w:val="auto"/>
          <w:sz w:val="24"/>
        </w:rPr>
        <w:t>附件</w:t>
      </w:r>
      <w:r>
        <w:rPr>
          <w:rFonts w:hint="eastAsia" w:hAnsi="宋体" w:cs="宋体"/>
          <w:color w:val="auto"/>
          <w:sz w:val="24"/>
        </w:rPr>
        <w:t>格式进行增删更改，若影响实质性内容的表达，将按无效标处理。未提供格式的，请各投标单位自行拟定格式。</w:t>
      </w:r>
    </w:p>
    <w:p w14:paraId="2C05F683">
      <w:pPr>
        <w:pStyle w:val="7"/>
        <w:spacing w:beforeLines="50" w:afterLines="50" w:line="264" w:lineRule="auto"/>
        <w:ind w:firstLine="240" w:firstLineChars="100"/>
        <w:rPr>
          <w:rFonts w:hAnsi="宋体" w:cs="宋体"/>
          <w:color w:val="auto"/>
          <w:sz w:val="24"/>
        </w:rPr>
      </w:pPr>
      <w:r>
        <w:rPr>
          <w:rFonts w:hint="eastAsia" w:hAnsi="宋体" w:cs="宋体"/>
          <w:color w:val="auto"/>
          <w:sz w:val="24"/>
        </w:rPr>
        <w:t>16.4.制作投标文件时做好关联定位，以便评标委员会在评标时，点击评分项，可直接定位到该评分项内容。（关联定位规则：一个关联点只能关联一页，不能关联多页；多个关联点可以关联同一页）</w:t>
      </w:r>
    </w:p>
    <w:p w14:paraId="725842DE">
      <w:pPr>
        <w:pStyle w:val="7"/>
        <w:spacing w:beforeLines="50" w:afterLines="50" w:line="264" w:lineRule="auto"/>
        <w:ind w:firstLine="240" w:firstLineChars="100"/>
        <w:rPr>
          <w:rFonts w:hAnsi="宋体" w:cs="宋体"/>
          <w:color w:val="auto"/>
          <w:sz w:val="24"/>
        </w:rPr>
      </w:pPr>
      <w:r>
        <w:rPr>
          <w:rFonts w:hint="eastAsia" w:hAnsi="宋体" w:cs="宋体"/>
          <w:color w:val="auto"/>
          <w:sz w:val="24"/>
        </w:rPr>
        <w:t>16.5.当投标人先前存在机构合并、分立、重组等情况造成提供的证明材料单位名称与营业执照上的单位名称不一致时，必须提供相关变更证明材料，以供专家评审。</w:t>
      </w:r>
    </w:p>
    <w:p w14:paraId="395186AD">
      <w:pPr>
        <w:pStyle w:val="7"/>
        <w:spacing w:beforeLines="50" w:afterLines="50" w:line="264" w:lineRule="auto"/>
        <w:ind w:firstLine="240" w:firstLineChars="100"/>
        <w:rPr>
          <w:rFonts w:hAnsi="宋体" w:cs="宋体"/>
          <w:color w:val="auto"/>
          <w:sz w:val="24"/>
        </w:rPr>
      </w:pPr>
      <w:r>
        <w:rPr>
          <w:rFonts w:hint="eastAsia" w:hAnsi="宋体" w:cs="宋体"/>
          <w:color w:val="auto"/>
          <w:sz w:val="24"/>
        </w:rPr>
        <w:t>16.6 如联合体投标的，投标文件中除联合协议外，所有盖章、签字部分仅需联合体牵头人盖章和签字。</w:t>
      </w:r>
    </w:p>
    <w:p w14:paraId="62501313">
      <w:pPr>
        <w:numPr>
          <w:ilvl w:val="0"/>
          <w:numId w:val="6"/>
        </w:numPr>
        <w:tabs>
          <w:tab w:val="left" w:pos="0"/>
          <w:tab w:val="left" w:pos="420"/>
        </w:tabs>
        <w:snapToGrid w:val="0"/>
        <w:spacing w:beforeLines="50" w:afterLines="50" w:line="264" w:lineRule="auto"/>
        <w:jc w:val="left"/>
        <w:rPr>
          <w:rFonts w:ascii="宋体" w:hAnsi="宋体" w:cs="宋体"/>
          <w:b/>
          <w:color w:val="auto"/>
          <w:sz w:val="24"/>
        </w:rPr>
      </w:pPr>
      <w:r>
        <w:rPr>
          <w:rFonts w:hint="eastAsia" w:ascii="宋体" w:hAnsi="宋体" w:cs="宋体"/>
          <w:b/>
          <w:color w:val="auto"/>
          <w:sz w:val="24"/>
        </w:rPr>
        <w:t>投标文件的组成</w:t>
      </w:r>
    </w:p>
    <w:p w14:paraId="281B2E5D">
      <w:pPr>
        <w:pStyle w:val="7"/>
        <w:spacing w:beforeLines="50" w:afterLines="50" w:line="264" w:lineRule="auto"/>
        <w:ind w:firstLine="482" w:firstLineChars="200"/>
        <w:rPr>
          <w:rFonts w:hAnsi="宋体" w:cs="宋体"/>
          <w:b/>
          <w:color w:val="auto"/>
          <w:sz w:val="24"/>
        </w:rPr>
      </w:pPr>
      <w:r>
        <w:rPr>
          <w:rFonts w:hint="eastAsia" w:hAnsi="宋体" w:cs="宋体"/>
          <w:b/>
          <w:color w:val="auto"/>
          <w:sz w:val="24"/>
        </w:rPr>
        <w:t>投标文件由【资格文件】、【商务技术文件】、【报价文件】三部分组成。</w:t>
      </w:r>
    </w:p>
    <w:p w14:paraId="55120801">
      <w:pPr>
        <w:pStyle w:val="7"/>
        <w:spacing w:beforeLines="50" w:afterLines="50" w:line="264" w:lineRule="auto"/>
        <w:ind w:firstLine="482" w:firstLineChars="200"/>
        <w:rPr>
          <w:rFonts w:hAnsi="宋体" w:cs="宋体"/>
          <w:color w:val="auto"/>
        </w:rPr>
      </w:pPr>
      <w:r>
        <w:rPr>
          <w:rFonts w:hint="eastAsia" w:hAnsi="宋体" w:cs="宋体"/>
          <w:b/>
          <w:color w:val="auto"/>
          <w:sz w:val="24"/>
        </w:rPr>
        <w:t>除特别注明外，表格内“▲”的内容为必须提供的内容，未提供的投标无效。联合体投标的，表格内未作特别注明的，应由联合体牵头人单位提供。</w:t>
      </w:r>
    </w:p>
    <w:p w14:paraId="357E494B">
      <w:pPr>
        <w:pStyle w:val="7"/>
        <w:numPr>
          <w:ilvl w:val="0"/>
          <w:numId w:val="7"/>
        </w:numPr>
        <w:spacing w:beforeLines="50" w:afterLines="50" w:line="264" w:lineRule="auto"/>
        <w:ind w:firstLine="241" w:firstLineChars="100"/>
        <w:rPr>
          <w:rFonts w:hAnsi="宋体" w:cs="宋体"/>
          <w:b/>
          <w:color w:val="auto"/>
          <w:sz w:val="24"/>
        </w:rPr>
      </w:pPr>
      <w:r>
        <w:rPr>
          <w:rFonts w:hint="eastAsia" w:hAnsi="宋体" w:cs="宋体"/>
          <w:b/>
          <w:color w:val="auto"/>
          <w:sz w:val="24"/>
        </w:rPr>
        <w:t>资格文件包括（加盖单位公章）：</w:t>
      </w:r>
    </w:p>
    <w:tbl>
      <w:tblPr>
        <w:tblStyle w:val="32"/>
        <w:tblW w:w="95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8794"/>
      </w:tblGrid>
      <w:tr w14:paraId="124B4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759" w:type="dxa"/>
            <w:tcBorders>
              <w:tl2br w:val="nil"/>
              <w:tr2bl w:val="nil"/>
            </w:tcBorders>
            <w:shd w:val="clear" w:color="auto" w:fill="auto"/>
            <w:vAlign w:val="center"/>
          </w:tcPr>
          <w:p w14:paraId="605E498A">
            <w:pPr>
              <w:spacing w:beforeLines="50" w:afterLines="50" w:line="264" w:lineRule="auto"/>
              <w:jc w:val="center"/>
              <w:rPr>
                <w:rFonts w:ascii="宋体" w:hAnsi="宋体" w:cs="宋体"/>
                <w:color w:val="auto"/>
                <w:sz w:val="24"/>
              </w:rPr>
            </w:pPr>
            <w:r>
              <w:rPr>
                <w:rFonts w:hint="eastAsia" w:ascii="宋体" w:hAnsi="宋体" w:cs="宋体"/>
                <w:color w:val="auto"/>
                <w:sz w:val="24"/>
              </w:rPr>
              <w:t>序号</w:t>
            </w:r>
          </w:p>
        </w:tc>
        <w:tc>
          <w:tcPr>
            <w:tcW w:w="8794" w:type="dxa"/>
            <w:tcBorders>
              <w:tl2br w:val="nil"/>
              <w:tr2bl w:val="nil"/>
            </w:tcBorders>
            <w:shd w:val="clear" w:color="auto" w:fill="auto"/>
            <w:vAlign w:val="center"/>
          </w:tcPr>
          <w:p w14:paraId="540E477B">
            <w:pPr>
              <w:spacing w:beforeLines="50" w:afterLines="50" w:line="264" w:lineRule="auto"/>
              <w:jc w:val="center"/>
              <w:rPr>
                <w:rFonts w:ascii="宋体" w:hAnsi="宋体" w:cs="宋体"/>
                <w:color w:val="auto"/>
                <w:sz w:val="24"/>
              </w:rPr>
            </w:pPr>
            <w:r>
              <w:rPr>
                <w:rFonts w:hint="eastAsia" w:ascii="宋体" w:hAnsi="宋体" w:cs="宋体"/>
                <w:color w:val="auto"/>
                <w:sz w:val="24"/>
              </w:rPr>
              <w:t>内    容</w:t>
            </w:r>
          </w:p>
        </w:tc>
      </w:tr>
      <w:tr w14:paraId="5AE73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59" w:type="dxa"/>
            <w:tcBorders>
              <w:tl2br w:val="nil"/>
              <w:tr2bl w:val="nil"/>
            </w:tcBorders>
            <w:shd w:val="clear" w:color="auto" w:fill="auto"/>
            <w:vAlign w:val="center"/>
          </w:tcPr>
          <w:p w14:paraId="79378EAD">
            <w:pPr>
              <w:numPr>
                <w:ilvl w:val="0"/>
                <w:numId w:val="8"/>
              </w:numPr>
              <w:snapToGrid w:val="0"/>
              <w:spacing w:beforeLines="50" w:afterLines="50"/>
              <w:jc w:val="center"/>
              <w:rPr>
                <w:rFonts w:ascii="宋体" w:hAnsi="宋体" w:cs="宋体"/>
                <w:color w:val="auto"/>
                <w:sz w:val="24"/>
              </w:rPr>
            </w:pPr>
          </w:p>
        </w:tc>
        <w:tc>
          <w:tcPr>
            <w:tcW w:w="8794" w:type="dxa"/>
            <w:tcBorders>
              <w:tl2br w:val="nil"/>
              <w:tr2bl w:val="nil"/>
            </w:tcBorders>
            <w:shd w:val="clear" w:color="auto" w:fill="auto"/>
            <w:vAlign w:val="center"/>
          </w:tcPr>
          <w:p w14:paraId="66A818A5">
            <w:pPr>
              <w:pStyle w:val="2"/>
              <w:spacing w:beforeLines="50" w:afterLines="50" w:line="240" w:lineRule="auto"/>
              <w:rPr>
                <w:rFonts w:ascii="宋体" w:hAnsi="宋体" w:cs="宋体"/>
                <w:color w:val="auto"/>
              </w:rPr>
            </w:pPr>
            <w:r>
              <w:rPr>
                <w:rFonts w:hint="eastAsia" w:ascii="宋体" w:hAnsi="宋体" w:cs="宋体"/>
                <w:color w:val="auto"/>
              </w:rPr>
              <w:t>《资格文件》封面；</w:t>
            </w:r>
            <w:r>
              <w:rPr>
                <w:rFonts w:hint="eastAsia" w:ascii="宋体" w:hAnsi="宋体" w:cs="宋体"/>
                <w:color w:val="auto"/>
                <w:sz w:val="20"/>
                <w:szCs w:val="20"/>
              </w:rPr>
              <w:t>（</w:t>
            </w:r>
            <w:r>
              <w:rPr>
                <w:rFonts w:hint="eastAsia" w:ascii="宋体" w:hAnsi="宋体" w:cs="宋体"/>
                <w:color w:val="auto"/>
                <w:sz w:val="20"/>
                <w:szCs w:val="20"/>
                <w:u w:val="single"/>
              </w:rPr>
              <w:t>附件1</w:t>
            </w:r>
            <w:r>
              <w:rPr>
                <w:rFonts w:hint="eastAsia" w:ascii="宋体" w:hAnsi="宋体" w:cs="宋体"/>
                <w:color w:val="auto"/>
                <w:sz w:val="20"/>
                <w:szCs w:val="20"/>
              </w:rPr>
              <w:t>，如有）</w:t>
            </w:r>
          </w:p>
        </w:tc>
      </w:tr>
      <w:tr w14:paraId="62505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59" w:type="dxa"/>
            <w:tcBorders>
              <w:tl2br w:val="nil"/>
              <w:tr2bl w:val="nil"/>
            </w:tcBorders>
            <w:shd w:val="clear" w:color="auto" w:fill="auto"/>
            <w:vAlign w:val="center"/>
          </w:tcPr>
          <w:p w14:paraId="7B2E1B20">
            <w:pPr>
              <w:numPr>
                <w:ilvl w:val="0"/>
                <w:numId w:val="8"/>
              </w:numPr>
              <w:snapToGrid w:val="0"/>
              <w:spacing w:beforeLines="50" w:afterLines="50"/>
              <w:jc w:val="center"/>
              <w:rPr>
                <w:rFonts w:ascii="宋体" w:hAnsi="宋体" w:cs="宋体"/>
                <w:color w:val="auto"/>
                <w:sz w:val="24"/>
              </w:rPr>
            </w:pPr>
          </w:p>
        </w:tc>
        <w:tc>
          <w:tcPr>
            <w:tcW w:w="8794" w:type="dxa"/>
            <w:tcBorders>
              <w:tl2br w:val="nil"/>
              <w:tr2bl w:val="nil"/>
            </w:tcBorders>
            <w:shd w:val="clear" w:color="auto" w:fill="auto"/>
            <w:vAlign w:val="center"/>
          </w:tcPr>
          <w:p w14:paraId="2302B7C8">
            <w:pPr>
              <w:pStyle w:val="2"/>
              <w:spacing w:beforeLines="50" w:afterLines="50" w:line="240" w:lineRule="auto"/>
              <w:rPr>
                <w:rFonts w:ascii="宋体" w:hAnsi="宋体" w:cs="宋体"/>
                <w:color w:val="auto"/>
              </w:rPr>
            </w:pPr>
            <w:r>
              <w:rPr>
                <w:rFonts w:hint="eastAsia" w:ascii="宋体" w:hAnsi="宋体" w:cs="宋体"/>
                <w:color w:val="auto"/>
              </w:rPr>
              <w:t>▲《</w:t>
            </w:r>
            <w:r>
              <w:rPr>
                <w:rFonts w:hint="eastAsia" w:ascii="宋体" w:hAnsi="宋体" w:cs="宋体"/>
                <w:color w:val="auto"/>
                <w:lang w:val="zh-CN"/>
              </w:rPr>
              <w:t>投标资格声明函》；</w:t>
            </w:r>
            <w:r>
              <w:rPr>
                <w:color w:val="auto"/>
              </w:rPr>
              <w:fldChar w:fldCharType="begin"/>
            </w:r>
            <w:r>
              <w:rPr>
                <w:color w:val="auto"/>
              </w:rPr>
              <w:instrText xml:space="preserve"> HYPERLINK \l "残疾人单位" </w:instrText>
            </w:r>
            <w:r>
              <w:rPr>
                <w:color w:val="auto"/>
              </w:rPr>
              <w:fldChar w:fldCharType="separate"/>
            </w:r>
            <w:r>
              <w:rPr>
                <w:rFonts w:hint="eastAsia" w:ascii="宋体" w:hAnsi="宋体" w:cs="宋体"/>
                <w:color w:val="auto"/>
                <w:sz w:val="20"/>
                <w:szCs w:val="20"/>
                <w:u w:val="single"/>
              </w:rPr>
              <w:t>（附件5）</w:t>
            </w:r>
            <w:r>
              <w:rPr>
                <w:rFonts w:hint="eastAsia" w:ascii="宋体" w:hAnsi="宋体" w:cs="宋体"/>
                <w:color w:val="auto"/>
                <w:sz w:val="20"/>
                <w:szCs w:val="20"/>
                <w:u w:val="single"/>
              </w:rPr>
              <w:fldChar w:fldCharType="end"/>
            </w:r>
          </w:p>
        </w:tc>
      </w:tr>
      <w:tr w14:paraId="53898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59" w:type="dxa"/>
            <w:tcBorders>
              <w:tl2br w:val="nil"/>
              <w:tr2bl w:val="nil"/>
            </w:tcBorders>
            <w:shd w:val="clear" w:color="auto" w:fill="auto"/>
            <w:vAlign w:val="center"/>
          </w:tcPr>
          <w:p w14:paraId="2D70F7D9">
            <w:pPr>
              <w:numPr>
                <w:ilvl w:val="0"/>
                <w:numId w:val="8"/>
              </w:numPr>
              <w:snapToGrid w:val="0"/>
              <w:spacing w:beforeLines="50" w:afterLines="50"/>
              <w:jc w:val="center"/>
              <w:rPr>
                <w:rFonts w:ascii="宋体" w:hAnsi="宋体" w:cs="宋体"/>
                <w:color w:val="auto"/>
                <w:sz w:val="24"/>
              </w:rPr>
            </w:pPr>
          </w:p>
        </w:tc>
        <w:tc>
          <w:tcPr>
            <w:tcW w:w="8794" w:type="dxa"/>
            <w:tcBorders>
              <w:tl2br w:val="nil"/>
              <w:tr2bl w:val="nil"/>
            </w:tcBorders>
            <w:shd w:val="clear" w:color="auto" w:fill="auto"/>
            <w:vAlign w:val="center"/>
          </w:tcPr>
          <w:p w14:paraId="3951D355">
            <w:pPr>
              <w:spacing w:beforeLines="50" w:afterLines="50"/>
              <w:jc w:val="left"/>
              <w:rPr>
                <w:rFonts w:ascii="宋体" w:hAnsi="宋体" w:cs="宋体"/>
                <w:color w:val="auto"/>
                <w:sz w:val="24"/>
              </w:rPr>
            </w:pPr>
            <w:r>
              <w:rPr>
                <w:rFonts w:hint="eastAsia" w:ascii="宋体" w:hAnsi="宋体" w:cs="宋体"/>
                <w:color w:val="auto"/>
                <w:sz w:val="24"/>
              </w:rPr>
              <w:t>【</w:t>
            </w:r>
            <w:r>
              <w:rPr>
                <w:rFonts w:hint="eastAsia" w:ascii="宋体" w:hAnsi="宋体" w:cs="宋体"/>
                <w:b/>
                <w:bCs/>
                <w:color w:val="auto"/>
                <w:sz w:val="24"/>
              </w:rPr>
              <w:t>若为联合体投标，联合体成员均须提供】</w:t>
            </w:r>
          </w:p>
          <w:p w14:paraId="72BB8FEB">
            <w:pPr>
              <w:spacing w:beforeLines="50" w:afterLines="50"/>
              <w:jc w:val="left"/>
              <w:rPr>
                <w:rFonts w:ascii="宋体" w:hAnsi="宋体" w:cs="宋体"/>
                <w:color w:val="auto"/>
                <w:sz w:val="24"/>
              </w:rPr>
            </w:pPr>
            <w:r>
              <w:rPr>
                <w:rFonts w:hint="eastAsia" w:ascii="宋体" w:hAnsi="宋体" w:cs="宋体"/>
                <w:color w:val="auto"/>
                <w:sz w:val="24"/>
              </w:rPr>
              <w:t>▲提供企业法人营业执照（或事业单位法人证书）或其他组织（个体工商户）的营业执照或者民办非企业单位登记证书，如为自然人的需附身份证明并签字。</w:t>
            </w:r>
          </w:p>
          <w:p w14:paraId="7AA9B290">
            <w:pPr>
              <w:pStyle w:val="2"/>
              <w:spacing w:beforeLines="50" w:afterLines="50" w:line="240" w:lineRule="auto"/>
              <w:ind w:firstLine="240" w:firstLineChars="100"/>
              <w:jc w:val="left"/>
              <w:rPr>
                <w:rFonts w:ascii="宋体" w:hAnsi="宋体" w:cs="宋体"/>
                <w:color w:val="auto"/>
              </w:rPr>
            </w:pPr>
            <w:r>
              <w:rPr>
                <w:rFonts w:hint="eastAsia" w:ascii="宋体" w:hAnsi="宋体" w:cs="宋体"/>
                <w:color w:val="auto"/>
              </w:rPr>
              <w:t>注：金融、保险、通讯等特定行业的全国性企业所设立的区域性分支机构，以及个体工商户、个人独资企业、合伙企业，如果已经依法办理了工商、税务和社保登记手续，并且</w:t>
            </w:r>
            <w:r>
              <w:rPr>
                <w:rFonts w:hint="eastAsia" w:ascii="宋体" w:hAnsi="宋体" w:cs="宋体"/>
                <w:color w:val="auto"/>
                <w:u w:val="single"/>
              </w:rPr>
              <w:t>获得总公司（总机构）授权或能够提供房产权证或其他有效财产证明材料</w:t>
            </w:r>
            <w:r>
              <w:rPr>
                <w:rFonts w:hint="eastAsia" w:ascii="宋体" w:hAnsi="宋体" w:cs="宋体"/>
                <w:color w:val="auto"/>
              </w:rPr>
              <w:t>，证明其具备实际承担责任的能力和法定的缔结合同能力，可以允许其独立参加政府采购活动。</w:t>
            </w:r>
          </w:p>
        </w:tc>
      </w:tr>
      <w:tr w14:paraId="1D238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59" w:type="dxa"/>
            <w:tcBorders>
              <w:tl2br w:val="nil"/>
              <w:tr2bl w:val="nil"/>
            </w:tcBorders>
            <w:shd w:val="clear" w:color="auto" w:fill="auto"/>
            <w:vAlign w:val="center"/>
          </w:tcPr>
          <w:p w14:paraId="2404F332">
            <w:pPr>
              <w:numPr>
                <w:ilvl w:val="0"/>
                <w:numId w:val="8"/>
              </w:numPr>
              <w:snapToGrid w:val="0"/>
              <w:spacing w:beforeLines="50" w:afterLines="50"/>
              <w:jc w:val="center"/>
              <w:rPr>
                <w:rFonts w:ascii="宋体" w:hAnsi="宋体" w:cs="宋体"/>
                <w:color w:val="auto"/>
                <w:sz w:val="24"/>
              </w:rPr>
            </w:pPr>
          </w:p>
        </w:tc>
        <w:tc>
          <w:tcPr>
            <w:tcW w:w="8794" w:type="dxa"/>
            <w:tcBorders>
              <w:tl2br w:val="nil"/>
              <w:tr2bl w:val="nil"/>
            </w:tcBorders>
            <w:shd w:val="clear" w:color="auto" w:fill="auto"/>
            <w:vAlign w:val="center"/>
          </w:tcPr>
          <w:p w14:paraId="6C190102">
            <w:pPr>
              <w:pStyle w:val="2"/>
              <w:spacing w:beforeLines="50" w:afterLines="50" w:line="240" w:lineRule="auto"/>
              <w:jc w:val="left"/>
              <w:rPr>
                <w:rFonts w:ascii="宋体" w:hAnsi="宋体" w:cs="宋体"/>
                <w:color w:val="auto"/>
              </w:rPr>
            </w:pPr>
            <w:r>
              <w:rPr>
                <w:rFonts w:hint="eastAsia" w:ascii="宋体" w:hAnsi="宋体" w:cs="宋体"/>
                <w:color w:val="auto"/>
              </w:rPr>
              <w:t>▲</w:t>
            </w:r>
            <w:r>
              <w:rPr>
                <w:rFonts w:hint="eastAsia" w:ascii="宋体" w:hAnsi="宋体" w:cs="宋体"/>
                <w:b/>
                <w:bCs/>
                <w:color w:val="auto"/>
              </w:rPr>
              <w:t>《中小企业声明函》</w:t>
            </w:r>
            <w:r>
              <w:rPr>
                <w:rFonts w:hint="eastAsia" w:ascii="宋体" w:hAnsi="宋体" w:cs="宋体"/>
                <w:b/>
                <w:bCs/>
                <w:color w:val="auto"/>
                <w:sz w:val="20"/>
                <w:szCs w:val="20"/>
              </w:rPr>
              <w:t>（</w:t>
            </w:r>
            <w:r>
              <w:rPr>
                <w:rFonts w:hint="eastAsia" w:ascii="宋体" w:hAnsi="宋体" w:cs="宋体"/>
                <w:b/>
                <w:bCs/>
                <w:color w:val="auto"/>
                <w:sz w:val="20"/>
                <w:szCs w:val="20"/>
                <w:u w:val="single"/>
              </w:rPr>
              <w:t>附件</w:t>
            </w:r>
            <w:r>
              <w:rPr>
                <w:color w:val="auto"/>
              </w:rPr>
              <w:fldChar w:fldCharType="begin"/>
            </w:r>
            <w:r>
              <w:rPr>
                <w:color w:val="auto"/>
              </w:rPr>
              <w:instrText xml:space="preserve"> HYPERLINK \l "小微企业" </w:instrText>
            </w:r>
            <w:r>
              <w:rPr>
                <w:color w:val="auto"/>
              </w:rPr>
              <w:fldChar w:fldCharType="separate"/>
            </w:r>
            <w:r>
              <w:rPr>
                <w:rFonts w:hint="eastAsia" w:ascii="宋体" w:hAnsi="宋体" w:cs="宋体"/>
                <w:b/>
                <w:bCs/>
                <w:color w:val="auto"/>
                <w:sz w:val="20"/>
                <w:szCs w:val="20"/>
                <w:u w:val="single"/>
              </w:rPr>
              <w:t>7-2）</w:t>
            </w:r>
            <w:r>
              <w:rPr>
                <w:rFonts w:hint="eastAsia" w:ascii="宋体" w:hAnsi="宋体" w:cs="宋体"/>
                <w:b/>
                <w:bCs/>
                <w:color w:val="auto"/>
                <w:sz w:val="20"/>
                <w:szCs w:val="20"/>
                <w:u w:val="single"/>
              </w:rPr>
              <w:fldChar w:fldCharType="end"/>
            </w:r>
          </w:p>
        </w:tc>
      </w:tr>
      <w:tr w14:paraId="0BCB3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59" w:type="dxa"/>
            <w:tcBorders>
              <w:tl2br w:val="nil"/>
              <w:tr2bl w:val="nil"/>
            </w:tcBorders>
            <w:shd w:val="clear" w:color="auto" w:fill="auto"/>
            <w:vAlign w:val="center"/>
          </w:tcPr>
          <w:p w14:paraId="085681DF">
            <w:pPr>
              <w:numPr>
                <w:ilvl w:val="0"/>
                <w:numId w:val="8"/>
              </w:numPr>
              <w:snapToGrid w:val="0"/>
              <w:spacing w:beforeLines="50" w:afterLines="50"/>
              <w:jc w:val="center"/>
              <w:rPr>
                <w:rFonts w:ascii="宋体" w:hAnsi="宋体" w:cs="宋体"/>
                <w:color w:val="auto"/>
                <w:sz w:val="24"/>
              </w:rPr>
            </w:pPr>
          </w:p>
        </w:tc>
        <w:tc>
          <w:tcPr>
            <w:tcW w:w="8794" w:type="dxa"/>
            <w:tcBorders>
              <w:tl2br w:val="nil"/>
              <w:tr2bl w:val="nil"/>
            </w:tcBorders>
            <w:shd w:val="clear" w:color="auto" w:fill="auto"/>
            <w:vAlign w:val="center"/>
          </w:tcPr>
          <w:p w14:paraId="04E76DC6">
            <w:pPr>
              <w:pStyle w:val="57"/>
              <w:spacing w:beforeLines="50" w:afterLines="50"/>
              <w:rPr>
                <w:rFonts w:ascii="宋体" w:hAnsi="宋体" w:cs="宋体"/>
                <w:color w:val="auto"/>
                <w:sz w:val="20"/>
                <w:szCs w:val="20"/>
              </w:rPr>
            </w:pPr>
            <w:r>
              <w:rPr>
                <w:rFonts w:hint="eastAsia" w:ascii="宋体" w:hAnsi="宋体" w:cs="宋体"/>
                <w:color w:val="auto"/>
                <w:sz w:val="24"/>
              </w:rPr>
              <w:t>▲《联合协议》；</w:t>
            </w:r>
            <w:r>
              <w:rPr>
                <w:rFonts w:hint="eastAsia" w:ascii="宋体" w:hAnsi="宋体" w:cs="宋体"/>
                <w:color w:val="auto"/>
                <w:sz w:val="20"/>
                <w:szCs w:val="20"/>
                <w:u w:val="single"/>
              </w:rPr>
              <w:t>（附件8，如有）</w:t>
            </w:r>
          </w:p>
          <w:p w14:paraId="15BB48EF">
            <w:pPr>
              <w:pStyle w:val="57"/>
              <w:spacing w:beforeLines="50" w:afterLines="50"/>
              <w:ind w:firstLine="200" w:firstLineChars="100"/>
              <w:rPr>
                <w:rFonts w:ascii="宋体" w:hAnsi="宋体" w:cs="宋体"/>
                <w:color w:val="auto"/>
                <w:sz w:val="24"/>
              </w:rPr>
            </w:pPr>
            <w:r>
              <w:rPr>
                <w:rFonts w:hint="eastAsia" w:ascii="宋体" w:hAnsi="宋体" w:cs="宋体"/>
                <w:color w:val="auto"/>
                <w:sz w:val="20"/>
                <w:szCs w:val="20"/>
              </w:rPr>
              <w:t>注：若本项目不接受联合体投标或者投标人不以联合体形式投标的，则无需提供。</w:t>
            </w:r>
          </w:p>
        </w:tc>
      </w:tr>
      <w:tr w14:paraId="7DF78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59" w:type="dxa"/>
            <w:tcBorders>
              <w:tl2br w:val="nil"/>
              <w:tr2bl w:val="nil"/>
            </w:tcBorders>
            <w:shd w:val="clear" w:color="auto" w:fill="auto"/>
            <w:vAlign w:val="center"/>
          </w:tcPr>
          <w:p w14:paraId="6CD77B1A">
            <w:pPr>
              <w:numPr>
                <w:ilvl w:val="0"/>
                <w:numId w:val="8"/>
              </w:numPr>
              <w:snapToGrid w:val="0"/>
              <w:spacing w:beforeLines="50" w:afterLines="50"/>
              <w:jc w:val="center"/>
              <w:rPr>
                <w:rFonts w:ascii="宋体" w:hAnsi="宋体" w:cs="宋体"/>
                <w:color w:val="auto"/>
                <w:sz w:val="24"/>
              </w:rPr>
            </w:pPr>
          </w:p>
        </w:tc>
        <w:tc>
          <w:tcPr>
            <w:tcW w:w="8794" w:type="dxa"/>
            <w:tcBorders>
              <w:tl2br w:val="nil"/>
              <w:tr2bl w:val="nil"/>
            </w:tcBorders>
            <w:shd w:val="clear" w:color="auto" w:fill="auto"/>
            <w:vAlign w:val="center"/>
          </w:tcPr>
          <w:p w14:paraId="46B172C6">
            <w:pPr>
              <w:rPr>
                <w:rFonts w:ascii="宋体" w:hAnsi="宋体" w:cs="宋体"/>
                <w:color w:val="auto"/>
                <w:sz w:val="20"/>
                <w:szCs w:val="20"/>
              </w:rPr>
            </w:pPr>
            <w:r>
              <w:rPr>
                <w:rFonts w:hint="eastAsia" w:ascii="仿宋" w:hAnsi="仿宋" w:eastAsia="仿宋" w:cs="仿宋"/>
                <w:color w:val="auto"/>
                <w:sz w:val="24"/>
              </w:rPr>
              <w:t>▲</w:t>
            </w:r>
            <w:r>
              <w:rPr>
                <w:rFonts w:hint="eastAsia" w:ascii="仿宋" w:hAnsi="仿宋" w:eastAsia="仿宋" w:cs="仿宋"/>
                <w:b/>
                <w:bCs/>
                <w:color w:val="auto"/>
                <w:sz w:val="24"/>
              </w:rPr>
              <w:t>特定资格证明材料：无</w:t>
            </w:r>
          </w:p>
        </w:tc>
      </w:tr>
      <w:tr w14:paraId="616A1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59" w:type="dxa"/>
            <w:tcBorders>
              <w:tl2br w:val="nil"/>
              <w:tr2bl w:val="nil"/>
            </w:tcBorders>
            <w:shd w:val="clear" w:color="auto" w:fill="auto"/>
            <w:vAlign w:val="center"/>
          </w:tcPr>
          <w:p w14:paraId="4574491C">
            <w:pPr>
              <w:numPr>
                <w:ilvl w:val="0"/>
                <w:numId w:val="8"/>
              </w:numPr>
              <w:snapToGrid w:val="0"/>
              <w:spacing w:beforeLines="50" w:afterLines="50"/>
              <w:jc w:val="center"/>
              <w:rPr>
                <w:rFonts w:ascii="宋体" w:hAnsi="宋体" w:cs="宋体"/>
                <w:color w:val="auto"/>
                <w:sz w:val="24"/>
              </w:rPr>
            </w:pPr>
          </w:p>
        </w:tc>
        <w:tc>
          <w:tcPr>
            <w:tcW w:w="8794" w:type="dxa"/>
            <w:tcBorders>
              <w:tl2br w:val="nil"/>
              <w:tr2bl w:val="nil"/>
            </w:tcBorders>
            <w:shd w:val="clear" w:color="auto" w:fill="auto"/>
            <w:vAlign w:val="center"/>
          </w:tcPr>
          <w:p w14:paraId="39893621">
            <w:pPr>
              <w:rPr>
                <w:rFonts w:ascii="宋体" w:hAnsi="宋体" w:cs="宋体"/>
                <w:color w:val="auto"/>
                <w:sz w:val="20"/>
                <w:szCs w:val="20"/>
              </w:rPr>
            </w:pPr>
            <w:r>
              <w:rPr>
                <w:rFonts w:hint="eastAsia" w:ascii="宋体" w:hAnsi="宋体" w:cs="宋体"/>
                <w:color w:val="auto"/>
                <w:sz w:val="24"/>
              </w:rPr>
              <w:t>投标人认为需要提供的其他相关材料；</w:t>
            </w:r>
            <w:r>
              <w:rPr>
                <w:rFonts w:hint="eastAsia" w:ascii="宋体" w:hAnsi="宋体" w:cs="宋体"/>
                <w:color w:val="auto"/>
                <w:sz w:val="20"/>
                <w:szCs w:val="20"/>
              </w:rPr>
              <w:t>（如有）</w:t>
            </w:r>
          </w:p>
        </w:tc>
      </w:tr>
    </w:tbl>
    <w:p w14:paraId="277AF901">
      <w:pPr>
        <w:pStyle w:val="7"/>
        <w:numPr>
          <w:ilvl w:val="0"/>
          <w:numId w:val="7"/>
        </w:numPr>
        <w:spacing w:beforeLines="50" w:afterLines="50" w:line="264" w:lineRule="auto"/>
        <w:ind w:firstLine="241" w:firstLineChars="100"/>
        <w:rPr>
          <w:rFonts w:hAnsi="宋体" w:cs="宋体"/>
          <w:b/>
          <w:color w:val="auto"/>
          <w:sz w:val="24"/>
        </w:rPr>
      </w:pPr>
      <w:r>
        <w:rPr>
          <w:rFonts w:hint="eastAsia" w:hAnsi="宋体" w:cs="宋体"/>
          <w:b/>
          <w:color w:val="auto"/>
          <w:sz w:val="24"/>
        </w:rPr>
        <w:t>商务技术文件包括（加盖单位公章）：</w:t>
      </w:r>
    </w:p>
    <w:tbl>
      <w:tblPr>
        <w:tblStyle w:val="31"/>
        <w:tblW w:w="95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8744"/>
      </w:tblGrid>
      <w:tr w14:paraId="4EBA0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blHeader/>
          <w:jc w:val="center"/>
        </w:trPr>
        <w:tc>
          <w:tcPr>
            <w:tcW w:w="773" w:type="dxa"/>
            <w:shd w:val="clear" w:color="auto" w:fill="auto"/>
            <w:vAlign w:val="center"/>
          </w:tcPr>
          <w:p w14:paraId="665BC33C">
            <w:pPr>
              <w:spacing w:beforeLines="50" w:afterLines="50" w:line="264" w:lineRule="auto"/>
              <w:jc w:val="center"/>
              <w:rPr>
                <w:rFonts w:ascii="宋体" w:hAnsi="宋体" w:cs="宋体"/>
                <w:color w:val="auto"/>
                <w:sz w:val="24"/>
                <w:lang w:val="zh-CN"/>
              </w:rPr>
            </w:pPr>
            <w:r>
              <w:rPr>
                <w:rFonts w:hint="eastAsia" w:ascii="宋体" w:hAnsi="宋体" w:cs="宋体"/>
                <w:color w:val="auto"/>
                <w:sz w:val="24"/>
                <w:lang w:val="zh-CN"/>
              </w:rPr>
              <w:t>序号</w:t>
            </w:r>
          </w:p>
        </w:tc>
        <w:tc>
          <w:tcPr>
            <w:tcW w:w="8744" w:type="dxa"/>
            <w:shd w:val="clear" w:color="auto" w:fill="auto"/>
            <w:vAlign w:val="center"/>
          </w:tcPr>
          <w:p w14:paraId="636C0AEC">
            <w:pPr>
              <w:spacing w:beforeLines="50" w:afterLines="50" w:line="264" w:lineRule="auto"/>
              <w:jc w:val="center"/>
              <w:rPr>
                <w:rFonts w:ascii="宋体" w:hAnsi="宋体" w:cs="宋体"/>
                <w:color w:val="auto"/>
                <w:sz w:val="24"/>
                <w:lang w:val="zh-CN"/>
              </w:rPr>
            </w:pPr>
            <w:r>
              <w:rPr>
                <w:rFonts w:hint="eastAsia" w:ascii="宋体" w:hAnsi="宋体" w:cs="宋体"/>
                <w:color w:val="auto"/>
                <w:sz w:val="24"/>
              </w:rPr>
              <w:t>内    容</w:t>
            </w:r>
          </w:p>
        </w:tc>
      </w:tr>
      <w:tr w14:paraId="5694E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blHeader/>
          <w:jc w:val="center"/>
        </w:trPr>
        <w:tc>
          <w:tcPr>
            <w:tcW w:w="773" w:type="dxa"/>
            <w:shd w:val="clear" w:color="auto" w:fill="auto"/>
            <w:vAlign w:val="center"/>
          </w:tcPr>
          <w:p w14:paraId="708FD5ED">
            <w:pPr>
              <w:numPr>
                <w:ilvl w:val="0"/>
                <w:numId w:val="9"/>
              </w:numPr>
              <w:snapToGrid w:val="0"/>
              <w:spacing w:beforeLines="50" w:afterLines="50"/>
              <w:jc w:val="center"/>
              <w:rPr>
                <w:rFonts w:ascii="宋体" w:hAnsi="宋体" w:cs="宋体"/>
                <w:color w:val="auto"/>
                <w:sz w:val="24"/>
                <w:lang w:val="zh-CN"/>
              </w:rPr>
            </w:pPr>
          </w:p>
        </w:tc>
        <w:tc>
          <w:tcPr>
            <w:tcW w:w="8744" w:type="dxa"/>
            <w:shd w:val="clear" w:color="auto" w:fill="auto"/>
            <w:vAlign w:val="center"/>
          </w:tcPr>
          <w:p w14:paraId="6F94FA42">
            <w:pPr>
              <w:spacing w:beforeLines="50" w:afterLines="50"/>
              <w:jc w:val="left"/>
              <w:rPr>
                <w:rFonts w:ascii="宋体" w:hAnsi="宋体" w:cs="宋体"/>
                <w:color w:val="auto"/>
                <w:sz w:val="24"/>
              </w:rPr>
            </w:pPr>
            <w:r>
              <w:rPr>
                <w:rFonts w:hint="eastAsia" w:ascii="宋体" w:hAnsi="宋体" w:cs="宋体"/>
                <w:color w:val="auto"/>
                <w:sz w:val="24"/>
              </w:rPr>
              <w:t>《商务技术文件》封面；</w:t>
            </w:r>
            <w:r>
              <w:rPr>
                <w:rFonts w:hint="eastAsia" w:ascii="宋体" w:hAnsi="宋体" w:cs="宋体"/>
                <w:color w:val="auto"/>
                <w:sz w:val="20"/>
                <w:szCs w:val="20"/>
              </w:rPr>
              <w:t>（</w:t>
            </w:r>
            <w:r>
              <w:rPr>
                <w:rFonts w:hint="eastAsia" w:ascii="宋体" w:hAnsi="宋体" w:cs="宋体"/>
                <w:color w:val="auto"/>
                <w:sz w:val="20"/>
                <w:szCs w:val="20"/>
                <w:u w:val="single"/>
              </w:rPr>
              <w:t>附件1</w:t>
            </w:r>
            <w:r>
              <w:rPr>
                <w:rFonts w:hint="eastAsia" w:ascii="宋体" w:hAnsi="宋体" w:cs="宋体"/>
                <w:color w:val="auto"/>
                <w:sz w:val="20"/>
                <w:szCs w:val="20"/>
              </w:rPr>
              <w:t>，如有）</w:t>
            </w:r>
          </w:p>
        </w:tc>
      </w:tr>
      <w:tr w14:paraId="5C589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blHeader/>
          <w:jc w:val="center"/>
        </w:trPr>
        <w:tc>
          <w:tcPr>
            <w:tcW w:w="773" w:type="dxa"/>
            <w:shd w:val="clear" w:color="auto" w:fill="auto"/>
            <w:vAlign w:val="center"/>
          </w:tcPr>
          <w:p w14:paraId="532486E6">
            <w:pPr>
              <w:numPr>
                <w:ilvl w:val="0"/>
                <w:numId w:val="9"/>
              </w:numPr>
              <w:snapToGrid w:val="0"/>
              <w:spacing w:beforeLines="50" w:afterLines="50"/>
              <w:jc w:val="center"/>
              <w:rPr>
                <w:rFonts w:ascii="宋体" w:hAnsi="宋体" w:cs="宋体"/>
                <w:color w:val="auto"/>
                <w:sz w:val="24"/>
                <w:lang w:val="zh-CN"/>
              </w:rPr>
            </w:pPr>
          </w:p>
        </w:tc>
        <w:tc>
          <w:tcPr>
            <w:tcW w:w="8744" w:type="dxa"/>
            <w:shd w:val="clear" w:color="auto" w:fill="auto"/>
            <w:vAlign w:val="center"/>
          </w:tcPr>
          <w:p w14:paraId="14BEB79A">
            <w:pPr>
              <w:spacing w:beforeLines="50" w:afterLines="50"/>
              <w:jc w:val="left"/>
              <w:rPr>
                <w:rFonts w:ascii="宋体" w:hAnsi="宋体" w:cs="宋体"/>
                <w:color w:val="auto"/>
                <w:sz w:val="24"/>
              </w:rPr>
            </w:pPr>
            <w:r>
              <w:rPr>
                <w:rFonts w:hint="eastAsia" w:ascii="宋体" w:hAnsi="宋体" w:cs="宋体"/>
                <w:color w:val="auto"/>
                <w:sz w:val="24"/>
              </w:rPr>
              <w:t>《商务技术文件》目录；</w:t>
            </w:r>
            <w:r>
              <w:rPr>
                <w:color w:val="auto"/>
              </w:rPr>
              <w:fldChar w:fldCharType="begin"/>
            </w:r>
            <w:r>
              <w:rPr>
                <w:color w:val="auto"/>
              </w:rPr>
              <w:instrText xml:space="preserve"> HYPERLINK \l "基本情况" </w:instrText>
            </w:r>
            <w:r>
              <w:rPr>
                <w:color w:val="auto"/>
              </w:rPr>
              <w:fldChar w:fldCharType="separate"/>
            </w:r>
            <w:r>
              <w:rPr>
                <w:rFonts w:hint="eastAsia" w:ascii="宋体" w:hAnsi="宋体" w:cs="宋体"/>
                <w:color w:val="auto"/>
                <w:sz w:val="20"/>
                <w:szCs w:val="20"/>
              </w:rPr>
              <w:t>（格式自拟，如有）</w:t>
            </w:r>
            <w:r>
              <w:rPr>
                <w:rFonts w:hint="eastAsia" w:ascii="宋体" w:hAnsi="宋体" w:cs="宋体"/>
                <w:color w:val="auto"/>
                <w:sz w:val="20"/>
                <w:szCs w:val="20"/>
              </w:rPr>
              <w:fldChar w:fldCharType="end"/>
            </w:r>
          </w:p>
        </w:tc>
      </w:tr>
      <w:tr w14:paraId="6D161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blHeader/>
          <w:jc w:val="center"/>
        </w:trPr>
        <w:tc>
          <w:tcPr>
            <w:tcW w:w="773" w:type="dxa"/>
            <w:shd w:val="clear" w:color="auto" w:fill="auto"/>
            <w:vAlign w:val="center"/>
          </w:tcPr>
          <w:p w14:paraId="64E38566">
            <w:pPr>
              <w:numPr>
                <w:ilvl w:val="0"/>
                <w:numId w:val="9"/>
              </w:numPr>
              <w:snapToGrid w:val="0"/>
              <w:spacing w:beforeLines="50" w:afterLines="50"/>
              <w:jc w:val="center"/>
              <w:rPr>
                <w:rFonts w:ascii="宋体" w:hAnsi="宋体" w:cs="宋体"/>
                <w:color w:val="auto"/>
                <w:sz w:val="24"/>
              </w:rPr>
            </w:pPr>
          </w:p>
        </w:tc>
        <w:tc>
          <w:tcPr>
            <w:tcW w:w="8744" w:type="dxa"/>
            <w:shd w:val="clear" w:color="auto" w:fill="auto"/>
            <w:vAlign w:val="center"/>
          </w:tcPr>
          <w:p w14:paraId="5D5E4E01">
            <w:pPr>
              <w:snapToGrid w:val="0"/>
              <w:spacing w:beforeLines="50" w:afterLines="50"/>
              <w:rPr>
                <w:rFonts w:ascii="宋体" w:hAnsi="宋体" w:cs="宋体"/>
                <w:color w:val="auto"/>
                <w:sz w:val="24"/>
                <w:lang w:val="zh-CN"/>
              </w:rPr>
            </w:pPr>
            <w:r>
              <w:rPr>
                <w:rFonts w:hint="eastAsia" w:ascii="宋体" w:hAnsi="宋体" w:cs="宋体"/>
                <w:color w:val="auto"/>
                <w:sz w:val="24"/>
              </w:rPr>
              <w:t>▲法定代表人（负责人）资格证明书；</w:t>
            </w:r>
            <w:r>
              <w:rPr>
                <w:rFonts w:hint="eastAsia" w:ascii="宋体" w:hAnsi="宋体" w:cs="宋体"/>
                <w:color w:val="auto"/>
                <w:sz w:val="20"/>
                <w:szCs w:val="20"/>
                <w:u w:val="single"/>
              </w:rPr>
              <w:t>（附件3）</w:t>
            </w:r>
          </w:p>
        </w:tc>
      </w:tr>
      <w:tr w14:paraId="21497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blHeader/>
          <w:jc w:val="center"/>
        </w:trPr>
        <w:tc>
          <w:tcPr>
            <w:tcW w:w="773" w:type="dxa"/>
            <w:shd w:val="clear" w:color="auto" w:fill="auto"/>
            <w:vAlign w:val="center"/>
          </w:tcPr>
          <w:p w14:paraId="7A1AD52A">
            <w:pPr>
              <w:numPr>
                <w:ilvl w:val="0"/>
                <w:numId w:val="9"/>
              </w:numPr>
              <w:snapToGrid w:val="0"/>
              <w:spacing w:beforeLines="50" w:afterLines="50"/>
              <w:jc w:val="center"/>
              <w:rPr>
                <w:rFonts w:ascii="宋体" w:hAnsi="宋体" w:cs="宋体"/>
                <w:color w:val="auto"/>
                <w:sz w:val="24"/>
              </w:rPr>
            </w:pPr>
          </w:p>
        </w:tc>
        <w:tc>
          <w:tcPr>
            <w:tcW w:w="8744" w:type="dxa"/>
            <w:shd w:val="clear" w:color="auto" w:fill="auto"/>
            <w:vAlign w:val="center"/>
          </w:tcPr>
          <w:p w14:paraId="3FC369D9">
            <w:pPr>
              <w:snapToGrid w:val="0"/>
              <w:spacing w:beforeLines="50" w:afterLines="50"/>
              <w:rPr>
                <w:rFonts w:ascii="宋体" w:hAnsi="宋体" w:cs="宋体"/>
                <w:color w:val="auto"/>
                <w:sz w:val="20"/>
                <w:szCs w:val="20"/>
                <w:u w:val="single"/>
              </w:rPr>
            </w:pPr>
            <w:r>
              <w:rPr>
                <w:rFonts w:hint="eastAsia" w:ascii="宋体" w:hAnsi="宋体" w:cs="宋体"/>
                <w:color w:val="auto"/>
                <w:sz w:val="24"/>
              </w:rPr>
              <w:t>▲法定代表人（负责人）授权委托书；</w:t>
            </w:r>
            <w:r>
              <w:rPr>
                <w:color w:val="auto"/>
              </w:rPr>
              <w:fldChar w:fldCharType="begin"/>
            </w:r>
            <w:r>
              <w:rPr>
                <w:color w:val="auto"/>
              </w:rPr>
              <w:instrText xml:space="preserve"> HYPERLINK \l "授权委托" </w:instrText>
            </w:r>
            <w:r>
              <w:rPr>
                <w:color w:val="auto"/>
              </w:rPr>
              <w:fldChar w:fldCharType="separate"/>
            </w:r>
            <w:r>
              <w:rPr>
                <w:rFonts w:hint="eastAsia" w:ascii="宋体" w:hAnsi="宋体" w:cs="宋体"/>
                <w:color w:val="auto"/>
                <w:sz w:val="20"/>
                <w:szCs w:val="20"/>
                <w:u w:val="single"/>
              </w:rPr>
              <w:t>（附件4）</w:t>
            </w:r>
            <w:r>
              <w:rPr>
                <w:rFonts w:hint="eastAsia" w:ascii="宋体" w:hAnsi="宋体" w:cs="宋体"/>
                <w:color w:val="auto"/>
                <w:sz w:val="20"/>
                <w:szCs w:val="20"/>
                <w:u w:val="single"/>
              </w:rPr>
              <w:fldChar w:fldCharType="end"/>
            </w:r>
          </w:p>
          <w:p w14:paraId="0CE27BAE">
            <w:pPr>
              <w:snapToGrid w:val="0"/>
              <w:spacing w:beforeLines="50" w:afterLines="50"/>
              <w:ind w:firstLine="200" w:firstLineChars="100"/>
              <w:rPr>
                <w:rFonts w:ascii="宋体" w:hAnsi="宋体" w:cs="宋体"/>
                <w:color w:val="auto"/>
                <w:sz w:val="24"/>
              </w:rPr>
            </w:pPr>
            <w:r>
              <w:rPr>
                <w:rFonts w:hint="eastAsia" w:ascii="宋体" w:hAnsi="宋体" w:cs="宋体"/>
                <w:color w:val="auto"/>
                <w:sz w:val="20"/>
                <w:szCs w:val="20"/>
              </w:rPr>
              <w:t>注：法定代表人（负责人）亲自办理投标事宜的，本项无需提供。</w:t>
            </w:r>
          </w:p>
        </w:tc>
      </w:tr>
      <w:tr w14:paraId="1C6F4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blHeader/>
          <w:jc w:val="center"/>
        </w:trPr>
        <w:tc>
          <w:tcPr>
            <w:tcW w:w="773" w:type="dxa"/>
            <w:shd w:val="clear" w:color="auto" w:fill="auto"/>
            <w:vAlign w:val="center"/>
          </w:tcPr>
          <w:p w14:paraId="33EB0ED0">
            <w:pPr>
              <w:numPr>
                <w:ilvl w:val="0"/>
                <w:numId w:val="9"/>
              </w:numPr>
              <w:snapToGrid w:val="0"/>
              <w:spacing w:beforeLines="50" w:afterLines="50"/>
              <w:jc w:val="center"/>
              <w:rPr>
                <w:rFonts w:ascii="宋体" w:hAnsi="宋体" w:cs="宋体"/>
                <w:color w:val="auto"/>
                <w:sz w:val="24"/>
              </w:rPr>
            </w:pPr>
          </w:p>
        </w:tc>
        <w:tc>
          <w:tcPr>
            <w:tcW w:w="8744" w:type="dxa"/>
            <w:shd w:val="clear" w:color="auto" w:fill="auto"/>
            <w:vAlign w:val="center"/>
          </w:tcPr>
          <w:p w14:paraId="49A7788F">
            <w:pPr>
              <w:snapToGrid w:val="0"/>
              <w:spacing w:beforeLines="50" w:afterLines="50"/>
              <w:rPr>
                <w:rFonts w:ascii="宋体" w:hAnsi="宋体" w:cs="宋体"/>
                <w:color w:val="auto"/>
                <w:sz w:val="20"/>
                <w:szCs w:val="20"/>
              </w:rPr>
            </w:pPr>
            <w:r>
              <w:rPr>
                <w:rFonts w:hint="eastAsia" w:ascii="宋体" w:hAnsi="宋体" w:cs="宋体"/>
                <w:color w:val="auto"/>
                <w:sz w:val="24"/>
              </w:rPr>
              <w:t>▲商务（技术）条款偏离表；</w:t>
            </w:r>
            <w:r>
              <w:rPr>
                <w:color w:val="auto"/>
              </w:rPr>
              <w:fldChar w:fldCharType="begin"/>
            </w:r>
            <w:r>
              <w:rPr>
                <w:color w:val="auto"/>
              </w:rPr>
              <w:instrText xml:space="preserve"> HYPERLINK \l "偏离表" </w:instrText>
            </w:r>
            <w:r>
              <w:rPr>
                <w:color w:val="auto"/>
              </w:rPr>
              <w:fldChar w:fldCharType="separate"/>
            </w:r>
            <w:r>
              <w:rPr>
                <w:rFonts w:hint="eastAsia" w:ascii="宋体" w:hAnsi="宋体" w:cs="宋体"/>
                <w:color w:val="auto"/>
                <w:sz w:val="20"/>
                <w:szCs w:val="20"/>
                <w:u w:val="single"/>
              </w:rPr>
              <w:t>（附件6）</w:t>
            </w:r>
            <w:r>
              <w:rPr>
                <w:rFonts w:hint="eastAsia" w:ascii="宋体" w:hAnsi="宋体" w:cs="宋体"/>
                <w:color w:val="auto"/>
                <w:sz w:val="20"/>
                <w:szCs w:val="20"/>
                <w:u w:val="single"/>
              </w:rPr>
              <w:fldChar w:fldCharType="end"/>
            </w:r>
          </w:p>
        </w:tc>
      </w:tr>
      <w:tr w14:paraId="21B49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blHeader/>
          <w:jc w:val="center"/>
        </w:trPr>
        <w:tc>
          <w:tcPr>
            <w:tcW w:w="773" w:type="dxa"/>
            <w:shd w:val="clear" w:color="auto" w:fill="auto"/>
            <w:vAlign w:val="center"/>
          </w:tcPr>
          <w:p w14:paraId="0F96E216">
            <w:pPr>
              <w:numPr>
                <w:ilvl w:val="0"/>
                <w:numId w:val="9"/>
              </w:numPr>
              <w:snapToGrid w:val="0"/>
              <w:spacing w:beforeLines="50" w:afterLines="50"/>
              <w:jc w:val="center"/>
              <w:rPr>
                <w:rFonts w:ascii="宋体" w:hAnsi="宋体" w:cs="宋体"/>
                <w:color w:val="auto"/>
                <w:sz w:val="24"/>
              </w:rPr>
            </w:pPr>
          </w:p>
        </w:tc>
        <w:tc>
          <w:tcPr>
            <w:tcW w:w="8744" w:type="dxa"/>
            <w:shd w:val="clear" w:color="auto" w:fill="auto"/>
            <w:vAlign w:val="center"/>
          </w:tcPr>
          <w:p w14:paraId="3AEF2D47">
            <w:pPr>
              <w:snapToGrid w:val="0"/>
              <w:spacing w:beforeLines="50" w:afterLines="50"/>
              <w:rPr>
                <w:rFonts w:ascii="宋体" w:hAnsi="宋体" w:cs="宋体"/>
                <w:color w:val="auto"/>
                <w:sz w:val="24"/>
              </w:rPr>
            </w:pPr>
            <w:r>
              <w:rPr>
                <w:rFonts w:hint="eastAsia" w:ascii="宋体" w:hAnsi="宋体" w:cs="宋体"/>
                <w:color w:val="auto"/>
                <w:sz w:val="24"/>
              </w:rPr>
              <w:t>投标人基本情况表；</w:t>
            </w:r>
            <w:r>
              <w:rPr>
                <w:color w:val="auto"/>
              </w:rPr>
              <w:fldChar w:fldCharType="begin"/>
            </w:r>
            <w:r>
              <w:rPr>
                <w:color w:val="auto"/>
              </w:rPr>
              <w:instrText xml:space="preserve"> HYPERLINK \l "基本情况" </w:instrText>
            </w:r>
            <w:r>
              <w:rPr>
                <w:color w:val="auto"/>
              </w:rPr>
              <w:fldChar w:fldCharType="separate"/>
            </w:r>
            <w:r>
              <w:rPr>
                <w:rFonts w:hint="eastAsia" w:ascii="宋体" w:hAnsi="宋体" w:cs="宋体"/>
                <w:color w:val="auto"/>
                <w:sz w:val="20"/>
                <w:szCs w:val="20"/>
              </w:rPr>
              <w:t>（</w:t>
            </w:r>
            <w:r>
              <w:rPr>
                <w:rFonts w:hint="eastAsia" w:ascii="宋体" w:hAnsi="宋体" w:cs="宋体"/>
                <w:color w:val="auto"/>
                <w:sz w:val="20"/>
                <w:szCs w:val="20"/>
                <w:u w:val="single"/>
              </w:rPr>
              <w:t>附件12</w:t>
            </w:r>
            <w:r>
              <w:rPr>
                <w:rFonts w:hint="eastAsia" w:ascii="宋体" w:hAnsi="宋体" w:cs="宋体"/>
                <w:color w:val="auto"/>
                <w:sz w:val="20"/>
                <w:szCs w:val="20"/>
              </w:rPr>
              <w:t>，如有，可根据评分标准提供）</w:t>
            </w:r>
            <w:r>
              <w:rPr>
                <w:rFonts w:hint="eastAsia" w:ascii="宋体" w:hAnsi="宋体" w:cs="宋体"/>
                <w:color w:val="auto"/>
                <w:sz w:val="20"/>
                <w:szCs w:val="20"/>
              </w:rPr>
              <w:fldChar w:fldCharType="end"/>
            </w:r>
          </w:p>
        </w:tc>
      </w:tr>
      <w:tr w14:paraId="10313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blHeader/>
          <w:jc w:val="center"/>
        </w:trPr>
        <w:tc>
          <w:tcPr>
            <w:tcW w:w="773" w:type="dxa"/>
            <w:shd w:val="clear" w:color="auto" w:fill="auto"/>
            <w:vAlign w:val="center"/>
          </w:tcPr>
          <w:p w14:paraId="1531A515">
            <w:pPr>
              <w:numPr>
                <w:ilvl w:val="0"/>
                <w:numId w:val="9"/>
              </w:numPr>
              <w:snapToGrid w:val="0"/>
              <w:spacing w:beforeLines="50" w:afterLines="50"/>
              <w:jc w:val="center"/>
              <w:rPr>
                <w:rFonts w:ascii="宋体" w:hAnsi="宋体" w:cs="宋体"/>
                <w:color w:val="auto"/>
                <w:sz w:val="24"/>
              </w:rPr>
            </w:pPr>
          </w:p>
        </w:tc>
        <w:tc>
          <w:tcPr>
            <w:tcW w:w="8744" w:type="dxa"/>
            <w:shd w:val="clear" w:color="auto" w:fill="auto"/>
            <w:vAlign w:val="center"/>
          </w:tcPr>
          <w:p w14:paraId="77823D12">
            <w:pPr>
              <w:snapToGrid w:val="0"/>
              <w:spacing w:beforeLines="50" w:afterLines="50"/>
              <w:rPr>
                <w:rFonts w:ascii="宋体" w:hAnsi="宋体" w:cs="宋体"/>
                <w:color w:val="auto"/>
                <w:sz w:val="24"/>
              </w:rPr>
            </w:pPr>
            <w:r>
              <w:rPr>
                <w:rFonts w:hint="eastAsia" w:ascii="宋体" w:hAnsi="宋体" w:cs="宋体"/>
                <w:color w:val="auto"/>
                <w:sz w:val="24"/>
              </w:rPr>
              <w:t>相关资信证明材料；</w:t>
            </w:r>
            <w:r>
              <w:rPr>
                <w:rFonts w:hint="eastAsia" w:ascii="宋体" w:hAnsi="宋体" w:cs="宋体"/>
                <w:color w:val="auto"/>
                <w:sz w:val="20"/>
                <w:szCs w:val="20"/>
              </w:rPr>
              <w:t>（如有，可根据评分标准提供）</w:t>
            </w:r>
          </w:p>
        </w:tc>
      </w:tr>
      <w:tr w14:paraId="316C8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blHeader/>
          <w:jc w:val="center"/>
        </w:trPr>
        <w:tc>
          <w:tcPr>
            <w:tcW w:w="773" w:type="dxa"/>
            <w:shd w:val="clear" w:color="auto" w:fill="auto"/>
            <w:vAlign w:val="center"/>
          </w:tcPr>
          <w:p w14:paraId="2A8FDAEF">
            <w:pPr>
              <w:numPr>
                <w:ilvl w:val="0"/>
                <w:numId w:val="9"/>
              </w:numPr>
              <w:snapToGrid w:val="0"/>
              <w:spacing w:beforeLines="50" w:afterLines="50"/>
              <w:jc w:val="center"/>
              <w:rPr>
                <w:rFonts w:ascii="宋体" w:hAnsi="宋体" w:cs="宋体"/>
                <w:color w:val="auto"/>
                <w:sz w:val="24"/>
              </w:rPr>
            </w:pPr>
          </w:p>
        </w:tc>
        <w:tc>
          <w:tcPr>
            <w:tcW w:w="8744" w:type="dxa"/>
            <w:shd w:val="clear" w:color="auto" w:fill="auto"/>
            <w:vAlign w:val="center"/>
          </w:tcPr>
          <w:p w14:paraId="6F6F74A3">
            <w:pPr>
              <w:snapToGrid w:val="0"/>
              <w:spacing w:beforeLines="50" w:afterLines="50"/>
              <w:rPr>
                <w:rFonts w:ascii="宋体" w:hAnsi="宋体" w:cs="宋体"/>
                <w:color w:val="auto"/>
                <w:sz w:val="24"/>
              </w:rPr>
            </w:pPr>
            <w:r>
              <w:rPr>
                <w:rFonts w:hint="eastAsia" w:ascii="宋体" w:hAnsi="宋体" w:cs="宋体"/>
                <w:color w:val="auto"/>
                <w:sz w:val="24"/>
              </w:rPr>
              <w:t>项目理解与分析；</w:t>
            </w:r>
            <w:r>
              <w:rPr>
                <w:rFonts w:hint="eastAsia" w:ascii="宋体" w:hAnsi="宋体" w:cs="宋体"/>
                <w:color w:val="auto"/>
                <w:sz w:val="20"/>
                <w:szCs w:val="20"/>
              </w:rPr>
              <w:t>（如有，可根据评分标准提供）</w:t>
            </w:r>
          </w:p>
        </w:tc>
      </w:tr>
      <w:tr w14:paraId="3FA91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blHeader/>
          <w:jc w:val="center"/>
        </w:trPr>
        <w:tc>
          <w:tcPr>
            <w:tcW w:w="773" w:type="dxa"/>
            <w:shd w:val="clear" w:color="auto" w:fill="auto"/>
            <w:vAlign w:val="center"/>
          </w:tcPr>
          <w:p w14:paraId="4AD7025D">
            <w:pPr>
              <w:numPr>
                <w:ilvl w:val="0"/>
                <w:numId w:val="9"/>
              </w:numPr>
              <w:snapToGrid w:val="0"/>
              <w:spacing w:beforeLines="50" w:afterLines="50"/>
              <w:jc w:val="center"/>
              <w:rPr>
                <w:rFonts w:ascii="宋体" w:hAnsi="宋体" w:cs="宋体"/>
                <w:color w:val="auto"/>
                <w:sz w:val="24"/>
              </w:rPr>
            </w:pPr>
          </w:p>
        </w:tc>
        <w:tc>
          <w:tcPr>
            <w:tcW w:w="8744" w:type="dxa"/>
            <w:shd w:val="clear" w:color="auto" w:fill="auto"/>
            <w:vAlign w:val="center"/>
          </w:tcPr>
          <w:p w14:paraId="4BE28C15">
            <w:pPr>
              <w:snapToGrid w:val="0"/>
              <w:spacing w:beforeLines="50" w:afterLines="50"/>
              <w:rPr>
                <w:rFonts w:ascii="宋体" w:hAnsi="宋体" w:cs="宋体"/>
                <w:color w:val="auto"/>
                <w:sz w:val="24"/>
              </w:rPr>
            </w:pPr>
            <w:r>
              <w:rPr>
                <w:rFonts w:hint="eastAsia" w:ascii="宋体" w:hAnsi="宋体" w:cs="宋体"/>
                <w:color w:val="auto"/>
                <w:sz w:val="24"/>
              </w:rPr>
              <w:t>重点、难点分析及解决措施</w:t>
            </w:r>
            <w:r>
              <w:rPr>
                <w:rFonts w:hint="eastAsia" w:ascii="宋体" w:hAnsi="宋体" w:cs="宋体"/>
                <w:color w:val="auto"/>
                <w:sz w:val="20"/>
                <w:szCs w:val="20"/>
              </w:rPr>
              <w:t>（如有，可根据评分标准提供）</w:t>
            </w:r>
          </w:p>
        </w:tc>
      </w:tr>
      <w:tr w14:paraId="20BAA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blHeader/>
          <w:jc w:val="center"/>
        </w:trPr>
        <w:tc>
          <w:tcPr>
            <w:tcW w:w="773" w:type="dxa"/>
            <w:shd w:val="clear" w:color="auto" w:fill="auto"/>
            <w:vAlign w:val="center"/>
          </w:tcPr>
          <w:p w14:paraId="15FBB763">
            <w:pPr>
              <w:numPr>
                <w:ilvl w:val="0"/>
                <w:numId w:val="9"/>
              </w:numPr>
              <w:snapToGrid w:val="0"/>
              <w:spacing w:beforeLines="50" w:afterLines="50"/>
              <w:jc w:val="center"/>
              <w:rPr>
                <w:rFonts w:ascii="宋体" w:hAnsi="宋体" w:cs="宋体"/>
                <w:color w:val="auto"/>
                <w:sz w:val="24"/>
              </w:rPr>
            </w:pPr>
          </w:p>
        </w:tc>
        <w:tc>
          <w:tcPr>
            <w:tcW w:w="8744" w:type="dxa"/>
            <w:shd w:val="clear" w:color="auto" w:fill="auto"/>
            <w:vAlign w:val="center"/>
          </w:tcPr>
          <w:p w14:paraId="44C8491B">
            <w:pPr>
              <w:snapToGrid w:val="0"/>
              <w:spacing w:beforeLines="50" w:afterLines="50"/>
              <w:rPr>
                <w:rFonts w:ascii="宋体" w:hAnsi="宋体" w:cs="宋体"/>
                <w:color w:val="auto"/>
                <w:sz w:val="24"/>
              </w:rPr>
            </w:pPr>
            <w:r>
              <w:rPr>
                <w:rFonts w:hint="eastAsia" w:ascii="宋体" w:hAnsi="宋体" w:cs="宋体"/>
                <w:color w:val="auto"/>
                <w:sz w:val="24"/>
              </w:rPr>
              <w:t>项目实施方案</w:t>
            </w:r>
            <w:r>
              <w:rPr>
                <w:rFonts w:hint="eastAsia" w:ascii="宋体" w:hAnsi="宋体" w:cs="宋体"/>
                <w:color w:val="auto"/>
                <w:sz w:val="20"/>
                <w:szCs w:val="20"/>
              </w:rPr>
              <w:t>（包含工作安排、本项目难点及对策、进度/质量/安全保证措施、技术手段、作业方法、解决方案等，格式自拟）；（如有，可根据评分标准编制）</w:t>
            </w:r>
          </w:p>
        </w:tc>
      </w:tr>
      <w:tr w14:paraId="3AB15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blHeader/>
          <w:jc w:val="center"/>
        </w:trPr>
        <w:tc>
          <w:tcPr>
            <w:tcW w:w="773" w:type="dxa"/>
            <w:shd w:val="clear" w:color="auto" w:fill="auto"/>
            <w:vAlign w:val="center"/>
          </w:tcPr>
          <w:p w14:paraId="0F77628F">
            <w:pPr>
              <w:numPr>
                <w:ilvl w:val="0"/>
                <w:numId w:val="9"/>
              </w:numPr>
              <w:snapToGrid w:val="0"/>
              <w:spacing w:beforeLines="50" w:afterLines="50"/>
              <w:jc w:val="center"/>
              <w:rPr>
                <w:rFonts w:ascii="宋体" w:hAnsi="宋体" w:cs="宋体"/>
                <w:color w:val="auto"/>
                <w:sz w:val="24"/>
              </w:rPr>
            </w:pPr>
          </w:p>
        </w:tc>
        <w:tc>
          <w:tcPr>
            <w:tcW w:w="8744" w:type="dxa"/>
            <w:shd w:val="clear" w:color="auto" w:fill="auto"/>
            <w:vAlign w:val="center"/>
          </w:tcPr>
          <w:p w14:paraId="4ECDBD43">
            <w:pPr>
              <w:snapToGrid w:val="0"/>
              <w:spacing w:beforeLines="50" w:afterLines="50"/>
              <w:rPr>
                <w:rFonts w:ascii="宋体" w:hAnsi="宋体" w:cs="宋体"/>
                <w:color w:val="auto"/>
                <w:sz w:val="24"/>
              </w:rPr>
            </w:pPr>
            <w:r>
              <w:rPr>
                <w:rFonts w:hint="eastAsia" w:ascii="宋体" w:hAnsi="宋体" w:cs="宋体"/>
                <w:color w:val="auto"/>
                <w:sz w:val="24"/>
              </w:rPr>
              <w:t>拟派人员一览表；</w:t>
            </w:r>
            <w:r>
              <w:rPr>
                <w:color w:val="auto"/>
              </w:rPr>
              <w:fldChar w:fldCharType="begin"/>
            </w:r>
            <w:r>
              <w:rPr>
                <w:color w:val="auto"/>
              </w:rPr>
              <w:instrText xml:space="preserve"> HYPERLINK \l "拟派人员" </w:instrText>
            </w:r>
            <w:r>
              <w:rPr>
                <w:color w:val="auto"/>
              </w:rPr>
              <w:fldChar w:fldCharType="separate"/>
            </w:r>
            <w:r>
              <w:rPr>
                <w:rFonts w:hint="eastAsia" w:ascii="宋体" w:hAnsi="宋体" w:cs="宋体"/>
                <w:color w:val="auto"/>
                <w:sz w:val="20"/>
                <w:szCs w:val="20"/>
              </w:rPr>
              <w:t>（</w:t>
            </w:r>
            <w:r>
              <w:rPr>
                <w:rFonts w:hint="eastAsia" w:ascii="宋体" w:hAnsi="宋体" w:cs="宋体"/>
                <w:color w:val="auto"/>
                <w:sz w:val="20"/>
                <w:szCs w:val="20"/>
                <w:u w:val="single"/>
              </w:rPr>
              <w:t>附件13</w:t>
            </w:r>
            <w:r>
              <w:rPr>
                <w:rFonts w:hint="eastAsia" w:ascii="宋体" w:hAnsi="宋体" w:cs="宋体"/>
                <w:color w:val="auto"/>
                <w:sz w:val="20"/>
                <w:szCs w:val="20"/>
              </w:rPr>
              <w:t>，如有，可根据评分标准提供）</w:t>
            </w:r>
            <w:r>
              <w:rPr>
                <w:rFonts w:hint="eastAsia" w:ascii="宋体" w:hAnsi="宋体" w:cs="宋体"/>
                <w:color w:val="auto"/>
                <w:sz w:val="20"/>
                <w:szCs w:val="20"/>
              </w:rPr>
              <w:fldChar w:fldCharType="end"/>
            </w:r>
          </w:p>
        </w:tc>
      </w:tr>
      <w:tr w14:paraId="7B7D8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blHeader/>
          <w:jc w:val="center"/>
        </w:trPr>
        <w:tc>
          <w:tcPr>
            <w:tcW w:w="773" w:type="dxa"/>
            <w:shd w:val="clear" w:color="auto" w:fill="auto"/>
            <w:vAlign w:val="center"/>
          </w:tcPr>
          <w:p w14:paraId="3B66A303">
            <w:pPr>
              <w:numPr>
                <w:ilvl w:val="0"/>
                <w:numId w:val="9"/>
              </w:numPr>
              <w:snapToGrid w:val="0"/>
              <w:spacing w:beforeLines="50" w:afterLines="50"/>
              <w:jc w:val="center"/>
              <w:rPr>
                <w:rFonts w:ascii="宋体" w:hAnsi="宋体" w:cs="宋体"/>
                <w:color w:val="auto"/>
                <w:sz w:val="24"/>
              </w:rPr>
            </w:pPr>
          </w:p>
        </w:tc>
        <w:tc>
          <w:tcPr>
            <w:tcW w:w="8744" w:type="dxa"/>
            <w:shd w:val="clear" w:color="auto" w:fill="auto"/>
            <w:vAlign w:val="center"/>
          </w:tcPr>
          <w:p w14:paraId="08B1A3BD">
            <w:pPr>
              <w:snapToGrid w:val="0"/>
              <w:spacing w:beforeLines="50" w:afterLines="50"/>
              <w:rPr>
                <w:rFonts w:ascii="宋体" w:hAnsi="宋体" w:cs="宋体"/>
                <w:color w:val="auto"/>
                <w:sz w:val="24"/>
              </w:rPr>
            </w:pPr>
            <w:r>
              <w:rPr>
                <w:rFonts w:hint="eastAsia" w:ascii="宋体" w:hAnsi="宋体" w:cs="宋体"/>
                <w:color w:val="auto"/>
                <w:sz w:val="24"/>
              </w:rPr>
              <w:t>相关业绩一览表；</w:t>
            </w:r>
            <w:r>
              <w:rPr>
                <w:color w:val="auto"/>
              </w:rPr>
              <w:fldChar w:fldCharType="begin"/>
            </w:r>
            <w:r>
              <w:rPr>
                <w:color w:val="auto"/>
              </w:rPr>
              <w:instrText xml:space="preserve"> HYPERLINK \l "业绩" </w:instrText>
            </w:r>
            <w:r>
              <w:rPr>
                <w:color w:val="auto"/>
              </w:rPr>
              <w:fldChar w:fldCharType="separate"/>
            </w:r>
            <w:r>
              <w:rPr>
                <w:rFonts w:hint="eastAsia" w:ascii="宋体" w:hAnsi="宋体" w:cs="宋体"/>
                <w:color w:val="auto"/>
                <w:sz w:val="20"/>
                <w:szCs w:val="20"/>
              </w:rPr>
              <w:t>（</w:t>
            </w:r>
            <w:r>
              <w:rPr>
                <w:rFonts w:hint="eastAsia" w:ascii="宋体" w:hAnsi="宋体" w:cs="宋体"/>
                <w:color w:val="auto"/>
                <w:sz w:val="20"/>
                <w:szCs w:val="20"/>
                <w:u w:val="single"/>
              </w:rPr>
              <w:t>附件14</w:t>
            </w:r>
            <w:r>
              <w:rPr>
                <w:rFonts w:hint="eastAsia" w:ascii="宋体" w:hAnsi="宋体" w:cs="宋体"/>
                <w:color w:val="auto"/>
                <w:sz w:val="20"/>
                <w:szCs w:val="20"/>
              </w:rPr>
              <w:t>，</w:t>
            </w:r>
            <w:r>
              <w:rPr>
                <w:rFonts w:hint="eastAsia" w:ascii="宋体" w:hAnsi="宋体" w:cs="宋体"/>
                <w:color w:val="auto"/>
                <w:sz w:val="20"/>
                <w:szCs w:val="20"/>
              </w:rPr>
              <w:fldChar w:fldCharType="end"/>
            </w:r>
            <w:r>
              <w:rPr>
                <w:rFonts w:hint="eastAsia" w:ascii="宋体" w:hAnsi="宋体" w:cs="宋体"/>
                <w:color w:val="auto"/>
                <w:sz w:val="20"/>
                <w:szCs w:val="20"/>
              </w:rPr>
              <w:t>如有，可根据评分标准提供）</w:t>
            </w:r>
          </w:p>
        </w:tc>
      </w:tr>
      <w:tr w14:paraId="283EF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blHeader/>
          <w:jc w:val="center"/>
        </w:trPr>
        <w:tc>
          <w:tcPr>
            <w:tcW w:w="773" w:type="dxa"/>
            <w:shd w:val="clear" w:color="auto" w:fill="auto"/>
            <w:vAlign w:val="center"/>
          </w:tcPr>
          <w:p w14:paraId="71FE33F1">
            <w:pPr>
              <w:numPr>
                <w:ilvl w:val="0"/>
                <w:numId w:val="9"/>
              </w:numPr>
              <w:snapToGrid w:val="0"/>
              <w:spacing w:beforeLines="50" w:afterLines="50"/>
              <w:jc w:val="center"/>
              <w:rPr>
                <w:rFonts w:ascii="宋体" w:hAnsi="宋体" w:cs="宋体"/>
                <w:color w:val="auto"/>
                <w:sz w:val="24"/>
              </w:rPr>
            </w:pPr>
          </w:p>
        </w:tc>
        <w:tc>
          <w:tcPr>
            <w:tcW w:w="8744" w:type="dxa"/>
            <w:shd w:val="clear" w:color="auto" w:fill="auto"/>
            <w:vAlign w:val="center"/>
          </w:tcPr>
          <w:p w14:paraId="7DD8C991">
            <w:pPr>
              <w:snapToGrid w:val="0"/>
              <w:spacing w:beforeLines="50" w:afterLines="50"/>
              <w:rPr>
                <w:rFonts w:ascii="宋体" w:hAnsi="宋体" w:cs="宋体"/>
                <w:color w:val="auto"/>
                <w:sz w:val="24"/>
              </w:rPr>
            </w:pPr>
            <w:r>
              <w:rPr>
                <w:rFonts w:hint="eastAsia" w:ascii="宋体" w:hAnsi="宋体" w:cs="宋体"/>
                <w:color w:val="auto"/>
                <w:sz w:val="24"/>
              </w:rPr>
              <w:t>后续服务及承诺；</w:t>
            </w:r>
            <w:r>
              <w:rPr>
                <w:rFonts w:hint="eastAsia" w:ascii="宋体" w:hAnsi="宋体" w:cs="宋体"/>
                <w:color w:val="auto"/>
                <w:sz w:val="20"/>
                <w:szCs w:val="20"/>
              </w:rPr>
              <w:t>（如有，可根据评分标准编制）</w:t>
            </w:r>
          </w:p>
        </w:tc>
      </w:tr>
      <w:tr w14:paraId="53143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blHeader/>
          <w:jc w:val="center"/>
        </w:trPr>
        <w:tc>
          <w:tcPr>
            <w:tcW w:w="773" w:type="dxa"/>
            <w:shd w:val="clear" w:color="auto" w:fill="auto"/>
            <w:vAlign w:val="center"/>
          </w:tcPr>
          <w:p w14:paraId="1D58CC7F">
            <w:pPr>
              <w:numPr>
                <w:ilvl w:val="0"/>
                <w:numId w:val="9"/>
              </w:numPr>
              <w:snapToGrid w:val="0"/>
              <w:spacing w:beforeLines="50" w:afterLines="50"/>
              <w:jc w:val="center"/>
              <w:rPr>
                <w:rFonts w:ascii="宋体" w:hAnsi="宋体" w:cs="宋体"/>
                <w:color w:val="auto"/>
                <w:sz w:val="24"/>
              </w:rPr>
            </w:pPr>
          </w:p>
        </w:tc>
        <w:tc>
          <w:tcPr>
            <w:tcW w:w="8744" w:type="dxa"/>
            <w:shd w:val="clear" w:color="auto" w:fill="auto"/>
            <w:vAlign w:val="center"/>
          </w:tcPr>
          <w:p w14:paraId="75B69A02">
            <w:pPr>
              <w:snapToGrid w:val="0"/>
              <w:spacing w:beforeLines="50" w:afterLines="50"/>
              <w:rPr>
                <w:rFonts w:ascii="宋体" w:hAnsi="宋体" w:cs="宋体"/>
                <w:color w:val="auto"/>
                <w:sz w:val="24"/>
              </w:rPr>
            </w:pPr>
            <w:r>
              <w:rPr>
                <w:rFonts w:hint="eastAsia" w:ascii="宋体" w:hAnsi="宋体" w:cs="宋体"/>
                <w:color w:val="auto"/>
                <w:sz w:val="24"/>
              </w:rPr>
              <w:t>合理化建议；</w:t>
            </w:r>
            <w:r>
              <w:rPr>
                <w:rFonts w:hint="eastAsia" w:ascii="宋体" w:hAnsi="宋体" w:cs="宋体"/>
                <w:color w:val="auto"/>
                <w:sz w:val="20"/>
                <w:szCs w:val="20"/>
              </w:rPr>
              <w:t>（如有，可根据评分标准编制）</w:t>
            </w:r>
          </w:p>
        </w:tc>
      </w:tr>
      <w:tr w14:paraId="78983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blHeader/>
          <w:jc w:val="center"/>
        </w:trPr>
        <w:tc>
          <w:tcPr>
            <w:tcW w:w="773" w:type="dxa"/>
            <w:shd w:val="clear" w:color="auto" w:fill="auto"/>
            <w:vAlign w:val="center"/>
          </w:tcPr>
          <w:p w14:paraId="2857C105">
            <w:pPr>
              <w:numPr>
                <w:ilvl w:val="0"/>
                <w:numId w:val="9"/>
              </w:numPr>
              <w:snapToGrid w:val="0"/>
              <w:spacing w:beforeLines="50" w:afterLines="50"/>
              <w:jc w:val="center"/>
              <w:rPr>
                <w:rFonts w:ascii="宋体" w:hAnsi="宋体" w:cs="宋体"/>
                <w:color w:val="auto"/>
                <w:sz w:val="24"/>
              </w:rPr>
            </w:pPr>
          </w:p>
        </w:tc>
        <w:tc>
          <w:tcPr>
            <w:tcW w:w="8744" w:type="dxa"/>
            <w:shd w:val="clear" w:color="auto" w:fill="auto"/>
            <w:vAlign w:val="center"/>
          </w:tcPr>
          <w:p w14:paraId="393963B4">
            <w:pPr>
              <w:pStyle w:val="57"/>
              <w:spacing w:beforeLines="50" w:afterLines="50"/>
              <w:rPr>
                <w:rFonts w:ascii="宋体" w:hAnsi="宋体" w:cs="宋体"/>
                <w:color w:val="auto"/>
                <w:sz w:val="20"/>
                <w:szCs w:val="20"/>
              </w:rPr>
            </w:pPr>
            <w:r>
              <w:rPr>
                <w:rFonts w:hint="eastAsia" w:ascii="宋体" w:hAnsi="宋体" w:cs="宋体"/>
                <w:color w:val="auto"/>
                <w:sz w:val="24"/>
              </w:rPr>
              <w:t>《分包意向协议》；</w:t>
            </w:r>
            <w:r>
              <w:rPr>
                <w:rFonts w:hint="eastAsia" w:ascii="宋体" w:hAnsi="宋体" w:cs="宋体"/>
                <w:color w:val="auto"/>
                <w:sz w:val="20"/>
                <w:szCs w:val="20"/>
                <w:u w:val="single"/>
              </w:rPr>
              <w:t>（附件9，如有）</w:t>
            </w:r>
          </w:p>
          <w:p w14:paraId="5AB50DAF">
            <w:pPr>
              <w:snapToGrid w:val="0"/>
              <w:spacing w:beforeLines="50" w:afterLines="50"/>
              <w:ind w:firstLine="200" w:firstLineChars="100"/>
              <w:rPr>
                <w:rFonts w:ascii="宋体" w:hAnsi="宋体" w:cs="宋体"/>
                <w:color w:val="auto"/>
                <w:sz w:val="24"/>
              </w:rPr>
            </w:pPr>
            <w:r>
              <w:rPr>
                <w:rFonts w:hint="eastAsia" w:ascii="宋体" w:hAnsi="宋体" w:cs="宋体"/>
                <w:color w:val="auto"/>
                <w:sz w:val="20"/>
                <w:szCs w:val="20"/>
              </w:rPr>
              <w:t>注：采购人不同意分包或者投标人中标后不以分包方式履行合同的，则无需提供。</w:t>
            </w:r>
          </w:p>
        </w:tc>
      </w:tr>
      <w:tr w14:paraId="75D3B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blHeader/>
          <w:jc w:val="center"/>
        </w:trPr>
        <w:tc>
          <w:tcPr>
            <w:tcW w:w="773" w:type="dxa"/>
            <w:shd w:val="clear" w:color="auto" w:fill="auto"/>
            <w:vAlign w:val="center"/>
          </w:tcPr>
          <w:p w14:paraId="03966DA6">
            <w:pPr>
              <w:numPr>
                <w:ilvl w:val="0"/>
                <w:numId w:val="9"/>
              </w:numPr>
              <w:snapToGrid w:val="0"/>
              <w:spacing w:beforeLines="50" w:afterLines="50"/>
              <w:jc w:val="center"/>
              <w:rPr>
                <w:rFonts w:ascii="宋体" w:hAnsi="宋体" w:cs="宋体"/>
                <w:color w:val="auto"/>
                <w:sz w:val="24"/>
              </w:rPr>
            </w:pPr>
          </w:p>
        </w:tc>
        <w:tc>
          <w:tcPr>
            <w:tcW w:w="8744" w:type="dxa"/>
            <w:shd w:val="clear" w:color="auto" w:fill="auto"/>
            <w:vAlign w:val="center"/>
          </w:tcPr>
          <w:p w14:paraId="79D95929">
            <w:pPr>
              <w:snapToGrid w:val="0"/>
              <w:spacing w:beforeLines="50" w:afterLines="50"/>
              <w:rPr>
                <w:rFonts w:ascii="宋体" w:hAnsi="宋体" w:cs="宋体"/>
                <w:color w:val="auto"/>
                <w:sz w:val="24"/>
              </w:rPr>
            </w:pPr>
            <w:r>
              <w:rPr>
                <w:rFonts w:hint="eastAsia" w:ascii="宋体" w:hAnsi="宋体" w:cs="宋体"/>
                <w:color w:val="auto"/>
                <w:sz w:val="24"/>
              </w:rPr>
              <w:t>投标人认为需要提供的其他相关材料；</w:t>
            </w:r>
            <w:r>
              <w:rPr>
                <w:rFonts w:hint="eastAsia" w:ascii="宋体" w:hAnsi="宋体" w:cs="宋体"/>
                <w:color w:val="auto"/>
                <w:sz w:val="20"/>
                <w:szCs w:val="20"/>
              </w:rPr>
              <w:t>（如有，可根据评分标准提供）</w:t>
            </w:r>
          </w:p>
        </w:tc>
      </w:tr>
    </w:tbl>
    <w:p w14:paraId="43FDE2CF">
      <w:pPr>
        <w:pStyle w:val="7"/>
        <w:numPr>
          <w:ilvl w:val="0"/>
          <w:numId w:val="7"/>
        </w:numPr>
        <w:spacing w:beforeLines="50" w:afterLines="50" w:line="264" w:lineRule="auto"/>
        <w:ind w:firstLine="241" w:firstLineChars="100"/>
        <w:rPr>
          <w:rFonts w:hAnsi="宋体" w:cs="宋体"/>
          <w:b/>
          <w:color w:val="auto"/>
          <w:sz w:val="24"/>
        </w:rPr>
      </w:pPr>
      <w:r>
        <w:rPr>
          <w:rFonts w:hint="eastAsia" w:hAnsi="宋体" w:cs="宋体"/>
          <w:b/>
          <w:color w:val="auto"/>
          <w:sz w:val="24"/>
        </w:rPr>
        <w:t>报价文件包括（加盖单位公章）：</w:t>
      </w:r>
      <w:r>
        <w:rPr>
          <w:rFonts w:hint="eastAsia" w:hAnsi="宋体" w:cs="宋体"/>
          <w:b/>
          <w:color w:val="auto"/>
          <w:sz w:val="24"/>
        </w:rPr>
        <w:tab/>
      </w:r>
    </w:p>
    <w:tbl>
      <w:tblPr>
        <w:tblStyle w:val="31"/>
        <w:tblW w:w="95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6235"/>
        <w:gridCol w:w="2534"/>
      </w:tblGrid>
      <w:tr w14:paraId="2E374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84" w:type="dxa"/>
            <w:shd w:val="clear" w:color="auto" w:fill="auto"/>
            <w:vAlign w:val="center"/>
          </w:tcPr>
          <w:p w14:paraId="15DD37DC">
            <w:pPr>
              <w:autoSpaceDE w:val="0"/>
              <w:autoSpaceDN w:val="0"/>
              <w:adjustRightInd w:val="0"/>
              <w:snapToGrid w:val="0"/>
              <w:spacing w:beforeLines="50" w:afterLines="50" w:line="264" w:lineRule="auto"/>
              <w:jc w:val="center"/>
              <w:rPr>
                <w:rFonts w:ascii="宋体" w:hAnsi="宋体" w:cs="宋体"/>
                <w:color w:val="auto"/>
                <w:sz w:val="22"/>
                <w:lang w:val="zh-CN"/>
              </w:rPr>
            </w:pPr>
            <w:r>
              <w:rPr>
                <w:rFonts w:hint="eastAsia" w:ascii="宋体" w:hAnsi="宋体" w:cs="宋体"/>
                <w:color w:val="auto"/>
                <w:sz w:val="24"/>
                <w:lang w:val="zh-CN"/>
              </w:rPr>
              <w:t>序号</w:t>
            </w:r>
          </w:p>
        </w:tc>
        <w:tc>
          <w:tcPr>
            <w:tcW w:w="8769" w:type="dxa"/>
            <w:gridSpan w:val="2"/>
            <w:shd w:val="clear" w:color="auto" w:fill="auto"/>
            <w:vAlign w:val="center"/>
          </w:tcPr>
          <w:p w14:paraId="1AE18EDF">
            <w:pPr>
              <w:autoSpaceDE w:val="0"/>
              <w:autoSpaceDN w:val="0"/>
              <w:adjustRightInd w:val="0"/>
              <w:snapToGrid w:val="0"/>
              <w:spacing w:beforeLines="50" w:afterLines="50" w:line="264" w:lineRule="auto"/>
              <w:jc w:val="center"/>
              <w:rPr>
                <w:rFonts w:ascii="宋体" w:hAnsi="宋体" w:cs="宋体"/>
                <w:color w:val="auto"/>
                <w:sz w:val="22"/>
                <w:lang w:val="zh-CN"/>
              </w:rPr>
            </w:pPr>
            <w:r>
              <w:rPr>
                <w:rFonts w:hint="eastAsia" w:ascii="宋体" w:hAnsi="宋体" w:cs="宋体"/>
                <w:color w:val="auto"/>
                <w:sz w:val="24"/>
              </w:rPr>
              <w:t>内    容</w:t>
            </w:r>
          </w:p>
        </w:tc>
      </w:tr>
      <w:tr w14:paraId="46633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84" w:type="dxa"/>
            <w:shd w:val="clear" w:color="auto" w:fill="auto"/>
            <w:vAlign w:val="center"/>
          </w:tcPr>
          <w:p w14:paraId="4B61375A">
            <w:pPr>
              <w:numPr>
                <w:ilvl w:val="0"/>
                <w:numId w:val="10"/>
              </w:numPr>
              <w:snapToGrid w:val="0"/>
              <w:spacing w:beforeLines="50" w:afterLines="50"/>
              <w:jc w:val="center"/>
              <w:rPr>
                <w:rFonts w:ascii="宋体" w:hAnsi="宋体" w:cs="宋体"/>
                <w:color w:val="auto"/>
                <w:sz w:val="24"/>
                <w:lang w:val="zh-CN"/>
              </w:rPr>
            </w:pPr>
          </w:p>
        </w:tc>
        <w:tc>
          <w:tcPr>
            <w:tcW w:w="8769" w:type="dxa"/>
            <w:gridSpan w:val="2"/>
            <w:shd w:val="clear" w:color="auto" w:fill="auto"/>
            <w:vAlign w:val="center"/>
          </w:tcPr>
          <w:p w14:paraId="341A23E0">
            <w:pPr>
              <w:spacing w:beforeLines="50" w:afterLines="50"/>
              <w:jc w:val="left"/>
              <w:rPr>
                <w:rFonts w:ascii="宋体" w:hAnsi="宋体" w:cs="宋体"/>
                <w:color w:val="auto"/>
                <w:sz w:val="24"/>
              </w:rPr>
            </w:pPr>
            <w:r>
              <w:rPr>
                <w:rFonts w:hint="eastAsia" w:ascii="宋体" w:hAnsi="宋体" w:cs="宋体"/>
                <w:color w:val="auto"/>
                <w:sz w:val="24"/>
              </w:rPr>
              <w:t>《报价文件》封面；</w:t>
            </w:r>
            <w:r>
              <w:rPr>
                <w:rFonts w:hint="eastAsia" w:ascii="宋体" w:hAnsi="宋体" w:cs="宋体"/>
                <w:color w:val="auto"/>
                <w:sz w:val="20"/>
                <w:szCs w:val="20"/>
                <w:u w:val="single"/>
              </w:rPr>
              <w:t>（附件1）</w:t>
            </w:r>
          </w:p>
        </w:tc>
      </w:tr>
      <w:tr w14:paraId="4D7B0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84" w:type="dxa"/>
            <w:shd w:val="clear" w:color="auto" w:fill="auto"/>
            <w:vAlign w:val="center"/>
          </w:tcPr>
          <w:p w14:paraId="1B8D08B8">
            <w:pPr>
              <w:numPr>
                <w:ilvl w:val="0"/>
                <w:numId w:val="10"/>
              </w:numPr>
              <w:snapToGrid w:val="0"/>
              <w:spacing w:beforeLines="50" w:afterLines="50"/>
              <w:jc w:val="center"/>
              <w:rPr>
                <w:rFonts w:ascii="宋体" w:hAnsi="宋体" w:cs="宋体"/>
                <w:color w:val="auto"/>
                <w:sz w:val="24"/>
                <w:lang w:val="zh-CN"/>
              </w:rPr>
            </w:pPr>
          </w:p>
        </w:tc>
        <w:tc>
          <w:tcPr>
            <w:tcW w:w="8769" w:type="dxa"/>
            <w:gridSpan w:val="2"/>
            <w:shd w:val="clear" w:color="auto" w:fill="auto"/>
            <w:vAlign w:val="center"/>
          </w:tcPr>
          <w:p w14:paraId="513BC4A5">
            <w:pPr>
              <w:snapToGrid w:val="0"/>
              <w:spacing w:beforeLines="50" w:afterLines="50"/>
              <w:rPr>
                <w:rFonts w:ascii="宋体" w:hAnsi="宋体" w:cs="宋体"/>
                <w:color w:val="auto"/>
                <w:sz w:val="24"/>
              </w:rPr>
            </w:pPr>
            <w:r>
              <w:rPr>
                <w:rFonts w:hint="eastAsia" w:ascii="宋体" w:hAnsi="宋体" w:cs="宋体"/>
                <w:color w:val="auto"/>
                <w:sz w:val="24"/>
              </w:rPr>
              <w:t>▲投标函；</w:t>
            </w:r>
            <w:r>
              <w:rPr>
                <w:color w:val="auto"/>
              </w:rPr>
              <w:fldChar w:fldCharType="begin"/>
            </w:r>
            <w:r>
              <w:rPr>
                <w:color w:val="auto"/>
              </w:rPr>
              <w:instrText xml:space="preserve"> HYPERLINK \l "投标函" </w:instrText>
            </w:r>
            <w:r>
              <w:rPr>
                <w:color w:val="auto"/>
              </w:rPr>
              <w:fldChar w:fldCharType="separate"/>
            </w:r>
            <w:r>
              <w:rPr>
                <w:rFonts w:hint="eastAsia" w:ascii="宋体" w:hAnsi="宋体" w:cs="宋体"/>
                <w:color w:val="auto"/>
                <w:sz w:val="20"/>
                <w:szCs w:val="20"/>
                <w:u w:val="single"/>
              </w:rPr>
              <w:t>（附件10）</w:t>
            </w:r>
            <w:r>
              <w:rPr>
                <w:rFonts w:hint="eastAsia" w:ascii="宋体" w:hAnsi="宋体" w:cs="宋体"/>
                <w:color w:val="auto"/>
                <w:sz w:val="20"/>
                <w:szCs w:val="20"/>
                <w:u w:val="single"/>
              </w:rPr>
              <w:fldChar w:fldCharType="end"/>
            </w:r>
          </w:p>
        </w:tc>
      </w:tr>
      <w:tr w14:paraId="43ADC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84" w:type="dxa"/>
            <w:shd w:val="clear" w:color="auto" w:fill="auto"/>
            <w:vAlign w:val="center"/>
          </w:tcPr>
          <w:p w14:paraId="0FA583CB">
            <w:pPr>
              <w:numPr>
                <w:ilvl w:val="0"/>
                <w:numId w:val="10"/>
              </w:numPr>
              <w:snapToGrid w:val="0"/>
              <w:spacing w:beforeLines="50" w:afterLines="50"/>
              <w:jc w:val="center"/>
              <w:rPr>
                <w:rFonts w:ascii="宋体" w:hAnsi="宋体" w:cs="宋体"/>
                <w:color w:val="auto"/>
                <w:sz w:val="24"/>
              </w:rPr>
            </w:pPr>
          </w:p>
        </w:tc>
        <w:tc>
          <w:tcPr>
            <w:tcW w:w="8769" w:type="dxa"/>
            <w:gridSpan w:val="2"/>
            <w:shd w:val="clear" w:color="auto" w:fill="auto"/>
            <w:vAlign w:val="center"/>
          </w:tcPr>
          <w:p w14:paraId="0F426EB7">
            <w:pPr>
              <w:snapToGrid w:val="0"/>
              <w:spacing w:beforeLines="50" w:afterLines="50"/>
              <w:rPr>
                <w:rFonts w:ascii="宋体" w:hAnsi="宋体" w:cs="宋体"/>
                <w:color w:val="auto"/>
                <w:sz w:val="24"/>
                <w:lang w:val="zh-CN"/>
              </w:rPr>
            </w:pPr>
            <w:r>
              <w:rPr>
                <w:rFonts w:hint="eastAsia" w:ascii="宋体" w:hAnsi="宋体" w:cs="宋体"/>
                <w:color w:val="auto"/>
                <w:sz w:val="24"/>
              </w:rPr>
              <w:t>▲开标一览表；</w:t>
            </w:r>
            <w:r>
              <w:rPr>
                <w:color w:val="auto"/>
              </w:rPr>
              <w:fldChar w:fldCharType="begin"/>
            </w:r>
            <w:r>
              <w:rPr>
                <w:color w:val="auto"/>
              </w:rPr>
              <w:instrText xml:space="preserve"> HYPERLINK \l "报价一览表" </w:instrText>
            </w:r>
            <w:r>
              <w:rPr>
                <w:color w:val="auto"/>
              </w:rPr>
              <w:fldChar w:fldCharType="separate"/>
            </w:r>
            <w:r>
              <w:rPr>
                <w:rFonts w:hint="eastAsia" w:ascii="宋体" w:hAnsi="宋体" w:cs="宋体"/>
                <w:color w:val="auto"/>
                <w:sz w:val="20"/>
                <w:szCs w:val="20"/>
                <w:u w:val="single"/>
              </w:rPr>
              <w:t>（附件11)</w:t>
            </w:r>
            <w:r>
              <w:rPr>
                <w:rFonts w:hint="eastAsia" w:ascii="宋体" w:hAnsi="宋体" w:cs="宋体"/>
                <w:color w:val="auto"/>
                <w:sz w:val="20"/>
                <w:szCs w:val="20"/>
                <w:u w:val="single"/>
              </w:rPr>
              <w:fldChar w:fldCharType="end"/>
            </w:r>
          </w:p>
        </w:tc>
      </w:tr>
      <w:tr w14:paraId="711C7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84" w:type="dxa"/>
            <w:shd w:val="clear" w:color="auto" w:fill="auto"/>
            <w:vAlign w:val="center"/>
          </w:tcPr>
          <w:p w14:paraId="7D1765DC">
            <w:pPr>
              <w:numPr>
                <w:ilvl w:val="0"/>
                <w:numId w:val="10"/>
              </w:numPr>
              <w:snapToGrid w:val="0"/>
              <w:spacing w:beforeLines="50" w:afterLines="50"/>
              <w:jc w:val="center"/>
              <w:rPr>
                <w:rFonts w:ascii="宋体" w:hAnsi="宋体" w:cs="宋体"/>
                <w:color w:val="auto"/>
                <w:sz w:val="24"/>
              </w:rPr>
            </w:pPr>
          </w:p>
        </w:tc>
        <w:tc>
          <w:tcPr>
            <w:tcW w:w="6235" w:type="dxa"/>
            <w:shd w:val="clear" w:color="auto" w:fill="auto"/>
          </w:tcPr>
          <w:p w14:paraId="610D460A">
            <w:pPr>
              <w:spacing w:beforeLines="50" w:afterLines="50"/>
              <w:rPr>
                <w:rFonts w:ascii="宋体" w:hAnsi="宋体" w:cs="宋体"/>
                <w:b/>
                <w:bCs/>
                <w:color w:val="auto"/>
                <w:sz w:val="24"/>
              </w:rPr>
            </w:pPr>
            <w:r>
              <w:rPr>
                <w:rFonts w:hint="eastAsia" w:ascii="宋体" w:hAnsi="宋体" w:cs="宋体"/>
                <w:b/>
                <w:bCs/>
                <w:color w:val="auto"/>
                <w:sz w:val="24"/>
              </w:rPr>
              <w:t>【本项目不适用】满足以下对应条件，可享受价格扣除优惠政策：</w:t>
            </w:r>
          </w:p>
          <w:p w14:paraId="3A3FC71C">
            <w:pPr>
              <w:spacing w:beforeLines="50" w:afterLines="50"/>
              <w:ind w:firstLine="240" w:firstLineChars="100"/>
              <w:rPr>
                <w:rFonts w:ascii="宋体" w:hAnsi="宋体" w:cs="宋体"/>
                <w:color w:val="auto"/>
                <w:sz w:val="24"/>
              </w:rPr>
            </w:pPr>
            <w:r>
              <w:rPr>
                <w:rFonts w:hint="eastAsia" w:ascii="宋体" w:hAnsi="宋体" w:cs="宋体"/>
                <w:color w:val="auto"/>
                <w:sz w:val="24"/>
              </w:rPr>
              <w:t>（1）符合《政府采购促进中小企业发展管理办法》规定的小微企业拟享受价格扣除优惠政策的，需提供</w:t>
            </w:r>
            <w:r>
              <w:rPr>
                <w:rFonts w:hint="eastAsia" w:ascii="宋体" w:hAnsi="宋体" w:cs="宋体"/>
                <w:b/>
                <w:bCs/>
                <w:color w:val="auto"/>
                <w:sz w:val="24"/>
              </w:rPr>
              <w:t>《中小企业声明函》</w:t>
            </w:r>
            <w:r>
              <w:rPr>
                <w:rFonts w:hint="eastAsia" w:ascii="宋体" w:hAnsi="宋体" w:cs="宋体"/>
                <w:b/>
                <w:bCs/>
                <w:color w:val="auto"/>
                <w:sz w:val="20"/>
                <w:szCs w:val="20"/>
              </w:rPr>
              <w:t>（</w:t>
            </w:r>
            <w:r>
              <w:rPr>
                <w:rFonts w:hint="eastAsia" w:ascii="宋体" w:hAnsi="宋体" w:cs="宋体"/>
                <w:b/>
                <w:bCs/>
                <w:color w:val="auto"/>
                <w:sz w:val="20"/>
                <w:szCs w:val="20"/>
                <w:u w:val="single"/>
              </w:rPr>
              <w:t>附件</w:t>
            </w:r>
            <w:r>
              <w:rPr>
                <w:color w:val="auto"/>
              </w:rPr>
              <w:fldChar w:fldCharType="begin"/>
            </w:r>
            <w:r>
              <w:rPr>
                <w:color w:val="auto"/>
              </w:rPr>
              <w:instrText xml:space="preserve"> HYPERLINK \l "小微企业" </w:instrText>
            </w:r>
            <w:r>
              <w:rPr>
                <w:color w:val="auto"/>
              </w:rPr>
              <w:fldChar w:fldCharType="separate"/>
            </w:r>
            <w:r>
              <w:rPr>
                <w:rFonts w:hint="eastAsia" w:ascii="宋体" w:hAnsi="宋体" w:cs="宋体"/>
                <w:b/>
                <w:bCs/>
                <w:color w:val="auto"/>
                <w:sz w:val="20"/>
                <w:szCs w:val="20"/>
                <w:u w:val="single"/>
              </w:rPr>
              <w:t>7-2）</w:t>
            </w:r>
            <w:r>
              <w:rPr>
                <w:rFonts w:hint="eastAsia" w:ascii="宋体" w:hAnsi="宋体" w:cs="宋体"/>
                <w:b/>
                <w:bCs/>
                <w:color w:val="auto"/>
                <w:sz w:val="20"/>
                <w:szCs w:val="20"/>
                <w:u w:val="single"/>
              </w:rPr>
              <w:fldChar w:fldCharType="end"/>
            </w:r>
            <w:r>
              <w:rPr>
                <w:rFonts w:hint="eastAsia" w:ascii="宋体" w:hAnsi="宋体" w:cs="宋体"/>
                <w:color w:val="auto"/>
                <w:sz w:val="24"/>
              </w:rPr>
              <w:t>；</w:t>
            </w:r>
          </w:p>
          <w:p w14:paraId="183DD6B0">
            <w:pPr>
              <w:spacing w:beforeLines="50" w:afterLines="50"/>
              <w:ind w:firstLine="480" w:firstLineChars="200"/>
              <w:rPr>
                <w:rFonts w:ascii="宋体" w:hAnsi="宋体" w:cs="宋体"/>
                <w:color w:val="auto"/>
                <w:sz w:val="24"/>
              </w:rPr>
            </w:pPr>
            <w:r>
              <w:rPr>
                <w:rFonts w:hint="eastAsia" w:ascii="宋体" w:hAnsi="宋体" w:cs="宋体"/>
                <w:color w:val="auto"/>
                <w:sz w:val="24"/>
              </w:rPr>
              <w:t>符合《关于促进残疾人就业政府采购政策的通知》（财库〔2017〕141号）规定的条件并提供</w:t>
            </w:r>
            <w:r>
              <w:rPr>
                <w:rFonts w:hint="eastAsia" w:ascii="宋体" w:hAnsi="宋体" w:cs="宋体"/>
                <w:b/>
                <w:bCs/>
                <w:color w:val="auto"/>
                <w:sz w:val="24"/>
              </w:rPr>
              <w:t>《残疾人福利性单位声明函》</w:t>
            </w:r>
            <w:r>
              <w:rPr>
                <w:rFonts w:hint="eastAsia" w:ascii="宋体" w:hAnsi="宋体" w:cs="宋体"/>
                <w:b/>
                <w:bCs/>
                <w:color w:val="auto"/>
                <w:sz w:val="20"/>
                <w:szCs w:val="20"/>
              </w:rPr>
              <w:t>（</w:t>
            </w:r>
            <w:r>
              <w:rPr>
                <w:rFonts w:hint="eastAsia" w:ascii="宋体" w:hAnsi="宋体" w:cs="宋体"/>
                <w:b/>
                <w:bCs/>
                <w:color w:val="auto"/>
                <w:sz w:val="20"/>
                <w:szCs w:val="20"/>
                <w:u w:val="single"/>
              </w:rPr>
              <w:t>附件</w:t>
            </w:r>
            <w:r>
              <w:rPr>
                <w:color w:val="auto"/>
              </w:rPr>
              <w:fldChar w:fldCharType="begin"/>
            </w:r>
            <w:r>
              <w:rPr>
                <w:color w:val="auto"/>
              </w:rPr>
              <w:instrText xml:space="preserve"> HYPERLINK \l "小微企业" </w:instrText>
            </w:r>
            <w:r>
              <w:rPr>
                <w:color w:val="auto"/>
              </w:rPr>
              <w:fldChar w:fldCharType="separate"/>
            </w:r>
            <w:r>
              <w:rPr>
                <w:rFonts w:hint="eastAsia" w:ascii="宋体" w:hAnsi="宋体" w:cs="宋体"/>
                <w:b/>
                <w:bCs/>
                <w:color w:val="auto"/>
                <w:sz w:val="20"/>
                <w:szCs w:val="20"/>
                <w:u w:val="single"/>
              </w:rPr>
              <w:t>7-3）</w:t>
            </w:r>
            <w:r>
              <w:rPr>
                <w:rFonts w:hint="eastAsia" w:ascii="宋体" w:hAnsi="宋体" w:cs="宋体"/>
                <w:b/>
                <w:bCs/>
                <w:color w:val="auto"/>
                <w:sz w:val="20"/>
                <w:szCs w:val="20"/>
                <w:u w:val="single"/>
              </w:rPr>
              <w:fldChar w:fldCharType="end"/>
            </w:r>
            <w:r>
              <w:rPr>
                <w:rFonts w:hint="eastAsia" w:ascii="宋体" w:hAnsi="宋体" w:cs="宋体"/>
                <w:color w:val="auto"/>
                <w:sz w:val="24"/>
              </w:rPr>
              <w:t>的残疾人福利性单位视同小型、微型企业；</w:t>
            </w:r>
          </w:p>
          <w:p w14:paraId="367AB5C1">
            <w:pPr>
              <w:spacing w:beforeLines="50" w:afterLines="50"/>
              <w:ind w:firstLine="480" w:firstLineChars="200"/>
              <w:rPr>
                <w:rFonts w:ascii="宋体" w:hAnsi="宋体" w:cs="宋体"/>
                <w:color w:val="auto"/>
                <w:sz w:val="24"/>
              </w:rPr>
            </w:pPr>
            <w:r>
              <w:rPr>
                <w:rFonts w:hint="eastAsia" w:ascii="宋体" w:hAnsi="宋体" w:cs="宋体"/>
                <w:color w:val="auto"/>
                <w:sz w:val="24"/>
              </w:rPr>
              <w:t>根据《关于政府采购支持监狱企业发展有关问题的通知》（财库[2014]68号）的规定，投标人提供由省级以上监狱管理局、戒毒管理局（含新疆生产建设兵团）出具的属于</w:t>
            </w:r>
            <w:r>
              <w:rPr>
                <w:rFonts w:hint="eastAsia" w:ascii="宋体" w:hAnsi="宋体" w:cs="宋体"/>
                <w:b/>
                <w:bCs/>
                <w:color w:val="auto"/>
                <w:sz w:val="24"/>
              </w:rPr>
              <w:t>监狱企业证明文件</w:t>
            </w:r>
            <w:r>
              <w:rPr>
                <w:rFonts w:hint="eastAsia" w:ascii="宋体" w:hAnsi="宋体" w:cs="宋体"/>
                <w:color w:val="auto"/>
                <w:sz w:val="24"/>
              </w:rPr>
              <w:t>的，视同为小型和微型企业。</w:t>
            </w:r>
          </w:p>
          <w:p w14:paraId="6459F3FF">
            <w:pPr>
              <w:spacing w:beforeLines="50" w:afterLines="50"/>
              <w:ind w:firstLine="240" w:firstLineChars="100"/>
              <w:rPr>
                <w:rFonts w:ascii="宋体" w:hAnsi="宋体" w:cs="宋体"/>
                <w:color w:val="auto"/>
                <w:sz w:val="24"/>
              </w:rPr>
            </w:pPr>
            <w:r>
              <w:rPr>
                <w:rFonts w:hint="eastAsia" w:ascii="宋体" w:hAnsi="宋体" w:cs="宋体"/>
                <w:color w:val="auto"/>
                <w:sz w:val="24"/>
              </w:rPr>
              <w:t>（2）需要以联合体形式参标，拟享受价格扣除优惠政策的，除提供第（1）条相应材料外，还需提供</w:t>
            </w:r>
            <w:r>
              <w:rPr>
                <w:rFonts w:hint="eastAsia" w:ascii="宋体" w:hAnsi="宋体" w:cs="宋体"/>
                <w:b/>
                <w:bCs/>
                <w:color w:val="auto"/>
                <w:sz w:val="24"/>
              </w:rPr>
              <w:t>联合协议</w:t>
            </w:r>
            <w:r>
              <w:rPr>
                <w:rFonts w:hint="eastAsia" w:ascii="宋体" w:hAnsi="宋体" w:cs="宋体"/>
                <w:b/>
                <w:bCs/>
                <w:color w:val="auto"/>
                <w:sz w:val="20"/>
                <w:szCs w:val="20"/>
                <w:u w:val="single"/>
              </w:rPr>
              <w:t>（附件8）</w:t>
            </w:r>
            <w:r>
              <w:rPr>
                <w:rFonts w:hint="eastAsia" w:ascii="宋体" w:hAnsi="宋体" w:cs="宋体"/>
                <w:color w:val="auto"/>
                <w:sz w:val="24"/>
              </w:rPr>
              <w:t>；</w:t>
            </w:r>
          </w:p>
          <w:p w14:paraId="03A60B82">
            <w:pPr>
              <w:snapToGrid w:val="0"/>
              <w:spacing w:beforeLines="50" w:afterLines="50"/>
              <w:ind w:firstLine="240" w:firstLineChars="100"/>
              <w:rPr>
                <w:rFonts w:ascii="宋体" w:hAnsi="宋体" w:cs="宋体"/>
                <w:color w:val="auto"/>
                <w:sz w:val="24"/>
              </w:rPr>
            </w:pPr>
            <w:r>
              <w:rPr>
                <w:rFonts w:hint="eastAsia" w:ascii="宋体" w:hAnsi="宋体" w:cs="宋体"/>
                <w:color w:val="auto"/>
                <w:sz w:val="24"/>
              </w:rPr>
              <w:t>（3）需要合同分包，拟享受价格扣除优惠政策的，除提供第（1）条相应材料外，还需提供</w:t>
            </w:r>
            <w:r>
              <w:rPr>
                <w:rFonts w:hint="eastAsia" w:ascii="宋体" w:hAnsi="宋体" w:cs="宋体"/>
                <w:b/>
                <w:bCs/>
                <w:color w:val="auto"/>
                <w:sz w:val="24"/>
              </w:rPr>
              <w:t>分包意向协议</w:t>
            </w:r>
            <w:r>
              <w:rPr>
                <w:rFonts w:hint="eastAsia" w:ascii="宋体" w:hAnsi="宋体" w:cs="宋体"/>
                <w:b/>
                <w:bCs/>
                <w:color w:val="auto"/>
                <w:sz w:val="20"/>
                <w:szCs w:val="20"/>
                <w:u w:val="single"/>
              </w:rPr>
              <w:t>（附件9）</w:t>
            </w:r>
            <w:r>
              <w:rPr>
                <w:rFonts w:hint="eastAsia" w:ascii="宋体" w:hAnsi="宋体" w:cs="宋体"/>
                <w:color w:val="auto"/>
                <w:sz w:val="20"/>
                <w:szCs w:val="20"/>
              </w:rPr>
              <w:t>。</w:t>
            </w:r>
          </w:p>
        </w:tc>
        <w:tc>
          <w:tcPr>
            <w:tcW w:w="2534" w:type="dxa"/>
            <w:shd w:val="clear" w:color="auto" w:fill="auto"/>
            <w:vAlign w:val="center"/>
          </w:tcPr>
          <w:p w14:paraId="52B06086">
            <w:pPr>
              <w:spacing w:beforeLines="50" w:afterLines="50"/>
              <w:jc w:val="left"/>
              <w:rPr>
                <w:rFonts w:ascii="宋体" w:hAnsi="宋体" w:cs="宋体"/>
                <w:color w:val="auto"/>
                <w:sz w:val="24"/>
              </w:rPr>
            </w:pPr>
            <w:r>
              <w:rPr>
                <w:rFonts w:hint="eastAsia" w:ascii="宋体" w:hAnsi="宋体" w:cs="宋体"/>
                <w:color w:val="auto"/>
                <w:sz w:val="24"/>
              </w:rPr>
              <w:t>注：</w:t>
            </w:r>
          </w:p>
          <w:p w14:paraId="2E929413">
            <w:pPr>
              <w:spacing w:beforeLines="50" w:afterLines="50"/>
              <w:jc w:val="left"/>
              <w:rPr>
                <w:rFonts w:ascii="宋体" w:hAnsi="宋体" w:cs="宋体"/>
                <w:color w:val="auto"/>
                <w:sz w:val="24"/>
              </w:rPr>
            </w:pPr>
            <w:r>
              <w:rPr>
                <w:rFonts w:hint="eastAsia" w:ascii="宋体" w:hAnsi="宋体" w:cs="宋体"/>
                <w:color w:val="auto"/>
                <w:sz w:val="24"/>
              </w:rPr>
              <w:t>1.同一供应商（包括联合体），小微企业、监狱企业、残疾人福利性单位价格扣除优惠只享受一次，不得重复享受。</w:t>
            </w:r>
          </w:p>
          <w:p w14:paraId="3E65C4A4">
            <w:pPr>
              <w:spacing w:beforeLines="50" w:afterLines="50"/>
              <w:jc w:val="left"/>
              <w:rPr>
                <w:rFonts w:ascii="宋体" w:hAnsi="宋体" w:cs="宋体"/>
                <w:color w:val="auto"/>
                <w:sz w:val="24"/>
              </w:rPr>
            </w:pPr>
            <w:r>
              <w:rPr>
                <w:rFonts w:hint="eastAsia" w:ascii="宋体" w:hAnsi="宋体" w:cs="宋体"/>
                <w:color w:val="auto"/>
                <w:sz w:val="24"/>
              </w:rPr>
              <w:t>2.联合协议或者分包意向协议需明确约定小微企业的合同份额，未明确或不符合要求或未出具中小企业声明函等，则不享受价格扣除优惠政策。</w:t>
            </w:r>
          </w:p>
        </w:tc>
      </w:tr>
      <w:tr w14:paraId="2A718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84" w:type="dxa"/>
            <w:shd w:val="clear" w:color="auto" w:fill="auto"/>
            <w:vAlign w:val="center"/>
          </w:tcPr>
          <w:p w14:paraId="46D01DCF">
            <w:pPr>
              <w:numPr>
                <w:ilvl w:val="0"/>
                <w:numId w:val="10"/>
              </w:numPr>
              <w:snapToGrid w:val="0"/>
              <w:spacing w:beforeLines="50" w:afterLines="50"/>
              <w:jc w:val="center"/>
              <w:rPr>
                <w:rFonts w:ascii="宋体" w:hAnsi="宋体" w:cs="宋体"/>
                <w:color w:val="auto"/>
                <w:sz w:val="24"/>
              </w:rPr>
            </w:pPr>
          </w:p>
        </w:tc>
        <w:tc>
          <w:tcPr>
            <w:tcW w:w="8769" w:type="dxa"/>
            <w:gridSpan w:val="2"/>
            <w:shd w:val="clear" w:color="auto" w:fill="auto"/>
            <w:vAlign w:val="center"/>
          </w:tcPr>
          <w:p w14:paraId="1B001FFD">
            <w:pPr>
              <w:spacing w:beforeLines="50" w:afterLines="50"/>
              <w:jc w:val="left"/>
              <w:rPr>
                <w:rFonts w:ascii="宋体" w:hAnsi="宋体" w:cs="宋体"/>
                <w:color w:val="auto"/>
                <w:szCs w:val="21"/>
              </w:rPr>
            </w:pPr>
            <w:r>
              <w:rPr>
                <w:rFonts w:hint="eastAsia" w:ascii="宋体" w:hAnsi="宋体" w:cs="宋体"/>
                <w:color w:val="auto"/>
                <w:sz w:val="24"/>
              </w:rPr>
              <w:t>投标人认为需要提供的其他政府采购优惠政策相关材料；</w:t>
            </w:r>
            <w:r>
              <w:rPr>
                <w:rFonts w:hint="eastAsia" w:ascii="宋体" w:hAnsi="宋体" w:cs="宋体"/>
                <w:color w:val="auto"/>
                <w:sz w:val="20"/>
                <w:szCs w:val="20"/>
              </w:rPr>
              <w:t>（如有）</w:t>
            </w:r>
          </w:p>
        </w:tc>
      </w:tr>
    </w:tbl>
    <w:p w14:paraId="13D2015F">
      <w:pPr>
        <w:numPr>
          <w:ilvl w:val="0"/>
          <w:numId w:val="6"/>
        </w:numPr>
        <w:tabs>
          <w:tab w:val="left" w:pos="0"/>
          <w:tab w:val="left" w:pos="420"/>
        </w:tabs>
        <w:snapToGrid w:val="0"/>
        <w:spacing w:beforeLines="50" w:afterLines="50" w:line="264" w:lineRule="auto"/>
        <w:jc w:val="left"/>
        <w:rPr>
          <w:rFonts w:ascii="宋体" w:hAnsi="宋体" w:cs="宋体"/>
          <w:b/>
          <w:color w:val="auto"/>
          <w:sz w:val="24"/>
        </w:rPr>
      </w:pPr>
      <w:r>
        <w:rPr>
          <w:rFonts w:hint="eastAsia" w:ascii="宋体" w:hAnsi="宋体" w:cs="宋体"/>
          <w:b/>
          <w:color w:val="auto"/>
          <w:sz w:val="24"/>
        </w:rPr>
        <w:t>投标文件的语言及计量</w:t>
      </w:r>
    </w:p>
    <w:p w14:paraId="3D928A80">
      <w:pPr>
        <w:pStyle w:val="7"/>
        <w:spacing w:beforeLines="50" w:afterLines="50" w:line="264" w:lineRule="auto"/>
        <w:ind w:firstLine="241" w:firstLineChars="100"/>
        <w:rPr>
          <w:rFonts w:hAnsi="宋体" w:cs="宋体"/>
          <w:color w:val="auto"/>
          <w:sz w:val="24"/>
        </w:rPr>
      </w:pPr>
      <w:r>
        <w:rPr>
          <w:rFonts w:hint="eastAsia" w:hAnsi="宋体" w:cs="宋体"/>
          <w:b/>
          <w:color w:val="auto"/>
          <w:sz w:val="24"/>
        </w:rPr>
        <w:t xml:space="preserve"> </w:t>
      </w:r>
      <w:r>
        <w:rPr>
          <w:rFonts w:hint="eastAsia" w:hAnsi="宋体" w:cs="宋体"/>
          <w:color w:val="auto"/>
          <w:sz w:val="24"/>
        </w:rPr>
        <w:t>18.1.投标文件以及投标方与招标方就有关投标事宜的所有来往函电，均应以中文汉语书写。除签名、盖章、专用名称等特殊情形外，以中文汉语以外的文字表述的投标文件视同未提供。</w:t>
      </w:r>
    </w:p>
    <w:p w14:paraId="53539138">
      <w:pPr>
        <w:pStyle w:val="7"/>
        <w:spacing w:beforeLines="50" w:afterLines="50" w:line="264" w:lineRule="auto"/>
        <w:ind w:firstLine="241" w:firstLineChars="100"/>
        <w:rPr>
          <w:rFonts w:hAnsi="宋体" w:cs="宋体"/>
          <w:color w:val="auto"/>
          <w:sz w:val="24"/>
        </w:rPr>
      </w:pPr>
      <w:r>
        <w:rPr>
          <w:rFonts w:hint="eastAsia" w:hAnsi="宋体" w:cs="宋体"/>
          <w:b/>
          <w:color w:val="auto"/>
          <w:sz w:val="24"/>
        </w:rPr>
        <w:t xml:space="preserve"> </w:t>
      </w:r>
      <w:r>
        <w:rPr>
          <w:rFonts w:hint="eastAsia" w:hAnsi="宋体" w:cs="宋体"/>
          <w:color w:val="auto"/>
          <w:sz w:val="24"/>
        </w:rPr>
        <w:t>18.2.投标计量单位，采购文件已有明确规定的，使用采购文件规定的计量单位；采购文件没有规定的，应采用中华人民共和国法定计量单位（货币单位：人民币元），否则视同未响应。</w:t>
      </w:r>
    </w:p>
    <w:p w14:paraId="6F1A9367">
      <w:pPr>
        <w:numPr>
          <w:ilvl w:val="0"/>
          <w:numId w:val="6"/>
        </w:numPr>
        <w:tabs>
          <w:tab w:val="left" w:pos="0"/>
          <w:tab w:val="left" w:pos="420"/>
        </w:tabs>
        <w:snapToGrid w:val="0"/>
        <w:spacing w:beforeLines="50" w:afterLines="50" w:line="264" w:lineRule="auto"/>
        <w:jc w:val="left"/>
        <w:rPr>
          <w:rFonts w:ascii="宋体" w:hAnsi="宋体" w:cs="宋体"/>
          <w:b/>
          <w:color w:val="auto"/>
          <w:sz w:val="24"/>
        </w:rPr>
      </w:pPr>
      <w:r>
        <w:rPr>
          <w:rFonts w:hint="eastAsia" w:ascii="宋体" w:hAnsi="宋体" w:cs="宋体"/>
          <w:b/>
          <w:color w:val="auto"/>
          <w:sz w:val="24"/>
        </w:rPr>
        <w:t>投标文件的签章</w:t>
      </w:r>
    </w:p>
    <w:p w14:paraId="7D58FCD1">
      <w:pPr>
        <w:pStyle w:val="7"/>
        <w:spacing w:beforeLines="50" w:afterLines="50" w:line="264" w:lineRule="auto"/>
        <w:ind w:firstLine="240" w:firstLineChars="100"/>
        <w:rPr>
          <w:rFonts w:hAnsi="宋体" w:cs="宋体"/>
          <w:color w:val="auto"/>
          <w:sz w:val="24"/>
        </w:rPr>
      </w:pPr>
      <w:r>
        <w:rPr>
          <w:rFonts w:hint="eastAsia" w:hAnsi="宋体" w:cs="宋体"/>
          <w:color w:val="auto"/>
          <w:sz w:val="24"/>
        </w:rPr>
        <w:t>▲根据采购文件要求在投标文件相应位置盖章并由投标供应商法定代表人（负责人）或授权代表（签字或盖章），投标供应商应写全称。电子投标文件中采用CA签章。</w:t>
      </w:r>
    </w:p>
    <w:p w14:paraId="2C1F8C29">
      <w:pPr>
        <w:numPr>
          <w:ilvl w:val="0"/>
          <w:numId w:val="6"/>
        </w:numPr>
        <w:tabs>
          <w:tab w:val="left" w:pos="0"/>
          <w:tab w:val="left" w:pos="420"/>
        </w:tabs>
        <w:snapToGrid w:val="0"/>
        <w:spacing w:beforeLines="50" w:afterLines="50" w:line="264" w:lineRule="auto"/>
        <w:jc w:val="left"/>
        <w:rPr>
          <w:rFonts w:ascii="宋体" w:hAnsi="宋体" w:cs="宋体"/>
          <w:b/>
          <w:color w:val="auto"/>
          <w:sz w:val="24"/>
        </w:rPr>
      </w:pPr>
      <w:r>
        <w:rPr>
          <w:rFonts w:hint="eastAsia" w:ascii="宋体" w:hAnsi="宋体" w:cs="宋体"/>
          <w:b/>
          <w:color w:val="auto"/>
          <w:sz w:val="24"/>
        </w:rPr>
        <w:t>投标报价</w:t>
      </w:r>
    </w:p>
    <w:p w14:paraId="7D94F2E7">
      <w:pPr>
        <w:pStyle w:val="7"/>
        <w:spacing w:beforeLines="50" w:afterLines="50" w:line="264" w:lineRule="auto"/>
        <w:ind w:firstLine="240" w:firstLineChars="100"/>
        <w:rPr>
          <w:rFonts w:hAnsi="宋体" w:cs="宋体"/>
          <w:b/>
          <w:color w:val="auto"/>
          <w:sz w:val="24"/>
          <w:u w:val="single"/>
        </w:rPr>
      </w:pPr>
      <w:r>
        <w:rPr>
          <w:rFonts w:hint="eastAsia" w:hAnsi="宋体" w:cs="宋体"/>
          <w:color w:val="auto"/>
          <w:sz w:val="24"/>
        </w:rPr>
        <w:t>▲</w:t>
      </w:r>
      <w:r>
        <w:rPr>
          <w:rFonts w:hint="eastAsia" w:hAnsi="宋体" w:cs="宋体"/>
          <w:b/>
          <w:color w:val="auto"/>
          <w:sz w:val="24"/>
        </w:rPr>
        <w:t>20.1.</w:t>
      </w:r>
      <w:r>
        <w:rPr>
          <w:rFonts w:hint="eastAsia" w:hAnsi="宋体" w:cs="宋体"/>
          <w:b/>
          <w:color w:val="auto"/>
          <w:sz w:val="24"/>
          <w:u w:val="single"/>
        </w:rPr>
        <w:t>投标报价是履行合同的最终价格，投标报价应包括：服务费、人工费、技术支持、报告等成果文件的费用、税金、招标代理费等完成本项目的其它费用和政策性文件规定及合同包含的所有风险、责任等各项应有费用，即投标人所投 的投标报价为投标人所能承受的整个项目的一次性最终最低报价。如有漏项，视同已包含在其它项目中，合同单价及总价不作调整。</w:t>
      </w:r>
    </w:p>
    <w:p w14:paraId="216A67E2">
      <w:pPr>
        <w:pStyle w:val="7"/>
        <w:spacing w:beforeLines="50" w:afterLines="50" w:line="264" w:lineRule="auto"/>
        <w:ind w:firstLine="241" w:firstLineChars="100"/>
        <w:rPr>
          <w:rFonts w:hAnsi="宋体" w:cs="宋体"/>
          <w:color w:val="auto"/>
          <w:sz w:val="24"/>
        </w:rPr>
      </w:pPr>
      <w:r>
        <w:rPr>
          <w:rFonts w:hint="eastAsia" w:hAnsi="宋体" w:cs="宋体"/>
          <w:b/>
          <w:color w:val="auto"/>
          <w:sz w:val="24"/>
        </w:rPr>
        <w:t>▲</w:t>
      </w:r>
      <w:r>
        <w:rPr>
          <w:rFonts w:hint="eastAsia" w:hAnsi="宋体" w:cs="宋体"/>
          <w:color w:val="auto"/>
          <w:sz w:val="24"/>
        </w:rPr>
        <w:t>20.2.报价超过采购预算（或最高限价）的，作无效标处理。</w:t>
      </w:r>
    </w:p>
    <w:p w14:paraId="4803A81B">
      <w:pPr>
        <w:pStyle w:val="7"/>
        <w:spacing w:beforeLines="50" w:afterLines="50" w:line="264" w:lineRule="auto"/>
        <w:ind w:firstLine="241" w:firstLineChars="100"/>
        <w:rPr>
          <w:rFonts w:hAnsi="宋体" w:cs="宋体"/>
          <w:color w:val="auto"/>
          <w:sz w:val="24"/>
        </w:rPr>
      </w:pPr>
      <w:r>
        <w:rPr>
          <w:rFonts w:hint="eastAsia" w:hAnsi="宋体" w:cs="宋体"/>
          <w:b/>
          <w:color w:val="auto"/>
          <w:sz w:val="24"/>
        </w:rPr>
        <w:t>▲</w:t>
      </w:r>
      <w:r>
        <w:rPr>
          <w:rFonts w:hint="eastAsia" w:hAnsi="宋体" w:cs="宋体"/>
          <w:color w:val="auto"/>
          <w:sz w:val="24"/>
        </w:rPr>
        <w:t xml:space="preserve">20.3.投标文件只允许有一个报价，提供两个或多个报价的按无效标处理。 </w:t>
      </w:r>
    </w:p>
    <w:p w14:paraId="033E8456">
      <w:pPr>
        <w:numPr>
          <w:ilvl w:val="0"/>
          <w:numId w:val="6"/>
        </w:numPr>
        <w:tabs>
          <w:tab w:val="left" w:pos="0"/>
          <w:tab w:val="left" w:pos="420"/>
        </w:tabs>
        <w:snapToGrid w:val="0"/>
        <w:spacing w:beforeLines="50" w:afterLines="50" w:line="264" w:lineRule="auto"/>
        <w:jc w:val="left"/>
        <w:rPr>
          <w:rFonts w:ascii="宋体" w:hAnsi="宋体" w:cs="宋体"/>
          <w:b/>
          <w:color w:val="auto"/>
          <w:sz w:val="24"/>
        </w:rPr>
      </w:pPr>
      <w:r>
        <w:rPr>
          <w:rFonts w:hint="eastAsia" w:ascii="宋体" w:hAnsi="宋体" w:cs="宋体"/>
          <w:b/>
          <w:color w:val="auto"/>
          <w:sz w:val="24"/>
        </w:rPr>
        <w:t>投标文件有效期</w:t>
      </w:r>
    </w:p>
    <w:p w14:paraId="58034565">
      <w:pPr>
        <w:pStyle w:val="7"/>
        <w:spacing w:beforeLines="50" w:afterLines="50" w:line="264" w:lineRule="auto"/>
        <w:ind w:firstLine="240" w:firstLineChars="100"/>
        <w:rPr>
          <w:rFonts w:hAnsi="宋体" w:cs="宋体"/>
          <w:color w:val="auto"/>
          <w:sz w:val="24"/>
        </w:rPr>
      </w:pPr>
      <w:r>
        <w:rPr>
          <w:rFonts w:hint="eastAsia" w:hAnsi="宋体" w:cs="宋体"/>
          <w:color w:val="auto"/>
          <w:sz w:val="24"/>
        </w:rPr>
        <w:t>▲21.1.</w:t>
      </w:r>
      <w:r>
        <w:rPr>
          <w:rFonts w:hint="eastAsia" w:hAnsi="宋体" w:cs="宋体"/>
          <w:b/>
          <w:bCs/>
          <w:color w:val="auto"/>
          <w:sz w:val="24"/>
        </w:rPr>
        <w:t>投标文件有效期为90天</w:t>
      </w:r>
      <w:r>
        <w:rPr>
          <w:rFonts w:hint="eastAsia" w:hAnsi="宋体" w:cs="宋体"/>
          <w:color w:val="auto"/>
          <w:sz w:val="24"/>
        </w:rPr>
        <w:t>，从采购文件规定的提交投标文件截止之日起计算，在此期限内，供应商不得撤回或修改其投标文件。</w:t>
      </w:r>
    </w:p>
    <w:p w14:paraId="5A065743">
      <w:pPr>
        <w:pStyle w:val="7"/>
        <w:spacing w:beforeLines="50" w:afterLines="50" w:line="264" w:lineRule="auto"/>
        <w:ind w:firstLine="480" w:firstLineChars="200"/>
        <w:rPr>
          <w:rFonts w:hAnsi="宋体" w:cs="宋体"/>
          <w:color w:val="auto"/>
          <w:sz w:val="24"/>
        </w:rPr>
      </w:pPr>
      <w:r>
        <w:rPr>
          <w:rFonts w:hint="eastAsia" w:hAnsi="宋体" w:cs="宋体"/>
          <w:color w:val="auto"/>
          <w:sz w:val="24"/>
        </w:rPr>
        <w:t>21.2.在投标文件有效期结束前，出现特殊情况的，采购代理机构可以书面形式要求所有供应商延长投标有效期，对此要求供应商须以书面形式予以答复。供应商同意延长的，不得要求也不允许修改或撤销其投标文件；供应商拒绝延长的，其投标失效。</w:t>
      </w:r>
    </w:p>
    <w:p w14:paraId="41BAEEF2">
      <w:pPr>
        <w:pStyle w:val="7"/>
        <w:spacing w:beforeLines="50" w:afterLines="50" w:line="264" w:lineRule="auto"/>
        <w:ind w:firstLine="480" w:firstLineChars="200"/>
        <w:rPr>
          <w:rFonts w:hAnsi="宋体" w:cs="宋体"/>
          <w:color w:val="auto"/>
        </w:rPr>
      </w:pPr>
      <w:r>
        <w:rPr>
          <w:rFonts w:hint="eastAsia" w:hAnsi="宋体" w:cs="宋体"/>
          <w:color w:val="auto"/>
          <w:sz w:val="24"/>
        </w:rPr>
        <w:t>21.3.中标人的投标文件自开标之日起至合同履行完毕止均应保持有效。</w:t>
      </w:r>
    </w:p>
    <w:p w14:paraId="07DD610D">
      <w:pPr>
        <w:pStyle w:val="7"/>
        <w:spacing w:beforeLines="50" w:afterLines="50" w:line="264" w:lineRule="auto"/>
        <w:jc w:val="center"/>
        <w:outlineLvl w:val="1"/>
        <w:rPr>
          <w:rFonts w:hAnsi="宋体" w:cs="宋体"/>
          <w:b/>
          <w:bCs/>
          <w:color w:val="auto"/>
          <w:sz w:val="30"/>
          <w:szCs w:val="30"/>
        </w:rPr>
      </w:pPr>
      <w:bookmarkStart w:id="22" w:name="_Toc22990"/>
      <w:r>
        <w:rPr>
          <w:rFonts w:hint="eastAsia" w:hAnsi="宋体" w:cs="宋体"/>
          <w:b/>
          <w:bCs/>
          <w:color w:val="auto"/>
          <w:sz w:val="30"/>
          <w:szCs w:val="30"/>
        </w:rPr>
        <w:t>第四节  投 标</w:t>
      </w:r>
      <w:bookmarkEnd w:id="22"/>
    </w:p>
    <w:p w14:paraId="3B140954">
      <w:pPr>
        <w:numPr>
          <w:ilvl w:val="0"/>
          <w:numId w:val="6"/>
        </w:numPr>
        <w:tabs>
          <w:tab w:val="left" w:pos="0"/>
          <w:tab w:val="left" w:pos="420"/>
        </w:tabs>
        <w:snapToGrid w:val="0"/>
        <w:spacing w:beforeLines="50" w:afterLines="50" w:line="264" w:lineRule="auto"/>
        <w:jc w:val="left"/>
        <w:rPr>
          <w:rFonts w:ascii="宋体" w:hAnsi="宋体" w:cs="宋体"/>
          <w:b/>
          <w:color w:val="auto"/>
          <w:sz w:val="24"/>
        </w:rPr>
      </w:pPr>
      <w:r>
        <w:rPr>
          <w:rFonts w:hint="eastAsia" w:ascii="宋体" w:hAnsi="宋体" w:cs="宋体"/>
          <w:b/>
          <w:color w:val="auto"/>
          <w:sz w:val="24"/>
        </w:rPr>
        <w:t>投标文件的上传和递交</w:t>
      </w:r>
    </w:p>
    <w:p w14:paraId="64AAE6FB">
      <w:pPr>
        <w:spacing w:beforeLines="50" w:afterLines="50" w:line="264" w:lineRule="auto"/>
        <w:ind w:firstLine="240" w:firstLineChars="100"/>
        <w:rPr>
          <w:rFonts w:ascii="宋体" w:hAnsi="宋体" w:cs="宋体"/>
          <w:b/>
          <w:bCs/>
          <w:color w:val="auto"/>
          <w:sz w:val="24"/>
        </w:rPr>
      </w:pPr>
      <w:r>
        <w:rPr>
          <w:rFonts w:hint="eastAsia" w:ascii="宋体" w:hAnsi="宋体" w:cs="宋体"/>
          <w:color w:val="auto"/>
          <w:sz w:val="24"/>
        </w:rPr>
        <w:t>22.1.</w:t>
      </w:r>
      <w:r>
        <w:rPr>
          <w:rFonts w:hint="eastAsia" w:ascii="宋体" w:hAnsi="宋体" w:cs="宋体"/>
          <w:b/>
          <w:bCs/>
          <w:color w:val="auto"/>
          <w:sz w:val="24"/>
        </w:rPr>
        <w:t>投标文件的上传提交</w:t>
      </w:r>
    </w:p>
    <w:p w14:paraId="2ED1A6D1">
      <w:pPr>
        <w:pStyle w:val="42"/>
        <w:spacing w:beforeLines="50" w:afterLines="50" w:line="264" w:lineRule="auto"/>
        <w:ind w:firstLine="720" w:firstLineChars="300"/>
        <w:rPr>
          <w:rFonts w:ascii="宋体" w:hAnsi="宋体" w:cs="宋体"/>
          <w:color w:val="auto"/>
          <w:kern w:val="2"/>
          <w:sz w:val="24"/>
          <w:lang w:bidi="zh-CN"/>
        </w:rPr>
      </w:pPr>
      <w:r>
        <w:rPr>
          <w:rFonts w:hint="eastAsia" w:ascii="宋体" w:hAnsi="宋体" w:cs="宋体"/>
          <w:color w:val="auto"/>
          <w:kern w:val="2"/>
          <w:sz w:val="24"/>
          <w:lang w:bidi="zh-CN"/>
        </w:rPr>
        <w:t>详见《投标人须知前附表》。</w:t>
      </w:r>
    </w:p>
    <w:p w14:paraId="0FB8621F">
      <w:pPr>
        <w:pStyle w:val="13"/>
        <w:spacing w:beforeLines="50" w:afterLines="50" w:line="264" w:lineRule="auto"/>
        <w:ind w:firstLine="240" w:firstLineChars="100"/>
        <w:rPr>
          <w:rFonts w:hAnsi="宋体" w:cs="宋体"/>
          <w:color w:val="auto"/>
          <w:sz w:val="24"/>
          <w:lang w:bidi="zh-CN"/>
        </w:rPr>
      </w:pPr>
      <w:r>
        <w:rPr>
          <w:rFonts w:hint="eastAsia" w:hAnsi="宋体" w:cs="宋体"/>
          <w:color w:val="auto"/>
          <w:sz w:val="24"/>
          <w:lang w:bidi="zh-CN"/>
        </w:rPr>
        <w:t>22.2.</w:t>
      </w:r>
      <w:r>
        <w:rPr>
          <w:rFonts w:hint="eastAsia" w:hAnsi="宋体" w:cs="宋体"/>
          <w:b/>
          <w:bCs/>
          <w:color w:val="auto"/>
          <w:sz w:val="24"/>
          <w:lang w:bidi="zh-CN"/>
        </w:rPr>
        <w:t>供应商须按照采购文件和政采云平台的要求编制并加密投标文件。在投标文件递交截止时间以前完成投标文件的传输递交，截止时间后递交的投标文件，将被拒收。</w:t>
      </w:r>
    </w:p>
    <w:p w14:paraId="08100799">
      <w:pPr>
        <w:pStyle w:val="13"/>
        <w:spacing w:beforeLines="50" w:afterLines="50" w:line="264" w:lineRule="auto"/>
        <w:ind w:firstLine="240" w:firstLineChars="100"/>
        <w:rPr>
          <w:rFonts w:hAnsi="宋体" w:cs="宋体"/>
          <w:color w:val="auto"/>
          <w:sz w:val="24"/>
          <w:lang w:bidi="zh-CN"/>
        </w:rPr>
      </w:pPr>
      <w:r>
        <w:rPr>
          <w:rFonts w:hint="eastAsia" w:hAnsi="宋体" w:cs="宋体"/>
          <w:color w:val="auto"/>
          <w:sz w:val="24"/>
          <w:lang w:bidi="zh-CN"/>
        </w:rPr>
        <w:t>22.3.如有特殊情况，采购组织机构延长截止时间和开标时间，采购组织机构和供应商的权利和义务将受到新的截止时间和开标时间的约束。</w:t>
      </w:r>
    </w:p>
    <w:p w14:paraId="0C9A2844">
      <w:pPr>
        <w:numPr>
          <w:ilvl w:val="0"/>
          <w:numId w:val="6"/>
        </w:numPr>
        <w:tabs>
          <w:tab w:val="left" w:pos="0"/>
          <w:tab w:val="left" w:pos="420"/>
        </w:tabs>
        <w:snapToGrid w:val="0"/>
        <w:spacing w:beforeLines="50" w:afterLines="50" w:line="264" w:lineRule="auto"/>
        <w:jc w:val="left"/>
        <w:rPr>
          <w:rFonts w:ascii="宋体" w:hAnsi="宋体" w:cs="宋体"/>
          <w:b/>
          <w:color w:val="auto"/>
          <w:sz w:val="24"/>
        </w:rPr>
      </w:pPr>
      <w:r>
        <w:rPr>
          <w:rFonts w:hint="eastAsia" w:ascii="宋体" w:hAnsi="宋体" w:cs="宋体"/>
          <w:b/>
          <w:color w:val="auto"/>
          <w:sz w:val="24"/>
        </w:rPr>
        <w:t>投标文件的补充、修改和撤回</w:t>
      </w:r>
    </w:p>
    <w:p w14:paraId="4FAB9042">
      <w:pPr>
        <w:spacing w:beforeLines="50" w:afterLines="50" w:line="264" w:lineRule="auto"/>
        <w:ind w:firstLine="480" w:firstLineChars="200"/>
        <w:jc w:val="left"/>
        <w:rPr>
          <w:rFonts w:ascii="宋体" w:hAnsi="宋体" w:cs="宋体"/>
          <w:color w:val="auto"/>
          <w:sz w:val="24"/>
        </w:rPr>
      </w:pPr>
      <w:r>
        <w:rPr>
          <w:rFonts w:hint="eastAsia" w:ascii="宋体" w:hAnsi="宋体" w:cs="宋体"/>
          <w:color w:val="auto"/>
          <w:sz w:val="24"/>
        </w:rPr>
        <w:t>供应商应当在投标截止时间前完成电子交易文件的传输递交，投标截止时间前可以补充、修改或者撤回电子交易文件。补充或者修改电子交易文件的，应当先行撤回原文件，补充、修改后重新传输递交。投标截止时间前未完成传输的，视为投标文件撤回。投标截止时间后传输递交的投标文件，“政采云平台”将予以拒收。投标截止时间后，投标人不得修改（补充）或撤回其投标文件。</w:t>
      </w:r>
      <w:r>
        <w:rPr>
          <w:rFonts w:hint="eastAsia" w:ascii="宋体" w:hAnsi="宋体" w:cs="宋体"/>
          <w:b/>
          <w:bCs/>
          <w:color w:val="auto"/>
          <w:sz w:val="24"/>
          <w:u w:val="single"/>
        </w:rPr>
        <w:t>供应商提交的“备份投标文件</w:t>
      </w:r>
      <w:r>
        <w:rPr>
          <w:rFonts w:hint="eastAsia" w:ascii="宋体" w:hAnsi="宋体" w:cs="宋体"/>
          <w:color w:val="auto"/>
          <w:sz w:val="24"/>
          <w:u w:val="single"/>
        </w:rPr>
        <w:t>”</w:t>
      </w:r>
      <w:r>
        <w:rPr>
          <w:rFonts w:hint="eastAsia" w:ascii="宋体" w:hAnsi="宋体" w:cs="宋体"/>
          <w:b/>
          <w:bCs/>
          <w:color w:val="auto"/>
          <w:sz w:val="24"/>
          <w:u w:val="single"/>
        </w:rPr>
        <w:t>以投标截止时间前指定邮箱最终收到的文件为准，逾期或未按要求提供的视为未提供。</w:t>
      </w:r>
    </w:p>
    <w:p w14:paraId="1935ADBF">
      <w:pPr>
        <w:numPr>
          <w:ilvl w:val="0"/>
          <w:numId w:val="6"/>
        </w:numPr>
        <w:tabs>
          <w:tab w:val="left" w:pos="0"/>
          <w:tab w:val="left" w:pos="420"/>
        </w:tabs>
        <w:snapToGrid w:val="0"/>
        <w:spacing w:beforeLines="50" w:afterLines="50" w:line="264" w:lineRule="auto"/>
        <w:jc w:val="left"/>
        <w:rPr>
          <w:rFonts w:ascii="宋体" w:hAnsi="宋体" w:cs="宋体"/>
          <w:b/>
          <w:color w:val="auto"/>
          <w:sz w:val="24"/>
        </w:rPr>
      </w:pPr>
      <w:r>
        <w:rPr>
          <w:rFonts w:hint="eastAsia" w:ascii="宋体" w:hAnsi="宋体" w:cs="宋体"/>
          <w:b/>
          <w:color w:val="auto"/>
          <w:sz w:val="24"/>
        </w:rPr>
        <w:t>投标无效的情形：</w:t>
      </w:r>
    </w:p>
    <w:p w14:paraId="14DF822D">
      <w:pPr>
        <w:pStyle w:val="2"/>
        <w:spacing w:beforeLines="50" w:afterLines="50" w:line="264" w:lineRule="auto"/>
        <w:ind w:firstLine="480" w:firstLineChars="200"/>
        <w:rPr>
          <w:rFonts w:ascii="宋体" w:hAnsi="宋体" w:cs="宋体"/>
          <w:bCs/>
          <w:color w:val="auto"/>
        </w:rPr>
      </w:pPr>
      <w:r>
        <w:rPr>
          <w:rFonts w:hint="eastAsia" w:ascii="宋体" w:hAnsi="宋体" w:cs="宋体"/>
          <w:bCs/>
          <w:color w:val="auto"/>
        </w:rPr>
        <w:t>24.1.仅提交备份响应文件的或电子加密投标文件未按时上传解密，又未提供备份响应文件文件的；</w:t>
      </w:r>
    </w:p>
    <w:p w14:paraId="4E3CDEE5">
      <w:pPr>
        <w:pStyle w:val="2"/>
        <w:spacing w:beforeLines="50" w:afterLines="50" w:line="264" w:lineRule="auto"/>
        <w:ind w:firstLine="480" w:firstLineChars="200"/>
        <w:rPr>
          <w:rFonts w:ascii="宋体" w:hAnsi="宋体" w:cs="宋体"/>
          <w:bCs/>
          <w:color w:val="auto"/>
        </w:rPr>
      </w:pPr>
      <w:r>
        <w:rPr>
          <w:rFonts w:hint="eastAsia" w:ascii="宋体" w:hAnsi="宋体" w:cs="宋体"/>
          <w:bCs/>
          <w:color w:val="auto"/>
        </w:rPr>
        <w:t>24.2.不符合采购文件标明的资格要求的；</w:t>
      </w:r>
    </w:p>
    <w:p w14:paraId="22938359">
      <w:pPr>
        <w:pStyle w:val="2"/>
        <w:spacing w:beforeLines="50" w:afterLines="50" w:line="264" w:lineRule="auto"/>
        <w:ind w:firstLine="480" w:firstLineChars="200"/>
        <w:rPr>
          <w:rFonts w:ascii="宋体" w:hAnsi="宋体" w:cs="宋体"/>
          <w:bCs/>
          <w:color w:val="auto"/>
        </w:rPr>
      </w:pPr>
      <w:r>
        <w:rPr>
          <w:rFonts w:hint="eastAsia" w:ascii="宋体" w:hAnsi="宋体" w:cs="宋体"/>
          <w:bCs/>
          <w:color w:val="auto"/>
        </w:rPr>
        <w:t>24.3.</w:t>
      </w:r>
      <w:r>
        <w:rPr>
          <w:rFonts w:hint="eastAsia" w:ascii="宋体" w:hAnsi="宋体" w:cs="宋体"/>
          <w:b/>
          <w:color w:val="auto"/>
        </w:rPr>
        <w:t>不同投标人IP、MAC、硬件信息相同的；</w:t>
      </w:r>
    </w:p>
    <w:p w14:paraId="3A8A6755">
      <w:pPr>
        <w:pStyle w:val="2"/>
        <w:spacing w:beforeLines="50" w:afterLines="50" w:line="264" w:lineRule="auto"/>
        <w:ind w:firstLine="480" w:firstLineChars="200"/>
        <w:rPr>
          <w:rFonts w:ascii="宋体" w:hAnsi="宋体" w:cs="宋体"/>
          <w:bCs/>
          <w:color w:val="auto"/>
        </w:rPr>
      </w:pPr>
      <w:r>
        <w:rPr>
          <w:rFonts w:hint="eastAsia" w:ascii="宋体" w:hAnsi="宋体" w:cs="宋体"/>
          <w:bCs/>
          <w:color w:val="auto"/>
        </w:rPr>
        <w:t>24.4.投标文件组成不符合采购文件要求的；</w:t>
      </w:r>
    </w:p>
    <w:p w14:paraId="6E96E116">
      <w:pPr>
        <w:pStyle w:val="2"/>
        <w:spacing w:beforeLines="50" w:afterLines="50" w:line="264" w:lineRule="auto"/>
        <w:ind w:firstLine="480" w:firstLineChars="200"/>
        <w:rPr>
          <w:rFonts w:ascii="宋体" w:hAnsi="宋体" w:cs="宋体"/>
          <w:bCs/>
          <w:color w:val="auto"/>
        </w:rPr>
      </w:pPr>
      <w:r>
        <w:rPr>
          <w:rFonts w:hint="eastAsia" w:ascii="宋体" w:hAnsi="宋体" w:cs="宋体"/>
          <w:bCs/>
          <w:color w:val="auto"/>
        </w:rPr>
        <w:t>24.5.未按规定标记、签署、盖章的；</w:t>
      </w:r>
    </w:p>
    <w:p w14:paraId="47768797">
      <w:pPr>
        <w:pStyle w:val="2"/>
        <w:spacing w:beforeLines="50" w:afterLines="50" w:line="264" w:lineRule="auto"/>
        <w:ind w:firstLine="480" w:firstLineChars="200"/>
        <w:rPr>
          <w:rFonts w:ascii="宋体" w:hAnsi="宋体" w:cs="宋体"/>
          <w:bCs/>
          <w:color w:val="auto"/>
        </w:rPr>
      </w:pPr>
      <w:r>
        <w:rPr>
          <w:rFonts w:hint="eastAsia" w:ascii="宋体" w:hAnsi="宋体" w:cs="宋体"/>
          <w:bCs/>
          <w:color w:val="auto"/>
        </w:rPr>
        <w:t xml:space="preserve">24.6.投标文件的实质性内容未使用中文表述、意思表述不明确、前后矛盾或者使用计量单位不符合招标文件要求的（经评标委员会认定并允许其当场更正的笔误除外）。 </w:t>
      </w:r>
    </w:p>
    <w:p w14:paraId="43F7C2DE">
      <w:pPr>
        <w:pStyle w:val="2"/>
        <w:spacing w:beforeLines="50" w:afterLines="50" w:line="264" w:lineRule="auto"/>
        <w:ind w:firstLine="480" w:firstLineChars="200"/>
        <w:rPr>
          <w:rFonts w:ascii="宋体" w:hAnsi="宋体" w:cs="宋体"/>
          <w:bCs/>
          <w:color w:val="auto"/>
        </w:rPr>
      </w:pPr>
      <w:r>
        <w:rPr>
          <w:rFonts w:hint="eastAsia" w:ascii="宋体" w:hAnsi="宋体" w:cs="宋体"/>
          <w:bCs/>
          <w:color w:val="auto"/>
        </w:rPr>
        <w:t xml:space="preserve">24.7.不响应采购文件实质性内容的（采购文件中带“▲”内容及被拒绝的条款）； </w:t>
      </w:r>
    </w:p>
    <w:p w14:paraId="18D3EF2B">
      <w:pPr>
        <w:pStyle w:val="2"/>
        <w:spacing w:beforeLines="50" w:afterLines="50" w:line="264" w:lineRule="auto"/>
        <w:ind w:firstLine="480" w:firstLineChars="200"/>
        <w:rPr>
          <w:rFonts w:ascii="宋体" w:hAnsi="宋体" w:cs="宋体"/>
          <w:bCs/>
          <w:color w:val="auto"/>
        </w:rPr>
      </w:pPr>
      <w:r>
        <w:rPr>
          <w:rFonts w:hint="eastAsia" w:ascii="宋体" w:hAnsi="宋体" w:cs="宋体"/>
          <w:bCs/>
          <w:color w:val="auto"/>
        </w:rPr>
        <w:t>24.8.允许偏离的技术、性能指标或者辅助功能项目负偏离</w:t>
      </w:r>
      <w:r>
        <w:rPr>
          <w:rFonts w:hint="eastAsia" w:ascii="宋体" w:hAnsi="宋体" w:cs="宋体"/>
          <w:bCs/>
          <w:color w:val="auto"/>
          <w:u w:val="single"/>
        </w:rPr>
        <w:t xml:space="preserve"> / </w:t>
      </w:r>
      <w:r>
        <w:rPr>
          <w:rFonts w:hint="eastAsia" w:ascii="宋体" w:hAnsi="宋体" w:cs="宋体"/>
          <w:bCs/>
          <w:color w:val="auto"/>
        </w:rPr>
        <w:t>项(含)以上的；</w:t>
      </w:r>
    </w:p>
    <w:p w14:paraId="7CF4CAC5">
      <w:pPr>
        <w:pStyle w:val="2"/>
        <w:spacing w:beforeLines="50" w:afterLines="50" w:line="264" w:lineRule="auto"/>
        <w:ind w:firstLine="480" w:firstLineChars="200"/>
        <w:rPr>
          <w:rFonts w:ascii="宋体" w:hAnsi="宋体" w:cs="宋体"/>
          <w:bCs/>
          <w:color w:val="auto"/>
        </w:rPr>
      </w:pPr>
      <w:r>
        <w:rPr>
          <w:rFonts w:hint="eastAsia" w:ascii="宋体" w:hAnsi="宋体" w:cs="宋体"/>
          <w:bCs/>
          <w:color w:val="auto"/>
        </w:rPr>
        <w:t>24.9.投标技术方案不明确，存在一个或一个以上备选（替代）投标方案的；</w:t>
      </w:r>
    </w:p>
    <w:p w14:paraId="62894FB6">
      <w:pPr>
        <w:pStyle w:val="2"/>
        <w:spacing w:beforeLines="50" w:afterLines="50" w:line="264" w:lineRule="auto"/>
        <w:ind w:firstLine="480" w:firstLineChars="200"/>
        <w:rPr>
          <w:rFonts w:ascii="宋体" w:hAnsi="宋体" w:cs="宋体"/>
          <w:bCs/>
          <w:color w:val="auto"/>
        </w:rPr>
      </w:pPr>
      <w:r>
        <w:rPr>
          <w:rFonts w:hint="eastAsia" w:ascii="宋体" w:hAnsi="宋体" w:cs="宋体"/>
          <w:bCs/>
          <w:color w:val="auto"/>
        </w:rPr>
        <w:t>24.10.投标文件含有采购人不能接受的附加条件的；</w:t>
      </w:r>
    </w:p>
    <w:p w14:paraId="045F8750">
      <w:pPr>
        <w:pStyle w:val="2"/>
        <w:spacing w:beforeLines="50" w:afterLines="50" w:line="264" w:lineRule="auto"/>
        <w:ind w:firstLine="480" w:firstLineChars="200"/>
        <w:rPr>
          <w:rFonts w:ascii="宋体" w:hAnsi="宋体" w:cs="宋体"/>
          <w:bCs/>
          <w:color w:val="auto"/>
        </w:rPr>
      </w:pPr>
      <w:r>
        <w:rPr>
          <w:rFonts w:hint="eastAsia" w:ascii="宋体" w:hAnsi="宋体" w:cs="宋体"/>
          <w:bCs/>
          <w:color w:val="auto"/>
        </w:rPr>
        <w:t>24.11.未按采购文件格式要求编制、随意进行增删更改、影响实质性内容表达的；</w:t>
      </w:r>
    </w:p>
    <w:p w14:paraId="66172CE6">
      <w:pPr>
        <w:pStyle w:val="2"/>
        <w:spacing w:beforeLines="50" w:afterLines="50" w:line="264" w:lineRule="auto"/>
        <w:ind w:firstLine="480" w:firstLineChars="200"/>
        <w:rPr>
          <w:rFonts w:ascii="宋体" w:hAnsi="宋体" w:cs="宋体"/>
          <w:bCs/>
          <w:color w:val="auto"/>
        </w:rPr>
      </w:pPr>
      <w:r>
        <w:rPr>
          <w:rFonts w:hint="eastAsia" w:ascii="宋体" w:hAnsi="宋体" w:cs="宋体"/>
          <w:bCs/>
          <w:color w:val="auto"/>
        </w:rPr>
        <w:t>24.12.报价超过采购文件中规定的预算金额或者最高限价的；</w:t>
      </w:r>
    </w:p>
    <w:p w14:paraId="60C07B0F">
      <w:pPr>
        <w:pStyle w:val="2"/>
        <w:spacing w:beforeLines="50" w:afterLines="50" w:line="264" w:lineRule="auto"/>
        <w:ind w:firstLine="480" w:firstLineChars="200"/>
        <w:rPr>
          <w:rFonts w:ascii="宋体" w:hAnsi="宋体" w:cs="宋体"/>
          <w:bCs/>
          <w:color w:val="auto"/>
        </w:rPr>
      </w:pPr>
      <w:r>
        <w:rPr>
          <w:rFonts w:hint="eastAsia" w:ascii="宋体" w:hAnsi="宋体" w:cs="宋体"/>
          <w:bCs/>
          <w:color w:val="auto"/>
        </w:rPr>
        <w:t>24.13.投标文件中对同一项目提供两个或多个报价、参数或其他可选择内容的；</w:t>
      </w:r>
    </w:p>
    <w:p w14:paraId="5FDF3668">
      <w:pPr>
        <w:pStyle w:val="2"/>
        <w:spacing w:beforeLines="50" w:afterLines="50" w:line="264" w:lineRule="auto"/>
        <w:ind w:firstLine="480" w:firstLineChars="200"/>
        <w:rPr>
          <w:rFonts w:ascii="宋体" w:hAnsi="宋体" w:cs="宋体"/>
          <w:bCs/>
          <w:color w:val="auto"/>
        </w:rPr>
      </w:pPr>
      <w:r>
        <w:rPr>
          <w:rFonts w:hint="eastAsia" w:ascii="宋体" w:hAnsi="宋体" w:cs="宋体"/>
          <w:bCs/>
          <w:color w:val="auto"/>
        </w:rPr>
        <w:t>24.14.投标报价明细表总额与开标一览表总价不一致，并拒绝按采购文件要求调整修正的；</w:t>
      </w:r>
    </w:p>
    <w:p w14:paraId="74B6D8AB">
      <w:pPr>
        <w:pStyle w:val="2"/>
        <w:spacing w:beforeLines="50" w:afterLines="50" w:line="264" w:lineRule="auto"/>
        <w:ind w:firstLine="480" w:firstLineChars="200"/>
        <w:rPr>
          <w:rFonts w:ascii="宋体" w:hAnsi="宋体" w:cs="宋体"/>
          <w:bCs/>
          <w:color w:val="auto"/>
        </w:rPr>
      </w:pPr>
      <w:r>
        <w:rPr>
          <w:rFonts w:hint="eastAsia" w:ascii="宋体" w:hAnsi="宋体" w:cs="宋体"/>
          <w:bCs/>
          <w:color w:val="auto"/>
        </w:rPr>
        <w:t>24.15.投标人的报价明显低于其他通过符合性审查投标人的报价，且不能在评标委员会要求的时间内作出合理答复并提供相关证明材料的，或者评标委员会认为其所作出的答复不合理的；</w:t>
      </w:r>
    </w:p>
    <w:p w14:paraId="42360EBD">
      <w:pPr>
        <w:pStyle w:val="2"/>
        <w:spacing w:beforeLines="50" w:afterLines="50" w:line="264" w:lineRule="auto"/>
        <w:ind w:firstLine="482" w:firstLineChars="200"/>
        <w:rPr>
          <w:rFonts w:ascii="宋体" w:hAnsi="宋体" w:cs="宋体"/>
          <w:bCs/>
          <w:color w:val="auto"/>
        </w:rPr>
      </w:pPr>
      <w:r>
        <w:rPr>
          <w:rFonts w:hint="eastAsia" w:ascii="宋体" w:hAnsi="宋体" w:cs="宋体"/>
          <w:b/>
          <w:color w:val="auto"/>
        </w:rPr>
        <w:t>24.16.存在法律、法规和采购文件规定的其他无效情形</w:t>
      </w:r>
      <w:r>
        <w:rPr>
          <w:rFonts w:hint="eastAsia" w:ascii="宋体" w:hAnsi="宋体" w:cs="宋体"/>
          <w:bCs/>
          <w:color w:val="auto"/>
        </w:rPr>
        <w:t xml:space="preserve">。                                                     </w:t>
      </w:r>
    </w:p>
    <w:p w14:paraId="3D6A9B65">
      <w:pPr>
        <w:pStyle w:val="2"/>
        <w:spacing w:beforeLines="50" w:afterLines="50" w:line="264" w:lineRule="auto"/>
        <w:ind w:firstLine="482" w:firstLineChars="200"/>
        <w:rPr>
          <w:rFonts w:ascii="宋体" w:hAnsi="宋体" w:cs="宋体"/>
          <w:b/>
          <w:color w:val="auto"/>
        </w:rPr>
      </w:pPr>
      <w:r>
        <w:rPr>
          <w:rFonts w:hint="eastAsia" w:ascii="宋体" w:hAnsi="宋体" w:cs="宋体"/>
          <w:b/>
          <w:color w:val="auto"/>
        </w:rPr>
        <w:t>24.17.被拒绝的投标文件为无效。</w:t>
      </w:r>
    </w:p>
    <w:p w14:paraId="7DAB77F0">
      <w:pPr>
        <w:pStyle w:val="29"/>
        <w:ind w:firstLine="210"/>
        <w:rPr>
          <w:rFonts w:ascii="宋体" w:hAnsi="宋体" w:cs="宋体"/>
          <w:color w:val="auto"/>
        </w:rPr>
      </w:pPr>
    </w:p>
    <w:p w14:paraId="427D927D">
      <w:pPr>
        <w:pStyle w:val="7"/>
        <w:spacing w:beforeLines="50" w:afterLines="50" w:line="264" w:lineRule="auto"/>
        <w:jc w:val="center"/>
        <w:outlineLvl w:val="1"/>
        <w:rPr>
          <w:rFonts w:hAnsi="宋体" w:cs="宋体"/>
          <w:b/>
          <w:bCs/>
          <w:color w:val="auto"/>
          <w:sz w:val="30"/>
          <w:szCs w:val="30"/>
        </w:rPr>
      </w:pPr>
      <w:bookmarkStart w:id="23" w:name="_Toc10662"/>
      <w:r>
        <w:rPr>
          <w:rFonts w:hint="eastAsia" w:hAnsi="宋体" w:cs="宋体"/>
          <w:b/>
          <w:bCs/>
          <w:color w:val="auto"/>
          <w:sz w:val="30"/>
          <w:szCs w:val="30"/>
        </w:rPr>
        <w:t>第五节  开 标</w:t>
      </w:r>
      <w:bookmarkEnd w:id="23"/>
    </w:p>
    <w:p w14:paraId="2AB48120">
      <w:pPr>
        <w:numPr>
          <w:ilvl w:val="0"/>
          <w:numId w:val="6"/>
        </w:numPr>
        <w:tabs>
          <w:tab w:val="left" w:pos="0"/>
          <w:tab w:val="left" w:pos="420"/>
        </w:tabs>
        <w:snapToGrid w:val="0"/>
        <w:spacing w:beforeLines="50" w:afterLines="50" w:line="264" w:lineRule="auto"/>
        <w:jc w:val="left"/>
        <w:rPr>
          <w:rFonts w:ascii="宋体" w:hAnsi="宋体" w:cs="宋体"/>
          <w:b/>
          <w:color w:val="auto"/>
          <w:sz w:val="24"/>
        </w:rPr>
      </w:pPr>
      <w:r>
        <w:rPr>
          <w:rFonts w:hint="eastAsia" w:ascii="宋体" w:hAnsi="宋体" w:cs="宋体"/>
          <w:b/>
          <w:color w:val="auto"/>
          <w:sz w:val="24"/>
        </w:rPr>
        <w:t>开标会议</w:t>
      </w:r>
    </w:p>
    <w:p w14:paraId="427D946A">
      <w:pPr>
        <w:pStyle w:val="7"/>
        <w:adjustRightInd w:val="0"/>
        <w:snapToGrid w:val="0"/>
        <w:spacing w:beforeLines="50" w:afterLines="50" w:line="264" w:lineRule="auto"/>
        <w:ind w:firstLine="240" w:firstLineChars="100"/>
        <w:rPr>
          <w:rFonts w:hAnsi="宋体" w:cs="宋体"/>
          <w:color w:val="auto"/>
          <w:sz w:val="24"/>
        </w:rPr>
      </w:pPr>
      <w:r>
        <w:rPr>
          <w:rFonts w:hint="eastAsia" w:hAnsi="宋体" w:cs="宋体"/>
          <w:color w:val="auto"/>
          <w:sz w:val="24"/>
        </w:rPr>
        <w:t>25.1.采购代理机构将在“投标人须知前附表”中规定的时间和地点举行开标会议。</w:t>
      </w:r>
    </w:p>
    <w:p w14:paraId="36BF7AEB">
      <w:pPr>
        <w:pStyle w:val="7"/>
        <w:adjustRightInd w:val="0"/>
        <w:snapToGrid w:val="0"/>
        <w:spacing w:beforeLines="50" w:afterLines="50" w:line="264" w:lineRule="auto"/>
        <w:ind w:firstLine="240" w:firstLineChars="100"/>
        <w:rPr>
          <w:rFonts w:hAnsi="宋体" w:cs="宋体"/>
          <w:color w:val="auto"/>
          <w:sz w:val="24"/>
        </w:rPr>
      </w:pPr>
      <w:r>
        <w:rPr>
          <w:rFonts w:hint="eastAsia" w:hAnsi="宋体" w:cs="宋体"/>
          <w:color w:val="auto"/>
          <w:sz w:val="24"/>
        </w:rPr>
        <w:t>25.2.开标会议由采购代理机构主持，监管人员、采购人代表及有关工作人员参加。</w:t>
      </w:r>
    </w:p>
    <w:p w14:paraId="0593BBF3">
      <w:pPr>
        <w:pStyle w:val="7"/>
        <w:adjustRightInd w:val="0"/>
        <w:snapToGrid w:val="0"/>
        <w:spacing w:beforeLines="50" w:afterLines="50" w:line="264" w:lineRule="auto"/>
        <w:ind w:firstLine="240" w:firstLineChars="100"/>
        <w:rPr>
          <w:rFonts w:hAnsi="宋体" w:cs="宋体"/>
          <w:color w:val="auto"/>
          <w:sz w:val="24"/>
        </w:rPr>
      </w:pPr>
      <w:r>
        <w:rPr>
          <w:rFonts w:hint="eastAsia" w:hAnsi="宋体" w:cs="宋体"/>
          <w:color w:val="auto"/>
          <w:sz w:val="24"/>
        </w:rPr>
        <w:t>25.3.采购人或采购代理机构负责组织本项目的评审工作，并履行《政府采购货物和服务招标投标管理办法（财政部第87号令）》第四十五条规定的职责。</w:t>
      </w:r>
    </w:p>
    <w:p w14:paraId="7ED3530A">
      <w:pPr>
        <w:numPr>
          <w:ilvl w:val="0"/>
          <w:numId w:val="6"/>
        </w:numPr>
        <w:tabs>
          <w:tab w:val="left" w:pos="0"/>
          <w:tab w:val="left" w:pos="420"/>
        </w:tabs>
        <w:snapToGrid w:val="0"/>
        <w:spacing w:beforeLines="50" w:afterLines="50" w:line="264" w:lineRule="auto"/>
        <w:jc w:val="left"/>
        <w:rPr>
          <w:rFonts w:ascii="宋体" w:hAnsi="宋体" w:cs="宋体"/>
          <w:b/>
          <w:color w:val="auto"/>
          <w:sz w:val="24"/>
        </w:rPr>
      </w:pPr>
      <w:r>
        <w:rPr>
          <w:rFonts w:hint="eastAsia" w:ascii="宋体" w:hAnsi="宋体" w:cs="宋体"/>
          <w:b/>
          <w:color w:val="auto"/>
          <w:sz w:val="24"/>
        </w:rPr>
        <w:t>开标程序（先资格、商务技术后报价）</w:t>
      </w:r>
    </w:p>
    <w:p w14:paraId="6371125B">
      <w:pPr>
        <w:snapToGrid w:val="0"/>
        <w:spacing w:beforeLines="50" w:afterLines="50" w:line="264" w:lineRule="auto"/>
        <w:ind w:firstLine="241" w:firstLineChars="100"/>
        <w:jc w:val="left"/>
        <w:rPr>
          <w:rFonts w:ascii="宋体" w:hAnsi="宋体" w:cs="宋体"/>
          <w:b/>
          <w:bCs/>
          <w:color w:val="auto"/>
          <w:sz w:val="24"/>
        </w:rPr>
      </w:pPr>
      <w:r>
        <w:rPr>
          <w:rFonts w:hint="eastAsia" w:ascii="宋体" w:hAnsi="宋体" w:cs="宋体"/>
          <w:b/>
          <w:bCs/>
          <w:color w:val="auto"/>
          <w:sz w:val="24"/>
        </w:rPr>
        <w:t>26.1.开标形式</w:t>
      </w:r>
    </w:p>
    <w:p w14:paraId="6316D124">
      <w:pPr>
        <w:pStyle w:val="7"/>
        <w:adjustRightInd w:val="0"/>
        <w:snapToGrid w:val="0"/>
        <w:spacing w:beforeLines="50" w:afterLines="50" w:line="264" w:lineRule="auto"/>
        <w:ind w:firstLine="480" w:firstLineChars="200"/>
        <w:rPr>
          <w:rFonts w:hAnsi="宋体" w:cs="宋体"/>
          <w:color w:val="auto"/>
          <w:sz w:val="24"/>
        </w:rPr>
      </w:pPr>
      <w:r>
        <w:rPr>
          <w:rFonts w:hint="eastAsia" w:hAnsi="宋体" w:cs="宋体"/>
          <w:color w:val="auto"/>
          <w:sz w:val="24"/>
        </w:rPr>
        <w:t>本项目采用电子交易，采购代理机构将按照采购文件规定的时间通过“政采云平台”组织开标、开启投标文件，所有供应商均应当准时在线参加，并通过“政采云平台”了解开标情况，直至评审结束。供应商因未在线参加开标而导致投标文件无法按时解密等一切后果由供应商自行承担。</w:t>
      </w:r>
    </w:p>
    <w:p w14:paraId="2A5AC1FB">
      <w:pPr>
        <w:snapToGrid w:val="0"/>
        <w:spacing w:beforeLines="50" w:afterLines="50" w:line="264" w:lineRule="auto"/>
        <w:ind w:firstLine="241" w:firstLineChars="100"/>
        <w:jc w:val="left"/>
        <w:rPr>
          <w:rFonts w:ascii="宋体" w:hAnsi="宋体" w:cs="宋体"/>
          <w:b/>
          <w:bCs/>
          <w:color w:val="auto"/>
          <w:sz w:val="24"/>
        </w:rPr>
      </w:pPr>
      <w:r>
        <w:rPr>
          <w:rFonts w:hint="eastAsia" w:ascii="宋体" w:hAnsi="宋体" w:cs="宋体"/>
          <w:b/>
          <w:bCs/>
          <w:color w:val="auto"/>
          <w:sz w:val="24"/>
        </w:rPr>
        <w:t>26.2.开标程序</w:t>
      </w:r>
    </w:p>
    <w:p w14:paraId="438F4273">
      <w:pPr>
        <w:pStyle w:val="13"/>
        <w:spacing w:beforeLines="50" w:afterLines="50" w:line="264" w:lineRule="auto"/>
        <w:rPr>
          <w:rFonts w:hAnsi="宋体" w:cs="宋体"/>
          <w:color w:val="auto"/>
          <w:sz w:val="24"/>
          <w:lang w:bidi="zh-CN"/>
        </w:rPr>
      </w:pPr>
      <w:r>
        <w:rPr>
          <w:rFonts w:hint="eastAsia" w:hAnsi="宋体" w:cs="宋体"/>
          <w:color w:val="auto"/>
          <w:sz w:val="24"/>
          <w:lang w:bidi="zh-CN"/>
        </w:rPr>
        <w:t>（1）代理机构发出【开始解密】通知后，由供应商按采购文件规定的时间</w:t>
      </w:r>
      <w:r>
        <w:rPr>
          <w:rFonts w:hint="eastAsia" w:hAnsi="宋体" w:cs="宋体"/>
          <w:b/>
          <w:bCs/>
          <w:color w:val="auto"/>
          <w:sz w:val="24"/>
          <w:lang w:bidi="zh-CN"/>
        </w:rPr>
        <w:t>（30分钟）</w:t>
      </w:r>
      <w:r>
        <w:rPr>
          <w:rFonts w:hint="eastAsia" w:hAnsi="宋体" w:cs="宋体"/>
          <w:color w:val="auto"/>
          <w:sz w:val="24"/>
          <w:lang w:bidi="zh-CN"/>
        </w:rPr>
        <w:t>内自行进行投标文件解密。解密不成功时，如供应商已按规定递交了“备份投标文件”并经确认启用的，采购代理机构将通过【异常处理】端口对备份投标文件上传、解密；</w:t>
      </w:r>
    </w:p>
    <w:p w14:paraId="0F60B2F5">
      <w:pPr>
        <w:pStyle w:val="13"/>
        <w:spacing w:beforeLines="50" w:afterLines="50" w:line="264" w:lineRule="auto"/>
        <w:jc w:val="left"/>
        <w:rPr>
          <w:rFonts w:hAnsi="宋体" w:cs="宋体"/>
          <w:color w:val="auto"/>
          <w:sz w:val="24"/>
          <w:lang w:bidi="zh-CN"/>
        </w:rPr>
      </w:pPr>
      <w:r>
        <w:rPr>
          <w:rFonts w:hint="eastAsia" w:hAnsi="宋体" w:cs="宋体"/>
          <w:color w:val="auto"/>
          <w:sz w:val="24"/>
          <w:lang w:bidi="zh-CN"/>
        </w:rPr>
        <w:t>（2）响应文件解密结束，开启标书信息，供应商在规定时间</w:t>
      </w:r>
      <w:r>
        <w:rPr>
          <w:rFonts w:hint="eastAsia" w:hAnsi="宋体" w:cs="宋体"/>
          <w:b/>
          <w:bCs/>
          <w:color w:val="auto"/>
          <w:sz w:val="24"/>
          <w:u w:val="single"/>
          <w:lang w:bidi="zh-CN"/>
        </w:rPr>
        <w:t>20分钟</w:t>
      </w:r>
      <w:r>
        <w:rPr>
          <w:rFonts w:hint="eastAsia" w:hAnsi="宋体" w:cs="宋体"/>
          <w:color w:val="auto"/>
          <w:sz w:val="24"/>
          <w:lang w:bidi="zh-CN"/>
        </w:rPr>
        <w:t>内通过邮件形式将经授权代表签署的不影响公平竞争的</w:t>
      </w:r>
      <w:r>
        <w:rPr>
          <w:rFonts w:hint="eastAsia" w:hAnsi="宋体" w:cs="宋体"/>
          <w:b/>
          <w:bCs/>
          <w:color w:val="auto"/>
          <w:sz w:val="24"/>
          <w:lang w:bidi="zh-CN"/>
        </w:rPr>
        <w:t>《政府采购活动现场确认声明书》</w:t>
      </w:r>
      <w:r>
        <w:rPr>
          <w:rFonts w:hint="eastAsia" w:hAnsi="宋体" w:cs="宋体"/>
          <w:color w:val="auto"/>
          <w:sz w:val="20"/>
          <w:szCs w:val="20"/>
          <w:lang w:bidi="zh-CN"/>
        </w:rPr>
        <w:t>（附件2）</w:t>
      </w:r>
      <w:r>
        <w:rPr>
          <w:rFonts w:hint="eastAsia" w:hAnsi="宋体" w:cs="宋体"/>
          <w:color w:val="auto"/>
          <w:sz w:val="24"/>
          <w:lang w:bidi="zh-CN"/>
        </w:rPr>
        <w:t>扫描件发送至采购代理机构指定邮箱</w:t>
      </w:r>
      <w:r>
        <w:rPr>
          <w:color w:val="auto"/>
        </w:rPr>
        <w:fldChar w:fldCharType="begin"/>
      </w:r>
      <w:r>
        <w:rPr>
          <w:color w:val="auto"/>
        </w:rPr>
        <w:instrText xml:space="preserve"> HYPERLINK "mailto:772022916@qq.com" </w:instrText>
      </w:r>
      <w:r>
        <w:rPr>
          <w:color w:val="auto"/>
        </w:rPr>
        <w:fldChar w:fldCharType="separate"/>
      </w:r>
      <w:r>
        <w:rPr>
          <w:rStyle w:val="38"/>
          <w:rFonts w:hint="eastAsia" w:hAnsi="宋体" w:cs="宋体"/>
          <w:b/>
          <w:bCs/>
          <w:color w:val="auto"/>
          <w:sz w:val="24"/>
          <w:u w:val="single"/>
          <w:lang w:bidi="zh-CN"/>
        </w:rPr>
        <w:t>772022916@qq.com</w:t>
      </w:r>
      <w:r>
        <w:rPr>
          <w:rStyle w:val="38"/>
          <w:rFonts w:hint="eastAsia" w:hAnsi="宋体" w:cs="宋体"/>
          <w:b/>
          <w:bCs/>
          <w:color w:val="auto"/>
          <w:sz w:val="24"/>
          <w:u w:val="single"/>
          <w:lang w:bidi="zh-CN"/>
        </w:rPr>
        <w:fldChar w:fldCharType="end"/>
      </w:r>
      <w:r>
        <w:rPr>
          <w:rFonts w:hint="eastAsia" w:hAnsi="宋体" w:cs="宋体"/>
          <w:b/>
          <w:bCs/>
          <w:color w:val="auto"/>
          <w:sz w:val="24"/>
          <w:u w:val="single"/>
          <w:lang w:bidi="zh-CN"/>
        </w:rPr>
        <w:t xml:space="preserve"> </w:t>
      </w:r>
      <w:r>
        <w:rPr>
          <w:rFonts w:hint="eastAsia" w:hAnsi="宋体" w:cs="宋体"/>
          <w:color w:val="auto"/>
          <w:sz w:val="24"/>
          <w:lang w:bidi="zh-CN"/>
        </w:rPr>
        <w:t>。不填写或未按规定发出邮件的，视为默认不存在确认声明书中的相关违规情形；</w:t>
      </w:r>
    </w:p>
    <w:p w14:paraId="42715D85">
      <w:pPr>
        <w:pStyle w:val="13"/>
        <w:spacing w:beforeLines="50" w:afterLines="50" w:line="264" w:lineRule="auto"/>
        <w:rPr>
          <w:rFonts w:hAnsi="宋体" w:cs="宋体"/>
          <w:color w:val="auto"/>
          <w:sz w:val="24"/>
          <w:lang w:bidi="zh-CN"/>
        </w:rPr>
      </w:pPr>
      <w:r>
        <w:rPr>
          <w:rFonts w:hint="eastAsia" w:hAnsi="宋体" w:cs="宋体"/>
          <w:color w:val="auto"/>
          <w:sz w:val="24"/>
          <w:lang w:bidi="zh-CN"/>
        </w:rPr>
        <w:t>（3）进入资格审查：采购人或采购代理机构依据法律法规和采购文件的规定，对投标人的基本资格条件、特定资格条件进行审查；</w:t>
      </w:r>
    </w:p>
    <w:p w14:paraId="264419CD">
      <w:pPr>
        <w:pStyle w:val="13"/>
        <w:spacing w:beforeLines="50" w:afterLines="50" w:line="264" w:lineRule="auto"/>
        <w:rPr>
          <w:rFonts w:hAnsi="宋体" w:cs="宋体"/>
          <w:color w:val="auto"/>
          <w:sz w:val="24"/>
          <w:lang w:bidi="zh-CN"/>
        </w:rPr>
      </w:pPr>
      <w:r>
        <w:rPr>
          <w:rFonts w:hint="eastAsia" w:hAnsi="宋体" w:cs="宋体"/>
          <w:color w:val="auto"/>
          <w:sz w:val="24"/>
          <w:lang w:bidi="zh-CN"/>
        </w:rPr>
        <w:t>采购人或采购代理机构对投标供应商所提交的资格证明材料仅负审核的责任。如发现投标供应商所提交的资格证明材料不合法或与事实不符，采购人可取消其中标资格并追究投标供应商的法律责任。</w:t>
      </w:r>
    </w:p>
    <w:p w14:paraId="4F3EE3B6">
      <w:pPr>
        <w:pStyle w:val="13"/>
        <w:spacing w:beforeLines="50" w:afterLines="50" w:line="264" w:lineRule="auto"/>
        <w:rPr>
          <w:rFonts w:hAnsi="宋体" w:cs="宋体"/>
          <w:color w:val="auto"/>
          <w:sz w:val="24"/>
          <w:lang w:bidi="zh-CN"/>
        </w:rPr>
      </w:pPr>
      <w:r>
        <w:rPr>
          <w:rFonts w:hint="eastAsia" w:hAnsi="宋体" w:cs="宋体"/>
          <w:color w:val="auto"/>
          <w:sz w:val="24"/>
          <w:lang w:bidi="zh-CN"/>
        </w:rPr>
        <w:t>投标供应商提交的资格证明材料无法证明其符合采购文件规定的“投标供应商资格要求”的，采购人或采购代理机构将对其作“资格审查不合格”处理（无效投标），并不再将其投标提交评标委员会进行后续评审。</w:t>
      </w:r>
    </w:p>
    <w:p w14:paraId="64A37311">
      <w:pPr>
        <w:pStyle w:val="13"/>
        <w:spacing w:beforeLines="50" w:afterLines="50" w:line="264" w:lineRule="auto"/>
        <w:rPr>
          <w:rFonts w:hAnsi="宋体" w:cs="宋体"/>
          <w:b/>
          <w:bCs/>
          <w:color w:val="auto"/>
          <w:sz w:val="24"/>
          <w:lang w:bidi="zh-CN"/>
        </w:rPr>
      </w:pPr>
      <w:r>
        <w:rPr>
          <w:rFonts w:hint="eastAsia" w:hAnsi="宋体" w:cs="宋体"/>
          <w:b/>
          <w:bCs/>
          <w:color w:val="auto"/>
          <w:sz w:val="24"/>
          <w:lang w:bidi="zh-CN"/>
        </w:rPr>
        <w:t>供应商信用查询：详见</w:t>
      </w:r>
      <w:r>
        <w:rPr>
          <w:rFonts w:hint="eastAsia" w:hAnsi="宋体" w:cs="宋体"/>
          <w:b/>
          <w:bCs/>
          <w:color w:val="auto"/>
          <w:sz w:val="24"/>
          <w:u w:val="single"/>
          <w:lang w:bidi="zh-CN"/>
        </w:rPr>
        <w:t>《投标人须知前附表》</w:t>
      </w:r>
      <w:r>
        <w:rPr>
          <w:rFonts w:hint="eastAsia" w:hAnsi="宋体" w:cs="宋体"/>
          <w:b/>
          <w:bCs/>
          <w:color w:val="auto"/>
          <w:sz w:val="24"/>
          <w:lang w:bidi="zh-CN"/>
        </w:rPr>
        <w:t>。</w:t>
      </w:r>
    </w:p>
    <w:p w14:paraId="561DB64F">
      <w:pPr>
        <w:pStyle w:val="13"/>
        <w:spacing w:beforeLines="50" w:afterLines="50" w:line="264" w:lineRule="auto"/>
        <w:rPr>
          <w:rFonts w:hAnsi="宋体" w:cs="宋体"/>
          <w:color w:val="auto"/>
          <w:sz w:val="24"/>
          <w:lang w:bidi="zh-CN"/>
        </w:rPr>
      </w:pPr>
      <w:r>
        <w:rPr>
          <w:rFonts w:hint="eastAsia" w:hAnsi="宋体" w:cs="宋体"/>
          <w:color w:val="auto"/>
          <w:sz w:val="24"/>
          <w:lang w:bidi="zh-CN"/>
        </w:rPr>
        <w:t>（4）评标委员会对通过资格审查供应商的投标文件进行符合性评审、商务技术评审；</w:t>
      </w:r>
    </w:p>
    <w:p w14:paraId="39A871BB">
      <w:pPr>
        <w:pStyle w:val="13"/>
        <w:spacing w:beforeLines="50" w:afterLines="50" w:line="264" w:lineRule="auto"/>
        <w:rPr>
          <w:rFonts w:hAnsi="宋体" w:cs="宋体"/>
          <w:color w:val="auto"/>
          <w:sz w:val="24"/>
          <w:lang w:bidi="zh-CN"/>
        </w:rPr>
      </w:pPr>
      <w:r>
        <w:rPr>
          <w:rFonts w:hint="eastAsia" w:hAnsi="宋体" w:cs="宋体"/>
          <w:color w:val="auto"/>
          <w:sz w:val="24"/>
          <w:lang w:bidi="zh-CN"/>
        </w:rPr>
        <w:t>（5）在系统上公开资格和商务技术评审结果；</w:t>
      </w:r>
    </w:p>
    <w:p w14:paraId="294EEF4A">
      <w:pPr>
        <w:pStyle w:val="13"/>
        <w:spacing w:beforeLines="50" w:afterLines="50" w:line="264" w:lineRule="auto"/>
        <w:rPr>
          <w:rFonts w:hAnsi="宋体" w:cs="宋体"/>
          <w:color w:val="auto"/>
          <w:sz w:val="24"/>
          <w:lang w:bidi="zh-CN"/>
        </w:rPr>
      </w:pPr>
      <w:r>
        <w:rPr>
          <w:rFonts w:hint="eastAsia" w:hAnsi="宋体" w:cs="宋体"/>
          <w:color w:val="auto"/>
          <w:sz w:val="24"/>
          <w:lang w:bidi="zh-CN"/>
        </w:rPr>
        <w:t>（6）在系统上公开报价开标情况，并【开启签字时段】，供应商对开标记录进行在线签字确认（不予确认的应说明理由，否则视为无异议）。</w:t>
      </w:r>
    </w:p>
    <w:p w14:paraId="5E4D062B">
      <w:pPr>
        <w:pStyle w:val="13"/>
        <w:spacing w:beforeLines="50" w:afterLines="50" w:line="264" w:lineRule="auto"/>
        <w:rPr>
          <w:rFonts w:hAnsi="宋体" w:cs="宋体"/>
          <w:color w:val="auto"/>
          <w:sz w:val="24"/>
          <w:lang w:bidi="zh-CN"/>
        </w:rPr>
      </w:pPr>
      <w:r>
        <w:rPr>
          <w:rFonts w:hint="eastAsia" w:hAnsi="宋体" w:cs="宋体"/>
          <w:color w:val="auto"/>
          <w:sz w:val="24"/>
          <w:lang w:bidi="zh-CN"/>
        </w:rPr>
        <w:t>（7）评标委员会对报价的合理性、准确性等进行审查核实；</w:t>
      </w:r>
    </w:p>
    <w:p w14:paraId="2258E480">
      <w:pPr>
        <w:pStyle w:val="13"/>
        <w:spacing w:beforeLines="50" w:afterLines="50" w:line="264" w:lineRule="auto"/>
        <w:rPr>
          <w:rFonts w:hAnsi="宋体" w:cs="宋体"/>
          <w:color w:val="auto"/>
          <w:sz w:val="24"/>
          <w:lang w:bidi="zh-CN"/>
        </w:rPr>
      </w:pPr>
      <w:r>
        <w:rPr>
          <w:rFonts w:hint="eastAsia" w:hAnsi="宋体" w:cs="宋体"/>
          <w:color w:val="auto"/>
          <w:sz w:val="24"/>
          <w:lang w:bidi="zh-CN"/>
        </w:rPr>
        <w:t>（8）采购代理机构在系统上公布评审结果。</w:t>
      </w:r>
    </w:p>
    <w:p w14:paraId="0427E858">
      <w:pPr>
        <w:pStyle w:val="13"/>
        <w:spacing w:beforeLines="50" w:afterLines="50" w:line="264" w:lineRule="auto"/>
        <w:ind w:firstLine="480" w:firstLineChars="200"/>
        <w:rPr>
          <w:rFonts w:hAnsi="宋体" w:cs="宋体"/>
          <w:color w:val="auto"/>
          <w:sz w:val="24"/>
          <w:lang w:bidi="zh-CN"/>
        </w:rPr>
      </w:pPr>
      <w:r>
        <w:rPr>
          <w:rFonts w:hint="eastAsia" w:hAnsi="宋体" w:cs="宋体"/>
          <w:color w:val="auto"/>
          <w:sz w:val="24"/>
          <w:lang w:bidi="zh-CN"/>
        </w:rPr>
        <w:t>注：在电子开评标期间，投标人需确保所在区域具备上网的技术条件并保持网络及联系方式畅通，同时为避免出现意外，建议全程由一台电脑进行操作（包括标书制作、上传、解密等），中途不要随意更换电脑。</w:t>
      </w:r>
    </w:p>
    <w:p w14:paraId="153FC7F2">
      <w:pPr>
        <w:snapToGrid w:val="0"/>
        <w:spacing w:beforeLines="50" w:afterLines="50" w:line="264" w:lineRule="auto"/>
        <w:ind w:firstLine="241" w:firstLineChars="100"/>
        <w:jc w:val="left"/>
        <w:rPr>
          <w:rFonts w:ascii="宋体" w:hAnsi="宋体" w:cs="宋体"/>
          <w:b/>
          <w:bCs/>
          <w:color w:val="auto"/>
          <w:sz w:val="24"/>
        </w:rPr>
      </w:pPr>
      <w:r>
        <w:rPr>
          <w:rFonts w:hint="eastAsia" w:ascii="宋体" w:hAnsi="宋体" w:cs="宋体"/>
          <w:b/>
          <w:bCs/>
          <w:color w:val="auto"/>
          <w:sz w:val="24"/>
        </w:rPr>
        <w:t>26.3.本项目原则上采用</w:t>
      </w:r>
      <w:r>
        <w:rPr>
          <w:rFonts w:hint="eastAsia" w:ascii="宋体" w:hAnsi="宋体" w:cs="宋体"/>
          <w:b/>
          <w:bCs/>
          <w:color w:val="auto"/>
          <w:sz w:val="24"/>
          <w:u w:val="single"/>
        </w:rPr>
        <w:t>政采云电子招投标开标及评审程序</w:t>
      </w:r>
      <w:r>
        <w:rPr>
          <w:rFonts w:hint="eastAsia" w:ascii="宋体" w:hAnsi="宋体" w:cs="宋体"/>
          <w:b/>
          <w:bCs/>
          <w:color w:val="auto"/>
          <w:sz w:val="24"/>
        </w:rPr>
        <w:t>，但有以下情形之一的，按以下情况处理：</w:t>
      </w:r>
    </w:p>
    <w:p w14:paraId="75E6773A">
      <w:pPr>
        <w:snapToGrid w:val="0"/>
        <w:spacing w:beforeLines="50" w:afterLines="50" w:line="264" w:lineRule="auto"/>
        <w:ind w:left="19" w:leftChars="9" w:firstLine="458" w:firstLineChars="191"/>
        <w:jc w:val="left"/>
        <w:rPr>
          <w:rFonts w:ascii="宋体" w:hAnsi="宋体" w:cs="宋体"/>
          <w:color w:val="auto"/>
          <w:sz w:val="24"/>
        </w:rPr>
      </w:pPr>
      <w:r>
        <w:rPr>
          <w:rFonts w:hint="eastAsia" w:ascii="宋体" w:hAnsi="宋体" w:cs="宋体"/>
          <w:color w:val="auto"/>
          <w:sz w:val="24"/>
        </w:rPr>
        <w:t>（一）若投标人的电子加密投标文件在规定时间（接到解密通知后30分钟）内无法解密或解密失败，采购代理机构将上传投标人的备份投标文件（如有），以完成开标。</w:t>
      </w:r>
    </w:p>
    <w:p w14:paraId="116CB351">
      <w:pPr>
        <w:pStyle w:val="13"/>
        <w:spacing w:beforeLines="50" w:afterLines="50" w:line="264" w:lineRule="auto"/>
        <w:ind w:firstLine="480" w:firstLineChars="200"/>
        <w:rPr>
          <w:rFonts w:hAnsi="宋体" w:cs="宋体"/>
          <w:color w:val="auto"/>
          <w:sz w:val="24"/>
          <w:lang w:bidi="zh-CN"/>
        </w:rPr>
      </w:pPr>
      <w:r>
        <w:rPr>
          <w:rFonts w:hint="eastAsia" w:hAnsi="宋体" w:cs="宋体"/>
          <w:color w:val="auto"/>
          <w:sz w:val="24"/>
        </w:rPr>
        <w:t>（二）若因政采云平台原因无法读取或电子开评标无法正常进行，采购代理机构将上传投标人</w:t>
      </w:r>
      <w:r>
        <w:rPr>
          <w:rFonts w:hint="eastAsia" w:hAnsi="宋体" w:cs="宋体"/>
          <w:color w:val="auto"/>
          <w:sz w:val="24"/>
          <w:lang w:bidi="zh-CN"/>
        </w:rPr>
        <w:t>的备份投标文件</w:t>
      </w:r>
      <w:r>
        <w:rPr>
          <w:rFonts w:hint="eastAsia" w:hAnsi="宋体" w:cs="宋体"/>
          <w:color w:val="auto"/>
          <w:sz w:val="24"/>
        </w:rPr>
        <w:t>（如有）</w:t>
      </w:r>
      <w:r>
        <w:rPr>
          <w:rFonts w:hint="eastAsia" w:hAnsi="宋体" w:cs="宋体"/>
          <w:color w:val="auto"/>
          <w:sz w:val="24"/>
          <w:lang w:bidi="zh-CN"/>
        </w:rPr>
        <w:t>，以完成开标。</w:t>
      </w:r>
    </w:p>
    <w:p w14:paraId="5C7810FC">
      <w:pPr>
        <w:pStyle w:val="13"/>
        <w:spacing w:beforeLines="50" w:afterLines="50" w:line="264" w:lineRule="auto"/>
        <w:rPr>
          <w:rFonts w:hAnsi="宋体" w:cs="宋体"/>
          <w:color w:val="auto"/>
        </w:rPr>
      </w:pPr>
      <w:r>
        <w:rPr>
          <w:rFonts w:hint="eastAsia" w:hAnsi="宋体" w:cs="宋体"/>
          <w:b/>
          <w:bCs/>
          <w:color w:val="auto"/>
          <w:sz w:val="24"/>
          <w:lang w:bidi="zh-CN"/>
        </w:rPr>
        <w:t>如遇“政采云平台”电子化开标或评审程序调整的，按调整后程序执行。</w:t>
      </w:r>
    </w:p>
    <w:p w14:paraId="2C3B060E">
      <w:pPr>
        <w:pStyle w:val="7"/>
        <w:spacing w:beforeLines="50" w:afterLines="50" w:line="264" w:lineRule="auto"/>
        <w:jc w:val="center"/>
        <w:outlineLvl w:val="1"/>
        <w:rPr>
          <w:rFonts w:hAnsi="宋体" w:cs="宋体"/>
          <w:b/>
          <w:bCs/>
          <w:color w:val="auto"/>
          <w:sz w:val="30"/>
          <w:szCs w:val="30"/>
        </w:rPr>
      </w:pPr>
      <w:bookmarkStart w:id="24" w:name="_Toc17521"/>
      <w:r>
        <w:rPr>
          <w:rFonts w:hint="eastAsia" w:hAnsi="宋体" w:cs="宋体"/>
          <w:b/>
          <w:bCs/>
          <w:color w:val="auto"/>
          <w:sz w:val="30"/>
          <w:szCs w:val="30"/>
        </w:rPr>
        <w:t>第六节  评 标</w:t>
      </w:r>
      <w:bookmarkEnd w:id="24"/>
    </w:p>
    <w:p w14:paraId="51E83E87">
      <w:pPr>
        <w:numPr>
          <w:ilvl w:val="0"/>
          <w:numId w:val="6"/>
        </w:numPr>
        <w:tabs>
          <w:tab w:val="left" w:pos="0"/>
          <w:tab w:val="left" w:pos="420"/>
        </w:tabs>
        <w:snapToGrid w:val="0"/>
        <w:spacing w:beforeLines="50" w:afterLines="50" w:line="264" w:lineRule="auto"/>
        <w:jc w:val="left"/>
        <w:rPr>
          <w:rFonts w:ascii="宋体" w:hAnsi="宋体" w:cs="宋体"/>
          <w:b/>
          <w:color w:val="auto"/>
          <w:sz w:val="24"/>
        </w:rPr>
      </w:pPr>
      <w:r>
        <w:rPr>
          <w:rFonts w:hint="eastAsia" w:ascii="宋体" w:hAnsi="宋体" w:cs="宋体"/>
          <w:b/>
          <w:color w:val="auto"/>
          <w:sz w:val="24"/>
        </w:rPr>
        <w:t>评标委员会的组建</w:t>
      </w:r>
    </w:p>
    <w:p w14:paraId="354DFD80">
      <w:pPr>
        <w:snapToGrid w:val="0"/>
        <w:spacing w:beforeLines="50" w:afterLines="50" w:line="264" w:lineRule="auto"/>
        <w:ind w:firstLine="480" w:firstLineChars="200"/>
        <w:jc w:val="left"/>
        <w:rPr>
          <w:rFonts w:ascii="宋体" w:hAnsi="宋体" w:cs="宋体"/>
          <w:color w:val="auto"/>
          <w:sz w:val="24"/>
        </w:rPr>
      </w:pPr>
      <w:r>
        <w:rPr>
          <w:rFonts w:hint="eastAsia" w:ascii="宋体" w:hAnsi="宋体" w:cs="宋体"/>
          <w:color w:val="auto"/>
          <w:sz w:val="24"/>
        </w:rPr>
        <w:t>由采购人或采购代理机构在监管部门的监督下依法组建，成员由采购人代表和评审专家组成，成员人数为五人或以上单数，其中评审专家不少于成员总数的三分之二。评标委员会成员名单在采购结果公告前保密。</w:t>
      </w:r>
    </w:p>
    <w:p w14:paraId="33185C4C">
      <w:pPr>
        <w:numPr>
          <w:ilvl w:val="0"/>
          <w:numId w:val="6"/>
        </w:numPr>
        <w:tabs>
          <w:tab w:val="left" w:pos="0"/>
          <w:tab w:val="left" w:pos="420"/>
        </w:tabs>
        <w:snapToGrid w:val="0"/>
        <w:spacing w:beforeLines="50" w:afterLines="50" w:line="264" w:lineRule="auto"/>
        <w:jc w:val="left"/>
        <w:rPr>
          <w:rFonts w:ascii="宋体" w:hAnsi="宋体" w:cs="宋体"/>
          <w:b/>
          <w:color w:val="auto"/>
          <w:sz w:val="24"/>
        </w:rPr>
      </w:pPr>
      <w:r>
        <w:rPr>
          <w:rFonts w:hint="eastAsia" w:ascii="宋体" w:hAnsi="宋体" w:cs="宋体"/>
          <w:b/>
          <w:color w:val="auto"/>
          <w:sz w:val="24"/>
        </w:rPr>
        <w:t>评标的方式</w:t>
      </w:r>
    </w:p>
    <w:p w14:paraId="31EA1632">
      <w:pPr>
        <w:snapToGrid w:val="0"/>
        <w:spacing w:beforeLines="50" w:afterLines="50" w:line="264" w:lineRule="auto"/>
        <w:ind w:firstLine="480" w:firstLineChars="200"/>
        <w:jc w:val="left"/>
        <w:rPr>
          <w:rFonts w:ascii="宋体" w:hAnsi="宋体" w:cs="宋体"/>
          <w:color w:val="auto"/>
          <w:sz w:val="24"/>
        </w:rPr>
      </w:pPr>
      <w:r>
        <w:rPr>
          <w:rFonts w:hint="eastAsia" w:ascii="宋体" w:hAnsi="宋体" w:cs="宋体"/>
          <w:color w:val="auto"/>
          <w:sz w:val="24"/>
        </w:rPr>
        <w:t>本项目采用不公开方式评标，评标的依据为采购文件和投标文件。</w:t>
      </w:r>
    </w:p>
    <w:p w14:paraId="16CAD905">
      <w:pPr>
        <w:numPr>
          <w:ilvl w:val="0"/>
          <w:numId w:val="6"/>
        </w:numPr>
        <w:tabs>
          <w:tab w:val="left" w:pos="0"/>
          <w:tab w:val="left" w:pos="420"/>
        </w:tabs>
        <w:snapToGrid w:val="0"/>
        <w:spacing w:beforeLines="50" w:afterLines="50" w:line="264" w:lineRule="auto"/>
        <w:jc w:val="left"/>
        <w:rPr>
          <w:rFonts w:ascii="宋体" w:hAnsi="宋体" w:cs="宋体"/>
          <w:b/>
          <w:color w:val="auto"/>
          <w:sz w:val="24"/>
        </w:rPr>
      </w:pPr>
      <w:r>
        <w:rPr>
          <w:rFonts w:hint="eastAsia" w:ascii="宋体" w:hAnsi="宋体" w:cs="宋体"/>
          <w:b/>
          <w:color w:val="auto"/>
          <w:sz w:val="24"/>
        </w:rPr>
        <w:t>评标委员会的职责</w:t>
      </w:r>
    </w:p>
    <w:p w14:paraId="780E4049">
      <w:pPr>
        <w:tabs>
          <w:tab w:val="left" w:pos="0"/>
          <w:tab w:val="left" w:pos="420"/>
        </w:tabs>
        <w:snapToGrid w:val="0"/>
        <w:spacing w:beforeLines="50" w:afterLines="50" w:line="264" w:lineRule="auto"/>
        <w:ind w:firstLine="240" w:firstLineChars="100"/>
        <w:jc w:val="left"/>
        <w:rPr>
          <w:rFonts w:ascii="宋体" w:hAnsi="宋体" w:cs="宋体"/>
          <w:color w:val="auto"/>
          <w:sz w:val="24"/>
        </w:rPr>
      </w:pPr>
      <w:r>
        <w:rPr>
          <w:rFonts w:hint="eastAsia" w:ascii="宋体" w:hAnsi="宋体" w:cs="宋体"/>
          <w:color w:val="auto"/>
          <w:sz w:val="24"/>
        </w:rPr>
        <w:t>（一）审查、评价投标文件是否符合采购文件的商务、技术等实质性要求；</w:t>
      </w:r>
    </w:p>
    <w:p w14:paraId="7DE4AF12">
      <w:pPr>
        <w:tabs>
          <w:tab w:val="left" w:pos="0"/>
          <w:tab w:val="left" w:pos="420"/>
        </w:tabs>
        <w:snapToGrid w:val="0"/>
        <w:spacing w:beforeLines="50" w:afterLines="50" w:line="264" w:lineRule="auto"/>
        <w:ind w:firstLine="240" w:firstLineChars="100"/>
        <w:jc w:val="left"/>
        <w:rPr>
          <w:rFonts w:ascii="宋体" w:hAnsi="宋体" w:cs="宋体"/>
          <w:color w:val="auto"/>
          <w:sz w:val="24"/>
        </w:rPr>
      </w:pPr>
      <w:r>
        <w:rPr>
          <w:rFonts w:hint="eastAsia" w:ascii="宋体" w:hAnsi="宋体" w:cs="宋体"/>
          <w:color w:val="auto"/>
          <w:sz w:val="24"/>
        </w:rPr>
        <w:t>（二）要求投标人对投标文件有关事项作出澄清或者说明；</w:t>
      </w:r>
    </w:p>
    <w:p w14:paraId="27FC1486">
      <w:pPr>
        <w:tabs>
          <w:tab w:val="left" w:pos="0"/>
          <w:tab w:val="left" w:pos="420"/>
        </w:tabs>
        <w:snapToGrid w:val="0"/>
        <w:spacing w:beforeLines="50" w:afterLines="50" w:line="264" w:lineRule="auto"/>
        <w:ind w:firstLine="240" w:firstLineChars="100"/>
        <w:jc w:val="left"/>
        <w:rPr>
          <w:rFonts w:ascii="宋体" w:hAnsi="宋体" w:cs="宋体"/>
          <w:color w:val="auto"/>
          <w:sz w:val="24"/>
        </w:rPr>
      </w:pPr>
      <w:r>
        <w:rPr>
          <w:rFonts w:hint="eastAsia" w:ascii="宋体" w:hAnsi="宋体" w:cs="宋体"/>
          <w:color w:val="auto"/>
          <w:sz w:val="24"/>
        </w:rPr>
        <w:t>（三）对投标文件进行比较和评价；</w:t>
      </w:r>
    </w:p>
    <w:p w14:paraId="070432FE">
      <w:pPr>
        <w:tabs>
          <w:tab w:val="left" w:pos="0"/>
          <w:tab w:val="left" w:pos="420"/>
        </w:tabs>
        <w:snapToGrid w:val="0"/>
        <w:spacing w:beforeLines="50" w:afterLines="50" w:line="264" w:lineRule="auto"/>
        <w:ind w:firstLine="240" w:firstLineChars="100"/>
        <w:jc w:val="left"/>
        <w:rPr>
          <w:rFonts w:ascii="宋体" w:hAnsi="宋体" w:cs="宋体"/>
          <w:color w:val="auto"/>
          <w:sz w:val="24"/>
        </w:rPr>
      </w:pPr>
      <w:r>
        <w:rPr>
          <w:rFonts w:hint="eastAsia" w:ascii="宋体" w:hAnsi="宋体" w:cs="宋体"/>
          <w:color w:val="auto"/>
          <w:sz w:val="24"/>
        </w:rPr>
        <w:t>（四）确定中标候选人名单，以及根据采购人委托直接确定中标人；</w:t>
      </w:r>
    </w:p>
    <w:p w14:paraId="613EF3D5">
      <w:pPr>
        <w:tabs>
          <w:tab w:val="left" w:pos="0"/>
          <w:tab w:val="left" w:pos="420"/>
        </w:tabs>
        <w:snapToGrid w:val="0"/>
        <w:spacing w:beforeLines="50" w:afterLines="50" w:line="264" w:lineRule="auto"/>
        <w:ind w:firstLine="240" w:firstLineChars="100"/>
        <w:jc w:val="left"/>
        <w:rPr>
          <w:rFonts w:ascii="宋体" w:hAnsi="宋体" w:cs="宋体"/>
          <w:color w:val="auto"/>
          <w:sz w:val="24"/>
        </w:rPr>
      </w:pPr>
      <w:r>
        <w:rPr>
          <w:rFonts w:hint="eastAsia" w:ascii="宋体" w:hAnsi="宋体" w:cs="宋体"/>
          <w:color w:val="auto"/>
          <w:sz w:val="24"/>
        </w:rPr>
        <w:t>（五）向采购人、采购代理机构或者有关部门报告评标中发现的违法行为。</w:t>
      </w:r>
    </w:p>
    <w:p w14:paraId="67B02873">
      <w:pPr>
        <w:numPr>
          <w:ilvl w:val="0"/>
          <w:numId w:val="6"/>
        </w:numPr>
        <w:tabs>
          <w:tab w:val="left" w:pos="0"/>
          <w:tab w:val="left" w:pos="420"/>
        </w:tabs>
        <w:snapToGrid w:val="0"/>
        <w:spacing w:beforeLines="50" w:afterLines="50" w:line="264" w:lineRule="auto"/>
        <w:jc w:val="left"/>
        <w:rPr>
          <w:rFonts w:ascii="宋体" w:hAnsi="宋体" w:cs="宋体"/>
          <w:b/>
          <w:color w:val="auto"/>
          <w:sz w:val="24"/>
        </w:rPr>
      </w:pPr>
      <w:r>
        <w:rPr>
          <w:rFonts w:hint="eastAsia" w:ascii="宋体" w:hAnsi="宋体" w:cs="宋体"/>
          <w:b/>
          <w:color w:val="auto"/>
          <w:sz w:val="24"/>
        </w:rPr>
        <w:t>评标原则</w:t>
      </w:r>
    </w:p>
    <w:p w14:paraId="5E691888">
      <w:pPr>
        <w:snapToGrid w:val="0"/>
        <w:spacing w:beforeLines="50" w:afterLines="50" w:line="264" w:lineRule="auto"/>
        <w:ind w:firstLine="240" w:firstLineChars="100"/>
        <w:jc w:val="left"/>
        <w:rPr>
          <w:rFonts w:ascii="宋体" w:hAnsi="宋体" w:cs="宋体"/>
          <w:color w:val="auto"/>
          <w:sz w:val="24"/>
        </w:rPr>
      </w:pPr>
      <w:r>
        <w:rPr>
          <w:rFonts w:hint="eastAsia" w:ascii="宋体" w:hAnsi="宋体" w:cs="宋体"/>
          <w:color w:val="auto"/>
          <w:sz w:val="24"/>
        </w:rPr>
        <w:t>30.1.评标委员会应当按照客观、公正、审慎的原则，根据采购文件规定的评审程序、评审方法和评审标准进行独立评审。</w:t>
      </w:r>
    </w:p>
    <w:p w14:paraId="155C199E">
      <w:pPr>
        <w:adjustRightInd w:val="0"/>
        <w:snapToGrid w:val="0"/>
        <w:spacing w:beforeLines="50" w:afterLines="50" w:line="264" w:lineRule="auto"/>
        <w:ind w:firstLine="240" w:firstLineChars="100"/>
        <w:rPr>
          <w:rFonts w:ascii="宋体" w:hAnsi="宋体" w:cs="宋体"/>
          <w:color w:val="auto"/>
          <w:sz w:val="24"/>
        </w:rPr>
      </w:pPr>
      <w:r>
        <w:rPr>
          <w:rFonts w:hint="eastAsia" w:ascii="宋体" w:hAnsi="宋体" w:cs="宋体"/>
          <w:color w:val="auto"/>
          <w:sz w:val="24"/>
        </w:rPr>
        <w:t>30.2.</w:t>
      </w:r>
      <w:r>
        <w:rPr>
          <w:rFonts w:hint="eastAsia" w:ascii="宋体" w:hAnsi="宋体" w:cs="宋体"/>
          <w:b/>
          <w:bCs/>
          <w:color w:val="auto"/>
          <w:sz w:val="24"/>
        </w:rPr>
        <w:t>评标委员会成员对需要共同认定的事项存在争议的，应当按照少数服从多数的原则作出结论。</w:t>
      </w:r>
      <w:r>
        <w:rPr>
          <w:rFonts w:hint="eastAsia" w:ascii="宋体" w:hAnsi="宋体" w:cs="宋体"/>
          <w:color w:val="auto"/>
          <w:sz w:val="24"/>
        </w:rPr>
        <w:t>持不同意见的评标委员会成员应当在评标报告上签署不同意见及理由，否则视为同意评标报告。</w:t>
      </w:r>
    </w:p>
    <w:p w14:paraId="7C704C3E">
      <w:pPr>
        <w:numPr>
          <w:ilvl w:val="0"/>
          <w:numId w:val="6"/>
        </w:numPr>
        <w:tabs>
          <w:tab w:val="left" w:pos="0"/>
          <w:tab w:val="left" w:pos="420"/>
        </w:tabs>
        <w:snapToGrid w:val="0"/>
        <w:spacing w:beforeLines="50" w:afterLines="50" w:line="264" w:lineRule="auto"/>
        <w:jc w:val="left"/>
        <w:rPr>
          <w:rFonts w:ascii="宋体" w:hAnsi="宋体" w:cs="宋体"/>
          <w:b/>
          <w:color w:val="auto"/>
          <w:sz w:val="24"/>
        </w:rPr>
      </w:pPr>
      <w:r>
        <w:rPr>
          <w:rFonts w:hint="eastAsia" w:ascii="宋体" w:hAnsi="宋体" w:cs="宋体"/>
          <w:b/>
          <w:color w:val="auto"/>
          <w:sz w:val="24"/>
        </w:rPr>
        <w:t>评委纪律</w:t>
      </w:r>
    </w:p>
    <w:p w14:paraId="02CE4D4A">
      <w:pPr>
        <w:snapToGrid w:val="0"/>
        <w:spacing w:beforeLines="50" w:afterLines="50" w:line="264" w:lineRule="auto"/>
        <w:ind w:firstLine="480" w:firstLineChars="200"/>
        <w:jc w:val="left"/>
        <w:rPr>
          <w:rFonts w:ascii="宋体" w:hAnsi="宋体" w:cs="宋体"/>
          <w:color w:val="auto"/>
          <w:sz w:val="24"/>
        </w:rPr>
      </w:pPr>
      <w:r>
        <w:rPr>
          <w:rFonts w:hint="eastAsia" w:ascii="宋体" w:hAnsi="宋体" w:cs="宋体"/>
          <w:color w:val="auto"/>
          <w:sz w:val="24"/>
        </w:rPr>
        <w:t>评标委员会成员必须严格遵守保密规定，不得泄露评审的有关情况，任何单位和个人不得干扰、影响评标的正常进行，评标委员会成员不得私下与投标供应商接触，不得出现浙江省政府采购活动现场组织管理办法中规定的其他禁止行为。</w:t>
      </w:r>
    </w:p>
    <w:p w14:paraId="3719C289">
      <w:pPr>
        <w:numPr>
          <w:ilvl w:val="0"/>
          <w:numId w:val="6"/>
        </w:numPr>
        <w:tabs>
          <w:tab w:val="left" w:pos="0"/>
          <w:tab w:val="left" w:pos="420"/>
        </w:tabs>
        <w:snapToGrid w:val="0"/>
        <w:spacing w:beforeLines="50" w:afterLines="50" w:line="264" w:lineRule="auto"/>
        <w:jc w:val="left"/>
        <w:rPr>
          <w:rFonts w:ascii="宋体" w:hAnsi="宋体" w:cs="宋体"/>
          <w:b/>
          <w:color w:val="auto"/>
          <w:sz w:val="24"/>
        </w:rPr>
      </w:pPr>
      <w:r>
        <w:rPr>
          <w:rFonts w:hint="eastAsia" w:ascii="宋体" w:hAnsi="宋体" w:cs="宋体"/>
          <w:b/>
          <w:color w:val="auto"/>
          <w:sz w:val="24"/>
        </w:rPr>
        <w:t>评标办法及评分标准：（详见采购文件第五章）</w:t>
      </w:r>
    </w:p>
    <w:p w14:paraId="1B2D7D1E">
      <w:pPr>
        <w:numPr>
          <w:ilvl w:val="0"/>
          <w:numId w:val="6"/>
        </w:numPr>
        <w:tabs>
          <w:tab w:val="left" w:pos="0"/>
          <w:tab w:val="left" w:pos="420"/>
        </w:tabs>
        <w:snapToGrid w:val="0"/>
        <w:spacing w:beforeLines="50" w:afterLines="50" w:line="264" w:lineRule="auto"/>
        <w:jc w:val="left"/>
        <w:rPr>
          <w:rFonts w:ascii="宋体" w:hAnsi="宋体" w:cs="宋体"/>
          <w:b/>
          <w:color w:val="auto"/>
          <w:sz w:val="24"/>
        </w:rPr>
      </w:pPr>
      <w:r>
        <w:rPr>
          <w:rFonts w:hint="eastAsia" w:ascii="宋体" w:hAnsi="宋体" w:cs="宋体"/>
          <w:b/>
          <w:color w:val="auto"/>
          <w:sz w:val="24"/>
        </w:rPr>
        <w:t>评标程序</w:t>
      </w:r>
    </w:p>
    <w:p w14:paraId="5539D2A3">
      <w:pPr>
        <w:widowControl/>
        <w:spacing w:beforeLines="50" w:afterLines="50" w:line="264" w:lineRule="auto"/>
        <w:ind w:firstLine="480" w:firstLineChars="200"/>
        <w:jc w:val="left"/>
        <w:rPr>
          <w:rFonts w:ascii="宋体" w:hAnsi="宋体" w:cs="宋体"/>
          <w:color w:val="auto"/>
          <w:sz w:val="24"/>
        </w:rPr>
      </w:pPr>
      <w:r>
        <w:rPr>
          <w:rFonts w:hint="eastAsia" w:ascii="宋体" w:hAnsi="宋体" w:cs="宋体"/>
          <w:color w:val="auto"/>
          <w:sz w:val="24"/>
        </w:rPr>
        <w:t>（1）由评审专家推选评审小组组长，采购人代表不得担任评审小组组长。</w:t>
      </w:r>
    </w:p>
    <w:p w14:paraId="4D86CF53">
      <w:pPr>
        <w:widowControl/>
        <w:spacing w:beforeLines="50" w:afterLines="50" w:line="264" w:lineRule="auto"/>
        <w:ind w:firstLine="480" w:firstLineChars="200"/>
        <w:jc w:val="left"/>
        <w:rPr>
          <w:rFonts w:ascii="宋体" w:hAnsi="宋体" w:cs="宋体"/>
          <w:color w:val="auto"/>
          <w:sz w:val="24"/>
        </w:rPr>
      </w:pPr>
      <w:r>
        <w:rPr>
          <w:rFonts w:hint="eastAsia" w:ascii="宋体" w:hAnsi="宋体" w:cs="宋体"/>
          <w:color w:val="auto"/>
          <w:sz w:val="24"/>
        </w:rPr>
        <w:t>（2）评审小组组长召集成员认真阅读采购文件以及相关补充、质疑、答复文件、项目书面说明等材料，熟悉采购项目的基本概况，采购项目的质量要求、数量、主要技术标准或服务需求，采购合同主要条款，采购响应文件无效情形，评审方法、评审依据、评审标准等。</w:t>
      </w:r>
    </w:p>
    <w:p w14:paraId="38186DDA">
      <w:pPr>
        <w:widowControl/>
        <w:spacing w:beforeLines="50" w:afterLines="50" w:line="264" w:lineRule="auto"/>
        <w:ind w:firstLine="480" w:firstLineChars="200"/>
        <w:jc w:val="left"/>
        <w:rPr>
          <w:rFonts w:ascii="宋体" w:hAnsi="宋体" w:cs="宋体"/>
          <w:color w:val="auto"/>
          <w:sz w:val="24"/>
        </w:rPr>
      </w:pPr>
      <w:r>
        <w:rPr>
          <w:rFonts w:hint="eastAsia" w:ascii="宋体" w:hAnsi="宋体" w:cs="宋体"/>
          <w:color w:val="auto"/>
          <w:sz w:val="24"/>
        </w:rPr>
        <w:t>（3）评审人员对各供应商采购响应文件的有效性、完整性和响应程度进行审查，确定是否对采购文件作出实质性响应。</w:t>
      </w:r>
    </w:p>
    <w:p w14:paraId="49E38893">
      <w:pPr>
        <w:widowControl/>
        <w:spacing w:beforeLines="50" w:afterLines="50" w:line="264" w:lineRule="auto"/>
        <w:ind w:firstLine="480" w:firstLineChars="200"/>
        <w:jc w:val="left"/>
        <w:rPr>
          <w:rFonts w:ascii="宋体" w:hAnsi="宋体" w:cs="宋体"/>
          <w:color w:val="auto"/>
          <w:sz w:val="24"/>
        </w:rPr>
      </w:pPr>
      <w:r>
        <w:rPr>
          <w:rFonts w:hint="eastAsia" w:ascii="宋体" w:hAnsi="宋体" w:cs="宋体"/>
          <w:color w:val="auto"/>
          <w:sz w:val="24"/>
        </w:rPr>
        <w:t>（4）评审人员按采购文件规定的评审方法和评审标准，依法独立对供应商采购响应文件进行评估、比较，并给予评价或打分，不受任何单位和个人的干预。</w:t>
      </w:r>
    </w:p>
    <w:p w14:paraId="445E476B">
      <w:pPr>
        <w:widowControl/>
        <w:spacing w:beforeLines="50" w:afterLines="50" w:line="264" w:lineRule="auto"/>
        <w:ind w:firstLine="480" w:firstLineChars="200"/>
        <w:jc w:val="left"/>
        <w:rPr>
          <w:rFonts w:ascii="宋体" w:hAnsi="宋体" w:cs="宋体"/>
          <w:color w:val="auto"/>
          <w:sz w:val="24"/>
        </w:rPr>
      </w:pPr>
      <w:r>
        <w:rPr>
          <w:rFonts w:hint="eastAsia" w:ascii="宋体" w:hAnsi="宋体" w:cs="宋体"/>
          <w:color w:val="auto"/>
          <w:sz w:val="24"/>
        </w:rPr>
        <w:t>（5）评审人员对各供应商采购响应文件非实质性内容有疑议或异议，或者审查发现明显的文字或计算错误等，及时向评审小组组长提出。经评审小组商议认为需要供应商作出必要澄清或说明的，应通知该供应商以书面形式作出澄清或说明。书面通知及澄清说明文件应作为政府采购项目档案归档留存。</w:t>
      </w:r>
    </w:p>
    <w:p w14:paraId="1BC67AB7">
      <w:pPr>
        <w:widowControl/>
        <w:spacing w:beforeLines="50" w:afterLines="50" w:line="264" w:lineRule="auto"/>
        <w:ind w:firstLine="480" w:firstLineChars="200"/>
        <w:jc w:val="left"/>
        <w:rPr>
          <w:rFonts w:ascii="宋体" w:hAnsi="宋体" w:cs="宋体"/>
          <w:color w:val="auto"/>
          <w:sz w:val="24"/>
        </w:rPr>
      </w:pPr>
      <w:r>
        <w:rPr>
          <w:rFonts w:hint="eastAsia" w:ascii="宋体" w:hAnsi="宋体" w:cs="宋体"/>
          <w:color w:val="auto"/>
          <w:sz w:val="24"/>
        </w:rPr>
        <w:t>（6）评审人员需对采购组织机构工作人员唱票或统计的评审结果进行确认，现场监督员应对评审结果签署监督意见。如发现分值汇总计算错误、分项评分超出评分标准范围、客观评分不一致以及存在评分畸高、畸低情形的，应由相关人员当场改正或作出说明；拒不改正又不作说明的，由现场监督员如实记载后存入项目档案资料。</w:t>
      </w:r>
    </w:p>
    <w:p w14:paraId="16B5CC2E">
      <w:pPr>
        <w:widowControl/>
        <w:spacing w:beforeLines="50" w:afterLines="50" w:line="264" w:lineRule="auto"/>
        <w:ind w:firstLine="480" w:firstLineChars="200"/>
        <w:jc w:val="left"/>
        <w:rPr>
          <w:rFonts w:ascii="宋体" w:hAnsi="宋体" w:cs="宋体"/>
          <w:color w:val="auto"/>
          <w:sz w:val="24"/>
        </w:rPr>
      </w:pPr>
      <w:r>
        <w:rPr>
          <w:rFonts w:hint="eastAsia" w:ascii="宋体" w:hAnsi="宋体" w:cs="宋体"/>
          <w:color w:val="auto"/>
          <w:sz w:val="24"/>
        </w:rPr>
        <w:t>（7）评审小组根据评审汇总情况和采购文件规定确定中标（成交）候选供应商排序名单。</w:t>
      </w:r>
    </w:p>
    <w:p w14:paraId="1EDA69AF">
      <w:pPr>
        <w:widowControl/>
        <w:spacing w:beforeLines="50" w:afterLines="50" w:line="264" w:lineRule="auto"/>
        <w:ind w:firstLine="480" w:firstLineChars="200"/>
        <w:jc w:val="left"/>
        <w:rPr>
          <w:rFonts w:ascii="宋体" w:hAnsi="宋体" w:cs="宋体"/>
          <w:color w:val="auto"/>
          <w:sz w:val="24"/>
        </w:rPr>
      </w:pPr>
      <w:r>
        <w:rPr>
          <w:rFonts w:hint="eastAsia" w:ascii="宋体" w:hAnsi="宋体" w:cs="宋体"/>
          <w:color w:val="auto"/>
          <w:sz w:val="24"/>
        </w:rPr>
        <w:t>（8）起草评审报告，所有评审人员须在评审报告上签字确认。</w:t>
      </w:r>
    </w:p>
    <w:p w14:paraId="02177FF1">
      <w:pPr>
        <w:numPr>
          <w:ilvl w:val="0"/>
          <w:numId w:val="6"/>
        </w:numPr>
        <w:tabs>
          <w:tab w:val="left" w:pos="0"/>
          <w:tab w:val="left" w:pos="420"/>
        </w:tabs>
        <w:snapToGrid w:val="0"/>
        <w:spacing w:beforeLines="50" w:afterLines="50" w:line="264" w:lineRule="auto"/>
        <w:jc w:val="left"/>
        <w:rPr>
          <w:rFonts w:ascii="宋体" w:hAnsi="宋体" w:cs="宋体"/>
          <w:b/>
          <w:color w:val="auto"/>
          <w:sz w:val="24"/>
        </w:rPr>
      </w:pPr>
      <w:r>
        <w:rPr>
          <w:rFonts w:hint="eastAsia" w:ascii="宋体" w:hAnsi="宋体" w:cs="宋体"/>
          <w:b/>
          <w:color w:val="auto"/>
          <w:sz w:val="24"/>
        </w:rPr>
        <w:t>澄清问题的形式</w:t>
      </w:r>
    </w:p>
    <w:p w14:paraId="13E19C96">
      <w:pPr>
        <w:spacing w:beforeLines="50" w:afterLines="50" w:line="264" w:lineRule="auto"/>
        <w:ind w:firstLine="240" w:firstLineChars="100"/>
        <w:rPr>
          <w:rFonts w:ascii="宋体" w:hAnsi="宋体" w:cs="宋体"/>
          <w:color w:val="auto"/>
          <w:sz w:val="24"/>
        </w:rPr>
      </w:pPr>
      <w:r>
        <w:rPr>
          <w:rFonts w:hint="eastAsia" w:ascii="宋体" w:hAnsi="宋体" w:cs="宋体"/>
          <w:color w:val="auto"/>
          <w:sz w:val="24"/>
        </w:rPr>
        <w:t>34.1.对于投标文件中含义不明确、同类问题表述不一致或者有明显文字和计算错误的内容，评标委员会将通过“政采云平台”在线询标（谈判）的形式要求供应商在规定的时间内作出必要的澄清、说明或者补正。</w:t>
      </w:r>
    </w:p>
    <w:p w14:paraId="74DD49EE">
      <w:pPr>
        <w:spacing w:beforeLines="50" w:afterLines="50" w:line="264" w:lineRule="auto"/>
        <w:ind w:firstLine="482" w:firstLineChars="200"/>
        <w:rPr>
          <w:rFonts w:ascii="宋体" w:hAnsi="宋体" w:cs="宋体"/>
          <w:b/>
          <w:bCs/>
          <w:color w:val="auto"/>
          <w:sz w:val="24"/>
        </w:rPr>
      </w:pPr>
      <w:r>
        <w:rPr>
          <w:rFonts w:hint="eastAsia" w:ascii="宋体" w:hAnsi="宋体" w:cs="宋体"/>
          <w:b/>
          <w:bCs/>
          <w:color w:val="auto"/>
          <w:sz w:val="24"/>
        </w:rPr>
        <w:t>供应商澄清、说明或补正时间为30分钟。路径：应用中心—项目采购—询标澄清,或通过“待办事项”进入询标澄清页面。供应商澄清文件提交成功后，在“询标澄清-全部”标签页下显示状态为“已澄清”。</w:t>
      </w:r>
    </w:p>
    <w:p w14:paraId="00563089">
      <w:pPr>
        <w:spacing w:beforeLines="50" w:afterLines="50" w:line="264" w:lineRule="auto"/>
        <w:ind w:firstLine="240" w:firstLineChars="100"/>
        <w:rPr>
          <w:rFonts w:ascii="宋体" w:hAnsi="宋体" w:cs="宋体"/>
          <w:color w:val="auto"/>
          <w:sz w:val="24"/>
        </w:rPr>
      </w:pPr>
      <w:r>
        <w:rPr>
          <w:rFonts w:hint="eastAsia" w:ascii="宋体" w:hAnsi="宋体" w:cs="宋体"/>
          <w:color w:val="auto"/>
          <w:sz w:val="24"/>
        </w:rPr>
        <w:t>34.2.投标人的澄清、说明或者补正应当采用书面形式，并加盖公章，或者由法定代表人或其授权的代表签字。投标人的澄清、说明或者补正不得超出投标文件的范围或者改变投标文件的实质性内容。如未及时进行澄清、说明或者补正的，视为放弃澄清、说明或者补正的权利。</w:t>
      </w:r>
    </w:p>
    <w:p w14:paraId="5222DD86">
      <w:pPr>
        <w:spacing w:beforeLines="50" w:afterLines="50" w:line="264" w:lineRule="auto"/>
        <w:ind w:firstLine="240" w:firstLineChars="100"/>
        <w:rPr>
          <w:rFonts w:ascii="宋体" w:hAnsi="宋体" w:cs="宋体"/>
          <w:color w:val="auto"/>
          <w:sz w:val="24"/>
        </w:rPr>
      </w:pPr>
      <w:r>
        <w:rPr>
          <w:rFonts w:hint="eastAsia" w:ascii="宋体" w:hAnsi="宋体" w:cs="宋体"/>
          <w:color w:val="auto"/>
          <w:sz w:val="24"/>
        </w:rPr>
        <w:t>34.3.</w:t>
      </w:r>
      <w:r>
        <w:rPr>
          <w:color w:val="auto"/>
        </w:rPr>
        <w:fldChar w:fldCharType="begin"/>
      </w:r>
      <w:r>
        <w:rPr>
          <w:color w:val="auto"/>
        </w:rPr>
        <w:instrText xml:space="preserve"> HYPERLINK "mailto:（3）上述询标、澄清、说明和补正工作如因客观原因无法通过" </w:instrText>
      </w:r>
      <w:r>
        <w:rPr>
          <w:color w:val="auto"/>
        </w:rPr>
        <w:fldChar w:fldCharType="separate"/>
      </w:r>
      <w:r>
        <w:rPr>
          <w:rFonts w:hint="eastAsia" w:ascii="宋体" w:hAnsi="宋体" w:cs="宋体"/>
          <w:color w:val="auto"/>
          <w:sz w:val="24"/>
        </w:rPr>
        <w:t>上述澄清、说明和补正工作如因客观原因无法通过“政采云平台”在线询标（谈判）的，将采用电子邮件形式进行，并由法定代表人或授权代表签字（或加盖公章）。</w:t>
      </w:r>
      <w:r>
        <w:rPr>
          <w:rFonts w:hint="eastAsia" w:ascii="宋体" w:hAnsi="宋体" w:cs="宋体"/>
          <w:color w:val="auto"/>
          <w:sz w:val="24"/>
        </w:rPr>
        <w:fldChar w:fldCharType="end"/>
      </w:r>
    </w:p>
    <w:p w14:paraId="6F19426C">
      <w:pPr>
        <w:spacing w:beforeLines="50" w:afterLines="50" w:line="264" w:lineRule="auto"/>
        <w:ind w:firstLine="240" w:firstLineChars="100"/>
        <w:rPr>
          <w:rFonts w:ascii="宋体" w:hAnsi="宋体" w:cs="宋体"/>
          <w:color w:val="auto"/>
          <w:sz w:val="24"/>
        </w:rPr>
      </w:pPr>
      <w:r>
        <w:rPr>
          <w:rFonts w:hint="eastAsia" w:ascii="宋体" w:hAnsi="宋体" w:cs="宋体"/>
          <w:color w:val="auto"/>
          <w:sz w:val="24"/>
        </w:rPr>
        <w:t>34.4.不接受投标人主动对投标文件的澄清、说明或者补正。</w:t>
      </w:r>
    </w:p>
    <w:p w14:paraId="106AA44C">
      <w:pPr>
        <w:numPr>
          <w:ilvl w:val="0"/>
          <w:numId w:val="6"/>
        </w:numPr>
        <w:tabs>
          <w:tab w:val="left" w:pos="0"/>
          <w:tab w:val="left" w:pos="420"/>
        </w:tabs>
        <w:snapToGrid w:val="0"/>
        <w:spacing w:beforeLines="50" w:afterLines="50" w:line="264" w:lineRule="auto"/>
        <w:jc w:val="left"/>
        <w:rPr>
          <w:rFonts w:ascii="宋体" w:hAnsi="宋体" w:cs="宋体"/>
          <w:b/>
          <w:color w:val="auto"/>
          <w:sz w:val="24"/>
        </w:rPr>
      </w:pPr>
      <w:r>
        <w:rPr>
          <w:rFonts w:hint="eastAsia" w:ascii="宋体" w:hAnsi="宋体" w:cs="宋体"/>
          <w:b/>
          <w:color w:val="auto"/>
          <w:sz w:val="24"/>
        </w:rPr>
        <w:t>错误修正</w:t>
      </w:r>
    </w:p>
    <w:p w14:paraId="65E7B120">
      <w:pPr>
        <w:spacing w:beforeLines="50" w:afterLines="50" w:line="264" w:lineRule="auto"/>
        <w:ind w:firstLine="482" w:firstLineChars="200"/>
        <w:rPr>
          <w:rFonts w:ascii="宋体" w:hAnsi="宋体" w:cs="宋体"/>
          <w:b/>
          <w:bCs/>
          <w:color w:val="auto"/>
          <w:sz w:val="24"/>
        </w:rPr>
      </w:pPr>
      <w:r>
        <w:rPr>
          <w:rFonts w:hint="eastAsia" w:ascii="宋体" w:hAnsi="宋体" w:cs="宋体"/>
          <w:b/>
          <w:bCs/>
          <w:color w:val="auto"/>
          <w:sz w:val="24"/>
        </w:rPr>
        <w:t>35.1.投标文件报价出现前后不一致的，按照下列规定修正：</w:t>
      </w:r>
    </w:p>
    <w:p w14:paraId="4AED2FAE">
      <w:pPr>
        <w:pStyle w:val="8"/>
        <w:numPr>
          <w:ilvl w:val="0"/>
          <w:numId w:val="11"/>
        </w:numPr>
        <w:spacing w:beforeLines="50" w:afterLines="50" w:line="264" w:lineRule="auto"/>
        <w:ind w:left="0" w:leftChars="0" w:firstLine="480" w:firstLineChars="200"/>
        <w:rPr>
          <w:rFonts w:ascii="宋体" w:hAnsi="宋体" w:cs="宋体"/>
          <w:color w:val="auto"/>
          <w:sz w:val="24"/>
        </w:rPr>
      </w:pPr>
      <w:r>
        <w:rPr>
          <w:rFonts w:hint="eastAsia" w:ascii="宋体" w:hAnsi="宋体" w:cs="宋体"/>
          <w:color w:val="auto"/>
          <w:sz w:val="24"/>
        </w:rPr>
        <w:t>投标文件中开标一览表（报价表）内容与投标文件中相应内容不一致的，以开标一览表（报价表）为准；</w:t>
      </w:r>
    </w:p>
    <w:p w14:paraId="6194674D">
      <w:pPr>
        <w:pStyle w:val="8"/>
        <w:spacing w:beforeLines="50" w:afterLines="50" w:line="264" w:lineRule="auto"/>
        <w:ind w:left="0" w:leftChars="0" w:firstLine="480" w:firstLineChars="200"/>
        <w:rPr>
          <w:rFonts w:ascii="宋体" w:hAnsi="宋体" w:cs="宋体"/>
          <w:color w:val="auto"/>
          <w:sz w:val="24"/>
        </w:rPr>
      </w:pPr>
      <w:r>
        <w:rPr>
          <w:rFonts w:hint="eastAsia" w:ascii="宋体" w:hAnsi="宋体" w:cs="宋体"/>
          <w:color w:val="auto"/>
          <w:sz w:val="24"/>
        </w:rPr>
        <w:t>（二）大写金额和小写金额不一致的，以大写金额为准；</w:t>
      </w:r>
    </w:p>
    <w:p w14:paraId="644A8A98">
      <w:pPr>
        <w:pStyle w:val="8"/>
        <w:spacing w:beforeLines="50" w:afterLines="50" w:line="264" w:lineRule="auto"/>
        <w:ind w:left="0" w:leftChars="0" w:firstLine="480" w:firstLineChars="200"/>
        <w:rPr>
          <w:rFonts w:ascii="宋体" w:hAnsi="宋体" w:cs="宋体"/>
          <w:color w:val="auto"/>
          <w:sz w:val="24"/>
        </w:rPr>
      </w:pPr>
      <w:r>
        <w:rPr>
          <w:rFonts w:hint="eastAsia" w:ascii="宋体" w:hAnsi="宋体" w:cs="宋体"/>
          <w:color w:val="auto"/>
          <w:sz w:val="24"/>
        </w:rPr>
        <w:t>（三）单价金额小数点或者百分比有明显错位的，以开标一览表的总价为准，并修改单价；</w:t>
      </w:r>
    </w:p>
    <w:p w14:paraId="09A29546">
      <w:pPr>
        <w:pStyle w:val="8"/>
        <w:spacing w:beforeLines="50" w:afterLines="50" w:line="264" w:lineRule="auto"/>
        <w:ind w:left="0" w:leftChars="0" w:firstLine="480" w:firstLineChars="200"/>
        <w:rPr>
          <w:rFonts w:ascii="宋体" w:hAnsi="宋体" w:cs="宋体"/>
          <w:color w:val="auto"/>
          <w:sz w:val="24"/>
        </w:rPr>
      </w:pPr>
      <w:r>
        <w:rPr>
          <w:rFonts w:hint="eastAsia" w:ascii="宋体" w:hAnsi="宋体" w:cs="宋体"/>
          <w:color w:val="auto"/>
          <w:sz w:val="24"/>
        </w:rPr>
        <w:t>（四）总价金额与按单价汇总金额不一致的，以单价金额计算结果为准。</w:t>
      </w:r>
    </w:p>
    <w:p w14:paraId="67ED97E1">
      <w:pPr>
        <w:pStyle w:val="8"/>
        <w:spacing w:beforeLines="50" w:afterLines="50" w:line="264" w:lineRule="auto"/>
        <w:ind w:left="0" w:leftChars="0" w:firstLine="480" w:firstLineChars="200"/>
        <w:rPr>
          <w:rFonts w:ascii="宋体" w:hAnsi="宋体" w:cs="宋体"/>
          <w:color w:val="auto"/>
          <w:sz w:val="24"/>
        </w:rPr>
      </w:pPr>
      <w:r>
        <w:rPr>
          <w:rFonts w:hint="eastAsia" w:ascii="宋体" w:hAnsi="宋体" w:cs="宋体"/>
          <w:color w:val="auto"/>
          <w:sz w:val="24"/>
        </w:rPr>
        <w:t>（五）若用文字表示的数值与用数字表示的数值不一致，以文字表示的数值为准；</w:t>
      </w:r>
    </w:p>
    <w:p w14:paraId="3AF4316D">
      <w:pPr>
        <w:pStyle w:val="8"/>
        <w:spacing w:beforeLines="50" w:afterLines="50" w:line="264" w:lineRule="auto"/>
        <w:ind w:left="0" w:leftChars="0" w:firstLine="480" w:firstLineChars="200"/>
        <w:rPr>
          <w:rFonts w:ascii="宋体" w:hAnsi="宋体" w:cs="宋体"/>
          <w:color w:val="auto"/>
          <w:sz w:val="24"/>
        </w:rPr>
      </w:pPr>
      <w:r>
        <w:rPr>
          <w:rFonts w:hint="eastAsia" w:ascii="宋体" w:hAnsi="宋体" w:cs="宋体"/>
          <w:color w:val="auto"/>
          <w:sz w:val="24"/>
        </w:rPr>
        <w:t>（六）如有多报（指数量超出采购文件需求）、重报（指同一货物重复报价），其投标总价在评标过程中不予调整，如其中标，其合同价按其投标单价予以调整；</w:t>
      </w:r>
    </w:p>
    <w:p w14:paraId="7C5359E6">
      <w:pPr>
        <w:pStyle w:val="8"/>
        <w:spacing w:beforeLines="50" w:afterLines="50" w:line="264" w:lineRule="auto"/>
        <w:ind w:left="0" w:leftChars="0" w:firstLine="480" w:firstLineChars="200"/>
        <w:rPr>
          <w:rFonts w:ascii="宋体" w:hAnsi="宋体" w:cs="宋体"/>
          <w:color w:val="auto"/>
          <w:sz w:val="24"/>
        </w:rPr>
      </w:pPr>
      <w:r>
        <w:rPr>
          <w:rFonts w:hint="eastAsia" w:ascii="宋体" w:hAnsi="宋体" w:cs="宋体"/>
          <w:color w:val="auto"/>
          <w:sz w:val="24"/>
        </w:rPr>
        <w:t>（七）对不同文字文本投标文件的解释发生异议的，以中文文本为准；</w:t>
      </w:r>
    </w:p>
    <w:p w14:paraId="110F2805">
      <w:pPr>
        <w:pStyle w:val="8"/>
        <w:spacing w:beforeLines="50" w:afterLines="50" w:line="264" w:lineRule="auto"/>
        <w:ind w:left="0" w:leftChars="0" w:firstLine="480" w:firstLineChars="200"/>
        <w:rPr>
          <w:rFonts w:ascii="宋体" w:hAnsi="宋体" w:cs="宋体"/>
          <w:color w:val="auto"/>
          <w:sz w:val="24"/>
        </w:rPr>
      </w:pPr>
      <w:r>
        <w:rPr>
          <w:rFonts w:hint="eastAsia" w:ascii="宋体" w:hAnsi="宋体" w:cs="宋体"/>
          <w:color w:val="auto"/>
          <w:sz w:val="24"/>
        </w:rPr>
        <w:t>同时出现两种以上不一致的，按照前款规定的顺序修正。修正后的报价按照采购文件规定经投标人确认后产生约束力，投标人不确认的，其投标无效。</w:t>
      </w:r>
    </w:p>
    <w:p w14:paraId="061FC283">
      <w:pPr>
        <w:spacing w:beforeLines="50" w:afterLines="50" w:line="264" w:lineRule="auto"/>
        <w:ind w:firstLine="482" w:firstLineChars="200"/>
        <w:rPr>
          <w:rFonts w:ascii="宋体" w:hAnsi="宋体" w:cs="宋体"/>
          <w:b/>
          <w:bCs/>
          <w:color w:val="auto"/>
          <w:sz w:val="24"/>
        </w:rPr>
      </w:pPr>
      <w:r>
        <w:rPr>
          <w:rFonts w:hint="eastAsia" w:ascii="宋体" w:hAnsi="宋体" w:cs="宋体"/>
          <w:b/>
          <w:bCs/>
          <w:color w:val="auto"/>
          <w:sz w:val="24"/>
        </w:rPr>
        <w:t>35.2.投标文件中开标一览表（报价表）内容与电子交易平台客户端开标一览表录入的投标总报价（含单价）或优惠率等不一致的，以投标文件中开标一览表为准；</w:t>
      </w:r>
    </w:p>
    <w:p w14:paraId="35E3420B">
      <w:pPr>
        <w:pStyle w:val="8"/>
        <w:spacing w:beforeLines="50" w:afterLines="50" w:line="264" w:lineRule="auto"/>
        <w:ind w:left="0" w:leftChars="0" w:firstLine="482" w:firstLineChars="200"/>
        <w:rPr>
          <w:rFonts w:ascii="宋体" w:hAnsi="宋体" w:cs="宋体"/>
          <w:b/>
          <w:bCs/>
          <w:color w:val="auto"/>
          <w:sz w:val="24"/>
        </w:rPr>
      </w:pPr>
      <w:r>
        <w:rPr>
          <w:rFonts w:hint="eastAsia" w:ascii="宋体" w:hAnsi="宋体" w:cs="宋体"/>
          <w:b/>
          <w:bCs/>
          <w:color w:val="auto"/>
          <w:sz w:val="24"/>
        </w:rPr>
        <w:t>修正应当采用电子询标的形式，时间为30分钟，并按要求加盖公章（电子印章）。</w:t>
      </w:r>
    </w:p>
    <w:p w14:paraId="6DC76298">
      <w:pPr>
        <w:numPr>
          <w:ilvl w:val="0"/>
          <w:numId w:val="6"/>
        </w:numPr>
        <w:tabs>
          <w:tab w:val="left" w:pos="0"/>
          <w:tab w:val="left" w:pos="420"/>
        </w:tabs>
        <w:snapToGrid w:val="0"/>
        <w:spacing w:beforeLines="50" w:afterLines="50" w:line="264" w:lineRule="auto"/>
        <w:jc w:val="left"/>
        <w:rPr>
          <w:rFonts w:ascii="宋体" w:hAnsi="宋体" w:cs="宋体"/>
          <w:b/>
          <w:color w:val="auto"/>
          <w:sz w:val="24"/>
        </w:rPr>
      </w:pPr>
      <w:r>
        <w:rPr>
          <w:rFonts w:hint="eastAsia" w:ascii="宋体" w:hAnsi="宋体" w:cs="宋体"/>
          <w:b/>
          <w:color w:val="auto"/>
          <w:sz w:val="24"/>
        </w:rPr>
        <w:t>修改评审结果</w:t>
      </w:r>
    </w:p>
    <w:p w14:paraId="346E1EF0">
      <w:pPr>
        <w:spacing w:beforeLines="50" w:afterLines="50" w:line="264" w:lineRule="auto"/>
        <w:ind w:firstLine="482" w:firstLineChars="200"/>
        <w:rPr>
          <w:rFonts w:ascii="宋体" w:hAnsi="宋体" w:cs="宋体"/>
          <w:b/>
          <w:color w:val="auto"/>
          <w:sz w:val="24"/>
        </w:rPr>
      </w:pPr>
      <w:r>
        <w:rPr>
          <w:rFonts w:hint="eastAsia" w:ascii="宋体" w:hAnsi="宋体" w:cs="宋体"/>
          <w:b/>
          <w:color w:val="auto"/>
          <w:sz w:val="24"/>
        </w:rPr>
        <w:t>评标结果汇总完成后，除下列情形外，任何人不得修改评标结果：</w:t>
      </w:r>
    </w:p>
    <w:p w14:paraId="4C17DF4F">
      <w:pPr>
        <w:spacing w:beforeLines="50" w:afterLines="50" w:line="264" w:lineRule="auto"/>
        <w:ind w:firstLine="720" w:firstLineChars="300"/>
        <w:rPr>
          <w:rFonts w:ascii="宋体" w:hAnsi="宋体" w:cs="宋体"/>
          <w:bCs/>
          <w:color w:val="auto"/>
          <w:sz w:val="24"/>
        </w:rPr>
      </w:pPr>
      <w:r>
        <w:rPr>
          <w:rFonts w:hint="eastAsia" w:ascii="宋体" w:hAnsi="宋体" w:cs="宋体"/>
          <w:bCs/>
          <w:color w:val="auto"/>
          <w:sz w:val="24"/>
        </w:rPr>
        <w:t>（一）分值汇总计算错误的；</w:t>
      </w:r>
    </w:p>
    <w:p w14:paraId="69ED8549">
      <w:pPr>
        <w:spacing w:beforeLines="50" w:afterLines="50" w:line="264" w:lineRule="auto"/>
        <w:ind w:firstLine="240" w:firstLineChars="100"/>
        <w:rPr>
          <w:rFonts w:ascii="宋体" w:hAnsi="宋体" w:cs="宋体"/>
          <w:bCs/>
          <w:color w:val="auto"/>
          <w:sz w:val="24"/>
        </w:rPr>
      </w:pPr>
      <w:r>
        <w:rPr>
          <w:rFonts w:hint="eastAsia" w:ascii="宋体" w:hAnsi="宋体" w:cs="宋体"/>
          <w:bCs/>
          <w:color w:val="auto"/>
          <w:sz w:val="24"/>
        </w:rPr>
        <w:t>　　（二）分项评分超出评分标准范围的；</w:t>
      </w:r>
    </w:p>
    <w:p w14:paraId="4CF0CE62">
      <w:pPr>
        <w:spacing w:beforeLines="50" w:afterLines="50" w:line="264" w:lineRule="auto"/>
        <w:ind w:firstLine="240" w:firstLineChars="100"/>
        <w:rPr>
          <w:rFonts w:ascii="宋体" w:hAnsi="宋体" w:cs="宋体"/>
          <w:bCs/>
          <w:color w:val="auto"/>
          <w:sz w:val="24"/>
        </w:rPr>
      </w:pPr>
      <w:r>
        <w:rPr>
          <w:rFonts w:hint="eastAsia" w:ascii="宋体" w:hAnsi="宋体" w:cs="宋体"/>
          <w:bCs/>
          <w:color w:val="auto"/>
          <w:sz w:val="24"/>
        </w:rPr>
        <w:t>　　（三）评标委员会成员对客观评审因素评分不一致的；</w:t>
      </w:r>
    </w:p>
    <w:p w14:paraId="7AEBE79F">
      <w:pPr>
        <w:spacing w:beforeLines="50" w:afterLines="50" w:line="264" w:lineRule="auto"/>
        <w:ind w:firstLine="240" w:firstLineChars="100"/>
        <w:rPr>
          <w:rFonts w:ascii="宋体" w:hAnsi="宋体" w:cs="宋体"/>
          <w:bCs/>
          <w:color w:val="auto"/>
          <w:sz w:val="24"/>
        </w:rPr>
      </w:pPr>
      <w:r>
        <w:rPr>
          <w:rFonts w:hint="eastAsia" w:ascii="宋体" w:hAnsi="宋体" w:cs="宋体"/>
          <w:bCs/>
          <w:color w:val="auto"/>
          <w:sz w:val="24"/>
        </w:rPr>
        <w:t>　　（四）经评标委员会认定评分畸高、畸低的。</w:t>
      </w:r>
    </w:p>
    <w:p w14:paraId="1E48658F">
      <w:pPr>
        <w:tabs>
          <w:tab w:val="left" w:pos="0"/>
          <w:tab w:val="left" w:pos="420"/>
        </w:tabs>
        <w:snapToGrid w:val="0"/>
        <w:spacing w:beforeLines="50" w:afterLines="50" w:line="264" w:lineRule="auto"/>
        <w:ind w:firstLine="480" w:firstLineChars="200"/>
        <w:jc w:val="left"/>
        <w:rPr>
          <w:rFonts w:ascii="宋体" w:hAnsi="宋体" w:cs="宋体"/>
          <w:color w:val="auto"/>
        </w:rPr>
      </w:pPr>
      <w:r>
        <w:rPr>
          <w:rFonts w:hint="eastAsia" w:ascii="宋体" w:hAnsi="宋体" w:cs="宋体"/>
          <w:bCs/>
          <w:color w:val="auto"/>
          <w:sz w:val="24"/>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368098D6">
      <w:pPr>
        <w:numPr>
          <w:ilvl w:val="0"/>
          <w:numId w:val="6"/>
        </w:numPr>
        <w:tabs>
          <w:tab w:val="left" w:pos="0"/>
          <w:tab w:val="left" w:pos="420"/>
        </w:tabs>
        <w:snapToGrid w:val="0"/>
        <w:spacing w:beforeLines="50" w:afterLines="50" w:line="264" w:lineRule="auto"/>
        <w:jc w:val="left"/>
        <w:rPr>
          <w:rFonts w:ascii="宋体" w:hAnsi="宋体" w:cs="宋体"/>
          <w:b/>
          <w:color w:val="auto"/>
          <w:sz w:val="24"/>
        </w:rPr>
      </w:pPr>
      <w:r>
        <w:rPr>
          <w:rFonts w:hint="eastAsia" w:ascii="宋体" w:hAnsi="宋体" w:cs="宋体"/>
          <w:b/>
          <w:color w:val="auto"/>
          <w:sz w:val="24"/>
        </w:rPr>
        <w:t>废标</w:t>
      </w:r>
    </w:p>
    <w:p w14:paraId="52331237">
      <w:pPr>
        <w:snapToGrid w:val="0"/>
        <w:spacing w:beforeLines="50" w:afterLines="50" w:line="264" w:lineRule="auto"/>
        <w:ind w:firstLine="482" w:firstLineChars="200"/>
        <w:rPr>
          <w:rFonts w:ascii="宋体" w:hAnsi="宋体" w:cs="宋体"/>
          <w:b/>
          <w:bCs/>
          <w:color w:val="auto"/>
          <w:sz w:val="24"/>
        </w:rPr>
      </w:pPr>
      <w:r>
        <w:rPr>
          <w:rFonts w:hint="eastAsia" w:ascii="宋体" w:hAnsi="宋体" w:cs="宋体"/>
          <w:b/>
          <w:bCs/>
          <w:color w:val="auto"/>
          <w:sz w:val="24"/>
        </w:rPr>
        <w:t>在招标采购中，出现下列情形之一的，应予废标：</w:t>
      </w:r>
    </w:p>
    <w:p w14:paraId="766BBBB9">
      <w:pPr>
        <w:tabs>
          <w:tab w:val="left" w:pos="0"/>
          <w:tab w:val="left" w:pos="420"/>
        </w:tabs>
        <w:snapToGrid w:val="0"/>
        <w:spacing w:beforeLines="50" w:afterLines="50" w:line="264" w:lineRule="auto"/>
        <w:ind w:firstLine="480" w:firstLineChars="200"/>
        <w:jc w:val="left"/>
        <w:rPr>
          <w:rFonts w:ascii="宋体" w:hAnsi="宋体" w:cs="宋体"/>
          <w:color w:val="auto"/>
          <w:sz w:val="24"/>
        </w:rPr>
      </w:pPr>
      <w:r>
        <w:rPr>
          <w:rFonts w:hint="eastAsia" w:ascii="宋体" w:hAnsi="宋体" w:cs="宋体"/>
          <w:color w:val="auto"/>
          <w:sz w:val="24"/>
        </w:rPr>
        <w:t>（一）符合专业条件的供应商或者对采购文件作实质响应的供应商不足三家的；</w:t>
      </w:r>
    </w:p>
    <w:p w14:paraId="32A5E31B">
      <w:pPr>
        <w:tabs>
          <w:tab w:val="left" w:pos="0"/>
          <w:tab w:val="left" w:pos="420"/>
        </w:tabs>
        <w:snapToGrid w:val="0"/>
        <w:spacing w:beforeLines="50" w:afterLines="50" w:line="264" w:lineRule="auto"/>
        <w:ind w:firstLine="480" w:firstLineChars="200"/>
        <w:jc w:val="left"/>
        <w:rPr>
          <w:rFonts w:ascii="宋体" w:hAnsi="宋体" w:cs="宋体"/>
          <w:color w:val="auto"/>
          <w:sz w:val="24"/>
        </w:rPr>
      </w:pPr>
      <w:r>
        <w:rPr>
          <w:rFonts w:hint="eastAsia" w:ascii="宋体" w:hAnsi="宋体" w:cs="宋体"/>
          <w:color w:val="auto"/>
          <w:sz w:val="24"/>
        </w:rPr>
        <w:t>（二）出现影响采购公正的违法、违规行为的；</w:t>
      </w:r>
    </w:p>
    <w:p w14:paraId="377462FF">
      <w:pPr>
        <w:tabs>
          <w:tab w:val="left" w:pos="0"/>
          <w:tab w:val="left" w:pos="420"/>
        </w:tabs>
        <w:snapToGrid w:val="0"/>
        <w:spacing w:beforeLines="50" w:afterLines="50" w:line="264" w:lineRule="auto"/>
        <w:ind w:firstLine="480" w:firstLineChars="200"/>
        <w:jc w:val="left"/>
        <w:rPr>
          <w:rFonts w:ascii="宋体" w:hAnsi="宋体" w:cs="宋体"/>
          <w:color w:val="auto"/>
          <w:sz w:val="24"/>
        </w:rPr>
      </w:pPr>
      <w:r>
        <w:rPr>
          <w:rFonts w:hint="eastAsia" w:ascii="宋体" w:hAnsi="宋体" w:cs="宋体"/>
          <w:color w:val="auto"/>
          <w:sz w:val="24"/>
        </w:rPr>
        <w:t>（三）投标人的报价均超过了采购预算（或最高限价），采购人不能支付的；</w:t>
      </w:r>
    </w:p>
    <w:p w14:paraId="327AAA20">
      <w:pPr>
        <w:tabs>
          <w:tab w:val="left" w:pos="0"/>
          <w:tab w:val="left" w:pos="420"/>
        </w:tabs>
        <w:snapToGrid w:val="0"/>
        <w:spacing w:beforeLines="50" w:afterLines="50" w:line="264" w:lineRule="auto"/>
        <w:ind w:firstLine="480" w:firstLineChars="200"/>
        <w:jc w:val="left"/>
        <w:rPr>
          <w:rFonts w:ascii="宋体" w:hAnsi="宋体" w:cs="宋体"/>
          <w:color w:val="auto"/>
          <w:sz w:val="24"/>
        </w:rPr>
      </w:pPr>
      <w:r>
        <w:rPr>
          <w:rFonts w:hint="eastAsia" w:ascii="宋体" w:hAnsi="宋体" w:cs="宋体"/>
          <w:color w:val="auto"/>
          <w:sz w:val="24"/>
        </w:rPr>
        <w:t>（四）因重大变故，采购任务取消的。</w:t>
      </w:r>
    </w:p>
    <w:p w14:paraId="59C5B93C">
      <w:pPr>
        <w:numPr>
          <w:ilvl w:val="0"/>
          <w:numId w:val="6"/>
        </w:numPr>
        <w:tabs>
          <w:tab w:val="left" w:pos="0"/>
          <w:tab w:val="left" w:pos="420"/>
        </w:tabs>
        <w:snapToGrid w:val="0"/>
        <w:spacing w:beforeLines="50" w:afterLines="50" w:line="264" w:lineRule="auto"/>
        <w:jc w:val="left"/>
        <w:rPr>
          <w:rFonts w:ascii="宋体" w:hAnsi="宋体" w:cs="宋体"/>
          <w:b/>
          <w:color w:val="auto"/>
          <w:sz w:val="24"/>
        </w:rPr>
      </w:pPr>
      <w:r>
        <w:rPr>
          <w:rFonts w:hint="eastAsia" w:ascii="宋体" w:hAnsi="宋体" w:cs="宋体"/>
          <w:b/>
          <w:color w:val="auto"/>
          <w:sz w:val="24"/>
        </w:rPr>
        <w:t>突发情况处理</w:t>
      </w:r>
    </w:p>
    <w:p w14:paraId="5B361480">
      <w:pPr>
        <w:pStyle w:val="7"/>
        <w:snapToGrid w:val="0"/>
        <w:spacing w:beforeLines="50" w:afterLines="50" w:line="264" w:lineRule="auto"/>
        <w:ind w:firstLine="232" w:firstLineChars="100"/>
        <w:rPr>
          <w:rFonts w:hAnsi="宋体" w:cs="宋体"/>
          <w:b/>
          <w:bCs/>
          <w:color w:val="auto"/>
          <w:spacing w:val="-4"/>
          <w:sz w:val="24"/>
        </w:rPr>
      </w:pPr>
      <w:r>
        <w:rPr>
          <w:rFonts w:hint="eastAsia" w:hAnsi="宋体" w:cs="宋体"/>
          <w:color w:val="auto"/>
          <w:spacing w:val="-4"/>
          <w:sz w:val="24"/>
        </w:rPr>
        <w:t>38.1.</w:t>
      </w:r>
      <w:r>
        <w:rPr>
          <w:rFonts w:hint="eastAsia" w:hAnsi="宋体" w:cs="宋体"/>
          <w:b/>
          <w:bCs/>
          <w:color w:val="auto"/>
          <w:spacing w:val="-4"/>
          <w:sz w:val="24"/>
        </w:rPr>
        <w:t>采购过程中出现以下情形，导致电子交易平台无法正常运行，或者无法保证电子交易的公平、公正和安全时，采购组织机构可中止电子交易活动：</w:t>
      </w:r>
    </w:p>
    <w:p w14:paraId="0AE11F07">
      <w:pPr>
        <w:snapToGrid w:val="0"/>
        <w:spacing w:beforeLines="50" w:afterLines="50" w:line="264" w:lineRule="auto"/>
        <w:ind w:firstLine="480" w:firstLineChars="200"/>
        <w:jc w:val="left"/>
        <w:rPr>
          <w:rFonts w:ascii="宋体" w:hAnsi="宋体" w:cs="宋体"/>
          <w:color w:val="auto"/>
          <w:sz w:val="24"/>
        </w:rPr>
      </w:pPr>
      <w:r>
        <w:rPr>
          <w:rFonts w:hint="eastAsia" w:ascii="宋体" w:hAnsi="宋体" w:cs="宋体"/>
          <w:color w:val="auto"/>
          <w:sz w:val="24"/>
        </w:rPr>
        <w:t xml:space="preserve">（一）电子交易平台发生故障而无法登录访问的； </w:t>
      </w:r>
    </w:p>
    <w:p w14:paraId="40E1E461">
      <w:pPr>
        <w:snapToGrid w:val="0"/>
        <w:spacing w:beforeLines="50" w:afterLines="50" w:line="264" w:lineRule="auto"/>
        <w:ind w:firstLine="480" w:firstLineChars="200"/>
        <w:jc w:val="left"/>
        <w:rPr>
          <w:rFonts w:ascii="宋体" w:hAnsi="宋体" w:cs="宋体"/>
          <w:color w:val="auto"/>
          <w:sz w:val="24"/>
        </w:rPr>
      </w:pPr>
      <w:r>
        <w:rPr>
          <w:rFonts w:hint="eastAsia" w:ascii="宋体" w:hAnsi="宋体" w:cs="宋体"/>
          <w:color w:val="auto"/>
          <w:sz w:val="24"/>
        </w:rPr>
        <w:t>（二）电子交易平台应用或数据库出现错误，不能进行正常操作的；</w:t>
      </w:r>
    </w:p>
    <w:p w14:paraId="479B5697">
      <w:pPr>
        <w:snapToGrid w:val="0"/>
        <w:spacing w:beforeLines="50" w:afterLines="50" w:line="264" w:lineRule="auto"/>
        <w:ind w:firstLine="480" w:firstLineChars="200"/>
        <w:jc w:val="left"/>
        <w:rPr>
          <w:rFonts w:ascii="宋体" w:hAnsi="宋体" w:cs="宋体"/>
          <w:color w:val="auto"/>
          <w:sz w:val="24"/>
        </w:rPr>
      </w:pPr>
      <w:r>
        <w:rPr>
          <w:rFonts w:hint="eastAsia" w:ascii="宋体" w:hAnsi="宋体" w:cs="宋体"/>
          <w:color w:val="auto"/>
          <w:sz w:val="24"/>
        </w:rPr>
        <w:t>（三）电子交易平台发现严重安全漏洞，有潜在泄密危险的；</w:t>
      </w:r>
    </w:p>
    <w:p w14:paraId="6A90A2E0">
      <w:pPr>
        <w:snapToGrid w:val="0"/>
        <w:spacing w:beforeLines="50" w:afterLines="50" w:line="264" w:lineRule="auto"/>
        <w:ind w:firstLine="480" w:firstLineChars="200"/>
        <w:jc w:val="left"/>
        <w:rPr>
          <w:rFonts w:ascii="宋体" w:hAnsi="宋体" w:cs="宋体"/>
          <w:color w:val="auto"/>
          <w:sz w:val="24"/>
        </w:rPr>
      </w:pPr>
      <w:r>
        <w:rPr>
          <w:rFonts w:hint="eastAsia" w:ascii="宋体" w:hAnsi="宋体" w:cs="宋体"/>
          <w:color w:val="auto"/>
          <w:sz w:val="24"/>
        </w:rPr>
        <w:t xml:space="preserve">（四）病毒发作导致不能进行正常操作的； </w:t>
      </w:r>
    </w:p>
    <w:p w14:paraId="3D4BEB84">
      <w:pPr>
        <w:snapToGrid w:val="0"/>
        <w:spacing w:beforeLines="50" w:afterLines="50" w:line="264" w:lineRule="auto"/>
        <w:ind w:firstLine="480" w:firstLineChars="200"/>
        <w:jc w:val="left"/>
        <w:rPr>
          <w:rFonts w:ascii="宋体" w:hAnsi="宋体" w:cs="宋体"/>
          <w:color w:val="auto"/>
          <w:sz w:val="24"/>
        </w:rPr>
      </w:pPr>
      <w:r>
        <w:rPr>
          <w:rFonts w:hint="eastAsia" w:ascii="宋体" w:hAnsi="宋体" w:cs="宋体"/>
          <w:color w:val="auto"/>
          <w:sz w:val="24"/>
        </w:rPr>
        <w:t>（五）其他无法保证电子交易的公平、公正和安全的情况。</w:t>
      </w:r>
    </w:p>
    <w:p w14:paraId="28529D6E">
      <w:pPr>
        <w:snapToGrid w:val="0"/>
        <w:spacing w:beforeLines="50" w:afterLines="50" w:line="264" w:lineRule="auto"/>
        <w:ind w:firstLine="480" w:firstLineChars="200"/>
        <w:jc w:val="left"/>
        <w:rPr>
          <w:rFonts w:ascii="宋体" w:hAnsi="宋体" w:cs="宋体"/>
          <w:color w:val="auto"/>
          <w:sz w:val="24"/>
        </w:rPr>
      </w:pPr>
      <w:r>
        <w:rPr>
          <w:rFonts w:hint="eastAsia" w:ascii="宋体" w:hAnsi="宋体" w:cs="宋体"/>
          <w:color w:val="auto"/>
          <w:sz w:val="24"/>
        </w:rPr>
        <w:t>出现前款规定情形，不影响采购公平、公正性的，采购组织机构可以待上述情形消除后继续组织电子交易活动，也可以决定某些环节以纸质形式进行；影响或可能影响采购公平、公正性的，应当重新采购。</w:t>
      </w:r>
    </w:p>
    <w:p w14:paraId="34DBCB16">
      <w:pPr>
        <w:snapToGrid w:val="0"/>
        <w:spacing w:beforeLines="50" w:afterLines="50" w:line="264" w:lineRule="auto"/>
        <w:ind w:firstLine="240" w:firstLineChars="100"/>
        <w:jc w:val="left"/>
        <w:rPr>
          <w:rFonts w:ascii="宋体" w:hAnsi="宋体" w:cs="宋体"/>
          <w:color w:val="auto"/>
          <w:sz w:val="24"/>
        </w:rPr>
      </w:pPr>
      <w:r>
        <w:rPr>
          <w:rFonts w:hint="eastAsia" w:ascii="宋体" w:hAnsi="宋体" w:cs="宋体"/>
          <w:color w:val="auto"/>
          <w:sz w:val="24"/>
        </w:rPr>
        <w:t>38.2.</w:t>
      </w:r>
      <w:r>
        <w:rPr>
          <w:rFonts w:hint="eastAsia" w:ascii="宋体" w:hAnsi="宋体" w:cs="宋体"/>
          <w:b/>
          <w:bCs/>
          <w:color w:val="auto"/>
          <w:sz w:val="24"/>
        </w:rPr>
        <w:t>采购代理机构或评审小组因不可抗力（不可抗力包括但不限于自然灾害、断电、传播疫病等）原因造成电子交易活动无法正常运行的，将采取以下措施：</w:t>
      </w:r>
    </w:p>
    <w:p w14:paraId="7E6DC9D8">
      <w:pPr>
        <w:snapToGrid w:val="0"/>
        <w:spacing w:beforeLines="50" w:afterLines="50" w:line="264" w:lineRule="auto"/>
        <w:ind w:firstLine="480" w:firstLineChars="200"/>
        <w:jc w:val="left"/>
        <w:rPr>
          <w:rFonts w:ascii="宋体" w:hAnsi="宋体" w:cs="宋体"/>
          <w:color w:val="auto"/>
          <w:sz w:val="24"/>
        </w:rPr>
      </w:pPr>
      <w:r>
        <w:rPr>
          <w:rFonts w:hint="eastAsia" w:ascii="宋体" w:hAnsi="宋体" w:cs="宋体"/>
          <w:color w:val="auto"/>
          <w:sz w:val="24"/>
        </w:rPr>
        <w:t>（一）短时间内能消除不可抗力因素的，采购代理机构或评审小组在消除不可抗力因素后继续组织电子交易活动。</w:t>
      </w:r>
    </w:p>
    <w:p w14:paraId="3B0F4F1A">
      <w:pPr>
        <w:snapToGrid w:val="0"/>
        <w:spacing w:beforeLines="50" w:afterLines="50" w:line="264" w:lineRule="auto"/>
        <w:ind w:firstLine="480" w:firstLineChars="200"/>
        <w:jc w:val="left"/>
        <w:rPr>
          <w:rFonts w:ascii="宋体" w:hAnsi="宋体" w:cs="宋体"/>
          <w:color w:val="auto"/>
        </w:rPr>
      </w:pPr>
      <w:r>
        <w:rPr>
          <w:rFonts w:hint="eastAsia" w:ascii="宋体" w:hAnsi="宋体" w:cs="宋体"/>
          <w:color w:val="auto"/>
          <w:sz w:val="24"/>
        </w:rPr>
        <w:t>（二）长时间内无法消除不可抗力因素的，采购代理机构或评审小组将中止电子交易活动。中止电子交易活动的，采购人应当重新组织政府采购活动。</w:t>
      </w:r>
    </w:p>
    <w:p w14:paraId="45767CA9">
      <w:pPr>
        <w:pStyle w:val="7"/>
        <w:spacing w:beforeLines="50" w:afterLines="50" w:line="264" w:lineRule="auto"/>
        <w:jc w:val="center"/>
        <w:outlineLvl w:val="1"/>
        <w:rPr>
          <w:rFonts w:hAnsi="宋体" w:cs="宋体"/>
          <w:b/>
          <w:bCs/>
          <w:color w:val="auto"/>
          <w:sz w:val="30"/>
          <w:szCs w:val="30"/>
        </w:rPr>
      </w:pPr>
      <w:bookmarkStart w:id="25" w:name="_Toc24840"/>
      <w:r>
        <w:rPr>
          <w:rFonts w:hint="eastAsia" w:hAnsi="宋体" w:cs="宋体"/>
          <w:b/>
          <w:bCs/>
          <w:color w:val="auto"/>
          <w:sz w:val="30"/>
          <w:szCs w:val="30"/>
        </w:rPr>
        <w:t>第七节  定 标</w:t>
      </w:r>
      <w:bookmarkEnd w:id="25"/>
    </w:p>
    <w:p w14:paraId="28C5BF7E">
      <w:pPr>
        <w:numPr>
          <w:ilvl w:val="0"/>
          <w:numId w:val="6"/>
        </w:numPr>
        <w:tabs>
          <w:tab w:val="left" w:pos="0"/>
          <w:tab w:val="left" w:pos="420"/>
        </w:tabs>
        <w:snapToGrid w:val="0"/>
        <w:spacing w:beforeLines="50" w:afterLines="50" w:line="264" w:lineRule="auto"/>
        <w:jc w:val="left"/>
        <w:rPr>
          <w:rFonts w:ascii="宋体" w:hAnsi="宋体" w:cs="宋体"/>
          <w:b/>
          <w:color w:val="auto"/>
          <w:sz w:val="24"/>
        </w:rPr>
      </w:pPr>
      <w:r>
        <w:rPr>
          <w:rFonts w:hint="eastAsia" w:ascii="宋体" w:hAnsi="宋体" w:cs="宋体"/>
          <w:b/>
          <w:color w:val="auto"/>
          <w:sz w:val="24"/>
        </w:rPr>
        <w:t>采购结果确认</w:t>
      </w:r>
    </w:p>
    <w:p w14:paraId="2FDE52F8">
      <w:pPr>
        <w:snapToGrid w:val="0"/>
        <w:spacing w:beforeLines="50" w:afterLines="50" w:line="264" w:lineRule="auto"/>
        <w:ind w:firstLine="240" w:firstLineChars="100"/>
        <w:rPr>
          <w:rFonts w:ascii="宋体" w:hAnsi="宋体" w:cs="宋体"/>
          <w:b/>
          <w:color w:val="auto"/>
          <w:kern w:val="0"/>
          <w:sz w:val="24"/>
          <w:szCs w:val="22"/>
        </w:rPr>
      </w:pPr>
      <w:r>
        <w:rPr>
          <w:rFonts w:hint="eastAsia" w:ascii="宋体" w:hAnsi="宋体" w:cs="宋体"/>
          <w:color w:val="auto"/>
          <w:sz w:val="24"/>
        </w:rPr>
        <w:t>39.1.</w:t>
      </w:r>
      <w:r>
        <w:rPr>
          <w:rFonts w:hint="eastAsia" w:ascii="宋体" w:hAnsi="宋体" w:cs="宋体"/>
          <w:b/>
          <w:color w:val="auto"/>
          <w:kern w:val="0"/>
          <w:sz w:val="24"/>
          <w:szCs w:val="22"/>
        </w:rPr>
        <w:t>本项目由采购人根据评标委员会提交的《评审报告》，通过“政采云平台”依法确认采购结果、确定中标供应商。具体流程如下：</w:t>
      </w:r>
    </w:p>
    <w:p w14:paraId="7F5CC18E">
      <w:pPr>
        <w:spacing w:beforeLines="50" w:afterLines="50" w:line="264" w:lineRule="auto"/>
        <w:ind w:firstLine="420" w:firstLineChars="175"/>
        <w:rPr>
          <w:rFonts w:ascii="宋体" w:hAnsi="宋体" w:cs="宋体"/>
          <w:color w:val="auto"/>
          <w:kern w:val="0"/>
          <w:sz w:val="24"/>
          <w:szCs w:val="22"/>
        </w:rPr>
      </w:pPr>
      <w:r>
        <w:rPr>
          <w:rFonts w:hint="eastAsia" w:ascii="宋体" w:hAnsi="宋体" w:cs="宋体"/>
          <w:color w:val="auto"/>
          <w:kern w:val="0"/>
          <w:sz w:val="24"/>
          <w:szCs w:val="22"/>
        </w:rPr>
        <w:t>（一）采购代理机构应当在评标结束后2个工作日内将评标报告送采购人。</w:t>
      </w:r>
    </w:p>
    <w:p w14:paraId="5225BFD2">
      <w:pPr>
        <w:spacing w:beforeLines="50" w:afterLines="50" w:line="264" w:lineRule="auto"/>
        <w:ind w:firstLine="420" w:firstLineChars="175"/>
        <w:rPr>
          <w:rFonts w:ascii="宋体" w:hAnsi="宋体" w:cs="宋体"/>
          <w:color w:val="auto"/>
          <w:kern w:val="0"/>
          <w:sz w:val="24"/>
          <w:szCs w:val="22"/>
        </w:rPr>
      </w:pPr>
      <w:r>
        <w:rPr>
          <w:rFonts w:hint="eastAsia" w:ascii="宋体" w:hAnsi="宋体" w:cs="宋体"/>
          <w:color w:val="auto"/>
          <w:kern w:val="0"/>
          <w:sz w:val="24"/>
          <w:szCs w:val="22"/>
        </w:rPr>
        <w:t>（二）采购人应当自收到评标报告之日起5个工作日内，在评标报告确定的中标候选人名单中按顺序确定中标人，并将确认意见以书面形式回复采购代理机构。</w:t>
      </w:r>
      <w:r>
        <w:rPr>
          <w:rFonts w:hint="eastAsia" w:ascii="宋体" w:hAnsi="宋体" w:cs="宋体"/>
          <w:color w:val="auto"/>
          <w:sz w:val="24"/>
        </w:rPr>
        <w:t xml:space="preserve"> </w:t>
      </w:r>
    </w:p>
    <w:p w14:paraId="5AB1FDF7">
      <w:pPr>
        <w:snapToGrid w:val="0"/>
        <w:spacing w:beforeLines="50" w:afterLines="50" w:line="264" w:lineRule="auto"/>
        <w:ind w:firstLine="240" w:firstLineChars="100"/>
        <w:rPr>
          <w:rFonts w:ascii="宋体" w:hAnsi="宋体" w:cs="宋体"/>
          <w:b/>
          <w:bCs/>
          <w:color w:val="auto"/>
          <w:sz w:val="24"/>
          <w:u w:val="single"/>
        </w:rPr>
      </w:pPr>
      <w:r>
        <w:rPr>
          <w:rFonts w:hint="eastAsia" w:ascii="宋体" w:hAnsi="宋体" w:cs="宋体"/>
          <w:color w:val="auto"/>
          <w:kern w:val="0"/>
          <w:sz w:val="24"/>
          <w:szCs w:val="22"/>
        </w:rPr>
        <w:t>39.2.采购结果经采购人确认后2个工作日内，采购代理机构将在投标人须知前附表规定的网址公告采购</w:t>
      </w:r>
      <w:r>
        <w:rPr>
          <w:rFonts w:hint="eastAsia" w:ascii="宋体" w:hAnsi="宋体" w:cs="宋体"/>
          <w:color w:val="auto"/>
          <w:sz w:val="24"/>
        </w:rPr>
        <w:t>结果，</w:t>
      </w:r>
      <w:r>
        <w:rPr>
          <w:rFonts w:hint="eastAsia" w:ascii="宋体" w:hAnsi="宋体" w:cs="宋体"/>
          <w:b/>
          <w:bCs/>
          <w:color w:val="auto"/>
          <w:sz w:val="24"/>
          <w:u w:val="single"/>
        </w:rPr>
        <w:t>中标公告期限为1个工作日。</w:t>
      </w:r>
    </w:p>
    <w:p w14:paraId="4E44153D">
      <w:pPr>
        <w:numPr>
          <w:ilvl w:val="0"/>
          <w:numId w:val="6"/>
        </w:numPr>
        <w:tabs>
          <w:tab w:val="left" w:pos="0"/>
          <w:tab w:val="left" w:pos="420"/>
        </w:tabs>
        <w:snapToGrid w:val="0"/>
        <w:spacing w:beforeLines="50" w:afterLines="50" w:line="264" w:lineRule="auto"/>
        <w:jc w:val="left"/>
        <w:rPr>
          <w:rFonts w:ascii="宋体" w:hAnsi="宋体" w:cs="宋体"/>
          <w:b/>
          <w:color w:val="auto"/>
          <w:sz w:val="24"/>
        </w:rPr>
      </w:pPr>
      <w:r>
        <w:rPr>
          <w:rFonts w:hint="eastAsia" w:ascii="宋体" w:hAnsi="宋体" w:cs="宋体"/>
          <w:b/>
          <w:color w:val="auto"/>
          <w:sz w:val="24"/>
        </w:rPr>
        <w:t>质疑和投诉</w:t>
      </w:r>
    </w:p>
    <w:p w14:paraId="15C2B46A">
      <w:pPr>
        <w:spacing w:beforeLines="50" w:afterLines="50" w:line="264" w:lineRule="auto"/>
        <w:ind w:firstLine="240" w:firstLineChars="100"/>
        <w:rPr>
          <w:rFonts w:ascii="宋体" w:hAnsi="宋体" w:cs="宋体"/>
          <w:color w:val="auto"/>
          <w:sz w:val="24"/>
        </w:rPr>
      </w:pPr>
      <w:r>
        <w:rPr>
          <w:rFonts w:hint="eastAsia" w:ascii="宋体" w:hAnsi="宋体" w:cs="宋体"/>
          <w:color w:val="auto"/>
          <w:sz w:val="24"/>
        </w:rPr>
        <w:t>40.1.供应商认为采购文件、采购过程和中标、成交结果使自己的权益受到损害的，可以在知道或者应知其权益受到损害之日起七个工作日内，以书面形式向采购人提出质疑。供应商应当在法定质疑期内一次性提出针对同一采购程序环节的质疑。供应商应知其权益受到损害之日，是指：</w:t>
      </w:r>
    </w:p>
    <w:p w14:paraId="40F4B9D2">
      <w:pPr>
        <w:numPr>
          <w:ilvl w:val="0"/>
          <w:numId w:val="12"/>
        </w:numPr>
        <w:spacing w:beforeLines="50" w:afterLines="50" w:line="264" w:lineRule="auto"/>
        <w:ind w:firstLine="480" w:firstLineChars="200"/>
        <w:rPr>
          <w:rFonts w:ascii="宋体" w:hAnsi="宋体" w:cs="宋体"/>
          <w:color w:val="auto"/>
          <w:sz w:val="24"/>
        </w:rPr>
      </w:pPr>
      <w:r>
        <w:rPr>
          <w:rFonts w:hint="eastAsia" w:ascii="宋体" w:hAnsi="宋体" w:cs="宋体"/>
          <w:color w:val="auto"/>
          <w:sz w:val="24"/>
        </w:rPr>
        <w:t>对可以质疑的采购文件提出质疑的，为收到采购文件之日或者采购文件公告期限届满之日；</w:t>
      </w:r>
    </w:p>
    <w:p w14:paraId="1E474800">
      <w:pPr>
        <w:numPr>
          <w:ilvl w:val="0"/>
          <w:numId w:val="12"/>
        </w:numPr>
        <w:spacing w:beforeLines="50" w:afterLines="50" w:line="264" w:lineRule="auto"/>
        <w:ind w:firstLine="480" w:firstLineChars="200"/>
        <w:rPr>
          <w:rFonts w:ascii="宋体" w:hAnsi="宋体" w:cs="宋体"/>
          <w:color w:val="auto"/>
          <w:sz w:val="24"/>
        </w:rPr>
      </w:pPr>
      <w:r>
        <w:rPr>
          <w:rFonts w:hint="eastAsia" w:ascii="宋体" w:hAnsi="宋体" w:cs="宋体"/>
          <w:color w:val="auto"/>
          <w:sz w:val="24"/>
        </w:rPr>
        <w:t>对采购过程提出质疑的，为各采购程序环节结束之日；</w:t>
      </w:r>
    </w:p>
    <w:p w14:paraId="7E7580F2">
      <w:pPr>
        <w:spacing w:beforeLines="50" w:afterLines="50" w:line="264" w:lineRule="auto"/>
        <w:ind w:firstLine="480" w:firstLineChars="200"/>
        <w:rPr>
          <w:rFonts w:ascii="宋体" w:hAnsi="宋体" w:cs="宋体"/>
          <w:color w:val="auto"/>
          <w:sz w:val="24"/>
        </w:rPr>
      </w:pPr>
      <w:r>
        <w:rPr>
          <w:rFonts w:hint="eastAsia" w:ascii="宋体" w:hAnsi="宋体" w:cs="宋体"/>
          <w:color w:val="auto"/>
          <w:sz w:val="24"/>
        </w:rPr>
        <w:t>（三）对中标或者成交结果提出质疑的，为中标或者成交结果公告期限届满之日。</w:t>
      </w:r>
    </w:p>
    <w:p w14:paraId="123BD5C8">
      <w:pPr>
        <w:spacing w:beforeLines="50" w:afterLines="50" w:line="264" w:lineRule="auto"/>
        <w:ind w:firstLine="240" w:firstLineChars="100"/>
        <w:rPr>
          <w:rFonts w:ascii="宋体" w:hAnsi="宋体" w:cs="宋体"/>
          <w:color w:val="auto"/>
          <w:sz w:val="24"/>
        </w:rPr>
      </w:pPr>
      <w:r>
        <w:rPr>
          <w:rFonts w:hint="eastAsia" w:ascii="宋体" w:hAnsi="宋体" w:cs="宋体"/>
          <w:color w:val="auto"/>
          <w:sz w:val="24"/>
        </w:rPr>
        <w:t>40.2.供应商提出质疑应当提交质疑函和必要的证明材料。质疑函应当包括下列内容：供应商的姓名或者名称、地址、邮编、联系人及联系电话；质疑项目的名称、编号；具体、明确的质疑事项和与质疑事项相关的请求；事实依据；必要的法律依据；提出质疑的日期。</w:t>
      </w:r>
    </w:p>
    <w:p w14:paraId="0FFFB1FF">
      <w:pPr>
        <w:spacing w:beforeLines="50" w:afterLines="50" w:line="264" w:lineRule="auto"/>
        <w:ind w:firstLine="480" w:firstLineChars="200"/>
        <w:rPr>
          <w:rFonts w:ascii="宋体" w:hAnsi="宋体" w:cs="宋体"/>
          <w:color w:val="auto"/>
          <w:sz w:val="24"/>
        </w:rPr>
      </w:pPr>
      <w:r>
        <w:rPr>
          <w:rFonts w:hint="eastAsia" w:ascii="宋体" w:hAnsi="宋体" w:cs="宋体"/>
          <w:color w:val="auto"/>
          <w:sz w:val="24"/>
        </w:rPr>
        <w:t>供应商为自然人的，应当由本人签字；供应商为法人或者其他组织的，应当由法定代表人、主要负责人，或者其授权代表签字或者盖章，并加盖公章。</w:t>
      </w:r>
    </w:p>
    <w:p w14:paraId="55D713BB">
      <w:pPr>
        <w:spacing w:beforeLines="50" w:afterLines="50" w:line="264" w:lineRule="auto"/>
        <w:ind w:firstLine="240" w:firstLineChars="100"/>
        <w:rPr>
          <w:rFonts w:ascii="宋体" w:hAnsi="宋体" w:cs="宋体"/>
          <w:color w:val="auto"/>
        </w:rPr>
      </w:pPr>
      <w:r>
        <w:rPr>
          <w:rFonts w:hint="eastAsia" w:ascii="宋体" w:hAnsi="宋体" w:cs="宋体"/>
          <w:color w:val="auto"/>
          <w:sz w:val="24"/>
        </w:rPr>
        <w:t>40.3.供应商质疑、投诉应当有明确的请求和必要的证明材料。供应商投诉的事项不得超出已质疑事项的范围。采购人及采购代理机构按《政府采购质疑和投诉办法》进行处理供应商质疑事项。</w:t>
      </w:r>
    </w:p>
    <w:p w14:paraId="431BAC53">
      <w:pPr>
        <w:spacing w:beforeLines="50" w:afterLines="50" w:line="264" w:lineRule="auto"/>
        <w:ind w:firstLine="240" w:firstLineChars="100"/>
        <w:rPr>
          <w:rFonts w:ascii="宋体" w:hAnsi="宋体" w:cs="宋体"/>
          <w:color w:val="auto"/>
          <w:sz w:val="24"/>
        </w:rPr>
      </w:pPr>
      <w:r>
        <w:rPr>
          <w:rFonts w:hint="eastAsia" w:ascii="宋体" w:hAnsi="宋体" w:cs="宋体"/>
          <w:color w:val="auto"/>
          <w:sz w:val="24"/>
        </w:rPr>
        <w:t>40.4.质疑供应商对采购人、采购代理机构的质疑答复不满意，或者采购人、采购代理机构未在规定期限内作出答复的，供应商可以在答复期满后15个工作日内向同级财政部门提起投诉。</w:t>
      </w:r>
    </w:p>
    <w:p w14:paraId="0CBF845B">
      <w:pPr>
        <w:pStyle w:val="7"/>
        <w:spacing w:beforeLines="50" w:afterLines="50" w:line="264" w:lineRule="auto"/>
        <w:ind w:firstLine="240" w:firstLineChars="100"/>
        <w:rPr>
          <w:rFonts w:hAnsi="宋体" w:cs="宋体"/>
          <w:color w:val="auto"/>
          <w:sz w:val="24"/>
        </w:rPr>
      </w:pPr>
      <w:r>
        <w:rPr>
          <w:rFonts w:hint="eastAsia" w:hAnsi="宋体" w:cs="宋体"/>
          <w:color w:val="auto"/>
          <w:sz w:val="24"/>
        </w:rPr>
        <w:t>40.5.</w:t>
      </w:r>
      <w:r>
        <w:rPr>
          <w:rFonts w:hint="eastAsia" w:hAnsi="宋体" w:cs="宋体"/>
          <w:b/>
          <w:bCs/>
          <w:color w:val="auto"/>
          <w:sz w:val="24"/>
        </w:rPr>
        <w:t>供应商有下列情形之一的，采购代理机构将报天台县财政局，将其列入不良行为记录名单：</w:t>
      </w:r>
    </w:p>
    <w:p w14:paraId="4996E65C">
      <w:pPr>
        <w:pStyle w:val="7"/>
        <w:spacing w:beforeLines="50" w:afterLines="50" w:line="264" w:lineRule="auto"/>
        <w:ind w:firstLine="480" w:firstLineChars="200"/>
        <w:rPr>
          <w:rFonts w:hAnsi="宋体" w:cs="宋体"/>
          <w:color w:val="auto"/>
          <w:sz w:val="24"/>
        </w:rPr>
      </w:pPr>
      <w:r>
        <w:rPr>
          <w:rFonts w:hint="eastAsia" w:hAnsi="宋体" w:cs="宋体"/>
          <w:color w:val="auto"/>
          <w:sz w:val="24"/>
        </w:rPr>
        <w:t>（一）一年内三次以上质疑均查无实据的；</w:t>
      </w:r>
    </w:p>
    <w:p w14:paraId="43CC3897">
      <w:pPr>
        <w:pStyle w:val="7"/>
        <w:spacing w:beforeLines="50" w:afterLines="50" w:line="264" w:lineRule="auto"/>
        <w:ind w:firstLine="480" w:firstLineChars="200"/>
        <w:rPr>
          <w:rFonts w:hAnsi="宋体" w:cs="宋体"/>
          <w:color w:val="auto"/>
          <w:sz w:val="24"/>
        </w:rPr>
      </w:pPr>
      <w:r>
        <w:rPr>
          <w:rFonts w:hint="eastAsia" w:hAnsi="宋体" w:cs="宋体"/>
          <w:color w:val="auto"/>
          <w:sz w:val="24"/>
        </w:rPr>
        <w:t>（二）捏造事实或者提供虚假质疑材料的。</w:t>
      </w:r>
    </w:p>
    <w:p w14:paraId="19D39F49">
      <w:pPr>
        <w:spacing w:beforeLines="50" w:afterLines="50" w:line="264" w:lineRule="auto"/>
        <w:ind w:firstLine="480" w:firstLineChars="200"/>
        <w:rPr>
          <w:rFonts w:ascii="宋体" w:hAnsi="宋体" w:cs="宋体"/>
          <w:color w:val="auto"/>
        </w:rPr>
      </w:pPr>
      <w:r>
        <w:rPr>
          <w:rFonts w:hint="eastAsia" w:ascii="宋体" w:hAnsi="宋体" w:cs="宋体"/>
          <w:color w:val="auto"/>
          <w:sz w:val="24"/>
        </w:rPr>
        <w:t>（三）以非法手段取得证明材料。证据来源的合法性存在明显疑问，质疑人无法证明其取得方式合法的，视为以非法手段取得证明材料。</w:t>
      </w:r>
    </w:p>
    <w:p w14:paraId="04E23710">
      <w:pPr>
        <w:numPr>
          <w:ilvl w:val="0"/>
          <w:numId w:val="6"/>
        </w:numPr>
        <w:tabs>
          <w:tab w:val="left" w:pos="0"/>
          <w:tab w:val="left" w:pos="420"/>
        </w:tabs>
        <w:snapToGrid w:val="0"/>
        <w:spacing w:beforeLines="50" w:afterLines="50" w:line="264" w:lineRule="auto"/>
        <w:jc w:val="left"/>
        <w:rPr>
          <w:rFonts w:ascii="宋体" w:hAnsi="宋体" w:cs="宋体"/>
          <w:b/>
          <w:color w:val="auto"/>
          <w:sz w:val="24"/>
        </w:rPr>
      </w:pPr>
      <w:r>
        <w:rPr>
          <w:rFonts w:hint="eastAsia" w:ascii="宋体" w:hAnsi="宋体" w:cs="宋体"/>
          <w:b/>
          <w:color w:val="auto"/>
          <w:sz w:val="24"/>
        </w:rPr>
        <w:t>中标公告和中标通知书</w:t>
      </w:r>
    </w:p>
    <w:p w14:paraId="178D2B92">
      <w:pPr>
        <w:pStyle w:val="7"/>
        <w:spacing w:beforeLines="50" w:afterLines="50" w:line="264" w:lineRule="auto"/>
        <w:ind w:firstLine="240" w:firstLineChars="100"/>
        <w:rPr>
          <w:rFonts w:hAnsi="宋体" w:cs="宋体"/>
          <w:color w:val="auto"/>
          <w:sz w:val="24"/>
        </w:rPr>
      </w:pPr>
      <w:r>
        <w:rPr>
          <w:rFonts w:hint="eastAsia" w:hAnsi="宋体" w:cs="宋体"/>
          <w:color w:val="auto"/>
          <w:sz w:val="24"/>
        </w:rPr>
        <w:t>41.1.采购人依法确认中标供应商后，采购代理机构在投标人须知前附表规定的网址公告中标结果，同时向中标供应商发出中标通知书。</w:t>
      </w:r>
    </w:p>
    <w:p w14:paraId="741BD4CA">
      <w:pPr>
        <w:pStyle w:val="7"/>
        <w:spacing w:beforeLines="50" w:afterLines="50" w:line="264" w:lineRule="auto"/>
        <w:ind w:firstLine="240" w:firstLineChars="100"/>
        <w:rPr>
          <w:rFonts w:hAnsi="宋体" w:cs="宋体"/>
          <w:color w:val="auto"/>
          <w:sz w:val="24"/>
        </w:rPr>
      </w:pPr>
      <w:r>
        <w:rPr>
          <w:rFonts w:hint="eastAsia" w:hAnsi="宋体" w:cs="宋体"/>
          <w:color w:val="auto"/>
          <w:sz w:val="24"/>
        </w:rPr>
        <w:t>41.2.中标通知书的领取不妨碍相关质疑投诉的提出和处置，中标结果在法定情形内允许改变。</w:t>
      </w:r>
    </w:p>
    <w:p w14:paraId="619366D5">
      <w:pPr>
        <w:pStyle w:val="7"/>
        <w:spacing w:beforeLines="50" w:afterLines="50" w:line="264" w:lineRule="auto"/>
        <w:ind w:firstLine="240" w:firstLineChars="100"/>
        <w:rPr>
          <w:rFonts w:hAnsi="宋体" w:cs="宋体"/>
          <w:color w:val="auto"/>
        </w:rPr>
      </w:pPr>
      <w:r>
        <w:rPr>
          <w:rFonts w:hint="eastAsia" w:hAnsi="宋体" w:cs="宋体"/>
          <w:color w:val="auto"/>
          <w:sz w:val="24"/>
        </w:rPr>
        <w:t>41.3.中标通知书作为签订合同的重要依据，对采购人和中标供应商均具有法律效力。采购人改变中标结果或者中标供应商放弃中标项目的都应承担法律责任。</w:t>
      </w:r>
    </w:p>
    <w:p w14:paraId="04749426">
      <w:pPr>
        <w:pStyle w:val="7"/>
        <w:spacing w:beforeLines="50" w:afterLines="50" w:line="264" w:lineRule="auto"/>
        <w:jc w:val="center"/>
        <w:outlineLvl w:val="1"/>
        <w:rPr>
          <w:rFonts w:hAnsi="宋体" w:cs="宋体"/>
          <w:b/>
          <w:bCs/>
          <w:color w:val="auto"/>
          <w:sz w:val="30"/>
          <w:szCs w:val="30"/>
        </w:rPr>
      </w:pPr>
      <w:bookmarkStart w:id="26" w:name="_Toc24712"/>
      <w:r>
        <w:rPr>
          <w:rFonts w:hint="eastAsia" w:hAnsi="宋体" w:cs="宋体"/>
          <w:b/>
          <w:bCs/>
          <w:color w:val="auto"/>
          <w:sz w:val="30"/>
          <w:szCs w:val="30"/>
        </w:rPr>
        <w:t>第八节  合同签订及其他</w:t>
      </w:r>
      <w:bookmarkEnd w:id="26"/>
    </w:p>
    <w:p w14:paraId="2703425D">
      <w:pPr>
        <w:numPr>
          <w:ilvl w:val="0"/>
          <w:numId w:val="6"/>
        </w:numPr>
        <w:tabs>
          <w:tab w:val="left" w:pos="0"/>
          <w:tab w:val="left" w:pos="420"/>
        </w:tabs>
        <w:snapToGrid w:val="0"/>
        <w:spacing w:beforeLines="50" w:afterLines="50" w:line="264" w:lineRule="auto"/>
        <w:jc w:val="left"/>
        <w:rPr>
          <w:rFonts w:ascii="宋体" w:hAnsi="宋体" w:cs="宋体"/>
          <w:b/>
          <w:color w:val="auto"/>
          <w:sz w:val="24"/>
        </w:rPr>
      </w:pPr>
      <w:r>
        <w:rPr>
          <w:rFonts w:hint="eastAsia" w:ascii="宋体" w:hAnsi="宋体" w:cs="宋体"/>
          <w:b/>
          <w:color w:val="auto"/>
          <w:sz w:val="24"/>
        </w:rPr>
        <w:t>履约担保</w:t>
      </w:r>
    </w:p>
    <w:p w14:paraId="5869D215">
      <w:pPr>
        <w:tabs>
          <w:tab w:val="left" w:pos="0"/>
          <w:tab w:val="left" w:pos="420"/>
        </w:tabs>
        <w:snapToGrid w:val="0"/>
        <w:spacing w:beforeLines="50" w:afterLines="50" w:line="264" w:lineRule="auto"/>
        <w:ind w:firstLine="241" w:firstLineChars="100"/>
        <w:jc w:val="left"/>
        <w:rPr>
          <w:rFonts w:ascii="宋体" w:hAnsi="宋体" w:cs="宋体"/>
          <w:color w:val="auto"/>
          <w:sz w:val="24"/>
        </w:rPr>
      </w:pPr>
      <w:r>
        <w:rPr>
          <w:rFonts w:hint="eastAsia" w:ascii="宋体" w:hAnsi="宋体" w:cs="宋体"/>
          <w:b/>
          <w:bCs/>
          <w:color w:val="auto"/>
          <w:sz w:val="24"/>
        </w:rPr>
        <w:t>《投标人须知前附表》规定需要提供履约担保的，则应遵守以下规定：</w:t>
      </w:r>
    </w:p>
    <w:p w14:paraId="44E33C51">
      <w:pPr>
        <w:pStyle w:val="7"/>
        <w:spacing w:beforeLines="50" w:afterLines="50" w:line="264" w:lineRule="auto"/>
        <w:ind w:firstLine="240" w:firstLineChars="100"/>
        <w:rPr>
          <w:rFonts w:hAnsi="宋体" w:cs="宋体"/>
          <w:color w:val="auto"/>
          <w:sz w:val="24"/>
        </w:rPr>
      </w:pPr>
      <w:r>
        <w:rPr>
          <w:rFonts w:hint="eastAsia" w:hAnsi="宋体" w:cs="宋体"/>
          <w:color w:val="auto"/>
          <w:sz w:val="24"/>
        </w:rPr>
        <w:t>42.1.中标供应商在领取中标通知书后5个工作日内，向采购人交纳相当于中标价</w:t>
      </w:r>
      <w:r>
        <w:rPr>
          <w:rFonts w:hint="eastAsia" w:hAnsi="宋体" w:cs="宋体"/>
          <w:color w:val="auto"/>
          <w:sz w:val="24"/>
          <w:u w:val="single"/>
        </w:rPr>
        <w:t xml:space="preserve"> 1%</w:t>
      </w:r>
      <w:r>
        <w:rPr>
          <w:rFonts w:hint="eastAsia" w:hAnsi="宋体" w:cs="宋体"/>
          <w:color w:val="auto"/>
          <w:sz w:val="24"/>
        </w:rPr>
        <w:t>的履约保证金（鼓励以银行、保险公司出具的履约保函形式提交；若以电汇、银行转账方式提交的，必须转到采购人的指定账户。）</w:t>
      </w:r>
    </w:p>
    <w:p w14:paraId="768F4ED5">
      <w:pPr>
        <w:pStyle w:val="7"/>
        <w:spacing w:beforeLines="50" w:afterLines="50" w:line="264" w:lineRule="auto"/>
        <w:ind w:firstLine="240" w:firstLineChars="100"/>
        <w:rPr>
          <w:rFonts w:hAnsi="宋体" w:cs="宋体"/>
          <w:color w:val="auto"/>
          <w:sz w:val="28"/>
          <w:szCs w:val="28"/>
        </w:rPr>
      </w:pPr>
      <w:r>
        <w:rPr>
          <w:rFonts w:hint="eastAsia" w:hAnsi="宋体" w:cs="宋体"/>
          <w:color w:val="auto"/>
          <w:sz w:val="24"/>
        </w:rPr>
        <w:t>42.2.签订合同后，如中标供应商不按合同约定履约的，履约保证金不予退还，履约保证金不足以赔偿损失的，按实际损失赔偿。</w:t>
      </w:r>
    </w:p>
    <w:p w14:paraId="10102BA3">
      <w:pPr>
        <w:pStyle w:val="7"/>
        <w:snapToGrid w:val="0"/>
        <w:spacing w:beforeLines="50" w:afterLines="50" w:line="264" w:lineRule="auto"/>
        <w:ind w:firstLine="240" w:firstLineChars="100"/>
        <w:rPr>
          <w:rFonts w:hAnsi="宋体" w:cs="宋体"/>
          <w:color w:val="auto"/>
          <w:sz w:val="24"/>
        </w:rPr>
      </w:pPr>
      <w:r>
        <w:rPr>
          <w:rFonts w:hint="eastAsia" w:hAnsi="宋体" w:cs="宋体"/>
          <w:color w:val="auto"/>
          <w:sz w:val="24"/>
        </w:rPr>
        <w:t>42.4.如果中标供应商在服务期内没有涉及采购人的应付而未付金额或违约行为，采购人在项目终验合格后或提前终止合同后30天内全额无息退还履约保证金。</w:t>
      </w:r>
    </w:p>
    <w:p w14:paraId="32DA628D">
      <w:pPr>
        <w:numPr>
          <w:ilvl w:val="0"/>
          <w:numId w:val="6"/>
        </w:numPr>
        <w:tabs>
          <w:tab w:val="left" w:pos="0"/>
          <w:tab w:val="left" w:pos="420"/>
        </w:tabs>
        <w:snapToGrid w:val="0"/>
        <w:spacing w:beforeLines="50" w:afterLines="50" w:line="264" w:lineRule="auto"/>
        <w:jc w:val="left"/>
        <w:rPr>
          <w:rFonts w:ascii="宋体" w:hAnsi="宋体" w:cs="宋体"/>
          <w:b/>
          <w:color w:val="auto"/>
          <w:sz w:val="24"/>
        </w:rPr>
      </w:pPr>
      <w:r>
        <w:rPr>
          <w:rFonts w:hint="eastAsia" w:ascii="宋体" w:hAnsi="宋体" w:cs="宋体"/>
          <w:b/>
          <w:color w:val="auto"/>
          <w:sz w:val="24"/>
        </w:rPr>
        <w:t>签订合同及公告</w:t>
      </w:r>
    </w:p>
    <w:p w14:paraId="0769970D">
      <w:pPr>
        <w:pStyle w:val="7"/>
        <w:spacing w:beforeLines="50" w:afterLines="50" w:line="264" w:lineRule="auto"/>
        <w:ind w:firstLine="240" w:firstLineChars="100"/>
        <w:rPr>
          <w:rFonts w:hAnsi="宋体" w:cs="宋体"/>
          <w:color w:val="auto"/>
          <w:sz w:val="24"/>
        </w:rPr>
      </w:pPr>
      <w:r>
        <w:rPr>
          <w:rFonts w:hint="eastAsia" w:hAnsi="宋体" w:cs="宋体"/>
          <w:color w:val="auto"/>
          <w:sz w:val="24"/>
        </w:rPr>
        <w:t>43.1.采购人应当自中标通知书发出之日起30日内，按照招标文件和中标人投标文件的规定，与中标人签订书面合同。（鼓励有条件的中标人视情缩减采购合同签订时限，提高采购效率，除特殊情况外，原则上应当在中标通知书发出之日起</w:t>
      </w:r>
      <w:r>
        <w:rPr>
          <w:rFonts w:hint="eastAsia" w:hAnsi="宋体" w:cs="宋体"/>
          <w:b/>
          <w:bCs/>
          <w:color w:val="auto"/>
          <w:sz w:val="24"/>
          <w:u w:val="single"/>
        </w:rPr>
        <w:t xml:space="preserve"> 15日 </w:t>
      </w:r>
      <w:r>
        <w:rPr>
          <w:rFonts w:hint="eastAsia" w:hAnsi="宋体" w:cs="宋体"/>
          <w:color w:val="auto"/>
          <w:sz w:val="24"/>
        </w:rPr>
        <w:t>内签订合同。）</w:t>
      </w:r>
    </w:p>
    <w:p w14:paraId="640BA6B8">
      <w:pPr>
        <w:pStyle w:val="7"/>
        <w:spacing w:beforeLines="50" w:afterLines="50" w:line="264" w:lineRule="auto"/>
        <w:ind w:firstLine="240" w:firstLineChars="100"/>
        <w:rPr>
          <w:rFonts w:hAnsi="宋体" w:cs="宋体"/>
          <w:color w:val="auto"/>
          <w:sz w:val="24"/>
        </w:rPr>
      </w:pPr>
      <w:r>
        <w:rPr>
          <w:rFonts w:hint="eastAsia" w:hAnsi="宋体" w:cs="宋体"/>
          <w:color w:val="auto"/>
          <w:sz w:val="24"/>
        </w:rPr>
        <w:t>43.2.中标供应商拖延、拒签合同的, 取消中标资格，采购人将按《浙江省政府采购供应商注册及诚信管理暂行办法》的规定上报诚信状况。给采购人造成损失的还应当予以赔偿。</w:t>
      </w:r>
    </w:p>
    <w:p w14:paraId="61DF2621">
      <w:pPr>
        <w:pStyle w:val="7"/>
        <w:spacing w:beforeLines="50" w:afterLines="50" w:line="264" w:lineRule="auto"/>
        <w:ind w:firstLine="240" w:firstLineChars="100"/>
        <w:rPr>
          <w:rFonts w:hAnsi="宋体" w:cs="宋体"/>
          <w:color w:val="auto"/>
          <w:sz w:val="24"/>
        </w:rPr>
      </w:pPr>
      <w:r>
        <w:rPr>
          <w:rFonts w:hint="eastAsia" w:hAnsi="宋体" w:cs="宋体"/>
          <w:color w:val="auto"/>
          <w:sz w:val="24"/>
        </w:rPr>
        <w:t>43.3.政府采购合同履行中，采购人需追加与合同标的相同的货物、工程或者服务的，在不改变合同其他条款的前提下，可以与供应商协商签订补充合同，但所有补充合同的采购金额不得超过原合同采购金额的百分之十。</w:t>
      </w:r>
    </w:p>
    <w:p w14:paraId="675126D0">
      <w:pPr>
        <w:pStyle w:val="7"/>
        <w:spacing w:beforeLines="50" w:afterLines="50" w:line="264" w:lineRule="auto"/>
        <w:ind w:firstLine="240" w:firstLineChars="100"/>
        <w:rPr>
          <w:rFonts w:hAnsi="宋体" w:cs="宋体"/>
          <w:color w:val="auto"/>
          <w:sz w:val="24"/>
        </w:rPr>
      </w:pPr>
      <w:r>
        <w:rPr>
          <w:rFonts w:hint="eastAsia" w:hAnsi="宋体" w:cs="宋体"/>
          <w:color w:val="auto"/>
          <w:sz w:val="24"/>
        </w:rPr>
        <w:t>43.4.采购人应当在政府采购合同签订之日起2个工作日内将政府采购合同在省级以上人民政府财政部门指定的媒体上公告，但政府采购合同中涉及国家秘密、商业秘密的内容除外。</w:t>
      </w:r>
    </w:p>
    <w:p w14:paraId="0354FCCA">
      <w:pPr>
        <w:pStyle w:val="7"/>
        <w:spacing w:beforeLines="50" w:afterLines="50" w:line="264" w:lineRule="auto"/>
        <w:ind w:firstLine="240" w:firstLineChars="100"/>
        <w:rPr>
          <w:rFonts w:hAnsi="宋体" w:cs="宋体"/>
          <w:color w:val="auto"/>
          <w:sz w:val="24"/>
        </w:rPr>
      </w:pPr>
      <w:r>
        <w:rPr>
          <w:rFonts w:hint="eastAsia" w:hAnsi="宋体" w:cs="宋体"/>
          <w:color w:val="auto"/>
          <w:sz w:val="24"/>
        </w:rPr>
        <w:t>43.5.采购人应当自政府采购合同签订之日起7个工作日内，将政府采购合同副本报同级人民政府财政部门备案以及采购代理机构存档。</w:t>
      </w:r>
    </w:p>
    <w:p w14:paraId="13DAA730">
      <w:pPr>
        <w:numPr>
          <w:ilvl w:val="0"/>
          <w:numId w:val="6"/>
        </w:numPr>
        <w:tabs>
          <w:tab w:val="left" w:pos="0"/>
          <w:tab w:val="left" w:pos="420"/>
        </w:tabs>
        <w:snapToGrid w:val="0"/>
        <w:spacing w:beforeLines="50" w:afterLines="50" w:line="264" w:lineRule="auto"/>
        <w:jc w:val="left"/>
        <w:rPr>
          <w:rFonts w:ascii="宋体" w:hAnsi="宋体" w:cs="宋体"/>
          <w:b/>
          <w:color w:val="auto"/>
          <w:sz w:val="24"/>
        </w:rPr>
      </w:pPr>
      <w:r>
        <w:rPr>
          <w:rFonts w:hint="eastAsia" w:ascii="宋体" w:hAnsi="宋体" w:cs="宋体"/>
          <w:b/>
          <w:color w:val="auto"/>
          <w:sz w:val="24"/>
        </w:rPr>
        <w:t>履约验收</w:t>
      </w:r>
    </w:p>
    <w:p w14:paraId="519F2254">
      <w:pPr>
        <w:tabs>
          <w:tab w:val="left" w:pos="0"/>
          <w:tab w:val="left" w:pos="420"/>
        </w:tabs>
        <w:snapToGrid w:val="0"/>
        <w:spacing w:beforeLines="50" w:afterLines="50" w:line="264" w:lineRule="auto"/>
        <w:ind w:firstLine="240" w:firstLineChars="100"/>
        <w:jc w:val="left"/>
        <w:rPr>
          <w:rFonts w:ascii="宋体" w:hAnsi="宋体" w:cs="宋体"/>
          <w:bCs/>
          <w:color w:val="auto"/>
          <w:sz w:val="24"/>
        </w:rPr>
      </w:pPr>
      <w:r>
        <w:rPr>
          <w:rFonts w:hint="eastAsia" w:ascii="宋体" w:hAnsi="宋体" w:cs="宋体"/>
          <w:bCs/>
          <w:color w:val="auto"/>
          <w:sz w:val="24"/>
        </w:rPr>
        <w:t>44.1.采购人应当依法组织履约验收工作。</w:t>
      </w:r>
    </w:p>
    <w:p w14:paraId="10992753">
      <w:pPr>
        <w:tabs>
          <w:tab w:val="left" w:pos="0"/>
          <w:tab w:val="left" w:pos="420"/>
        </w:tabs>
        <w:snapToGrid w:val="0"/>
        <w:spacing w:beforeLines="50" w:afterLines="50" w:line="264" w:lineRule="auto"/>
        <w:ind w:firstLine="240" w:firstLineChars="100"/>
        <w:jc w:val="left"/>
        <w:rPr>
          <w:rFonts w:ascii="宋体" w:hAnsi="宋体" w:cs="宋体"/>
          <w:bCs/>
          <w:color w:val="auto"/>
          <w:sz w:val="24"/>
        </w:rPr>
      </w:pPr>
      <w:r>
        <w:rPr>
          <w:rFonts w:hint="eastAsia" w:ascii="宋体" w:hAnsi="宋体" w:cs="宋体"/>
          <w:bCs/>
          <w:color w:val="auto"/>
          <w:sz w:val="24"/>
        </w:rPr>
        <w:t>44.2.服务类项目，可以根据项目特点对服务期内的服务实施情况进行分期考核，结合考核情况和服务效果进行验收。工程类项目应当按照行业管理部门规定的标准、方法和内容进行验收。</w:t>
      </w:r>
    </w:p>
    <w:p w14:paraId="0D45BCEA">
      <w:pPr>
        <w:tabs>
          <w:tab w:val="left" w:pos="0"/>
          <w:tab w:val="left" w:pos="420"/>
        </w:tabs>
        <w:snapToGrid w:val="0"/>
        <w:spacing w:beforeLines="50" w:afterLines="50" w:line="264" w:lineRule="auto"/>
        <w:ind w:firstLine="240" w:firstLineChars="100"/>
        <w:jc w:val="left"/>
        <w:rPr>
          <w:rFonts w:ascii="宋体" w:hAnsi="宋体" w:cs="宋体"/>
          <w:bCs/>
          <w:color w:val="auto"/>
          <w:sz w:val="24"/>
        </w:rPr>
      </w:pPr>
      <w:r>
        <w:rPr>
          <w:rFonts w:hint="eastAsia" w:ascii="宋体" w:hAnsi="宋体" w:cs="宋体"/>
          <w:bCs/>
          <w:color w:val="auto"/>
          <w:sz w:val="24"/>
        </w:rPr>
        <w:t>44.3.采购人可以邀请参加本项目的其他供应商或者第三方专业机构及专家参与验收，相关验收意见作为验收的参考资料。政府向社会公众提供的公共服务项目，验收时应当邀请服务对象参与并出具意见，验收结果应当向社会公告。</w:t>
      </w:r>
    </w:p>
    <w:p w14:paraId="0FEC6160">
      <w:pPr>
        <w:tabs>
          <w:tab w:val="left" w:pos="0"/>
          <w:tab w:val="left" w:pos="420"/>
        </w:tabs>
        <w:snapToGrid w:val="0"/>
        <w:spacing w:beforeLines="50" w:afterLines="50" w:line="264" w:lineRule="auto"/>
        <w:ind w:left="239" w:leftChars="114"/>
        <w:jc w:val="left"/>
        <w:rPr>
          <w:rFonts w:ascii="宋体" w:hAnsi="宋体" w:cs="宋体"/>
          <w:bCs/>
          <w:color w:val="auto"/>
          <w:sz w:val="24"/>
        </w:rPr>
      </w:pPr>
      <w:r>
        <w:rPr>
          <w:rFonts w:hint="eastAsia" w:ascii="宋体" w:hAnsi="宋体" w:cs="宋体"/>
          <w:bCs/>
          <w:color w:val="auto"/>
          <w:sz w:val="24"/>
        </w:rPr>
        <w:t>44.4.采购合同的履行、违约责任和解决争议的方式等适用《中华人民共和国民法典》。</w:t>
      </w:r>
    </w:p>
    <w:p w14:paraId="3FBCD9FD">
      <w:pPr>
        <w:tabs>
          <w:tab w:val="left" w:pos="0"/>
          <w:tab w:val="left" w:pos="420"/>
        </w:tabs>
        <w:snapToGrid w:val="0"/>
        <w:spacing w:beforeLines="50" w:afterLines="50" w:line="264" w:lineRule="auto"/>
        <w:ind w:left="19" w:leftChars="9" w:firstLine="218" w:firstLineChars="91"/>
        <w:jc w:val="left"/>
        <w:rPr>
          <w:rFonts w:ascii="宋体" w:hAnsi="宋体" w:cs="宋体"/>
          <w:bCs/>
          <w:color w:val="auto"/>
          <w:sz w:val="24"/>
        </w:rPr>
      </w:pPr>
      <w:r>
        <w:rPr>
          <w:rFonts w:hint="eastAsia" w:ascii="宋体" w:hAnsi="宋体" w:cs="宋体"/>
          <w:bCs/>
          <w:color w:val="auto"/>
          <w:sz w:val="24"/>
        </w:rPr>
        <w:t>44.5.供应商在履约过程中有政府采购法律法规规定的违法违规情形的，采购人应当及时报告本级财政部门。</w:t>
      </w:r>
    </w:p>
    <w:p w14:paraId="403793C5">
      <w:pPr>
        <w:numPr>
          <w:ilvl w:val="0"/>
          <w:numId w:val="6"/>
        </w:numPr>
        <w:tabs>
          <w:tab w:val="left" w:pos="0"/>
          <w:tab w:val="left" w:pos="420"/>
        </w:tabs>
        <w:snapToGrid w:val="0"/>
        <w:spacing w:beforeLines="50" w:afterLines="50" w:line="264" w:lineRule="auto"/>
        <w:jc w:val="left"/>
        <w:rPr>
          <w:rFonts w:ascii="宋体" w:hAnsi="宋体" w:cs="宋体"/>
          <w:b/>
          <w:color w:val="auto"/>
          <w:sz w:val="24"/>
        </w:rPr>
      </w:pPr>
      <w:r>
        <w:rPr>
          <w:rFonts w:hint="eastAsia" w:ascii="宋体" w:hAnsi="宋体" w:cs="宋体"/>
          <w:b/>
          <w:color w:val="auto"/>
          <w:sz w:val="24"/>
        </w:rPr>
        <w:t>履约检查</w:t>
      </w:r>
    </w:p>
    <w:p w14:paraId="7F0CB3A0">
      <w:pPr>
        <w:tabs>
          <w:tab w:val="left" w:pos="0"/>
          <w:tab w:val="left" w:pos="420"/>
        </w:tabs>
        <w:snapToGrid w:val="0"/>
        <w:spacing w:beforeLines="50" w:afterLines="50" w:line="264" w:lineRule="auto"/>
        <w:ind w:firstLine="240" w:firstLineChars="100"/>
        <w:jc w:val="left"/>
        <w:rPr>
          <w:rFonts w:ascii="宋体" w:hAnsi="宋体" w:cs="宋体"/>
          <w:bCs/>
          <w:color w:val="auto"/>
          <w:sz w:val="24"/>
        </w:rPr>
      </w:pPr>
      <w:r>
        <w:rPr>
          <w:rFonts w:hint="eastAsia" w:ascii="宋体" w:hAnsi="宋体" w:cs="宋体"/>
          <w:bCs/>
          <w:color w:val="auto"/>
          <w:sz w:val="24"/>
        </w:rPr>
        <w:t>45.1.采购机构将联合政府采购监管部门不定期对合同的履约情况进行检查，发现未按合同规定进行履约的，有弄虚作假，偷工减料，以次充好、服务不达标等情形，达不到国家、行业有关标准和采购文件规定或有违采购合同的，一经查实，由政府采购监督管理部门给予相应处罚。</w:t>
      </w:r>
    </w:p>
    <w:p w14:paraId="0F7DE8BD">
      <w:pPr>
        <w:numPr>
          <w:ilvl w:val="0"/>
          <w:numId w:val="6"/>
        </w:numPr>
        <w:tabs>
          <w:tab w:val="left" w:pos="0"/>
          <w:tab w:val="left" w:pos="420"/>
        </w:tabs>
        <w:snapToGrid w:val="0"/>
        <w:spacing w:beforeLines="50" w:afterLines="50" w:line="264" w:lineRule="auto"/>
        <w:jc w:val="left"/>
        <w:rPr>
          <w:rFonts w:ascii="宋体" w:hAnsi="宋体" w:cs="宋体"/>
          <w:b/>
          <w:color w:val="auto"/>
          <w:sz w:val="24"/>
        </w:rPr>
      </w:pPr>
      <w:r>
        <w:rPr>
          <w:rFonts w:hint="eastAsia" w:ascii="宋体" w:hAnsi="宋体" w:cs="宋体"/>
          <w:b/>
          <w:color w:val="auto"/>
          <w:sz w:val="24"/>
        </w:rPr>
        <w:t>解释权</w:t>
      </w:r>
    </w:p>
    <w:p w14:paraId="79C0D88F">
      <w:pPr>
        <w:numPr>
          <w:ilvl w:val="1"/>
          <w:numId w:val="6"/>
        </w:numPr>
        <w:spacing w:beforeLines="50" w:afterLines="50" w:line="264" w:lineRule="auto"/>
        <w:rPr>
          <w:rFonts w:ascii="宋体" w:hAnsi="宋体" w:cs="宋体"/>
          <w:b/>
          <w:bCs/>
          <w:color w:val="auto"/>
          <w:sz w:val="24"/>
        </w:rPr>
      </w:pPr>
      <w:r>
        <w:rPr>
          <w:rFonts w:hint="eastAsia" w:ascii="宋体" w:hAnsi="宋体" w:cs="宋体"/>
          <w:b/>
          <w:bCs/>
          <w:color w:val="auto"/>
          <w:sz w:val="24"/>
        </w:rPr>
        <w:t>本采购文件的解释权属于采购单位和台州市天诚工程造价咨询有限公司。</w:t>
      </w:r>
    </w:p>
    <w:p w14:paraId="00E58783">
      <w:pPr>
        <w:pStyle w:val="3"/>
        <w:rPr>
          <w:color w:val="auto"/>
        </w:rPr>
      </w:pPr>
    </w:p>
    <w:p w14:paraId="080BD3FD">
      <w:pPr>
        <w:rPr>
          <w:color w:val="auto"/>
        </w:rPr>
      </w:pPr>
    </w:p>
    <w:p w14:paraId="6A2AA809">
      <w:pPr>
        <w:pStyle w:val="3"/>
        <w:rPr>
          <w:color w:val="auto"/>
        </w:rPr>
      </w:pPr>
    </w:p>
    <w:p w14:paraId="3771E6F8">
      <w:pPr>
        <w:rPr>
          <w:color w:val="auto"/>
        </w:rPr>
      </w:pPr>
    </w:p>
    <w:p w14:paraId="6B015F16">
      <w:pPr>
        <w:pStyle w:val="3"/>
        <w:rPr>
          <w:color w:val="auto"/>
        </w:rPr>
      </w:pPr>
    </w:p>
    <w:p w14:paraId="1ED0703C">
      <w:pPr>
        <w:rPr>
          <w:color w:val="auto"/>
        </w:rPr>
      </w:pPr>
    </w:p>
    <w:p w14:paraId="6C2B597B">
      <w:pPr>
        <w:spacing w:beforeLines="50" w:afterLines="50" w:line="264" w:lineRule="auto"/>
        <w:rPr>
          <w:rFonts w:ascii="宋体" w:hAnsi="宋体" w:cs="宋体"/>
          <w:b/>
          <w:bCs/>
          <w:color w:val="auto"/>
          <w:sz w:val="24"/>
        </w:rPr>
      </w:pPr>
    </w:p>
    <w:p w14:paraId="6062E6EC">
      <w:pPr>
        <w:spacing w:beforeLines="50" w:afterLines="50" w:line="264" w:lineRule="auto"/>
        <w:rPr>
          <w:rFonts w:ascii="宋体" w:hAnsi="宋体" w:cs="宋体"/>
          <w:b/>
          <w:bCs/>
          <w:color w:val="auto"/>
          <w:sz w:val="24"/>
        </w:rPr>
      </w:pPr>
    </w:p>
    <w:p w14:paraId="6F36314A">
      <w:pPr>
        <w:spacing w:line="400" w:lineRule="exact"/>
        <w:jc w:val="center"/>
        <w:outlineLvl w:val="0"/>
        <w:rPr>
          <w:rFonts w:ascii="宋体" w:hAnsi="宋体" w:cs="宋体"/>
          <w:b/>
          <w:bCs/>
          <w:color w:val="auto"/>
          <w:sz w:val="24"/>
          <w:highlight w:val="yellow"/>
        </w:rPr>
      </w:pPr>
      <w:bookmarkStart w:id="27" w:name="_Toc19885"/>
      <w:r>
        <w:rPr>
          <w:rFonts w:hint="eastAsia" w:ascii="宋体" w:hAnsi="宋体" w:cs="宋体"/>
          <w:b/>
          <w:color w:val="auto"/>
          <w:sz w:val="36"/>
          <w:szCs w:val="44"/>
          <w:highlight w:val="yellow"/>
        </w:rPr>
        <w:t>第三章 招标内容及需求</w:t>
      </w:r>
      <w:bookmarkEnd w:id="27"/>
      <w:bookmarkStart w:id="28" w:name="_Toc98821986"/>
      <w:bookmarkStart w:id="29" w:name="_Toc273284785"/>
    </w:p>
    <w:bookmarkEnd w:id="28"/>
    <w:bookmarkEnd w:id="29"/>
    <w:p w14:paraId="6580EAAB">
      <w:pPr>
        <w:pStyle w:val="60"/>
        <w:spacing w:line="400" w:lineRule="exact"/>
        <w:ind w:left="0" w:firstLine="0"/>
        <w:jc w:val="center"/>
        <w:rPr>
          <w:b/>
          <w:color w:val="auto"/>
          <w:sz w:val="24"/>
          <w:highlight w:val="none"/>
        </w:rPr>
      </w:pPr>
      <w:bookmarkStart w:id="30" w:name="_Toc368140185"/>
      <w:bookmarkStart w:id="31" w:name="_Toc238878121"/>
      <w:bookmarkStart w:id="32" w:name="_Toc274303249"/>
      <w:bookmarkStart w:id="33" w:name="_Toc25841878"/>
      <w:r>
        <w:rPr>
          <w:rFonts w:hint="eastAsia"/>
          <w:b/>
          <w:color w:val="auto"/>
          <w:sz w:val="24"/>
          <w:highlight w:val="none"/>
        </w:rPr>
        <w:t>（</w:t>
      </w:r>
      <w:r>
        <w:rPr>
          <w:rFonts w:hint="eastAsia"/>
          <w:b/>
          <w:color w:val="auto"/>
          <w:sz w:val="24"/>
          <w:highlight w:val="none"/>
          <w:lang w:val="en-US"/>
        </w:rPr>
        <w:t>本章所有</w:t>
      </w:r>
      <w:r>
        <w:rPr>
          <w:rFonts w:hint="eastAsia"/>
          <w:b/>
          <w:color w:val="auto"/>
          <w:sz w:val="24"/>
          <w:highlight w:val="none"/>
        </w:rPr>
        <w:t>条款为实质性响应条款▲，必须满足，否则作无效标处理）</w:t>
      </w:r>
    </w:p>
    <w:p w14:paraId="12C833EB">
      <w:pPr>
        <w:numPr>
          <w:ilvl w:val="0"/>
          <w:numId w:val="13"/>
        </w:numPr>
        <w:snapToGrid w:val="0"/>
        <w:spacing w:line="360" w:lineRule="auto"/>
        <w:jc w:val="left"/>
        <w:rPr>
          <w:rFonts w:ascii="宋体" w:hAnsi="宋体" w:cs="宋体"/>
          <w:b/>
          <w:color w:val="auto"/>
          <w:kern w:val="0"/>
          <w:sz w:val="28"/>
          <w:szCs w:val="22"/>
          <w:highlight w:val="none"/>
        </w:rPr>
      </w:pPr>
      <w:r>
        <w:rPr>
          <w:rFonts w:hint="eastAsia" w:ascii="宋体" w:hAnsi="宋体" w:cs="宋体"/>
          <w:b/>
          <w:color w:val="auto"/>
          <w:kern w:val="0"/>
          <w:sz w:val="28"/>
          <w:szCs w:val="22"/>
          <w:highlight w:val="none"/>
        </w:rPr>
        <w:t>项目概况</w:t>
      </w:r>
    </w:p>
    <w:p w14:paraId="1637B66B">
      <w:pPr>
        <w:spacing w:line="360" w:lineRule="auto"/>
        <w:ind w:firstLine="480" w:firstLineChars="200"/>
        <w:rPr>
          <w:rFonts w:hint="eastAsia" w:ascii="宋体" w:hAnsi="宋体"/>
          <w:color w:val="auto"/>
          <w:kern w:val="0"/>
          <w:sz w:val="24"/>
          <w:highlight w:val="none"/>
        </w:rPr>
      </w:pPr>
      <w:r>
        <w:rPr>
          <w:rFonts w:hint="eastAsia" w:ascii="宋体" w:hAnsi="宋体"/>
          <w:color w:val="auto"/>
          <w:kern w:val="0"/>
          <w:sz w:val="24"/>
          <w:highlight w:val="none"/>
        </w:rPr>
        <w:t>根据省林业局下发的《浙江省林业局关于实施林地占补平衡管理的通知》文（浙林资〔2021〕34 号）和浙江省林业局、浙江省自然资源厅下发的《关于切实做好补充林地库建设管理工作的通知》文（浙林资〔2022〕27 号），设定天台县2025年度补充林地库建设项目，完成2025年度补充林地库建设。</w:t>
      </w:r>
    </w:p>
    <w:p w14:paraId="6E088243">
      <w:pPr>
        <w:numPr>
          <w:ilvl w:val="0"/>
          <w:numId w:val="13"/>
        </w:numPr>
        <w:snapToGrid w:val="0"/>
        <w:spacing w:beforeLines="50" w:line="360" w:lineRule="auto"/>
        <w:jc w:val="left"/>
        <w:rPr>
          <w:rFonts w:ascii="宋体" w:hAnsi="宋体" w:cs="宋体"/>
          <w:b/>
          <w:color w:val="auto"/>
          <w:kern w:val="0"/>
          <w:sz w:val="28"/>
          <w:szCs w:val="22"/>
          <w:highlight w:val="none"/>
        </w:rPr>
      </w:pPr>
      <w:r>
        <w:rPr>
          <w:rFonts w:hint="eastAsia" w:ascii="宋体" w:hAnsi="宋体" w:cs="宋体"/>
          <w:b/>
          <w:color w:val="auto"/>
          <w:kern w:val="0"/>
          <w:sz w:val="28"/>
          <w:szCs w:val="22"/>
          <w:highlight w:val="none"/>
        </w:rPr>
        <w:t>采购内容</w:t>
      </w:r>
    </w:p>
    <w:p w14:paraId="4E66F7A1">
      <w:pPr>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1.数据整理</w:t>
      </w:r>
    </w:p>
    <w:p w14:paraId="26CD620B">
      <w:pPr>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以第三次全国国土调查及最新年度国土变更调查成果为依据，对符合条件的图斑进行初步筛选整理，构建拟补充林地矢量数据库。</w:t>
      </w:r>
    </w:p>
    <w:p w14:paraId="784711BE">
      <w:pPr>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2.调查核实</w:t>
      </w:r>
    </w:p>
    <w:p w14:paraId="728F800B">
      <w:pPr>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对拟补充林地组织开展现地调查核实，运用掌上林业采集板、国土云调查App勾绘地块位置，填写补充林地调查表，拍摄现场照片，按照调查要求新增林地小班，完善小班调查因子信息，上传矢量数据。</w:t>
      </w:r>
    </w:p>
    <w:p w14:paraId="20E9EE76">
      <w:pPr>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3.编制方案</w:t>
      </w:r>
    </w:p>
    <w:p w14:paraId="3CA5BAC4">
      <w:pPr>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组织编制补充林地方案，方案内容应包括《补充林地入库申请表》、补充林地调查情况（文字综述和调查汇总表）、补充林地现状图和现地照片（每个地块3张）、补充林地矢量数据。方案中制图要求参照《浙江省建设项目使用林地现状调查报告（表）编制规范》。补充林地方案征求同级自然资源部门意见后，报县级人民政府审核确认。</w:t>
      </w:r>
    </w:p>
    <w:p w14:paraId="5E64F77C">
      <w:pPr>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4.上图入库</w:t>
      </w:r>
    </w:p>
    <w:p w14:paraId="4024BD4D">
      <w:pPr>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补充林地库建设按照要求，统一在浙江省林地管理系统、掌上林业采集版 APP“林地占补管理”模块以及国土云调查App上完成“上图入库”工作，完成建库后数据更新。</w:t>
      </w:r>
    </w:p>
    <w:p w14:paraId="4EFD5D68">
      <w:pPr>
        <w:numPr>
          <w:ilvl w:val="0"/>
          <w:numId w:val="13"/>
        </w:numPr>
        <w:snapToGrid w:val="0"/>
        <w:spacing w:beforeLines="50" w:line="360" w:lineRule="auto"/>
        <w:jc w:val="left"/>
        <w:rPr>
          <w:rFonts w:ascii="宋体" w:hAnsi="宋体" w:cs="宋体"/>
          <w:b/>
          <w:color w:val="auto"/>
          <w:kern w:val="0"/>
          <w:sz w:val="28"/>
          <w:szCs w:val="22"/>
          <w:highlight w:val="none"/>
        </w:rPr>
      </w:pPr>
      <w:bookmarkStart w:id="34" w:name="_Toc16331"/>
      <w:bookmarkStart w:id="35" w:name="_Toc4361"/>
      <w:bookmarkStart w:id="36" w:name="_Toc21005"/>
      <w:r>
        <w:rPr>
          <w:rFonts w:hint="eastAsia" w:ascii="宋体" w:hAnsi="宋体" w:cs="宋体"/>
          <w:b/>
          <w:color w:val="auto"/>
          <w:kern w:val="0"/>
          <w:sz w:val="28"/>
          <w:szCs w:val="22"/>
          <w:highlight w:val="none"/>
        </w:rPr>
        <w:t>项目依据及技术标准</w:t>
      </w:r>
      <w:bookmarkEnd w:id="34"/>
      <w:bookmarkEnd w:id="35"/>
      <w:bookmarkEnd w:id="36"/>
    </w:p>
    <w:p w14:paraId="627754C1">
      <w:pPr>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《国家林业和草原局关于支持浙江共建林业践行绿水青山就是金山银山理念先行省、推动共同富裕示范区建设的若干措施》（林函规字〔2021〕62号）；</w:t>
      </w:r>
    </w:p>
    <w:p w14:paraId="63434389">
      <w:pPr>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《自然资源部国家林业和草原局关于在国土空间规划中明确造林绿化空间的通知》（自然资发〔2021〕198号）；</w:t>
      </w:r>
    </w:p>
    <w:p w14:paraId="498424C7">
      <w:pPr>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《国家林业和草原局关于开展“十四五”期间占用林地定额测算和推进新一轮林地保护利用规划编制工作的通知》（林资发〔2021〕87号）；</w:t>
      </w:r>
    </w:p>
    <w:p w14:paraId="718269A0">
      <w:pPr>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《浙江省林业局关于实施林地占补平衡管理的通知》（浙林资〔2021〕34号）；</w:t>
      </w:r>
    </w:p>
    <w:p w14:paraId="07523AE1">
      <w:pPr>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《浙江省林业局 浙江省自然资源厅关于切实做好补充林地库建设管理工作的通知》（浙林资〔2022〕27号）；</w:t>
      </w:r>
    </w:p>
    <w:p w14:paraId="282A97C3">
      <w:pPr>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《浙江省林地定额管理办法》。</w:t>
      </w:r>
    </w:p>
    <w:p w14:paraId="75C041C8">
      <w:pPr>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上述技术标准和规范如与国家、国际最新标准相抵触或未能罗列完全时，应以国家、国际最新标准为依据。</w:t>
      </w:r>
    </w:p>
    <w:p w14:paraId="5A7CE209">
      <w:pPr>
        <w:numPr>
          <w:ilvl w:val="0"/>
          <w:numId w:val="13"/>
        </w:numPr>
        <w:snapToGrid w:val="0"/>
        <w:spacing w:beforeLines="50" w:line="360" w:lineRule="auto"/>
        <w:jc w:val="left"/>
        <w:rPr>
          <w:rFonts w:ascii="宋体" w:hAnsi="宋体" w:cs="宋体"/>
          <w:b/>
          <w:color w:val="auto"/>
          <w:kern w:val="0"/>
          <w:sz w:val="28"/>
          <w:szCs w:val="22"/>
          <w:highlight w:val="none"/>
        </w:rPr>
      </w:pPr>
      <w:r>
        <w:rPr>
          <w:rFonts w:hint="eastAsia" w:ascii="宋体" w:hAnsi="宋体" w:cs="宋体"/>
          <w:b/>
          <w:color w:val="auto"/>
          <w:kern w:val="0"/>
          <w:sz w:val="28"/>
          <w:szCs w:val="22"/>
          <w:highlight w:val="none"/>
        </w:rPr>
        <w:t>项目成果要求</w:t>
      </w:r>
    </w:p>
    <w:p w14:paraId="509C0C7D">
      <w:pPr>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编制补充林地方案，包括《补充林地入库申请表》、补充林地调查情况（文字综述和调查汇总表）、补充林地现状图和现地照片（每个地块3张）、补充林地矢量数据。</w:t>
      </w:r>
    </w:p>
    <w:p w14:paraId="1C91840D">
      <w:pPr>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上图入库，在浙江省林地管理系统以及掌上林业采集版 APP“林地占补管理”模块上完成“上图入库”。</w:t>
      </w:r>
      <w:r>
        <w:rPr>
          <w:rFonts w:ascii="宋体" w:hAnsi="宋体"/>
          <w:color w:val="auto"/>
          <w:kern w:val="0"/>
          <w:sz w:val="24"/>
          <w:highlight w:val="none"/>
        </w:rPr>
        <w:t xml:space="preserve"> </w:t>
      </w:r>
    </w:p>
    <w:p w14:paraId="32E5147A">
      <w:pPr>
        <w:numPr>
          <w:ilvl w:val="0"/>
          <w:numId w:val="13"/>
        </w:numPr>
        <w:snapToGrid w:val="0"/>
        <w:spacing w:beforeLines="50" w:line="360" w:lineRule="auto"/>
        <w:jc w:val="left"/>
        <w:rPr>
          <w:rFonts w:ascii="宋体" w:hAnsi="宋体" w:cs="宋体"/>
          <w:b/>
          <w:color w:val="auto"/>
          <w:kern w:val="0"/>
          <w:sz w:val="28"/>
          <w:szCs w:val="22"/>
          <w:highlight w:val="none"/>
        </w:rPr>
      </w:pPr>
      <w:r>
        <w:rPr>
          <w:rFonts w:hint="eastAsia" w:ascii="宋体" w:hAnsi="宋体" w:cs="宋体"/>
          <w:b/>
          <w:color w:val="auto"/>
          <w:kern w:val="0"/>
          <w:sz w:val="28"/>
          <w:szCs w:val="22"/>
          <w:highlight w:val="none"/>
        </w:rPr>
        <w:t>服务期限及质量要求</w:t>
      </w:r>
    </w:p>
    <w:p w14:paraId="0F45384C">
      <w:pPr>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于2025年12月31日前完成建设补充林地库工作，项目成果须通过省、市林业主管部门审核，成果质量须满足浙江省林业局的相关要求。</w:t>
      </w:r>
    </w:p>
    <w:p w14:paraId="4C639B2E">
      <w:pPr>
        <w:numPr>
          <w:ilvl w:val="0"/>
          <w:numId w:val="13"/>
        </w:numPr>
        <w:snapToGrid w:val="0"/>
        <w:spacing w:beforeLines="50" w:line="360" w:lineRule="auto"/>
        <w:jc w:val="left"/>
        <w:rPr>
          <w:rFonts w:ascii="宋体" w:hAnsi="宋体" w:cs="宋体"/>
          <w:b/>
          <w:color w:val="auto"/>
          <w:kern w:val="0"/>
          <w:sz w:val="28"/>
          <w:szCs w:val="22"/>
          <w:highlight w:val="none"/>
        </w:rPr>
      </w:pPr>
      <w:r>
        <w:rPr>
          <w:rFonts w:hint="eastAsia" w:ascii="宋体" w:hAnsi="宋体" w:cs="宋体"/>
          <w:b/>
          <w:color w:val="auto"/>
          <w:kern w:val="0"/>
          <w:sz w:val="28"/>
          <w:szCs w:val="22"/>
          <w:highlight w:val="none"/>
        </w:rPr>
        <w:t>其它要求</w:t>
      </w:r>
    </w:p>
    <w:p w14:paraId="5E3D9FB8">
      <w:pPr>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1.保密要求</w:t>
      </w:r>
    </w:p>
    <w:p w14:paraId="5D4DF900">
      <w:pPr>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（1）建立严格的保密制度，供应商当加强对工作人员的保密管理及保密知识教育。</w:t>
      </w:r>
    </w:p>
    <w:p w14:paraId="34FC6CEB">
      <w:pPr>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（2）供应商须承担与此有关的技术情报和数据资料的保密责任。与本项目有关的资料及数据成果中涉及国家秘密的内容，均要求按照《国家保密法》及相关法律法规执行。</w:t>
      </w:r>
    </w:p>
    <w:p w14:paraId="3E2DD3F0">
      <w:pPr>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2.验收标准</w:t>
      </w:r>
    </w:p>
    <w:p w14:paraId="6A089E7E">
      <w:pPr>
        <w:snapToGrid w:val="0"/>
        <w:spacing w:line="440" w:lineRule="exact"/>
        <w:rPr>
          <w:rFonts w:hint="eastAsia"/>
          <w:color w:val="auto"/>
          <w:kern w:val="0"/>
          <w:sz w:val="24"/>
          <w:highlight w:val="none"/>
        </w:rPr>
      </w:pPr>
      <w:r>
        <w:rPr>
          <w:rFonts w:hint="eastAsia"/>
          <w:color w:val="auto"/>
          <w:kern w:val="0"/>
          <w:sz w:val="24"/>
          <w:highlight w:val="none"/>
        </w:rPr>
        <w:t xml:space="preserve">     根据中华人民共和国及浙江省现行技术标准，按招标文件以及合同规定质量和时间要求及时提交成果，成果以省局审核通过即为合格，不再另行组织验收。</w:t>
      </w:r>
    </w:p>
    <w:p w14:paraId="548DF8D3">
      <w:pPr>
        <w:numPr>
          <w:ilvl w:val="0"/>
          <w:numId w:val="13"/>
        </w:numPr>
        <w:snapToGrid w:val="0"/>
        <w:spacing w:beforeLines="50" w:line="360" w:lineRule="auto"/>
        <w:jc w:val="left"/>
        <w:rPr>
          <w:rFonts w:ascii="宋体" w:hAnsi="宋体" w:cs="宋体"/>
          <w:b/>
          <w:color w:val="auto"/>
          <w:kern w:val="0"/>
          <w:sz w:val="28"/>
          <w:szCs w:val="22"/>
        </w:rPr>
      </w:pPr>
      <w:r>
        <w:rPr>
          <w:rFonts w:hint="eastAsia" w:ascii="宋体" w:hAnsi="宋体" w:cs="宋体"/>
          <w:b/>
          <w:color w:val="auto"/>
          <w:kern w:val="0"/>
          <w:sz w:val="28"/>
          <w:szCs w:val="22"/>
        </w:rPr>
        <w:t>付款方式</w:t>
      </w:r>
    </w:p>
    <w:p w14:paraId="266B3C45">
      <w:pPr>
        <w:spacing w:line="360" w:lineRule="auto"/>
        <w:ind w:firstLine="480" w:firstLineChars="200"/>
        <w:rPr>
          <w:rFonts w:ascii="宋体" w:hAnsi="宋体"/>
          <w:color w:val="auto"/>
          <w:kern w:val="0"/>
          <w:sz w:val="24"/>
        </w:rPr>
      </w:pPr>
      <w:r>
        <w:rPr>
          <w:rFonts w:hint="eastAsia" w:ascii="宋体" w:hAnsi="宋体"/>
          <w:color w:val="auto"/>
          <w:kern w:val="0"/>
          <w:sz w:val="24"/>
        </w:rPr>
        <w:t>合同生效及具备实施条件后7个工作日内支付合同金额的50%作为预付款，</w:t>
      </w:r>
      <w:r>
        <w:rPr>
          <w:rFonts w:hint="eastAsia" w:ascii="宋体" w:hAnsi="宋体"/>
          <w:color w:val="auto"/>
          <w:kern w:val="0"/>
          <w:sz w:val="24"/>
        </w:rPr>
        <w:t>待项目全部完成提交成果并通过验收后1个月内付至合同价的100%。中标人需提供正式发票。</w:t>
      </w:r>
    </w:p>
    <w:p w14:paraId="373E260C">
      <w:pPr>
        <w:spacing w:line="360" w:lineRule="auto"/>
        <w:ind w:firstLine="480" w:firstLineChars="200"/>
        <w:rPr>
          <w:rFonts w:ascii="宋体" w:hAnsi="宋体"/>
          <w:color w:val="auto"/>
          <w:kern w:val="0"/>
          <w:sz w:val="24"/>
        </w:rPr>
      </w:pPr>
      <w:r>
        <w:rPr>
          <w:rFonts w:hint="eastAsia" w:ascii="宋体" w:hAnsi="宋体"/>
          <w:color w:val="auto"/>
          <w:kern w:val="0"/>
          <w:sz w:val="24"/>
        </w:rPr>
        <w:t>（在签订合同时，供应商明确表示无需预付款或者主动要求降低预付款比例的，采购合同可不适用前述规定。采购人在向供应商支付预付款之前，有权要求供应商向采购人提供与预付款金额相对应的担保措施，担保措施可以是银行、保险公司等金融机构出具的预付款保函或其他担保措施。）</w:t>
      </w:r>
    </w:p>
    <w:bookmarkEnd w:id="30"/>
    <w:bookmarkEnd w:id="31"/>
    <w:bookmarkEnd w:id="32"/>
    <w:bookmarkEnd w:id="33"/>
    <w:p w14:paraId="72C92E25">
      <w:pPr>
        <w:numPr>
          <w:ilvl w:val="0"/>
          <w:numId w:val="14"/>
        </w:numPr>
        <w:spacing w:beforeLines="200" w:line="400" w:lineRule="exact"/>
        <w:jc w:val="center"/>
        <w:outlineLvl w:val="0"/>
        <w:rPr>
          <w:rFonts w:ascii="宋体" w:hAnsi="宋体" w:cs="宋体"/>
          <w:b/>
          <w:color w:val="auto"/>
          <w:sz w:val="36"/>
          <w:szCs w:val="44"/>
        </w:rPr>
      </w:pPr>
      <w:bookmarkStart w:id="37" w:name="_Toc16642"/>
      <w:r>
        <w:rPr>
          <w:rFonts w:hint="eastAsia" w:ascii="宋体" w:hAnsi="宋体" w:cs="宋体"/>
          <w:b/>
          <w:color w:val="auto"/>
          <w:sz w:val="36"/>
          <w:szCs w:val="44"/>
        </w:rPr>
        <w:t>合同主要条款</w:t>
      </w:r>
      <w:bookmarkEnd w:id="37"/>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0"/>
      </w:tblGrid>
      <w:tr w14:paraId="2AC70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8280" w:type="dxa"/>
          </w:tcPr>
          <w:p w14:paraId="3F67C556">
            <w:pPr>
              <w:snapToGrid w:val="0"/>
              <w:spacing w:beforeLines="50" w:afterLines="50" w:line="400" w:lineRule="exact"/>
              <w:rPr>
                <w:rFonts w:ascii="宋体" w:hAnsi="宋体" w:cs="宋体"/>
                <w:bCs/>
                <w:snapToGrid w:val="0"/>
                <w:color w:val="auto"/>
                <w:kern w:val="0"/>
                <w:sz w:val="24"/>
              </w:rPr>
            </w:pPr>
            <w:r>
              <w:rPr>
                <w:rFonts w:hint="eastAsia" w:ascii="宋体" w:hAnsi="宋体" w:cs="宋体"/>
                <w:bCs/>
                <w:snapToGrid w:val="0"/>
                <w:color w:val="auto"/>
                <w:kern w:val="0"/>
                <w:sz w:val="24"/>
              </w:rPr>
              <w:t>注释：本格式条款仅作为双方签订合同的参考，为阐明各方的权利和义务，经协商后可相应修改，但不得与采购文件、投标文件的实质性内容相背离。</w:t>
            </w:r>
          </w:p>
        </w:tc>
      </w:tr>
    </w:tbl>
    <w:p w14:paraId="2465A42C">
      <w:pPr>
        <w:pStyle w:val="13"/>
        <w:rPr>
          <w:rFonts w:hAnsi="宋体" w:cs="宋体"/>
          <w:color w:val="auto"/>
        </w:rPr>
      </w:pPr>
    </w:p>
    <w:p w14:paraId="04267ACE">
      <w:pPr>
        <w:tabs>
          <w:tab w:val="left" w:pos="3112"/>
        </w:tabs>
        <w:spacing w:line="360" w:lineRule="auto"/>
        <w:jc w:val="left"/>
        <w:rPr>
          <w:rFonts w:ascii="宋体" w:hAnsi="宋体" w:cs="宋体"/>
          <w:color w:val="auto"/>
          <w:sz w:val="30"/>
        </w:rPr>
      </w:pPr>
      <w:r>
        <w:rPr>
          <w:rFonts w:hint="eastAsia" w:ascii="宋体" w:hAnsi="宋体" w:cs="宋体"/>
          <w:color w:val="auto"/>
          <w:sz w:val="30"/>
        </w:rPr>
        <w:t>合同登记编号：</w:t>
      </w:r>
    </w:p>
    <w:p w14:paraId="4B95A1E8">
      <w:pPr>
        <w:jc w:val="left"/>
        <w:rPr>
          <w:rFonts w:ascii="宋体" w:hAnsi="宋体" w:cs="宋体"/>
          <w:color w:val="auto"/>
        </w:rPr>
      </w:pPr>
    </w:p>
    <w:p w14:paraId="3474C539">
      <w:pPr>
        <w:jc w:val="left"/>
        <w:rPr>
          <w:rFonts w:ascii="宋体" w:hAnsi="宋体" w:cs="宋体"/>
          <w:color w:val="auto"/>
        </w:rPr>
      </w:pPr>
    </w:p>
    <w:p w14:paraId="71217B8E">
      <w:pPr>
        <w:pStyle w:val="42"/>
        <w:rPr>
          <w:rFonts w:ascii="宋体" w:hAnsi="宋体" w:cs="宋体"/>
          <w:color w:val="auto"/>
        </w:rPr>
      </w:pPr>
    </w:p>
    <w:p w14:paraId="18B505ED">
      <w:pPr>
        <w:pStyle w:val="13"/>
        <w:rPr>
          <w:rFonts w:hAnsi="宋体" w:cs="宋体"/>
          <w:color w:val="auto"/>
        </w:rPr>
      </w:pPr>
    </w:p>
    <w:p w14:paraId="746FA8F0">
      <w:pPr>
        <w:rPr>
          <w:rFonts w:ascii="宋体" w:hAnsi="宋体" w:cs="宋体"/>
          <w:color w:val="auto"/>
        </w:rPr>
      </w:pPr>
    </w:p>
    <w:p w14:paraId="6E521315">
      <w:pPr>
        <w:pStyle w:val="13"/>
        <w:ind w:firstLine="0"/>
        <w:rPr>
          <w:rFonts w:hAnsi="宋体" w:cs="宋体"/>
          <w:color w:val="auto"/>
        </w:rPr>
      </w:pPr>
    </w:p>
    <w:p w14:paraId="68F437D4">
      <w:pPr>
        <w:jc w:val="left"/>
        <w:rPr>
          <w:rFonts w:ascii="宋体" w:hAnsi="宋体" w:cs="宋体"/>
          <w:color w:val="auto"/>
        </w:rPr>
      </w:pPr>
    </w:p>
    <w:p w14:paraId="42C37493">
      <w:pPr>
        <w:jc w:val="center"/>
        <w:rPr>
          <w:rFonts w:ascii="宋体" w:hAnsi="宋体" w:cs="宋体"/>
          <w:b/>
          <w:bCs/>
          <w:color w:val="auto"/>
          <w:spacing w:val="60"/>
          <w:sz w:val="44"/>
          <w:szCs w:val="44"/>
        </w:rPr>
      </w:pPr>
      <w:r>
        <w:rPr>
          <w:rFonts w:hint="eastAsia" w:ascii="宋体" w:hAnsi="宋体" w:cs="宋体"/>
          <w:b/>
          <w:bCs/>
          <w:color w:val="auto"/>
          <w:spacing w:val="60"/>
          <w:sz w:val="44"/>
          <w:szCs w:val="44"/>
        </w:rPr>
        <w:t>技 术 服 务 合 同 书</w:t>
      </w:r>
    </w:p>
    <w:p w14:paraId="28B9E9D6">
      <w:pPr>
        <w:jc w:val="center"/>
        <w:outlineLvl w:val="0"/>
        <w:rPr>
          <w:rFonts w:ascii="宋体" w:hAnsi="宋体" w:cs="宋体"/>
          <w:color w:val="auto"/>
          <w:sz w:val="30"/>
        </w:rPr>
      </w:pPr>
    </w:p>
    <w:p w14:paraId="1F4D909C">
      <w:pPr>
        <w:jc w:val="left"/>
        <w:rPr>
          <w:rFonts w:ascii="宋体" w:hAnsi="宋体" w:cs="宋体"/>
          <w:color w:val="auto"/>
        </w:rPr>
      </w:pPr>
    </w:p>
    <w:p w14:paraId="4C8557A1">
      <w:pPr>
        <w:pStyle w:val="42"/>
        <w:rPr>
          <w:rFonts w:ascii="宋体" w:hAnsi="宋体" w:cs="宋体"/>
          <w:color w:val="auto"/>
        </w:rPr>
      </w:pPr>
    </w:p>
    <w:p w14:paraId="1F1D376C">
      <w:pPr>
        <w:pStyle w:val="2"/>
        <w:rPr>
          <w:rFonts w:ascii="宋体" w:hAnsi="宋体" w:cs="宋体"/>
          <w:color w:val="auto"/>
        </w:rPr>
      </w:pPr>
    </w:p>
    <w:p w14:paraId="2DEBC6B6">
      <w:pPr>
        <w:spacing w:beforeLines="50" w:line="480" w:lineRule="auto"/>
        <w:ind w:left="1946" w:leftChars="284" w:hanging="1350" w:hangingChars="450"/>
        <w:jc w:val="left"/>
        <w:rPr>
          <w:rFonts w:ascii="宋体" w:hAnsi="宋体" w:cs="宋体"/>
          <w:color w:val="auto"/>
          <w:sz w:val="30"/>
          <w:szCs w:val="30"/>
          <w:u w:val="single"/>
        </w:rPr>
      </w:pPr>
      <w:r>
        <w:rPr>
          <w:rFonts w:hint="eastAsia" w:ascii="宋体" w:hAnsi="宋体" w:cs="宋体"/>
          <w:color w:val="auto"/>
          <w:sz w:val="30"/>
        </w:rPr>
        <w:t>项目名称：</w:t>
      </w:r>
      <w:r>
        <w:rPr>
          <w:rFonts w:hint="eastAsia" w:ascii="宋体" w:hAnsi="宋体" w:cs="宋体"/>
          <w:color w:val="auto"/>
          <w:sz w:val="30"/>
          <w:szCs w:val="30"/>
          <w:u w:val="single"/>
        </w:rPr>
        <w:t>天台县2025年度补充林地库建设项目</w:t>
      </w:r>
    </w:p>
    <w:p w14:paraId="42B7736A">
      <w:pPr>
        <w:spacing w:line="480" w:lineRule="auto"/>
        <w:jc w:val="left"/>
        <w:rPr>
          <w:rFonts w:ascii="宋体" w:hAnsi="宋体" w:cs="宋体"/>
          <w:color w:val="auto"/>
          <w:sz w:val="30"/>
        </w:rPr>
      </w:pPr>
    </w:p>
    <w:p w14:paraId="60019CFE">
      <w:pPr>
        <w:spacing w:line="480" w:lineRule="auto"/>
        <w:ind w:firstLine="600" w:firstLineChars="200"/>
        <w:jc w:val="left"/>
        <w:rPr>
          <w:rFonts w:ascii="宋体" w:hAnsi="宋体" w:cs="宋体"/>
          <w:color w:val="auto"/>
          <w:sz w:val="30"/>
        </w:rPr>
      </w:pPr>
      <w:r>
        <w:rPr>
          <w:rFonts w:hint="eastAsia" w:ascii="宋体" w:hAnsi="宋体" w:cs="宋体"/>
          <w:color w:val="auto"/>
          <w:sz w:val="30"/>
        </w:rPr>
        <w:t>委 托 方：</w:t>
      </w:r>
      <w:r>
        <w:rPr>
          <w:rFonts w:hint="eastAsia" w:ascii="宋体" w:hAnsi="宋体" w:cs="宋体"/>
          <w:color w:val="auto"/>
          <w:sz w:val="30"/>
          <w:szCs w:val="30"/>
          <w:u w:val="single"/>
        </w:rPr>
        <w:t xml:space="preserve">天台县自然资源和规划局 </w:t>
      </w:r>
    </w:p>
    <w:p w14:paraId="1AEC47DC">
      <w:pPr>
        <w:spacing w:line="480" w:lineRule="auto"/>
        <w:ind w:firstLine="600" w:firstLineChars="200"/>
        <w:jc w:val="left"/>
        <w:rPr>
          <w:rFonts w:ascii="宋体" w:hAnsi="宋体" w:cs="宋体"/>
          <w:color w:val="auto"/>
          <w:sz w:val="30"/>
        </w:rPr>
      </w:pPr>
      <w:r>
        <w:rPr>
          <w:rFonts w:hint="eastAsia" w:ascii="宋体" w:hAnsi="宋体" w:cs="宋体"/>
          <w:color w:val="auto"/>
          <w:sz w:val="30"/>
        </w:rPr>
        <w:t>（甲方）</w:t>
      </w:r>
    </w:p>
    <w:p w14:paraId="480335ED">
      <w:pPr>
        <w:spacing w:line="480" w:lineRule="auto"/>
        <w:ind w:firstLine="600" w:firstLineChars="200"/>
        <w:jc w:val="left"/>
        <w:rPr>
          <w:rFonts w:ascii="宋体" w:hAnsi="宋体" w:cs="宋体"/>
          <w:color w:val="auto"/>
          <w:sz w:val="30"/>
          <w:u w:val="single"/>
        </w:rPr>
      </w:pPr>
      <w:r>
        <w:rPr>
          <w:rFonts w:hint="eastAsia" w:ascii="宋体" w:hAnsi="宋体" w:cs="宋体"/>
          <w:color w:val="auto"/>
          <w:sz w:val="30"/>
        </w:rPr>
        <w:t>承 担 方：</w:t>
      </w:r>
      <w:r>
        <w:rPr>
          <w:rFonts w:hint="eastAsia" w:ascii="宋体" w:hAnsi="宋体" w:cs="宋体"/>
          <w:color w:val="auto"/>
          <w:spacing w:val="-20"/>
          <w:sz w:val="30"/>
          <w:szCs w:val="30"/>
          <w:u w:val="single"/>
        </w:rPr>
        <w:t xml:space="preserve">                           </w:t>
      </w:r>
    </w:p>
    <w:p w14:paraId="6A076533">
      <w:pPr>
        <w:spacing w:line="480" w:lineRule="auto"/>
        <w:ind w:firstLine="600" w:firstLineChars="200"/>
        <w:jc w:val="left"/>
        <w:rPr>
          <w:rFonts w:ascii="宋体" w:hAnsi="宋体" w:cs="宋体"/>
          <w:color w:val="auto"/>
          <w:sz w:val="30"/>
        </w:rPr>
      </w:pPr>
      <w:r>
        <w:rPr>
          <w:rFonts w:hint="eastAsia" w:ascii="宋体" w:hAnsi="宋体" w:cs="宋体"/>
          <w:color w:val="auto"/>
          <w:sz w:val="30"/>
        </w:rPr>
        <w:t>（乙方）</w:t>
      </w:r>
    </w:p>
    <w:p w14:paraId="14B48990">
      <w:pPr>
        <w:spacing w:line="360" w:lineRule="auto"/>
        <w:jc w:val="left"/>
        <w:rPr>
          <w:rFonts w:ascii="宋体" w:hAnsi="宋体" w:cs="宋体"/>
          <w:color w:val="auto"/>
        </w:rPr>
      </w:pPr>
    </w:p>
    <w:p w14:paraId="6023C026">
      <w:pPr>
        <w:rPr>
          <w:rFonts w:ascii="宋体" w:hAnsi="宋体" w:cs="宋体"/>
          <w:color w:val="auto"/>
        </w:rPr>
      </w:pPr>
    </w:p>
    <w:p w14:paraId="5C887B98">
      <w:pPr>
        <w:pStyle w:val="13"/>
        <w:rPr>
          <w:rFonts w:hAnsi="宋体" w:cs="宋体"/>
          <w:color w:val="auto"/>
        </w:rPr>
      </w:pPr>
    </w:p>
    <w:p w14:paraId="30084989">
      <w:pPr>
        <w:rPr>
          <w:rFonts w:ascii="宋体" w:hAnsi="宋体" w:cs="宋体"/>
          <w:color w:val="auto"/>
        </w:rPr>
      </w:pPr>
    </w:p>
    <w:p w14:paraId="781D3BCB">
      <w:pPr>
        <w:pStyle w:val="13"/>
        <w:rPr>
          <w:rFonts w:hAnsi="宋体" w:cs="宋体"/>
          <w:color w:val="auto"/>
        </w:rPr>
      </w:pPr>
    </w:p>
    <w:p w14:paraId="7DB6A4FD">
      <w:pPr>
        <w:rPr>
          <w:rFonts w:ascii="宋体" w:hAnsi="宋体" w:cs="宋体"/>
          <w:color w:val="auto"/>
        </w:rPr>
      </w:pPr>
    </w:p>
    <w:p w14:paraId="283B22F4">
      <w:pPr>
        <w:pStyle w:val="30"/>
        <w:rPr>
          <w:rFonts w:ascii="宋体" w:hAnsi="宋体" w:cs="宋体"/>
          <w:color w:val="auto"/>
        </w:rPr>
      </w:pPr>
    </w:p>
    <w:p w14:paraId="2EBD5F6C">
      <w:pPr>
        <w:pStyle w:val="29"/>
        <w:ind w:firstLine="210"/>
        <w:rPr>
          <w:rFonts w:ascii="宋体" w:hAnsi="宋体" w:cs="宋体"/>
          <w:color w:val="auto"/>
        </w:rPr>
      </w:pPr>
    </w:p>
    <w:p w14:paraId="559FCDCA">
      <w:pPr>
        <w:pStyle w:val="13"/>
        <w:rPr>
          <w:rFonts w:hAnsi="宋体" w:cs="宋体"/>
          <w:color w:val="auto"/>
        </w:rPr>
      </w:pPr>
    </w:p>
    <w:p w14:paraId="00F691EF">
      <w:pPr>
        <w:adjustRightInd w:val="0"/>
        <w:snapToGrid w:val="0"/>
        <w:spacing w:beforeLines="50" w:afterLines="50"/>
        <w:ind w:left="82" w:leftChars="39" w:firstLine="480" w:firstLineChars="200"/>
        <w:jc w:val="left"/>
        <w:rPr>
          <w:rFonts w:ascii="宋体" w:hAnsi="宋体" w:cs="宋体"/>
          <w:color w:val="auto"/>
          <w:sz w:val="24"/>
        </w:rPr>
      </w:pPr>
      <w:r>
        <w:rPr>
          <w:rFonts w:hint="eastAsia" w:ascii="宋体" w:hAnsi="宋体" w:cs="宋体"/>
          <w:color w:val="auto"/>
          <w:sz w:val="24"/>
        </w:rPr>
        <w:t>根据公开招标结果及《中华人民共和国民法典》的规定，甲乙双方就</w:t>
      </w:r>
      <w:r>
        <w:rPr>
          <w:rFonts w:hint="eastAsia" w:ascii="宋体" w:hAnsi="宋体" w:cs="宋体"/>
          <w:color w:val="auto"/>
          <w:sz w:val="24"/>
          <w:u w:val="single"/>
        </w:rPr>
        <w:t>天台县2025年度补充林地库建设项目</w:t>
      </w:r>
      <w:r>
        <w:rPr>
          <w:rFonts w:hint="eastAsia" w:ascii="宋体" w:hAnsi="宋体" w:cs="宋体"/>
          <w:color w:val="auto"/>
          <w:sz w:val="24"/>
        </w:rPr>
        <w:t>的技术咨询，经协商一致，签订本合同。</w:t>
      </w:r>
    </w:p>
    <w:p w14:paraId="2638953B">
      <w:pPr>
        <w:spacing w:beforeLines="50" w:afterLines="50"/>
        <w:rPr>
          <w:rFonts w:ascii="宋体" w:hAnsi="宋体" w:cs="宋体"/>
          <w:b/>
          <w:bCs/>
          <w:color w:val="auto"/>
          <w:sz w:val="24"/>
          <w:highlight w:val="none"/>
        </w:rPr>
      </w:pPr>
      <w:r>
        <w:rPr>
          <w:rFonts w:hint="eastAsia" w:ascii="宋体" w:hAnsi="宋体" w:cs="宋体"/>
          <w:b/>
          <w:bCs/>
          <w:color w:val="auto"/>
          <w:sz w:val="24"/>
        </w:rPr>
        <w:t>一、服务内容</w:t>
      </w:r>
    </w:p>
    <w:p w14:paraId="6AF0E886">
      <w:pPr>
        <w:spacing w:beforeLines="50" w:afterLines="50"/>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补充林地库建设</w:t>
      </w:r>
    </w:p>
    <w:p w14:paraId="6E52B74E">
      <w:pPr>
        <w:spacing w:beforeLines="50" w:afterLines="50"/>
        <w:rPr>
          <w:rFonts w:ascii="宋体" w:hAnsi="宋体" w:cs="宋体"/>
          <w:b/>
          <w:bCs/>
          <w:color w:val="auto"/>
          <w:sz w:val="24"/>
        </w:rPr>
      </w:pPr>
      <w:r>
        <w:rPr>
          <w:rFonts w:hint="eastAsia" w:ascii="宋体" w:hAnsi="宋体" w:cs="宋体"/>
          <w:b/>
          <w:bCs/>
          <w:color w:val="auto"/>
          <w:sz w:val="24"/>
        </w:rPr>
        <w:t>二、合同金额</w:t>
      </w:r>
    </w:p>
    <w:p w14:paraId="3A4EEB93">
      <w:pPr>
        <w:spacing w:beforeLines="50" w:afterLines="50"/>
        <w:ind w:firstLine="480" w:firstLineChars="200"/>
        <w:rPr>
          <w:rFonts w:ascii="宋体" w:hAnsi="宋体" w:cs="宋体"/>
          <w:color w:val="auto"/>
          <w:sz w:val="24"/>
        </w:rPr>
      </w:pPr>
      <w:r>
        <w:rPr>
          <w:rFonts w:hint="eastAsia" w:ascii="宋体" w:hAnsi="宋体" w:cs="宋体"/>
          <w:color w:val="auto"/>
          <w:sz w:val="24"/>
        </w:rPr>
        <w:t>本合同总金额为人民币（大写）</w:t>
      </w:r>
      <w:r>
        <w:rPr>
          <w:rFonts w:hint="eastAsia" w:ascii="宋体" w:hAnsi="宋体" w:cs="宋体"/>
          <w:color w:val="auto"/>
          <w:sz w:val="24"/>
          <w:u w:val="single"/>
        </w:rPr>
        <w:t xml:space="preserve">              </w:t>
      </w:r>
      <w:r>
        <w:rPr>
          <w:rFonts w:hint="eastAsia" w:ascii="宋体" w:hAnsi="宋体" w:cs="宋体"/>
          <w:color w:val="auto"/>
          <w:sz w:val="24"/>
        </w:rPr>
        <w:t>元（¥</w:t>
      </w:r>
      <w:r>
        <w:rPr>
          <w:rFonts w:hint="eastAsia" w:ascii="宋体" w:hAnsi="宋体" w:cs="宋体"/>
          <w:color w:val="auto"/>
          <w:sz w:val="24"/>
          <w:u w:val="single"/>
        </w:rPr>
        <w:t xml:space="preserve">              </w:t>
      </w:r>
      <w:r>
        <w:rPr>
          <w:rFonts w:hint="eastAsia" w:ascii="宋体" w:hAnsi="宋体" w:cs="宋体"/>
          <w:color w:val="auto"/>
          <w:sz w:val="24"/>
        </w:rPr>
        <w:t>）。</w:t>
      </w:r>
    </w:p>
    <w:p w14:paraId="48F0C2E3">
      <w:pPr>
        <w:spacing w:beforeLines="50" w:afterLines="50"/>
        <w:ind w:firstLine="480" w:firstLineChars="200"/>
        <w:rPr>
          <w:rFonts w:ascii="宋体" w:hAnsi="宋体" w:cs="宋体"/>
          <w:color w:val="auto"/>
        </w:rPr>
      </w:pPr>
      <w:r>
        <w:rPr>
          <w:rFonts w:hint="eastAsia" w:ascii="宋体" w:hAnsi="宋体" w:cs="宋体"/>
          <w:color w:val="auto"/>
          <w:sz w:val="24"/>
        </w:rPr>
        <w:t>本合同价款包括服务费、人工费、技术支持、报告等成果文件的费用、税金、招标代理费等完成本项目的其它费用和政策性文件规定及合同包含的所有风险、责任等各项应有费用，即投标人所投 的投标报价为投标人所能承受的整个项目的一次性最终最低报价。如有漏项，视同已包含在其它项目中，合同单价及总价不作调整。</w:t>
      </w:r>
    </w:p>
    <w:p w14:paraId="1629CB1A">
      <w:pPr>
        <w:spacing w:beforeLines="50" w:afterLines="50"/>
        <w:rPr>
          <w:rFonts w:ascii="宋体" w:hAnsi="宋体" w:cs="宋体"/>
          <w:b/>
          <w:bCs/>
          <w:color w:val="auto"/>
          <w:sz w:val="24"/>
        </w:rPr>
      </w:pPr>
      <w:r>
        <w:rPr>
          <w:rFonts w:hint="eastAsia" w:ascii="宋体" w:hAnsi="宋体" w:cs="宋体"/>
          <w:b/>
          <w:bCs/>
          <w:color w:val="auto"/>
          <w:sz w:val="24"/>
        </w:rPr>
        <w:t>三、技术资料</w:t>
      </w:r>
    </w:p>
    <w:p w14:paraId="648DE5A7">
      <w:pPr>
        <w:spacing w:beforeLines="50" w:afterLines="50"/>
        <w:ind w:firstLine="480" w:firstLineChars="200"/>
        <w:rPr>
          <w:rFonts w:ascii="宋体" w:hAnsi="宋体" w:cs="宋体"/>
          <w:color w:val="auto"/>
          <w:sz w:val="24"/>
        </w:rPr>
      </w:pPr>
      <w:r>
        <w:rPr>
          <w:rFonts w:hint="eastAsia" w:ascii="宋体" w:hAnsi="宋体" w:cs="宋体"/>
          <w:color w:val="auto"/>
          <w:sz w:val="24"/>
        </w:rPr>
        <w:t>1.乙方应按招标文件规定的时间向甲方提供有关技术资料。</w:t>
      </w:r>
    </w:p>
    <w:p w14:paraId="32EE08E8">
      <w:pPr>
        <w:spacing w:beforeLines="50" w:afterLines="50"/>
        <w:ind w:firstLine="480" w:firstLineChars="200"/>
        <w:rPr>
          <w:rFonts w:ascii="宋体" w:hAnsi="宋体" w:cs="宋体"/>
          <w:color w:val="auto"/>
          <w:sz w:val="24"/>
        </w:rPr>
      </w:pPr>
      <w:r>
        <w:rPr>
          <w:rFonts w:hint="eastAsia" w:ascii="宋体" w:hAnsi="宋体" w:cs="宋体"/>
          <w:color w:val="auto"/>
          <w:sz w:val="24"/>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63C7D7F2">
      <w:pPr>
        <w:spacing w:beforeLines="50" w:afterLines="50"/>
        <w:rPr>
          <w:rFonts w:ascii="宋体" w:hAnsi="宋体" w:cs="宋体"/>
          <w:b/>
          <w:bCs/>
          <w:color w:val="auto"/>
          <w:sz w:val="24"/>
        </w:rPr>
      </w:pPr>
      <w:r>
        <w:rPr>
          <w:rFonts w:hint="eastAsia" w:ascii="宋体" w:hAnsi="宋体" w:cs="宋体"/>
          <w:b/>
          <w:bCs/>
          <w:color w:val="auto"/>
          <w:sz w:val="24"/>
        </w:rPr>
        <w:t>四、知识产权</w:t>
      </w:r>
    </w:p>
    <w:p w14:paraId="23EEB6BD">
      <w:pPr>
        <w:spacing w:beforeLines="50" w:afterLines="50"/>
        <w:ind w:firstLine="480" w:firstLineChars="200"/>
        <w:rPr>
          <w:rFonts w:ascii="宋体" w:hAnsi="宋体" w:cs="宋体"/>
          <w:color w:val="auto"/>
          <w:sz w:val="24"/>
        </w:rPr>
      </w:pPr>
      <w:r>
        <w:rPr>
          <w:rFonts w:hint="eastAsia" w:ascii="宋体" w:hAnsi="宋体" w:cs="宋体"/>
          <w:color w:val="auto"/>
          <w:sz w:val="24"/>
        </w:rPr>
        <w:t>1.乙方保证所提供的服务或其任何一部分组成均不侵犯任何第三方的知识产权。因乙方服务的知识产权引起的法律责任全部由乙方承担。</w:t>
      </w:r>
    </w:p>
    <w:p w14:paraId="1970E001">
      <w:pPr>
        <w:spacing w:beforeLines="50" w:afterLines="50"/>
        <w:ind w:firstLine="480" w:firstLineChars="200"/>
        <w:rPr>
          <w:rFonts w:ascii="宋体" w:hAnsi="宋体" w:cs="宋体"/>
          <w:color w:val="auto"/>
          <w:sz w:val="24"/>
        </w:rPr>
      </w:pPr>
      <w:r>
        <w:rPr>
          <w:rFonts w:hint="eastAsia" w:ascii="宋体" w:hAnsi="宋体" w:cs="宋体"/>
          <w:color w:val="auto"/>
          <w:sz w:val="24"/>
        </w:rPr>
        <w:t>2.本项目所有成果的版权属甲方所有，乙方不得以任何形式向第三方提供，否则，按国家法律和有关规定追究乙方的一切责任。</w:t>
      </w:r>
    </w:p>
    <w:p w14:paraId="39AC53EB">
      <w:pPr>
        <w:spacing w:beforeLines="50" w:afterLines="50"/>
        <w:ind w:firstLine="480" w:firstLineChars="200"/>
        <w:rPr>
          <w:rFonts w:ascii="宋体" w:hAnsi="宋体" w:cs="宋体"/>
          <w:color w:val="auto"/>
          <w:sz w:val="24"/>
        </w:rPr>
      </w:pPr>
      <w:r>
        <w:rPr>
          <w:rFonts w:hint="eastAsia" w:ascii="宋体" w:hAnsi="宋体" w:cs="宋体"/>
          <w:color w:val="auto"/>
          <w:sz w:val="24"/>
        </w:rPr>
        <w:t>3.本项目作业过程中提供的或涉及的所有数据属甲方拥有，乙方无权在技术要求规定之外自行处置数据，不得自行删除、复制、调整完善、转移数据，不得以任何形式向第三方提供。</w:t>
      </w:r>
    </w:p>
    <w:p w14:paraId="7015D6A3">
      <w:pPr>
        <w:spacing w:beforeLines="50" w:afterLines="50"/>
        <w:rPr>
          <w:rFonts w:ascii="宋体" w:hAnsi="宋体" w:cs="宋体"/>
          <w:b/>
          <w:bCs/>
          <w:color w:val="auto"/>
          <w:sz w:val="24"/>
        </w:rPr>
      </w:pPr>
      <w:r>
        <w:rPr>
          <w:rFonts w:hint="eastAsia" w:ascii="宋体" w:hAnsi="宋体" w:cs="宋体"/>
          <w:b/>
          <w:bCs/>
          <w:color w:val="auto"/>
          <w:sz w:val="24"/>
        </w:rPr>
        <w:t>五、履约保证金</w:t>
      </w:r>
    </w:p>
    <w:p w14:paraId="287C8B43">
      <w:pPr>
        <w:spacing w:beforeLines="50" w:afterLines="50"/>
        <w:rPr>
          <w:rFonts w:ascii="宋体" w:hAnsi="宋体" w:cs="宋体"/>
          <w:color w:val="auto"/>
          <w:sz w:val="24"/>
        </w:rPr>
      </w:pPr>
      <w:r>
        <w:rPr>
          <w:rFonts w:hint="eastAsia" w:ascii="宋体" w:hAnsi="宋体" w:cs="宋体"/>
          <w:color w:val="auto"/>
          <w:sz w:val="24"/>
        </w:rPr>
        <w:t xml:space="preserve">  1.乙方应向甲方指定的账户缴纳合同总价</w:t>
      </w:r>
      <w:r>
        <w:rPr>
          <w:rFonts w:hint="eastAsia" w:ascii="宋体" w:hAnsi="宋体" w:cs="宋体"/>
          <w:color w:val="auto"/>
          <w:sz w:val="24"/>
          <w:u w:val="single"/>
        </w:rPr>
        <w:t xml:space="preserve">  /  </w:t>
      </w:r>
      <w:r>
        <w:rPr>
          <w:rFonts w:hint="eastAsia" w:ascii="宋体" w:hAnsi="宋体" w:cs="宋体"/>
          <w:color w:val="auto"/>
          <w:sz w:val="24"/>
        </w:rPr>
        <w:t>%的履约保证金。履约保证金的交付方式：网银、支票、汇票、本票或者金融机构、担保机构出具的保函等非现金方式。</w:t>
      </w:r>
    </w:p>
    <w:p w14:paraId="73617482">
      <w:pPr>
        <w:spacing w:beforeLines="50" w:afterLines="50"/>
        <w:rPr>
          <w:rFonts w:ascii="宋体" w:hAnsi="宋体" w:cs="宋体"/>
          <w:color w:val="auto"/>
          <w:sz w:val="24"/>
        </w:rPr>
      </w:pPr>
      <w:r>
        <w:rPr>
          <w:rFonts w:hint="eastAsia" w:ascii="宋体" w:hAnsi="宋体" w:cs="宋体"/>
          <w:color w:val="auto"/>
          <w:sz w:val="24"/>
        </w:rPr>
        <w:t xml:space="preserve">  2.履约保证金在服务期满，确认乙方无违约行为后30天内无息退还。</w:t>
      </w:r>
    </w:p>
    <w:p w14:paraId="6BC60740">
      <w:pPr>
        <w:spacing w:beforeLines="50" w:afterLines="50"/>
        <w:rPr>
          <w:rFonts w:ascii="宋体" w:hAnsi="宋体" w:cs="宋体"/>
          <w:b/>
          <w:bCs/>
          <w:color w:val="auto"/>
          <w:sz w:val="24"/>
        </w:rPr>
      </w:pPr>
      <w:r>
        <w:rPr>
          <w:rFonts w:hint="eastAsia" w:ascii="宋体" w:hAnsi="宋体" w:cs="宋体"/>
          <w:b/>
          <w:bCs/>
          <w:color w:val="auto"/>
          <w:sz w:val="24"/>
        </w:rPr>
        <w:t>六、转包或分包</w:t>
      </w:r>
    </w:p>
    <w:p w14:paraId="2BC4BF47">
      <w:pPr>
        <w:spacing w:beforeLines="50" w:afterLines="50"/>
        <w:ind w:firstLine="480" w:firstLineChars="200"/>
        <w:rPr>
          <w:rFonts w:ascii="宋体" w:hAnsi="宋体" w:cs="宋体"/>
          <w:color w:val="auto"/>
          <w:sz w:val="24"/>
        </w:rPr>
      </w:pPr>
      <w:r>
        <w:rPr>
          <w:rFonts w:hint="eastAsia" w:ascii="宋体" w:hAnsi="宋体" w:cs="宋体"/>
          <w:color w:val="auto"/>
          <w:sz w:val="24"/>
        </w:rPr>
        <w:t>1.本合同范围的服务，应由乙方直接完成，不得转让给任何第三方；</w:t>
      </w:r>
    </w:p>
    <w:p w14:paraId="3D1AEE61">
      <w:pPr>
        <w:spacing w:beforeLines="50" w:afterLines="50"/>
        <w:ind w:firstLine="480" w:firstLineChars="200"/>
        <w:rPr>
          <w:rFonts w:ascii="宋体" w:hAnsi="宋体" w:cs="宋体"/>
          <w:color w:val="auto"/>
          <w:sz w:val="24"/>
        </w:rPr>
      </w:pPr>
      <w:r>
        <w:rPr>
          <w:rFonts w:hint="eastAsia" w:ascii="宋体" w:hAnsi="宋体" w:cs="宋体"/>
          <w:color w:val="auto"/>
          <w:sz w:val="24"/>
        </w:rPr>
        <w:t>2.经甲方同意，乙方可以依法采取分包方式履行合同，即：依法可以将合同项下的部分非主体、非关键性工作分包给他人完成，接受分包的人应当具备相应的资格条件，并不得再次分包，且乙方应就分包项目向甲方负责，并与分包投标人就分包项目向甲方承担连带责任。</w:t>
      </w:r>
    </w:p>
    <w:p w14:paraId="57821B64">
      <w:pPr>
        <w:spacing w:beforeLines="50" w:afterLines="50"/>
        <w:ind w:firstLine="480" w:firstLineChars="200"/>
        <w:rPr>
          <w:rFonts w:ascii="宋体" w:hAnsi="宋体" w:cs="宋体"/>
          <w:color w:val="auto"/>
          <w:sz w:val="24"/>
        </w:rPr>
      </w:pPr>
      <w:r>
        <w:rPr>
          <w:rFonts w:hint="eastAsia" w:ascii="宋体" w:hAnsi="宋体" w:cs="宋体"/>
          <w:color w:val="auto"/>
          <w:sz w:val="24"/>
        </w:rPr>
        <w:t>3.如有转让和未经甲方同意的分包行为，甲方有权解除合同，没收履约保证金并追究乙方的违约责任。</w:t>
      </w:r>
    </w:p>
    <w:p w14:paraId="3259F44F">
      <w:pPr>
        <w:spacing w:beforeLines="50" w:afterLines="50"/>
        <w:rPr>
          <w:rFonts w:ascii="宋体" w:hAnsi="宋体" w:cs="宋体"/>
          <w:b/>
          <w:bCs/>
          <w:color w:val="auto"/>
          <w:sz w:val="24"/>
        </w:rPr>
      </w:pPr>
      <w:r>
        <w:rPr>
          <w:rFonts w:hint="eastAsia" w:ascii="宋体" w:hAnsi="宋体" w:cs="宋体"/>
          <w:b/>
          <w:bCs/>
          <w:color w:val="auto"/>
          <w:sz w:val="24"/>
        </w:rPr>
        <w:t>七、服务质量保证期(选用)</w:t>
      </w:r>
    </w:p>
    <w:p w14:paraId="797DC0A0">
      <w:pPr>
        <w:spacing w:beforeLines="50" w:afterLines="50"/>
        <w:ind w:firstLine="480" w:firstLineChars="200"/>
        <w:rPr>
          <w:rFonts w:ascii="宋体" w:hAnsi="宋体" w:cs="宋体"/>
          <w:color w:val="auto"/>
          <w:sz w:val="24"/>
        </w:rPr>
      </w:pPr>
      <w:r>
        <w:rPr>
          <w:rFonts w:hint="eastAsia" w:ascii="宋体" w:hAnsi="宋体" w:cs="宋体"/>
          <w:color w:val="auto"/>
          <w:sz w:val="24"/>
        </w:rPr>
        <w:t>服务质量保证期</w:t>
      </w:r>
      <w:r>
        <w:rPr>
          <w:rFonts w:hint="eastAsia" w:ascii="宋体" w:hAnsi="宋体" w:cs="宋体"/>
          <w:color w:val="auto"/>
          <w:sz w:val="24"/>
          <w:u w:val="single"/>
        </w:rPr>
        <w:t xml:space="preserve">     </w:t>
      </w:r>
      <w:r>
        <w:rPr>
          <w:rFonts w:hint="eastAsia" w:ascii="宋体" w:hAnsi="宋体" w:cs="宋体"/>
          <w:color w:val="auto"/>
          <w:sz w:val="24"/>
        </w:rPr>
        <w:t>年。（自验收合格之日起计）</w:t>
      </w:r>
    </w:p>
    <w:p w14:paraId="6EC40419">
      <w:pPr>
        <w:spacing w:beforeLines="50" w:afterLines="50"/>
        <w:rPr>
          <w:rFonts w:ascii="宋体" w:hAnsi="宋体" w:cs="宋体"/>
          <w:b/>
          <w:bCs/>
          <w:color w:val="auto"/>
          <w:sz w:val="24"/>
        </w:rPr>
      </w:pPr>
      <w:r>
        <w:rPr>
          <w:rFonts w:hint="eastAsia" w:ascii="宋体" w:hAnsi="宋体" w:cs="宋体"/>
          <w:b/>
          <w:bCs/>
          <w:color w:val="auto"/>
          <w:sz w:val="24"/>
        </w:rPr>
        <w:t>八、合同履行时间、履行方式及履行地点</w:t>
      </w:r>
    </w:p>
    <w:p w14:paraId="57699F58">
      <w:pPr>
        <w:spacing w:beforeLines="50" w:afterLines="50"/>
        <w:ind w:firstLine="480" w:firstLineChars="200"/>
        <w:rPr>
          <w:rFonts w:ascii="宋体" w:hAnsi="宋体" w:cs="宋体"/>
          <w:color w:val="auto"/>
          <w:sz w:val="24"/>
        </w:rPr>
      </w:pPr>
      <w:r>
        <w:rPr>
          <w:rFonts w:hint="eastAsia" w:ascii="宋体" w:hAnsi="宋体" w:cs="宋体"/>
          <w:color w:val="auto"/>
          <w:sz w:val="24"/>
        </w:rPr>
        <w:t xml:space="preserve">1.履行时间：于2025年12月31日前完成。（具体根据省林业局的要求调整完成时间） </w:t>
      </w:r>
    </w:p>
    <w:p w14:paraId="57BD4FB4">
      <w:pPr>
        <w:spacing w:beforeLines="50" w:afterLines="50"/>
        <w:ind w:firstLine="480" w:firstLineChars="200"/>
        <w:rPr>
          <w:rFonts w:ascii="宋体" w:hAnsi="宋体" w:cs="宋体"/>
          <w:color w:val="auto"/>
          <w:sz w:val="24"/>
        </w:rPr>
      </w:pPr>
      <w:r>
        <w:rPr>
          <w:rFonts w:hint="eastAsia" w:ascii="宋体" w:hAnsi="宋体" w:cs="宋体"/>
          <w:color w:val="auto"/>
          <w:sz w:val="24"/>
        </w:rPr>
        <w:t>2.履行方式：</w:t>
      </w:r>
    </w:p>
    <w:p w14:paraId="2990AB12">
      <w:pPr>
        <w:spacing w:beforeLines="50" w:afterLines="50"/>
        <w:ind w:firstLine="480" w:firstLineChars="200"/>
        <w:rPr>
          <w:rFonts w:ascii="宋体" w:hAnsi="宋体" w:cs="宋体"/>
          <w:color w:val="auto"/>
          <w:sz w:val="24"/>
        </w:rPr>
      </w:pPr>
      <w:r>
        <w:rPr>
          <w:rFonts w:hint="eastAsia" w:ascii="宋体" w:hAnsi="宋体" w:cs="宋体"/>
          <w:color w:val="auto"/>
          <w:sz w:val="24"/>
        </w:rPr>
        <w:t>3.履行地点：</w:t>
      </w:r>
    </w:p>
    <w:p w14:paraId="47022A3A">
      <w:pPr>
        <w:spacing w:beforeLines="50" w:afterLines="50"/>
        <w:rPr>
          <w:rFonts w:ascii="宋体" w:hAnsi="宋体" w:cs="宋体"/>
          <w:b/>
          <w:bCs/>
          <w:color w:val="auto"/>
          <w:sz w:val="24"/>
        </w:rPr>
      </w:pPr>
      <w:r>
        <w:rPr>
          <w:rFonts w:hint="eastAsia" w:ascii="宋体" w:hAnsi="宋体" w:cs="宋体"/>
          <w:b/>
          <w:bCs/>
          <w:color w:val="auto"/>
          <w:sz w:val="24"/>
        </w:rPr>
        <w:t>九、款项支付</w:t>
      </w:r>
    </w:p>
    <w:p w14:paraId="48B783DC">
      <w:pPr>
        <w:spacing w:beforeLines="50" w:afterLines="50"/>
        <w:ind w:firstLine="480" w:firstLineChars="200"/>
        <w:rPr>
          <w:rFonts w:ascii="宋体" w:hAnsi="宋体" w:cs="宋体"/>
          <w:color w:val="auto"/>
          <w:sz w:val="24"/>
        </w:rPr>
      </w:pPr>
      <w:r>
        <w:rPr>
          <w:rFonts w:hint="eastAsia" w:ascii="宋体" w:hAnsi="宋体" w:cs="宋体"/>
          <w:color w:val="auto"/>
          <w:sz w:val="24"/>
        </w:rPr>
        <w:t>合同生效及具备实施条件后7个工作日内支付合同金额的50%作为预付款，待项目全部完成提交成果并通过验收后1个月内付至合同价的100%。中标人需提供正式发票。</w:t>
      </w:r>
    </w:p>
    <w:p w14:paraId="26E36D9C">
      <w:pPr>
        <w:spacing w:beforeLines="50" w:afterLines="50"/>
        <w:rPr>
          <w:rFonts w:ascii="宋体" w:hAnsi="宋体" w:cs="宋体"/>
          <w:b/>
          <w:bCs/>
          <w:color w:val="auto"/>
          <w:sz w:val="24"/>
        </w:rPr>
      </w:pPr>
      <w:r>
        <w:rPr>
          <w:rFonts w:hint="eastAsia" w:ascii="宋体" w:hAnsi="宋体" w:cs="宋体"/>
          <w:b/>
          <w:bCs/>
          <w:color w:val="auto"/>
          <w:sz w:val="24"/>
        </w:rPr>
        <w:t>十、税费</w:t>
      </w:r>
    </w:p>
    <w:p w14:paraId="7F048FC1">
      <w:pPr>
        <w:spacing w:beforeLines="50" w:afterLines="50"/>
        <w:ind w:firstLine="480" w:firstLineChars="200"/>
        <w:rPr>
          <w:rFonts w:ascii="宋体" w:hAnsi="宋体" w:cs="宋体"/>
          <w:color w:val="auto"/>
          <w:sz w:val="24"/>
        </w:rPr>
      </w:pPr>
      <w:r>
        <w:rPr>
          <w:rFonts w:hint="eastAsia" w:ascii="宋体" w:hAnsi="宋体" w:cs="宋体"/>
          <w:color w:val="auto"/>
          <w:sz w:val="24"/>
        </w:rPr>
        <w:t>本合同执行中相关的一切税费均由乙方负担。</w:t>
      </w:r>
    </w:p>
    <w:p w14:paraId="1C2EDED2">
      <w:pPr>
        <w:spacing w:beforeLines="50" w:afterLines="50"/>
        <w:rPr>
          <w:rFonts w:ascii="宋体" w:hAnsi="宋体" w:cs="宋体"/>
          <w:b/>
          <w:bCs/>
          <w:color w:val="auto"/>
          <w:sz w:val="24"/>
        </w:rPr>
      </w:pPr>
      <w:r>
        <w:rPr>
          <w:rFonts w:hint="eastAsia" w:ascii="宋体" w:hAnsi="宋体" w:cs="宋体"/>
          <w:b/>
          <w:bCs/>
          <w:color w:val="auto"/>
          <w:sz w:val="24"/>
        </w:rPr>
        <w:t>十一、质量保证及后续服务</w:t>
      </w:r>
    </w:p>
    <w:p w14:paraId="0EC41AA6">
      <w:pPr>
        <w:spacing w:beforeLines="50" w:afterLines="50"/>
        <w:ind w:firstLine="480" w:firstLineChars="200"/>
        <w:rPr>
          <w:rFonts w:ascii="宋体" w:hAnsi="宋体" w:cs="宋体"/>
          <w:color w:val="auto"/>
          <w:sz w:val="24"/>
        </w:rPr>
      </w:pPr>
      <w:r>
        <w:rPr>
          <w:rFonts w:hint="eastAsia" w:ascii="宋体" w:hAnsi="宋体" w:cs="宋体"/>
          <w:color w:val="auto"/>
          <w:sz w:val="24"/>
        </w:rPr>
        <w:t>1.乙方应按招标文件规定向甲方提供服务。</w:t>
      </w:r>
    </w:p>
    <w:p w14:paraId="0736DF72">
      <w:pPr>
        <w:pStyle w:val="7"/>
        <w:snapToGrid w:val="0"/>
        <w:spacing w:beforeLines="50" w:afterLines="50"/>
        <w:ind w:firstLine="480" w:firstLineChars="200"/>
        <w:rPr>
          <w:rFonts w:hAnsi="宋体" w:cs="宋体"/>
          <w:color w:val="auto"/>
          <w:sz w:val="24"/>
        </w:rPr>
      </w:pPr>
      <w:r>
        <w:rPr>
          <w:rFonts w:hint="eastAsia" w:hAnsi="宋体" w:cs="宋体"/>
          <w:color w:val="auto"/>
          <w:sz w:val="24"/>
        </w:rPr>
        <w:t>2.乙方提供的服务成果验收不合格的，或在服务期内出现问题，乙方应负责免费提供后续服务。对达不到服务要求的，根据实际情况，甲方有权自行选择以下办法处理：</w:t>
      </w:r>
    </w:p>
    <w:p w14:paraId="252E824B">
      <w:pPr>
        <w:pStyle w:val="7"/>
        <w:snapToGrid w:val="0"/>
        <w:spacing w:beforeLines="50" w:afterLines="50"/>
        <w:ind w:firstLine="480" w:firstLineChars="200"/>
        <w:rPr>
          <w:rFonts w:hAnsi="宋体" w:cs="宋体"/>
          <w:color w:val="auto"/>
          <w:sz w:val="24"/>
        </w:rPr>
      </w:pPr>
      <w:r>
        <w:rPr>
          <w:rFonts w:hint="eastAsia" w:hAnsi="宋体" w:cs="宋体"/>
          <w:color w:val="auto"/>
          <w:sz w:val="24"/>
        </w:rPr>
        <w:t>（1）重做：由乙方承担所发生的全部费用，并承担所有损失。</w:t>
      </w:r>
    </w:p>
    <w:p w14:paraId="4743D278">
      <w:pPr>
        <w:pStyle w:val="7"/>
        <w:snapToGrid w:val="0"/>
        <w:spacing w:beforeLines="50" w:afterLines="50"/>
        <w:ind w:firstLine="480" w:firstLineChars="200"/>
        <w:rPr>
          <w:rFonts w:hAnsi="宋体" w:cs="宋体"/>
          <w:color w:val="auto"/>
          <w:sz w:val="24"/>
        </w:rPr>
      </w:pPr>
      <w:r>
        <w:rPr>
          <w:rFonts w:hint="eastAsia" w:hAnsi="宋体" w:cs="宋体"/>
          <w:color w:val="auto"/>
          <w:sz w:val="24"/>
        </w:rPr>
        <w:t>（2）贬值处理：由甲乙双方合议定价。</w:t>
      </w:r>
    </w:p>
    <w:p w14:paraId="108A6965">
      <w:pPr>
        <w:pStyle w:val="7"/>
        <w:snapToGrid w:val="0"/>
        <w:spacing w:beforeLines="50" w:afterLines="50"/>
        <w:ind w:firstLine="480" w:firstLineChars="200"/>
        <w:rPr>
          <w:rFonts w:hAnsi="宋体" w:cs="宋体"/>
          <w:color w:val="auto"/>
          <w:sz w:val="24"/>
        </w:rPr>
      </w:pPr>
      <w:r>
        <w:rPr>
          <w:rFonts w:hint="eastAsia" w:hAnsi="宋体" w:cs="宋体"/>
          <w:color w:val="auto"/>
          <w:sz w:val="24"/>
        </w:rPr>
        <w:t>（3）解除合同：甲方拒付（或要求乙方退还）合同价款。</w:t>
      </w:r>
    </w:p>
    <w:p w14:paraId="7F917197">
      <w:pPr>
        <w:pStyle w:val="7"/>
        <w:snapToGrid w:val="0"/>
        <w:spacing w:beforeLines="50" w:afterLines="50"/>
        <w:ind w:firstLine="480" w:firstLineChars="200"/>
        <w:rPr>
          <w:rFonts w:hAnsi="宋体" w:cs="宋体"/>
          <w:color w:val="auto"/>
          <w:sz w:val="24"/>
        </w:rPr>
      </w:pPr>
      <w:r>
        <w:rPr>
          <w:rFonts w:hint="eastAsia" w:hAnsi="宋体" w:cs="宋体"/>
          <w:color w:val="auto"/>
          <w:sz w:val="24"/>
        </w:rPr>
        <w:t>3.在服务期限</w:t>
      </w:r>
      <w:r>
        <w:rPr>
          <w:rFonts w:hint="eastAsia" w:hAnsi="宋体" w:cs="宋体"/>
          <w:bCs/>
          <w:color w:val="auto"/>
          <w:kern w:val="0"/>
          <w:sz w:val="24"/>
        </w:rPr>
        <w:t>内，如遇特殊情况需要提供服务的，</w:t>
      </w:r>
      <w:r>
        <w:rPr>
          <w:rFonts w:hint="eastAsia" w:hAnsi="宋体" w:cs="宋体"/>
          <w:color w:val="auto"/>
          <w:sz w:val="24"/>
        </w:rPr>
        <w:t>乙方接到甲方通知后</w:t>
      </w:r>
      <w:r>
        <w:rPr>
          <w:rFonts w:hint="eastAsia" w:hAnsi="宋体" w:cs="宋体"/>
          <w:color w:val="auto"/>
          <w:sz w:val="24"/>
          <w:u w:val="single"/>
        </w:rPr>
        <w:t xml:space="preserve">   </w:t>
      </w:r>
      <w:r>
        <w:rPr>
          <w:rFonts w:hint="eastAsia" w:hAnsi="宋体" w:cs="宋体"/>
          <w:color w:val="auto"/>
          <w:sz w:val="24"/>
        </w:rPr>
        <w:t>小时内到达甲方现场。</w:t>
      </w:r>
    </w:p>
    <w:p w14:paraId="2FA4F778">
      <w:pPr>
        <w:pStyle w:val="7"/>
        <w:snapToGrid w:val="0"/>
        <w:spacing w:beforeLines="50" w:afterLines="50"/>
        <w:ind w:firstLine="480" w:firstLineChars="200"/>
        <w:rPr>
          <w:rFonts w:hAnsi="宋体" w:cs="宋体"/>
          <w:color w:val="auto"/>
          <w:sz w:val="24"/>
        </w:rPr>
      </w:pPr>
      <w:r>
        <w:rPr>
          <w:rFonts w:hint="eastAsia" w:hAnsi="宋体" w:cs="宋体"/>
          <w:color w:val="auto"/>
          <w:sz w:val="24"/>
        </w:rPr>
        <w:t>4.在服务质量保证期内，乙方应对出现的质量及安全问题负责处理解决并承担一切费用。</w:t>
      </w:r>
    </w:p>
    <w:p w14:paraId="4057171B">
      <w:pPr>
        <w:spacing w:beforeLines="50" w:afterLines="50"/>
        <w:rPr>
          <w:rFonts w:ascii="宋体" w:hAnsi="宋体" w:cs="宋体"/>
          <w:b/>
          <w:bCs/>
          <w:color w:val="auto"/>
          <w:sz w:val="24"/>
        </w:rPr>
      </w:pPr>
      <w:r>
        <w:rPr>
          <w:rFonts w:hint="eastAsia" w:ascii="宋体" w:hAnsi="宋体" w:cs="宋体"/>
          <w:b/>
          <w:bCs/>
          <w:color w:val="auto"/>
          <w:sz w:val="24"/>
        </w:rPr>
        <w:t>十二、验收标准</w:t>
      </w:r>
    </w:p>
    <w:p w14:paraId="461907F5">
      <w:pPr>
        <w:spacing w:beforeLines="50" w:afterLines="50"/>
        <w:ind w:firstLine="482" w:firstLineChars="200"/>
        <w:rPr>
          <w:rFonts w:hint="eastAsia" w:ascii="宋体" w:hAnsi="宋体" w:cs="宋体"/>
          <w:b/>
          <w:bCs/>
          <w:color w:val="auto"/>
          <w:sz w:val="24"/>
        </w:rPr>
      </w:pPr>
      <w:r>
        <w:rPr>
          <w:rFonts w:hint="eastAsia" w:ascii="宋体" w:hAnsi="宋体" w:cs="宋体"/>
          <w:b/>
          <w:bCs/>
          <w:color w:val="auto"/>
          <w:sz w:val="24"/>
        </w:rPr>
        <w:t>补充林地库建设工作成果需通过省级林业主管部门宙核，确保补充林地可纳入省级储备库。</w:t>
      </w:r>
    </w:p>
    <w:p w14:paraId="659B103A">
      <w:pPr>
        <w:spacing w:beforeLines="50" w:afterLines="50"/>
        <w:rPr>
          <w:rFonts w:ascii="宋体" w:hAnsi="宋体" w:cs="宋体"/>
          <w:b/>
          <w:bCs/>
          <w:color w:val="auto"/>
          <w:sz w:val="24"/>
        </w:rPr>
      </w:pPr>
      <w:r>
        <w:rPr>
          <w:rFonts w:hint="eastAsia" w:ascii="宋体" w:hAnsi="宋体" w:cs="宋体"/>
          <w:b/>
          <w:bCs/>
          <w:color w:val="auto"/>
          <w:sz w:val="24"/>
        </w:rPr>
        <w:t>十三、违约责任</w:t>
      </w:r>
    </w:p>
    <w:p w14:paraId="6299B483">
      <w:pPr>
        <w:spacing w:beforeLines="50" w:afterLines="50"/>
        <w:ind w:firstLine="480" w:firstLineChars="200"/>
        <w:rPr>
          <w:rFonts w:ascii="宋体" w:hAnsi="宋体" w:cs="宋体"/>
          <w:color w:val="auto"/>
          <w:sz w:val="24"/>
        </w:rPr>
      </w:pPr>
      <w:r>
        <w:rPr>
          <w:rFonts w:hint="eastAsia" w:ascii="宋体" w:hAnsi="宋体" w:cs="宋体"/>
          <w:color w:val="auto"/>
          <w:sz w:val="24"/>
        </w:rPr>
        <w:t>1.甲方无正当理由拒收接受服务的，甲方向乙方偿付合同款项百分之五作为违约金。</w:t>
      </w:r>
    </w:p>
    <w:p w14:paraId="4958BC1F">
      <w:pPr>
        <w:spacing w:beforeLines="50" w:afterLines="50"/>
        <w:ind w:firstLine="480" w:firstLineChars="200"/>
        <w:rPr>
          <w:rFonts w:ascii="宋体" w:hAnsi="宋体" w:cs="宋体"/>
          <w:color w:val="auto"/>
          <w:sz w:val="24"/>
        </w:rPr>
      </w:pPr>
      <w:r>
        <w:rPr>
          <w:rFonts w:hint="eastAsia" w:ascii="宋体" w:hAnsi="宋体" w:cs="宋体"/>
          <w:color w:val="auto"/>
          <w:sz w:val="24"/>
        </w:rPr>
        <w:t>2.甲方无故逾期验收和办理款项支付手续的,甲方应按逾期付款总额每日万分之五向乙方支付违约金。</w:t>
      </w:r>
    </w:p>
    <w:p w14:paraId="46A27430">
      <w:pPr>
        <w:spacing w:beforeLines="50" w:afterLines="50"/>
        <w:ind w:firstLine="480" w:firstLineChars="200"/>
        <w:rPr>
          <w:rFonts w:ascii="宋体" w:hAnsi="宋体" w:cs="宋体"/>
          <w:color w:val="auto"/>
          <w:sz w:val="24"/>
        </w:rPr>
      </w:pPr>
      <w:r>
        <w:rPr>
          <w:rFonts w:hint="eastAsia" w:ascii="宋体" w:hAnsi="宋体" w:cs="宋体"/>
          <w:color w:val="auto"/>
          <w:sz w:val="24"/>
        </w:rPr>
        <w:t xml:space="preserve">3.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 </w:t>
      </w:r>
    </w:p>
    <w:p w14:paraId="24D9E861">
      <w:pPr>
        <w:spacing w:beforeLines="50" w:afterLines="50"/>
        <w:rPr>
          <w:rFonts w:ascii="宋体" w:hAnsi="宋体" w:cs="宋体"/>
          <w:b/>
          <w:bCs/>
          <w:color w:val="auto"/>
          <w:sz w:val="24"/>
        </w:rPr>
      </w:pPr>
      <w:r>
        <w:rPr>
          <w:rFonts w:hint="eastAsia" w:ascii="宋体" w:hAnsi="宋体" w:cs="宋体"/>
          <w:b/>
          <w:bCs/>
          <w:color w:val="auto"/>
          <w:sz w:val="24"/>
        </w:rPr>
        <w:t>十四、不可抗力事件处理</w:t>
      </w:r>
    </w:p>
    <w:p w14:paraId="2503AC75">
      <w:pPr>
        <w:spacing w:beforeLines="50" w:afterLines="50"/>
        <w:ind w:firstLine="480" w:firstLineChars="200"/>
        <w:rPr>
          <w:rFonts w:ascii="宋体" w:hAnsi="宋体" w:cs="宋体"/>
          <w:color w:val="auto"/>
          <w:sz w:val="24"/>
        </w:rPr>
      </w:pPr>
      <w:r>
        <w:rPr>
          <w:rFonts w:hint="eastAsia" w:ascii="宋体" w:hAnsi="宋体" w:cs="宋体"/>
          <w:color w:val="auto"/>
          <w:sz w:val="24"/>
        </w:rPr>
        <w:t>1.在合同有效期内，任何一方因不可抗力事件导致不能履行合同，则合同履行期可延长，其延长期与不可抗力影响期相同。</w:t>
      </w:r>
    </w:p>
    <w:p w14:paraId="0FB57816">
      <w:pPr>
        <w:spacing w:beforeLines="50" w:afterLines="50"/>
        <w:ind w:firstLine="480" w:firstLineChars="200"/>
        <w:rPr>
          <w:rFonts w:ascii="宋体" w:hAnsi="宋体" w:cs="宋体"/>
          <w:color w:val="auto"/>
          <w:sz w:val="24"/>
        </w:rPr>
      </w:pPr>
      <w:r>
        <w:rPr>
          <w:rFonts w:hint="eastAsia" w:ascii="宋体" w:hAnsi="宋体" w:cs="宋体"/>
          <w:color w:val="auto"/>
          <w:sz w:val="24"/>
        </w:rPr>
        <w:t>2.不可抗力事件发生后，应立即通知对方，并寄送有关权威机构出具的证明。</w:t>
      </w:r>
    </w:p>
    <w:p w14:paraId="3E2514C0">
      <w:pPr>
        <w:spacing w:beforeLines="50" w:afterLines="50"/>
        <w:ind w:firstLine="480" w:firstLineChars="200"/>
        <w:rPr>
          <w:rFonts w:ascii="宋体" w:hAnsi="宋体" w:cs="宋体"/>
          <w:color w:val="auto"/>
          <w:sz w:val="24"/>
        </w:rPr>
      </w:pPr>
      <w:r>
        <w:rPr>
          <w:rFonts w:hint="eastAsia" w:ascii="宋体" w:hAnsi="宋体" w:cs="宋体"/>
          <w:color w:val="auto"/>
          <w:sz w:val="24"/>
        </w:rPr>
        <w:t>3.不可抗力事件延续一百二十天以上，双方应通过友好协商，确定是否继续履行合同。</w:t>
      </w:r>
    </w:p>
    <w:p w14:paraId="143C7DF0">
      <w:pPr>
        <w:spacing w:beforeLines="50" w:afterLines="50"/>
        <w:rPr>
          <w:rFonts w:ascii="宋体" w:hAnsi="宋体" w:cs="宋体"/>
          <w:b/>
          <w:bCs/>
          <w:color w:val="auto"/>
          <w:sz w:val="24"/>
        </w:rPr>
      </w:pPr>
      <w:r>
        <w:rPr>
          <w:rFonts w:hint="eastAsia" w:ascii="宋体" w:hAnsi="宋体" w:cs="宋体"/>
          <w:b/>
          <w:bCs/>
          <w:color w:val="auto"/>
          <w:sz w:val="24"/>
        </w:rPr>
        <w:t>十五、诉讼</w:t>
      </w:r>
    </w:p>
    <w:p w14:paraId="7085529E">
      <w:pPr>
        <w:spacing w:beforeLines="50" w:afterLines="50"/>
        <w:ind w:firstLine="480" w:firstLineChars="200"/>
        <w:rPr>
          <w:rFonts w:ascii="宋体" w:hAnsi="宋体" w:cs="宋体"/>
          <w:color w:val="auto"/>
          <w:sz w:val="24"/>
        </w:rPr>
      </w:pPr>
      <w:r>
        <w:rPr>
          <w:rFonts w:hint="eastAsia" w:ascii="宋体" w:hAnsi="宋体" w:cs="宋体"/>
          <w:color w:val="auto"/>
          <w:sz w:val="24"/>
        </w:rPr>
        <w:t xml:space="preserve">双方在执行合同中所发生的一切争议，应通过协商解决。如协商不成，可向甲方所在地法院起诉。       </w:t>
      </w:r>
    </w:p>
    <w:p w14:paraId="63FBDA07">
      <w:pPr>
        <w:spacing w:beforeLines="50" w:afterLines="50"/>
        <w:rPr>
          <w:rFonts w:ascii="宋体" w:hAnsi="宋体" w:cs="宋体"/>
          <w:b/>
          <w:bCs/>
          <w:color w:val="auto"/>
          <w:sz w:val="24"/>
        </w:rPr>
      </w:pPr>
      <w:r>
        <w:rPr>
          <w:rFonts w:hint="eastAsia" w:ascii="宋体" w:hAnsi="宋体" w:cs="宋体"/>
          <w:b/>
          <w:bCs/>
          <w:color w:val="auto"/>
          <w:sz w:val="24"/>
        </w:rPr>
        <w:t>十六、合同生效及其它</w:t>
      </w:r>
    </w:p>
    <w:p w14:paraId="55FAC556">
      <w:pPr>
        <w:spacing w:beforeLines="50" w:afterLines="50"/>
        <w:ind w:firstLine="480" w:firstLineChars="200"/>
        <w:rPr>
          <w:rFonts w:ascii="宋体" w:hAnsi="宋体" w:cs="宋体"/>
          <w:color w:val="auto"/>
          <w:sz w:val="24"/>
        </w:rPr>
      </w:pPr>
      <w:r>
        <w:rPr>
          <w:rFonts w:hint="eastAsia" w:ascii="宋体" w:hAnsi="宋体" w:cs="宋体"/>
          <w:color w:val="auto"/>
          <w:sz w:val="24"/>
        </w:rPr>
        <w:t>1.合同经双方法定代表人或授权代表签字并加盖单位公章后生效。</w:t>
      </w:r>
    </w:p>
    <w:p w14:paraId="12659093">
      <w:pPr>
        <w:spacing w:beforeLines="50" w:afterLines="50"/>
        <w:ind w:firstLine="480" w:firstLineChars="200"/>
        <w:rPr>
          <w:rFonts w:ascii="宋体" w:hAnsi="宋体" w:cs="宋体"/>
          <w:color w:val="auto"/>
          <w:sz w:val="24"/>
        </w:rPr>
      </w:pPr>
      <w:r>
        <w:rPr>
          <w:rFonts w:hint="eastAsia" w:ascii="宋体" w:hAnsi="宋体" w:cs="宋体"/>
          <w:color w:val="auto"/>
          <w:sz w:val="24"/>
        </w:rPr>
        <w:t>2.本合同未尽事宜，甲乙双方协商一致可以另行签订补充协议解决，或者遵照《中华人民共和国民法典》有关条文执行。</w:t>
      </w:r>
    </w:p>
    <w:p w14:paraId="108D6BCC">
      <w:pPr>
        <w:spacing w:beforeLines="50" w:afterLines="50"/>
        <w:ind w:firstLine="480" w:firstLineChars="200"/>
        <w:rPr>
          <w:rFonts w:ascii="宋体" w:hAnsi="宋体" w:cs="宋体"/>
          <w:color w:val="auto"/>
          <w:sz w:val="24"/>
        </w:rPr>
      </w:pPr>
      <w:r>
        <w:rPr>
          <w:rFonts w:hint="eastAsia" w:ascii="宋体" w:hAnsi="宋体" w:cs="宋体"/>
          <w:color w:val="auto"/>
          <w:sz w:val="24"/>
        </w:rPr>
        <w:t>3.本合同一式五份，具有同等法律效力，甲乙双方各执两份，采购代理机构执一份。</w:t>
      </w:r>
    </w:p>
    <w:p w14:paraId="36CF3F5D">
      <w:pPr>
        <w:spacing w:beforeLines="50" w:afterLines="50"/>
        <w:ind w:firstLine="480" w:firstLineChars="200"/>
        <w:rPr>
          <w:rFonts w:ascii="宋体" w:hAnsi="宋体" w:cs="宋体"/>
          <w:color w:val="auto"/>
          <w:sz w:val="24"/>
        </w:rPr>
      </w:pPr>
      <w:r>
        <w:rPr>
          <w:rFonts w:hint="eastAsia" w:ascii="宋体" w:hAnsi="宋体" w:cs="宋体"/>
          <w:color w:val="auto"/>
          <w:sz w:val="24"/>
        </w:rPr>
        <w:t>4.本合同附件及招标文件、投标文件、书面澄清（承诺）等系本合同的组成部分。</w:t>
      </w:r>
    </w:p>
    <w:p w14:paraId="3300729E">
      <w:pPr>
        <w:pStyle w:val="2"/>
        <w:rPr>
          <w:rFonts w:ascii="宋体" w:hAnsi="宋体" w:cs="宋体"/>
          <w:color w:val="auto"/>
        </w:rPr>
      </w:pPr>
    </w:p>
    <w:p w14:paraId="4523EA0A">
      <w:pPr>
        <w:pStyle w:val="29"/>
        <w:ind w:firstLine="210"/>
        <w:rPr>
          <w:rFonts w:ascii="宋体" w:hAnsi="宋体" w:cs="宋体"/>
          <w:color w:val="auto"/>
        </w:rPr>
      </w:pPr>
    </w:p>
    <w:p w14:paraId="674B6815">
      <w:pPr>
        <w:pStyle w:val="13"/>
        <w:rPr>
          <w:rFonts w:hAnsi="宋体" w:cs="宋体"/>
          <w:color w:val="auto"/>
          <w:sz w:val="24"/>
        </w:rPr>
      </w:pPr>
    </w:p>
    <w:p w14:paraId="003399B8">
      <w:pPr>
        <w:widowControl/>
        <w:snapToGrid w:val="0"/>
        <w:spacing w:beforeLines="20" w:afterLines="20" w:line="288" w:lineRule="auto"/>
        <w:jc w:val="left"/>
        <w:rPr>
          <w:rFonts w:ascii="宋体" w:hAnsi="宋体" w:cs="宋体"/>
          <w:color w:val="auto"/>
          <w:kern w:val="0"/>
          <w:sz w:val="14"/>
          <w:szCs w:val="14"/>
        </w:rPr>
      </w:pPr>
      <w:r>
        <w:rPr>
          <w:rFonts w:hint="eastAsia" w:ascii="宋体" w:hAnsi="宋体" w:cs="宋体"/>
          <w:color w:val="auto"/>
          <w:kern w:val="0"/>
          <w:sz w:val="24"/>
        </w:rPr>
        <w:t>甲方（盖章）：</w:t>
      </w:r>
      <w:r>
        <w:rPr>
          <w:rFonts w:hint="eastAsia" w:ascii="宋体" w:hAnsi="宋体" w:cs="宋体"/>
          <w:color w:val="auto"/>
          <w:kern w:val="0"/>
          <w:sz w:val="24"/>
          <w:u w:val="single"/>
        </w:rPr>
        <w:t xml:space="preserve">                       </w:t>
      </w:r>
      <w:r>
        <w:rPr>
          <w:rFonts w:hint="eastAsia" w:ascii="宋体" w:hAnsi="宋体" w:cs="宋体"/>
          <w:color w:val="auto"/>
          <w:kern w:val="0"/>
          <w:sz w:val="24"/>
        </w:rPr>
        <w:t>　乙方（盖章）：</w:t>
      </w:r>
      <w:r>
        <w:rPr>
          <w:rFonts w:hint="eastAsia" w:ascii="宋体" w:hAnsi="宋体" w:cs="宋体"/>
          <w:color w:val="auto"/>
          <w:kern w:val="0"/>
          <w:sz w:val="24"/>
          <w:u w:val="single"/>
        </w:rPr>
        <w:t xml:space="preserve">                         </w:t>
      </w:r>
    </w:p>
    <w:p w14:paraId="1747E8A5">
      <w:pPr>
        <w:widowControl/>
        <w:snapToGrid w:val="0"/>
        <w:spacing w:beforeLines="20" w:afterLines="20" w:line="288" w:lineRule="auto"/>
        <w:jc w:val="left"/>
        <w:rPr>
          <w:rFonts w:ascii="宋体" w:hAnsi="宋体" w:cs="宋体"/>
          <w:color w:val="auto"/>
          <w:kern w:val="0"/>
          <w:sz w:val="24"/>
        </w:rPr>
      </w:pPr>
      <w:r>
        <w:rPr>
          <w:rFonts w:hint="eastAsia" w:ascii="宋体" w:hAnsi="宋体" w:cs="宋体"/>
          <w:color w:val="auto"/>
          <w:kern w:val="0"/>
          <w:sz w:val="24"/>
        </w:rPr>
        <w:t>地址：</w:t>
      </w:r>
      <w:r>
        <w:rPr>
          <w:rFonts w:hint="eastAsia" w:ascii="宋体" w:hAnsi="宋体" w:cs="宋体"/>
          <w:color w:val="auto"/>
          <w:kern w:val="0"/>
          <w:sz w:val="24"/>
          <w:u w:val="single"/>
        </w:rPr>
        <w:t xml:space="preserve">                               </w:t>
      </w:r>
      <w:r>
        <w:rPr>
          <w:rFonts w:hint="eastAsia" w:ascii="宋体" w:hAnsi="宋体" w:cs="宋体"/>
          <w:color w:val="auto"/>
          <w:kern w:val="0"/>
          <w:sz w:val="24"/>
        </w:rPr>
        <w:t xml:space="preserve">  地址：</w:t>
      </w:r>
      <w:r>
        <w:rPr>
          <w:rFonts w:hint="eastAsia" w:ascii="宋体" w:hAnsi="宋体" w:cs="宋体"/>
          <w:color w:val="auto"/>
          <w:kern w:val="0"/>
          <w:sz w:val="24"/>
          <w:u w:val="single"/>
        </w:rPr>
        <w:t xml:space="preserve">                         　　　　</w:t>
      </w:r>
    </w:p>
    <w:p w14:paraId="197BD4BD">
      <w:pPr>
        <w:widowControl/>
        <w:snapToGrid w:val="0"/>
        <w:spacing w:beforeLines="20" w:afterLines="20" w:line="288" w:lineRule="auto"/>
        <w:jc w:val="left"/>
        <w:rPr>
          <w:rFonts w:ascii="宋体" w:hAnsi="宋体" w:cs="宋体"/>
          <w:color w:val="auto"/>
          <w:kern w:val="0"/>
          <w:sz w:val="24"/>
        </w:rPr>
      </w:pPr>
      <w:r>
        <w:rPr>
          <w:rFonts w:hint="eastAsia" w:ascii="宋体" w:hAnsi="宋体" w:cs="宋体"/>
          <w:color w:val="auto"/>
          <w:kern w:val="0"/>
          <w:sz w:val="24"/>
        </w:rPr>
        <w:t>法定代表人（负责人）：</w:t>
      </w:r>
      <w:r>
        <w:rPr>
          <w:rFonts w:hint="eastAsia" w:ascii="宋体" w:hAnsi="宋体" w:cs="宋体"/>
          <w:color w:val="auto"/>
          <w:kern w:val="0"/>
          <w:sz w:val="24"/>
          <w:u w:val="single"/>
        </w:rPr>
        <w:t xml:space="preserve">               </w:t>
      </w:r>
      <w:r>
        <w:rPr>
          <w:rFonts w:hint="eastAsia" w:ascii="宋体" w:hAnsi="宋体" w:cs="宋体"/>
          <w:color w:val="auto"/>
          <w:kern w:val="0"/>
          <w:sz w:val="24"/>
        </w:rPr>
        <w:t>　法定代表人（负责人）：</w:t>
      </w:r>
      <w:r>
        <w:rPr>
          <w:rFonts w:hint="eastAsia" w:ascii="宋体" w:hAnsi="宋体" w:cs="宋体"/>
          <w:color w:val="auto"/>
          <w:kern w:val="0"/>
          <w:sz w:val="24"/>
          <w:u w:val="single"/>
        </w:rPr>
        <w:t xml:space="preserve">                 </w:t>
      </w:r>
    </w:p>
    <w:p w14:paraId="6C802C83">
      <w:pPr>
        <w:widowControl/>
        <w:snapToGrid w:val="0"/>
        <w:spacing w:beforeLines="20" w:afterLines="20" w:line="288" w:lineRule="auto"/>
        <w:jc w:val="left"/>
        <w:rPr>
          <w:rFonts w:ascii="宋体" w:hAnsi="宋体" w:cs="宋体"/>
          <w:color w:val="auto"/>
          <w:kern w:val="0"/>
          <w:sz w:val="24"/>
        </w:rPr>
      </w:pPr>
      <w:r>
        <w:rPr>
          <w:rFonts w:hint="eastAsia" w:ascii="宋体" w:hAnsi="宋体" w:cs="宋体"/>
          <w:color w:val="auto"/>
          <w:kern w:val="0"/>
          <w:sz w:val="24"/>
        </w:rPr>
        <w:t>委托代理人：</w:t>
      </w:r>
      <w:r>
        <w:rPr>
          <w:rFonts w:hint="eastAsia" w:ascii="宋体" w:hAnsi="宋体" w:cs="宋体"/>
          <w:color w:val="auto"/>
          <w:kern w:val="0"/>
          <w:sz w:val="24"/>
          <w:u w:val="single"/>
        </w:rPr>
        <w:t xml:space="preserve">　　　　　　　　　　　　 </w:t>
      </w:r>
      <w:r>
        <w:rPr>
          <w:rFonts w:hint="eastAsia" w:ascii="宋体" w:hAnsi="宋体" w:cs="宋体"/>
          <w:color w:val="auto"/>
          <w:kern w:val="0"/>
          <w:sz w:val="24"/>
        </w:rPr>
        <w:t xml:space="preserve">  委托代理人：</w:t>
      </w:r>
      <w:r>
        <w:rPr>
          <w:rFonts w:hint="eastAsia" w:ascii="宋体" w:hAnsi="宋体" w:cs="宋体"/>
          <w:color w:val="auto"/>
          <w:kern w:val="0"/>
          <w:sz w:val="24"/>
          <w:u w:val="single"/>
        </w:rPr>
        <w:t xml:space="preserve">                           </w:t>
      </w:r>
    </w:p>
    <w:p w14:paraId="545A1828">
      <w:pPr>
        <w:widowControl/>
        <w:snapToGrid w:val="0"/>
        <w:spacing w:beforeLines="20" w:afterLines="20" w:line="288" w:lineRule="auto"/>
        <w:jc w:val="left"/>
        <w:rPr>
          <w:rFonts w:ascii="宋体" w:hAnsi="宋体" w:cs="宋体"/>
          <w:color w:val="auto"/>
          <w:kern w:val="0"/>
          <w:sz w:val="24"/>
        </w:rPr>
      </w:pPr>
      <w:r>
        <w:rPr>
          <w:rFonts w:hint="eastAsia" w:ascii="宋体" w:hAnsi="宋体" w:cs="宋体"/>
          <w:color w:val="auto"/>
          <w:kern w:val="0"/>
          <w:sz w:val="24"/>
        </w:rPr>
        <w:t>联系方式：</w:t>
      </w:r>
      <w:r>
        <w:rPr>
          <w:rFonts w:hint="eastAsia" w:ascii="宋体" w:hAnsi="宋体" w:cs="宋体"/>
          <w:color w:val="auto"/>
          <w:kern w:val="0"/>
          <w:sz w:val="24"/>
          <w:u w:val="single"/>
        </w:rPr>
        <w:t xml:space="preserve">　　　　　　　　　　　　   </w:t>
      </w:r>
      <w:r>
        <w:rPr>
          <w:rFonts w:hint="eastAsia" w:ascii="宋体" w:hAnsi="宋体" w:cs="宋体"/>
          <w:color w:val="auto"/>
          <w:kern w:val="0"/>
          <w:sz w:val="24"/>
        </w:rPr>
        <w:t xml:space="preserve">  联系方式：</w:t>
      </w:r>
      <w:r>
        <w:rPr>
          <w:rFonts w:hint="eastAsia" w:ascii="宋体" w:hAnsi="宋体" w:cs="宋体"/>
          <w:color w:val="auto"/>
          <w:kern w:val="0"/>
          <w:sz w:val="24"/>
          <w:u w:val="single"/>
        </w:rPr>
        <w:t xml:space="preserve">　　　　　　　　　　    　　 </w:t>
      </w:r>
    </w:p>
    <w:p w14:paraId="326195BB">
      <w:pPr>
        <w:widowControl/>
        <w:snapToGrid w:val="0"/>
        <w:spacing w:beforeLines="20" w:afterLines="20" w:line="288" w:lineRule="auto"/>
        <w:jc w:val="left"/>
        <w:rPr>
          <w:rFonts w:ascii="宋体" w:hAnsi="宋体" w:cs="宋体"/>
          <w:color w:val="auto"/>
          <w:kern w:val="0"/>
          <w:sz w:val="14"/>
          <w:szCs w:val="14"/>
        </w:rPr>
      </w:pPr>
      <w:r>
        <w:rPr>
          <w:rFonts w:hint="eastAsia" w:ascii="宋体" w:hAnsi="宋体" w:cs="宋体"/>
          <w:color w:val="auto"/>
          <w:kern w:val="0"/>
          <w:sz w:val="24"/>
        </w:rPr>
        <w:t>账户名称：</w:t>
      </w:r>
      <w:r>
        <w:rPr>
          <w:rFonts w:hint="eastAsia" w:ascii="宋体" w:hAnsi="宋体" w:cs="宋体"/>
          <w:color w:val="auto"/>
          <w:kern w:val="0"/>
          <w:sz w:val="24"/>
          <w:u w:val="single"/>
        </w:rPr>
        <w:t xml:space="preserve">                           </w:t>
      </w:r>
      <w:r>
        <w:rPr>
          <w:rFonts w:hint="eastAsia" w:ascii="宋体" w:hAnsi="宋体" w:cs="宋体"/>
          <w:color w:val="auto"/>
          <w:kern w:val="0"/>
          <w:sz w:val="24"/>
        </w:rPr>
        <w:t>　账户名称：</w:t>
      </w:r>
      <w:r>
        <w:rPr>
          <w:rFonts w:hint="eastAsia" w:ascii="宋体" w:hAnsi="宋体" w:cs="宋体"/>
          <w:color w:val="auto"/>
          <w:kern w:val="0"/>
          <w:sz w:val="24"/>
          <w:u w:val="single"/>
        </w:rPr>
        <w:t xml:space="preserve">                             </w:t>
      </w:r>
    </w:p>
    <w:p w14:paraId="479F759F">
      <w:pPr>
        <w:widowControl/>
        <w:snapToGrid w:val="0"/>
        <w:spacing w:beforeLines="20" w:afterLines="20" w:line="288" w:lineRule="auto"/>
        <w:jc w:val="left"/>
        <w:rPr>
          <w:rFonts w:ascii="宋体" w:hAnsi="宋体" w:cs="宋体"/>
          <w:color w:val="auto"/>
          <w:kern w:val="0"/>
          <w:sz w:val="24"/>
          <w:u w:val="single"/>
        </w:rPr>
      </w:pPr>
      <w:r>
        <w:rPr>
          <w:rFonts w:hint="eastAsia" w:ascii="宋体" w:hAnsi="宋体" w:cs="宋体"/>
          <w:color w:val="auto"/>
          <w:kern w:val="0"/>
          <w:sz w:val="24"/>
        </w:rPr>
        <w:t>开户银行：</w:t>
      </w:r>
      <w:r>
        <w:rPr>
          <w:rFonts w:hint="eastAsia" w:ascii="宋体" w:hAnsi="宋体" w:cs="宋体"/>
          <w:color w:val="auto"/>
          <w:kern w:val="0"/>
          <w:sz w:val="24"/>
          <w:u w:val="single"/>
        </w:rPr>
        <w:t xml:space="preserve">　　　　　　　　　　　　　 </w:t>
      </w:r>
      <w:r>
        <w:rPr>
          <w:rFonts w:hint="eastAsia" w:ascii="宋体" w:hAnsi="宋体" w:cs="宋体"/>
          <w:color w:val="auto"/>
          <w:kern w:val="0"/>
          <w:sz w:val="24"/>
        </w:rPr>
        <w:t xml:space="preserve">  开户银行：</w:t>
      </w:r>
      <w:r>
        <w:rPr>
          <w:rFonts w:hint="eastAsia" w:ascii="宋体" w:hAnsi="宋体" w:cs="宋体"/>
          <w:color w:val="auto"/>
          <w:kern w:val="0"/>
          <w:sz w:val="24"/>
          <w:u w:val="single"/>
        </w:rPr>
        <w:t xml:space="preserve">                              </w:t>
      </w:r>
    </w:p>
    <w:p w14:paraId="3803B497">
      <w:pPr>
        <w:widowControl/>
        <w:snapToGrid w:val="0"/>
        <w:spacing w:beforeLines="20" w:afterLines="20" w:line="288" w:lineRule="auto"/>
        <w:jc w:val="left"/>
        <w:rPr>
          <w:rFonts w:ascii="宋体" w:hAnsi="宋体" w:cs="宋体"/>
          <w:color w:val="auto"/>
          <w:kern w:val="0"/>
          <w:sz w:val="24"/>
          <w:u w:val="single"/>
        </w:rPr>
      </w:pPr>
      <w:r>
        <w:rPr>
          <w:rFonts w:hint="eastAsia" w:ascii="宋体" w:hAnsi="宋体" w:cs="宋体"/>
          <w:color w:val="auto"/>
          <w:kern w:val="0"/>
          <w:sz w:val="24"/>
        </w:rPr>
        <w:t>账号：</w:t>
      </w:r>
      <w:r>
        <w:rPr>
          <w:rFonts w:hint="eastAsia" w:ascii="宋体" w:hAnsi="宋体" w:cs="宋体"/>
          <w:color w:val="auto"/>
          <w:kern w:val="0"/>
          <w:sz w:val="24"/>
          <w:u w:val="single"/>
        </w:rPr>
        <w:t>　　　　　　　　　　　　　　　</w:t>
      </w:r>
      <w:r>
        <w:rPr>
          <w:rFonts w:hint="eastAsia" w:ascii="宋体" w:hAnsi="宋体" w:cs="宋体"/>
          <w:color w:val="auto"/>
          <w:kern w:val="0"/>
          <w:sz w:val="24"/>
        </w:rPr>
        <w:t>　 账号：</w:t>
      </w:r>
      <w:r>
        <w:rPr>
          <w:rFonts w:hint="eastAsia" w:ascii="宋体" w:hAnsi="宋体" w:cs="宋体"/>
          <w:color w:val="auto"/>
          <w:kern w:val="0"/>
          <w:sz w:val="24"/>
          <w:u w:val="single"/>
        </w:rPr>
        <w:t xml:space="preserve">                                  </w:t>
      </w:r>
    </w:p>
    <w:p w14:paraId="56A414AA">
      <w:pPr>
        <w:widowControl/>
        <w:snapToGrid w:val="0"/>
        <w:spacing w:beforeLines="20" w:afterLines="20" w:line="288" w:lineRule="auto"/>
        <w:jc w:val="left"/>
        <w:rPr>
          <w:rFonts w:ascii="宋体" w:hAnsi="宋体" w:cs="宋体"/>
          <w:color w:val="auto"/>
          <w:kern w:val="0"/>
          <w:sz w:val="24"/>
        </w:rPr>
      </w:pPr>
      <w:r>
        <w:rPr>
          <w:rFonts w:hint="eastAsia" w:ascii="宋体" w:hAnsi="宋体" w:cs="宋体"/>
          <w:color w:val="auto"/>
          <w:kern w:val="0"/>
          <w:sz w:val="24"/>
        </w:rPr>
        <w:t>签订时间：</w:t>
      </w:r>
      <w:r>
        <w:rPr>
          <w:rFonts w:hint="eastAsia" w:ascii="宋体" w:hAnsi="宋体" w:cs="宋体"/>
          <w:color w:val="auto"/>
          <w:kern w:val="0"/>
          <w:sz w:val="24"/>
          <w:u w:val="single"/>
        </w:rPr>
        <w:t xml:space="preserve">                                                                     </w:t>
      </w:r>
    </w:p>
    <w:p w14:paraId="04787D7B">
      <w:pPr>
        <w:snapToGrid w:val="0"/>
        <w:spacing w:afterLines="30" w:line="288" w:lineRule="auto"/>
        <w:rPr>
          <w:rFonts w:ascii="宋体" w:hAnsi="宋体" w:cs="宋体"/>
          <w:color w:val="auto"/>
          <w:sz w:val="24"/>
        </w:rPr>
      </w:pPr>
      <w:r>
        <w:rPr>
          <w:rFonts w:hint="eastAsia" w:ascii="宋体" w:hAnsi="宋体" w:cs="宋体"/>
          <w:color w:val="auto"/>
          <w:kern w:val="0"/>
          <w:sz w:val="24"/>
        </w:rPr>
        <w:t>签订地点：</w:t>
      </w:r>
      <w:r>
        <w:rPr>
          <w:rFonts w:hint="eastAsia" w:ascii="宋体" w:hAnsi="宋体" w:cs="宋体"/>
          <w:color w:val="auto"/>
          <w:kern w:val="0"/>
          <w:sz w:val="24"/>
          <w:u w:val="single"/>
        </w:rPr>
        <w:t xml:space="preserve">                                                                   </w:t>
      </w:r>
    </w:p>
    <w:p w14:paraId="0EB622D6">
      <w:pPr>
        <w:pStyle w:val="29"/>
        <w:ind w:firstLine="0" w:firstLineChars="0"/>
        <w:rPr>
          <w:rFonts w:ascii="宋体" w:hAnsi="宋体" w:cs="宋体"/>
          <w:color w:val="auto"/>
          <w:sz w:val="24"/>
        </w:rPr>
      </w:pPr>
    </w:p>
    <w:p w14:paraId="0F4E7F05">
      <w:pPr>
        <w:rPr>
          <w:rFonts w:ascii="宋体" w:hAnsi="宋体" w:cs="宋体"/>
          <w:color w:val="auto"/>
          <w:sz w:val="24"/>
        </w:rPr>
      </w:pPr>
    </w:p>
    <w:p w14:paraId="45A9068C">
      <w:pPr>
        <w:pStyle w:val="24"/>
        <w:ind w:firstLine="400"/>
        <w:rPr>
          <w:rFonts w:ascii="宋体" w:hAnsi="宋体" w:cs="宋体"/>
          <w:color w:val="auto"/>
        </w:rPr>
      </w:pPr>
    </w:p>
    <w:p w14:paraId="641F00DC">
      <w:pPr>
        <w:rPr>
          <w:rFonts w:ascii="宋体" w:hAnsi="宋体" w:cs="宋体"/>
          <w:color w:val="auto"/>
        </w:rPr>
      </w:pPr>
    </w:p>
    <w:p w14:paraId="6C21194E">
      <w:pPr>
        <w:pStyle w:val="30"/>
        <w:rPr>
          <w:rFonts w:ascii="宋体" w:hAnsi="宋体" w:cs="宋体"/>
          <w:color w:val="auto"/>
        </w:rPr>
      </w:pPr>
    </w:p>
    <w:p w14:paraId="4CA3F7D1">
      <w:pPr>
        <w:rPr>
          <w:rFonts w:ascii="宋体" w:hAnsi="宋体" w:cs="宋体"/>
          <w:color w:val="auto"/>
        </w:rPr>
      </w:pPr>
    </w:p>
    <w:p w14:paraId="0D2C1892">
      <w:pPr>
        <w:pStyle w:val="30"/>
        <w:rPr>
          <w:rFonts w:ascii="宋体" w:hAnsi="宋体" w:cs="宋体"/>
          <w:color w:val="auto"/>
        </w:rPr>
      </w:pPr>
    </w:p>
    <w:p w14:paraId="3D49D183">
      <w:pPr>
        <w:rPr>
          <w:rFonts w:ascii="宋体" w:hAnsi="宋体" w:cs="宋体"/>
          <w:color w:val="auto"/>
        </w:rPr>
      </w:pPr>
    </w:p>
    <w:p w14:paraId="055AF80A">
      <w:pPr>
        <w:pStyle w:val="2"/>
        <w:rPr>
          <w:color w:val="auto"/>
        </w:rPr>
      </w:pPr>
    </w:p>
    <w:p w14:paraId="444CCA95">
      <w:pPr>
        <w:rPr>
          <w:rFonts w:ascii="宋体" w:hAnsi="宋体" w:cs="宋体"/>
          <w:color w:val="auto"/>
        </w:rPr>
      </w:pPr>
    </w:p>
    <w:p w14:paraId="6AE53CAA">
      <w:pPr>
        <w:rPr>
          <w:rFonts w:ascii="宋体" w:hAnsi="宋体" w:cs="宋体"/>
          <w:color w:val="auto"/>
        </w:rPr>
      </w:pPr>
    </w:p>
    <w:p w14:paraId="157365AB">
      <w:pPr>
        <w:pStyle w:val="2"/>
        <w:rPr>
          <w:color w:val="auto"/>
        </w:rPr>
      </w:pPr>
    </w:p>
    <w:p w14:paraId="6FF4D2E7">
      <w:pPr>
        <w:rPr>
          <w:rFonts w:ascii="宋体" w:hAnsi="宋体" w:cs="宋体"/>
          <w:color w:val="auto"/>
        </w:rPr>
      </w:pPr>
    </w:p>
    <w:p w14:paraId="148AD591">
      <w:pPr>
        <w:pStyle w:val="30"/>
        <w:rPr>
          <w:rFonts w:ascii="宋体" w:hAnsi="宋体" w:cs="宋体"/>
          <w:color w:val="auto"/>
        </w:rPr>
      </w:pPr>
    </w:p>
    <w:p w14:paraId="41384E76">
      <w:pPr>
        <w:spacing w:line="400" w:lineRule="exact"/>
        <w:jc w:val="center"/>
        <w:outlineLvl w:val="0"/>
        <w:rPr>
          <w:rFonts w:ascii="宋体" w:hAnsi="宋体" w:cs="宋体"/>
          <w:b/>
          <w:color w:val="auto"/>
          <w:sz w:val="36"/>
          <w:szCs w:val="44"/>
          <w:highlight w:val="yellow"/>
        </w:rPr>
      </w:pPr>
      <w:bookmarkStart w:id="38" w:name="_Toc32166"/>
      <w:r>
        <w:rPr>
          <w:rFonts w:hint="eastAsia" w:ascii="宋体" w:hAnsi="宋体" w:cs="宋体"/>
          <w:b/>
          <w:color w:val="auto"/>
          <w:sz w:val="36"/>
          <w:szCs w:val="44"/>
          <w:highlight w:val="yellow"/>
        </w:rPr>
        <w:t>第五章 评标办法及评分标准</w:t>
      </w:r>
      <w:bookmarkEnd w:id="38"/>
    </w:p>
    <w:p w14:paraId="58DA80A6">
      <w:pPr>
        <w:pStyle w:val="7"/>
        <w:snapToGrid w:val="0"/>
        <w:spacing w:beforeLines="50" w:afterLines="50"/>
        <w:rPr>
          <w:rFonts w:hAnsi="宋体" w:cs="宋体"/>
          <w:b/>
          <w:color w:val="auto"/>
          <w:sz w:val="28"/>
          <w:szCs w:val="28"/>
        </w:rPr>
      </w:pPr>
      <w:r>
        <w:rPr>
          <w:rFonts w:hint="eastAsia" w:hAnsi="宋体" w:cs="宋体"/>
          <w:b/>
          <w:color w:val="auto"/>
          <w:sz w:val="28"/>
          <w:szCs w:val="28"/>
        </w:rPr>
        <w:t>一、总则</w:t>
      </w:r>
    </w:p>
    <w:p w14:paraId="298C436A">
      <w:pPr>
        <w:pStyle w:val="7"/>
        <w:snapToGrid w:val="0"/>
        <w:spacing w:beforeLines="50" w:afterLines="50" w:line="288" w:lineRule="auto"/>
        <w:ind w:firstLine="480" w:firstLineChars="200"/>
        <w:rPr>
          <w:rFonts w:hAnsi="宋体" w:cs="宋体"/>
          <w:color w:val="auto"/>
          <w:sz w:val="24"/>
        </w:rPr>
      </w:pPr>
      <w:r>
        <w:rPr>
          <w:rFonts w:hint="eastAsia" w:hAnsi="宋体" w:cs="宋体"/>
          <w:color w:val="auto"/>
          <w:sz w:val="24"/>
        </w:rPr>
        <w:t>评标委员会必须公平、公正、客观，不带任何倾向性和启发性，不得向外界透露任何与评标有关的内容；任何单位和个人不得干扰、影响评货物正常进行；评标委员会及有关工作人员不得私下与供应商接触。</w:t>
      </w:r>
    </w:p>
    <w:p w14:paraId="6CA5C3AC">
      <w:pPr>
        <w:pStyle w:val="7"/>
        <w:numPr>
          <w:ilvl w:val="0"/>
          <w:numId w:val="15"/>
        </w:numPr>
        <w:snapToGrid w:val="0"/>
        <w:spacing w:beforeLines="50" w:afterLines="50" w:line="300" w:lineRule="auto"/>
        <w:rPr>
          <w:rFonts w:hAnsi="宋体" w:cs="宋体"/>
          <w:b/>
          <w:color w:val="auto"/>
          <w:sz w:val="28"/>
          <w:szCs w:val="28"/>
          <w:u w:val="single"/>
        </w:rPr>
      </w:pPr>
      <w:r>
        <w:rPr>
          <w:rFonts w:hint="eastAsia" w:hAnsi="宋体" w:cs="宋体"/>
          <w:b/>
          <w:color w:val="auto"/>
          <w:sz w:val="28"/>
          <w:szCs w:val="28"/>
        </w:rPr>
        <w:t>评标办法：本次评标采用综合评分法。</w:t>
      </w:r>
      <w:r>
        <w:rPr>
          <w:rFonts w:hint="eastAsia" w:hAnsi="宋体" w:cs="宋体"/>
          <w:b/>
          <w:color w:val="auto"/>
          <w:sz w:val="28"/>
          <w:szCs w:val="28"/>
          <w:u w:val="single"/>
        </w:rPr>
        <w:t>总分为100分，其中商务技术分90分，价格分10分。</w:t>
      </w:r>
    </w:p>
    <w:p w14:paraId="18D17AD2">
      <w:pPr>
        <w:autoSpaceDE w:val="0"/>
        <w:autoSpaceDN w:val="0"/>
        <w:adjustRightInd w:val="0"/>
        <w:spacing w:before="156" w:line="360" w:lineRule="auto"/>
        <w:rPr>
          <w:rFonts w:ascii="宋体" w:hAnsi="宋体" w:cs="宋体"/>
          <w:b/>
          <w:bCs/>
          <w:color w:val="auto"/>
          <w:sz w:val="24"/>
          <w:lang w:val="zh-CN"/>
        </w:rPr>
      </w:pPr>
      <w:r>
        <w:rPr>
          <w:rFonts w:hint="eastAsia" w:ascii="宋体" w:hAnsi="宋体" w:cs="宋体"/>
          <w:b/>
          <w:bCs/>
          <w:color w:val="auto"/>
          <w:sz w:val="24"/>
          <w:lang w:val="zh-CN"/>
        </w:rPr>
        <w:t>（一）评标要求</w:t>
      </w:r>
    </w:p>
    <w:p w14:paraId="680FF2C2">
      <w:pPr>
        <w:autoSpaceDE w:val="0"/>
        <w:autoSpaceDN w:val="0"/>
        <w:adjustRightInd w:val="0"/>
        <w:spacing w:beforeLines="50" w:afterLines="50" w:line="360" w:lineRule="auto"/>
        <w:ind w:firstLine="480" w:firstLineChars="200"/>
        <w:rPr>
          <w:rFonts w:ascii="宋体" w:hAnsi="宋体" w:cs="宋体"/>
          <w:b/>
          <w:bCs/>
          <w:color w:val="auto"/>
          <w:sz w:val="24"/>
          <w:lang w:val="zh-CN"/>
        </w:rPr>
      </w:pPr>
      <w:r>
        <w:rPr>
          <w:rFonts w:hint="eastAsia" w:ascii="宋体" w:hAnsi="宋体" w:cs="宋体"/>
          <w:bCs/>
          <w:color w:val="auto"/>
          <w:sz w:val="24"/>
          <w:lang w:val="zh-CN"/>
        </w:rPr>
        <w:t>1、</w:t>
      </w:r>
      <w:r>
        <w:rPr>
          <w:rFonts w:hint="eastAsia" w:ascii="宋体" w:hAnsi="宋体" w:cs="宋体"/>
          <w:color w:val="auto"/>
          <w:sz w:val="24"/>
          <w:lang w:val="zh-CN"/>
        </w:rPr>
        <w:t>评标委员会对投标文件的内容进行评审，凡投标文件实质性内容不响应采购文件要求和关键格式不符合采购文件规定的，经评标委员会认定作为无效标处理。评标委员会经过审标、询标，在对各供应商及其投标文件进行充分分析、评议的基础上进行打分</w:t>
      </w:r>
      <w:r>
        <w:rPr>
          <w:rFonts w:hint="eastAsia" w:ascii="宋体" w:hAnsi="宋体" w:cs="宋体"/>
          <w:color w:val="auto"/>
          <w:sz w:val="24"/>
        </w:rPr>
        <w:t>。</w:t>
      </w:r>
    </w:p>
    <w:p w14:paraId="2E80C65C">
      <w:pPr>
        <w:autoSpaceDE w:val="0"/>
        <w:autoSpaceDN w:val="0"/>
        <w:adjustRightInd w:val="0"/>
        <w:spacing w:beforeLines="50" w:afterLines="50" w:line="360" w:lineRule="auto"/>
        <w:ind w:firstLine="480" w:firstLineChars="200"/>
        <w:rPr>
          <w:rFonts w:ascii="宋体" w:hAnsi="宋体" w:cs="宋体"/>
          <w:color w:val="auto"/>
          <w:sz w:val="24"/>
          <w:lang w:val="zh-CN"/>
        </w:rPr>
      </w:pPr>
      <w:r>
        <w:rPr>
          <w:rFonts w:hint="eastAsia" w:ascii="宋体" w:hAnsi="宋体" w:cs="宋体"/>
          <w:color w:val="auto"/>
          <w:sz w:val="24"/>
          <w:lang w:val="zh-CN"/>
        </w:rPr>
        <w:t>2、总得分为100分。在规定的分值范围内由评委自行评定打分。</w:t>
      </w:r>
    </w:p>
    <w:p w14:paraId="5CE06E50">
      <w:pPr>
        <w:autoSpaceDE w:val="0"/>
        <w:autoSpaceDN w:val="0"/>
        <w:adjustRightInd w:val="0"/>
        <w:spacing w:beforeLines="50" w:afterLines="50" w:line="360" w:lineRule="auto"/>
        <w:ind w:firstLine="480" w:firstLineChars="200"/>
        <w:rPr>
          <w:rFonts w:ascii="宋体" w:hAnsi="宋体" w:cs="宋体"/>
          <w:color w:val="auto"/>
          <w:sz w:val="24"/>
          <w:lang w:val="zh-CN"/>
        </w:rPr>
      </w:pPr>
      <w:r>
        <w:rPr>
          <w:rFonts w:hint="eastAsia" w:ascii="宋体" w:hAnsi="宋体" w:cs="宋体"/>
          <w:color w:val="auto"/>
          <w:sz w:val="24"/>
          <w:lang w:val="zh-CN"/>
        </w:rPr>
        <w:t>3、根据评委打分累计后再取平均分作为供应商的最终得分。</w:t>
      </w:r>
    </w:p>
    <w:p w14:paraId="3F531EB8">
      <w:pPr>
        <w:autoSpaceDE w:val="0"/>
        <w:autoSpaceDN w:val="0"/>
        <w:adjustRightInd w:val="0"/>
        <w:spacing w:beforeLines="50" w:afterLines="50" w:line="360" w:lineRule="auto"/>
        <w:ind w:firstLine="480" w:firstLineChars="200"/>
        <w:rPr>
          <w:rFonts w:ascii="宋体" w:hAnsi="宋体" w:cs="宋体"/>
          <w:color w:val="auto"/>
          <w:sz w:val="24"/>
          <w:lang w:val="zh-CN"/>
        </w:rPr>
      </w:pPr>
      <w:r>
        <w:rPr>
          <w:rFonts w:hint="eastAsia" w:ascii="宋体" w:hAnsi="宋体" w:cs="宋体"/>
          <w:color w:val="auto"/>
          <w:sz w:val="24"/>
          <w:lang w:val="zh-CN"/>
        </w:rPr>
        <w:t>4、所有计算结果小数点后保留2位，第3位四舍五入。</w:t>
      </w:r>
    </w:p>
    <w:p w14:paraId="322C6706">
      <w:pPr>
        <w:tabs>
          <w:tab w:val="left" w:pos="8175"/>
        </w:tabs>
        <w:spacing w:line="360" w:lineRule="auto"/>
        <w:rPr>
          <w:rFonts w:ascii="宋体" w:hAnsi="宋体" w:cs="宋体"/>
          <w:b/>
          <w:color w:val="auto"/>
          <w:sz w:val="24"/>
        </w:rPr>
      </w:pPr>
      <w:r>
        <w:rPr>
          <w:rFonts w:hint="eastAsia" w:ascii="宋体" w:hAnsi="宋体" w:cs="宋体"/>
          <w:b/>
          <w:color w:val="auto"/>
          <w:sz w:val="24"/>
        </w:rPr>
        <w:t>（二）评标</w:t>
      </w:r>
      <w:r>
        <w:rPr>
          <w:rFonts w:hint="eastAsia" w:ascii="宋体" w:hAnsi="宋体" w:cs="宋体"/>
          <w:b/>
          <w:color w:val="auto"/>
          <w:sz w:val="24"/>
        </w:rPr>
        <w:tab/>
      </w:r>
    </w:p>
    <w:p w14:paraId="41EC0F79">
      <w:pPr>
        <w:spacing w:beforeLines="50" w:afterLines="50" w:line="360" w:lineRule="auto"/>
        <w:rPr>
          <w:rFonts w:ascii="宋体" w:hAnsi="宋体" w:cs="宋体"/>
          <w:b/>
          <w:color w:val="auto"/>
          <w:sz w:val="24"/>
        </w:rPr>
      </w:pPr>
      <w:r>
        <w:rPr>
          <w:rFonts w:hint="eastAsia" w:ascii="宋体" w:hAnsi="宋体" w:cs="宋体"/>
          <w:b/>
          <w:color w:val="auto"/>
          <w:sz w:val="24"/>
        </w:rPr>
        <w:t>1、投标文件符合性评审</w:t>
      </w:r>
    </w:p>
    <w:p w14:paraId="3444A16A">
      <w:pPr>
        <w:snapToGrid w:val="0"/>
        <w:spacing w:beforeLines="50" w:afterLines="50" w:line="288" w:lineRule="auto"/>
        <w:ind w:firstLine="480" w:firstLineChars="200"/>
        <w:rPr>
          <w:rFonts w:ascii="宋体" w:hAnsi="宋体" w:cs="宋体"/>
          <w:color w:val="auto"/>
          <w:sz w:val="24"/>
        </w:rPr>
      </w:pPr>
      <w:r>
        <w:rPr>
          <w:rFonts w:hint="eastAsia" w:ascii="宋体" w:hAnsi="宋体" w:cs="宋体"/>
          <w:color w:val="auto"/>
          <w:sz w:val="24"/>
        </w:rPr>
        <w:t>评标委员会首先对符合资格的投标供应商的投标文件进行符合性审查，以确定其是否满足采购文件的实质性要求。如果投标文件实质上不响应采购文件要求，评标委员会将按无效标处理。</w:t>
      </w:r>
    </w:p>
    <w:p w14:paraId="491B658F">
      <w:pPr>
        <w:spacing w:beforeLines="50" w:afterLines="50" w:line="360" w:lineRule="auto"/>
        <w:rPr>
          <w:rFonts w:ascii="宋体" w:hAnsi="宋体" w:cs="宋体"/>
          <w:b/>
          <w:color w:val="auto"/>
          <w:sz w:val="24"/>
        </w:rPr>
      </w:pPr>
      <w:r>
        <w:rPr>
          <w:rFonts w:hint="eastAsia" w:ascii="宋体" w:hAnsi="宋体" w:cs="宋体"/>
          <w:b/>
          <w:color w:val="auto"/>
          <w:sz w:val="24"/>
        </w:rPr>
        <w:t xml:space="preserve"> 2、商务技术文件评审</w:t>
      </w:r>
    </w:p>
    <w:p w14:paraId="7802DAFE">
      <w:pPr>
        <w:snapToGrid w:val="0"/>
        <w:spacing w:beforeLines="50" w:afterLines="50" w:line="288" w:lineRule="auto"/>
        <w:ind w:firstLine="240" w:firstLineChars="100"/>
        <w:rPr>
          <w:rFonts w:ascii="宋体" w:hAnsi="宋体" w:cs="宋体"/>
          <w:color w:val="auto"/>
          <w:sz w:val="24"/>
        </w:rPr>
      </w:pPr>
      <w:r>
        <w:rPr>
          <w:rFonts w:hint="eastAsia" w:ascii="宋体" w:hAnsi="宋体" w:cs="宋体"/>
          <w:color w:val="auto"/>
          <w:sz w:val="24"/>
        </w:rPr>
        <w:t>2.1评标委员会应当按照采购文件中规定的评审方法和标准，对符合性审查合格的投标文件进行商务和技术评价与评分。评标时，评标委员会各成员将独立对每个投标供应商的投标文件进行评价，并汇总每个投标供应商的得分。</w:t>
      </w:r>
    </w:p>
    <w:p w14:paraId="13080053">
      <w:pPr>
        <w:snapToGrid w:val="0"/>
        <w:spacing w:line="360" w:lineRule="auto"/>
        <w:ind w:firstLine="241" w:firstLineChars="100"/>
        <w:rPr>
          <w:rFonts w:ascii="宋体" w:hAnsi="宋体" w:cs="宋体"/>
          <w:color w:val="auto"/>
          <w:sz w:val="24"/>
        </w:rPr>
      </w:pPr>
      <w:r>
        <w:rPr>
          <w:rFonts w:hint="eastAsia" w:ascii="宋体" w:hAnsi="宋体" w:cs="宋体"/>
          <w:b/>
          <w:color w:val="auto"/>
          <w:sz w:val="24"/>
        </w:rPr>
        <w:t>2.2商务与技术得分计算方法如下</w:t>
      </w:r>
      <w:r>
        <w:rPr>
          <w:rFonts w:hint="eastAsia" w:ascii="宋体" w:hAnsi="宋体" w:cs="宋体"/>
          <w:color w:val="auto"/>
          <w:sz w:val="24"/>
        </w:rPr>
        <w:t xml:space="preserve">： </w:t>
      </w:r>
    </w:p>
    <w:p w14:paraId="44F7C990">
      <w:pPr>
        <w:spacing w:beforeLines="50" w:afterLines="50" w:line="288" w:lineRule="auto"/>
        <w:ind w:firstLine="482" w:firstLineChars="200"/>
        <w:rPr>
          <w:rFonts w:ascii="宋体" w:hAnsi="宋体" w:cs="宋体"/>
          <w:b/>
          <w:bCs/>
          <w:color w:val="auto"/>
          <w:sz w:val="24"/>
        </w:rPr>
      </w:pPr>
      <w:r>
        <w:rPr>
          <w:rFonts w:hint="eastAsia" w:ascii="宋体" w:hAnsi="宋体" w:cs="宋体"/>
          <w:b/>
          <w:bCs/>
          <w:color w:val="auto"/>
          <w:sz w:val="24"/>
        </w:rPr>
        <w:t>①商务与技术评定分值为</w:t>
      </w:r>
      <w:r>
        <w:rPr>
          <w:rFonts w:hint="eastAsia" w:ascii="宋体" w:hAnsi="宋体" w:cs="宋体"/>
          <w:b/>
          <w:bCs/>
          <w:color w:val="auto"/>
          <w:sz w:val="24"/>
          <w:u w:val="single"/>
        </w:rPr>
        <w:t xml:space="preserve"> 90 </w:t>
      </w:r>
      <w:r>
        <w:rPr>
          <w:rFonts w:hint="eastAsia" w:ascii="宋体" w:hAnsi="宋体" w:cs="宋体"/>
          <w:b/>
          <w:bCs/>
          <w:color w:val="auto"/>
          <w:sz w:val="24"/>
        </w:rPr>
        <w:t>分。</w:t>
      </w:r>
    </w:p>
    <w:p w14:paraId="6A31EBF0">
      <w:pPr>
        <w:spacing w:beforeLines="50" w:afterLines="50" w:line="288" w:lineRule="auto"/>
        <w:ind w:firstLine="480" w:firstLineChars="200"/>
        <w:rPr>
          <w:rFonts w:ascii="宋体" w:hAnsi="宋体" w:cs="宋体"/>
          <w:color w:val="auto"/>
          <w:sz w:val="24"/>
        </w:rPr>
      </w:pPr>
      <w:r>
        <w:rPr>
          <w:rFonts w:hint="eastAsia" w:ascii="宋体" w:hAnsi="宋体" w:cs="宋体"/>
          <w:color w:val="auto"/>
          <w:sz w:val="24"/>
        </w:rPr>
        <w:t>②评标委员会按评分标准（详见下表）中的内容，对各供应商的商务技术文件进行评审打分，合计得出各供应商的商务技术得分。</w:t>
      </w:r>
    </w:p>
    <w:p w14:paraId="1480E6D1">
      <w:pPr>
        <w:spacing w:beforeLines="50" w:afterLines="50" w:line="288" w:lineRule="auto"/>
        <w:ind w:firstLine="480" w:firstLineChars="200"/>
        <w:rPr>
          <w:rFonts w:ascii="宋体" w:hAnsi="宋体" w:cs="宋体"/>
          <w:color w:val="auto"/>
          <w:sz w:val="24"/>
        </w:rPr>
      </w:pPr>
      <w:r>
        <w:rPr>
          <w:rFonts w:hint="eastAsia" w:ascii="宋体" w:hAnsi="宋体" w:cs="宋体"/>
          <w:color w:val="auto"/>
          <w:sz w:val="24"/>
        </w:rPr>
        <w:t>③各供应商的商务与技术得分由评委自行评议，商务与技术得分评分的最终得分为所有评委评分的平均值。</w:t>
      </w:r>
    </w:p>
    <w:tbl>
      <w:tblPr>
        <w:tblStyle w:val="31"/>
        <w:tblW w:w="96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724"/>
        <w:gridCol w:w="7090"/>
        <w:gridCol w:w="1211"/>
      </w:tblGrid>
      <w:tr w14:paraId="248B5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645" w:type="dxa"/>
            <w:vAlign w:val="center"/>
          </w:tcPr>
          <w:p w14:paraId="03360827">
            <w:pPr>
              <w:jc w:val="center"/>
              <w:rPr>
                <w:rFonts w:ascii="宋体" w:hAnsi="宋体" w:cs="宋体"/>
                <w:b/>
                <w:color w:val="auto"/>
                <w:szCs w:val="21"/>
              </w:rPr>
            </w:pPr>
            <w:r>
              <w:rPr>
                <w:rFonts w:hint="eastAsia" w:ascii="宋体" w:hAnsi="宋体" w:cs="宋体"/>
                <w:b/>
                <w:color w:val="auto"/>
                <w:szCs w:val="21"/>
              </w:rPr>
              <w:t>序号</w:t>
            </w:r>
          </w:p>
        </w:tc>
        <w:tc>
          <w:tcPr>
            <w:tcW w:w="724" w:type="dxa"/>
            <w:vAlign w:val="center"/>
          </w:tcPr>
          <w:p w14:paraId="516B9281">
            <w:pPr>
              <w:jc w:val="center"/>
              <w:rPr>
                <w:rFonts w:ascii="宋体" w:hAnsi="宋体" w:cs="宋体"/>
                <w:b/>
                <w:color w:val="auto"/>
                <w:szCs w:val="21"/>
              </w:rPr>
            </w:pPr>
            <w:r>
              <w:rPr>
                <w:rFonts w:hint="eastAsia" w:ascii="宋体" w:hAnsi="宋体" w:cs="宋体"/>
                <w:b/>
                <w:color w:val="auto"/>
                <w:szCs w:val="21"/>
              </w:rPr>
              <w:t>分类</w:t>
            </w:r>
          </w:p>
        </w:tc>
        <w:tc>
          <w:tcPr>
            <w:tcW w:w="7090" w:type="dxa"/>
            <w:vAlign w:val="center"/>
          </w:tcPr>
          <w:p w14:paraId="783D380F">
            <w:pPr>
              <w:jc w:val="center"/>
              <w:rPr>
                <w:rFonts w:ascii="宋体" w:hAnsi="宋体" w:cs="宋体"/>
                <w:b/>
                <w:color w:val="auto"/>
                <w:szCs w:val="21"/>
              </w:rPr>
            </w:pPr>
            <w:r>
              <w:rPr>
                <w:rFonts w:hint="eastAsia" w:ascii="宋体" w:hAnsi="宋体" w:cs="宋体"/>
                <w:b/>
                <w:color w:val="auto"/>
                <w:szCs w:val="21"/>
              </w:rPr>
              <w:t>评分标准</w:t>
            </w:r>
          </w:p>
        </w:tc>
        <w:tc>
          <w:tcPr>
            <w:tcW w:w="1211" w:type="dxa"/>
            <w:vAlign w:val="center"/>
          </w:tcPr>
          <w:p w14:paraId="68F2698A">
            <w:pPr>
              <w:jc w:val="center"/>
              <w:rPr>
                <w:rFonts w:ascii="宋体" w:hAnsi="宋体" w:cs="宋体"/>
                <w:b/>
                <w:color w:val="auto"/>
                <w:szCs w:val="21"/>
              </w:rPr>
            </w:pPr>
            <w:r>
              <w:rPr>
                <w:rFonts w:hint="eastAsia" w:ascii="宋体" w:hAnsi="宋体" w:cs="宋体"/>
                <w:b/>
                <w:color w:val="auto"/>
                <w:szCs w:val="21"/>
              </w:rPr>
              <w:t>分值</w:t>
            </w:r>
          </w:p>
        </w:tc>
      </w:tr>
      <w:tr w14:paraId="2346C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645" w:type="dxa"/>
            <w:vAlign w:val="center"/>
          </w:tcPr>
          <w:p w14:paraId="53883EA2">
            <w:pPr>
              <w:numPr>
                <w:ilvl w:val="0"/>
                <w:numId w:val="16"/>
              </w:numPr>
              <w:jc w:val="center"/>
              <w:rPr>
                <w:rFonts w:ascii="宋体" w:hAnsi="宋体" w:cs="宋体"/>
                <w:bCs/>
                <w:color w:val="auto"/>
                <w:szCs w:val="21"/>
              </w:rPr>
            </w:pPr>
          </w:p>
        </w:tc>
        <w:tc>
          <w:tcPr>
            <w:tcW w:w="724" w:type="dxa"/>
            <w:vAlign w:val="center"/>
          </w:tcPr>
          <w:p w14:paraId="3C1234FF">
            <w:pPr>
              <w:jc w:val="center"/>
              <w:rPr>
                <w:rFonts w:ascii="宋体" w:hAnsi="宋体" w:cs="宋体"/>
                <w:color w:val="auto"/>
                <w:kern w:val="0"/>
                <w:szCs w:val="21"/>
              </w:rPr>
            </w:pPr>
            <w:r>
              <w:rPr>
                <w:rFonts w:hint="eastAsia" w:ascii="宋体" w:hAnsi="宋体" w:cs="宋体"/>
                <w:color w:val="auto"/>
                <w:kern w:val="0"/>
                <w:szCs w:val="21"/>
              </w:rPr>
              <w:t>企业资质</w:t>
            </w:r>
          </w:p>
        </w:tc>
        <w:tc>
          <w:tcPr>
            <w:tcW w:w="7090" w:type="dxa"/>
            <w:vAlign w:val="center"/>
          </w:tcPr>
          <w:p w14:paraId="2C4D596F">
            <w:pPr>
              <w:widowControl/>
              <w:spacing w:line="326" w:lineRule="exact"/>
              <w:jc w:val="left"/>
              <w:rPr>
                <w:rFonts w:ascii="宋体" w:hAnsi="宋体" w:cs="宋体"/>
                <w:color w:val="auto"/>
                <w:szCs w:val="21"/>
              </w:rPr>
            </w:pPr>
            <w:r>
              <w:rPr>
                <w:rFonts w:hint="eastAsia" w:ascii="宋体" w:hAnsi="宋体" w:cs="宋体"/>
                <w:color w:val="auto"/>
                <w:szCs w:val="21"/>
              </w:rPr>
              <w:t>投标人</w:t>
            </w:r>
            <w:r>
              <w:rPr>
                <w:rFonts w:ascii="宋体" w:hAnsi="宋体" w:cs="宋体"/>
                <w:color w:val="auto"/>
                <w:szCs w:val="21"/>
              </w:rPr>
              <w:t>具有林业调查规划设计</w:t>
            </w:r>
            <w:r>
              <w:rPr>
                <w:rFonts w:hint="eastAsia" w:ascii="宋体" w:hAnsi="宋体" w:cs="宋体"/>
                <w:color w:val="auto"/>
                <w:szCs w:val="21"/>
              </w:rPr>
              <w:t>甲级</w:t>
            </w:r>
            <w:r>
              <w:rPr>
                <w:rFonts w:ascii="宋体" w:hAnsi="宋体" w:cs="宋体"/>
                <w:color w:val="auto"/>
                <w:szCs w:val="21"/>
              </w:rPr>
              <w:t>资质</w:t>
            </w:r>
            <w:r>
              <w:rPr>
                <w:rFonts w:hint="eastAsia" w:ascii="宋体" w:hAnsi="宋体" w:cs="宋体"/>
                <w:color w:val="auto"/>
                <w:szCs w:val="21"/>
              </w:rPr>
              <w:t>得3分，具有</w:t>
            </w:r>
            <w:r>
              <w:rPr>
                <w:rFonts w:ascii="宋体" w:hAnsi="宋体" w:cs="宋体"/>
                <w:color w:val="auto"/>
                <w:szCs w:val="21"/>
              </w:rPr>
              <w:t>林业调查规划设计</w:t>
            </w:r>
            <w:r>
              <w:rPr>
                <w:rFonts w:hint="eastAsia" w:ascii="宋体" w:hAnsi="宋体" w:cs="宋体"/>
                <w:color w:val="auto"/>
                <w:szCs w:val="21"/>
              </w:rPr>
              <w:t>乙级</w:t>
            </w:r>
            <w:r>
              <w:rPr>
                <w:rFonts w:ascii="宋体" w:hAnsi="宋体" w:cs="宋体"/>
                <w:color w:val="auto"/>
                <w:szCs w:val="21"/>
              </w:rPr>
              <w:t>资质</w:t>
            </w:r>
            <w:r>
              <w:rPr>
                <w:rFonts w:hint="eastAsia" w:ascii="宋体" w:hAnsi="宋体" w:cs="宋体"/>
                <w:color w:val="auto"/>
                <w:szCs w:val="21"/>
              </w:rPr>
              <w:t>得2分，具有</w:t>
            </w:r>
            <w:r>
              <w:rPr>
                <w:rFonts w:ascii="宋体" w:hAnsi="宋体" w:cs="宋体"/>
                <w:color w:val="auto"/>
                <w:szCs w:val="21"/>
              </w:rPr>
              <w:t>林业调查规划设计</w:t>
            </w:r>
            <w:r>
              <w:rPr>
                <w:rFonts w:hint="eastAsia" w:ascii="宋体" w:hAnsi="宋体" w:cs="宋体"/>
                <w:color w:val="auto"/>
                <w:szCs w:val="21"/>
              </w:rPr>
              <w:t>丙级</w:t>
            </w:r>
            <w:r>
              <w:rPr>
                <w:rFonts w:ascii="宋体" w:hAnsi="宋体" w:cs="宋体"/>
                <w:color w:val="auto"/>
                <w:szCs w:val="21"/>
              </w:rPr>
              <w:t>资质</w:t>
            </w:r>
            <w:r>
              <w:rPr>
                <w:rFonts w:hint="eastAsia" w:ascii="宋体" w:hAnsi="宋体" w:cs="宋体"/>
                <w:color w:val="auto"/>
                <w:szCs w:val="21"/>
              </w:rPr>
              <w:t>得1分。</w:t>
            </w:r>
          </w:p>
          <w:p w14:paraId="23A1A5FC">
            <w:pPr>
              <w:widowControl/>
              <w:spacing w:line="326" w:lineRule="exact"/>
              <w:jc w:val="left"/>
              <w:rPr>
                <w:rFonts w:ascii="宋体" w:hAnsi="宋体" w:cs="宋体"/>
                <w:color w:val="auto"/>
                <w:szCs w:val="21"/>
              </w:rPr>
            </w:pPr>
            <w:r>
              <w:rPr>
                <w:rFonts w:hint="eastAsia" w:ascii="宋体" w:hAnsi="宋体" w:cs="宋体"/>
                <w:color w:val="auto"/>
                <w:szCs w:val="21"/>
              </w:rPr>
              <w:t>注：需提供资质证书扫描件并加盖公章，否则不得分。</w:t>
            </w:r>
          </w:p>
        </w:tc>
        <w:tc>
          <w:tcPr>
            <w:tcW w:w="1211" w:type="dxa"/>
            <w:vAlign w:val="center"/>
          </w:tcPr>
          <w:p w14:paraId="3D855016">
            <w:pPr>
              <w:jc w:val="center"/>
              <w:rPr>
                <w:rFonts w:ascii="宋体" w:hAnsi="宋体" w:cs="宋体"/>
                <w:color w:val="auto"/>
                <w:szCs w:val="21"/>
              </w:rPr>
            </w:pPr>
            <w:r>
              <w:rPr>
                <w:rFonts w:hint="eastAsia" w:ascii="宋体" w:hAnsi="宋体" w:cs="宋体"/>
                <w:color w:val="auto"/>
                <w:szCs w:val="21"/>
              </w:rPr>
              <w:t>3分</w:t>
            </w:r>
          </w:p>
          <w:p w14:paraId="241843A9">
            <w:pPr>
              <w:jc w:val="center"/>
              <w:rPr>
                <w:rFonts w:ascii="宋体" w:hAnsi="宋体" w:cs="宋体"/>
                <w:color w:val="auto"/>
                <w:kern w:val="0"/>
                <w:szCs w:val="21"/>
              </w:rPr>
            </w:pPr>
            <w:r>
              <w:rPr>
                <w:rFonts w:hint="eastAsia" w:ascii="宋体" w:hAnsi="宋体" w:cs="宋体"/>
                <w:color w:val="auto"/>
                <w:kern w:val="0"/>
                <w:szCs w:val="21"/>
              </w:rPr>
              <w:t>(客观分)</w:t>
            </w:r>
          </w:p>
        </w:tc>
      </w:tr>
      <w:tr w14:paraId="7986B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645" w:type="dxa"/>
            <w:vAlign w:val="center"/>
          </w:tcPr>
          <w:p w14:paraId="493ED4FE">
            <w:pPr>
              <w:numPr>
                <w:ilvl w:val="0"/>
                <w:numId w:val="16"/>
              </w:numPr>
              <w:jc w:val="center"/>
              <w:rPr>
                <w:rFonts w:ascii="宋体" w:hAnsi="宋体" w:cs="宋体"/>
                <w:bCs/>
                <w:color w:val="auto"/>
                <w:szCs w:val="21"/>
              </w:rPr>
            </w:pPr>
          </w:p>
        </w:tc>
        <w:tc>
          <w:tcPr>
            <w:tcW w:w="724" w:type="dxa"/>
            <w:vAlign w:val="center"/>
          </w:tcPr>
          <w:p w14:paraId="4E6040D2">
            <w:pPr>
              <w:widowControl/>
              <w:spacing w:line="326" w:lineRule="exact"/>
              <w:jc w:val="center"/>
              <w:rPr>
                <w:rFonts w:ascii="宋体" w:hAnsi="宋体" w:cs="宋体"/>
                <w:color w:val="auto"/>
                <w:szCs w:val="21"/>
              </w:rPr>
            </w:pPr>
            <w:r>
              <w:rPr>
                <w:rFonts w:hint="eastAsia" w:ascii="宋体" w:hAnsi="宋体" w:cs="宋体"/>
                <w:color w:val="auto"/>
                <w:szCs w:val="21"/>
              </w:rPr>
              <w:t>体系认证</w:t>
            </w:r>
          </w:p>
        </w:tc>
        <w:tc>
          <w:tcPr>
            <w:tcW w:w="7090" w:type="dxa"/>
            <w:vAlign w:val="center"/>
          </w:tcPr>
          <w:p w14:paraId="7B46CF33">
            <w:pPr>
              <w:widowControl/>
              <w:spacing w:line="326" w:lineRule="exact"/>
              <w:jc w:val="left"/>
              <w:rPr>
                <w:rFonts w:ascii="宋体" w:hAnsi="宋体" w:cs="宋体"/>
                <w:color w:val="auto"/>
                <w:szCs w:val="21"/>
              </w:rPr>
            </w:pPr>
            <w:r>
              <w:rPr>
                <w:rFonts w:hint="eastAsia" w:ascii="宋体" w:hAnsi="宋体" w:cs="宋体"/>
                <w:color w:val="auto"/>
                <w:szCs w:val="21"/>
              </w:rPr>
              <w:t>投标人具有有效期内的质量管理体系认证证书、环境管理体系认证证书、职业健康安全管理体系认证证书，每提供一个证书得1分，本项最高得3分。</w:t>
            </w:r>
          </w:p>
          <w:p w14:paraId="2A174616">
            <w:pPr>
              <w:widowControl/>
              <w:spacing w:line="326" w:lineRule="exact"/>
              <w:jc w:val="left"/>
              <w:rPr>
                <w:rFonts w:ascii="宋体" w:hAnsi="宋体" w:cs="宋体"/>
                <w:color w:val="auto"/>
                <w:szCs w:val="21"/>
              </w:rPr>
            </w:pPr>
            <w:r>
              <w:rPr>
                <w:rFonts w:hint="eastAsia" w:ascii="宋体" w:hAnsi="宋体" w:cs="宋体"/>
                <w:color w:val="auto"/>
                <w:szCs w:val="21"/>
              </w:rPr>
              <w:t>注：须提供在有效期内的相关证书扫描件并加盖公章，否则不得分。</w:t>
            </w:r>
          </w:p>
        </w:tc>
        <w:tc>
          <w:tcPr>
            <w:tcW w:w="1211" w:type="dxa"/>
            <w:vAlign w:val="center"/>
          </w:tcPr>
          <w:p w14:paraId="183A4790">
            <w:pPr>
              <w:jc w:val="center"/>
              <w:rPr>
                <w:rFonts w:ascii="宋体" w:hAnsi="宋体" w:cs="宋体"/>
                <w:color w:val="auto"/>
                <w:szCs w:val="21"/>
              </w:rPr>
            </w:pPr>
            <w:r>
              <w:rPr>
                <w:rFonts w:hint="eastAsia" w:ascii="宋体" w:hAnsi="宋体" w:cs="宋体"/>
                <w:color w:val="auto"/>
                <w:szCs w:val="21"/>
              </w:rPr>
              <w:t>3分</w:t>
            </w:r>
          </w:p>
          <w:p w14:paraId="10F60DEC">
            <w:pPr>
              <w:jc w:val="center"/>
              <w:rPr>
                <w:rFonts w:ascii="宋体" w:hAnsi="宋体" w:cs="宋体"/>
                <w:color w:val="auto"/>
                <w:kern w:val="0"/>
                <w:szCs w:val="21"/>
              </w:rPr>
            </w:pPr>
            <w:r>
              <w:rPr>
                <w:rFonts w:hint="eastAsia" w:ascii="宋体" w:hAnsi="宋体" w:cs="宋体"/>
                <w:color w:val="auto"/>
                <w:kern w:val="0"/>
                <w:szCs w:val="21"/>
              </w:rPr>
              <w:t>(客观分)</w:t>
            </w:r>
          </w:p>
        </w:tc>
      </w:tr>
      <w:tr w14:paraId="07976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645" w:type="dxa"/>
            <w:vAlign w:val="center"/>
          </w:tcPr>
          <w:p w14:paraId="2BD7503D">
            <w:pPr>
              <w:numPr>
                <w:ilvl w:val="0"/>
                <w:numId w:val="16"/>
              </w:numPr>
              <w:jc w:val="center"/>
              <w:rPr>
                <w:rFonts w:ascii="宋体" w:hAnsi="宋体" w:cs="宋体"/>
                <w:bCs/>
                <w:color w:val="auto"/>
                <w:szCs w:val="21"/>
              </w:rPr>
            </w:pPr>
          </w:p>
        </w:tc>
        <w:tc>
          <w:tcPr>
            <w:tcW w:w="724" w:type="dxa"/>
            <w:vAlign w:val="center"/>
          </w:tcPr>
          <w:p w14:paraId="3AC2717B">
            <w:pPr>
              <w:jc w:val="center"/>
              <w:rPr>
                <w:rFonts w:ascii="宋体" w:hAnsi="宋体" w:cs="宋体"/>
                <w:color w:val="auto"/>
                <w:kern w:val="0"/>
                <w:szCs w:val="21"/>
              </w:rPr>
            </w:pPr>
            <w:r>
              <w:rPr>
                <w:rFonts w:hint="eastAsia" w:ascii="宋体" w:hAnsi="宋体" w:cs="宋体"/>
                <w:color w:val="auto"/>
                <w:kern w:val="0"/>
                <w:szCs w:val="21"/>
              </w:rPr>
              <w:t>企业业绩</w:t>
            </w:r>
          </w:p>
        </w:tc>
        <w:tc>
          <w:tcPr>
            <w:tcW w:w="7090" w:type="dxa"/>
            <w:vAlign w:val="center"/>
          </w:tcPr>
          <w:p w14:paraId="6C65A49C">
            <w:pPr>
              <w:rPr>
                <w:rFonts w:ascii="宋体" w:hAnsi="宋体" w:cs="宋体"/>
                <w:color w:val="auto"/>
                <w:szCs w:val="21"/>
              </w:rPr>
            </w:pPr>
            <w:r>
              <w:rPr>
                <w:rFonts w:hint="eastAsia" w:ascii="宋体" w:hAnsi="宋体" w:cs="宋体"/>
                <w:color w:val="auto"/>
                <w:szCs w:val="21"/>
              </w:rPr>
              <w:t>投标人自2022年1月1日以来承担过同类项目业绩的，每个得0.5分，本项最高得1分。（以合同签订日期为准，需提供合同扫描件加盖单位公章，是否属于同类项目业绩由评标委员会根据合同的内容、特点等与本项目的类似程度进行认定。）</w:t>
            </w:r>
          </w:p>
        </w:tc>
        <w:tc>
          <w:tcPr>
            <w:tcW w:w="1211" w:type="dxa"/>
            <w:vAlign w:val="center"/>
          </w:tcPr>
          <w:p w14:paraId="02AF0F91">
            <w:pPr>
              <w:jc w:val="center"/>
              <w:rPr>
                <w:rFonts w:ascii="宋体" w:hAnsi="宋体" w:cs="宋体"/>
                <w:color w:val="auto"/>
                <w:szCs w:val="21"/>
              </w:rPr>
            </w:pPr>
            <w:r>
              <w:rPr>
                <w:rFonts w:hint="eastAsia" w:ascii="宋体" w:hAnsi="宋体" w:cs="宋体"/>
                <w:color w:val="auto"/>
                <w:szCs w:val="21"/>
              </w:rPr>
              <w:t>1分</w:t>
            </w:r>
          </w:p>
          <w:p w14:paraId="6A1D04C2">
            <w:pPr>
              <w:pStyle w:val="4"/>
              <w:spacing w:line="240" w:lineRule="auto"/>
              <w:jc w:val="center"/>
              <w:rPr>
                <w:rFonts w:ascii="宋体" w:eastAsia="宋体" w:cs="宋体"/>
                <w:color w:val="auto"/>
                <w:sz w:val="21"/>
                <w:szCs w:val="21"/>
              </w:rPr>
            </w:pPr>
            <w:r>
              <w:rPr>
                <w:rFonts w:hint="eastAsia" w:ascii="宋体" w:eastAsia="宋体" w:cs="宋体"/>
                <w:color w:val="auto"/>
                <w:sz w:val="21"/>
                <w:szCs w:val="21"/>
              </w:rPr>
              <w:t>(客观分)</w:t>
            </w:r>
          </w:p>
        </w:tc>
      </w:tr>
      <w:tr w14:paraId="56794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645" w:type="dxa"/>
            <w:vMerge w:val="restart"/>
            <w:vAlign w:val="center"/>
          </w:tcPr>
          <w:p w14:paraId="111F2E5E">
            <w:pPr>
              <w:numPr>
                <w:ilvl w:val="0"/>
                <w:numId w:val="16"/>
              </w:numPr>
              <w:jc w:val="center"/>
              <w:rPr>
                <w:rFonts w:ascii="宋体" w:hAnsi="宋体" w:cs="宋体"/>
                <w:bCs/>
                <w:color w:val="auto"/>
                <w:szCs w:val="21"/>
              </w:rPr>
            </w:pPr>
          </w:p>
        </w:tc>
        <w:tc>
          <w:tcPr>
            <w:tcW w:w="724" w:type="dxa"/>
            <w:vMerge w:val="restart"/>
            <w:shd w:val="clear" w:color="auto" w:fill="auto"/>
            <w:vAlign w:val="center"/>
          </w:tcPr>
          <w:p w14:paraId="389DC9A6">
            <w:pPr>
              <w:widowControl/>
              <w:jc w:val="center"/>
              <w:rPr>
                <w:rFonts w:ascii="宋体" w:hAnsi="宋体" w:cs="宋体"/>
                <w:color w:val="auto"/>
                <w:kern w:val="0"/>
                <w:szCs w:val="21"/>
              </w:rPr>
            </w:pPr>
            <w:r>
              <w:rPr>
                <w:rFonts w:hint="eastAsia" w:ascii="宋体" w:hAnsi="宋体" w:cs="宋体"/>
                <w:color w:val="auto"/>
                <w:kern w:val="0"/>
                <w:szCs w:val="21"/>
              </w:rPr>
              <w:t>拟投入本项目的项目组人员</w:t>
            </w:r>
          </w:p>
        </w:tc>
        <w:tc>
          <w:tcPr>
            <w:tcW w:w="7090" w:type="dxa"/>
            <w:shd w:val="clear" w:color="auto" w:fill="auto"/>
            <w:vAlign w:val="center"/>
          </w:tcPr>
          <w:p w14:paraId="422EFD73">
            <w:pPr>
              <w:widowControl/>
              <w:numPr>
                <w:ilvl w:val="0"/>
                <w:numId w:val="17"/>
              </w:numPr>
              <w:spacing w:line="326" w:lineRule="exact"/>
              <w:jc w:val="left"/>
              <w:rPr>
                <w:rFonts w:ascii="宋体" w:hAnsi="宋体" w:cs="宋体"/>
                <w:color w:val="auto"/>
                <w:szCs w:val="21"/>
              </w:rPr>
            </w:pPr>
            <w:r>
              <w:rPr>
                <w:rFonts w:hint="eastAsia" w:ascii="宋体" w:hAnsi="宋体" w:cs="宋体"/>
                <w:color w:val="auto"/>
                <w:szCs w:val="21"/>
              </w:rPr>
              <w:t>拟派项目负责人具有林业相关专业高级(含)以上职称得4分，具有林业相关专业中级职称得2分，其余不得分。</w:t>
            </w:r>
          </w:p>
          <w:p w14:paraId="74419D2D">
            <w:pPr>
              <w:widowControl/>
              <w:spacing w:line="326" w:lineRule="exact"/>
              <w:jc w:val="left"/>
              <w:rPr>
                <w:rFonts w:ascii="宋体" w:hAnsi="宋体" w:cs="宋体"/>
                <w:color w:val="auto"/>
                <w:szCs w:val="21"/>
              </w:rPr>
            </w:pPr>
            <w:r>
              <w:rPr>
                <w:rFonts w:hint="eastAsia" w:ascii="宋体" w:hAnsi="宋体" w:cs="宋体"/>
                <w:color w:val="auto"/>
                <w:szCs w:val="21"/>
              </w:rPr>
              <w:t>2）除项目负责人以外，项目组成员中具有林业相关专业高级(含)以上职称的，每人得2分；具有林业相关专业中级职称的，每人得1分；具有林业相关专业初级职称的，每人得0.5分。本小项最高得8分。</w:t>
            </w:r>
            <w:r>
              <w:rPr>
                <w:rFonts w:hint="eastAsia" w:ascii="宋体" w:hAnsi="宋体" w:cs="宋体"/>
                <w:b/>
                <w:bCs/>
                <w:color w:val="auto"/>
                <w:szCs w:val="21"/>
              </w:rPr>
              <w:t>同一人员按所提供的最高职称计分，且不累计。</w:t>
            </w:r>
          </w:p>
          <w:p w14:paraId="7C34A881">
            <w:pPr>
              <w:widowControl/>
              <w:spacing w:line="326" w:lineRule="exact"/>
              <w:jc w:val="left"/>
              <w:rPr>
                <w:rFonts w:ascii="宋体" w:hAnsi="宋体" w:cs="宋体"/>
                <w:color w:val="auto"/>
                <w:szCs w:val="21"/>
              </w:rPr>
            </w:pPr>
            <w:r>
              <w:rPr>
                <w:rFonts w:hint="eastAsia" w:ascii="宋体" w:hAnsi="宋体" w:cs="宋体"/>
                <w:color w:val="auto"/>
                <w:szCs w:val="21"/>
              </w:rPr>
              <w:t>注：需提供职称证书扫描件和投标人为其缴纳的最近3个月内任意一个月的社保证明扫描件并加盖公章，否则不得分。</w:t>
            </w:r>
          </w:p>
        </w:tc>
        <w:tc>
          <w:tcPr>
            <w:tcW w:w="1211" w:type="dxa"/>
            <w:shd w:val="clear" w:color="auto" w:fill="auto"/>
            <w:vAlign w:val="center"/>
          </w:tcPr>
          <w:p w14:paraId="66281858">
            <w:pPr>
              <w:jc w:val="center"/>
              <w:rPr>
                <w:rFonts w:ascii="宋体" w:hAnsi="宋体" w:cs="宋体"/>
                <w:color w:val="auto"/>
                <w:szCs w:val="21"/>
              </w:rPr>
            </w:pPr>
            <w:r>
              <w:rPr>
                <w:rFonts w:hint="eastAsia" w:ascii="宋体" w:hAnsi="宋体" w:cs="宋体"/>
                <w:color w:val="auto"/>
                <w:szCs w:val="21"/>
              </w:rPr>
              <w:t>12分</w:t>
            </w:r>
          </w:p>
          <w:p w14:paraId="43F3CC71">
            <w:pPr>
              <w:widowControl/>
              <w:jc w:val="center"/>
              <w:rPr>
                <w:rFonts w:ascii="宋体" w:hAnsi="宋体" w:cs="宋体"/>
                <w:color w:val="auto"/>
                <w:kern w:val="0"/>
                <w:szCs w:val="21"/>
              </w:rPr>
            </w:pPr>
            <w:r>
              <w:rPr>
                <w:rFonts w:hint="eastAsia" w:ascii="宋体" w:hAnsi="宋体" w:cs="宋体"/>
                <w:color w:val="auto"/>
                <w:kern w:val="0"/>
                <w:szCs w:val="21"/>
              </w:rPr>
              <w:t>(客观分)</w:t>
            </w:r>
          </w:p>
        </w:tc>
      </w:tr>
      <w:tr w14:paraId="4E898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645" w:type="dxa"/>
            <w:vMerge w:val="continue"/>
            <w:vAlign w:val="center"/>
          </w:tcPr>
          <w:p w14:paraId="29EB5072">
            <w:pPr>
              <w:ind w:left="425" w:hanging="425"/>
              <w:jc w:val="center"/>
              <w:rPr>
                <w:rFonts w:ascii="宋体" w:hAnsi="宋体" w:cs="宋体"/>
                <w:bCs/>
                <w:color w:val="auto"/>
                <w:szCs w:val="21"/>
              </w:rPr>
            </w:pPr>
          </w:p>
        </w:tc>
        <w:tc>
          <w:tcPr>
            <w:tcW w:w="724" w:type="dxa"/>
            <w:vMerge w:val="continue"/>
            <w:vAlign w:val="center"/>
          </w:tcPr>
          <w:p w14:paraId="4B490E79">
            <w:pPr>
              <w:jc w:val="center"/>
              <w:rPr>
                <w:rFonts w:ascii="宋体" w:hAnsi="宋体" w:cs="宋体"/>
                <w:b/>
                <w:color w:val="auto"/>
                <w:szCs w:val="21"/>
              </w:rPr>
            </w:pPr>
          </w:p>
        </w:tc>
        <w:tc>
          <w:tcPr>
            <w:tcW w:w="7090" w:type="dxa"/>
            <w:shd w:val="clear" w:color="auto" w:fill="auto"/>
            <w:vAlign w:val="center"/>
          </w:tcPr>
          <w:p w14:paraId="76F354B3">
            <w:pPr>
              <w:widowControl/>
              <w:spacing w:line="326" w:lineRule="exact"/>
              <w:jc w:val="left"/>
              <w:rPr>
                <w:rFonts w:ascii="宋体" w:hAnsi="宋体" w:cs="宋体"/>
                <w:b/>
                <w:bCs/>
                <w:color w:val="auto"/>
                <w:szCs w:val="21"/>
              </w:rPr>
            </w:pPr>
            <w:r>
              <w:rPr>
                <w:rFonts w:hint="eastAsia" w:ascii="宋体" w:hAnsi="宋体" w:cs="宋体"/>
                <w:color w:val="auto"/>
                <w:szCs w:val="21"/>
              </w:rPr>
              <w:t>拟派项目组人员中具备“森林培育、森林保护学、森林经理学、生态学、林学、地理信息系统”以上与项目实施相关专业的，每提供一个专业得1分，本项最高可得5分</w:t>
            </w:r>
            <w:r>
              <w:rPr>
                <w:rFonts w:hint="eastAsia" w:ascii="宋体" w:hAnsi="宋体" w:cs="宋体"/>
                <w:b/>
                <w:bCs/>
                <w:color w:val="auto"/>
                <w:szCs w:val="21"/>
              </w:rPr>
              <w:t>。同一人员只计一次分，同一专业可累计计分。</w:t>
            </w:r>
          </w:p>
          <w:p w14:paraId="12937E82">
            <w:pPr>
              <w:widowControl/>
              <w:spacing w:line="326" w:lineRule="exact"/>
              <w:jc w:val="left"/>
              <w:rPr>
                <w:rFonts w:ascii="宋体" w:hAnsi="宋体" w:cs="宋体"/>
                <w:color w:val="auto"/>
                <w:kern w:val="0"/>
                <w:szCs w:val="21"/>
              </w:rPr>
            </w:pPr>
            <w:r>
              <w:rPr>
                <w:rFonts w:hint="eastAsia" w:ascii="宋体" w:hAnsi="宋体" w:cs="宋体"/>
                <w:color w:val="auto"/>
                <w:szCs w:val="21"/>
              </w:rPr>
              <w:t>注：需提供毕业证书扫描件和投标人为其缴纳的最近3个月内任意一个月的社保证明扫描件并加盖公章，否则不得分。</w:t>
            </w:r>
          </w:p>
        </w:tc>
        <w:tc>
          <w:tcPr>
            <w:tcW w:w="1211" w:type="dxa"/>
            <w:shd w:val="clear" w:color="auto" w:fill="auto"/>
            <w:vAlign w:val="center"/>
          </w:tcPr>
          <w:p w14:paraId="11AD23F4">
            <w:pPr>
              <w:jc w:val="center"/>
              <w:rPr>
                <w:rFonts w:ascii="宋体" w:hAnsi="宋体" w:cs="宋体"/>
                <w:color w:val="auto"/>
                <w:szCs w:val="21"/>
              </w:rPr>
            </w:pPr>
            <w:r>
              <w:rPr>
                <w:rFonts w:hint="eastAsia" w:ascii="宋体" w:hAnsi="宋体" w:cs="宋体"/>
                <w:color w:val="auto"/>
                <w:szCs w:val="21"/>
              </w:rPr>
              <w:t>5分</w:t>
            </w:r>
          </w:p>
          <w:p w14:paraId="602D6CB3">
            <w:pPr>
              <w:widowControl/>
              <w:jc w:val="center"/>
              <w:rPr>
                <w:rFonts w:ascii="宋体" w:hAnsi="宋体" w:cs="宋体"/>
                <w:color w:val="auto"/>
                <w:kern w:val="0"/>
                <w:szCs w:val="21"/>
              </w:rPr>
            </w:pPr>
            <w:r>
              <w:rPr>
                <w:rFonts w:hint="eastAsia" w:ascii="宋体" w:hAnsi="宋体" w:cs="宋体"/>
                <w:color w:val="auto"/>
                <w:kern w:val="0"/>
                <w:szCs w:val="21"/>
              </w:rPr>
              <w:t>(客观分)</w:t>
            </w:r>
          </w:p>
        </w:tc>
      </w:tr>
      <w:tr w14:paraId="2F4DC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645" w:type="dxa"/>
            <w:vAlign w:val="center"/>
          </w:tcPr>
          <w:p w14:paraId="7C6CC360">
            <w:pPr>
              <w:numPr>
                <w:ilvl w:val="0"/>
                <w:numId w:val="16"/>
              </w:numPr>
              <w:jc w:val="center"/>
              <w:rPr>
                <w:rFonts w:ascii="宋体" w:hAnsi="宋体" w:cs="宋体"/>
                <w:bCs/>
                <w:color w:val="auto"/>
                <w:szCs w:val="21"/>
              </w:rPr>
            </w:pPr>
          </w:p>
        </w:tc>
        <w:tc>
          <w:tcPr>
            <w:tcW w:w="724" w:type="dxa"/>
            <w:vAlign w:val="center"/>
          </w:tcPr>
          <w:p w14:paraId="4B74AE96">
            <w:pPr>
              <w:jc w:val="center"/>
              <w:rPr>
                <w:rFonts w:ascii="宋体" w:hAnsi="宋体" w:cs="宋体"/>
                <w:b/>
                <w:color w:val="auto"/>
                <w:szCs w:val="21"/>
              </w:rPr>
            </w:pPr>
            <w:r>
              <w:rPr>
                <w:rFonts w:hint="eastAsia" w:ascii="宋体" w:hAnsi="宋体" w:cs="宋体"/>
                <w:color w:val="auto"/>
                <w:kern w:val="0"/>
                <w:szCs w:val="21"/>
              </w:rPr>
              <w:t>设施设备保障能力</w:t>
            </w:r>
          </w:p>
        </w:tc>
        <w:tc>
          <w:tcPr>
            <w:tcW w:w="7090" w:type="dxa"/>
            <w:shd w:val="clear" w:color="auto" w:fill="auto"/>
            <w:vAlign w:val="center"/>
          </w:tcPr>
          <w:p w14:paraId="5B3E6002">
            <w:pPr>
              <w:adjustRightInd w:val="0"/>
              <w:snapToGrid w:val="0"/>
              <w:spacing w:line="264" w:lineRule="auto"/>
              <w:rPr>
                <w:rFonts w:ascii="宋体" w:hAnsi="宋体" w:cs="宋体"/>
                <w:color w:val="auto"/>
                <w:szCs w:val="21"/>
              </w:rPr>
            </w:pPr>
            <w:r>
              <w:rPr>
                <w:rFonts w:hint="eastAsia" w:ascii="宋体" w:hAnsi="宋体" w:cs="宋体"/>
                <w:color w:val="auto"/>
                <w:szCs w:val="21"/>
              </w:rPr>
              <w:t>根据投标人拟投入本项目的设施设备，包括专业作业仪器设备、车辆配备等的充足情况进行评议。</w:t>
            </w:r>
          </w:p>
          <w:p w14:paraId="465FF16D">
            <w:pPr>
              <w:adjustRightInd w:val="0"/>
              <w:snapToGrid w:val="0"/>
              <w:spacing w:line="264" w:lineRule="auto"/>
              <w:rPr>
                <w:rFonts w:ascii="宋体" w:hAnsi="宋体" w:cs="宋体"/>
                <w:color w:val="auto"/>
                <w:szCs w:val="21"/>
              </w:rPr>
            </w:pPr>
            <w:r>
              <w:rPr>
                <w:rFonts w:hint="eastAsia" w:ascii="宋体" w:hAnsi="宋体" w:cs="宋体"/>
                <w:color w:val="auto"/>
                <w:szCs w:val="21"/>
              </w:rPr>
              <w:fldChar w:fldCharType="begin"/>
            </w:r>
            <w:r>
              <w:rPr>
                <w:rFonts w:hint="eastAsia" w:ascii="宋体" w:hAnsi="宋体" w:cs="宋体"/>
                <w:color w:val="auto"/>
                <w:szCs w:val="21"/>
              </w:rPr>
              <w:instrText xml:space="preserve"> = 1 \* GB3 </w:instrText>
            </w:r>
            <w:r>
              <w:rPr>
                <w:rFonts w:hint="eastAsia" w:ascii="宋体" w:hAnsi="宋体" w:cs="宋体"/>
                <w:color w:val="auto"/>
                <w:szCs w:val="21"/>
              </w:rPr>
              <w:fldChar w:fldCharType="separate"/>
            </w:r>
            <w:r>
              <w:rPr>
                <w:rFonts w:hint="eastAsia" w:ascii="宋体" w:hAnsi="宋体" w:cs="宋体"/>
                <w:color w:val="auto"/>
                <w:szCs w:val="21"/>
              </w:rPr>
              <w:t>①</w:t>
            </w:r>
            <w:r>
              <w:rPr>
                <w:rFonts w:hint="eastAsia" w:ascii="宋体" w:hAnsi="宋体" w:cs="宋体"/>
                <w:color w:val="auto"/>
                <w:szCs w:val="21"/>
              </w:rPr>
              <w:fldChar w:fldCharType="end"/>
            </w:r>
            <w:r>
              <w:rPr>
                <w:rFonts w:hint="eastAsia" w:ascii="宋体" w:hAnsi="宋体" w:cs="宋体"/>
                <w:color w:val="auto"/>
                <w:szCs w:val="21"/>
              </w:rPr>
              <w:t>投标人拟投入的设施设备配置充分，能够充分保障项目实施的得4.1～6.0分；</w:t>
            </w:r>
          </w:p>
          <w:p w14:paraId="0970DB4C">
            <w:pPr>
              <w:adjustRightInd w:val="0"/>
              <w:snapToGrid w:val="0"/>
              <w:spacing w:line="264" w:lineRule="auto"/>
              <w:rPr>
                <w:rFonts w:ascii="宋体" w:hAnsi="宋体" w:cs="宋体"/>
                <w:color w:val="auto"/>
                <w:szCs w:val="21"/>
              </w:rPr>
            </w:pPr>
            <w:r>
              <w:rPr>
                <w:rFonts w:hint="eastAsia" w:ascii="宋体" w:hAnsi="宋体" w:cs="宋体"/>
                <w:color w:val="auto"/>
                <w:szCs w:val="21"/>
              </w:rPr>
              <w:fldChar w:fldCharType="begin"/>
            </w:r>
            <w:r>
              <w:rPr>
                <w:rFonts w:hint="eastAsia" w:ascii="宋体" w:hAnsi="宋体" w:cs="宋体"/>
                <w:color w:val="auto"/>
                <w:szCs w:val="21"/>
              </w:rPr>
              <w:instrText xml:space="preserve"> = 2 \* GB3 </w:instrText>
            </w:r>
            <w:r>
              <w:rPr>
                <w:rFonts w:hint="eastAsia" w:ascii="宋体" w:hAnsi="宋体" w:cs="宋体"/>
                <w:color w:val="auto"/>
                <w:szCs w:val="21"/>
              </w:rPr>
              <w:fldChar w:fldCharType="separate"/>
            </w:r>
            <w:r>
              <w:rPr>
                <w:rFonts w:hint="eastAsia" w:ascii="宋体" w:hAnsi="宋体" w:cs="宋体"/>
                <w:color w:val="auto"/>
                <w:szCs w:val="21"/>
              </w:rPr>
              <w:t>②</w:t>
            </w:r>
            <w:r>
              <w:rPr>
                <w:rFonts w:hint="eastAsia" w:ascii="宋体" w:hAnsi="宋体" w:cs="宋体"/>
                <w:color w:val="auto"/>
                <w:szCs w:val="21"/>
              </w:rPr>
              <w:fldChar w:fldCharType="end"/>
            </w:r>
            <w:r>
              <w:rPr>
                <w:rFonts w:hint="eastAsia" w:ascii="宋体" w:hAnsi="宋体" w:cs="宋体"/>
                <w:color w:val="auto"/>
                <w:szCs w:val="21"/>
              </w:rPr>
              <w:t>投标人拟投入的设施设备基本能够满足项目实施需要，配置上有所欠缺但不会对项目实施造成明显影响的得2.1～4.0分；</w:t>
            </w:r>
          </w:p>
          <w:p w14:paraId="3B58FA38">
            <w:pPr>
              <w:adjustRightInd w:val="0"/>
              <w:snapToGrid w:val="0"/>
              <w:spacing w:line="264" w:lineRule="auto"/>
              <w:rPr>
                <w:rFonts w:ascii="宋体" w:hAnsi="宋体" w:cs="宋体"/>
                <w:color w:val="auto"/>
                <w:szCs w:val="21"/>
              </w:rPr>
            </w:pPr>
            <w:r>
              <w:rPr>
                <w:rFonts w:hint="eastAsia" w:ascii="宋体" w:hAnsi="宋体" w:cs="宋体"/>
                <w:color w:val="auto"/>
                <w:szCs w:val="21"/>
              </w:rPr>
              <w:fldChar w:fldCharType="begin"/>
            </w:r>
            <w:r>
              <w:rPr>
                <w:rFonts w:hint="eastAsia" w:ascii="宋体" w:hAnsi="宋体" w:cs="宋体"/>
                <w:color w:val="auto"/>
                <w:szCs w:val="21"/>
              </w:rPr>
              <w:instrText xml:space="preserve"> = 3 \* GB3 </w:instrText>
            </w:r>
            <w:r>
              <w:rPr>
                <w:rFonts w:hint="eastAsia" w:ascii="宋体" w:hAnsi="宋体" w:cs="宋体"/>
                <w:color w:val="auto"/>
                <w:szCs w:val="21"/>
              </w:rPr>
              <w:fldChar w:fldCharType="separate"/>
            </w:r>
            <w:r>
              <w:rPr>
                <w:rFonts w:hint="eastAsia" w:ascii="宋体" w:hAnsi="宋体" w:cs="宋体"/>
                <w:color w:val="auto"/>
                <w:szCs w:val="21"/>
              </w:rPr>
              <w:t>③</w:t>
            </w:r>
            <w:r>
              <w:rPr>
                <w:rFonts w:hint="eastAsia" w:ascii="宋体" w:hAnsi="宋体" w:cs="宋体"/>
                <w:color w:val="auto"/>
                <w:szCs w:val="21"/>
              </w:rPr>
              <w:fldChar w:fldCharType="end"/>
            </w:r>
            <w:r>
              <w:rPr>
                <w:rFonts w:hint="eastAsia" w:ascii="宋体" w:hAnsi="宋体" w:cs="宋体"/>
                <w:color w:val="auto"/>
                <w:szCs w:val="21"/>
              </w:rPr>
              <w:t>投标人拟投入本项目的设施设备配备较为简单，可能影响项目实施的得0.0～2.0分（未提供不得分）。</w:t>
            </w:r>
          </w:p>
          <w:p w14:paraId="78C92584">
            <w:pPr>
              <w:adjustRightInd w:val="0"/>
              <w:snapToGrid w:val="0"/>
              <w:spacing w:line="264" w:lineRule="auto"/>
              <w:rPr>
                <w:rFonts w:ascii="宋体" w:hAnsi="宋体" w:cs="宋体"/>
                <w:color w:val="auto"/>
                <w:szCs w:val="21"/>
              </w:rPr>
            </w:pPr>
            <w:r>
              <w:rPr>
                <w:rFonts w:hint="eastAsia" w:ascii="宋体" w:hAnsi="宋体" w:cs="宋体"/>
                <w:color w:val="auto"/>
                <w:szCs w:val="21"/>
              </w:rPr>
              <w:t>注：投标人应当具备设施设备的所有权或使用权，并在响应文件中提供相关证明材料扫描件并加盖公章，否则不得分。</w:t>
            </w:r>
          </w:p>
        </w:tc>
        <w:tc>
          <w:tcPr>
            <w:tcW w:w="1211" w:type="dxa"/>
            <w:shd w:val="clear" w:color="auto" w:fill="auto"/>
            <w:vAlign w:val="center"/>
          </w:tcPr>
          <w:p w14:paraId="22E27033">
            <w:pPr>
              <w:jc w:val="center"/>
              <w:rPr>
                <w:rFonts w:ascii="宋体" w:hAnsi="宋体" w:cs="宋体"/>
                <w:color w:val="auto"/>
                <w:szCs w:val="21"/>
              </w:rPr>
            </w:pPr>
            <w:r>
              <w:rPr>
                <w:rFonts w:hint="eastAsia" w:ascii="宋体" w:hAnsi="宋体" w:cs="宋体"/>
                <w:color w:val="auto"/>
                <w:szCs w:val="21"/>
              </w:rPr>
              <w:t>6分</w:t>
            </w:r>
          </w:p>
          <w:p w14:paraId="0DCE3567">
            <w:pPr>
              <w:widowControl/>
              <w:jc w:val="center"/>
              <w:rPr>
                <w:rFonts w:ascii="宋体" w:hAnsi="宋体" w:cs="宋体"/>
                <w:color w:val="auto"/>
                <w:kern w:val="0"/>
                <w:szCs w:val="21"/>
              </w:rPr>
            </w:pPr>
            <w:r>
              <w:rPr>
                <w:rFonts w:hint="eastAsia" w:ascii="宋体" w:hAnsi="宋体" w:cs="宋体"/>
                <w:color w:val="auto"/>
                <w:kern w:val="0"/>
                <w:szCs w:val="21"/>
              </w:rPr>
              <w:t>(主观分)</w:t>
            </w:r>
          </w:p>
        </w:tc>
      </w:tr>
      <w:tr w14:paraId="40AEC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645" w:type="dxa"/>
            <w:vAlign w:val="center"/>
          </w:tcPr>
          <w:p w14:paraId="18BE69E7">
            <w:pPr>
              <w:numPr>
                <w:ilvl w:val="0"/>
                <w:numId w:val="16"/>
              </w:numPr>
              <w:jc w:val="center"/>
              <w:rPr>
                <w:rFonts w:ascii="宋体" w:hAnsi="宋体" w:cs="宋体"/>
                <w:bCs/>
                <w:color w:val="auto"/>
                <w:szCs w:val="21"/>
              </w:rPr>
            </w:pPr>
          </w:p>
        </w:tc>
        <w:tc>
          <w:tcPr>
            <w:tcW w:w="724" w:type="dxa"/>
            <w:shd w:val="clear" w:color="auto" w:fill="auto"/>
            <w:vAlign w:val="center"/>
          </w:tcPr>
          <w:p w14:paraId="534B50FA">
            <w:pPr>
              <w:widowControl/>
              <w:jc w:val="center"/>
              <w:rPr>
                <w:rFonts w:ascii="宋体" w:hAnsi="宋体" w:cs="宋体"/>
                <w:color w:val="auto"/>
                <w:kern w:val="0"/>
                <w:szCs w:val="21"/>
              </w:rPr>
            </w:pPr>
            <w:r>
              <w:rPr>
                <w:rFonts w:hint="eastAsia" w:ascii="宋体" w:hAnsi="宋体" w:cs="宋体"/>
                <w:color w:val="auto"/>
                <w:kern w:val="0"/>
                <w:szCs w:val="21"/>
              </w:rPr>
              <w:t>项目需求理解与分析</w:t>
            </w:r>
          </w:p>
        </w:tc>
        <w:tc>
          <w:tcPr>
            <w:tcW w:w="7090" w:type="dxa"/>
            <w:shd w:val="clear" w:color="auto" w:fill="auto"/>
            <w:vAlign w:val="center"/>
          </w:tcPr>
          <w:p w14:paraId="4261EBD6">
            <w:pPr>
              <w:widowControl/>
              <w:spacing w:line="326" w:lineRule="exact"/>
              <w:jc w:val="left"/>
              <w:rPr>
                <w:rFonts w:ascii="宋体" w:hAnsi="宋体" w:cs="宋体"/>
                <w:color w:val="auto"/>
                <w:szCs w:val="21"/>
              </w:rPr>
            </w:pPr>
            <w:r>
              <w:rPr>
                <w:rFonts w:hint="eastAsia" w:ascii="宋体" w:hAnsi="宋体" w:cs="宋体"/>
                <w:color w:val="auto"/>
                <w:szCs w:val="21"/>
              </w:rPr>
              <w:t>根据投标人对项目背景的认识情况，对相关政策文件精神的理解情况以及对目标任务定位罗列清晰程度进行评议。</w:t>
            </w:r>
          </w:p>
          <w:p w14:paraId="6E2D3A3B">
            <w:pPr>
              <w:widowControl/>
              <w:spacing w:line="326" w:lineRule="exact"/>
              <w:jc w:val="left"/>
              <w:rPr>
                <w:rFonts w:ascii="宋体" w:hAnsi="宋体" w:cs="宋体"/>
                <w:color w:val="auto"/>
                <w:szCs w:val="21"/>
              </w:rPr>
            </w:pPr>
            <w:r>
              <w:rPr>
                <w:rFonts w:hint="eastAsia" w:ascii="宋体" w:hAnsi="宋体" w:cs="宋体"/>
                <w:color w:val="auto"/>
                <w:szCs w:val="21"/>
              </w:rPr>
              <w:t>①投标人对项目目标任务、相关政策要求进行了全方位解读，对项目背景的了解与认知情况贴合实际的得4.1～6.0分；</w:t>
            </w:r>
          </w:p>
          <w:p w14:paraId="129EB295">
            <w:pPr>
              <w:widowControl/>
              <w:spacing w:line="326" w:lineRule="exact"/>
              <w:jc w:val="left"/>
              <w:rPr>
                <w:rFonts w:ascii="宋体" w:hAnsi="宋体" w:cs="宋体"/>
                <w:color w:val="auto"/>
                <w:szCs w:val="21"/>
              </w:rPr>
            </w:pPr>
            <w:r>
              <w:rPr>
                <w:rFonts w:hint="eastAsia" w:ascii="宋体" w:hAnsi="宋体" w:cs="宋体"/>
                <w:color w:val="auto"/>
                <w:szCs w:val="21"/>
              </w:rPr>
              <w:t>②投标人对项目目标任务、相关政策要求进行了解读及详细的阐述，关键内容均包含，仅是缺乏对细节的深入分析和解释的得2.1～4.0分；</w:t>
            </w:r>
          </w:p>
          <w:p w14:paraId="0AD4C4BD">
            <w:pPr>
              <w:widowControl/>
              <w:spacing w:line="326" w:lineRule="exact"/>
              <w:jc w:val="left"/>
              <w:rPr>
                <w:rFonts w:ascii="宋体" w:hAnsi="宋体" w:cs="宋体"/>
                <w:color w:val="auto"/>
                <w:kern w:val="0"/>
                <w:szCs w:val="21"/>
              </w:rPr>
            </w:pPr>
            <w:r>
              <w:rPr>
                <w:rFonts w:hint="eastAsia" w:ascii="宋体" w:hAnsi="宋体" w:cs="宋体"/>
                <w:color w:val="auto"/>
                <w:szCs w:val="21"/>
              </w:rPr>
              <w:t>③投标人提供的资料明显体现出其对本项目缺乏必要的认识或阐述的内容脱离项目实际的得0.0～2.0分（未阐述不得分）。</w:t>
            </w:r>
          </w:p>
        </w:tc>
        <w:tc>
          <w:tcPr>
            <w:tcW w:w="1211" w:type="dxa"/>
            <w:shd w:val="clear" w:color="auto" w:fill="auto"/>
            <w:vAlign w:val="center"/>
          </w:tcPr>
          <w:p w14:paraId="2DB43B27">
            <w:pPr>
              <w:jc w:val="center"/>
              <w:rPr>
                <w:rFonts w:ascii="宋体" w:hAnsi="宋体" w:cs="宋体"/>
                <w:color w:val="auto"/>
                <w:szCs w:val="21"/>
              </w:rPr>
            </w:pPr>
            <w:r>
              <w:rPr>
                <w:rFonts w:hint="eastAsia" w:ascii="宋体" w:hAnsi="宋体" w:cs="宋体"/>
                <w:color w:val="auto"/>
                <w:szCs w:val="21"/>
              </w:rPr>
              <w:t>6分</w:t>
            </w:r>
          </w:p>
          <w:p w14:paraId="4812FA7A">
            <w:pPr>
              <w:widowControl/>
              <w:jc w:val="center"/>
              <w:rPr>
                <w:rFonts w:ascii="宋体" w:hAnsi="宋体" w:cs="宋体"/>
                <w:color w:val="auto"/>
                <w:kern w:val="0"/>
                <w:szCs w:val="21"/>
              </w:rPr>
            </w:pPr>
            <w:r>
              <w:rPr>
                <w:rFonts w:hint="eastAsia" w:ascii="宋体" w:hAnsi="宋体" w:cs="宋体"/>
                <w:color w:val="auto"/>
                <w:kern w:val="0"/>
                <w:szCs w:val="21"/>
              </w:rPr>
              <w:t>(主观分)</w:t>
            </w:r>
          </w:p>
        </w:tc>
      </w:tr>
      <w:tr w14:paraId="7A4DE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645" w:type="dxa"/>
            <w:vMerge w:val="restart"/>
            <w:vAlign w:val="center"/>
          </w:tcPr>
          <w:p w14:paraId="36C1E247">
            <w:pPr>
              <w:numPr>
                <w:ilvl w:val="0"/>
                <w:numId w:val="16"/>
              </w:numPr>
              <w:jc w:val="center"/>
              <w:rPr>
                <w:rFonts w:ascii="宋体" w:hAnsi="宋体" w:cs="宋体"/>
                <w:bCs/>
                <w:color w:val="auto"/>
                <w:szCs w:val="21"/>
              </w:rPr>
            </w:pPr>
          </w:p>
        </w:tc>
        <w:tc>
          <w:tcPr>
            <w:tcW w:w="724" w:type="dxa"/>
            <w:vMerge w:val="restart"/>
            <w:shd w:val="clear" w:color="auto" w:fill="auto"/>
            <w:vAlign w:val="center"/>
          </w:tcPr>
          <w:p w14:paraId="1C2D834D">
            <w:pPr>
              <w:widowControl/>
              <w:jc w:val="center"/>
              <w:rPr>
                <w:rFonts w:ascii="宋体" w:hAnsi="宋体" w:cs="宋体"/>
                <w:color w:val="auto"/>
                <w:kern w:val="0"/>
                <w:szCs w:val="21"/>
              </w:rPr>
            </w:pPr>
            <w:r>
              <w:rPr>
                <w:rFonts w:hint="eastAsia" w:ascii="宋体" w:hAnsi="宋体" w:cs="宋体"/>
                <w:color w:val="auto"/>
                <w:szCs w:val="21"/>
              </w:rPr>
              <w:t>重点、难点分析及解决措施</w:t>
            </w:r>
          </w:p>
        </w:tc>
        <w:tc>
          <w:tcPr>
            <w:tcW w:w="7090" w:type="dxa"/>
            <w:shd w:val="clear" w:color="auto" w:fill="auto"/>
            <w:vAlign w:val="center"/>
          </w:tcPr>
          <w:p w14:paraId="679EDFA9">
            <w:pPr>
              <w:ind w:right="-10"/>
              <w:jc w:val="left"/>
              <w:rPr>
                <w:rFonts w:ascii="宋体" w:hAnsi="宋体" w:cs="宋体"/>
                <w:color w:val="auto"/>
                <w:szCs w:val="21"/>
              </w:rPr>
            </w:pPr>
            <w:r>
              <w:rPr>
                <w:rFonts w:hint="eastAsia" w:ascii="宋体" w:hAnsi="宋体" w:cs="宋体"/>
                <w:color w:val="auto"/>
                <w:szCs w:val="21"/>
              </w:rPr>
              <w:t>根据投标人</w:t>
            </w:r>
            <w:r>
              <w:rPr>
                <w:rFonts w:hint="eastAsia" w:ascii="宋体" w:hAnsi="宋体" w:cs="宋体"/>
                <w:bCs/>
                <w:color w:val="auto"/>
                <w:szCs w:val="21"/>
              </w:rPr>
              <w:t>针</w:t>
            </w:r>
            <w:r>
              <w:rPr>
                <w:rFonts w:hint="eastAsia" w:ascii="宋体" w:hAnsi="宋体" w:cs="宋体"/>
                <w:color w:val="auto"/>
                <w:szCs w:val="21"/>
              </w:rPr>
              <w:t>对本项目采购需求工作内容要求的理解，提出项目实施过程中的重点难点分析情况进行评议。</w:t>
            </w:r>
          </w:p>
          <w:p w14:paraId="03B6257C">
            <w:pPr>
              <w:ind w:right="-10"/>
              <w:jc w:val="left"/>
              <w:rPr>
                <w:rFonts w:ascii="宋体" w:hAnsi="宋体" w:cs="宋体"/>
                <w:color w:val="auto"/>
                <w:szCs w:val="21"/>
              </w:rPr>
            </w:pPr>
            <w:r>
              <w:rPr>
                <w:rFonts w:hint="eastAsia" w:ascii="宋体" w:hAnsi="宋体" w:cs="宋体"/>
                <w:color w:val="auto"/>
                <w:szCs w:val="21"/>
              </w:rPr>
              <w:t>①具有充分的了解和认识，分析结论全面透彻，阐述详细的得3.1～5.0分；</w:t>
            </w:r>
          </w:p>
          <w:p w14:paraId="43348757">
            <w:pPr>
              <w:ind w:right="-10"/>
              <w:jc w:val="left"/>
              <w:rPr>
                <w:rFonts w:ascii="宋体" w:hAnsi="宋体" w:cs="宋体"/>
                <w:color w:val="auto"/>
                <w:szCs w:val="21"/>
              </w:rPr>
            </w:pPr>
            <w:r>
              <w:rPr>
                <w:rFonts w:hint="eastAsia" w:ascii="宋体" w:hAnsi="宋体" w:cs="宋体"/>
                <w:color w:val="auto"/>
                <w:szCs w:val="21"/>
              </w:rPr>
              <w:t>②分析不够全面或在深度上略有不足或阐述内容不够细致的得1.1～3.0分；</w:t>
            </w:r>
          </w:p>
          <w:p w14:paraId="45EBA81D">
            <w:pPr>
              <w:ind w:right="-10"/>
              <w:jc w:val="left"/>
              <w:rPr>
                <w:rFonts w:ascii="宋体" w:hAnsi="宋体" w:cs="宋体"/>
                <w:color w:val="auto"/>
                <w:szCs w:val="21"/>
              </w:rPr>
            </w:pPr>
            <w:r>
              <w:rPr>
                <w:rFonts w:hint="eastAsia" w:ascii="宋体" w:hAnsi="宋体" w:cs="宋体"/>
                <w:color w:val="auto"/>
                <w:szCs w:val="21"/>
              </w:rPr>
              <w:t>③阐述具有基本的了解和认识，但在认识上不够深入和透彻，阐述内容简略的得0.0～1.0分（未阐述不得分）。</w:t>
            </w:r>
          </w:p>
        </w:tc>
        <w:tc>
          <w:tcPr>
            <w:tcW w:w="1211" w:type="dxa"/>
            <w:shd w:val="clear" w:color="auto" w:fill="auto"/>
            <w:vAlign w:val="center"/>
          </w:tcPr>
          <w:p w14:paraId="6D184138">
            <w:pPr>
              <w:jc w:val="center"/>
              <w:rPr>
                <w:rFonts w:ascii="宋体" w:hAnsi="宋体" w:cs="宋体"/>
                <w:color w:val="auto"/>
                <w:szCs w:val="21"/>
              </w:rPr>
            </w:pPr>
            <w:r>
              <w:rPr>
                <w:rFonts w:hint="eastAsia" w:ascii="宋体" w:hAnsi="宋体" w:cs="宋体"/>
                <w:color w:val="auto"/>
                <w:szCs w:val="21"/>
              </w:rPr>
              <w:t>5分</w:t>
            </w:r>
          </w:p>
          <w:p w14:paraId="4E8D9B80">
            <w:pPr>
              <w:widowControl/>
              <w:jc w:val="center"/>
              <w:rPr>
                <w:rFonts w:ascii="宋体" w:hAnsi="宋体" w:cs="宋体"/>
                <w:color w:val="auto"/>
                <w:kern w:val="0"/>
                <w:szCs w:val="21"/>
              </w:rPr>
            </w:pPr>
            <w:r>
              <w:rPr>
                <w:rFonts w:hint="eastAsia" w:ascii="宋体" w:hAnsi="宋体" w:cs="宋体"/>
                <w:color w:val="auto"/>
                <w:kern w:val="0"/>
                <w:szCs w:val="21"/>
              </w:rPr>
              <w:t>(主观分)</w:t>
            </w:r>
          </w:p>
        </w:tc>
      </w:tr>
      <w:tr w14:paraId="78353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645" w:type="dxa"/>
            <w:vMerge w:val="continue"/>
            <w:vAlign w:val="center"/>
          </w:tcPr>
          <w:p w14:paraId="25B4AA5C">
            <w:pPr>
              <w:ind w:left="425" w:hanging="425"/>
              <w:jc w:val="center"/>
              <w:rPr>
                <w:rFonts w:ascii="宋体" w:hAnsi="宋体" w:cs="宋体"/>
                <w:bCs/>
                <w:color w:val="auto"/>
                <w:szCs w:val="21"/>
              </w:rPr>
            </w:pPr>
          </w:p>
        </w:tc>
        <w:tc>
          <w:tcPr>
            <w:tcW w:w="724" w:type="dxa"/>
            <w:vMerge w:val="continue"/>
            <w:shd w:val="clear" w:color="auto" w:fill="auto"/>
            <w:vAlign w:val="center"/>
          </w:tcPr>
          <w:p w14:paraId="53DEBB4F">
            <w:pPr>
              <w:widowControl/>
              <w:jc w:val="center"/>
              <w:rPr>
                <w:rFonts w:ascii="宋体" w:hAnsi="宋体" w:cs="宋体"/>
                <w:bCs/>
                <w:color w:val="auto"/>
                <w:szCs w:val="21"/>
              </w:rPr>
            </w:pPr>
          </w:p>
        </w:tc>
        <w:tc>
          <w:tcPr>
            <w:tcW w:w="7090" w:type="dxa"/>
            <w:shd w:val="clear" w:color="auto" w:fill="auto"/>
            <w:vAlign w:val="center"/>
          </w:tcPr>
          <w:p w14:paraId="2B177AE7">
            <w:pPr>
              <w:ind w:right="-10"/>
              <w:jc w:val="left"/>
              <w:rPr>
                <w:rFonts w:ascii="宋体" w:hAnsi="宋体" w:cs="宋体"/>
                <w:color w:val="auto"/>
                <w:szCs w:val="21"/>
              </w:rPr>
            </w:pPr>
            <w:r>
              <w:rPr>
                <w:rFonts w:hint="eastAsia" w:ascii="宋体" w:hAnsi="宋体" w:cs="宋体"/>
                <w:color w:val="auto"/>
                <w:szCs w:val="21"/>
              </w:rPr>
              <w:t>根据投标人对本项目重点、难点的应对措施，提出的对策与方案是否合理、可行进行评议。</w:t>
            </w:r>
          </w:p>
          <w:p w14:paraId="2E0DF917">
            <w:pPr>
              <w:ind w:right="-10"/>
              <w:jc w:val="left"/>
              <w:rPr>
                <w:rFonts w:ascii="宋体" w:hAnsi="宋体" w:cs="宋体"/>
                <w:color w:val="auto"/>
                <w:szCs w:val="21"/>
                <w:shd w:val="clear" w:color="auto" w:fill="FFFFFF"/>
              </w:rPr>
            </w:pPr>
            <w:r>
              <w:rPr>
                <w:rFonts w:hint="eastAsia" w:ascii="宋体" w:hAnsi="宋体" w:cs="宋体"/>
                <w:color w:val="auto"/>
                <w:szCs w:val="21"/>
              </w:rPr>
              <w:t>①对于每一个识别出来的重点以及难点，提出了至少一种切实可行的解决方案，</w:t>
            </w:r>
            <w:r>
              <w:rPr>
                <w:rFonts w:hint="eastAsia" w:ascii="宋体" w:hAnsi="宋体" w:cs="宋体"/>
                <w:color w:val="auto"/>
                <w:szCs w:val="21"/>
                <w:shd w:val="clear" w:color="auto" w:fill="FFFFFF"/>
              </w:rPr>
              <w:t>解决方案基于实际条件（如现有技术水平、可调动资源等）的得</w:t>
            </w:r>
            <w:r>
              <w:rPr>
                <w:rFonts w:hint="eastAsia" w:ascii="宋体" w:hAnsi="宋体" w:cs="宋体"/>
                <w:color w:val="auto"/>
                <w:szCs w:val="21"/>
              </w:rPr>
              <w:t>3.1～5.0</w:t>
            </w:r>
            <w:r>
              <w:rPr>
                <w:rFonts w:hint="eastAsia" w:ascii="宋体" w:hAnsi="宋体" w:cs="宋体"/>
                <w:color w:val="auto"/>
                <w:szCs w:val="21"/>
                <w:shd w:val="clear" w:color="auto" w:fill="FFFFFF"/>
              </w:rPr>
              <w:t>分；</w:t>
            </w:r>
          </w:p>
          <w:p w14:paraId="2B5CAB16">
            <w:pPr>
              <w:ind w:right="-10"/>
              <w:jc w:val="left"/>
              <w:rPr>
                <w:rFonts w:ascii="宋体" w:hAnsi="宋体" w:cs="宋体"/>
                <w:color w:val="auto"/>
                <w:szCs w:val="21"/>
                <w:shd w:val="clear" w:color="auto" w:fill="FFFFFF"/>
              </w:rPr>
            </w:pPr>
            <w:r>
              <w:rPr>
                <w:rFonts w:hint="eastAsia" w:ascii="宋体" w:hAnsi="宋体" w:cs="宋体"/>
                <w:color w:val="auto"/>
                <w:szCs w:val="21"/>
                <w:shd w:val="clear" w:color="auto" w:fill="FFFFFF"/>
              </w:rPr>
              <w:t>②方案基本可行，但内容较为笼统，有待进一步完善的得</w:t>
            </w:r>
            <w:r>
              <w:rPr>
                <w:rFonts w:hint="eastAsia" w:ascii="宋体" w:hAnsi="宋体" w:cs="宋体"/>
                <w:color w:val="auto"/>
                <w:szCs w:val="21"/>
              </w:rPr>
              <w:t>1.1～3.0</w:t>
            </w:r>
            <w:r>
              <w:rPr>
                <w:rFonts w:hint="eastAsia" w:ascii="宋体" w:hAnsi="宋体" w:cs="宋体"/>
                <w:color w:val="auto"/>
                <w:szCs w:val="21"/>
                <w:shd w:val="clear" w:color="auto" w:fill="FFFFFF"/>
              </w:rPr>
              <w:t>分；</w:t>
            </w:r>
          </w:p>
          <w:p w14:paraId="32A5C823">
            <w:pPr>
              <w:ind w:right="-10"/>
              <w:jc w:val="left"/>
              <w:rPr>
                <w:rFonts w:ascii="宋体" w:hAnsi="宋体" w:cs="宋体"/>
                <w:bCs/>
                <w:color w:val="auto"/>
                <w:szCs w:val="21"/>
              </w:rPr>
            </w:pPr>
            <w:r>
              <w:rPr>
                <w:rFonts w:hint="eastAsia" w:ascii="宋体" w:hAnsi="宋体" w:cs="宋体"/>
                <w:color w:val="auto"/>
                <w:szCs w:val="21"/>
                <w:shd w:val="clear" w:color="auto" w:fill="FFFFFF"/>
              </w:rPr>
              <w:t>③提出的解决方案存在可行性不足或未针对分析结果提供可行的解决方法（措施）的得</w:t>
            </w:r>
            <w:r>
              <w:rPr>
                <w:rFonts w:hint="eastAsia" w:ascii="宋体" w:hAnsi="宋体" w:cs="宋体"/>
                <w:color w:val="auto"/>
                <w:szCs w:val="21"/>
              </w:rPr>
              <w:t>0.0～1.0</w:t>
            </w:r>
            <w:r>
              <w:rPr>
                <w:rFonts w:hint="eastAsia" w:ascii="宋体" w:hAnsi="宋体" w:cs="宋体"/>
                <w:color w:val="auto"/>
                <w:szCs w:val="21"/>
                <w:shd w:val="clear" w:color="auto" w:fill="FFFFFF"/>
              </w:rPr>
              <w:t>分</w:t>
            </w:r>
            <w:r>
              <w:rPr>
                <w:rFonts w:hint="eastAsia" w:ascii="宋体" w:hAnsi="宋体" w:cs="宋体"/>
                <w:color w:val="auto"/>
                <w:szCs w:val="21"/>
              </w:rPr>
              <w:t>（未阐述不得分）。</w:t>
            </w:r>
          </w:p>
        </w:tc>
        <w:tc>
          <w:tcPr>
            <w:tcW w:w="1211" w:type="dxa"/>
            <w:shd w:val="clear" w:color="auto" w:fill="auto"/>
            <w:vAlign w:val="center"/>
          </w:tcPr>
          <w:p w14:paraId="2395788D">
            <w:pPr>
              <w:jc w:val="center"/>
              <w:rPr>
                <w:rFonts w:ascii="宋体" w:hAnsi="宋体" w:cs="宋体"/>
                <w:color w:val="auto"/>
                <w:szCs w:val="21"/>
              </w:rPr>
            </w:pPr>
            <w:r>
              <w:rPr>
                <w:rFonts w:hint="eastAsia" w:ascii="宋体" w:hAnsi="宋体" w:cs="宋体"/>
                <w:color w:val="auto"/>
                <w:szCs w:val="21"/>
              </w:rPr>
              <w:t>5分</w:t>
            </w:r>
          </w:p>
          <w:p w14:paraId="667A953D">
            <w:pPr>
              <w:widowControl/>
              <w:jc w:val="center"/>
              <w:rPr>
                <w:rFonts w:ascii="宋体" w:hAnsi="宋体" w:cs="宋体"/>
                <w:color w:val="auto"/>
                <w:kern w:val="0"/>
                <w:szCs w:val="21"/>
              </w:rPr>
            </w:pPr>
            <w:r>
              <w:rPr>
                <w:rFonts w:hint="eastAsia" w:ascii="宋体" w:hAnsi="宋体" w:cs="宋体"/>
                <w:color w:val="auto"/>
                <w:kern w:val="0"/>
                <w:szCs w:val="21"/>
              </w:rPr>
              <w:t>(主观分)</w:t>
            </w:r>
          </w:p>
        </w:tc>
      </w:tr>
      <w:tr w14:paraId="1476D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645" w:type="dxa"/>
            <w:vAlign w:val="center"/>
          </w:tcPr>
          <w:p w14:paraId="0A4EFC5E">
            <w:pPr>
              <w:numPr>
                <w:ilvl w:val="0"/>
                <w:numId w:val="16"/>
              </w:numPr>
              <w:jc w:val="center"/>
              <w:rPr>
                <w:rFonts w:ascii="宋体" w:hAnsi="宋体" w:cs="宋体"/>
                <w:bCs/>
                <w:color w:val="auto"/>
                <w:szCs w:val="21"/>
              </w:rPr>
            </w:pPr>
          </w:p>
        </w:tc>
        <w:tc>
          <w:tcPr>
            <w:tcW w:w="724" w:type="dxa"/>
            <w:shd w:val="clear" w:color="auto" w:fill="auto"/>
            <w:vAlign w:val="center"/>
          </w:tcPr>
          <w:p w14:paraId="52E25115">
            <w:pPr>
              <w:widowControl/>
              <w:jc w:val="center"/>
              <w:rPr>
                <w:rFonts w:ascii="宋体" w:hAnsi="宋体" w:cs="宋体"/>
                <w:bCs/>
                <w:color w:val="auto"/>
                <w:szCs w:val="21"/>
              </w:rPr>
            </w:pPr>
            <w:r>
              <w:rPr>
                <w:rFonts w:hint="eastAsia" w:ascii="宋体" w:hAnsi="宋体" w:cs="宋体"/>
                <w:color w:val="auto"/>
                <w:kern w:val="0"/>
                <w:szCs w:val="21"/>
              </w:rPr>
              <w:t>实施方案</w:t>
            </w:r>
          </w:p>
        </w:tc>
        <w:tc>
          <w:tcPr>
            <w:tcW w:w="7090" w:type="dxa"/>
            <w:shd w:val="clear" w:color="auto" w:fill="auto"/>
            <w:vAlign w:val="center"/>
          </w:tcPr>
          <w:p w14:paraId="6C79F01A">
            <w:pPr>
              <w:ind w:right="-10"/>
              <w:jc w:val="left"/>
              <w:rPr>
                <w:rFonts w:ascii="宋体" w:hAnsi="宋体" w:cs="宋体"/>
                <w:color w:val="auto"/>
                <w:szCs w:val="21"/>
              </w:rPr>
            </w:pPr>
            <w:r>
              <w:rPr>
                <w:rFonts w:hint="eastAsia" w:ascii="宋体" w:hAnsi="宋体" w:cs="宋体"/>
                <w:color w:val="auto"/>
                <w:szCs w:val="21"/>
              </w:rPr>
              <w:t>根据投标人针对服务内容提出的实施方案进行评议。</w:t>
            </w:r>
          </w:p>
          <w:p w14:paraId="69587711">
            <w:pPr>
              <w:ind w:right="-10"/>
              <w:jc w:val="left"/>
              <w:rPr>
                <w:rFonts w:ascii="宋体" w:hAnsi="宋体" w:cs="宋体"/>
                <w:color w:val="auto"/>
                <w:szCs w:val="21"/>
              </w:rPr>
            </w:pPr>
            <w:r>
              <w:rPr>
                <w:rFonts w:hint="eastAsia" w:ascii="宋体" w:hAnsi="宋体" w:cs="宋体"/>
                <w:color w:val="auto"/>
                <w:szCs w:val="21"/>
              </w:rPr>
              <w:t>①</w:t>
            </w:r>
            <w:r>
              <w:rPr>
                <w:rFonts w:hint="eastAsia" w:ascii="宋体" w:hAnsi="宋体" w:cs="宋体"/>
                <w:color w:val="auto"/>
                <w:spacing w:val="10"/>
                <w:szCs w:val="21"/>
              </w:rPr>
              <w:t>方案内容详实且具体，表达精准，条理分明的得</w:t>
            </w:r>
            <w:r>
              <w:rPr>
                <w:rFonts w:hint="eastAsia" w:ascii="宋体" w:hAnsi="宋体" w:cs="宋体"/>
                <w:color w:val="auto"/>
                <w:szCs w:val="21"/>
              </w:rPr>
              <w:t>4.1～6.0</w:t>
            </w:r>
            <w:r>
              <w:rPr>
                <w:rFonts w:hint="eastAsia" w:ascii="宋体" w:hAnsi="宋体" w:cs="宋体"/>
                <w:color w:val="auto"/>
                <w:spacing w:val="10"/>
                <w:szCs w:val="21"/>
              </w:rPr>
              <w:t>分；</w:t>
            </w:r>
          </w:p>
          <w:p w14:paraId="11C8C9ED">
            <w:pPr>
              <w:ind w:right="-10"/>
              <w:jc w:val="left"/>
              <w:rPr>
                <w:rFonts w:ascii="宋体" w:hAnsi="宋体" w:cs="宋体"/>
                <w:color w:val="auto"/>
                <w:spacing w:val="10"/>
                <w:szCs w:val="21"/>
              </w:rPr>
            </w:pPr>
            <w:r>
              <w:rPr>
                <w:rFonts w:hint="eastAsia" w:ascii="宋体" w:hAnsi="宋体" w:cs="宋体"/>
                <w:color w:val="auto"/>
                <w:szCs w:val="21"/>
              </w:rPr>
              <w:t>②</w:t>
            </w:r>
            <w:r>
              <w:rPr>
                <w:rFonts w:hint="eastAsia" w:ascii="宋体" w:hAnsi="宋体" w:cs="宋体"/>
                <w:color w:val="auto"/>
                <w:spacing w:val="10"/>
                <w:szCs w:val="21"/>
              </w:rPr>
              <w:t>方案内容包含全部重点要素（目的、任务、工作程序、技术路线），仅存在内容不够细化（深入）或方案描述在逻辑性及条理性上</w:t>
            </w:r>
            <w:r>
              <w:rPr>
                <w:rFonts w:hint="eastAsia" w:ascii="宋体" w:hAnsi="宋体" w:cs="宋体"/>
                <w:color w:val="auto"/>
                <w:szCs w:val="21"/>
              </w:rPr>
              <w:t>略有不足但不会对项目实施造成明显影响的</w:t>
            </w:r>
            <w:r>
              <w:rPr>
                <w:rFonts w:hint="eastAsia" w:ascii="宋体" w:hAnsi="宋体" w:cs="宋体"/>
                <w:color w:val="auto"/>
                <w:szCs w:val="21"/>
                <w:shd w:val="clear" w:color="auto" w:fill="FFFFFF"/>
              </w:rPr>
              <w:t>得</w:t>
            </w:r>
            <w:r>
              <w:rPr>
                <w:rFonts w:hint="eastAsia" w:ascii="宋体" w:hAnsi="宋体" w:cs="宋体"/>
                <w:color w:val="auto"/>
                <w:szCs w:val="21"/>
              </w:rPr>
              <w:t>2.1～4.0</w:t>
            </w:r>
            <w:r>
              <w:rPr>
                <w:rFonts w:hint="eastAsia" w:ascii="宋体" w:hAnsi="宋体" w:cs="宋体"/>
                <w:color w:val="auto"/>
                <w:szCs w:val="21"/>
                <w:shd w:val="clear" w:color="auto" w:fill="FFFFFF"/>
              </w:rPr>
              <w:t>分；</w:t>
            </w:r>
          </w:p>
          <w:p w14:paraId="625B7F5D">
            <w:pPr>
              <w:jc w:val="left"/>
              <w:rPr>
                <w:rFonts w:ascii="宋体" w:hAnsi="宋体" w:cs="宋体"/>
                <w:color w:val="auto"/>
                <w:szCs w:val="21"/>
              </w:rPr>
            </w:pPr>
            <w:r>
              <w:rPr>
                <w:rFonts w:hint="eastAsia" w:ascii="宋体" w:hAnsi="宋体" w:cs="宋体"/>
                <w:color w:val="auto"/>
                <w:szCs w:val="21"/>
              </w:rPr>
              <w:t>③</w:t>
            </w:r>
            <w:r>
              <w:rPr>
                <w:rFonts w:hint="eastAsia" w:ascii="宋体" w:hAnsi="宋体" w:cs="宋体"/>
                <w:color w:val="auto"/>
                <w:spacing w:val="7"/>
                <w:szCs w:val="21"/>
              </w:rPr>
              <w:t>方案存在细节缺乏或描述笼统或逻辑不清或明显脱离实际的得</w:t>
            </w:r>
            <w:r>
              <w:rPr>
                <w:rFonts w:hint="eastAsia" w:ascii="宋体" w:hAnsi="宋体" w:cs="宋体"/>
                <w:color w:val="auto"/>
                <w:szCs w:val="21"/>
              </w:rPr>
              <w:t>0.0～2.0</w:t>
            </w:r>
            <w:r>
              <w:rPr>
                <w:rFonts w:hint="eastAsia" w:ascii="宋体" w:hAnsi="宋体" w:cs="宋体"/>
                <w:color w:val="auto"/>
                <w:spacing w:val="7"/>
                <w:szCs w:val="21"/>
              </w:rPr>
              <w:t>分</w:t>
            </w:r>
            <w:r>
              <w:rPr>
                <w:rFonts w:hint="eastAsia" w:ascii="宋体" w:hAnsi="宋体" w:cs="宋体"/>
                <w:color w:val="auto"/>
                <w:szCs w:val="21"/>
              </w:rPr>
              <w:t>（未阐述不得分）。</w:t>
            </w:r>
          </w:p>
        </w:tc>
        <w:tc>
          <w:tcPr>
            <w:tcW w:w="1211" w:type="dxa"/>
            <w:shd w:val="clear" w:color="auto" w:fill="auto"/>
            <w:vAlign w:val="center"/>
          </w:tcPr>
          <w:p w14:paraId="39F7A575">
            <w:pPr>
              <w:jc w:val="center"/>
              <w:rPr>
                <w:rFonts w:ascii="宋体" w:hAnsi="宋体" w:cs="宋体"/>
                <w:color w:val="auto"/>
                <w:szCs w:val="21"/>
              </w:rPr>
            </w:pPr>
            <w:r>
              <w:rPr>
                <w:rFonts w:hint="eastAsia" w:ascii="宋体" w:hAnsi="宋体" w:cs="宋体"/>
                <w:color w:val="auto"/>
                <w:szCs w:val="21"/>
              </w:rPr>
              <w:t>6分</w:t>
            </w:r>
          </w:p>
          <w:p w14:paraId="6E485E50">
            <w:pPr>
              <w:widowControl/>
              <w:jc w:val="center"/>
              <w:rPr>
                <w:rFonts w:ascii="宋体" w:hAnsi="宋体" w:cs="宋体"/>
                <w:color w:val="auto"/>
                <w:kern w:val="0"/>
                <w:szCs w:val="21"/>
              </w:rPr>
            </w:pPr>
            <w:r>
              <w:rPr>
                <w:rFonts w:hint="eastAsia" w:ascii="宋体" w:hAnsi="宋体" w:cs="宋体"/>
                <w:color w:val="auto"/>
                <w:kern w:val="0"/>
                <w:szCs w:val="21"/>
              </w:rPr>
              <w:t>(主观分)</w:t>
            </w:r>
          </w:p>
        </w:tc>
      </w:tr>
      <w:tr w14:paraId="092BC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645" w:type="dxa"/>
            <w:vMerge w:val="restart"/>
            <w:vAlign w:val="center"/>
          </w:tcPr>
          <w:p w14:paraId="02642E12">
            <w:pPr>
              <w:numPr>
                <w:ilvl w:val="0"/>
                <w:numId w:val="16"/>
              </w:numPr>
              <w:jc w:val="center"/>
              <w:rPr>
                <w:rFonts w:ascii="宋体" w:hAnsi="宋体" w:cs="宋体"/>
                <w:bCs/>
                <w:color w:val="auto"/>
                <w:szCs w:val="21"/>
              </w:rPr>
            </w:pPr>
          </w:p>
        </w:tc>
        <w:tc>
          <w:tcPr>
            <w:tcW w:w="724" w:type="dxa"/>
            <w:vMerge w:val="restart"/>
            <w:shd w:val="clear" w:color="auto" w:fill="auto"/>
            <w:vAlign w:val="center"/>
          </w:tcPr>
          <w:p w14:paraId="7ADAE9B7">
            <w:pPr>
              <w:widowControl/>
              <w:jc w:val="center"/>
              <w:rPr>
                <w:rFonts w:ascii="宋体" w:hAnsi="宋体" w:cs="宋体"/>
                <w:color w:val="auto"/>
                <w:kern w:val="0"/>
                <w:szCs w:val="21"/>
              </w:rPr>
            </w:pPr>
            <w:r>
              <w:rPr>
                <w:rFonts w:hint="eastAsia" w:ascii="宋体" w:hAnsi="宋体" w:cs="宋体"/>
                <w:color w:val="auto"/>
                <w:kern w:val="0"/>
                <w:szCs w:val="21"/>
              </w:rPr>
              <w:t>进度计划及保障措施</w:t>
            </w:r>
          </w:p>
        </w:tc>
        <w:tc>
          <w:tcPr>
            <w:tcW w:w="7090" w:type="dxa"/>
            <w:shd w:val="clear" w:color="auto" w:fill="auto"/>
            <w:vAlign w:val="center"/>
          </w:tcPr>
          <w:p w14:paraId="42C433F1">
            <w:pPr>
              <w:jc w:val="left"/>
              <w:rPr>
                <w:rFonts w:ascii="宋体" w:hAnsi="宋体" w:cs="宋体"/>
                <w:color w:val="auto"/>
                <w:szCs w:val="21"/>
              </w:rPr>
            </w:pPr>
            <w:r>
              <w:rPr>
                <w:rFonts w:hint="eastAsia" w:ascii="宋体" w:hAnsi="宋体" w:cs="宋体"/>
                <w:color w:val="auto"/>
                <w:szCs w:val="21"/>
              </w:rPr>
              <w:t>根据投标人提供的项目工作部署、进度安排的合理可行情况进行评议。</w:t>
            </w:r>
          </w:p>
          <w:p w14:paraId="08DF40AF">
            <w:pPr>
              <w:ind w:right="-10"/>
              <w:jc w:val="left"/>
              <w:rPr>
                <w:rFonts w:ascii="宋体" w:hAnsi="宋体" w:cs="宋体"/>
                <w:color w:val="auto"/>
                <w:szCs w:val="21"/>
              </w:rPr>
            </w:pPr>
            <w:r>
              <w:rPr>
                <w:rFonts w:hint="eastAsia" w:ascii="宋体" w:hAnsi="宋体" w:cs="宋体"/>
                <w:color w:val="auto"/>
                <w:szCs w:val="21"/>
              </w:rPr>
              <w:t>①制定了详细的项目工作部署方案，项目各阶段任务和时间节点设置合理，关键里程碑任务明确的得4.1～6.0分；</w:t>
            </w:r>
          </w:p>
          <w:p w14:paraId="572A4144">
            <w:pPr>
              <w:ind w:right="-10"/>
              <w:jc w:val="left"/>
              <w:rPr>
                <w:rFonts w:ascii="宋体" w:hAnsi="宋体" w:cs="宋体"/>
                <w:color w:val="auto"/>
                <w:szCs w:val="21"/>
              </w:rPr>
            </w:pPr>
            <w:r>
              <w:rPr>
                <w:rFonts w:hint="eastAsia" w:ascii="宋体" w:hAnsi="宋体" w:cs="宋体"/>
                <w:color w:val="auto"/>
                <w:szCs w:val="21"/>
              </w:rPr>
              <w:fldChar w:fldCharType="begin"/>
            </w:r>
            <w:r>
              <w:rPr>
                <w:rFonts w:hint="eastAsia" w:ascii="宋体" w:hAnsi="宋体" w:cs="宋体"/>
                <w:color w:val="auto"/>
                <w:szCs w:val="21"/>
              </w:rPr>
              <w:instrText xml:space="preserve"> = 2 \* GB3 </w:instrText>
            </w:r>
            <w:r>
              <w:rPr>
                <w:rFonts w:hint="eastAsia" w:ascii="宋体" w:hAnsi="宋体" w:cs="宋体"/>
                <w:color w:val="auto"/>
                <w:szCs w:val="21"/>
              </w:rPr>
              <w:fldChar w:fldCharType="separate"/>
            </w:r>
            <w:r>
              <w:rPr>
                <w:rFonts w:hint="eastAsia" w:ascii="宋体" w:hAnsi="宋体" w:cs="宋体"/>
                <w:color w:val="auto"/>
                <w:szCs w:val="21"/>
              </w:rPr>
              <w:t>②</w:t>
            </w:r>
            <w:r>
              <w:rPr>
                <w:rFonts w:hint="eastAsia" w:ascii="宋体" w:hAnsi="宋体" w:cs="宋体"/>
                <w:color w:val="auto"/>
                <w:szCs w:val="21"/>
              </w:rPr>
              <w:fldChar w:fldCharType="end"/>
            </w:r>
            <w:r>
              <w:rPr>
                <w:rFonts w:hint="eastAsia" w:ascii="宋体" w:hAnsi="宋体" w:cs="宋体"/>
                <w:color w:val="auto"/>
                <w:szCs w:val="21"/>
              </w:rPr>
              <w:t>方案内容包含重点要素，考虑充分，各项工作的安排适当，总体无影响项目顺利开展的重大缺陷的得2.1～4.0分；</w:t>
            </w:r>
          </w:p>
          <w:p w14:paraId="443C18EE">
            <w:pPr>
              <w:ind w:right="-10"/>
              <w:jc w:val="left"/>
              <w:rPr>
                <w:rFonts w:ascii="宋体" w:hAnsi="宋体" w:cs="宋体"/>
                <w:color w:val="auto"/>
                <w:szCs w:val="21"/>
              </w:rPr>
            </w:pPr>
            <w:r>
              <w:rPr>
                <w:rFonts w:hint="eastAsia" w:ascii="宋体" w:hAnsi="宋体" w:cs="宋体"/>
                <w:color w:val="auto"/>
                <w:szCs w:val="21"/>
              </w:rPr>
              <w:t>③进度安排方案简单笼统，考虑不足，各项工作的安排欠妥当，可能影响项目顺利开展的得0.0～2.0分（未阐述不得分）。</w:t>
            </w:r>
          </w:p>
        </w:tc>
        <w:tc>
          <w:tcPr>
            <w:tcW w:w="1211" w:type="dxa"/>
            <w:shd w:val="clear" w:color="auto" w:fill="auto"/>
            <w:vAlign w:val="center"/>
          </w:tcPr>
          <w:p w14:paraId="621789CA">
            <w:pPr>
              <w:jc w:val="center"/>
              <w:rPr>
                <w:rFonts w:ascii="宋体" w:hAnsi="宋体" w:cs="宋体"/>
                <w:color w:val="auto"/>
                <w:szCs w:val="21"/>
              </w:rPr>
            </w:pPr>
            <w:r>
              <w:rPr>
                <w:rFonts w:hint="eastAsia" w:ascii="宋体" w:hAnsi="宋体" w:cs="宋体"/>
                <w:color w:val="auto"/>
                <w:szCs w:val="21"/>
              </w:rPr>
              <w:t>6分</w:t>
            </w:r>
          </w:p>
          <w:p w14:paraId="7A8B464D">
            <w:pPr>
              <w:widowControl/>
              <w:jc w:val="center"/>
              <w:rPr>
                <w:rFonts w:ascii="宋体" w:hAnsi="宋体" w:cs="宋体"/>
                <w:color w:val="auto"/>
                <w:kern w:val="0"/>
                <w:szCs w:val="21"/>
              </w:rPr>
            </w:pPr>
            <w:r>
              <w:rPr>
                <w:rFonts w:hint="eastAsia" w:ascii="宋体" w:hAnsi="宋体" w:cs="宋体"/>
                <w:color w:val="auto"/>
                <w:kern w:val="0"/>
                <w:szCs w:val="21"/>
              </w:rPr>
              <w:t>(主观分)</w:t>
            </w:r>
          </w:p>
        </w:tc>
      </w:tr>
      <w:tr w14:paraId="761B0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645" w:type="dxa"/>
            <w:vMerge w:val="continue"/>
            <w:vAlign w:val="center"/>
          </w:tcPr>
          <w:p w14:paraId="39A87A27">
            <w:pPr>
              <w:ind w:left="425" w:hanging="425"/>
              <w:jc w:val="center"/>
              <w:rPr>
                <w:rFonts w:ascii="宋体" w:hAnsi="宋体" w:cs="宋体"/>
                <w:bCs/>
                <w:color w:val="auto"/>
                <w:szCs w:val="21"/>
              </w:rPr>
            </w:pPr>
          </w:p>
        </w:tc>
        <w:tc>
          <w:tcPr>
            <w:tcW w:w="724" w:type="dxa"/>
            <w:vMerge w:val="continue"/>
            <w:shd w:val="clear" w:color="auto" w:fill="auto"/>
            <w:vAlign w:val="center"/>
          </w:tcPr>
          <w:p w14:paraId="71C0D2C0">
            <w:pPr>
              <w:widowControl/>
              <w:jc w:val="center"/>
              <w:rPr>
                <w:rFonts w:ascii="宋体" w:hAnsi="宋体" w:cs="宋体"/>
                <w:color w:val="auto"/>
                <w:kern w:val="0"/>
                <w:szCs w:val="21"/>
              </w:rPr>
            </w:pPr>
          </w:p>
        </w:tc>
        <w:tc>
          <w:tcPr>
            <w:tcW w:w="7090" w:type="dxa"/>
            <w:shd w:val="clear" w:color="auto" w:fill="auto"/>
            <w:vAlign w:val="center"/>
          </w:tcPr>
          <w:p w14:paraId="28EF9BCB">
            <w:pPr>
              <w:spacing w:line="273" w:lineRule="auto"/>
              <w:jc w:val="left"/>
              <w:rPr>
                <w:rFonts w:ascii="宋体" w:hAnsi="宋体" w:cs="宋体"/>
                <w:color w:val="auto"/>
                <w:szCs w:val="21"/>
              </w:rPr>
            </w:pPr>
            <w:r>
              <w:rPr>
                <w:rFonts w:hint="eastAsia" w:ascii="宋体" w:hAnsi="宋体" w:cs="宋体"/>
                <w:color w:val="auto"/>
                <w:szCs w:val="21"/>
              </w:rPr>
              <w:t>根据投标人提供的针对项目实施制定的进度控制措施进行评议。</w:t>
            </w:r>
          </w:p>
          <w:p w14:paraId="424737A4">
            <w:pPr>
              <w:spacing w:line="273" w:lineRule="auto"/>
              <w:jc w:val="left"/>
              <w:rPr>
                <w:rFonts w:ascii="宋体" w:hAnsi="宋体" w:cs="宋体"/>
                <w:color w:val="auto"/>
                <w:szCs w:val="21"/>
              </w:rPr>
            </w:pPr>
            <w:r>
              <w:rPr>
                <w:rFonts w:hint="eastAsia" w:ascii="宋体" w:hAnsi="宋体" w:cs="宋体"/>
                <w:color w:val="auto"/>
                <w:szCs w:val="21"/>
              </w:rPr>
              <w:t>①制定了详细的控制措施，有利于项目管控和目标实现的得4.1～6.0分；</w:t>
            </w:r>
          </w:p>
          <w:p w14:paraId="63E90FE3">
            <w:pPr>
              <w:spacing w:line="273" w:lineRule="auto"/>
              <w:jc w:val="left"/>
              <w:rPr>
                <w:rFonts w:ascii="宋体" w:hAnsi="宋体" w:cs="宋体"/>
                <w:color w:val="auto"/>
                <w:szCs w:val="21"/>
              </w:rPr>
            </w:pPr>
            <w:r>
              <w:rPr>
                <w:rFonts w:hint="eastAsia" w:ascii="宋体" w:hAnsi="宋体" w:cs="宋体"/>
                <w:color w:val="auto"/>
                <w:szCs w:val="21"/>
              </w:rPr>
              <w:t>②控制措施适当，工作安排适当，总体无影响项目顺利开展的重大缺陷的得2.1～4.0分；</w:t>
            </w:r>
          </w:p>
          <w:p w14:paraId="06B2C778">
            <w:pPr>
              <w:spacing w:line="273" w:lineRule="auto"/>
              <w:jc w:val="left"/>
              <w:rPr>
                <w:rFonts w:ascii="宋体" w:hAnsi="宋体" w:cs="宋体"/>
                <w:color w:val="auto"/>
                <w:szCs w:val="21"/>
              </w:rPr>
            </w:pPr>
            <w:r>
              <w:rPr>
                <w:rFonts w:hint="eastAsia" w:ascii="宋体" w:hAnsi="宋体" w:cs="宋体"/>
                <w:color w:val="auto"/>
                <w:szCs w:val="21"/>
              </w:rPr>
              <w:t>③控制措施简略空洞，考虑不够全面，有待改进的得0.0～2.0分（未阐述不得分）。</w:t>
            </w:r>
          </w:p>
        </w:tc>
        <w:tc>
          <w:tcPr>
            <w:tcW w:w="1211" w:type="dxa"/>
            <w:shd w:val="clear" w:color="auto" w:fill="auto"/>
            <w:vAlign w:val="center"/>
          </w:tcPr>
          <w:p w14:paraId="5C5DDC86">
            <w:pPr>
              <w:jc w:val="center"/>
              <w:rPr>
                <w:rFonts w:ascii="宋体" w:hAnsi="宋体" w:cs="宋体"/>
                <w:color w:val="auto"/>
                <w:szCs w:val="21"/>
              </w:rPr>
            </w:pPr>
            <w:r>
              <w:rPr>
                <w:rFonts w:hint="eastAsia" w:ascii="宋体" w:hAnsi="宋体" w:cs="宋体"/>
                <w:color w:val="auto"/>
                <w:szCs w:val="21"/>
              </w:rPr>
              <w:t>6分</w:t>
            </w:r>
          </w:p>
          <w:p w14:paraId="544F01BD">
            <w:pPr>
              <w:widowControl/>
              <w:jc w:val="center"/>
              <w:rPr>
                <w:rFonts w:ascii="宋体" w:hAnsi="宋体" w:cs="宋体"/>
                <w:color w:val="auto"/>
                <w:kern w:val="0"/>
                <w:szCs w:val="21"/>
              </w:rPr>
            </w:pPr>
            <w:r>
              <w:rPr>
                <w:rFonts w:hint="eastAsia" w:ascii="宋体" w:hAnsi="宋体" w:cs="宋体"/>
                <w:color w:val="auto"/>
                <w:kern w:val="0"/>
                <w:szCs w:val="21"/>
              </w:rPr>
              <w:t>(主观分)</w:t>
            </w:r>
          </w:p>
        </w:tc>
      </w:tr>
      <w:tr w14:paraId="5E747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645" w:type="dxa"/>
            <w:vAlign w:val="center"/>
          </w:tcPr>
          <w:p w14:paraId="7C1E9423">
            <w:pPr>
              <w:numPr>
                <w:ilvl w:val="0"/>
                <w:numId w:val="16"/>
              </w:numPr>
              <w:jc w:val="center"/>
              <w:rPr>
                <w:rFonts w:ascii="宋体" w:hAnsi="宋体" w:cs="宋体"/>
                <w:bCs/>
                <w:color w:val="auto"/>
                <w:szCs w:val="21"/>
              </w:rPr>
            </w:pPr>
          </w:p>
        </w:tc>
        <w:tc>
          <w:tcPr>
            <w:tcW w:w="724" w:type="dxa"/>
            <w:shd w:val="clear" w:color="auto" w:fill="auto"/>
            <w:vAlign w:val="center"/>
          </w:tcPr>
          <w:p w14:paraId="0163ED12">
            <w:pPr>
              <w:snapToGrid w:val="0"/>
              <w:jc w:val="center"/>
              <w:rPr>
                <w:rFonts w:ascii="宋体" w:hAnsi="宋体" w:cs="宋体"/>
                <w:color w:val="auto"/>
                <w:kern w:val="0"/>
                <w:szCs w:val="21"/>
              </w:rPr>
            </w:pPr>
            <w:r>
              <w:rPr>
                <w:rFonts w:hint="eastAsia" w:ascii="宋体" w:hAnsi="宋体" w:cs="宋体"/>
                <w:color w:val="auto"/>
                <w:szCs w:val="21"/>
              </w:rPr>
              <w:t>质量保障方案</w:t>
            </w:r>
          </w:p>
        </w:tc>
        <w:tc>
          <w:tcPr>
            <w:tcW w:w="7090" w:type="dxa"/>
            <w:shd w:val="clear" w:color="auto" w:fill="auto"/>
            <w:vAlign w:val="center"/>
          </w:tcPr>
          <w:p w14:paraId="11CAB29C">
            <w:pPr>
              <w:ind w:right="-10"/>
              <w:jc w:val="left"/>
              <w:rPr>
                <w:rFonts w:ascii="宋体" w:hAnsi="宋体" w:cs="宋体"/>
                <w:color w:val="auto"/>
                <w:szCs w:val="21"/>
              </w:rPr>
            </w:pPr>
            <w:r>
              <w:rPr>
                <w:rFonts w:hint="eastAsia" w:ascii="宋体" w:hAnsi="宋体" w:cs="宋体"/>
                <w:color w:val="auto"/>
                <w:szCs w:val="21"/>
              </w:rPr>
              <w:t>根据投标人提供的成果质量保证方案进行评分：</w:t>
            </w:r>
          </w:p>
          <w:p w14:paraId="67E936B4">
            <w:pPr>
              <w:rPr>
                <w:rFonts w:ascii="宋体" w:hAnsi="宋体" w:cs="宋体"/>
                <w:color w:val="auto"/>
                <w:szCs w:val="21"/>
              </w:rPr>
            </w:pPr>
            <w:r>
              <w:rPr>
                <w:rFonts w:hint="eastAsia" w:ascii="宋体" w:hAnsi="宋体" w:cs="宋体"/>
                <w:color w:val="auto"/>
                <w:szCs w:val="21"/>
              </w:rPr>
              <w:t>①</w:t>
            </w:r>
            <w:r>
              <w:rPr>
                <w:rFonts w:hint="eastAsia" w:ascii="宋体" w:hAnsi="宋体" w:cs="宋体"/>
                <w:bCs/>
                <w:color w:val="auto"/>
                <w:kern w:val="0"/>
                <w:szCs w:val="21"/>
              </w:rPr>
              <w:t>内容全面</w:t>
            </w:r>
            <w:r>
              <w:rPr>
                <w:rFonts w:hint="eastAsia" w:ascii="宋体" w:hAnsi="宋体" w:cs="宋体"/>
                <w:color w:val="auto"/>
                <w:szCs w:val="21"/>
              </w:rPr>
              <w:t>、措施得力，有利于项目成果质量管控，充分保障项目顺利实施的得4.1～6.0分；</w:t>
            </w:r>
          </w:p>
          <w:p w14:paraId="50E18C5C">
            <w:pPr>
              <w:ind w:right="-10"/>
              <w:jc w:val="left"/>
              <w:rPr>
                <w:rFonts w:ascii="宋体" w:hAnsi="宋体" w:cs="宋体"/>
                <w:color w:val="auto"/>
                <w:szCs w:val="21"/>
              </w:rPr>
            </w:pPr>
            <w:r>
              <w:rPr>
                <w:rFonts w:hint="eastAsia" w:ascii="宋体" w:hAnsi="宋体" w:cs="宋体"/>
                <w:color w:val="auto"/>
                <w:szCs w:val="21"/>
              </w:rPr>
              <w:t>②</w:t>
            </w:r>
            <w:r>
              <w:rPr>
                <w:rFonts w:hint="eastAsia" w:ascii="宋体" w:hAnsi="宋体" w:cs="宋体"/>
                <w:bCs/>
                <w:color w:val="auto"/>
                <w:kern w:val="0"/>
                <w:szCs w:val="21"/>
              </w:rPr>
              <w:t>措施</w:t>
            </w:r>
            <w:r>
              <w:rPr>
                <w:rFonts w:hint="eastAsia" w:ascii="宋体" w:hAnsi="宋体" w:cs="宋体"/>
                <w:color w:val="auto"/>
                <w:kern w:val="0"/>
                <w:szCs w:val="21"/>
              </w:rPr>
              <w:t>总体合理可行</w:t>
            </w:r>
            <w:r>
              <w:rPr>
                <w:rFonts w:hint="eastAsia" w:ascii="宋体" w:hAnsi="宋体" w:cs="宋体"/>
                <w:color w:val="auto"/>
                <w:szCs w:val="21"/>
              </w:rPr>
              <w:t>，个别</w:t>
            </w:r>
            <w:r>
              <w:rPr>
                <w:rFonts w:hint="eastAsia" w:ascii="宋体" w:hAnsi="宋体" w:cs="宋体"/>
                <w:color w:val="auto"/>
                <w:kern w:val="0"/>
                <w:szCs w:val="21"/>
              </w:rPr>
              <w:t>细节有待补充完善的得</w:t>
            </w:r>
            <w:r>
              <w:rPr>
                <w:rFonts w:hint="eastAsia" w:ascii="宋体" w:hAnsi="宋体" w:cs="宋体"/>
                <w:color w:val="auto"/>
                <w:szCs w:val="21"/>
              </w:rPr>
              <w:t>2.1～4.0</w:t>
            </w:r>
            <w:r>
              <w:rPr>
                <w:rFonts w:hint="eastAsia" w:ascii="宋体" w:hAnsi="宋体" w:cs="宋体"/>
                <w:color w:val="auto"/>
                <w:kern w:val="0"/>
                <w:szCs w:val="21"/>
              </w:rPr>
              <w:t>分；</w:t>
            </w:r>
          </w:p>
          <w:p w14:paraId="3BF77793">
            <w:pPr>
              <w:jc w:val="left"/>
              <w:rPr>
                <w:rFonts w:ascii="宋体" w:hAnsi="宋体" w:cs="宋体"/>
                <w:color w:val="auto"/>
                <w:szCs w:val="21"/>
              </w:rPr>
            </w:pPr>
            <w:r>
              <w:rPr>
                <w:rFonts w:hint="eastAsia" w:ascii="宋体" w:hAnsi="宋体" w:cs="宋体"/>
                <w:color w:val="auto"/>
                <w:szCs w:val="21"/>
              </w:rPr>
              <w:t>③提供的方案简略，保证措施不足，缺乏一定可行性的得0.0～2.0分（未阐述不得分）。</w:t>
            </w:r>
          </w:p>
        </w:tc>
        <w:tc>
          <w:tcPr>
            <w:tcW w:w="1211" w:type="dxa"/>
            <w:shd w:val="clear" w:color="auto" w:fill="auto"/>
            <w:vAlign w:val="center"/>
          </w:tcPr>
          <w:p w14:paraId="28D86F21">
            <w:pPr>
              <w:jc w:val="center"/>
              <w:rPr>
                <w:rFonts w:ascii="宋体" w:hAnsi="宋体" w:cs="宋体"/>
                <w:color w:val="auto"/>
                <w:szCs w:val="21"/>
              </w:rPr>
            </w:pPr>
            <w:r>
              <w:rPr>
                <w:rFonts w:hint="eastAsia" w:ascii="宋体" w:hAnsi="宋体" w:cs="宋体"/>
                <w:color w:val="auto"/>
                <w:szCs w:val="21"/>
              </w:rPr>
              <w:t>6分</w:t>
            </w:r>
          </w:p>
          <w:p w14:paraId="73458D08">
            <w:pPr>
              <w:widowControl/>
              <w:jc w:val="center"/>
              <w:rPr>
                <w:rFonts w:ascii="宋体" w:hAnsi="宋体" w:cs="宋体"/>
                <w:color w:val="auto"/>
                <w:kern w:val="0"/>
                <w:szCs w:val="21"/>
              </w:rPr>
            </w:pPr>
            <w:r>
              <w:rPr>
                <w:rFonts w:hint="eastAsia" w:ascii="宋体" w:hAnsi="宋体" w:cs="宋体"/>
                <w:color w:val="auto"/>
                <w:kern w:val="0"/>
                <w:szCs w:val="21"/>
              </w:rPr>
              <w:t>(主观分)</w:t>
            </w:r>
          </w:p>
        </w:tc>
      </w:tr>
      <w:tr w14:paraId="40FE7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645" w:type="dxa"/>
            <w:vMerge w:val="restart"/>
            <w:vAlign w:val="center"/>
          </w:tcPr>
          <w:p w14:paraId="3E494CE1">
            <w:pPr>
              <w:numPr>
                <w:ilvl w:val="0"/>
                <w:numId w:val="16"/>
              </w:numPr>
              <w:jc w:val="center"/>
              <w:rPr>
                <w:rFonts w:ascii="宋体" w:hAnsi="宋体" w:cs="宋体"/>
                <w:bCs/>
                <w:color w:val="auto"/>
                <w:szCs w:val="21"/>
              </w:rPr>
            </w:pPr>
          </w:p>
        </w:tc>
        <w:tc>
          <w:tcPr>
            <w:tcW w:w="724" w:type="dxa"/>
            <w:vMerge w:val="restart"/>
            <w:vAlign w:val="center"/>
          </w:tcPr>
          <w:p w14:paraId="20C6BD51">
            <w:pPr>
              <w:widowControl/>
              <w:jc w:val="center"/>
              <w:rPr>
                <w:rFonts w:ascii="宋体" w:hAnsi="宋体" w:cs="宋体"/>
                <w:b/>
                <w:color w:val="auto"/>
                <w:szCs w:val="21"/>
              </w:rPr>
            </w:pPr>
            <w:r>
              <w:rPr>
                <w:rFonts w:hint="eastAsia" w:ascii="宋体" w:hAnsi="宋体" w:cs="宋体"/>
                <w:color w:val="auto"/>
                <w:kern w:val="0"/>
                <w:szCs w:val="21"/>
              </w:rPr>
              <w:t>安全与保密措施</w:t>
            </w:r>
          </w:p>
        </w:tc>
        <w:tc>
          <w:tcPr>
            <w:tcW w:w="7090" w:type="dxa"/>
            <w:shd w:val="clear" w:color="auto" w:fill="auto"/>
            <w:vAlign w:val="center"/>
          </w:tcPr>
          <w:p w14:paraId="2D70AE17">
            <w:pPr>
              <w:jc w:val="left"/>
              <w:rPr>
                <w:rFonts w:ascii="宋体" w:hAnsi="宋体" w:cs="宋体"/>
                <w:color w:val="auto"/>
                <w:szCs w:val="21"/>
              </w:rPr>
            </w:pPr>
            <w:r>
              <w:rPr>
                <w:rFonts w:hint="eastAsia" w:ascii="宋体" w:hAnsi="宋体" w:cs="宋体"/>
                <w:color w:val="auto"/>
                <w:szCs w:val="21"/>
              </w:rPr>
              <w:t>（1）根据投标人提供的项目外业核查人员安全保障方案进行评议。</w:t>
            </w:r>
          </w:p>
          <w:p w14:paraId="0A5EFCB8">
            <w:pPr>
              <w:widowControl/>
              <w:jc w:val="left"/>
              <w:rPr>
                <w:rFonts w:ascii="宋体" w:hAnsi="宋体" w:cs="宋体"/>
                <w:color w:val="auto"/>
                <w:szCs w:val="21"/>
              </w:rPr>
            </w:pPr>
            <w:r>
              <w:rPr>
                <w:rFonts w:hint="eastAsia" w:ascii="宋体" w:hAnsi="宋体" w:cs="宋体"/>
                <w:color w:val="auto"/>
                <w:szCs w:val="21"/>
              </w:rPr>
              <w:t>①安全保障方案内容全面、描述清晰，符合项目实际情况，措施得力，切实可行的得3.1～4.0分；</w:t>
            </w:r>
          </w:p>
          <w:p w14:paraId="2525F456">
            <w:pPr>
              <w:widowControl/>
              <w:jc w:val="left"/>
              <w:rPr>
                <w:rFonts w:ascii="宋体" w:hAnsi="宋体" w:cs="宋体"/>
                <w:color w:val="auto"/>
                <w:szCs w:val="21"/>
              </w:rPr>
            </w:pPr>
            <w:r>
              <w:rPr>
                <w:rFonts w:hint="eastAsia" w:ascii="宋体" w:hAnsi="宋体" w:cs="宋体"/>
                <w:color w:val="auto"/>
                <w:szCs w:val="21"/>
              </w:rPr>
              <w:t>②安全保障方案内容包含重点内容，基本符合项目实际情况，措施适当，合理可行的得1.1～3.0分；</w:t>
            </w:r>
          </w:p>
          <w:p w14:paraId="2B966140">
            <w:pPr>
              <w:jc w:val="left"/>
              <w:rPr>
                <w:rFonts w:ascii="宋体" w:hAnsi="宋体" w:cs="宋体"/>
                <w:color w:val="auto"/>
                <w:szCs w:val="21"/>
              </w:rPr>
            </w:pPr>
            <w:r>
              <w:rPr>
                <w:rFonts w:hint="eastAsia" w:ascii="宋体" w:hAnsi="宋体" w:cs="宋体"/>
                <w:color w:val="auto"/>
                <w:szCs w:val="21"/>
              </w:rPr>
              <w:t>③安全保障方案内容简略，细化程度不够或保障措施欠妥的得0.0～1.0分（未阐述不得分）。</w:t>
            </w:r>
          </w:p>
        </w:tc>
        <w:tc>
          <w:tcPr>
            <w:tcW w:w="1211" w:type="dxa"/>
            <w:shd w:val="clear" w:color="auto" w:fill="auto"/>
            <w:vAlign w:val="center"/>
          </w:tcPr>
          <w:p w14:paraId="4C52F5F0">
            <w:pPr>
              <w:jc w:val="center"/>
              <w:rPr>
                <w:rFonts w:ascii="宋体" w:hAnsi="宋体" w:cs="宋体"/>
                <w:color w:val="auto"/>
                <w:szCs w:val="21"/>
              </w:rPr>
            </w:pPr>
            <w:r>
              <w:rPr>
                <w:rFonts w:hint="eastAsia" w:ascii="宋体" w:hAnsi="宋体" w:cs="宋体"/>
                <w:color w:val="auto"/>
                <w:szCs w:val="21"/>
              </w:rPr>
              <w:t>4分</w:t>
            </w:r>
          </w:p>
          <w:p w14:paraId="795290A8">
            <w:pPr>
              <w:widowControl/>
              <w:jc w:val="center"/>
              <w:rPr>
                <w:rFonts w:ascii="宋体" w:hAnsi="宋体" w:cs="宋体"/>
                <w:color w:val="auto"/>
                <w:kern w:val="0"/>
                <w:szCs w:val="21"/>
              </w:rPr>
            </w:pPr>
            <w:r>
              <w:rPr>
                <w:rFonts w:hint="eastAsia" w:ascii="宋体" w:hAnsi="宋体" w:cs="宋体"/>
                <w:color w:val="auto"/>
                <w:kern w:val="0"/>
                <w:szCs w:val="21"/>
              </w:rPr>
              <w:t>(主观分)</w:t>
            </w:r>
          </w:p>
        </w:tc>
      </w:tr>
      <w:tr w14:paraId="08793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645" w:type="dxa"/>
            <w:vMerge w:val="continue"/>
            <w:vAlign w:val="center"/>
          </w:tcPr>
          <w:p w14:paraId="5D5DC9C9">
            <w:pPr>
              <w:ind w:left="425" w:hanging="425"/>
              <w:jc w:val="center"/>
              <w:rPr>
                <w:rFonts w:ascii="宋体" w:hAnsi="宋体" w:cs="宋体"/>
                <w:bCs/>
                <w:color w:val="auto"/>
                <w:szCs w:val="21"/>
              </w:rPr>
            </w:pPr>
          </w:p>
        </w:tc>
        <w:tc>
          <w:tcPr>
            <w:tcW w:w="724" w:type="dxa"/>
            <w:vMerge w:val="continue"/>
            <w:vAlign w:val="center"/>
          </w:tcPr>
          <w:p w14:paraId="0E2C8106">
            <w:pPr>
              <w:widowControl/>
              <w:jc w:val="center"/>
              <w:rPr>
                <w:rFonts w:ascii="宋体" w:hAnsi="宋体" w:cs="宋体"/>
                <w:color w:val="auto"/>
                <w:kern w:val="0"/>
                <w:szCs w:val="21"/>
              </w:rPr>
            </w:pPr>
          </w:p>
        </w:tc>
        <w:tc>
          <w:tcPr>
            <w:tcW w:w="7090" w:type="dxa"/>
            <w:shd w:val="clear" w:color="auto" w:fill="auto"/>
            <w:vAlign w:val="center"/>
          </w:tcPr>
          <w:p w14:paraId="0EED5E7B">
            <w:pPr>
              <w:jc w:val="left"/>
              <w:rPr>
                <w:rFonts w:ascii="宋体" w:hAnsi="宋体" w:cs="宋体"/>
                <w:color w:val="auto"/>
                <w:szCs w:val="21"/>
              </w:rPr>
            </w:pPr>
            <w:r>
              <w:rPr>
                <w:rFonts w:hint="eastAsia" w:ascii="宋体" w:hAnsi="宋体" w:cs="宋体"/>
                <w:color w:val="auto"/>
                <w:szCs w:val="21"/>
              </w:rPr>
              <w:t>（2）根据投标人提供项目数据安全保密措施进行评议。</w:t>
            </w:r>
          </w:p>
          <w:p w14:paraId="30910B57">
            <w:pPr>
              <w:ind w:right="-10"/>
              <w:jc w:val="left"/>
              <w:rPr>
                <w:rFonts w:ascii="宋体" w:hAnsi="宋体" w:cs="宋体"/>
                <w:color w:val="auto"/>
                <w:szCs w:val="21"/>
              </w:rPr>
            </w:pPr>
            <w:r>
              <w:rPr>
                <w:rFonts w:hint="eastAsia" w:ascii="宋体" w:hAnsi="宋体" w:cs="宋体"/>
                <w:color w:val="auto"/>
                <w:szCs w:val="21"/>
              </w:rPr>
              <w:fldChar w:fldCharType="begin"/>
            </w:r>
            <w:r>
              <w:rPr>
                <w:rFonts w:hint="eastAsia" w:ascii="宋体" w:hAnsi="宋体" w:cs="宋体"/>
                <w:color w:val="auto"/>
                <w:szCs w:val="21"/>
              </w:rPr>
              <w:instrText xml:space="preserve"> = 1 \* GB3 </w:instrText>
            </w:r>
            <w:r>
              <w:rPr>
                <w:rFonts w:hint="eastAsia" w:ascii="宋体" w:hAnsi="宋体" w:cs="宋体"/>
                <w:color w:val="auto"/>
                <w:szCs w:val="21"/>
              </w:rPr>
              <w:fldChar w:fldCharType="separate"/>
            </w:r>
            <w:r>
              <w:rPr>
                <w:rFonts w:hint="eastAsia" w:ascii="宋体" w:hAnsi="宋体" w:cs="宋体"/>
                <w:color w:val="auto"/>
                <w:szCs w:val="21"/>
              </w:rPr>
              <w:t>①</w:t>
            </w:r>
            <w:r>
              <w:rPr>
                <w:rFonts w:hint="eastAsia" w:ascii="宋体" w:hAnsi="宋体" w:cs="宋体"/>
                <w:color w:val="auto"/>
                <w:szCs w:val="21"/>
              </w:rPr>
              <w:fldChar w:fldCharType="end"/>
            </w:r>
            <w:r>
              <w:rPr>
                <w:rFonts w:hint="eastAsia" w:ascii="宋体" w:hAnsi="宋体" w:cs="宋体"/>
                <w:color w:val="auto"/>
                <w:szCs w:val="21"/>
              </w:rPr>
              <w:t>保密制度内容规范，制度设置满足本项目实施的保密风险管理和控制要求，保密措施得力，切实可行的得3.1～4.0分；</w:t>
            </w:r>
          </w:p>
          <w:p w14:paraId="3B70CE9E">
            <w:pPr>
              <w:ind w:right="-10"/>
              <w:jc w:val="left"/>
              <w:rPr>
                <w:rFonts w:ascii="宋体" w:hAnsi="宋体" w:cs="宋体"/>
                <w:color w:val="auto"/>
                <w:szCs w:val="21"/>
              </w:rPr>
            </w:pPr>
            <w:r>
              <w:rPr>
                <w:rFonts w:hint="eastAsia" w:ascii="宋体" w:hAnsi="宋体" w:cs="宋体"/>
                <w:color w:val="auto"/>
                <w:szCs w:val="21"/>
              </w:rPr>
              <w:fldChar w:fldCharType="begin"/>
            </w:r>
            <w:r>
              <w:rPr>
                <w:rFonts w:hint="eastAsia" w:ascii="宋体" w:hAnsi="宋体" w:cs="宋体"/>
                <w:color w:val="auto"/>
                <w:szCs w:val="21"/>
              </w:rPr>
              <w:instrText xml:space="preserve"> = 2 \* GB3 </w:instrText>
            </w:r>
            <w:r>
              <w:rPr>
                <w:rFonts w:hint="eastAsia" w:ascii="宋体" w:hAnsi="宋体" w:cs="宋体"/>
                <w:color w:val="auto"/>
                <w:szCs w:val="21"/>
              </w:rPr>
              <w:fldChar w:fldCharType="separate"/>
            </w:r>
            <w:r>
              <w:rPr>
                <w:rFonts w:hint="eastAsia" w:ascii="宋体" w:hAnsi="宋体" w:cs="宋体"/>
                <w:color w:val="auto"/>
                <w:szCs w:val="21"/>
              </w:rPr>
              <w:t>②</w:t>
            </w:r>
            <w:r>
              <w:rPr>
                <w:rFonts w:hint="eastAsia" w:ascii="宋体" w:hAnsi="宋体" w:cs="宋体"/>
                <w:color w:val="auto"/>
                <w:szCs w:val="21"/>
              </w:rPr>
              <w:fldChar w:fldCharType="end"/>
            </w:r>
            <w:r>
              <w:rPr>
                <w:rFonts w:hint="eastAsia" w:ascii="宋体" w:hAnsi="宋体" w:cs="宋体"/>
                <w:color w:val="auto"/>
                <w:szCs w:val="21"/>
              </w:rPr>
              <w:t>保密制度具有项目实施所需的主要内容，能够良好满足项目实施的保密风险管理和控制要求，措施适当，合理可行的得1.1～3.0分；</w:t>
            </w:r>
          </w:p>
          <w:p w14:paraId="753FCF15">
            <w:pPr>
              <w:ind w:right="-10"/>
              <w:jc w:val="left"/>
              <w:rPr>
                <w:rFonts w:ascii="宋体" w:hAnsi="宋体" w:cs="宋体"/>
                <w:color w:val="auto"/>
                <w:szCs w:val="21"/>
              </w:rPr>
            </w:pPr>
            <w:r>
              <w:rPr>
                <w:rFonts w:hint="eastAsia" w:ascii="宋体" w:hAnsi="宋体" w:cs="宋体"/>
                <w:color w:val="auto"/>
                <w:szCs w:val="21"/>
              </w:rPr>
              <w:fldChar w:fldCharType="begin"/>
            </w:r>
            <w:r>
              <w:rPr>
                <w:rFonts w:hint="eastAsia" w:ascii="宋体" w:hAnsi="宋体" w:cs="宋体"/>
                <w:color w:val="auto"/>
                <w:szCs w:val="21"/>
              </w:rPr>
              <w:instrText xml:space="preserve"> = 3 \* GB3 </w:instrText>
            </w:r>
            <w:r>
              <w:rPr>
                <w:rFonts w:hint="eastAsia" w:ascii="宋体" w:hAnsi="宋体" w:cs="宋体"/>
                <w:color w:val="auto"/>
                <w:szCs w:val="21"/>
              </w:rPr>
              <w:fldChar w:fldCharType="separate"/>
            </w:r>
            <w:r>
              <w:rPr>
                <w:rFonts w:hint="eastAsia" w:ascii="宋体" w:hAnsi="宋体" w:cs="宋体"/>
                <w:color w:val="auto"/>
                <w:szCs w:val="21"/>
              </w:rPr>
              <w:t>③</w:t>
            </w:r>
            <w:r>
              <w:rPr>
                <w:rFonts w:hint="eastAsia" w:ascii="宋体" w:hAnsi="宋体" w:cs="宋体"/>
                <w:color w:val="auto"/>
                <w:szCs w:val="21"/>
              </w:rPr>
              <w:fldChar w:fldCharType="end"/>
            </w:r>
            <w:r>
              <w:rPr>
                <w:rFonts w:hint="eastAsia" w:ascii="宋体" w:hAnsi="宋体" w:cs="宋体"/>
                <w:color w:val="auto"/>
                <w:szCs w:val="21"/>
              </w:rPr>
              <w:t>保密制度相对简略且欠规范，存在较多欠缺需要补充完善的得0.0～1.0分（未阐述不得分）。</w:t>
            </w:r>
          </w:p>
        </w:tc>
        <w:tc>
          <w:tcPr>
            <w:tcW w:w="1211" w:type="dxa"/>
            <w:shd w:val="clear" w:color="auto" w:fill="auto"/>
            <w:vAlign w:val="center"/>
          </w:tcPr>
          <w:p w14:paraId="5184D8DA">
            <w:pPr>
              <w:jc w:val="center"/>
              <w:rPr>
                <w:rFonts w:ascii="宋体" w:hAnsi="宋体" w:cs="宋体"/>
                <w:color w:val="auto"/>
                <w:szCs w:val="21"/>
              </w:rPr>
            </w:pPr>
            <w:r>
              <w:rPr>
                <w:rFonts w:hint="eastAsia" w:ascii="宋体" w:hAnsi="宋体" w:cs="宋体"/>
                <w:color w:val="auto"/>
                <w:szCs w:val="21"/>
              </w:rPr>
              <w:t>4分</w:t>
            </w:r>
          </w:p>
          <w:p w14:paraId="6AE09775">
            <w:pPr>
              <w:widowControl/>
              <w:jc w:val="center"/>
              <w:rPr>
                <w:rFonts w:ascii="宋体" w:hAnsi="宋体" w:cs="宋体"/>
                <w:color w:val="auto"/>
                <w:kern w:val="0"/>
                <w:szCs w:val="21"/>
              </w:rPr>
            </w:pPr>
            <w:r>
              <w:rPr>
                <w:rFonts w:hint="eastAsia" w:ascii="宋体" w:hAnsi="宋体" w:cs="宋体"/>
                <w:color w:val="auto"/>
                <w:kern w:val="0"/>
                <w:szCs w:val="21"/>
              </w:rPr>
              <w:t>(主观分)</w:t>
            </w:r>
          </w:p>
        </w:tc>
      </w:tr>
      <w:tr w14:paraId="2090B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645" w:type="dxa"/>
            <w:vAlign w:val="center"/>
          </w:tcPr>
          <w:p w14:paraId="606CC78A">
            <w:pPr>
              <w:numPr>
                <w:ilvl w:val="0"/>
                <w:numId w:val="16"/>
              </w:numPr>
              <w:jc w:val="center"/>
              <w:rPr>
                <w:rFonts w:ascii="宋体" w:hAnsi="宋体" w:cs="宋体"/>
                <w:bCs/>
                <w:color w:val="auto"/>
                <w:szCs w:val="21"/>
              </w:rPr>
            </w:pPr>
          </w:p>
        </w:tc>
        <w:tc>
          <w:tcPr>
            <w:tcW w:w="724" w:type="dxa"/>
            <w:shd w:val="clear" w:color="auto" w:fill="auto"/>
            <w:vAlign w:val="center"/>
          </w:tcPr>
          <w:p w14:paraId="1AB4869F">
            <w:pPr>
              <w:widowControl/>
              <w:jc w:val="center"/>
              <w:rPr>
                <w:rFonts w:ascii="宋体" w:hAnsi="宋体" w:cs="宋体"/>
                <w:color w:val="auto"/>
                <w:kern w:val="0"/>
                <w:szCs w:val="21"/>
              </w:rPr>
            </w:pPr>
            <w:r>
              <w:rPr>
                <w:rFonts w:hint="eastAsia" w:ascii="宋体" w:hAnsi="宋体" w:cs="宋体"/>
                <w:color w:val="auto"/>
                <w:kern w:val="0"/>
                <w:szCs w:val="21"/>
              </w:rPr>
              <w:t>应急预案</w:t>
            </w:r>
          </w:p>
        </w:tc>
        <w:tc>
          <w:tcPr>
            <w:tcW w:w="7090" w:type="dxa"/>
            <w:shd w:val="clear" w:color="auto" w:fill="auto"/>
            <w:vAlign w:val="center"/>
          </w:tcPr>
          <w:p w14:paraId="3332A749">
            <w:pPr>
              <w:widowControl/>
              <w:spacing w:line="326" w:lineRule="exact"/>
              <w:jc w:val="left"/>
              <w:rPr>
                <w:rFonts w:ascii="宋体" w:hAnsi="宋体" w:cs="宋体"/>
                <w:color w:val="auto"/>
                <w:szCs w:val="21"/>
              </w:rPr>
            </w:pPr>
            <w:r>
              <w:rPr>
                <w:rFonts w:hint="eastAsia" w:ascii="宋体" w:hAnsi="宋体" w:cs="宋体"/>
                <w:color w:val="auto"/>
                <w:szCs w:val="21"/>
              </w:rPr>
              <w:t>对项目实施过程中可能遇到的各类突发事件及问题有制定其应对措施进行评审。</w:t>
            </w:r>
          </w:p>
          <w:p w14:paraId="0CA9942D">
            <w:pPr>
              <w:widowControl/>
              <w:spacing w:line="326" w:lineRule="exact"/>
              <w:jc w:val="left"/>
              <w:rPr>
                <w:rFonts w:ascii="宋体" w:hAnsi="宋体" w:cs="宋体"/>
                <w:color w:val="auto"/>
                <w:szCs w:val="21"/>
              </w:rPr>
            </w:pPr>
            <w:r>
              <w:rPr>
                <w:rFonts w:hint="eastAsia" w:ascii="宋体" w:hAnsi="宋体" w:cs="宋体"/>
                <w:color w:val="auto"/>
                <w:szCs w:val="21"/>
              </w:rPr>
              <w:t>①应急预案措施完善合理，且针对性强的得4.1～6.0分；</w:t>
            </w:r>
          </w:p>
          <w:p w14:paraId="4DC3514F">
            <w:pPr>
              <w:widowControl/>
              <w:spacing w:line="326" w:lineRule="exact"/>
              <w:jc w:val="left"/>
              <w:rPr>
                <w:rFonts w:ascii="宋体" w:hAnsi="宋体" w:cs="宋体"/>
                <w:color w:val="auto"/>
                <w:szCs w:val="21"/>
              </w:rPr>
            </w:pPr>
            <w:r>
              <w:rPr>
                <w:rFonts w:hint="eastAsia" w:ascii="宋体" w:hAnsi="宋体" w:cs="宋体"/>
                <w:color w:val="auto"/>
                <w:szCs w:val="21"/>
              </w:rPr>
              <w:t>②应急预案措施较为完善合理，且针对性较强的得2.1～4.0分；</w:t>
            </w:r>
          </w:p>
          <w:p w14:paraId="7710AD9A">
            <w:pPr>
              <w:widowControl/>
              <w:spacing w:line="326" w:lineRule="exact"/>
              <w:jc w:val="left"/>
              <w:rPr>
                <w:rFonts w:ascii="宋体" w:hAnsi="宋体" w:cs="宋体"/>
                <w:color w:val="auto"/>
                <w:szCs w:val="21"/>
              </w:rPr>
            </w:pPr>
            <w:r>
              <w:rPr>
                <w:rFonts w:hint="eastAsia" w:ascii="宋体" w:hAnsi="宋体" w:cs="宋体"/>
                <w:color w:val="auto"/>
                <w:szCs w:val="21"/>
              </w:rPr>
              <w:t>③应急预案措施基本合理，但仍有待完善的得0.0～2.0分（未阐述不得分）。</w:t>
            </w:r>
          </w:p>
        </w:tc>
        <w:tc>
          <w:tcPr>
            <w:tcW w:w="1211" w:type="dxa"/>
            <w:shd w:val="clear" w:color="auto" w:fill="auto"/>
            <w:vAlign w:val="center"/>
          </w:tcPr>
          <w:p w14:paraId="3A50D4F1">
            <w:pPr>
              <w:jc w:val="center"/>
              <w:rPr>
                <w:rFonts w:ascii="宋体" w:hAnsi="宋体" w:cs="宋体"/>
                <w:color w:val="auto"/>
                <w:szCs w:val="21"/>
              </w:rPr>
            </w:pPr>
            <w:r>
              <w:rPr>
                <w:rFonts w:hint="eastAsia" w:ascii="宋体" w:hAnsi="宋体" w:cs="宋体"/>
                <w:color w:val="auto"/>
                <w:szCs w:val="21"/>
              </w:rPr>
              <w:t>6分</w:t>
            </w:r>
          </w:p>
          <w:p w14:paraId="5B7DA6B5">
            <w:pPr>
              <w:widowControl/>
              <w:jc w:val="center"/>
              <w:rPr>
                <w:rFonts w:ascii="宋体" w:hAnsi="宋体" w:cs="宋体"/>
                <w:color w:val="auto"/>
                <w:kern w:val="0"/>
                <w:szCs w:val="21"/>
              </w:rPr>
            </w:pPr>
            <w:r>
              <w:rPr>
                <w:rFonts w:hint="eastAsia" w:ascii="宋体" w:hAnsi="宋体" w:cs="宋体"/>
                <w:color w:val="auto"/>
                <w:kern w:val="0"/>
                <w:szCs w:val="21"/>
              </w:rPr>
              <w:t>(主观分)</w:t>
            </w:r>
          </w:p>
        </w:tc>
      </w:tr>
      <w:tr w14:paraId="6E0A4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645" w:type="dxa"/>
            <w:vAlign w:val="center"/>
          </w:tcPr>
          <w:p w14:paraId="4347183B">
            <w:pPr>
              <w:numPr>
                <w:ilvl w:val="0"/>
                <w:numId w:val="16"/>
              </w:numPr>
              <w:jc w:val="center"/>
              <w:rPr>
                <w:rFonts w:ascii="宋体" w:hAnsi="宋体" w:cs="宋体"/>
                <w:bCs/>
                <w:color w:val="auto"/>
                <w:szCs w:val="21"/>
              </w:rPr>
            </w:pPr>
          </w:p>
        </w:tc>
        <w:tc>
          <w:tcPr>
            <w:tcW w:w="724" w:type="dxa"/>
            <w:shd w:val="clear" w:color="auto" w:fill="auto"/>
            <w:vAlign w:val="center"/>
          </w:tcPr>
          <w:p w14:paraId="3F3B8759">
            <w:pPr>
              <w:widowControl/>
              <w:jc w:val="center"/>
              <w:rPr>
                <w:rFonts w:ascii="宋体" w:hAnsi="宋体" w:cs="宋体"/>
                <w:color w:val="auto"/>
                <w:kern w:val="0"/>
                <w:szCs w:val="21"/>
              </w:rPr>
            </w:pPr>
            <w:r>
              <w:rPr>
                <w:rFonts w:hint="eastAsia" w:ascii="宋体" w:hAnsi="宋体" w:cs="宋体"/>
                <w:color w:val="auto"/>
                <w:kern w:val="0"/>
                <w:szCs w:val="21"/>
              </w:rPr>
              <w:t>后期服务承诺</w:t>
            </w:r>
          </w:p>
        </w:tc>
        <w:tc>
          <w:tcPr>
            <w:tcW w:w="7090" w:type="dxa"/>
            <w:shd w:val="clear" w:color="auto" w:fill="auto"/>
            <w:vAlign w:val="center"/>
          </w:tcPr>
          <w:p w14:paraId="3316ACC3">
            <w:pPr>
              <w:widowControl/>
              <w:spacing w:line="326" w:lineRule="exact"/>
              <w:jc w:val="left"/>
              <w:rPr>
                <w:rFonts w:ascii="宋体" w:hAnsi="宋体" w:cs="宋体"/>
                <w:color w:val="auto"/>
                <w:szCs w:val="21"/>
              </w:rPr>
            </w:pPr>
            <w:r>
              <w:rPr>
                <w:rFonts w:hint="eastAsia" w:ascii="宋体" w:hAnsi="宋体" w:cs="宋体"/>
                <w:color w:val="auto"/>
                <w:szCs w:val="21"/>
              </w:rPr>
              <w:t>根据供应商提供的售后服务方案、售后服务承诺以及服务承诺落实的保障措施和后续技术支持进行评审。根据服务承诺内容完整性，可行性程度进行评审，得0.0～3.0分（未阐述不得分）。</w:t>
            </w:r>
          </w:p>
        </w:tc>
        <w:tc>
          <w:tcPr>
            <w:tcW w:w="1211" w:type="dxa"/>
            <w:shd w:val="clear" w:color="auto" w:fill="auto"/>
            <w:vAlign w:val="center"/>
          </w:tcPr>
          <w:p w14:paraId="5FCF5B8E">
            <w:pPr>
              <w:jc w:val="center"/>
              <w:rPr>
                <w:rFonts w:ascii="宋体" w:hAnsi="宋体" w:cs="宋体"/>
                <w:color w:val="auto"/>
                <w:szCs w:val="21"/>
              </w:rPr>
            </w:pPr>
            <w:r>
              <w:rPr>
                <w:rFonts w:hint="eastAsia" w:ascii="宋体" w:hAnsi="宋体" w:cs="宋体"/>
                <w:color w:val="auto"/>
                <w:szCs w:val="21"/>
              </w:rPr>
              <w:t>3分</w:t>
            </w:r>
          </w:p>
          <w:p w14:paraId="38B574C4">
            <w:pPr>
              <w:widowControl/>
              <w:spacing w:line="260" w:lineRule="exact"/>
              <w:jc w:val="center"/>
              <w:rPr>
                <w:rFonts w:ascii="宋体" w:hAnsi="宋体" w:cs="宋体"/>
                <w:color w:val="auto"/>
                <w:kern w:val="0"/>
                <w:szCs w:val="21"/>
              </w:rPr>
            </w:pPr>
            <w:r>
              <w:rPr>
                <w:rFonts w:hint="eastAsia" w:ascii="宋体" w:hAnsi="宋体" w:cs="宋体"/>
                <w:color w:val="auto"/>
                <w:kern w:val="0"/>
                <w:szCs w:val="21"/>
              </w:rPr>
              <w:t>(主观分)</w:t>
            </w:r>
          </w:p>
        </w:tc>
      </w:tr>
      <w:tr w14:paraId="56050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645" w:type="dxa"/>
            <w:vAlign w:val="center"/>
          </w:tcPr>
          <w:p w14:paraId="19D93C22">
            <w:pPr>
              <w:numPr>
                <w:ilvl w:val="0"/>
                <w:numId w:val="16"/>
              </w:numPr>
              <w:jc w:val="center"/>
              <w:rPr>
                <w:rFonts w:ascii="宋体" w:hAnsi="宋体" w:cs="宋体"/>
                <w:bCs/>
                <w:color w:val="auto"/>
                <w:szCs w:val="21"/>
              </w:rPr>
            </w:pPr>
          </w:p>
        </w:tc>
        <w:tc>
          <w:tcPr>
            <w:tcW w:w="724" w:type="dxa"/>
            <w:shd w:val="clear" w:color="auto" w:fill="auto"/>
            <w:vAlign w:val="center"/>
          </w:tcPr>
          <w:p w14:paraId="4131BCB7">
            <w:pPr>
              <w:widowControl/>
              <w:jc w:val="center"/>
              <w:rPr>
                <w:rFonts w:ascii="宋体" w:hAnsi="宋体" w:cs="宋体"/>
                <w:color w:val="auto"/>
                <w:kern w:val="0"/>
                <w:szCs w:val="21"/>
              </w:rPr>
            </w:pPr>
            <w:r>
              <w:rPr>
                <w:rFonts w:hint="eastAsia" w:ascii="宋体" w:hAnsi="宋体" w:cs="宋体"/>
                <w:color w:val="auto"/>
                <w:kern w:val="0"/>
                <w:szCs w:val="21"/>
              </w:rPr>
              <w:t>合理化建议</w:t>
            </w:r>
          </w:p>
        </w:tc>
        <w:tc>
          <w:tcPr>
            <w:tcW w:w="7090" w:type="dxa"/>
            <w:shd w:val="clear" w:color="auto" w:fill="auto"/>
            <w:vAlign w:val="center"/>
          </w:tcPr>
          <w:p w14:paraId="0FC601A9">
            <w:pPr>
              <w:widowControl/>
              <w:spacing w:line="326" w:lineRule="exact"/>
              <w:jc w:val="left"/>
              <w:rPr>
                <w:rFonts w:ascii="宋体" w:hAnsi="宋体" w:cs="宋体"/>
                <w:color w:val="auto"/>
                <w:szCs w:val="21"/>
              </w:rPr>
            </w:pPr>
            <w:r>
              <w:rPr>
                <w:rFonts w:hint="eastAsia" w:ascii="宋体" w:hAnsi="宋体" w:cs="宋体"/>
                <w:color w:val="auto"/>
                <w:szCs w:val="21"/>
              </w:rPr>
              <w:t>针对本项目采购需求并结合自身优势提出的合理化建议。根据内容的可行性、合理性程度进行评审，得0.0～3.0分（未阐述不得分）。</w:t>
            </w:r>
          </w:p>
        </w:tc>
        <w:tc>
          <w:tcPr>
            <w:tcW w:w="1211" w:type="dxa"/>
            <w:shd w:val="clear" w:color="auto" w:fill="auto"/>
            <w:vAlign w:val="center"/>
          </w:tcPr>
          <w:p w14:paraId="0E8A0FF0">
            <w:pPr>
              <w:jc w:val="center"/>
              <w:rPr>
                <w:rFonts w:ascii="宋体" w:hAnsi="宋体" w:cs="宋体"/>
                <w:color w:val="auto"/>
                <w:szCs w:val="21"/>
              </w:rPr>
            </w:pPr>
            <w:r>
              <w:rPr>
                <w:rFonts w:hint="eastAsia" w:ascii="宋体" w:hAnsi="宋体" w:cs="宋体"/>
                <w:color w:val="auto"/>
                <w:szCs w:val="21"/>
              </w:rPr>
              <w:t>3分</w:t>
            </w:r>
          </w:p>
          <w:p w14:paraId="0F2C4B89">
            <w:pPr>
              <w:widowControl/>
              <w:jc w:val="center"/>
              <w:rPr>
                <w:rFonts w:ascii="宋体" w:hAnsi="宋体" w:cs="宋体"/>
                <w:color w:val="auto"/>
                <w:kern w:val="0"/>
                <w:szCs w:val="21"/>
              </w:rPr>
            </w:pPr>
            <w:r>
              <w:rPr>
                <w:rFonts w:hint="eastAsia" w:ascii="宋体" w:hAnsi="宋体" w:cs="宋体"/>
                <w:color w:val="auto"/>
                <w:kern w:val="0"/>
                <w:szCs w:val="21"/>
              </w:rPr>
              <w:t>(主观分)</w:t>
            </w:r>
          </w:p>
        </w:tc>
      </w:tr>
    </w:tbl>
    <w:p w14:paraId="5A22D03F">
      <w:pPr>
        <w:spacing w:beforeLines="50" w:afterLines="50" w:line="360" w:lineRule="auto"/>
        <w:rPr>
          <w:rFonts w:ascii="宋体" w:hAnsi="宋体" w:cs="宋体"/>
          <w:b/>
          <w:color w:val="auto"/>
          <w:sz w:val="24"/>
        </w:rPr>
      </w:pPr>
      <w:bookmarkStart w:id="39" w:name="_Toc13386"/>
      <w:r>
        <w:rPr>
          <w:rFonts w:hint="eastAsia" w:ascii="宋体" w:hAnsi="宋体" w:cs="宋体"/>
          <w:b/>
          <w:color w:val="auto"/>
          <w:sz w:val="24"/>
        </w:rPr>
        <w:t>3、报价文件评审</w:t>
      </w:r>
    </w:p>
    <w:p w14:paraId="34728B0D">
      <w:pPr>
        <w:spacing w:afterLines="50" w:line="360" w:lineRule="auto"/>
        <w:ind w:firstLine="482" w:firstLineChars="200"/>
        <w:rPr>
          <w:rFonts w:ascii="宋体" w:hAnsi="宋体" w:cs="宋体"/>
          <w:b/>
          <w:color w:val="auto"/>
          <w:sz w:val="24"/>
        </w:rPr>
      </w:pPr>
      <w:r>
        <w:rPr>
          <w:rFonts w:hint="eastAsia" w:ascii="宋体" w:hAnsi="宋体" w:cs="宋体"/>
          <w:b/>
          <w:color w:val="auto"/>
          <w:sz w:val="24"/>
        </w:rPr>
        <w:t>3.1报价得分计算方法如下：</w:t>
      </w:r>
    </w:p>
    <w:p w14:paraId="244B67FB">
      <w:pPr>
        <w:spacing w:line="360" w:lineRule="auto"/>
        <w:ind w:firstLine="482" w:firstLineChars="200"/>
        <w:rPr>
          <w:rFonts w:ascii="宋体" w:hAnsi="宋体" w:cs="宋体"/>
          <w:b/>
          <w:bCs/>
          <w:color w:val="auto"/>
          <w:sz w:val="24"/>
        </w:rPr>
      </w:pPr>
      <w:r>
        <w:rPr>
          <w:rFonts w:hint="eastAsia" w:ascii="宋体" w:hAnsi="宋体" w:cs="宋体"/>
          <w:b/>
          <w:bCs/>
          <w:color w:val="auto"/>
          <w:sz w:val="24"/>
        </w:rPr>
        <w:t>①价格评定分值为</w:t>
      </w:r>
      <w:r>
        <w:rPr>
          <w:rFonts w:hint="eastAsia" w:ascii="宋体" w:hAnsi="宋体" w:cs="宋体"/>
          <w:b/>
          <w:bCs/>
          <w:color w:val="auto"/>
          <w:sz w:val="24"/>
          <w:u w:val="single"/>
        </w:rPr>
        <w:t xml:space="preserve"> 10 </w:t>
      </w:r>
      <w:r>
        <w:rPr>
          <w:rFonts w:hint="eastAsia" w:ascii="宋体" w:hAnsi="宋体" w:cs="宋体"/>
          <w:b/>
          <w:bCs/>
          <w:color w:val="auto"/>
          <w:sz w:val="24"/>
        </w:rPr>
        <w:t xml:space="preserve">分。 </w:t>
      </w:r>
    </w:p>
    <w:p w14:paraId="02DFB034">
      <w:pPr>
        <w:spacing w:line="360" w:lineRule="auto"/>
        <w:ind w:firstLine="480" w:firstLineChars="200"/>
        <w:rPr>
          <w:rFonts w:ascii="宋体" w:hAnsi="宋体" w:cs="宋体"/>
          <w:color w:val="auto"/>
          <w:sz w:val="24"/>
        </w:rPr>
      </w:pPr>
      <w:r>
        <w:rPr>
          <w:rFonts w:hint="eastAsia" w:ascii="宋体" w:hAnsi="宋体" w:cs="宋体"/>
          <w:color w:val="auto"/>
          <w:sz w:val="24"/>
        </w:rPr>
        <w:t>②评标基准价的确定：</w:t>
      </w:r>
    </w:p>
    <w:p w14:paraId="4C1BE11F">
      <w:pPr>
        <w:spacing w:line="360" w:lineRule="auto"/>
        <w:ind w:firstLine="240" w:firstLineChars="100"/>
        <w:rPr>
          <w:rFonts w:ascii="宋体" w:hAnsi="宋体" w:cs="宋体"/>
          <w:b/>
          <w:bCs/>
          <w:color w:val="auto"/>
          <w:sz w:val="24"/>
        </w:rPr>
      </w:pPr>
      <w:r>
        <w:rPr>
          <w:rFonts w:hint="eastAsia" w:ascii="宋体" w:hAnsi="宋体" w:cs="宋体"/>
          <w:color w:val="auto"/>
          <w:sz w:val="24"/>
        </w:rPr>
        <w:t>A、评标委员会认为供应商的报价明显低于其他通过符合性审查供应商的报价，而供应商不能在评标委员会要求的时间内作出合理电子答复且提供相关证明材料的，或者评标委员会认为其所作出的电子答复不合理的，该投标作无效标处理。</w:t>
      </w:r>
      <w:r>
        <w:rPr>
          <w:rFonts w:hint="eastAsia" w:ascii="宋体" w:hAnsi="宋体" w:cs="宋体"/>
          <w:b/>
          <w:bCs/>
          <w:color w:val="auto"/>
          <w:sz w:val="24"/>
        </w:rPr>
        <w:t>（若供应商报价低于项目预算50%的，应当在项目评审前准备好报价核算、报价明细、报价说明等材料，并详细阐述不影响产品质量或者诚信履约的具体原因，以备评审专家核查。）</w:t>
      </w:r>
    </w:p>
    <w:p w14:paraId="3DE288FF">
      <w:pPr>
        <w:spacing w:line="360" w:lineRule="auto"/>
        <w:ind w:firstLine="240" w:firstLineChars="100"/>
        <w:rPr>
          <w:rFonts w:ascii="宋体" w:hAnsi="宋体" w:cs="宋体"/>
          <w:color w:val="auto"/>
          <w:sz w:val="24"/>
        </w:rPr>
      </w:pPr>
      <w:r>
        <w:rPr>
          <w:rFonts w:hint="eastAsia" w:ascii="宋体" w:hAnsi="宋体" w:cs="宋体"/>
          <w:color w:val="auto"/>
          <w:sz w:val="24"/>
        </w:rPr>
        <w:t>B、价格分统一采用低价优先法计算,即满足采购文件要求且投标价格最低的有效投标报价为评标基准价,其价格分为满分。供应商的价格分按照下列公式计算:</w:t>
      </w:r>
    </w:p>
    <w:p w14:paraId="196F6373">
      <w:pPr>
        <w:widowControl/>
        <w:spacing w:beforeLines="50" w:afterLines="50" w:line="360" w:lineRule="auto"/>
        <w:ind w:firstLine="482" w:firstLineChars="200"/>
        <w:jc w:val="left"/>
        <w:rPr>
          <w:rFonts w:ascii="宋体" w:hAnsi="宋体" w:cs="宋体"/>
          <w:b/>
          <w:color w:val="auto"/>
          <w:sz w:val="24"/>
        </w:rPr>
      </w:pPr>
      <w:r>
        <w:rPr>
          <w:rFonts w:hint="eastAsia" w:ascii="宋体" w:hAnsi="宋体" w:cs="宋体"/>
          <w:b/>
          <w:color w:val="auto"/>
          <w:sz w:val="24"/>
        </w:rPr>
        <w:t>报价得分=(评标基准价/投标报价)×10%×100</w:t>
      </w:r>
    </w:p>
    <w:p w14:paraId="6DCBCAA1">
      <w:pPr>
        <w:pStyle w:val="41"/>
        <w:spacing w:line="360" w:lineRule="auto"/>
        <w:ind w:firstLine="240" w:firstLineChars="100"/>
        <w:rPr>
          <w:rFonts w:ascii="宋体" w:hAnsi="宋体" w:cs="宋体"/>
          <w:b w:val="0"/>
          <w:color w:val="auto"/>
          <w:sz w:val="24"/>
          <w:szCs w:val="24"/>
        </w:rPr>
      </w:pPr>
      <w:r>
        <w:rPr>
          <w:rFonts w:hint="eastAsia" w:ascii="宋体" w:hAnsi="宋体" w:cs="宋体"/>
          <w:b w:val="0"/>
          <w:color w:val="auto"/>
          <w:sz w:val="24"/>
          <w:szCs w:val="24"/>
        </w:rPr>
        <w:t>C、因落实政府采购政策进行价格调整的，以调整后的价格计算评标基准价和投标报价。</w:t>
      </w:r>
    </w:p>
    <w:p w14:paraId="39F6F726">
      <w:pPr>
        <w:numPr>
          <w:ilvl w:val="0"/>
          <w:numId w:val="18"/>
        </w:numPr>
        <w:spacing w:beforeLines="50" w:afterLines="50" w:line="360" w:lineRule="auto"/>
        <w:rPr>
          <w:rFonts w:ascii="宋体" w:hAnsi="宋体" w:cs="宋体"/>
          <w:b/>
          <w:color w:val="auto"/>
          <w:sz w:val="24"/>
        </w:rPr>
      </w:pPr>
      <w:r>
        <w:rPr>
          <w:rFonts w:hint="eastAsia" w:ascii="宋体" w:hAnsi="宋体" w:cs="宋体"/>
          <w:b/>
          <w:color w:val="auto"/>
          <w:sz w:val="24"/>
        </w:rPr>
        <w:t>政府采购政策性规定说明：</w:t>
      </w:r>
      <w:r>
        <w:rPr>
          <w:rFonts w:hint="eastAsia" w:ascii="宋体" w:hAnsi="宋体" w:cs="宋体"/>
          <w:b/>
          <w:color w:val="auto"/>
          <w:szCs w:val="21"/>
          <w:u w:val="single"/>
        </w:rPr>
        <w:t>（在政策适用前提下落实相关政策。）</w:t>
      </w:r>
    </w:p>
    <w:p w14:paraId="2B587BDA">
      <w:pPr>
        <w:spacing w:line="400" w:lineRule="exact"/>
        <w:ind w:firstLine="241" w:firstLineChars="100"/>
        <w:rPr>
          <w:rFonts w:ascii="宋体" w:hAnsi="宋体" w:cs="宋体"/>
          <w:b/>
          <w:bCs/>
          <w:color w:val="auto"/>
          <w:sz w:val="24"/>
        </w:rPr>
      </w:pPr>
      <w:r>
        <w:rPr>
          <w:rFonts w:hint="eastAsia" w:ascii="宋体" w:hAnsi="宋体" w:cs="宋体"/>
          <w:b/>
          <w:bCs/>
          <w:color w:val="auto"/>
          <w:sz w:val="24"/>
        </w:rPr>
        <w:t>（1）中小企业</w:t>
      </w:r>
      <w:r>
        <w:rPr>
          <w:rFonts w:hint="eastAsia" w:ascii="宋体" w:hAnsi="宋体" w:cs="宋体"/>
          <w:color w:val="auto"/>
          <w:sz w:val="28"/>
          <w:szCs w:val="28"/>
          <w:vertAlign w:val="superscript"/>
        </w:rPr>
        <w:t>①</w:t>
      </w:r>
      <w:r>
        <w:rPr>
          <w:rFonts w:hint="eastAsia" w:ascii="宋体" w:hAnsi="宋体" w:cs="宋体"/>
          <w:b/>
          <w:bCs/>
          <w:color w:val="auto"/>
          <w:sz w:val="24"/>
        </w:rPr>
        <w:t>（含监狱企业、残疾人福利性单位）扶持政策</w:t>
      </w:r>
    </w:p>
    <w:p w14:paraId="3C58B6E7">
      <w:pPr>
        <w:spacing w:beforeLines="50" w:afterLines="50" w:line="288" w:lineRule="auto"/>
        <w:ind w:firstLine="480" w:firstLineChars="200"/>
        <w:rPr>
          <w:rFonts w:ascii="宋体" w:hAnsi="宋体" w:cs="宋体"/>
          <w:color w:val="auto"/>
          <w:sz w:val="24"/>
        </w:rPr>
      </w:pPr>
      <w:r>
        <w:rPr>
          <w:rFonts w:hint="eastAsia" w:ascii="宋体" w:hAnsi="宋体" w:cs="宋体"/>
          <w:color w:val="auto"/>
          <w:sz w:val="24"/>
        </w:rPr>
        <w:t>1）根据《政府采购促进中小企业发展管理办法》</w:t>
      </w:r>
      <w:r>
        <w:rPr>
          <w:rFonts w:hint="eastAsia" w:ascii="宋体" w:hAnsi="宋体" w:cs="宋体"/>
          <w:color w:val="auto"/>
          <w:sz w:val="28"/>
          <w:szCs w:val="28"/>
          <w:vertAlign w:val="superscript"/>
        </w:rPr>
        <w:t>②</w:t>
      </w:r>
      <w:r>
        <w:rPr>
          <w:rFonts w:hint="eastAsia" w:ascii="宋体" w:hAnsi="宋体" w:cs="宋体"/>
          <w:color w:val="auto"/>
          <w:sz w:val="24"/>
        </w:rPr>
        <w:t>[财库〔2020〕46号]和《财政部关于进一步加大政府采购支持中小企业力度的通知》[财库〔2022〕19号]的相关规定，对于未预留份额专门面向中小企业的政府采购货物或服务项目，以及预留份额政府采购货物或服务项目中的非预留部分标项，对小型和微型企业的投标报价给予</w:t>
      </w:r>
      <w:r>
        <w:rPr>
          <w:rFonts w:hint="eastAsia" w:ascii="宋体" w:hAnsi="宋体" w:cs="宋体"/>
          <w:b/>
          <w:bCs/>
          <w:color w:val="auto"/>
          <w:sz w:val="24"/>
          <w:u w:val="single"/>
        </w:rPr>
        <w:t xml:space="preserve"> 20% </w:t>
      </w:r>
      <w:r>
        <w:rPr>
          <w:rFonts w:hint="eastAsia" w:ascii="宋体" w:hAnsi="宋体" w:cs="宋体"/>
          <w:color w:val="auto"/>
          <w:sz w:val="24"/>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宋体" w:hAnsi="宋体" w:cs="宋体"/>
          <w:b/>
          <w:bCs/>
          <w:color w:val="auto"/>
          <w:sz w:val="24"/>
          <w:u w:val="single"/>
        </w:rPr>
        <w:t xml:space="preserve"> 6% </w:t>
      </w:r>
      <w:r>
        <w:rPr>
          <w:rFonts w:hint="eastAsia" w:ascii="宋体" w:hAnsi="宋体" w:cs="宋体"/>
          <w:color w:val="auto"/>
          <w:sz w:val="24"/>
        </w:rPr>
        <w:t>的扣除，用扣除后的价格参加评审。组成联合体或者接受分包的小微企业与联合体内其他企业、分包企业之间存在直接控股、管理关系的，不享受价格扣除优惠政策。投标人按</w:t>
      </w:r>
      <w:r>
        <w:rPr>
          <w:color w:val="auto"/>
        </w:rPr>
        <w:fldChar w:fldCharType="begin"/>
      </w:r>
      <w:r>
        <w:rPr>
          <w:color w:val="auto"/>
        </w:rPr>
        <w:instrText xml:space="preserve"> HYPERLINK "https://www.miit.gov.cn/zwgk/zcwj/wjfb/zh/art/2020/art_a14d0253a2f64bd283b53f5442fe81b3.html" </w:instrText>
      </w:r>
      <w:r>
        <w:rPr>
          <w:color w:val="auto"/>
        </w:rPr>
        <w:fldChar w:fldCharType="separate"/>
      </w:r>
      <w:r>
        <w:rPr>
          <w:rStyle w:val="36"/>
          <w:rFonts w:hint="eastAsia" w:ascii="宋体" w:hAnsi="宋体" w:cs="宋体"/>
          <w:color w:val="auto"/>
          <w:sz w:val="24"/>
        </w:rPr>
        <w:t>工信部联企业〔2011〕300号规定</w:t>
      </w:r>
      <w:r>
        <w:rPr>
          <w:rStyle w:val="36"/>
          <w:rFonts w:hint="eastAsia" w:ascii="宋体" w:hAnsi="宋体" w:cs="宋体"/>
          <w:color w:val="auto"/>
          <w:sz w:val="24"/>
        </w:rPr>
        <w:fldChar w:fldCharType="end"/>
      </w:r>
      <w:r>
        <w:rPr>
          <w:rFonts w:hint="eastAsia" w:ascii="宋体" w:hAnsi="宋体" w:cs="宋体"/>
          <w:color w:val="auto"/>
          <w:sz w:val="24"/>
        </w:rPr>
        <w:t>的划分标准提供</w:t>
      </w:r>
      <w:r>
        <w:rPr>
          <w:rFonts w:hint="eastAsia" w:ascii="宋体" w:hAnsi="宋体" w:cs="宋体"/>
          <w:b/>
          <w:bCs/>
          <w:color w:val="auto"/>
          <w:sz w:val="24"/>
        </w:rPr>
        <w:t>《中小企业声明函》。</w:t>
      </w:r>
      <w:r>
        <w:rPr>
          <w:rFonts w:hint="eastAsia" w:ascii="宋体" w:hAnsi="宋体" w:cs="宋体"/>
          <w:color w:val="auto"/>
          <w:sz w:val="24"/>
          <w:u w:val="single"/>
        </w:rPr>
        <w:t>评标委员会依据《中小企业声明函》来审查投标人是否属于</w:t>
      </w:r>
      <w:r>
        <w:rPr>
          <w:rFonts w:hint="eastAsia" w:ascii="宋体" w:hAnsi="宋体" w:cs="宋体"/>
          <w:b/>
          <w:bCs/>
          <w:i/>
          <w:iCs/>
          <w:color w:val="auto"/>
          <w:sz w:val="24"/>
          <w:u w:val="single"/>
        </w:rPr>
        <w:t>小型或微型企业</w:t>
      </w:r>
      <w:r>
        <w:rPr>
          <w:rFonts w:hint="eastAsia" w:ascii="宋体" w:hAnsi="宋体" w:cs="宋体"/>
          <w:color w:val="auto"/>
          <w:sz w:val="24"/>
          <w:u w:val="single"/>
        </w:rPr>
        <w:t>，享受评审中价格扣除政策。</w:t>
      </w:r>
      <w:r>
        <w:rPr>
          <w:rFonts w:hint="eastAsia" w:ascii="宋体" w:hAnsi="宋体" w:cs="宋体"/>
          <w:color w:val="auto"/>
          <w:sz w:val="24"/>
        </w:rPr>
        <w:t>中标供应商为中小企业的，将随中标结果同时公告其《中小企业声明函》，接受社会监督。</w:t>
      </w:r>
    </w:p>
    <w:p w14:paraId="6C555124">
      <w:pPr>
        <w:spacing w:beforeLines="50" w:afterLines="50" w:line="288" w:lineRule="auto"/>
        <w:ind w:firstLine="480" w:firstLineChars="200"/>
        <w:rPr>
          <w:rFonts w:ascii="宋体" w:hAnsi="宋体" w:cs="宋体"/>
          <w:color w:val="auto"/>
          <w:sz w:val="24"/>
        </w:rPr>
      </w:pPr>
      <w:r>
        <w:rPr>
          <w:rFonts w:hint="eastAsia" w:ascii="宋体" w:hAnsi="宋体" w:cs="宋体"/>
          <w:color w:val="auto"/>
          <w:sz w:val="24"/>
        </w:rPr>
        <w:t>2）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w:t>
      </w:r>
      <w:r>
        <w:rPr>
          <w:rFonts w:hint="eastAsia" w:ascii="宋体" w:hAnsi="宋体" w:cs="宋体"/>
          <w:b/>
          <w:bCs/>
          <w:color w:val="auto"/>
          <w:sz w:val="24"/>
        </w:rPr>
        <w:t>《残疾人福利性单位声明函》</w:t>
      </w:r>
      <w:r>
        <w:rPr>
          <w:rFonts w:hint="eastAsia" w:ascii="宋体" w:hAnsi="宋体" w:cs="宋体"/>
          <w:color w:val="auto"/>
          <w:sz w:val="24"/>
        </w:rPr>
        <w:t>。中标供应商为残疾人福利性单位的，将随中标结果同时公告其《残疾人福利性单位声明函》，接受社会监督。</w:t>
      </w:r>
    </w:p>
    <w:p w14:paraId="27C4B9C8">
      <w:pPr>
        <w:spacing w:beforeLines="50" w:afterLines="50" w:line="288" w:lineRule="auto"/>
        <w:ind w:firstLine="480" w:firstLineChars="200"/>
        <w:rPr>
          <w:rFonts w:ascii="宋体" w:hAnsi="宋体" w:cs="宋体"/>
          <w:color w:val="auto"/>
          <w:sz w:val="24"/>
        </w:rPr>
      </w:pPr>
      <w:r>
        <w:rPr>
          <w:rFonts w:hint="eastAsia" w:ascii="宋体" w:hAnsi="宋体" w:cs="宋体"/>
          <w:color w:val="auto"/>
          <w:sz w:val="24"/>
        </w:rPr>
        <w:t>3）根据[财库〔2014〕68号]的相关规定，在政府采购活动中，监狱企业视同小型、微型企业，享受评审中价格扣除政策，并在投标文件中提供由省级以上监狱管理局、戒毒管理局（含新疆生产建设兵团）出具的属于监狱企业的证明文件。</w:t>
      </w:r>
    </w:p>
    <w:p w14:paraId="53BA29D4">
      <w:pPr>
        <w:spacing w:beforeLines="50" w:afterLines="50" w:line="288" w:lineRule="auto"/>
        <w:ind w:firstLine="482" w:firstLineChars="200"/>
        <w:rPr>
          <w:rFonts w:ascii="宋体" w:hAnsi="宋体" w:cs="宋体"/>
          <w:b/>
          <w:bCs/>
          <w:color w:val="auto"/>
          <w:sz w:val="24"/>
        </w:rPr>
      </w:pPr>
      <w:r>
        <w:rPr>
          <w:rFonts w:hint="eastAsia" w:ascii="宋体" w:hAnsi="宋体" w:cs="宋体"/>
          <w:b/>
          <w:bCs/>
          <w:color w:val="auto"/>
          <w:sz w:val="24"/>
        </w:rPr>
        <w:t>同一供应商（包括联合体），小微企业、监狱企业、残疾人福利性单位价格扣除优惠只享受一次，不得重复享受。以上证明材料不提供或提供不全的视为自动放弃享受优惠政策。</w:t>
      </w:r>
    </w:p>
    <w:p w14:paraId="0B0E69F4">
      <w:pPr>
        <w:spacing w:beforeLines="50" w:afterLines="50" w:line="288" w:lineRule="auto"/>
        <w:ind w:firstLine="181" w:firstLineChars="100"/>
        <w:rPr>
          <w:rFonts w:ascii="宋体" w:hAnsi="宋体" w:cs="宋体"/>
          <w:color w:val="auto"/>
          <w:szCs w:val="21"/>
        </w:rPr>
      </w:pPr>
      <w:r>
        <w:rPr>
          <w:rFonts w:hint="eastAsia" w:ascii="宋体" w:hAnsi="宋体" w:cs="宋体"/>
          <w:b/>
          <w:bCs/>
          <w:color w:val="auto"/>
          <w:sz w:val="18"/>
          <w:szCs w:val="18"/>
        </w:rPr>
        <w:t>注：①</w:t>
      </w:r>
      <w:r>
        <w:rPr>
          <w:rFonts w:hint="eastAsia" w:ascii="宋体" w:hAnsi="宋体" w:cs="宋体"/>
          <w:color w:val="auto"/>
          <w:szCs w:val="21"/>
        </w:rPr>
        <w:t>中小企业是指在中华人民共和国境内依法设立，依据国务院批准的</w:t>
      </w:r>
      <w:r>
        <w:rPr>
          <w:rFonts w:hint="eastAsia" w:ascii="宋体" w:hAnsi="宋体" w:cs="宋体"/>
          <w:color w:val="auto"/>
          <w:szCs w:val="21"/>
          <w:u w:val="single"/>
        </w:rPr>
        <w:t>中小企业划分标准</w:t>
      </w:r>
      <w:r>
        <w:rPr>
          <w:rFonts w:hint="eastAsia" w:ascii="宋体" w:hAnsi="宋体" w:cs="宋体"/>
          <w:color w:val="auto"/>
          <w:szCs w:val="21"/>
        </w:rPr>
        <w:t>确定的中型企业、小型企业和微型企业，但与大企业的负责人为同一人，或者与大企业存在直接控股、管理关系的除外。符合中小企业划分标准的个体工商户，在政府采购活动中视同中小企业。</w:t>
      </w:r>
    </w:p>
    <w:p w14:paraId="53802CC4">
      <w:pPr>
        <w:spacing w:beforeLines="50" w:afterLines="50" w:line="288" w:lineRule="auto"/>
        <w:ind w:firstLine="542" w:firstLineChars="300"/>
        <w:rPr>
          <w:rFonts w:ascii="宋体" w:hAnsi="宋体" w:cs="宋体"/>
          <w:color w:val="auto"/>
          <w:szCs w:val="21"/>
        </w:rPr>
      </w:pPr>
      <w:r>
        <w:rPr>
          <w:rFonts w:hint="eastAsia" w:ascii="宋体" w:hAnsi="宋体" w:cs="宋体"/>
          <w:b/>
          <w:bCs/>
          <w:color w:val="auto"/>
          <w:sz w:val="18"/>
          <w:szCs w:val="18"/>
        </w:rPr>
        <w:t>②</w:t>
      </w:r>
      <w:r>
        <w:rPr>
          <w:rFonts w:hint="eastAsia" w:ascii="宋体" w:hAnsi="宋体" w:cs="宋体"/>
          <w:color w:val="auto"/>
          <w:szCs w:val="21"/>
        </w:rPr>
        <w:t>在政府采购活动中，供应商提供的货物、工程或者服务符合下列情形的，享受本办法规定的中小企业扶持政策：(一)在货物采购项目中，货物由中小企业制造，即货物由中小企业生产且使用该中小企业商号或者注册商标；(二)在工程采购项目中，工程由中小企业承建，即工程施工单位为中小企业；(三)在服务采购项目中，服务由中小企业承接，即提供服务的人员为中小企业依照《中华人民共和国劳动合同法》订立劳动合同的从业人员。</w:t>
      </w:r>
    </w:p>
    <w:p w14:paraId="5A54D9B7">
      <w:pPr>
        <w:spacing w:beforeLines="50" w:afterLines="50" w:line="288" w:lineRule="auto"/>
        <w:ind w:firstLine="630" w:firstLineChars="300"/>
        <w:rPr>
          <w:rFonts w:ascii="宋体" w:hAnsi="宋体" w:cs="宋体"/>
          <w:color w:val="auto"/>
          <w:szCs w:val="21"/>
        </w:rPr>
      </w:pPr>
      <w:r>
        <w:rPr>
          <w:rFonts w:hint="eastAsia" w:ascii="宋体" w:hAnsi="宋体" w:cs="宋体"/>
          <w:color w:val="auto"/>
          <w:szCs w:val="21"/>
        </w:rPr>
        <w:t>在货物采购项目中，供应商提供的货物既有中小企业制造货物，也有大型企业制造货物的，不享受本办法规定的中小企业扶持政策。</w:t>
      </w:r>
    </w:p>
    <w:p w14:paraId="7EF27E97">
      <w:pPr>
        <w:spacing w:beforeLines="50" w:afterLines="50" w:line="288" w:lineRule="auto"/>
        <w:ind w:firstLine="630" w:firstLineChars="300"/>
        <w:rPr>
          <w:rFonts w:ascii="宋体" w:hAnsi="宋体" w:cs="宋体"/>
          <w:color w:val="auto"/>
          <w:szCs w:val="21"/>
        </w:rPr>
      </w:pPr>
      <w:r>
        <w:rPr>
          <w:rFonts w:hint="eastAsia" w:ascii="宋体" w:hAnsi="宋体" w:cs="宋体"/>
          <w:color w:val="auto"/>
          <w:szCs w:val="21"/>
        </w:rPr>
        <w:t>以联合体形式参加政府采购活动，联合体各方均为中小企业的，联合体视同中小企业。其中，联合体各方均为小微企业的，联合体视同小微企业。</w:t>
      </w:r>
      <w:r>
        <w:rPr>
          <w:rFonts w:hint="eastAsia" w:ascii="宋体" w:hAnsi="宋体" w:cs="宋体"/>
          <w:color w:val="auto"/>
          <w:szCs w:val="21"/>
        </w:rPr>
        <w:tab/>
      </w:r>
    </w:p>
    <w:p w14:paraId="242125BB">
      <w:pPr>
        <w:spacing w:beforeLines="50" w:afterLines="50" w:line="288" w:lineRule="auto"/>
        <w:ind w:firstLine="630" w:firstLineChars="300"/>
        <w:rPr>
          <w:rFonts w:ascii="宋体" w:hAnsi="宋体" w:cs="宋体"/>
          <w:color w:val="auto"/>
          <w:szCs w:val="21"/>
        </w:rPr>
      </w:pPr>
      <w:r>
        <w:rPr>
          <w:rFonts w:hint="eastAsia" w:ascii="宋体" w:hAnsi="宋体" w:cs="宋体"/>
          <w:color w:val="auto"/>
          <w:szCs w:val="21"/>
        </w:rPr>
        <w:t>中小企业享受扶持政策获得政府采购合同的，小微企业不得将合同分包给大中型企业，中型企业不得将合同分包给大型企业。</w:t>
      </w:r>
    </w:p>
    <w:p w14:paraId="0E6FE485">
      <w:pPr>
        <w:spacing w:beforeLines="50" w:afterLines="50" w:line="288" w:lineRule="auto"/>
        <w:ind w:firstLine="482" w:firstLineChars="200"/>
        <w:rPr>
          <w:rFonts w:ascii="宋体" w:hAnsi="宋体" w:cs="宋体"/>
          <w:b/>
          <w:bCs/>
          <w:color w:val="auto"/>
          <w:kern w:val="0"/>
          <w:sz w:val="24"/>
        </w:rPr>
      </w:pPr>
      <w:r>
        <w:rPr>
          <w:rFonts w:hint="eastAsia" w:ascii="宋体" w:hAnsi="宋体" w:cs="宋体"/>
          <w:b/>
          <w:bCs/>
          <w:color w:val="auto"/>
          <w:kern w:val="0"/>
          <w:sz w:val="24"/>
        </w:rPr>
        <w:t>根据《政府采购促进中小企业发展管理办法》第二十条规定，供应商按照该办法规定提供声明函内容不实的，属于提供虚假材料谋取中标、成交，依照《中华人民共和国政府采购法》等国家有关规定追究相应责任。适用招标投标法的政府采购工程建设项目，供应商按照该办法规定提供声明函内容不实的，属于弄虚作假骗取中标，依照《中华人民共和国招标投标法》等国家有关规定追究相应责任。</w:t>
      </w:r>
    </w:p>
    <w:p w14:paraId="5BB65CD3">
      <w:pPr>
        <w:numPr>
          <w:ilvl w:val="0"/>
          <w:numId w:val="19"/>
        </w:numPr>
        <w:spacing w:beforeLines="50" w:afterLines="50"/>
        <w:ind w:firstLine="241" w:firstLineChars="100"/>
        <w:rPr>
          <w:rFonts w:ascii="宋体" w:hAnsi="宋体" w:cs="宋体"/>
          <w:b/>
          <w:bCs/>
          <w:color w:val="auto"/>
          <w:sz w:val="24"/>
        </w:rPr>
      </w:pPr>
      <w:r>
        <w:rPr>
          <w:rFonts w:hint="eastAsia" w:ascii="宋体" w:hAnsi="宋体" w:cs="宋体"/>
          <w:b/>
          <w:bCs/>
          <w:color w:val="auto"/>
          <w:sz w:val="24"/>
        </w:rPr>
        <w:t>支持节能环保</w:t>
      </w:r>
    </w:p>
    <w:p w14:paraId="7D16B301">
      <w:pPr>
        <w:spacing w:beforeLines="50" w:afterLines="50" w:line="288" w:lineRule="auto"/>
        <w:ind w:firstLine="480" w:firstLineChars="200"/>
        <w:rPr>
          <w:rFonts w:ascii="宋体" w:hAnsi="宋体" w:cs="宋体"/>
          <w:color w:val="auto"/>
          <w:sz w:val="24"/>
        </w:rPr>
      </w:pPr>
      <w:r>
        <w:rPr>
          <w:rFonts w:hint="eastAsia" w:ascii="宋体" w:hAnsi="宋体" w:cs="宋体"/>
          <w:color w:val="auto"/>
          <w:sz w:val="24"/>
        </w:rPr>
        <w:t>1）根据[财库〔2019〕9号]文件规定，采购人拟采购的产品属于政府采购品目清单范围（最新）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采购人拟采购的产品属于政府强制采购的节能产品品目清单范围的，投标人未按招标文件要求提供国家确定的认证机构出具的、处于有效期之内的节能产品认证证书的，投标无效。</w:t>
      </w:r>
    </w:p>
    <w:p w14:paraId="3FEBBA78">
      <w:pPr>
        <w:spacing w:beforeLines="50" w:afterLines="50" w:line="288" w:lineRule="auto"/>
        <w:ind w:firstLine="480" w:firstLineChars="200"/>
        <w:rPr>
          <w:rFonts w:ascii="宋体" w:hAnsi="宋体" w:cs="宋体"/>
          <w:color w:val="auto"/>
          <w:sz w:val="24"/>
        </w:rPr>
      </w:pPr>
      <w:r>
        <w:rPr>
          <w:rFonts w:hint="eastAsia" w:ascii="宋体" w:hAnsi="宋体" w:cs="宋体"/>
          <w:color w:val="auto"/>
          <w:sz w:val="24"/>
        </w:rPr>
        <w:t>2）优先采购绿色包装产品、绿色物流配送服务以及循环利用产品。</w:t>
      </w:r>
    </w:p>
    <w:p w14:paraId="75328053">
      <w:pPr>
        <w:spacing w:beforeLines="50" w:afterLines="50" w:line="288" w:lineRule="auto"/>
        <w:ind w:firstLine="480" w:firstLineChars="200"/>
        <w:rPr>
          <w:rFonts w:ascii="宋体" w:hAnsi="宋体" w:cs="宋体"/>
          <w:color w:val="auto"/>
          <w:sz w:val="24"/>
        </w:rPr>
      </w:pPr>
      <w:r>
        <w:rPr>
          <w:rFonts w:hint="eastAsia" w:ascii="宋体" w:hAnsi="宋体" w:cs="宋体"/>
          <w:color w:val="auto"/>
          <w:sz w:val="24"/>
        </w:rPr>
        <w:t>3）新能源、清洁能源公务交通工具政府采购力度，机要通信等公务用车除特殊地理环境等因素外原则上采购新能源汽车，优先采购提供新能源交通工具的租赁服务。</w:t>
      </w:r>
    </w:p>
    <w:p w14:paraId="3E8F60DD">
      <w:pPr>
        <w:numPr>
          <w:ilvl w:val="0"/>
          <w:numId w:val="19"/>
        </w:numPr>
        <w:spacing w:beforeLines="50" w:afterLines="50"/>
        <w:ind w:firstLine="241" w:firstLineChars="100"/>
        <w:rPr>
          <w:rFonts w:ascii="宋体" w:hAnsi="宋体" w:cs="宋体"/>
          <w:b/>
          <w:bCs/>
          <w:color w:val="auto"/>
          <w:sz w:val="24"/>
        </w:rPr>
      </w:pPr>
      <w:r>
        <w:rPr>
          <w:rFonts w:hint="eastAsia" w:ascii="宋体" w:hAnsi="宋体" w:cs="宋体"/>
          <w:b/>
          <w:bCs/>
          <w:color w:val="auto"/>
          <w:sz w:val="24"/>
        </w:rPr>
        <w:t>支持科技创新</w:t>
      </w:r>
    </w:p>
    <w:p w14:paraId="7EF7C04A">
      <w:pPr>
        <w:spacing w:beforeLines="50" w:afterLines="50" w:line="288" w:lineRule="auto"/>
        <w:ind w:firstLine="480" w:firstLineChars="200"/>
        <w:rPr>
          <w:rFonts w:ascii="宋体" w:hAnsi="宋体" w:cs="宋体"/>
          <w:color w:val="auto"/>
          <w:sz w:val="24"/>
        </w:rPr>
      </w:pPr>
      <w:r>
        <w:rPr>
          <w:rFonts w:hint="eastAsia" w:ascii="宋体" w:hAnsi="宋体" w:cs="宋体"/>
          <w:color w:val="auto"/>
          <w:sz w:val="24"/>
        </w:rPr>
        <w:t>1）优先推荐专精特新中小企业、创新产品参加政府采购活动。</w:t>
      </w:r>
    </w:p>
    <w:p w14:paraId="1C2AE3A4">
      <w:pPr>
        <w:spacing w:beforeLines="50" w:afterLines="50" w:line="288" w:lineRule="auto"/>
        <w:ind w:firstLine="480" w:firstLineChars="200"/>
        <w:rPr>
          <w:rFonts w:ascii="宋体" w:hAnsi="宋体" w:cs="宋体"/>
          <w:color w:val="auto"/>
          <w:sz w:val="24"/>
        </w:rPr>
      </w:pPr>
      <w:r>
        <w:rPr>
          <w:rFonts w:hint="eastAsia" w:ascii="宋体" w:hAnsi="宋体" w:cs="宋体"/>
          <w:color w:val="auto"/>
          <w:sz w:val="24"/>
        </w:rPr>
        <w:t>2）省级以上主管部门认定的首台套产品，自纳入《省推广应用指导目录》起三年内参加政府采购活动，视同已具备相应销售业绩，业绩分为满分。</w:t>
      </w:r>
    </w:p>
    <w:p w14:paraId="5775E394">
      <w:pPr>
        <w:numPr>
          <w:ilvl w:val="0"/>
          <w:numId w:val="19"/>
        </w:numPr>
        <w:spacing w:beforeLines="50" w:afterLines="50"/>
        <w:ind w:firstLine="241" w:firstLineChars="100"/>
        <w:rPr>
          <w:rFonts w:ascii="宋体" w:hAnsi="宋体" w:cs="宋体"/>
          <w:b/>
          <w:bCs/>
          <w:color w:val="auto"/>
          <w:sz w:val="24"/>
        </w:rPr>
      </w:pPr>
      <w:r>
        <w:rPr>
          <w:rFonts w:hint="eastAsia" w:ascii="宋体" w:hAnsi="宋体" w:cs="宋体"/>
          <w:b/>
          <w:bCs/>
          <w:color w:val="auto"/>
          <w:sz w:val="24"/>
        </w:rPr>
        <w:t>采购国货</w:t>
      </w:r>
    </w:p>
    <w:p w14:paraId="508C0D8F">
      <w:pPr>
        <w:spacing w:beforeLines="50" w:afterLines="50" w:line="288" w:lineRule="auto"/>
        <w:ind w:firstLine="480" w:firstLineChars="200"/>
        <w:rPr>
          <w:rFonts w:ascii="宋体" w:hAnsi="宋体" w:cs="宋体"/>
          <w:color w:val="auto"/>
          <w:sz w:val="24"/>
        </w:rPr>
      </w:pPr>
      <w:r>
        <w:rPr>
          <w:rFonts w:hint="eastAsia" w:ascii="宋体" w:hAnsi="宋体" w:cs="宋体"/>
          <w:color w:val="auto"/>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12A9D26E">
      <w:pPr>
        <w:tabs>
          <w:tab w:val="left" w:pos="3709"/>
        </w:tabs>
        <w:spacing w:beforeLines="50" w:line="360" w:lineRule="auto"/>
        <w:rPr>
          <w:rFonts w:ascii="宋体" w:hAnsi="宋体" w:cs="宋体"/>
          <w:b/>
          <w:color w:val="auto"/>
          <w:sz w:val="24"/>
        </w:rPr>
      </w:pPr>
      <w:r>
        <w:rPr>
          <w:rFonts w:hint="eastAsia" w:ascii="宋体" w:hAnsi="宋体" w:cs="宋体"/>
          <w:b/>
          <w:color w:val="auto"/>
          <w:sz w:val="24"/>
        </w:rPr>
        <w:t>5、评委对各部分得分汇总,得出本项目各供应商的最终得分：</w:t>
      </w:r>
    </w:p>
    <w:p w14:paraId="2CA13FB7">
      <w:pPr>
        <w:spacing w:beforeLines="50" w:afterLines="50" w:line="288" w:lineRule="auto"/>
        <w:ind w:firstLine="482" w:firstLineChars="200"/>
        <w:rPr>
          <w:rFonts w:ascii="宋体" w:hAnsi="宋体" w:cs="宋体"/>
          <w:b/>
          <w:bCs/>
          <w:color w:val="auto"/>
          <w:sz w:val="24"/>
        </w:rPr>
      </w:pPr>
      <w:r>
        <w:rPr>
          <w:rFonts w:hint="eastAsia" w:ascii="宋体" w:hAnsi="宋体" w:cs="宋体"/>
          <w:b/>
          <w:bCs/>
          <w:color w:val="auto"/>
          <w:sz w:val="24"/>
        </w:rPr>
        <w:t>供应商的总得分=商务与技术得分+报价得分</w:t>
      </w:r>
    </w:p>
    <w:p w14:paraId="5291D902">
      <w:pPr>
        <w:spacing w:beforeLines="50" w:line="360" w:lineRule="auto"/>
        <w:rPr>
          <w:rFonts w:ascii="宋体" w:hAnsi="宋体" w:cs="宋体"/>
          <w:b/>
          <w:color w:val="auto"/>
          <w:sz w:val="24"/>
        </w:rPr>
      </w:pPr>
      <w:r>
        <w:rPr>
          <w:rFonts w:hint="eastAsia" w:ascii="宋体" w:hAnsi="宋体" w:cs="宋体"/>
          <w:b/>
          <w:color w:val="auto"/>
          <w:sz w:val="24"/>
        </w:rPr>
        <w:t>6、中标候选供应商的确定：</w:t>
      </w:r>
    </w:p>
    <w:p w14:paraId="6E49049F">
      <w:pPr>
        <w:spacing w:beforeLines="50" w:afterLines="50" w:line="288" w:lineRule="auto"/>
        <w:ind w:firstLine="482" w:firstLineChars="200"/>
        <w:rPr>
          <w:rFonts w:ascii="宋体" w:hAnsi="宋体" w:cs="宋体"/>
          <w:b/>
          <w:bCs/>
          <w:color w:val="auto"/>
          <w:sz w:val="24"/>
        </w:rPr>
      </w:pPr>
      <w:r>
        <w:rPr>
          <w:rFonts w:hint="eastAsia" w:ascii="宋体" w:hAnsi="宋体" w:cs="宋体"/>
          <w:b/>
          <w:bCs/>
          <w:color w:val="auto"/>
          <w:sz w:val="24"/>
        </w:rPr>
        <w:t>评标委员会按评标总得分由高到低顺序排列。推荐总得分最高的供应商为中标候选供应商；总得分相同的，取投标报价低者为中标候选供应商；总得分和投标报价都相同的，取商务与技术得分最高为中标候选供应商；总得分、投标报价和商务与技术得分都相同的，则抽签确定。</w:t>
      </w:r>
    </w:p>
    <w:p w14:paraId="45D2AD79">
      <w:pPr>
        <w:tabs>
          <w:tab w:val="left" w:pos="1039"/>
        </w:tabs>
        <w:adjustRightInd w:val="0"/>
        <w:snapToGrid w:val="0"/>
        <w:spacing w:afterLines="40"/>
        <w:jc w:val="left"/>
        <w:outlineLvl w:val="0"/>
        <w:rPr>
          <w:rFonts w:ascii="宋体" w:hAnsi="宋体" w:cs="宋体"/>
          <w:b/>
          <w:color w:val="auto"/>
          <w:sz w:val="36"/>
          <w:szCs w:val="44"/>
        </w:rPr>
      </w:pPr>
    </w:p>
    <w:p w14:paraId="364C7700">
      <w:pPr>
        <w:pStyle w:val="2"/>
        <w:rPr>
          <w:rFonts w:ascii="宋体" w:hAnsi="宋体" w:cs="宋体"/>
          <w:b/>
          <w:color w:val="auto"/>
          <w:sz w:val="36"/>
          <w:szCs w:val="44"/>
        </w:rPr>
      </w:pPr>
    </w:p>
    <w:p w14:paraId="7FA5B94D">
      <w:pPr>
        <w:pStyle w:val="2"/>
        <w:rPr>
          <w:rFonts w:ascii="宋体" w:hAnsi="宋体" w:cs="宋体"/>
          <w:b/>
          <w:color w:val="auto"/>
          <w:sz w:val="36"/>
          <w:szCs w:val="44"/>
        </w:rPr>
      </w:pPr>
    </w:p>
    <w:p w14:paraId="1A3A7312">
      <w:pPr>
        <w:pStyle w:val="2"/>
        <w:rPr>
          <w:rFonts w:ascii="宋体" w:hAnsi="宋体" w:cs="宋体"/>
          <w:b/>
          <w:color w:val="auto"/>
          <w:sz w:val="36"/>
          <w:szCs w:val="44"/>
        </w:rPr>
      </w:pPr>
    </w:p>
    <w:p w14:paraId="078F0088">
      <w:pPr>
        <w:pStyle w:val="2"/>
        <w:rPr>
          <w:rFonts w:ascii="宋体" w:hAnsi="宋体" w:cs="宋体"/>
          <w:b/>
          <w:color w:val="auto"/>
          <w:sz w:val="36"/>
          <w:szCs w:val="44"/>
        </w:rPr>
      </w:pPr>
    </w:p>
    <w:p w14:paraId="3F1AA76B">
      <w:pPr>
        <w:pStyle w:val="2"/>
        <w:rPr>
          <w:rFonts w:ascii="宋体" w:hAnsi="宋体" w:cs="宋体"/>
          <w:b/>
          <w:color w:val="auto"/>
          <w:sz w:val="36"/>
          <w:szCs w:val="44"/>
        </w:rPr>
      </w:pPr>
    </w:p>
    <w:p w14:paraId="7B81EE05">
      <w:pPr>
        <w:pStyle w:val="2"/>
        <w:rPr>
          <w:color w:val="auto"/>
        </w:rPr>
      </w:pPr>
    </w:p>
    <w:p w14:paraId="5DE2082D">
      <w:pPr>
        <w:adjustRightInd w:val="0"/>
        <w:snapToGrid w:val="0"/>
        <w:spacing w:afterLines="40"/>
        <w:jc w:val="center"/>
        <w:outlineLvl w:val="0"/>
        <w:rPr>
          <w:rFonts w:ascii="宋体" w:hAnsi="宋体" w:cs="宋体"/>
          <w:b/>
          <w:color w:val="auto"/>
          <w:sz w:val="36"/>
          <w:szCs w:val="36"/>
        </w:rPr>
      </w:pPr>
      <w:bookmarkStart w:id="40" w:name="_Toc28422"/>
      <w:r>
        <w:rPr>
          <w:rFonts w:hint="eastAsia" w:ascii="宋体" w:hAnsi="宋体" w:cs="宋体"/>
          <w:b/>
          <w:color w:val="auto"/>
          <w:sz w:val="36"/>
          <w:szCs w:val="44"/>
        </w:rPr>
        <w:t xml:space="preserve">第六章 </w:t>
      </w:r>
      <w:bookmarkEnd w:id="39"/>
      <w:r>
        <w:rPr>
          <w:rFonts w:hint="eastAsia" w:ascii="宋体" w:hAnsi="宋体" w:cs="宋体"/>
          <w:b/>
          <w:color w:val="auto"/>
          <w:sz w:val="36"/>
          <w:szCs w:val="44"/>
        </w:rPr>
        <w:t>应提交的有关格式范例</w:t>
      </w:r>
      <w:bookmarkEnd w:id="40"/>
    </w:p>
    <w:p w14:paraId="29FD35C8">
      <w:pPr>
        <w:rPr>
          <w:rFonts w:ascii="宋体" w:hAnsi="宋体" w:cs="宋体"/>
          <w:b/>
          <w:i/>
          <w:color w:val="auto"/>
          <w:sz w:val="30"/>
          <w:szCs w:val="30"/>
          <w:u w:val="single"/>
        </w:rPr>
      </w:pPr>
      <w:r>
        <w:rPr>
          <w:rFonts w:hint="eastAsia" w:ascii="宋体" w:hAnsi="宋体" w:cs="宋体"/>
          <w:color w:val="auto"/>
          <w:szCs w:val="21"/>
        </w:rPr>
        <w:t>附件1 封面：</w:t>
      </w:r>
      <w:r>
        <w:rPr>
          <w:rFonts w:hint="eastAsia" w:ascii="宋体" w:hAnsi="宋体" w:cs="宋体"/>
          <w:b/>
          <w:color w:val="auto"/>
          <w:sz w:val="28"/>
        </w:rPr>
        <w:t xml:space="preserve">                                              </w:t>
      </w:r>
    </w:p>
    <w:p w14:paraId="7D51651A">
      <w:pPr>
        <w:ind w:firstLine="2200" w:firstLineChars="500"/>
        <w:rPr>
          <w:rFonts w:ascii="宋体" w:hAnsi="宋体" w:cs="宋体"/>
          <w:color w:val="auto"/>
          <w:sz w:val="44"/>
          <w:szCs w:val="44"/>
        </w:rPr>
      </w:pPr>
    </w:p>
    <w:p w14:paraId="2D873FA3">
      <w:pPr>
        <w:jc w:val="center"/>
        <w:rPr>
          <w:rFonts w:ascii="宋体" w:hAnsi="宋体" w:cs="宋体"/>
          <w:b/>
          <w:color w:val="auto"/>
          <w:sz w:val="36"/>
          <w:szCs w:val="44"/>
        </w:rPr>
      </w:pPr>
      <w:r>
        <w:rPr>
          <w:rFonts w:hint="eastAsia" w:ascii="宋体" w:hAnsi="宋体" w:cs="宋体"/>
          <w:b/>
          <w:color w:val="auto"/>
          <w:sz w:val="36"/>
          <w:szCs w:val="44"/>
        </w:rPr>
        <w:t>天台县2025年度补充林地库建设项目</w:t>
      </w:r>
    </w:p>
    <w:p w14:paraId="7D4DE251">
      <w:pPr>
        <w:jc w:val="center"/>
        <w:rPr>
          <w:rFonts w:ascii="宋体" w:hAnsi="宋体" w:cs="宋体"/>
          <w:b/>
          <w:color w:val="auto"/>
          <w:sz w:val="28"/>
          <w:szCs w:val="28"/>
        </w:rPr>
      </w:pPr>
      <w:r>
        <w:rPr>
          <w:rFonts w:hint="eastAsia" w:ascii="宋体" w:hAnsi="宋体" w:cs="宋体"/>
          <w:b/>
          <w:color w:val="auto"/>
          <w:sz w:val="28"/>
          <w:szCs w:val="28"/>
        </w:rPr>
        <w:t xml:space="preserve">（线上电子招投标） </w:t>
      </w:r>
    </w:p>
    <w:p w14:paraId="19F4F9F9">
      <w:pPr>
        <w:pStyle w:val="2"/>
        <w:spacing w:line="240" w:lineRule="auto"/>
        <w:rPr>
          <w:rFonts w:ascii="宋体" w:hAnsi="宋体" w:cs="宋体"/>
          <w:b/>
          <w:color w:val="auto"/>
        </w:rPr>
      </w:pPr>
    </w:p>
    <w:p w14:paraId="362F480A">
      <w:pPr>
        <w:spacing w:beforeLines="50" w:afterLines="50"/>
        <w:jc w:val="center"/>
        <w:rPr>
          <w:rFonts w:ascii="宋体" w:hAnsi="宋体" w:cs="宋体"/>
          <w:b/>
          <w:color w:val="auto"/>
          <w:sz w:val="28"/>
          <w:szCs w:val="28"/>
        </w:rPr>
      </w:pPr>
      <w:r>
        <w:rPr>
          <w:rFonts w:hint="eastAsia" w:ascii="宋体" w:hAnsi="宋体" w:cs="宋体"/>
          <w:b/>
          <w:color w:val="auto"/>
          <w:sz w:val="28"/>
          <w:szCs w:val="28"/>
        </w:rPr>
        <w:t>项目编号：TCCG-2025-Z070</w:t>
      </w:r>
    </w:p>
    <w:p w14:paraId="0E14EEE6">
      <w:pPr>
        <w:pStyle w:val="50"/>
        <w:ind w:firstLine="562"/>
        <w:rPr>
          <w:rFonts w:ascii="宋体" w:hAnsi="宋体" w:cs="宋体"/>
          <w:b/>
          <w:color w:val="auto"/>
        </w:rPr>
      </w:pPr>
    </w:p>
    <w:p w14:paraId="23A342C7">
      <w:pPr>
        <w:pStyle w:val="50"/>
        <w:ind w:firstLine="562"/>
        <w:rPr>
          <w:rFonts w:ascii="宋体" w:hAnsi="宋体" w:cs="宋体"/>
          <w:b/>
          <w:color w:val="auto"/>
        </w:rPr>
      </w:pPr>
    </w:p>
    <w:p w14:paraId="30E48EE7">
      <w:pPr>
        <w:pStyle w:val="2"/>
        <w:spacing w:line="240" w:lineRule="auto"/>
        <w:rPr>
          <w:rFonts w:ascii="宋体" w:hAnsi="宋体" w:cs="宋体"/>
          <w:b/>
          <w:color w:val="auto"/>
          <w:sz w:val="28"/>
          <w:szCs w:val="28"/>
        </w:rPr>
      </w:pPr>
    </w:p>
    <w:p w14:paraId="1748C556">
      <w:pPr>
        <w:autoSpaceDE w:val="0"/>
        <w:autoSpaceDN w:val="0"/>
        <w:jc w:val="center"/>
        <w:rPr>
          <w:rFonts w:ascii="宋体" w:hAnsi="宋体" w:cs="宋体"/>
          <w:color w:val="auto"/>
          <w:spacing w:val="34"/>
          <w:sz w:val="72"/>
          <w:szCs w:val="72"/>
          <w:lang w:val="zh-CN"/>
        </w:rPr>
      </w:pPr>
      <w:r>
        <w:rPr>
          <w:rFonts w:hint="eastAsia" w:ascii="宋体" w:hAnsi="宋体" w:cs="宋体"/>
          <w:color w:val="auto"/>
          <w:spacing w:val="34"/>
          <w:sz w:val="72"/>
          <w:szCs w:val="72"/>
          <w:lang w:val="zh-CN"/>
        </w:rPr>
        <w:t>投标文件</w:t>
      </w:r>
    </w:p>
    <w:p w14:paraId="709151B2">
      <w:pPr>
        <w:autoSpaceDE w:val="0"/>
        <w:autoSpaceDN w:val="0"/>
        <w:spacing w:beforeLines="50"/>
        <w:jc w:val="center"/>
        <w:rPr>
          <w:rFonts w:ascii="宋体" w:hAnsi="宋体" w:cs="宋体"/>
          <w:color w:val="auto"/>
          <w:sz w:val="28"/>
          <w:szCs w:val="28"/>
          <w:lang w:val="zh-CN"/>
        </w:rPr>
      </w:pPr>
      <w:r>
        <w:rPr>
          <w:rFonts w:hint="eastAsia" w:ascii="宋体" w:hAnsi="宋体" w:cs="宋体"/>
          <w:color w:val="auto"/>
          <w:sz w:val="28"/>
          <w:szCs w:val="28"/>
          <w:lang w:val="zh-CN"/>
        </w:rPr>
        <w:t>（</w:t>
      </w:r>
      <w:r>
        <w:rPr>
          <w:rFonts w:hint="eastAsia" w:ascii="宋体" w:hAnsi="宋体" w:cs="宋体"/>
          <w:color w:val="auto"/>
          <w:sz w:val="28"/>
          <w:szCs w:val="28"/>
          <w:u w:val="single"/>
        </w:rPr>
        <w:t xml:space="preserve">          </w:t>
      </w:r>
      <w:r>
        <w:rPr>
          <w:rFonts w:hint="eastAsia" w:ascii="宋体" w:hAnsi="宋体" w:cs="宋体"/>
          <w:color w:val="auto"/>
          <w:sz w:val="28"/>
          <w:szCs w:val="28"/>
          <w:lang w:val="zh-CN"/>
        </w:rPr>
        <w:t>文件）</w:t>
      </w:r>
    </w:p>
    <w:p w14:paraId="6BD61597">
      <w:pPr>
        <w:pStyle w:val="2"/>
        <w:spacing w:line="240" w:lineRule="auto"/>
        <w:rPr>
          <w:rFonts w:ascii="宋体" w:hAnsi="宋体" w:cs="宋体"/>
          <w:b/>
          <w:color w:val="auto"/>
          <w:sz w:val="28"/>
          <w:szCs w:val="28"/>
        </w:rPr>
      </w:pPr>
    </w:p>
    <w:p w14:paraId="51BD8196">
      <w:pPr>
        <w:pStyle w:val="50"/>
        <w:ind w:firstLine="0" w:firstLineChars="0"/>
        <w:rPr>
          <w:rFonts w:ascii="宋体" w:hAnsi="宋体" w:cs="宋体"/>
          <w:b/>
          <w:color w:val="auto"/>
          <w:szCs w:val="28"/>
        </w:rPr>
      </w:pPr>
    </w:p>
    <w:p w14:paraId="62B7A2B1">
      <w:pPr>
        <w:pStyle w:val="50"/>
        <w:ind w:firstLine="562"/>
        <w:rPr>
          <w:rFonts w:ascii="宋体" w:hAnsi="宋体" w:cs="宋体"/>
          <w:b/>
          <w:color w:val="auto"/>
          <w:szCs w:val="28"/>
        </w:rPr>
      </w:pPr>
    </w:p>
    <w:p w14:paraId="02CFDA07">
      <w:pPr>
        <w:pStyle w:val="50"/>
        <w:ind w:firstLine="562"/>
        <w:rPr>
          <w:rFonts w:ascii="宋体" w:hAnsi="宋体" w:cs="宋体"/>
          <w:b/>
          <w:color w:val="auto"/>
          <w:szCs w:val="28"/>
        </w:rPr>
      </w:pPr>
    </w:p>
    <w:p w14:paraId="7643A25F">
      <w:pPr>
        <w:ind w:firstLine="2108" w:firstLineChars="750"/>
        <w:rPr>
          <w:rFonts w:ascii="宋体" w:hAnsi="宋体" w:cs="宋体"/>
          <w:b/>
          <w:color w:val="auto"/>
          <w:sz w:val="28"/>
          <w:szCs w:val="28"/>
        </w:rPr>
      </w:pPr>
    </w:p>
    <w:p w14:paraId="1C167D82">
      <w:pPr>
        <w:spacing w:afterLines="50"/>
        <w:jc w:val="center"/>
        <w:rPr>
          <w:rFonts w:ascii="宋体" w:hAnsi="宋体" w:cs="宋体"/>
          <w:b/>
          <w:color w:val="auto"/>
          <w:sz w:val="28"/>
          <w:szCs w:val="28"/>
          <w:u w:val="single"/>
        </w:rPr>
      </w:pPr>
      <w:r>
        <w:rPr>
          <w:rFonts w:hint="eastAsia" w:ascii="宋体" w:hAnsi="宋体" w:cs="宋体"/>
          <w:b/>
          <w:color w:val="auto"/>
          <w:sz w:val="28"/>
          <w:szCs w:val="28"/>
        </w:rPr>
        <w:t>供应商全称</w:t>
      </w:r>
      <w:r>
        <w:rPr>
          <w:rFonts w:hint="eastAsia" w:ascii="宋体" w:hAnsi="宋体" w:cs="宋体"/>
          <w:b/>
          <w:color w:val="auto"/>
          <w:sz w:val="28"/>
          <w:szCs w:val="28"/>
          <w:u w:val="single"/>
        </w:rPr>
        <w:t xml:space="preserve">                                 </w:t>
      </w:r>
      <w:r>
        <w:rPr>
          <w:rFonts w:hint="eastAsia" w:ascii="宋体" w:hAnsi="宋体" w:cs="宋体"/>
          <w:b/>
          <w:color w:val="auto"/>
          <w:sz w:val="28"/>
          <w:szCs w:val="28"/>
        </w:rPr>
        <w:t>（盖公章）</w:t>
      </w:r>
    </w:p>
    <w:p w14:paraId="113C2ADB">
      <w:pPr>
        <w:spacing w:afterLines="50"/>
        <w:ind w:firstLine="4216" w:firstLineChars="1500"/>
        <w:rPr>
          <w:rFonts w:ascii="宋体" w:hAnsi="宋体" w:cs="宋体"/>
          <w:b/>
          <w:color w:val="auto"/>
          <w:sz w:val="28"/>
          <w:szCs w:val="28"/>
        </w:rPr>
      </w:pPr>
      <w:r>
        <w:rPr>
          <w:rFonts w:hint="eastAsia" w:ascii="宋体" w:hAnsi="宋体" w:cs="宋体"/>
          <w:b/>
          <w:color w:val="auto"/>
          <w:sz w:val="28"/>
          <w:szCs w:val="28"/>
        </w:rPr>
        <w:t xml:space="preserve">年   月   日 </w:t>
      </w:r>
    </w:p>
    <w:p w14:paraId="79501BD2">
      <w:pPr>
        <w:pStyle w:val="2"/>
        <w:spacing w:line="240" w:lineRule="auto"/>
        <w:rPr>
          <w:rFonts w:ascii="宋体" w:hAnsi="宋体" w:cs="宋体"/>
          <w:b/>
          <w:color w:val="auto"/>
          <w:sz w:val="28"/>
          <w:szCs w:val="28"/>
        </w:rPr>
      </w:pPr>
    </w:p>
    <w:p w14:paraId="13CB9B46">
      <w:pPr>
        <w:pStyle w:val="50"/>
        <w:ind w:firstLine="562"/>
        <w:rPr>
          <w:rFonts w:ascii="宋体" w:hAnsi="宋体" w:cs="宋体"/>
          <w:b/>
          <w:color w:val="auto"/>
        </w:rPr>
      </w:pPr>
    </w:p>
    <w:p w14:paraId="71C01BA3">
      <w:pPr>
        <w:pStyle w:val="50"/>
        <w:ind w:firstLine="562"/>
        <w:rPr>
          <w:rFonts w:ascii="宋体" w:hAnsi="宋体" w:cs="宋体"/>
          <w:b/>
          <w:color w:val="auto"/>
        </w:rPr>
      </w:pPr>
    </w:p>
    <w:p w14:paraId="001DA84E">
      <w:pPr>
        <w:spacing w:afterLines="50"/>
        <w:jc w:val="center"/>
        <w:rPr>
          <w:rFonts w:ascii="宋体" w:hAnsi="宋体" w:cs="宋体"/>
          <w:b/>
          <w:color w:val="auto"/>
          <w:sz w:val="28"/>
          <w:szCs w:val="28"/>
        </w:rPr>
      </w:pPr>
      <w:r>
        <w:rPr>
          <w:rFonts w:hint="eastAsia" w:ascii="宋体" w:hAnsi="宋体" w:cs="宋体"/>
          <w:b/>
          <w:color w:val="auto"/>
          <w:sz w:val="28"/>
          <w:szCs w:val="28"/>
        </w:rPr>
        <w:t>投标截止时间前其他单位或个人不得解密、提取</w:t>
      </w:r>
    </w:p>
    <w:p w14:paraId="27B9AF7B">
      <w:pPr>
        <w:pStyle w:val="2"/>
        <w:spacing w:line="240" w:lineRule="auto"/>
        <w:rPr>
          <w:rFonts w:ascii="宋体" w:hAnsi="宋体" w:cs="宋体"/>
          <w:color w:val="auto"/>
          <w:sz w:val="36"/>
          <w:szCs w:val="36"/>
        </w:rPr>
      </w:pPr>
    </w:p>
    <w:p w14:paraId="4E0D0D86">
      <w:pPr>
        <w:pStyle w:val="29"/>
        <w:spacing w:line="240" w:lineRule="auto"/>
        <w:ind w:firstLine="360"/>
        <w:rPr>
          <w:rFonts w:ascii="宋体" w:hAnsi="宋体" w:cs="宋体"/>
          <w:color w:val="auto"/>
          <w:sz w:val="36"/>
          <w:szCs w:val="36"/>
        </w:rPr>
      </w:pPr>
    </w:p>
    <w:p w14:paraId="26CA03D5">
      <w:pPr>
        <w:pStyle w:val="29"/>
        <w:spacing w:line="240" w:lineRule="auto"/>
        <w:ind w:firstLine="360"/>
        <w:rPr>
          <w:rFonts w:ascii="宋体" w:hAnsi="宋体" w:cs="宋体"/>
          <w:color w:val="auto"/>
          <w:sz w:val="36"/>
          <w:szCs w:val="36"/>
        </w:rPr>
      </w:pPr>
    </w:p>
    <w:p w14:paraId="11A8F949">
      <w:pPr>
        <w:rPr>
          <w:rFonts w:ascii="宋体" w:hAnsi="宋体" w:cs="宋体"/>
          <w:color w:val="auto"/>
          <w:sz w:val="36"/>
          <w:szCs w:val="36"/>
        </w:rPr>
      </w:pPr>
    </w:p>
    <w:p w14:paraId="5D750BBF">
      <w:pPr>
        <w:pStyle w:val="41"/>
        <w:rPr>
          <w:rFonts w:ascii="宋体" w:hAnsi="宋体" w:cs="宋体"/>
          <w:color w:val="auto"/>
          <w:sz w:val="36"/>
          <w:szCs w:val="36"/>
        </w:rPr>
      </w:pPr>
    </w:p>
    <w:p w14:paraId="060983D9">
      <w:pPr>
        <w:pStyle w:val="41"/>
        <w:rPr>
          <w:rFonts w:ascii="宋体" w:hAnsi="宋体" w:cs="宋体"/>
          <w:color w:val="auto"/>
        </w:rPr>
      </w:pPr>
    </w:p>
    <w:p w14:paraId="31598E7A">
      <w:pPr>
        <w:pStyle w:val="13"/>
        <w:rPr>
          <w:rFonts w:hAnsi="宋体" w:cs="宋体"/>
          <w:color w:val="auto"/>
          <w:sz w:val="36"/>
          <w:szCs w:val="36"/>
        </w:rPr>
      </w:pPr>
    </w:p>
    <w:p w14:paraId="5DC07B39">
      <w:pPr>
        <w:rPr>
          <w:rFonts w:ascii="宋体" w:hAnsi="宋体" w:cs="宋体"/>
          <w:color w:val="auto"/>
        </w:rPr>
      </w:pPr>
    </w:p>
    <w:p w14:paraId="785107C1">
      <w:pPr>
        <w:jc w:val="left"/>
        <w:rPr>
          <w:rFonts w:ascii="宋体" w:hAnsi="宋体" w:cs="宋体"/>
          <w:bCs/>
          <w:color w:val="auto"/>
        </w:rPr>
      </w:pPr>
      <w:bookmarkStart w:id="41" w:name="_Toc38808094"/>
      <w:bookmarkStart w:id="42" w:name="_Toc9142"/>
    </w:p>
    <w:p w14:paraId="132253C3">
      <w:pPr>
        <w:jc w:val="left"/>
        <w:rPr>
          <w:rFonts w:ascii="宋体" w:hAnsi="宋体" w:cs="宋体"/>
          <w:bCs/>
          <w:color w:val="auto"/>
        </w:rPr>
      </w:pPr>
    </w:p>
    <w:p w14:paraId="1BD0B3D8">
      <w:pPr>
        <w:jc w:val="left"/>
        <w:rPr>
          <w:rFonts w:ascii="宋体" w:hAnsi="宋体" w:cs="宋体"/>
          <w:bCs/>
          <w:color w:val="auto"/>
        </w:rPr>
      </w:pPr>
      <w:r>
        <w:rPr>
          <w:rFonts w:hint="eastAsia" w:ascii="宋体" w:hAnsi="宋体" w:cs="宋体"/>
          <w:bCs/>
          <w:color w:val="auto"/>
        </w:rPr>
        <w:t>附件2 政府采购活动现场确认声明书：</w:t>
      </w:r>
    </w:p>
    <w:p w14:paraId="730566D9">
      <w:pPr>
        <w:pStyle w:val="13"/>
        <w:rPr>
          <w:rFonts w:hAnsi="宋体" w:cs="宋体"/>
          <w:color w:val="auto"/>
        </w:rPr>
      </w:pPr>
    </w:p>
    <w:p w14:paraId="55E3BD97">
      <w:pPr>
        <w:snapToGrid w:val="0"/>
        <w:spacing w:before="50" w:afterLines="50"/>
        <w:jc w:val="center"/>
        <w:rPr>
          <w:rFonts w:ascii="宋体" w:hAnsi="宋体" w:cs="宋体"/>
          <w:b/>
          <w:color w:val="auto"/>
          <w:kern w:val="0"/>
          <w:sz w:val="30"/>
          <w:szCs w:val="30"/>
          <w:u w:color="0070C0"/>
        </w:rPr>
      </w:pPr>
      <w:r>
        <w:rPr>
          <w:rFonts w:hint="eastAsia" w:ascii="宋体" w:hAnsi="宋体" w:cs="宋体"/>
          <w:b/>
          <w:color w:val="auto"/>
          <w:kern w:val="0"/>
          <w:sz w:val="30"/>
          <w:szCs w:val="30"/>
          <w:u w:color="0070C0"/>
        </w:rPr>
        <w:t>政府</w:t>
      </w:r>
      <w:r>
        <w:rPr>
          <w:rFonts w:hint="eastAsia" w:ascii="宋体" w:hAnsi="宋体" w:cs="宋体"/>
          <w:b/>
          <w:color w:val="auto"/>
          <w:kern w:val="0"/>
          <w:sz w:val="30"/>
          <w:szCs w:val="30"/>
          <w:u w:color="0070C0"/>
          <w:lang w:val="zh-CN"/>
        </w:rPr>
        <w:t>采购活动现场确认声明书</w:t>
      </w:r>
      <w:bookmarkEnd w:id="41"/>
      <w:bookmarkEnd w:id="42"/>
    </w:p>
    <w:p w14:paraId="1D6DF046">
      <w:pPr>
        <w:pStyle w:val="87"/>
        <w:snapToGrid w:val="0"/>
        <w:spacing w:line="432" w:lineRule="auto"/>
        <w:rPr>
          <w:rFonts w:hint="default" w:hAnsi="宋体" w:cs="宋体"/>
          <w:b/>
          <w:color w:val="auto"/>
          <w:szCs w:val="21"/>
        </w:rPr>
      </w:pPr>
      <w:r>
        <w:rPr>
          <w:rFonts w:hAnsi="宋体" w:cs="宋体"/>
          <w:color w:val="auto"/>
          <w:kern w:val="0"/>
          <w:szCs w:val="21"/>
          <w:u w:val="single"/>
        </w:rPr>
        <w:t>台州市天诚工程造价咨询有限公司</w:t>
      </w:r>
      <w:r>
        <w:rPr>
          <w:rFonts w:hAnsi="宋体" w:cs="宋体"/>
          <w:color w:val="auto"/>
          <w:kern w:val="0"/>
          <w:szCs w:val="21"/>
        </w:rPr>
        <w:t>（采购组织机构名称）：</w:t>
      </w:r>
    </w:p>
    <w:p w14:paraId="04917EE7">
      <w:pPr>
        <w:pStyle w:val="87"/>
        <w:snapToGrid w:val="0"/>
        <w:spacing w:line="432" w:lineRule="auto"/>
        <w:ind w:left="19" w:leftChars="9" w:firstLine="415" w:firstLineChars="187"/>
        <w:rPr>
          <w:rFonts w:hint="default" w:hAnsi="宋体" w:cs="宋体"/>
          <w:color w:val="auto"/>
          <w:spacing w:val="6"/>
          <w:szCs w:val="21"/>
        </w:rPr>
      </w:pPr>
      <w:r>
        <w:rPr>
          <w:rFonts w:hAnsi="宋体" w:cs="宋体"/>
          <w:color w:val="auto"/>
          <w:spacing w:val="6"/>
          <w:szCs w:val="21"/>
        </w:rPr>
        <w:t>本人</w:t>
      </w:r>
      <w:r>
        <w:rPr>
          <w:rFonts w:hAnsi="宋体" w:cs="宋体"/>
          <w:color w:val="auto"/>
          <w:spacing w:val="6"/>
          <w:szCs w:val="21"/>
          <w:u w:val="single"/>
        </w:rPr>
        <w:t xml:space="preserve">         （授权代表姓名）</w:t>
      </w:r>
      <w:r>
        <w:rPr>
          <w:rFonts w:hAnsi="宋体" w:cs="宋体"/>
          <w:color w:val="auto"/>
          <w:spacing w:val="6"/>
          <w:szCs w:val="21"/>
        </w:rPr>
        <w:t>经由</w:t>
      </w:r>
      <w:r>
        <w:rPr>
          <w:rFonts w:hAnsi="宋体" w:cs="宋体"/>
          <w:color w:val="auto"/>
          <w:spacing w:val="6"/>
          <w:szCs w:val="21"/>
          <w:u w:val="single"/>
        </w:rPr>
        <w:t xml:space="preserve">              （单位）</w:t>
      </w:r>
      <w:r>
        <w:rPr>
          <w:rFonts w:hAnsi="宋体" w:cs="宋体"/>
          <w:color w:val="auto"/>
          <w:spacing w:val="6"/>
          <w:szCs w:val="21"/>
        </w:rPr>
        <w:t>负责人</w:t>
      </w:r>
      <w:r>
        <w:rPr>
          <w:rFonts w:hAnsi="宋体" w:cs="宋体"/>
          <w:color w:val="auto"/>
          <w:spacing w:val="6"/>
          <w:szCs w:val="21"/>
          <w:u w:val="single"/>
        </w:rPr>
        <w:t xml:space="preserve">         （姓名）</w:t>
      </w:r>
      <w:r>
        <w:rPr>
          <w:rFonts w:hAnsi="宋体" w:cs="宋体"/>
          <w:color w:val="auto"/>
          <w:spacing w:val="6"/>
          <w:szCs w:val="21"/>
        </w:rPr>
        <w:t>合法授权参加</w:t>
      </w:r>
      <w:r>
        <w:rPr>
          <w:rFonts w:hAnsi="宋体" w:cs="宋体"/>
          <w:color w:val="auto"/>
          <w:spacing w:val="6"/>
          <w:szCs w:val="21"/>
          <w:u w:val="single"/>
        </w:rPr>
        <w:t>天台县2025年度补充林地库建设项目</w:t>
      </w:r>
      <w:r>
        <w:rPr>
          <w:rFonts w:hAnsi="宋体" w:cs="宋体"/>
          <w:color w:val="auto"/>
          <w:spacing w:val="6"/>
          <w:szCs w:val="21"/>
        </w:rPr>
        <w:t>（编号：</w:t>
      </w:r>
      <w:r>
        <w:rPr>
          <w:rFonts w:hAnsi="宋体" w:cs="宋体"/>
          <w:color w:val="auto"/>
          <w:spacing w:val="6"/>
          <w:szCs w:val="21"/>
          <w:u w:val="single"/>
        </w:rPr>
        <w:t>TCCG-2025-Z070</w:t>
      </w:r>
      <w:r>
        <w:rPr>
          <w:rFonts w:hAnsi="宋体" w:cs="宋体"/>
          <w:color w:val="auto"/>
          <w:spacing w:val="6"/>
          <w:szCs w:val="21"/>
        </w:rPr>
        <w:t xml:space="preserve">）政府采购活动，经与本单位法人代表（负责人）联系确认，现就有关公平竞争事项郑重声明如下： </w:t>
      </w:r>
    </w:p>
    <w:p w14:paraId="14D62666">
      <w:pPr>
        <w:pStyle w:val="88"/>
        <w:widowControl/>
        <w:numPr>
          <w:ilvl w:val="0"/>
          <w:numId w:val="20"/>
        </w:numPr>
        <w:snapToGrid w:val="0"/>
        <w:spacing w:line="432" w:lineRule="auto"/>
        <w:ind w:firstLine="396" w:firstLineChars="189"/>
        <w:rPr>
          <w:rFonts w:hint="default" w:ascii="宋体" w:hAnsi="宋体" w:cs="宋体"/>
          <w:color w:val="auto"/>
          <w:kern w:val="0"/>
          <w:szCs w:val="21"/>
        </w:rPr>
      </w:pPr>
      <w:r>
        <w:rPr>
          <w:rFonts w:ascii="宋体" w:hAnsi="宋体" w:cs="宋体"/>
          <w:color w:val="auto"/>
          <w:kern w:val="0"/>
          <w:szCs w:val="21"/>
        </w:rPr>
        <w:t xml:space="preserve">本单位与招标人之间 </w:t>
      </w:r>
      <w:r>
        <w:rPr>
          <w:rFonts w:ascii="宋体" w:hAnsi="宋体" w:cs="宋体"/>
          <w:color w:val="auto"/>
          <w:kern w:val="0"/>
          <w:szCs w:val="21"/>
        </w:rPr>
        <w:sym w:font="Wingdings 2" w:char="00A3"/>
      </w:r>
      <w:r>
        <w:rPr>
          <w:rFonts w:ascii="宋体" w:hAnsi="宋体" w:cs="宋体"/>
          <w:color w:val="auto"/>
          <w:kern w:val="0"/>
          <w:szCs w:val="21"/>
        </w:rPr>
        <w:t>不存在利害关系  □存在下列利害关系</w:t>
      </w:r>
      <w:r>
        <w:rPr>
          <w:rFonts w:ascii="宋体" w:hAnsi="宋体" w:cs="宋体"/>
          <w:color w:val="auto"/>
          <w:kern w:val="0"/>
          <w:szCs w:val="21"/>
          <w:u w:val="single"/>
        </w:rPr>
        <w:t xml:space="preserve">           </w:t>
      </w:r>
      <w:r>
        <w:rPr>
          <w:rFonts w:ascii="宋体" w:hAnsi="宋体" w:cs="宋体"/>
          <w:color w:val="auto"/>
          <w:kern w:val="0"/>
          <w:szCs w:val="21"/>
        </w:rPr>
        <w:t>：</w:t>
      </w:r>
    </w:p>
    <w:p w14:paraId="0677FB60">
      <w:pPr>
        <w:pStyle w:val="88"/>
        <w:widowControl/>
        <w:tabs>
          <w:tab w:val="left" w:pos="8249"/>
        </w:tabs>
        <w:snapToGrid w:val="0"/>
        <w:spacing w:line="432" w:lineRule="auto"/>
        <w:rPr>
          <w:rFonts w:hint="default" w:ascii="宋体" w:hAnsi="宋体" w:cs="宋体"/>
          <w:color w:val="auto"/>
          <w:kern w:val="0"/>
          <w:szCs w:val="21"/>
        </w:rPr>
      </w:pPr>
      <w:r>
        <w:rPr>
          <w:rFonts w:ascii="宋体" w:hAnsi="宋体" w:cs="宋体"/>
          <w:color w:val="auto"/>
          <w:kern w:val="0"/>
          <w:szCs w:val="21"/>
        </w:rPr>
        <w:t xml:space="preserve">  A.投资关系    B.行政隶属关系    C.业务指导关系</w:t>
      </w:r>
      <w:r>
        <w:rPr>
          <w:rFonts w:ascii="宋体" w:hAnsi="宋体" w:cs="宋体"/>
          <w:color w:val="auto"/>
          <w:kern w:val="0"/>
          <w:szCs w:val="21"/>
        </w:rPr>
        <w:tab/>
      </w:r>
    </w:p>
    <w:p w14:paraId="5FC45977">
      <w:pPr>
        <w:pStyle w:val="88"/>
        <w:widowControl/>
        <w:snapToGrid w:val="0"/>
        <w:spacing w:line="432" w:lineRule="auto"/>
        <w:rPr>
          <w:rFonts w:hint="default" w:ascii="宋体" w:hAnsi="宋体" w:cs="宋体"/>
          <w:color w:val="auto"/>
          <w:kern w:val="0"/>
          <w:szCs w:val="21"/>
        </w:rPr>
      </w:pPr>
      <w:r>
        <w:rPr>
          <w:rFonts w:ascii="宋体" w:hAnsi="宋体" w:cs="宋体"/>
          <w:color w:val="auto"/>
          <w:kern w:val="0"/>
          <w:szCs w:val="21"/>
        </w:rPr>
        <w:t xml:space="preserve">  D.其他可能</w:t>
      </w:r>
      <w:r>
        <w:rPr>
          <w:rFonts w:ascii="宋体" w:hAnsi="宋体" w:cs="宋体"/>
          <w:color w:val="auto"/>
          <w:szCs w:val="21"/>
        </w:rPr>
        <w:t>影响采购公正的</w:t>
      </w:r>
      <w:r>
        <w:rPr>
          <w:rFonts w:ascii="宋体" w:hAnsi="宋体" w:cs="宋体"/>
          <w:color w:val="auto"/>
          <w:kern w:val="0"/>
          <w:szCs w:val="21"/>
        </w:rPr>
        <w:t>利害关系</w:t>
      </w:r>
      <w:r>
        <w:rPr>
          <w:rFonts w:ascii="宋体" w:hAnsi="宋体" w:cs="宋体"/>
          <w:color w:val="auto"/>
          <w:kern w:val="0"/>
          <w:szCs w:val="21"/>
          <w:u w:val="single"/>
        </w:rPr>
        <w:t xml:space="preserve">（如有，请如实说明）                 </w:t>
      </w:r>
      <w:r>
        <w:rPr>
          <w:rFonts w:ascii="宋体" w:hAnsi="宋体" w:cs="宋体"/>
          <w:color w:val="auto"/>
          <w:kern w:val="0"/>
          <w:szCs w:val="21"/>
        </w:rPr>
        <w:t>。</w:t>
      </w:r>
    </w:p>
    <w:p w14:paraId="6C512D9A">
      <w:pPr>
        <w:pStyle w:val="88"/>
        <w:widowControl/>
        <w:snapToGrid w:val="0"/>
        <w:spacing w:line="432" w:lineRule="auto"/>
        <w:rPr>
          <w:rFonts w:hint="default" w:ascii="宋体" w:hAnsi="宋体" w:cs="宋体"/>
          <w:color w:val="auto"/>
          <w:kern w:val="0"/>
          <w:szCs w:val="21"/>
        </w:rPr>
      </w:pPr>
      <w:r>
        <w:rPr>
          <w:rFonts w:ascii="宋体" w:hAnsi="宋体" w:cs="宋体"/>
          <w:color w:val="auto"/>
          <w:spacing w:val="6"/>
          <w:szCs w:val="21"/>
        </w:rPr>
        <w:t xml:space="preserve">   二、</w:t>
      </w:r>
      <w:r>
        <w:rPr>
          <w:rFonts w:ascii="宋体" w:hAnsi="宋体" w:cs="宋体"/>
          <w:color w:val="auto"/>
          <w:kern w:val="0"/>
          <w:szCs w:val="21"/>
        </w:rPr>
        <w:t>现已清楚知道参加本项目采购活动的其他所有供应商名称，本单位 □与其他所有供应商之间均不存在利害关系 □与</w:t>
      </w:r>
      <w:r>
        <w:rPr>
          <w:rFonts w:ascii="宋体" w:hAnsi="宋体" w:cs="宋体"/>
          <w:color w:val="auto"/>
          <w:kern w:val="0"/>
          <w:szCs w:val="21"/>
          <w:u w:val="single"/>
        </w:rPr>
        <w:t xml:space="preserve">           （供应商名称）</w:t>
      </w:r>
      <w:r>
        <w:rPr>
          <w:rFonts w:ascii="宋体" w:hAnsi="宋体" w:cs="宋体"/>
          <w:color w:val="auto"/>
          <w:kern w:val="0"/>
          <w:szCs w:val="21"/>
        </w:rPr>
        <w:t>之间存在下列利害关系</w:t>
      </w:r>
      <w:r>
        <w:rPr>
          <w:rFonts w:ascii="宋体" w:hAnsi="宋体" w:cs="宋体"/>
          <w:color w:val="auto"/>
          <w:kern w:val="0"/>
          <w:szCs w:val="21"/>
          <w:u w:val="single"/>
        </w:rPr>
        <w:t xml:space="preserve">          </w:t>
      </w:r>
      <w:r>
        <w:rPr>
          <w:rFonts w:ascii="宋体" w:hAnsi="宋体" w:cs="宋体"/>
          <w:color w:val="auto"/>
          <w:kern w:val="0"/>
          <w:szCs w:val="21"/>
        </w:rPr>
        <w:t>：</w:t>
      </w:r>
    </w:p>
    <w:p w14:paraId="20C47D85">
      <w:pPr>
        <w:pStyle w:val="87"/>
        <w:snapToGrid w:val="0"/>
        <w:spacing w:line="432" w:lineRule="auto"/>
        <w:rPr>
          <w:rFonts w:hint="default" w:hAnsi="宋体" w:cs="宋体"/>
          <w:color w:val="auto"/>
          <w:kern w:val="0"/>
          <w:szCs w:val="21"/>
        </w:rPr>
      </w:pPr>
      <w:r>
        <w:rPr>
          <w:rFonts w:hAnsi="宋体" w:cs="宋体"/>
          <w:color w:val="auto"/>
          <w:kern w:val="0"/>
          <w:szCs w:val="21"/>
        </w:rPr>
        <w:t xml:space="preserve">  A.法定代表人或负责人或实际控制人是同一人</w:t>
      </w:r>
    </w:p>
    <w:p w14:paraId="455DB925">
      <w:pPr>
        <w:pStyle w:val="87"/>
        <w:snapToGrid w:val="0"/>
        <w:spacing w:line="432" w:lineRule="auto"/>
        <w:rPr>
          <w:rFonts w:hint="default" w:hAnsi="宋体" w:cs="宋体"/>
          <w:color w:val="auto"/>
          <w:spacing w:val="6"/>
          <w:szCs w:val="21"/>
        </w:rPr>
      </w:pPr>
      <w:r>
        <w:rPr>
          <w:rFonts w:hAnsi="宋体" w:cs="宋体"/>
          <w:color w:val="auto"/>
          <w:kern w:val="0"/>
          <w:szCs w:val="21"/>
        </w:rPr>
        <w:t xml:space="preserve">  B.法定代表人或负责人或实际控制人是夫妻关系</w:t>
      </w:r>
    </w:p>
    <w:p w14:paraId="502DDE60">
      <w:pPr>
        <w:pStyle w:val="87"/>
        <w:snapToGrid w:val="0"/>
        <w:spacing w:line="432" w:lineRule="auto"/>
        <w:rPr>
          <w:rFonts w:hint="default" w:hAnsi="宋体" w:cs="宋体"/>
          <w:color w:val="auto"/>
          <w:spacing w:val="6"/>
          <w:szCs w:val="21"/>
        </w:rPr>
      </w:pPr>
      <w:r>
        <w:rPr>
          <w:rFonts w:hAnsi="宋体" w:cs="宋体"/>
          <w:color w:val="auto"/>
          <w:kern w:val="0"/>
          <w:szCs w:val="21"/>
        </w:rPr>
        <w:t xml:space="preserve">  C.法定代表人或负责人或实际控制人是直系血亲关系</w:t>
      </w:r>
    </w:p>
    <w:p w14:paraId="7F3CCEFC">
      <w:pPr>
        <w:pStyle w:val="87"/>
        <w:snapToGrid w:val="0"/>
        <w:spacing w:line="432" w:lineRule="auto"/>
        <w:rPr>
          <w:rFonts w:hint="default" w:hAnsi="宋体" w:cs="宋体"/>
          <w:color w:val="auto"/>
          <w:spacing w:val="6"/>
          <w:szCs w:val="21"/>
        </w:rPr>
      </w:pPr>
      <w:r>
        <w:rPr>
          <w:rFonts w:hAnsi="宋体" w:cs="宋体"/>
          <w:color w:val="auto"/>
          <w:kern w:val="0"/>
          <w:szCs w:val="21"/>
        </w:rPr>
        <w:t xml:space="preserve">  D.法定代表人或负责人或实际控制人存在三代以内旁系血亲关系</w:t>
      </w:r>
    </w:p>
    <w:p w14:paraId="250C312E">
      <w:pPr>
        <w:pStyle w:val="87"/>
        <w:snapToGrid w:val="0"/>
        <w:spacing w:line="432" w:lineRule="auto"/>
        <w:rPr>
          <w:rFonts w:hint="default" w:hAnsi="宋体" w:cs="宋体"/>
          <w:color w:val="auto"/>
          <w:kern w:val="0"/>
          <w:szCs w:val="21"/>
        </w:rPr>
      </w:pPr>
      <w:r>
        <w:rPr>
          <w:rFonts w:hAnsi="宋体" w:cs="宋体"/>
          <w:color w:val="auto"/>
          <w:kern w:val="0"/>
          <w:szCs w:val="21"/>
        </w:rPr>
        <w:t xml:space="preserve">  E.法定代表人或负责人或实际控制人存在近姻亲关系</w:t>
      </w:r>
    </w:p>
    <w:p w14:paraId="754BC7E6">
      <w:pPr>
        <w:pStyle w:val="87"/>
        <w:snapToGrid w:val="0"/>
        <w:spacing w:line="432" w:lineRule="auto"/>
        <w:rPr>
          <w:rFonts w:hint="default" w:hAnsi="宋体" w:cs="宋体"/>
          <w:color w:val="auto"/>
          <w:kern w:val="0"/>
          <w:szCs w:val="21"/>
        </w:rPr>
      </w:pPr>
      <w:r>
        <w:rPr>
          <w:rFonts w:hAnsi="宋体" w:cs="宋体"/>
          <w:color w:val="auto"/>
          <w:kern w:val="0"/>
          <w:szCs w:val="21"/>
        </w:rPr>
        <w:t xml:space="preserve">  F.法定代表人或负责人或实际控制人存在股份控制或实际控制关系</w:t>
      </w:r>
    </w:p>
    <w:p w14:paraId="508A8574">
      <w:pPr>
        <w:pStyle w:val="87"/>
        <w:snapToGrid w:val="0"/>
        <w:spacing w:line="432" w:lineRule="auto"/>
        <w:rPr>
          <w:rFonts w:hint="default" w:hAnsi="宋体" w:cs="宋体"/>
          <w:color w:val="auto"/>
          <w:kern w:val="0"/>
          <w:szCs w:val="21"/>
        </w:rPr>
      </w:pPr>
      <w:r>
        <w:rPr>
          <w:rFonts w:hAnsi="宋体" w:cs="宋体"/>
          <w:color w:val="auto"/>
          <w:kern w:val="0"/>
          <w:szCs w:val="21"/>
        </w:rPr>
        <w:t xml:space="preserve">  G.存在共同直接或间接投资设立子公司、联营企业和合营企业情况</w:t>
      </w:r>
    </w:p>
    <w:p w14:paraId="24060F7D">
      <w:pPr>
        <w:pStyle w:val="87"/>
        <w:snapToGrid w:val="0"/>
        <w:spacing w:line="432" w:lineRule="auto"/>
        <w:rPr>
          <w:rFonts w:hint="default" w:hAnsi="宋体" w:cs="宋体"/>
          <w:color w:val="auto"/>
          <w:szCs w:val="21"/>
        </w:rPr>
      </w:pPr>
      <w:r>
        <w:rPr>
          <w:rFonts w:hAnsi="宋体" w:cs="宋体"/>
          <w:color w:val="auto"/>
          <w:kern w:val="0"/>
          <w:szCs w:val="21"/>
        </w:rPr>
        <w:t xml:space="preserve">  H.存在分级代理或代销关系、同一生产制造商关系、</w:t>
      </w:r>
      <w:r>
        <w:rPr>
          <w:rFonts w:hAnsi="宋体" w:cs="宋体"/>
          <w:color w:val="auto"/>
          <w:szCs w:val="21"/>
        </w:rPr>
        <w:t>管理关系、重要业务（占主营业务收入50%以上）或重要财务往来关系（如融资）等其他实质性控制关系</w:t>
      </w:r>
    </w:p>
    <w:p w14:paraId="602D9D93">
      <w:pPr>
        <w:pStyle w:val="87"/>
        <w:snapToGrid w:val="0"/>
        <w:spacing w:line="432" w:lineRule="auto"/>
        <w:rPr>
          <w:rFonts w:hint="default" w:hAnsi="宋体" w:cs="宋体"/>
          <w:color w:val="auto"/>
          <w:spacing w:val="6"/>
          <w:szCs w:val="21"/>
        </w:rPr>
      </w:pPr>
      <w:r>
        <w:rPr>
          <w:rFonts w:hAnsi="宋体" w:cs="宋体"/>
          <w:color w:val="auto"/>
          <w:szCs w:val="21"/>
        </w:rPr>
        <w:t xml:space="preserve">    I</w:t>
      </w:r>
      <w:r>
        <w:rPr>
          <w:rFonts w:hAnsi="宋体" w:cs="宋体"/>
          <w:color w:val="auto"/>
          <w:kern w:val="0"/>
          <w:szCs w:val="21"/>
        </w:rPr>
        <w:t>.</w:t>
      </w:r>
      <w:r>
        <w:rPr>
          <w:rFonts w:hAnsi="宋体" w:cs="宋体"/>
          <w:color w:val="auto"/>
          <w:szCs w:val="21"/>
        </w:rPr>
        <w:t>其他利害关系情况</w:t>
      </w:r>
      <w:r>
        <w:rPr>
          <w:rFonts w:hAnsi="宋体" w:cs="宋体"/>
          <w:color w:val="auto"/>
          <w:szCs w:val="21"/>
          <w:u w:val="single"/>
        </w:rPr>
        <w:t xml:space="preserve">                              </w:t>
      </w:r>
      <w:r>
        <w:rPr>
          <w:rFonts w:hAnsi="宋体" w:cs="宋体"/>
          <w:color w:val="auto"/>
          <w:kern w:val="0"/>
          <w:szCs w:val="21"/>
        </w:rPr>
        <w:t>。</w:t>
      </w:r>
    </w:p>
    <w:p w14:paraId="0253F746">
      <w:pPr>
        <w:pStyle w:val="88"/>
        <w:widowControl/>
        <w:numPr>
          <w:ilvl w:val="0"/>
          <w:numId w:val="21"/>
        </w:numPr>
        <w:snapToGrid w:val="0"/>
        <w:spacing w:line="432" w:lineRule="auto"/>
        <w:ind w:firstLine="396" w:firstLineChars="189"/>
        <w:rPr>
          <w:rFonts w:hint="default" w:ascii="宋体" w:hAnsi="宋体" w:cs="宋体"/>
          <w:color w:val="auto"/>
          <w:kern w:val="0"/>
          <w:szCs w:val="21"/>
        </w:rPr>
      </w:pPr>
      <w:r>
        <w:rPr>
          <w:rFonts w:ascii="宋体" w:hAnsi="宋体" w:cs="宋体"/>
          <w:color w:val="auto"/>
          <w:szCs w:val="21"/>
        </w:rPr>
        <w:t>现已清楚知道并</w:t>
      </w:r>
      <w:r>
        <w:rPr>
          <w:rFonts w:ascii="宋体" w:hAnsi="宋体" w:cs="宋体"/>
          <w:color w:val="auto"/>
          <w:kern w:val="0"/>
          <w:szCs w:val="21"/>
        </w:rPr>
        <w:t>严格遵守政府采购法律法规和现场纪律。</w:t>
      </w:r>
    </w:p>
    <w:p w14:paraId="115C58E6">
      <w:pPr>
        <w:pStyle w:val="88"/>
        <w:widowControl/>
        <w:numPr>
          <w:ilvl w:val="0"/>
          <w:numId w:val="21"/>
        </w:numPr>
        <w:snapToGrid w:val="0"/>
        <w:spacing w:line="432" w:lineRule="auto"/>
        <w:ind w:firstLine="396" w:firstLineChars="189"/>
        <w:rPr>
          <w:rFonts w:hint="default" w:ascii="宋体" w:hAnsi="宋体" w:cs="宋体"/>
          <w:color w:val="auto"/>
          <w:kern w:val="0"/>
          <w:szCs w:val="21"/>
        </w:rPr>
      </w:pPr>
      <w:r>
        <w:rPr>
          <w:rFonts w:ascii="宋体" w:hAnsi="宋体" w:cs="宋体"/>
          <w:color w:val="auto"/>
          <w:kern w:val="0"/>
          <w:szCs w:val="21"/>
        </w:rPr>
        <w:t>我发现</w:t>
      </w:r>
      <w:r>
        <w:rPr>
          <w:rFonts w:ascii="宋体" w:hAnsi="宋体" w:cs="宋体"/>
          <w:color w:val="auto"/>
          <w:kern w:val="0"/>
          <w:szCs w:val="21"/>
          <w:u w:val="single"/>
        </w:rPr>
        <w:t xml:space="preserve">                  </w:t>
      </w:r>
      <w:r>
        <w:rPr>
          <w:rFonts w:ascii="宋体" w:hAnsi="宋体" w:cs="宋体"/>
          <w:color w:val="auto"/>
          <w:kern w:val="0"/>
          <w:szCs w:val="21"/>
        </w:rPr>
        <w:t>供应商之间存在或可能存在上述第二条第</w:t>
      </w:r>
      <w:r>
        <w:rPr>
          <w:rFonts w:ascii="宋体" w:hAnsi="宋体" w:cs="宋体"/>
          <w:color w:val="auto"/>
          <w:kern w:val="0"/>
          <w:szCs w:val="21"/>
          <w:u w:val="single"/>
        </w:rPr>
        <w:t xml:space="preserve">        </w:t>
      </w:r>
      <w:r>
        <w:rPr>
          <w:rFonts w:ascii="宋体" w:hAnsi="宋体" w:cs="宋体"/>
          <w:color w:val="auto"/>
          <w:kern w:val="0"/>
          <w:szCs w:val="21"/>
        </w:rPr>
        <w:t>项利害关系。</w:t>
      </w:r>
    </w:p>
    <w:p w14:paraId="06113DB1">
      <w:pPr>
        <w:pStyle w:val="87"/>
        <w:snapToGrid w:val="0"/>
        <w:spacing w:line="432" w:lineRule="auto"/>
        <w:ind w:firstLine="420" w:firstLineChars="200"/>
        <w:rPr>
          <w:rFonts w:hint="default" w:hAnsi="宋体" w:cs="宋体"/>
          <w:color w:val="auto"/>
          <w:szCs w:val="21"/>
        </w:rPr>
      </w:pPr>
      <w:r>
        <w:rPr>
          <w:rFonts w:hAnsi="宋体" w:cs="宋体"/>
          <w:color w:val="auto"/>
          <w:szCs w:val="21"/>
        </w:rPr>
        <w:t xml:space="preserve">                                        </w:t>
      </w:r>
    </w:p>
    <w:p w14:paraId="491B827C">
      <w:pPr>
        <w:pStyle w:val="87"/>
        <w:snapToGrid w:val="0"/>
        <w:spacing w:line="432" w:lineRule="auto"/>
        <w:ind w:firstLine="420" w:firstLineChars="200"/>
        <w:jc w:val="center"/>
        <w:rPr>
          <w:rFonts w:hint="default" w:hAnsi="宋体" w:cs="宋体"/>
          <w:color w:val="auto"/>
          <w:szCs w:val="21"/>
        </w:rPr>
      </w:pPr>
    </w:p>
    <w:p w14:paraId="248B0D0B">
      <w:pPr>
        <w:pStyle w:val="87"/>
        <w:snapToGrid w:val="0"/>
        <w:spacing w:line="432" w:lineRule="auto"/>
        <w:ind w:firstLine="420" w:firstLineChars="200"/>
        <w:jc w:val="center"/>
        <w:rPr>
          <w:rFonts w:hint="default" w:hAnsi="宋体" w:cs="宋体"/>
          <w:color w:val="auto"/>
          <w:szCs w:val="21"/>
        </w:rPr>
      </w:pPr>
      <w:r>
        <w:rPr>
          <w:rFonts w:hAnsi="宋体" w:cs="宋体"/>
          <w:color w:val="auto"/>
          <w:szCs w:val="21"/>
        </w:rPr>
        <w:t xml:space="preserve">                                       供应商代表签名：</w:t>
      </w:r>
    </w:p>
    <w:p w14:paraId="4C783C59">
      <w:pPr>
        <w:pStyle w:val="87"/>
        <w:snapToGrid w:val="0"/>
        <w:spacing w:line="432" w:lineRule="auto"/>
        <w:ind w:firstLine="6510" w:firstLineChars="3100"/>
        <w:rPr>
          <w:rFonts w:hint="default" w:hAnsi="宋体" w:cs="宋体"/>
          <w:color w:val="auto"/>
          <w:szCs w:val="21"/>
        </w:rPr>
      </w:pPr>
      <w:r>
        <w:rPr>
          <w:rFonts w:hAnsi="宋体" w:cs="宋体"/>
          <w:color w:val="auto"/>
          <w:szCs w:val="21"/>
        </w:rPr>
        <w:t>年   月   日</w:t>
      </w:r>
    </w:p>
    <w:p w14:paraId="3D8A1706">
      <w:pPr>
        <w:pStyle w:val="87"/>
        <w:snapToGrid w:val="0"/>
        <w:rPr>
          <w:rFonts w:hint="default" w:hAnsi="宋体" w:cs="宋体"/>
          <w:color w:val="auto"/>
          <w:szCs w:val="21"/>
        </w:rPr>
        <w:sectPr>
          <w:headerReference r:id="rId5" w:type="default"/>
          <w:footerReference r:id="rId6" w:type="default"/>
          <w:pgSz w:w="11906" w:h="16838"/>
          <w:pgMar w:top="1088" w:right="1361" w:bottom="1361" w:left="1361" w:header="851" w:footer="737" w:gutter="0"/>
          <w:pgNumType w:start="1"/>
          <w:cols w:space="0" w:num="1"/>
          <w:docGrid w:linePitch="312" w:charSpace="0"/>
        </w:sectPr>
      </w:pPr>
    </w:p>
    <w:p w14:paraId="53004B42">
      <w:pPr>
        <w:pStyle w:val="87"/>
        <w:snapToGrid w:val="0"/>
        <w:rPr>
          <w:rFonts w:hint="default" w:hAnsi="宋体" w:cs="宋体"/>
          <w:color w:val="auto"/>
          <w:szCs w:val="21"/>
        </w:rPr>
      </w:pPr>
    </w:p>
    <w:p w14:paraId="1137FD9D">
      <w:pPr>
        <w:rPr>
          <w:rFonts w:ascii="宋体" w:hAnsi="宋体" w:cs="宋体"/>
          <w:color w:val="auto"/>
        </w:rPr>
      </w:pPr>
    </w:p>
    <w:p w14:paraId="0A626EEB">
      <w:pPr>
        <w:pStyle w:val="87"/>
        <w:snapToGrid w:val="0"/>
        <w:jc w:val="center"/>
        <w:rPr>
          <w:rFonts w:hint="default" w:hAnsi="宋体" w:cs="宋体"/>
          <w:color w:val="auto"/>
          <w:szCs w:val="21"/>
        </w:rPr>
        <w:sectPr>
          <w:type w:val="continuous"/>
          <w:pgSz w:w="11906" w:h="16838"/>
          <w:pgMar w:top="1440" w:right="1080" w:bottom="1134" w:left="1080" w:header="851" w:footer="737" w:gutter="0"/>
          <w:cols w:space="0" w:num="1"/>
          <w:docGrid w:linePitch="312" w:charSpace="0"/>
        </w:sectPr>
      </w:pPr>
      <w:r>
        <w:rPr>
          <w:rFonts w:hAnsi="宋体" w:cs="宋体"/>
          <w:color w:val="auto"/>
        </w:rPr>
        <w:tab/>
      </w:r>
      <w:r>
        <w:rPr>
          <w:rFonts w:hAnsi="宋体" w:cs="宋体"/>
          <w:color w:val="auto"/>
          <w:szCs w:val="21"/>
        </w:rPr>
        <w:t>说明：投标文件解密结束，签署本声明书并扫描发送至采购代理机构指定邮箱：772022916@qq.com；</w:t>
      </w:r>
    </w:p>
    <w:p w14:paraId="2A436896">
      <w:pPr>
        <w:tabs>
          <w:tab w:val="center" w:pos="4873"/>
        </w:tabs>
        <w:jc w:val="left"/>
        <w:rPr>
          <w:rFonts w:ascii="宋体" w:hAnsi="宋体" w:cs="宋体"/>
          <w:color w:val="auto"/>
        </w:rPr>
        <w:sectPr>
          <w:type w:val="continuous"/>
          <w:pgSz w:w="11906" w:h="16838"/>
          <w:pgMar w:top="1440" w:right="1080" w:bottom="1134" w:left="1080" w:header="851" w:footer="737" w:gutter="0"/>
          <w:cols w:space="0" w:num="1"/>
          <w:docGrid w:linePitch="312" w:charSpace="0"/>
        </w:sectPr>
      </w:pPr>
    </w:p>
    <w:p w14:paraId="429242EF">
      <w:pPr>
        <w:jc w:val="left"/>
        <w:rPr>
          <w:rFonts w:ascii="宋体" w:hAnsi="宋体" w:cs="宋体"/>
          <w:bCs/>
          <w:color w:val="auto"/>
        </w:rPr>
      </w:pPr>
      <w:r>
        <w:rPr>
          <w:rFonts w:hint="eastAsia" w:ascii="宋体" w:hAnsi="宋体" w:cs="宋体"/>
          <w:bCs/>
          <w:color w:val="auto"/>
        </w:rPr>
        <w:t>附件3 法定代表人（负责人）资格证明书：</w:t>
      </w:r>
    </w:p>
    <w:p w14:paraId="1711BAE7">
      <w:pPr>
        <w:pStyle w:val="13"/>
        <w:rPr>
          <w:rFonts w:hAnsi="宋体" w:cs="宋体"/>
          <w:color w:val="auto"/>
        </w:rPr>
      </w:pPr>
    </w:p>
    <w:p w14:paraId="386F47FE">
      <w:pPr>
        <w:snapToGrid w:val="0"/>
        <w:spacing w:before="50" w:afterLines="50"/>
        <w:jc w:val="center"/>
        <w:rPr>
          <w:rFonts w:ascii="宋体" w:hAnsi="宋体" w:cs="宋体"/>
          <w:b/>
          <w:color w:val="auto"/>
          <w:kern w:val="0"/>
          <w:sz w:val="30"/>
          <w:szCs w:val="30"/>
        </w:rPr>
      </w:pPr>
      <w:r>
        <w:rPr>
          <w:rFonts w:hint="eastAsia" w:ascii="宋体" w:hAnsi="宋体" w:cs="宋体"/>
          <w:b/>
          <w:color w:val="auto"/>
          <w:kern w:val="0"/>
          <w:sz w:val="30"/>
          <w:szCs w:val="30"/>
        </w:rPr>
        <w:t>法定代表人（负责人）资格证明书</w:t>
      </w:r>
    </w:p>
    <w:p w14:paraId="55572A26">
      <w:pPr>
        <w:jc w:val="center"/>
        <w:rPr>
          <w:rFonts w:ascii="宋体" w:hAnsi="宋体" w:cs="宋体"/>
          <w:bCs/>
          <w:color w:val="auto"/>
          <w:sz w:val="24"/>
        </w:rPr>
      </w:pPr>
    </w:p>
    <w:p w14:paraId="1223B983">
      <w:pPr>
        <w:spacing w:line="432" w:lineRule="auto"/>
        <w:ind w:firstLine="480" w:firstLineChars="200"/>
        <w:rPr>
          <w:rFonts w:ascii="宋体" w:hAnsi="宋体" w:cs="宋体"/>
          <w:bCs/>
          <w:color w:val="auto"/>
          <w:sz w:val="24"/>
        </w:rPr>
      </w:pPr>
      <w:r>
        <w:rPr>
          <w:rFonts w:hint="eastAsia" w:ascii="宋体" w:hAnsi="宋体" w:cs="宋体"/>
          <w:color w:val="auto"/>
          <w:kern w:val="0"/>
          <w:sz w:val="24"/>
        </w:rPr>
        <w:t>供应商名称：</w:t>
      </w:r>
      <w:r>
        <w:rPr>
          <w:rFonts w:hint="eastAsia" w:ascii="宋体" w:hAnsi="宋体" w:cs="宋体"/>
          <w:color w:val="auto"/>
          <w:sz w:val="24"/>
          <w:u w:val="single"/>
        </w:rPr>
        <w:t xml:space="preserve">                                         </w:t>
      </w:r>
    </w:p>
    <w:p w14:paraId="641677C8">
      <w:pPr>
        <w:spacing w:line="432" w:lineRule="auto"/>
        <w:ind w:firstLine="480" w:firstLineChars="200"/>
        <w:rPr>
          <w:rFonts w:ascii="宋体" w:hAnsi="宋体" w:cs="宋体"/>
          <w:bCs/>
          <w:color w:val="auto"/>
          <w:sz w:val="24"/>
        </w:rPr>
      </w:pPr>
      <w:r>
        <w:rPr>
          <w:rFonts w:hint="eastAsia" w:ascii="宋体" w:hAnsi="宋体" w:cs="宋体"/>
          <w:color w:val="auto"/>
          <w:kern w:val="0"/>
          <w:sz w:val="24"/>
        </w:rPr>
        <w:t>地址：</w:t>
      </w:r>
      <w:r>
        <w:rPr>
          <w:rFonts w:hint="eastAsia" w:ascii="宋体" w:hAnsi="宋体" w:cs="宋体"/>
          <w:color w:val="auto"/>
          <w:sz w:val="24"/>
          <w:u w:val="single"/>
        </w:rPr>
        <w:t xml:space="preserve">                                               </w:t>
      </w:r>
    </w:p>
    <w:p w14:paraId="1E06F0C4">
      <w:pPr>
        <w:spacing w:line="432" w:lineRule="auto"/>
        <w:ind w:firstLine="480" w:firstLineChars="200"/>
        <w:rPr>
          <w:rFonts w:ascii="宋体" w:hAnsi="宋体" w:cs="宋体"/>
          <w:bCs/>
          <w:color w:val="auto"/>
          <w:sz w:val="24"/>
        </w:rPr>
      </w:pPr>
      <w:r>
        <w:rPr>
          <w:rFonts w:hint="eastAsia" w:ascii="宋体" w:hAnsi="宋体" w:cs="宋体"/>
          <w:color w:val="auto"/>
          <w:kern w:val="0"/>
          <w:sz w:val="24"/>
        </w:rPr>
        <w:t>成立时间：</w:t>
      </w:r>
      <w:r>
        <w:rPr>
          <w:rFonts w:hint="eastAsia" w:ascii="宋体" w:hAnsi="宋体" w:cs="宋体"/>
          <w:color w:val="auto"/>
          <w:sz w:val="24"/>
          <w:u w:val="single"/>
        </w:rPr>
        <w:t xml:space="preserve">            </w:t>
      </w:r>
      <w:r>
        <w:rPr>
          <w:rFonts w:hint="eastAsia" w:ascii="宋体" w:hAnsi="宋体" w:cs="宋体"/>
          <w:color w:val="auto"/>
          <w:kern w:val="0"/>
          <w:sz w:val="24"/>
        </w:rPr>
        <w:t>年</w:t>
      </w:r>
      <w:r>
        <w:rPr>
          <w:rFonts w:hint="eastAsia" w:ascii="宋体" w:hAnsi="宋体" w:cs="宋体"/>
          <w:color w:val="auto"/>
          <w:sz w:val="24"/>
          <w:u w:val="single"/>
        </w:rPr>
        <w:t xml:space="preserve">       </w:t>
      </w:r>
      <w:r>
        <w:rPr>
          <w:rFonts w:hint="eastAsia" w:ascii="宋体" w:hAnsi="宋体" w:cs="宋体"/>
          <w:color w:val="auto"/>
          <w:kern w:val="0"/>
          <w:sz w:val="24"/>
        </w:rPr>
        <w:t>月</w:t>
      </w:r>
      <w:r>
        <w:rPr>
          <w:rFonts w:hint="eastAsia" w:ascii="宋体" w:hAnsi="宋体" w:cs="宋体"/>
          <w:color w:val="auto"/>
          <w:sz w:val="24"/>
          <w:u w:val="single"/>
        </w:rPr>
        <w:t xml:space="preserve">      </w:t>
      </w:r>
      <w:r>
        <w:rPr>
          <w:rFonts w:hint="eastAsia" w:ascii="宋体" w:hAnsi="宋体" w:cs="宋体"/>
          <w:color w:val="auto"/>
          <w:kern w:val="0"/>
          <w:sz w:val="24"/>
        </w:rPr>
        <w:t>日</w:t>
      </w:r>
    </w:p>
    <w:p w14:paraId="1477F6F9">
      <w:pPr>
        <w:spacing w:line="432" w:lineRule="auto"/>
        <w:ind w:firstLine="480" w:firstLineChars="200"/>
        <w:rPr>
          <w:rFonts w:ascii="宋体" w:hAnsi="宋体" w:cs="宋体"/>
          <w:color w:val="auto"/>
          <w:sz w:val="24"/>
          <w:u w:val="single"/>
        </w:rPr>
      </w:pPr>
      <w:r>
        <w:rPr>
          <w:rFonts w:hint="eastAsia" w:ascii="宋体" w:hAnsi="宋体" w:cs="宋体"/>
          <w:color w:val="auto"/>
          <w:kern w:val="0"/>
          <w:sz w:val="24"/>
        </w:rPr>
        <w:t>经营期限：</w:t>
      </w:r>
      <w:r>
        <w:rPr>
          <w:rFonts w:hint="eastAsia" w:ascii="宋体" w:hAnsi="宋体" w:cs="宋体"/>
          <w:color w:val="auto"/>
          <w:sz w:val="24"/>
          <w:u w:val="single"/>
        </w:rPr>
        <w:t xml:space="preserve">                                           </w:t>
      </w:r>
    </w:p>
    <w:p w14:paraId="188974C8">
      <w:pPr>
        <w:spacing w:line="432" w:lineRule="auto"/>
        <w:ind w:firstLine="480" w:firstLineChars="200"/>
        <w:rPr>
          <w:rFonts w:ascii="宋体" w:hAnsi="宋体" w:cs="宋体"/>
          <w:color w:val="auto"/>
          <w:sz w:val="24"/>
          <w:u w:val="single"/>
        </w:rPr>
      </w:pPr>
      <w:r>
        <w:rPr>
          <w:rFonts w:hint="eastAsia" w:ascii="宋体" w:hAnsi="宋体" w:cs="宋体"/>
          <w:color w:val="auto"/>
          <w:kern w:val="0"/>
          <w:sz w:val="24"/>
        </w:rPr>
        <w:t>姓名：</w:t>
      </w:r>
      <w:r>
        <w:rPr>
          <w:rFonts w:hint="eastAsia" w:ascii="宋体" w:hAnsi="宋体" w:cs="宋体"/>
          <w:color w:val="auto"/>
          <w:sz w:val="24"/>
          <w:u w:val="single"/>
        </w:rPr>
        <w:t xml:space="preserve">            </w:t>
      </w:r>
      <w:r>
        <w:rPr>
          <w:rFonts w:hint="eastAsia" w:ascii="宋体" w:hAnsi="宋体" w:cs="宋体"/>
          <w:color w:val="auto"/>
          <w:kern w:val="0"/>
          <w:sz w:val="24"/>
        </w:rPr>
        <w:t>性别：</w:t>
      </w:r>
      <w:r>
        <w:rPr>
          <w:rFonts w:hint="eastAsia" w:ascii="宋体" w:hAnsi="宋体" w:cs="宋体"/>
          <w:color w:val="auto"/>
          <w:sz w:val="24"/>
          <w:u w:val="single"/>
        </w:rPr>
        <w:t xml:space="preserve">           </w:t>
      </w:r>
      <w:r>
        <w:rPr>
          <w:rFonts w:hint="eastAsia" w:ascii="宋体" w:hAnsi="宋体" w:cs="宋体"/>
          <w:color w:val="auto"/>
          <w:kern w:val="0"/>
          <w:sz w:val="24"/>
        </w:rPr>
        <w:t>年龄：</w:t>
      </w:r>
      <w:r>
        <w:rPr>
          <w:rFonts w:hint="eastAsia" w:ascii="宋体" w:hAnsi="宋体" w:cs="宋体"/>
          <w:color w:val="auto"/>
          <w:sz w:val="24"/>
          <w:u w:val="single"/>
        </w:rPr>
        <w:t xml:space="preserve">            </w:t>
      </w:r>
    </w:p>
    <w:p w14:paraId="4BAD8560">
      <w:pPr>
        <w:spacing w:line="432" w:lineRule="auto"/>
        <w:ind w:firstLine="480" w:firstLineChars="200"/>
        <w:rPr>
          <w:rFonts w:ascii="宋体" w:hAnsi="宋体" w:cs="宋体"/>
          <w:bCs/>
          <w:color w:val="auto"/>
          <w:sz w:val="24"/>
        </w:rPr>
      </w:pPr>
      <w:r>
        <w:rPr>
          <w:rFonts w:hint="eastAsia" w:ascii="宋体" w:hAnsi="宋体" w:cs="宋体"/>
          <w:color w:val="auto"/>
          <w:kern w:val="0"/>
          <w:sz w:val="24"/>
        </w:rPr>
        <w:t>身份证号码：</w:t>
      </w:r>
      <w:r>
        <w:rPr>
          <w:rFonts w:hint="eastAsia" w:ascii="宋体" w:hAnsi="宋体" w:cs="宋体"/>
          <w:color w:val="auto"/>
          <w:sz w:val="24"/>
          <w:u w:val="single"/>
        </w:rPr>
        <w:t xml:space="preserve">                      </w:t>
      </w:r>
      <w:r>
        <w:rPr>
          <w:rFonts w:hint="eastAsia" w:ascii="宋体" w:hAnsi="宋体" w:cs="宋体"/>
          <w:color w:val="auto"/>
          <w:kern w:val="0"/>
          <w:sz w:val="24"/>
        </w:rPr>
        <w:t xml:space="preserve"> 职务：</w:t>
      </w:r>
      <w:r>
        <w:rPr>
          <w:rFonts w:hint="eastAsia" w:ascii="宋体" w:hAnsi="宋体" w:cs="宋体"/>
          <w:color w:val="auto"/>
          <w:sz w:val="24"/>
          <w:u w:val="single"/>
        </w:rPr>
        <w:t xml:space="preserve">             </w:t>
      </w:r>
      <w:r>
        <w:rPr>
          <w:rFonts w:hint="eastAsia" w:ascii="宋体" w:hAnsi="宋体" w:cs="宋体"/>
          <w:bCs/>
          <w:color w:val="auto"/>
          <w:sz w:val="24"/>
        </w:rPr>
        <w:t xml:space="preserve">              </w:t>
      </w:r>
    </w:p>
    <w:p w14:paraId="55D74FC0">
      <w:pPr>
        <w:spacing w:line="432" w:lineRule="auto"/>
        <w:ind w:left="210" w:leftChars="100" w:firstLine="360" w:firstLineChars="150"/>
        <w:rPr>
          <w:rFonts w:ascii="宋体" w:hAnsi="宋体" w:cs="宋体"/>
          <w:bCs/>
          <w:color w:val="auto"/>
          <w:sz w:val="24"/>
        </w:rPr>
      </w:pPr>
      <w:r>
        <w:rPr>
          <w:rFonts w:hint="eastAsia" w:ascii="宋体" w:hAnsi="宋体" w:cs="宋体"/>
          <w:color w:val="auto"/>
          <w:kern w:val="0"/>
          <w:sz w:val="24"/>
        </w:rPr>
        <w:t xml:space="preserve">系 </w:t>
      </w:r>
      <w:r>
        <w:rPr>
          <w:rFonts w:hint="eastAsia" w:ascii="宋体" w:hAnsi="宋体" w:cs="宋体"/>
          <w:bCs/>
          <w:color w:val="auto"/>
          <w:sz w:val="24"/>
        </w:rPr>
        <w:t xml:space="preserve"> </w:t>
      </w:r>
      <w:r>
        <w:rPr>
          <w:rFonts w:hint="eastAsia" w:ascii="宋体" w:hAnsi="宋体" w:cs="宋体"/>
          <w:color w:val="auto"/>
          <w:sz w:val="24"/>
          <w:u w:val="single"/>
        </w:rPr>
        <w:t xml:space="preserve">                         </w:t>
      </w:r>
      <w:r>
        <w:rPr>
          <w:rFonts w:hint="eastAsia" w:ascii="宋体" w:hAnsi="宋体" w:cs="宋体"/>
          <w:color w:val="auto"/>
          <w:kern w:val="0"/>
          <w:sz w:val="24"/>
        </w:rPr>
        <w:t>（供应商名称）的法定代表人（负责人）</w:t>
      </w:r>
      <w:r>
        <w:rPr>
          <w:rFonts w:hint="eastAsia" w:ascii="宋体" w:hAnsi="宋体" w:cs="宋体"/>
          <w:bCs/>
          <w:color w:val="auto"/>
          <w:sz w:val="24"/>
        </w:rPr>
        <w:t>。</w:t>
      </w:r>
    </w:p>
    <w:p w14:paraId="7F63320B">
      <w:pPr>
        <w:spacing w:line="432" w:lineRule="auto"/>
        <w:ind w:firstLine="720" w:firstLineChars="300"/>
        <w:rPr>
          <w:rFonts w:ascii="宋体" w:hAnsi="宋体" w:cs="宋体"/>
          <w:color w:val="auto"/>
          <w:kern w:val="0"/>
          <w:sz w:val="24"/>
        </w:rPr>
      </w:pPr>
      <w:r>
        <w:rPr>
          <w:rFonts w:hint="eastAsia" w:ascii="宋体" w:hAnsi="宋体" w:cs="宋体"/>
          <w:color w:val="auto"/>
          <w:kern w:val="0"/>
          <w:sz w:val="24"/>
        </w:rPr>
        <w:t>特此证明。</w:t>
      </w:r>
    </w:p>
    <w:p w14:paraId="30E880A9">
      <w:pPr>
        <w:pStyle w:val="42"/>
        <w:snapToGrid/>
        <w:spacing w:line="432" w:lineRule="auto"/>
        <w:rPr>
          <w:rFonts w:ascii="宋体" w:hAnsi="宋体" w:cs="宋体"/>
          <w:color w:val="auto"/>
          <w:sz w:val="24"/>
        </w:rPr>
      </w:pPr>
    </w:p>
    <w:p w14:paraId="2E036E9C">
      <w:pPr>
        <w:spacing w:line="432" w:lineRule="auto"/>
        <w:ind w:firstLine="4680" w:firstLineChars="1950"/>
        <w:rPr>
          <w:rFonts w:ascii="宋体" w:hAnsi="宋体" w:cs="宋体"/>
          <w:color w:val="auto"/>
          <w:sz w:val="24"/>
        </w:rPr>
      </w:pPr>
      <w:r>
        <w:rPr>
          <w:rFonts w:hint="eastAsia" w:ascii="宋体" w:hAnsi="宋体" w:cs="宋体"/>
          <w:color w:val="auto"/>
          <w:sz w:val="24"/>
        </w:rPr>
        <w:t>投标人全称：</w:t>
      </w:r>
      <w:r>
        <w:rPr>
          <w:rFonts w:hint="eastAsia" w:ascii="宋体" w:hAnsi="宋体" w:cs="宋体"/>
          <w:color w:val="auto"/>
          <w:sz w:val="24"/>
          <w:u w:val="single"/>
        </w:rPr>
        <w:t xml:space="preserve">                   </w:t>
      </w:r>
      <w:r>
        <w:rPr>
          <w:rFonts w:hint="eastAsia" w:ascii="宋体" w:hAnsi="宋体" w:cs="宋体"/>
          <w:color w:val="auto"/>
          <w:sz w:val="24"/>
        </w:rPr>
        <w:t>（盖公章）</w:t>
      </w:r>
    </w:p>
    <w:p w14:paraId="1012B958">
      <w:pPr>
        <w:spacing w:line="432" w:lineRule="auto"/>
        <w:rPr>
          <w:rFonts w:ascii="宋体" w:hAnsi="宋体" w:cs="宋体"/>
          <w:color w:val="auto"/>
          <w:sz w:val="24"/>
        </w:rPr>
      </w:pPr>
    </w:p>
    <w:p w14:paraId="6F1E13F4">
      <w:pPr>
        <w:spacing w:line="432" w:lineRule="auto"/>
        <w:jc w:val="center"/>
        <w:rPr>
          <w:rFonts w:ascii="宋体" w:hAnsi="宋体" w:cs="宋体"/>
          <w:color w:val="auto"/>
          <w:sz w:val="24"/>
        </w:rPr>
      </w:pPr>
      <w:r>
        <w:rPr>
          <w:rFonts w:hint="eastAsia" w:ascii="宋体" w:hAnsi="宋体" w:cs="宋体"/>
          <w:color w:val="auto"/>
          <w:sz w:val="24"/>
        </w:rPr>
        <w:t xml:space="preserve">                                                年    月    日</w:t>
      </w:r>
    </w:p>
    <w:p w14:paraId="569984B1">
      <w:pPr>
        <w:pStyle w:val="42"/>
        <w:spacing w:line="240" w:lineRule="auto"/>
        <w:rPr>
          <w:rFonts w:ascii="宋体" w:hAnsi="宋体" w:cs="宋体"/>
          <w:color w:val="auto"/>
        </w:rPr>
      </w:pPr>
    </w:p>
    <w:p w14:paraId="38E78739">
      <w:pPr>
        <w:pStyle w:val="56"/>
        <w:ind w:left="0" w:leftChars="0" w:firstLine="0"/>
        <w:rPr>
          <w:rFonts w:ascii="宋体" w:hAnsi="宋体"/>
          <w:b/>
          <w:bCs/>
          <w:color w:val="auto"/>
          <w:sz w:val="24"/>
          <w:szCs w:val="24"/>
        </w:rPr>
      </w:pPr>
      <w:r>
        <w:rPr>
          <w:rFonts w:hint="eastAsia" w:ascii="宋体" w:hAnsi="宋体"/>
          <w:b/>
          <w:bCs/>
          <w:color w:val="auto"/>
          <w:sz w:val="24"/>
          <w:szCs w:val="24"/>
        </w:rPr>
        <w:t>附：法定代表人有效身份证复印件</w:t>
      </w:r>
    </w:p>
    <w:tbl>
      <w:tblPr>
        <w:tblStyle w:val="31"/>
        <w:tblW w:w="9242" w:type="dxa"/>
        <w:jc w:val="center"/>
        <w:shd w:val="clear" w:color="auto" w:fill="FFFFFF" w:themeFill="background1"/>
        <w:tblLayout w:type="fixed"/>
        <w:tblCellMar>
          <w:top w:w="0" w:type="dxa"/>
          <w:left w:w="108" w:type="dxa"/>
          <w:bottom w:w="0" w:type="dxa"/>
          <w:right w:w="108" w:type="dxa"/>
        </w:tblCellMar>
      </w:tblPr>
      <w:tblGrid>
        <w:gridCol w:w="4621"/>
        <w:gridCol w:w="4621"/>
      </w:tblGrid>
      <w:tr w14:paraId="01E2DCA6">
        <w:tblPrEx>
          <w:shd w:val="clear" w:color="auto" w:fill="FFFFFF" w:themeFill="background1"/>
          <w:tblCellMar>
            <w:top w:w="0" w:type="dxa"/>
            <w:left w:w="108" w:type="dxa"/>
            <w:bottom w:w="0" w:type="dxa"/>
            <w:right w:w="108" w:type="dxa"/>
          </w:tblCellMar>
        </w:tblPrEx>
        <w:trPr>
          <w:trHeight w:val="2733" w:hRule="atLeast"/>
          <w:jc w:val="center"/>
        </w:trPr>
        <w:tc>
          <w:tcPr>
            <w:tcW w:w="4621" w:type="dxa"/>
            <w:shd w:val="clear" w:color="auto" w:fill="FFFFFF" w:themeFill="background1"/>
          </w:tcPr>
          <w:p w14:paraId="7833C570">
            <w:pPr>
              <w:pStyle w:val="65"/>
              <w:rPr>
                <w:rFonts w:ascii="宋体" w:hAnsi="宋体" w:cs="宋体"/>
                <w:color w:val="auto"/>
                <w:spacing w:val="20"/>
                <w:szCs w:val="21"/>
              </w:rPr>
            </w:pPr>
          </w:p>
        </w:tc>
        <w:tc>
          <w:tcPr>
            <w:tcW w:w="4621" w:type="dxa"/>
            <w:shd w:val="clear" w:color="auto" w:fill="FFFFFF" w:themeFill="background1"/>
          </w:tcPr>
          <w:p w14:paraId="34F527B8">
            <w:pPr>
              <w:pStyle w:val="65"/>
              <w:rPr>
                <w:rFonts w:ascii="宋体" w:hAnsi="宋体" w:cs="宋体"/>
                <w:color w:val="auto"/>
                <w:spacing w:val="20"/>
                <w:szCs w:val="21"/>
                <w:u w:val="single"/>
              </w:rPr>
            </w:pPr>
          </w:p>
        </w:tc>
      </w:tr>
    </w:tbl>
    <w:p w14:paraId="70A3EBD8">
      <w:pPr>
        <w:pStyle w:val="56"/>
        <w:rPr>
          <w:rFonts w:ascii="宋体" w:hAnsi="宋体"/>
          <w:color w:val="auto"/>
        </w:rPr>
      </w:pPr>
    </w:p>
    <w:p w14:paraId="3FCA4542">
      <w:pPr>
        <w:rPr>
          <w:rFonts w:ascii="宋体" w:hAnsi="宋体" w:cs="宋体"/>
          <w:color w:val="auto"/>
          <w:sz w:val="24"/>
        </w:rPr>
      </w:pPr>
    </w:p>
    <w:p w14:paraId="3589722B">
      <w:pPr>
        <w:pStyle w:val="7"/>
        <w:rPr>
          <w:rFonts w:hAnsi="宋体" w:cs="宋体"/>
          <w:color w:val="auto"/>
          <w:sz w:val="24"/>
        </w:rPr>
      </w:pPr>
    </w:p>
    <w:p w14:paraId="6CF1CF4E">
      <w:pPr>
        <w:pStyle w:val="19"/>
        <w:ind w:left="5250"/>
        <w:rPr>
          <w:rFonts w:ascii="宋体" w:hAnsi="宋体" w:cs="宋体"/>
          <w:color w:val="auto"/>
        </w:rPr>
      </w:pPr>
    </w:p>
    <w:p w14:paraId="162B7F46">
      <w:pPr>
        <w:pStyle w:val="8"/>
        <w:ind w:left="2520"/>
        <w:rPr>
          <w:rFonts w:ascii="宋体" w:hAnsi="宋体" w:cs="宋体"/>
          <w:color w:val="auto"/>
        </w:rPr>
      </w:pPr>
    </w:p>
    <w:p w14:paraId="0229C495">
      <w:pPr>
        <w:pStyle w:val="47"/>
        <w:rPr>
          <w:rFonts w:ascii="宋体" w:hAnsi="宋体"/>
          <w:color w:val="auto"/>
        </w:rPr>
      </w:pPr>
    </w:p>
    <w:p w14:paraId="02EABA68">
      <w:pPr>
        <w:ind w:firstLine="4680" w:firstLineChars="1950"/>
        <w:rPr>
          <w:rFonts w:ascii="宋体" w:hAnsi="宋体" w:cs="宋体"/>
          <w:color w:val="auto"/>
          <w:sz w:val="24"/>
        </w:rPr>
      </w:pPr>
    </w:p>
    <w:p w14:paraId="1A2A861A">
      <w:pPr>
        <w:rPr>
          <w:rFonts w:ascii="宋体" w:hAnsi="宋体" w:cs="宋体"/>
          <w:bCs/>
          <w:color w:val="auto"/>
        </w:rPr>
      </w:pPr>
      <w:r>
        <w:rPr>
          <w:rFonts w:hint="eastAsia" w:ascii="宋体" w:hAnsi="宋体" w:cs="宋体"/>
          <w:bCs/>
          <w:color w:val="auto"/>
        </w:rPr>
        <w:t>附件4 法定代表人（负责人）授权委托书：</w:t>
      </w:r>
    </w:p>
    <w:p w14:paraId="13FC169D">
      <w:pPr>
        <w:rPr>
          <w:rFonts w:ascii="宋体" w:hAnsi="宋体" w:cs="宋体"/>
          <w:bCs/>
          <w:color w:val="auto"/>
        </w:rPr>
      </w:pPr>
    </w:p>
    <w:p w14:paraId="6FF625B6">
      <w:pPr>
        <w:snapToGrid w:val="0"/>
        <w:spacing w:before="50" w:afterLines="100"/>
        <w:jc w:val="center"/>
        <w:rPr>
          <w:rFonts w:ascii="宋体" w:hAnsi="宋体" w:cs="宋体"/>
          <w:b/>
          <w:color w:val="auto"/>
          <w:kern w:val="0"/>
          <w:sz w:val="30"/>
          <w:szCs w:val="30"/>
        </w:rPr>
      </w:pPr>
      <w:r>
        <w:rPr>
          <w:rFonts w:hint="eastAsia" w:ascii="宋体" w:hAnsi="宋体" w:cs="宋体"/>
          <w:b/>
          <w:color w:val="auto"/>
          <w:kern w:val="0"/>
          <w:sz w:val="30"/>
          <w:szCs w:val="30"/>
        </w:rPr>
        <w:t>法定代表人（负责人）授权委托书</w:t>
      </w:r>
    </w:p>
    <w:p w14:paraId="515EBD4E">
      <w:pPr>
        <w:spacing w:line="432" w:lineRule="auto"/>
        <w:rPr>
          <w:rFonts w:ascii="宋体" w:hAnsi="宋体" w:cs="宋体"/>
          <w:color w:val="auto"/>
          <w:sz w:val="24"/>
        </w:rPr>
      </w:pPr>
      <w:r>
        <w:rPr>
          <w:rFonts w:hint="eastAsia" w:ascii="宋体" w:hAnsi="宋体" w:cs="宋体"/>
          <w:color w:val="auto"/>
          <w:sz w:val="24"/>
          <w:u w:val="single"/>
        </w:rPr>
        <w:t>致天台县自然资源和规划局：</w:t>
      </w:r>
    </w:p>
    <w:p w14:paraId="48516EC9">
      <w:pPr>
        <w:snapToGrid w:val="0"/>
        <w:spacing w:beforeLines="50" w:after="50" w:line="432" w:lineRule="auto"/>
        <w:ind w:firstLine="480" w:firstLineChars="200"/>
        <w:rPr>
          <w:rFonts w:ascii="宋体" w:hAnsi="宋体" w:cs="宋体"/>
          <w:color w:val="auto"/>
          <w:sz w:val="24"/>
        </w:rPr>
      </w:pPr>
      <w:r>
        <w:rPr>
          <w:rFonts w:hint="eastAsia" w:ascii="宋体" w:hAnsi="宋体" w:cs="宋体"/>
          <w:color w:val="auto"/>
          <w:sz w:val="24"/>
        </w:rPr>
        <w:t>我</w:t>
      </w:r>
      <w:r>
        <w:rPr>
          <w:rFonts w:hint="eastAsia" w:ascii="宋体" w:hAnsi="宋体" w:cs="宋体"/>
          <w:color w:val="auto"/>
          <w:sz w:val="24"/>
          <w:u w:val="single"/>
        </w:rPr>
        <w:t xml:space="preserve">           </w:t>
      </w:r>
      <w:r>
        <w:rPr>
          <w:rFonts w:hint="eastAsia" w:ascii="宋体" w:hAnsi="宋体" w:cs="宋体"/>
          <w:color w:val="auto"/>
          <w:sz w:val="24"/>
        </w:rPr>
        <w:t>（姓名）系</w:t>
      </w:r>
      <w:r>
        <w:rPr>
          <w:rFonts w:hint="eastAsia" w:ascii="宋体" w:hAnsi="宋体" w:cs="宋体"/>
          <w:color w:val="auto"/>
          <w:sz w:val="24"/>
          <w:u w:val="single"/>
        </w:rPr>
        <w:t xml:space="preserve">                </w:t>
      </w:r>
      <w:r>
        <w:rPr>
          <w:rFonts w:hint="eastAsia" w:ascii="宋体" w:hAnsi="宋体" w:cs="宋体"/>
          <w:color w:val="auto"/>
          <w:sz w:val="24"/>
        </w:rPr>
        <w:t>（供应商名称）的法定代表人（负责人），现授权委托本单位在职职工</w:t>
      </w:r>
      <w:r>
        <w:rPr>
          <w:rFonts w:hint="eastAsia" w:ascii="宋体" w:hAnsi="宋体" w:cs="宋体"/>
          <w:color w:val="auto"/>
          <w:sz w:val="24"/>
          <w:u w:val="single"/>
        </w:rPr>
        <w:t xml:space="preserve">        </w:t>
      </w:r>
      <w:r>
        <w:rPr>
          <w:rFonts w:hint="eastAsia" w:ascii="宋体" w:hAnsi="宋体" w:cs="宋体"/>
          <w:color w:val="auto"/>
          <w:sz w:val="24"/>
        </w:rPr>
        <w:t>（姓名）以我方的名义参加</w:t>
      </w:r>
      <w:r>
        <w:rPr>
          <w:rFonts w:hint="eastAsia" w:ascii="宋体" w:hAnsi="宋体" w:cs="宋体"/>
          <w:color w:val="auto"/>
          <w:sz w:val="24"/>
          <w:u w:val="single"/>
        </w:rPr>
        <w:t xml:space="preserve"> 天台县2025年度补充林地库建设项目 </w:t>
      </w:r>
      <w:r>
        <w:rPr>
          <w:rFonts w:hint="eastAsia" w:ascii="宋体" w:hAnsi="宋体" w:cs="宋体"/>
          <w:color w:val="auto"/>
          <w:sz w:val="24"/>
        </w:rPr>
        <w:t>的投标活动，并代表我方全权办理针对上述项目的投标、开标、评标、签约等具体事务和签署相关文件。</w:t>
      </w:r>
    </w:p>
    <w:p w14:paraId="320C07B8">
      <w:pPr>
        <w:snapToGrid w:val="0"/>
        <w:spacing w:beforeLines="50" w:after="50" w:line="432" w:lineRule="auto"/>
        <w:ind w:firstLine="480" w:firstLineChars="200"/>
        <w:rPr>
          <w:rFonts w:ascii="宋体" w:hAnsi="宋体" w:cs="宋体"/>
          <w:color w:val="auto"/>
          <w:sz w:val="24"/>
        </w:rPr>
      </w:pPr>
      <w:r>
        <w:rPr>
          <w:rFonts w:hint="eastAsia" w:ascii="宋体" w:hAnsi="宋体" w:cs="宋体"/>
          <w:color w:val="auto"/>
          <w:sz w:val="24"/>
        </w:rPr>
        <w:t>我单位承认授权代表做出的与本项目开标活动有关的全部行为。</w:t>
      </w:r>
    </w:p>
    <w:p w14:paraId="317549AA">
      <w:pPr>
        <w:snapToGrid w:val="0"/>
        <w:spacing w:beforeLines="50" w:after="50" w:line="432" w:lineRule="auto"/>
        <w:ind w:firstLine="480" w:firstLineChars="200"/>
        <w:rPr>
          <w:rFonts w:ascii="宋体" w:hAnsi="宋体" w:cs="宋体"/>
          <w:color w:val="auto"/>
          <w:sz w:val="24"/>
        </w:rPr>
      </w:pPr>
      <w:r>
        <w:rPr>
          <w:rFonts w:hint="eastAsia" w:ascii="宋体" w:hAnsi="宋体" w:cs="宋体"/>
          <w:color w:val="auto"/>
          <w:sz w:val="24"/>
        </w:rPr>
        <w:t>本授权书自签署之日起生效，在撤销授权的书面通知送达贵方以前，本授权委托书一直有效。授权代表在授权书有效期内签署的所有文件不因授权的撤销而失效。</w:t>
      </w:r>
    </w:p>
    <w:p w14:paraId="149D583A">
      <w:pPr>
        <w:snapToGrid w:val="0"/>
        <w:spacing w:beforeLines="50" w:after="50" w:line="432" w:lineRule="auto"/>
        <w:ind w:firstLine="480" w:firstLineChars="200"/>
        <w:rPr>
          <w:rFonts w:ascii="宋体" w:hAnsi="宋体" w:cs="宋体"/>
          <w:color w:val="auto"/>
          <w:sz w:val="24"/>
        </w:rPr>
      </w:pPr>
      <w:r>
        <w:rPr>
          <w:rFonts w:hint="eastAsia" w:ascii="宋体" w:hAnsi="宋体" w:cs="宋体"/>
          <w:color w:val="auto"/>
          <w:sz w:val="24"/>
        </w:rPr>
        <w:t>授权代表无转委托权，特此委托。</w:t>
      </w:r>
    </w:p>
    <w:p w14:paraId="40D63678">
      <w:pPr>
        <w:pStyle w:val="13"/>
        <w:spacing w:line="432" w:lineRule="auto"/>
        <w:rPr>
          <w:rFonts w:hAnsi="宋体" w:cs="宋体"/>
          <w:color w:val="auto"/>
        </w:rPr>
      </w:pPr>
    </w:p>
    <w:p w14:paraId="2383457E">
      <w:pPr>
        <w:snapToGrid w:val="0"/>
        <w:spacing w:line="432" w:lineRule="auto"/>
        <w:ind w:firstLine="480" w:firstLineChars="200"/>
        <w:jc w:val="right"/>
        <w:rPr>
          <w:rFonts w:ascii="宋体" w:hAnsi="宋体" w:cs="宋体"/>
          <w:color w:val="auto"/>
          <w:sz w:val="24"/>
        </w:rPr>
      </w:pPr>
      <w:r>
        <w:rPr>
          <w:rFonts w:hint="eastAsia" w:ascii="宋体" w:hAnsi="宋体" w:cs="宋体"/>
          <w:color w:val="auto"/>
          <w:sz w:val="24"/>
        </w:rPr>
        <w:t>供应商全称：</w:t>
      </w:r>
      <w:r>
        <w:rPr>
          <w:rFonts w:hint="eastAsia" w:ascii="宋体" w:hAnsi="宋体" w:cs="宋体"/>
          <w:color w:val="auto"/>
          <w:sz w:val="24"/>
          <w:u w:val="single"/>
        </w:rPr>
        <w:t xml:space="preserve">         </w:t>
      </w:r>
      <w:r>
        <w:rPr>
          <w:rFonts w:hint="eastAsia" w:ascii="宋体" w:hAnsi="宋体" w:cs="宋体"/>
          <w:color w:val="auto"/>
          <w:sz w:val="24"/>
        </w:rPr>
        <w:t>（盖公章）</w:t>
      </w:r>
    </w:p>
    <w:p w14:paraId="224BB43C">
      <w:pPr>
        <w:snapToGrid w:val="0"/>
        <w:spacing w:line="432" w:lineRule="auto"/>
        <w:ind w:firstLine="480" w:firstLineChars="200"/>
        <w:jc w:val="right"/>
        <w:rPr>
          <w:rFonts w:ascii="宋体" w:hAnsi="宋体" w:cs="宋体"/>
          <w:color w:val="auto"/>
          <w:sz w:val="24"/>
        </w:rPr>
      </w:pPr>
      <w:r>
        <w:rPr>
          <w:rFonts w:hint="eastAsia" w:ascii="宋体" w:hAnsi="宋体" w:cs="宋体"/>
          <w:color w:val="auto"/>
          <w:sz w:val="24"/>
        </w:rPr>
        <w:t>法定代表人（负责人）：</w:t>
      </w:r>
      <w:r>
        <w:rPr>
          <w:rFonts w:hint="eastAsia" w:ascii="宋体" w:hAnsi="宋体" w:cs="宋体"/>
          <w:color w:val="auto"/>
          <w:sz w:val="24"/>
          <w:u w:val="single"/>
        </w:rPr>
        <w:t xml:space="preserve">         </w:t>
      </w:r>
      <w:r>
        <w:rPr>
          <w:rFonts w:hint="eastAsia" w:ascii="宋体" w:hAnsi="宋体" w:cs="宋体"/>
          <w:color w:val="auto"/>
          <w:sz w:val="24"/>
        </w:rPr>
        <w:t>（签字或盖章）</w:t>
      </w:r>
    </w:p>
    <w:p w14:paraId="3D45FDF3">
      <w:pPr>
        <w:snapToGrid w:val="0"/>
        <w:spacing w:line="432" w:lineRule="auto"/>
        <w:ind w:firstLine="480" w:firstLineChars="200"/>
        <w:jc w:val="right"/>
        <w:rPr>
          <w:rFonts w:ascii="宋体" w:hAnsi="宋体" w:cs="宋体"/>
          <w:bCs/>
          <w:color w:val="auto"/>
          <w:sz w:val="24"/>
        </w:rPr>
      </w:pPr>
      <w:r>
        <w:rPr>
          <w:rFonts w:hint="eastAsia" w:ascii="宋体" w:hAnsi="宋体" w:cs="宋体"/>
          <w:color w:val="auto"/>
          <w:sz w:val="24"/>
        </w:rPr>
        <w:t>日期：  年 月 日</w:t>
      </w:r>
    </w:p>
    <w:p w14:paraId="3B88B156">
      <w:pPr>
        <w:snapToGrid w:val="0"/>
        <w:spacing w:beforeLines="50" w:after="50"/>
        <w:ind w:firstLine="480" w:firstLineChars="200"/>
        <w:rPr>
          <w:rFonts w:ascii="宋体" w:hAnsi="宋体" w:cs="宋体"/>
          <w:color w:val="auto"/>
          <w:sz w:val="24"/>
        </w:rPr>
      </w:pPr>
    </w:p>
    <w:p w14:paraId="692299C4">
      <w:pPr>
        <w:snapToGrid w:val="0"/>
        <w:spacing w:beforeLines="50" w:after="50"/>
        <w:ind w:firstLine="480" w:firstLineChars="200"/>
        <w:rPr>
          <w:rFonts w:ascii="宋体" w:hAnsi="宋体" w:cs="宋体"/>
          <w:color w:val="auto"/>
          <w:sz w:val="24"/>
        </w:rPr>
      </w:pPr>
      <w:r>
        <w:rPr>
          <w:rFonts w:hint="eastAsia" w:ascii="宋体" w:hAnsi="宋体" w:cs="宋体"/>
          <w:color w:val="auto"/>
          <w:sz w:val="24"/>
        </w:rPr>
        <w:t>附：1、授权代表姓名：</w:t>
      </w:r>
      <w:r>
        <w:rPr>
          <w:rFonts w:hint="eastAsia" w:ascii="宋体" w:hAnsi="宋体" w:cs="宋体"/>
          <w:color w:val="auto"/>
          <w:sz w:val="24"/>
          <w:u w:val="single"/>
        </w:rPr>
        <w:tab/>
      </w:r>
      <w:r>
        <w:rPr>
          <w:rFonts w:hint="eastAsia" w:ascii="宋体" w:hAnsi="宋体" w:cs="宋体"/>
          <w:color w:val="auto"/>
          <w:sz w:val="24"/>
          <w:u w:val="single"/>
        </w:rPr>
        <w:tab/>
      </w:r>
      <w:r>
        <w:rPr>
          <w:rFonts w:hint="eastAsia" w:ascii="宋体" w:hAnsi="宋体" w:cs="宋体"/>
          <w:color w:val="auto"/>
          <w:sz w:val="24"/>
          <w:u w:val="single"/>
        </w:rPr>
        <w:tab/>
      </w:r>
      <w:r>
        <w:rPr>
          <w:rFonts w:hint="eastAsia" w:ascii="宋体" w:hAnsi="宋体" w:cs="宋体"/>
          <w:color w:val="auto"/>
          <w:sz w:val="24"/>
          <w:u w:val="single"/>
        </w:rPr>
        <w:tab/>
      </w:r>
      <w:r>
        <w:rPr>
          <w:rFonts w:hint="eastAsia" w:ascii="宋体" w:hAnsi="宋体" w:cs="宋体"/>
          <w:color w:val="auto"/>
          <w:sz w:val="24"/>
          <w:u w:val="single"/>
        </w:rPr>
        <w:tab/>
      </w:r>
      <w:r>
        <w:rPr>
          <w:rFonts w:hint="eastAsia" w:ascii="宋体" w:hAnsi="宋体" w:cs="宋体"/>
          <w:color w:val="auto"/>
          <w:sz w:val="24"/>
          <w:u w:val="single"/>
        </w:rPr>
        <w:t xml:space="preserve">   </w:t>
      </w:r>
      <w:r>
        <w:rPr>
          <w:rFonts w:hint="eastAsia" w:ascii="宋体" w:hAnsi="宋体" w:cs="宋体"/>
          <w:color w:val="auto"/>
          <w:sz w:val="24"/>
        </w:rPr>
        <w:t xml:space="preserve">  身份证号码：</w:t>
      </w:r>
      <w:r>
        <w:rPr>
          <w:rFonts w:hint="eastAsia" w:ascii="宋体" w:hAnsi="宋体" w:cs="宋体"/>
          <w:color w:val="auto"/>
          <w:sz w:val="24"/>
          <w:u w:val="single"/>
        </w:rPr>
        <w:tab/>
      </w:r>
      <w:r>
        <w:rPr>
          <w:rFonts w:hint="eastAsia" w:ascii="宋体" w:hAnsi="宋体" w:cs="宋体"/>
          <w:color w:val="auto"/>
          <w:sz w:val="24"/>
          <w:u w:val="single"/>
        </w:rPr>
        <w:tab/>
      </w:r>
      <w:r>
        <w:rPr>
          <w:rFonts w:hint="eastAsia" w:ascii="宋体" w:hAnsi="宋体" w:cs="宋体"/>
          <w:color w:val="auto"/>
          <w:sz w:val="24"/>
          <w:u w:val="single"/>
        </w:rPr>
        <w:tab/>
      </w:r>
      <w:r>
        <w:rPr>
          <w:rFonts w:hint="eastAsia" w:ascii="宋体" w:hAnsi="宋体" w:cs="宋体"/>
          <w:color w:val="auto"/>
          <w:sz w:val="24"/>
          <w:u w:val="single"/>
        </w:rPr>
        <w:tab/>
      </w:r>
      <w:r>
        <w:rPr>
          <w:rFonts w:hint="eastAsia" w:ascii="宋体" w:hAnsi="宋体" w:cs="宋体"/>
          <w:color w:val="auto"/>
          <w:sz w:val="24"/>
          <w:u w:val="single"/>
        </w:rPr>
        <w:tab/>
      </w:r>
      <w:r>
        <w:rPr>
          <w:rFonts w:hint="eastAsia" w:ascii="宋体" w:hAnsi="宋体" w:cs="宋体"/>
          <w:color w:val="auto"/>
          <w:sz w:val="24"/>
          <w:u w:val="single"/>
        </w:rPr>
        <w:t xml:space="preserve">   </w:t>
      </w:r>
      <w:r>
        <w:rPr>
          <w:rFonts w:hint="eastAsia" w:ascii="宋体" w:hAnsi="宋体" w:cs="宋体"/>
          <w:color w:val="auto"/>
          <w:sz w:val="24"/>
        </w:rPr>
        <w:tab/>
      </w:r>
    </w:p>
    <w:p w14:paraId="6420893F">
      <w:pPr>
        <w:snapToGrid w:val="0"/>
        <w:spacing w:beforeLines="50" w:after="50"/>
        <w:ind w:firstLine="480" w:firstLineChars="200"/>
        <w:rPr>
          <w:rFonts w:ascii="宋体" w:hAnsi="宋体" w:cs="宋体"/>
          <w:color w:val="auto"/>
          <w:sz w:val="24"/>
        </w:rPr>
      </w:pPr>
      <w:r>
        <w:rPr>
          <w:rFonts w:hint="eastAsia" w:ascii="宋体" w:hAnsi="宋体" w:cs="宋体"/>
          <w:color w:val="auto"/>
          <w:sz w:val="24"/>
        </w:rPr>
        <w:t xml:space="preserve">             联系电话：</w:t>
      </w:r>
      <w:r>
        <w:rPr>
          <w:rFonts w:hint="eastAsia" w:ascii="宋体" w:hAnsi="宋体" w:cs="宋体"/>
          <w:color w:val="auto"/>
          <w:sz w:val="24"/>
          <w:u w:val="single"/>
        </w:rPr>
        <w:tab/>
      </w:r>
      <w:r>
        <w:rPr>
          <w:rFonts w:hint="eastAsia" w:ascii="宋体" w:hAnsi="宋体" w:cs="宋体"/>
          <w:color w:val="auto"/>
          <w:sz w:val="24"/>
          <w:u w:val="single"/>
        </w:rPr>
        <w:tab/>
      </w:r>
      <w:r>
        <w:rPr>
          <w:rFonts w:hint="eastAsia" w:ascii="宋体" w:hAnsi="宋体" w:cs="宋体"/>
          <w:color w:val="auto"/>
          <w:sz w:val="24"/>
          <w:u w:val="single"/>
        </w:rPr>
        <w:tab/>
      </w:r>
      <w:r>
        <w:rPr>
          <w:rFonts w:hint="eastAsia" w:ascii="宋体" w:hAnsi="宋体" w:cs="宋体"/>
          <w:color w:val="auto"/>
          <w:sz w:val="24"/>
          <w:u w:val="single"/>
        </w:rPr>
        <w:tab/>
      </w:r>
      <w:r>
        <w:rPr>
          <w:rFonts w:hint="eastAsia" w:ascii="宋体" w:hAnsi="宋体" w:cs="宋体"/>
          <w:color w:val="auto"/>
          <w:sz w:val="24"/>
          <w:u w:val="single"/>
        </w:rPr>
        <w:tab/>
      </w:r>
      <w:r>
        <w:rPr>
          <w:rFonts w:hint="eastAsia" w:ascii="宋体" w:hAnsi="宋体" w:cs="宋体"/>
          <w:color w:val="auto"/>
          <w:sz w:val="24"/>
          <w:u w:val="single"/>
        </w:rPr>
        <w:t xml:space="preserve">   </w:t>
      </w:r>
      <w:r>
        <w:rPr>
          <w:rFonts w:hint="eastAsia" w:ascii="宋体" w:hAnsi="宋体" w:cs="宋体"/>
          <w:color w:val="auto"/>
          <w:sz w:val="24"/>
        </w:rPr>
        <w:tab/>
      </w:r>
      <w:r>
        <w:rPr>
          <w:rFonts w:hint="eastAsia" w:ascii="宋体" w:hAnsi="宋体" w:cs="宋体"/>
          <w:color w:val="auto"/>
          <w:sz w:val="24"/>
        </w:rPr>
        <w:t xml:space="preserve">  电子邮箱：</w:t>
      </w:r>
      <w:r>
        <w:rPr>
          <w:rFonts w:hint="eastAsia" w:ascii="宋体" w:hAnsi="宋体" w:cs="宋体"/>
          <w:color w:val="auto"/>
          <w:sz w:val="24"/>
          <w:u w:val="single"/>
        </w:rPr>
        <w:tab/>
      </w:r>
      <w:r>
        <w:rPr>
          <w:rFonts w:hint="eastAsia" w:ascii="宋体" w:hAnsi="宋体" w:cs="宋体"/>
          <w:color w:val="auto"/>
          <w:sz w:val="24"/>
          <w:u w:val="single"/>
        </w:rPr>
        <w:tab/>
      </w:r>
      <w:r>
        <w:rPr>
          <w:rFonts w:hint="eastAsia" w:ascii="宋体" w:hAnsi="宋体" w:cs="宋体"/>
          <w:color w:val="auto"/>
          <w:sz w:val="24"/>
          <w:u w:val="single"/>
        </w:rPr>
        <w:tab/>
      </w:r>
      <w:r>
        <w:rPr>
          <w:rFonts w:hint="eastAsia" w:ascii="宋体" w:hAnsi="宋体" w:cs="宋体"/>
          <w:color w:val="auto"/>
          <w:sz w:val="24"/>
          <w:u w:val="single"/>
        </w:rPr>
        <w:tab/>
      </w:r>
      <w:r>
        <w:rPr>
          <w:rFonts w:hint="eastAsia" w:ascii="宋体" w:hAnsi="宋体" w:cs="宋体"/>
          <w:color w:val="auto"/>
          <w:sz w:val="24"/>
          <w:u w:val="single"/>
        </w:rPr>
        <w:tab/>
      </w:r>
      <w:r>
        <w:rPr>
          <w:rFonts w:hint="eastAsia" w:ascii="宋体" w:hAnsi="宋体" w:cs="宋体"/>
          <w:color w:val="auto"/>
          <w:sz w:val="24"/>
          <w:u w:val="single"/>
        </w:rPr>
        <w:t xml:space="preserve">   </w:t>
      </w:r>
      <w:r>
        <w:rPr>
          <w:rFonts w:hint="eastAsia" w:ascii="宋体" w:hAnsi="宋体" w:cs="宋体"/>
          <w:color w:val="auto"/>
          <w:sz w:val="24"/>
        </w:rPr>
        <w:tab/>
      </w:r>
    </w:p>
    <w:p w14:paraId="46DC3981">
      <w:pPr>
        <w:snapToGrid w:val="0"/>
        <w:spacing w:beforeLines="50" w:after="50"/>
        <w:ind w:firstLine="964" w:firstLineChars="400"/>
        <w:rPr>
          <w:rFonts w:ascii="宋体" w:hAnsi="宋体" w:cs="宋体"/>
          <w:b/>
          <w:bCs/>
          <w:color w:val="auto"/>
          <w:sz w:val="24"/>
        </w:rPr>
      </w:pPr>
      <w:r>
        <w:rPr>
          <w:rFonts w:hint="eastAsia" w:ascii="宋体" w:hAnsi="宋体" w:cs="宋体"/>
          <w:b/>
          <w:bCs/>
          <w:color w:val="auto"/>
          <w:sz w:val="24"/>
        </w:rPr>
        <w:t>2、授权代表有效身份证复印件：</w:t>
      </w:r>
    </w:p>
    <w:tbl>
      <w:tblPr>
        <w:tblStyle w:val="31"/>
        <w:tblW w:w="9242" w:type="dxa"/>
        <w:jc w:val="center"/>
        <w:tblLayout w:type="fixed"/>
        <w:tblCellMar>
          <w:top w:w="0" w:type="dxa"/>
          <w:left w:w="108" w:type="dxa"/>
          <w:bottom w:w="0" w:type="dxa"/>
          <w:right w:w="108" w:type="dxa"/>
        </w:tblCellMar>
      </w:tblPr>
      <w:tblGrid>
        <w:gridCol w:w="4621"/>
        <w:gridCol w:w="4621"/>
      </w:tblGrid>
      <w:tr w14:paraId="1901890A">
        <w:tblPrEx>
          <w:tblCellMar>
            <w:top w:w="0" w:type="dxa"/>
            <w:left w:w="108" w:type="dxa"/>
            <w:bottom w:w="0" w:type="dxa"/>
            <w:right w:w="108" w:type="dxa"/>
          </w:tblCellMar>
        </w:tblPrEx>
        <w:trPr>
          <w:trHeight w:val="2733" w:hRule="atLeast"/>
          <w:jc w:val="center"/>
        </w:trPr>
        <w:tc>
          <w:tcPr>
            <w:tcW w:w="4621" w:type="dxa"/>
            <w:shd w:val="clear" w:color="auto" w:fill="FFFFFF" w:themeFill="background1"/>
          </w:tcPr>
          <w:p w14:paraId="7FFD9B48">
            <w:pPr>
              <w:pStyle w:val="65"/>
              <w:rPr>
                <w:rFonts w:ascii="宋体" w:hAnsi="宋体" w:cs="宋体"/>
                <w:color w:val="auto"/>
                <w:spacing w:val="20"/>
                <w:sz w:val="24"/>
              </w:rPr>
            </w:pPr>
          </w:p>
        </w:tc>
        <w:tc>
          <w:tcPr>
            <w:tcW w:w="4621" w:type="dxa"/>
            <w:shd w:val="clear" w:color="auto" w:fill="FFFFFF" w:themeFill="background1"/>
          </w:tcPr>
          <w:p w14:paraId="1C695B24">
            <w:pPr>
              <w:pStyle w:val="65"/>
              <w:rPr>
                <w:rFonts w:ascii="宋体" w:hAnsi="宋体" w:cs="宋体"/>
                <w:color w:val="auto"/>
                <w:spacing w:val="20"/>
                <w:sz w:val="24"/>
                <w:u w:val="single"/>
              </w:rPr>
            </w:pPr>
          </w:p>
        </w:tc>
      </w:tr>
    </w:tbl>
    <w:p w14:paraId="1F2788A4">
      <w:pPr>
        <w:snapToGrid w:val="0"/>
        <w:spacing w:beforeLines="50" w:after="50"/>
        <w:ind w:firstLine="420" w:firstLineChars="200"/>
        <w:rPr>
          <w:rFonts w:ascii="宋体" w:hAnsi="宋体" w:cs="宋体"/>
          <w:color w:val="auto"/>
          <w:szCs w:val="21"/>
        </w:rPr>
      </w:pPr>
    </w:p>
    <w:p w14:paraId="30E33362">
      <w:pPr>
        <w:rPr>
          <w:rFonts w:ascii="宋体" w:hAnsi="宋体" w:cs="宋体"/>
          <w:color w:val="auto"/>
          <w:szCs w:val="21"/>
        </w:rPr>
      </w:pPr>
      <w:r>
        <w:rPr>
          <w:rFonts w:hint="eastAsia" w:ascii="宋体" w:hAnsi="宋体" w:cs="宋体"/>
          <w:color w:val="auto"/>
          <w:szCs w:val="21"/>
        </w:rPr>
        <w:t>附件5 投标供应商参与政府采购活动投标资格声明函：</w:t>
      </w:r>
    </w:p>
    <w:p w14:paraId="55DFE4B7">
      <w:pPr>
        <w:rPr>
          <w:rFonts w:ascii="宋体" w:hAnsi="宋体" w:cs="宋体"/>
          <w:color w:val="auto"/>
        </w:rPr>
      </w:pPr>
    </w:p>
    <w:p w14:paraId="298E2331">
      <w:pPr>
        <w:snapToGrid w:val="0"/>
        <w:spacing w:before="50" w:afterLines="50"/>
        <w:jc w:val="center"/>
        <w:rPr>
          <w:rFonts w:ascii="宋体" w:hAnsi="宋体" w:cs="宋体"/>
          <w:b/>
          <w:color w:val="auto"/>
          <w:kern w:val="0"/>
          <w:sz w:val="30"/>
          <w:szCs w:val="30"/>
          <w:lang w:val="zh-CN"/>
        </w:rPr>
      </w:pPr>
      <w:r>
        <w:rPr>
          <w:rFonts w:hint="eastAsia" w:ascii="宋体" w:hAnsi="宋体" w:cs="宋体"/>
          <w:b/>
          <w:color w:val="auto"/>
          <w:kern w:val="0"/>
          <w:sz w:val="30"/>
          <w:szCs w:val="30"/>
          <w:lang w:val="zh-CN"/>
        </w:rPr>
        <w:t>投标供应商参与政府采购活动投标资格声明函</w:t>
      </w:r>
    </w:p>
    <w:tbl>
      <w:tblPr>
        <w:tblStyle w:val="31"/>
        <w:tblW w:w="961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2"/>
      </w:tblGrid>
      <w:tr w14:paraId="4569B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0" w:hRule="atLeast"/>
        </w:trPr>
        <w:tc>
          <w:tcPr>
            <w:tcW w:w="9612" w:type="dxa"/>
          </w:tcPr>
          <w:p w14:paraId="1CBB1EB6">
            <w:pPr>
              <w:tabs>
                <w:tab w:val="center" w:pos="4698"/>
              </w:tabs>
              <w:spacing w:beforeLines="150" w:afterLines="50" w:line="288" w:lineRule="auto"/>
              <w:rPr>
                <w:rFonts w:ascii="宋体" w:hAnsi="宋体" w:cs="宋体"/>
                <w:color w:val="auto"/>
                <w:sz w:val="24"/>
              </w:rPr>
            </w:pPr>
            <w:r>
              <w:rPr>
                <w:rFonts w:hint="eastAsia" w:ascii="宋体" w:hAnsi="宋体" w:cs="宋体"/>
                <w:color w:val="auto"/>
                <w:sz w:val="24"/>
              </w:rPr>
              <w:t>致</w:t>
            </w:r>
            <w:r>
              <w:rPr>
                <w:rFonts w:hint="eastAsia" w:ascii="宋体" w:hAnsi="宋体" w:cs="宋体"/>
                <w:color w:val="auto"/>
                <w:sz w:val="24"/>
                <w:u w:val="single"/>
              </w:rPr>
              <w:t>天台县自然资源和规划局</w:t>
            </w:r>
            <w:r>
              <w:rPr>
                <w:rFonts w:hint="eastAsia" w:ascii="宋体" w:hAnsi="宋体" w:cs="宋体"/>
                <w:color w:val="auto"/>
                <w:sz w:val="24"/>
              </w:rPr>
              <w:t>：</w:t>
            </w:r>
            <w:r>
              <w:rPr>
                <w:rFonts w:hint="eastAsia" w:ascii="宋体" w:hAnsi="宋体" w:cs="宋体"/>
                <w:color w:val="auto"/>
                <w:sz w:val="24"/>
              </w:rPr>
              <w:tab/>
            </w:r>
          </w:p>
          <w:p w14:paraId="60C1EEC3">
            <w:pPr>
              <w:pStyle w:val="19"/>
              <w:spacing w:beforeLines="50" w:afterLines="50"/>
              <w:ind w:left="0" w:leftChars="0" w:firstLine="481"/>
              <w:rPr>
                <w:rFonts w:ascii="宋体" w:hAnsi="宋体" w:cs="宋体"/>
                <w:color w:val="auto"/>
                <w:sz w:val="24"/>
              </w:rPr>
            </w:pPr>
            <w:r>
              <w:rPr>
                <w:rFonts w:hint="eastAsia" w:ascii="宋体" w:hAnsi="宋体" w:cs="宋体"/>
                <w:color w:val="auto"/>
                <w:sz w:val="24"/>
              </w:rPr>
              <w:t>我单位（联合体）参与</w:t>
            </w:r>
            <w:r>
              <w:rPr>
                <w:rFonts w:hint="eastAsia" w:ascii="宋体" w:hAnsi="宋体" w:cs="宋体"/>
                <w:color w:val="auto"/>
                <w:sz w:val="24"/>
                <w:u w:val="single"/>
              </w:rPr>
              <w:t xml:space="preserve"> </w:t>
            </w:r>
            <w:r>
              <w:rPr>
                <w:rFonts w:hint="eastAsia" w:ascii="宋体" w:hAnsi="宋体" w:cs="宋体"/>
                <w:color w:val="auto"/>
                <w:kern w:val="0"/>
                <w:sz w:val="24"/>
                <w:u w:val="single"/>
              </w:rPr>
              <w:t xml:space="preserve">天台县2025年度补充林地库建设项目 [采购项目编号:TCCG-2025-Z070] </w:t>
            </w:r>
            <w:r>
              <w:rPr>
                <w:rFonts w:hint="eastAsia" w:ascii="宋体" w:hAnsi="宋体" w:cs="宋体"/>
                <w:color w:val="auto"/>
                <w:sz w:val="24"/>
              </w:rPr>
              <w:t>的政府采购活动，在此郑重承诺：</w:t>
            </w:r>
          </w:p>
          <w:p w14:paraId="26D24633">
            <w:pPr>
              <w:pStyle w:val="19"/>
              <w:spacing w:beforeLines="50" w:afterLines="50"/>
              <w:ind w:left="0" w:leftChars="0" w:firstLine="240" w:firstLineChars="100"/>
              <w:rPr>
                <w:rFonts w:ascii="宋体" w:hAnsi="宋体" w:cs="宋体"/>
                <w:color w:val="auto"/>
                <w:sz w:val="24"/>
              </w:rPr>
            </w:pPr>
            <w:r>
              <w:rPr>
                <w:rFonts w:hint="eastAsia" w:ascii="宋体" w:hAnsi="宋体" w:cs="宋体"/>
                <w:color w:val="auto"/>
                <w:sz w:val="24"/>
              </w:rPr>
              <w:t>（一）我单位（联合体）已具备《中华人民共和国政府采购法》第二十二条规定的条件：</w:t>
            </w:r>
          </w:p>
          <w:p w14:paraId="1BDF7DB5">
            <w:pPr>
              <w:pStyle w:val="19"/>
              <w:spacing w:beforeLines="50" w:afterLines="50"/>
              <w:ind w:left="0" w:leftChars="0" w:firstLine="481"/>
              <w:rPr>
                <w:rFonts w:ascii="宋体" w:hAnsi="宋体" w:cs="宋体"/>
                <w:color w:val="auto"/>
                <w:sz w:val="24"/>
              </w:rPr>
            </w:pPr>
            <w:r>
              <w:rPr>
                <w:rFonts w:hint="eastAsia" w:ascii="宋体" w:hAnsi="宋体" w:cs="宋体"/>
                <w:color w:val="auto"/>
                <w:sz w:val="24"/>
              </w:rPr>
              <w:t>1、具有独立承担民事责任的能力；</w:t>
            </w:r>
          </w:p>
          <w:p w14:paraId="67D02C58">
            <w:pPr>
              <w:pStyle w:val="19"/>
              <w:spacing w:beforeLines="50" w:afterLines="50"/>
              <w:ind w:left="0" w:leftChars="0" w:firstLine="481"/>
              <w:rPr>
                <w:rFonts w:ascii="宋体" w:hAnsi="宋体" w:cs="宋体"/>
                <w:color w:val="auto"/>
                <w:sz w:val="24"/>
              </w:rPr>
            </w:pPr>
            <w:r>
              <w:rPr>
                <w:rFonts w:hint="eastAsia" w:ascii="宋体" w:hAnsi="宋体" w:cs="宋体"/>
                <w:color w:val="auto"/>
                <w:sz w:val="24"/>
              </w:rPr>
              <w:t xml:space="preserve">2、具有良好的商业信誉和健全的财务会计制度； </w:t>
            </w:r>
          </w:p>
          <w:p w14:paraId="4C1BF691">
            <w:pPr>
              <w:pStyle w:val="19"/>
              <w:spacing w:beforeLines="50" w:afterLines="50"/>
              <w:ind w:left="0" w:leftChars="0" w:firstLine="481"/>
              <w:rPr>
                <w:rFonts w:ascii="宋体" w:hAnsi="宋体" w:cs="宋体"/>
                <w:color w:val="auto"/>
                <w:sz w:val="24"/>
              </w:rPr>
            </w:pPr>
            <w:r>
              <w:rPr>
                <w:rFonts w:hint="eastAsia" w:ascii="宋体" w:hAnsi="宋体" w:cs="宋体"/>
                <w:color w:val="auto"/>
                <w:sz w:val="24"/>
              </w:rPr>
              <w:t>3、具有履行合同所必需的设备和专业技术能力；</w:t>
            </w:r>
          </w:p>
          <w:p w14:paraId="6F4187C4">
            <w:pPr>
              <w:pStyle w:val="19"/>
              <w:spacing w:beforeLines="50" w:afterLines="50"/>
              <w:ind w:left="0" w:leftChars="0" w:firstLine="481"/>
              <w:rPr>
                <w:rFonts w:ascii="宋体" w:hAnsi="宋体" w:cs="宋体"/>
                <w:color w:val="auto"/>
                <w:sz w:val="24"/>
              </w:rPr>
            </w:pPr>
            <w:r>
              <w:rPr>
                <w:rFonts w:hint="eastAsia" w:ascii="宋体" w:hAnsi="宋体" w:cs="宋体"/>
                <w:color w:val="auto"/>
                <w:sz w:val="24"/>
              </w:rPr>
              <w:t>4、有依法缴纳税收和社会保障资金的良好记录；</w:t>
            </w:r>
          </w:p>
          <w:p w14:paraId="3C66FA7B">
            <w:pPr>
              <w:pStyle w:val="19"/>
              <w:spacing w:beforeLines="50" w:afterLines="50"/>
              <w:ind w:left="0" w:leftChars="0" w:firstLine="481"/>
              <w:rPr>
                <w:rFonts w:ascii="宋体" w:hAnsi="宋体" w:cs="宋体"/>
                <w:color w:val="auto"/>
                <w:sz w:val="24"/>
              </w:rPr>
            </w:pPr>
            <w:r>
              <w:rPr>
                <w:rFonts w:hint="eastAsia" w:ascii="宋体" w:hAnsi="宋体" w:cs="宋体"/>
                <w:color w:val="auto"/>
                <w:sz w:val="24"/>
              </w:rPr>
              <w:t>5、参加政府采购活动前三年内，在经营活动中没有重大违法记录；</w:t>
            </w:r>
          </w:p>
          <w:p w14:paraId="2033B146">
            <w:pPr>
              <w:pStyle w:val="19"/>
              <w:spacing w:beforeLines="50" w:afterLines="50"/>
              <w:ind w:left="0" w:leftChars="0" w:firstLine="481"/>
              <w:rPr>
                <w:rFonts w:ascii="宋体" w:hAnsi="宋体" w:cs="宋体"/>
                <w:color w:val="auto"/>
                <w:sz w:val="24"/>
              </w:rPr>
            </w:pPr>
            <w:r>
              <w:rPr>
                <w:rFonts w:hint="eastAsia" w:ascii="宋体" w:hAnsi="宋体" w:cs="宋体"/>
                <w:color w:val="auto"/>
                <w:sz w:val="24"/>
              </w:rPr>
              <w:t>6、具有法律、行政法规规定的其他条件。</w:t>
            </w:r>
          </w:p>
          <w:p w14:paraId="203CC113">
            <w:pPr>
              <w:pStyle w:val="19"/>
              <w:spacing w:beforeLines="50" w:afterLines="50"/>
              <w:ind w:left="0" w:leftChars="0" w:firstLine="240" w:firstLineChars="100"/>
              <w:rPr>
                <w:rFonts w:ascii="宋体" w:hAnsi="宋体" w:cs="宋体"/>
                <w:color w:val="auto"/>
                <w:sz w:val="24"/>
              </w:rPr>
            </w:pPr>
            <w:r>
              <w:rPr>
                <w:rFonts w:hint="eastAsia" w:ascii="宋体" w:hAnsi="宋体" w:cs="宋体"/>
                <w:color w:val="auto"/>
                <w:sz w:val="24"/>
              </w:rPr>
              <w:t>（二）我单位（联合体）未被信用中国（www.creditchina.gov.cn)、中国政府采购网（www.ccgp.gov.cn）列入失信被执行人、重大税收违法案件当事人名单、政府采购严重违法失信行为记录名单。</w:t>
            </w:r>
            <w:r>
              <w:rPr>
                <w:rFonts w:hint="eastAsia" w:ascii="宋体" w:hAnsi="宋体" w:cs="宋体"/>
                <w:color w:val="auto"/>
                <w:sz w:val="24"/>
                <w:u w:val="single"/>
              </w:rPr>
              <w:t>我方认可采购组织机构在资格审查时对上述网站的信用信息记录的查询结果。</w:t>
            </w:r>
          </w:p>
          <w:p w14:paraId="296513E6">
            <w:pPr>
              <w:pStyle w:val="19"/>
              <w:spacing w:beforeLines="50" w:afterLines="50"/>
              <w:ind w:left="0" w:leftChars="0" w:firstLine="240" w:firstLineChars="100"/>
              <w:rPr>
                <w:rFonts w:ascii="宋体" w:hAnsi="宋体" w:cs="宋体"/>
                <w:color w:val="auto"/>
                <w:sz w:val="24"/>
              </w:rPr>
            </w:pPr>
            <w:r>
              <w:rPr>
                <w:rFonts w:hint="eastAsia" w:ascii="宋体" w:hAnsi="宋体" w:cs="宋体"/>
                <w:color w:val="auto"/>
                <w:sz w:val="24"/>
              </w:rPr>
              <w:t>（三）我单位（联合体）已满足本项目落实政府采购政策所需的资格要求以及特定资格要求。</w:t>
            </w:r>
          </w:p>
          <w:p w14:paraId="33CB2A45">
            <w:pPr>
              <w:pStyle w:val="19"/>
              <w:spacing w:beforeLines="50" w:afterLines="50"/>
              <w:ind w:left="0" w:leftChars="0" w:firstLine="240" w:firstLineChars="100"/>
              <w:rPr>
                <w:rFonts w:ascii="宋体" w:hAnsi="宋体" w:cs="宋体"/>
                <w:color w:val="auto"/>
                <w:sz w:val="24"/>
              </w:rPr>
            </w:pPr>
            <w:r>
              <w:rPr>
                <w:rFonts w:hint="eastAsia" w:ascii="宋体" w:hAnsi="宋体" w:cs="宋体"/>
                <w:color w:val="auto"/>
                <w:sz w:val="24"/>
              </w:rPr>
              <w:t>（四）我单位（联合体）不存在以下情况：</w:t>
            </w:r>
          </w:p>
          <w:p w14:paraId="5FE2B3EE">
            <w:pPr>
              <w:pStyle w:val="19"/>
              <w:spacing w:beforeLines="50" w:afterLines="50"/>
              <w:ind w:left="0" w:leftChars="0" w:firstLine="480" w:firstLineChars="200"/>
              <w:rPr>
                <w:rFonts w:ascii="宋体" w:hAnsi="宋体" w:cs="宋体"/>
                <w:color w:val="auto"/>
                <w:sz w:val="24"/>
              </w:rPr>
            </w:pPr>
            <w:r>
              <w:rPr>
                <w:rFonts w:hint="eastAsia" w:ascii="宋体" w:hAnsi="宋体" w:cs="宋体"/>
                <w:color w:val="auto"/>
                <w:sz w:val="24"/>
              </w:rPr>
              <w:t>1、是采购人的附属机构（单位），在获知本项目采购信息后，与采购人聘请的为此项目提供咨询服务的单位及其附属机构存在联系；</w:t>
            </w:r>
          </w:p>
          <w:p w14:paraId="6D35D612">
            <w:pPr>
              <w:pStyle w:val="19"/>
              <w:spacing w:beforeLines="50" w:afterLines="50"/>
              <w:ind w:left="0" w:leftChars="0" w:firstLine="480" w:firstLineChars="200"/>
              <w:rPr>
                <w:rFonts w:ascii="宋体" w:hAnsi="宋体" w:cs="宋体"/>
                <w:color w:val="auto"/>
                <w:sz w:val="24"/>
              </w:rPr>
            </w:pPr>
            <w:r>
              <w:rPr>
                <w:rFonts w:hint="eastAsia" w:ascii="宋体" w:hAnsi="宋体" w:cs="宋体"/>
                <w:color w:val="auto"/>
                <w:sz w:val="24"/>
              </w:rPr>
              <w:t>2、单位负责人为同一人或者存在直接控股、管理关系的不同供应商，参加同一合同项下的政府采购活动。</w:t>
            </w:r>
          </w:p>
          <w:p w14:paraId="7368F347">
            <w:pPr>
              <w:pStyle w:val="19"/>
              <w:spacing w:beforeLines="50" w:afterLines="50"/>
              <w:ind w:left="0" w:leftChars="0" w:firstLine="480" w:firstLineChars="200"/>
              <w:rPr>
                <w:rFonts w:ascii="宋体" w:hAnsi="宋体" w:cs="宋体"/>
                <w:color w:val="auto"/>
                <w:sz w:val="24"/>
              </w:rPr>
            </w:pPr>
            <w:r>
              <w:rPr>
                <w:rFonts w:hint="eastAsia" w:ascii="宋体" w:hAnsi="宋体" w:cs="宋体"/>
                <w:color w:val="auto"/>
                <w:sz w:val="24"/>
              </w:rPr>
              <w:t>3、为采购项目提供整体设计、规范编制或者项目管理、监理、检测等服务后，参加该采购项目的其他采购活动。</w:t>
            </w:r>
          </w:p>
          <w:p w14:paraId="455621B3">
            <w:pPr>
              <w:tabs>
                <w:tab w:val="center" w:pos="4483"/>
              </w:tabs>
              <w:adjustRightInd w:val="0"/>
              <w:spacing w:beforeLines="50" w:afterLines="50"/>
              <w:ind w:firstLine="480" w:firstLineChars="200"/>
              <w:rPr>
                <w:rFonts w:ascii="宋体" w:hAnsi="宋体" w:cs="宋体"/>
                <w:color w:val="auto"/>
                <w:sz w:val="24"/>
              </w:rPr>
            </w:pPr>
            <w:r>
              <w:rPr>
                <w:rFonts w:hint="eastAsia" w:ascii="宋体" w:hAnsi="宋体" w:cs="宋体"/>
                <w:color w:val="auto"/>
                <w:sz w:val="24"/>
              </w:rPr>
              <w:t>4、是公益一类事业单位、使用事业编制且由财政拨款保障的群团组织；</w:t>
            </w:r>
          </w:p>
          <w:p w14:paraId="481A3DFA">
            <w:pPr>
              <w:pStyle w:val="41"/>
              <w:rPr>
                <w:rFonts w:ascii="宋体" w:hAnsi="宋体" w:cs="宋体"/>
                <w:color w:val="auto"/>
              </w:rPr>
            </w:pPr>
          </w:p>
          <w:p w14:paraId="1ACD7CBF">
            <w:pPr>
              <w:tabs>
                <w:tab w:val="center" w:pos="4483"/>
              </w:tabs>
              <w:adjustRightInd w:val="0"/>
              <w:spacing w:beforeLines="50" w:afterLines="50" w:line="288" w:lineRule="auto"/>
              <w:ind w:firstLine="480" w:firstLineChars="200"/>
              <w:rPr>
                <w:rFonts w:ascii="宋体" w:hAnsi="宋体" w:cs="宋体"/>
                <w:color w:val="auto"/>
                <w:sz w:val="24"/>
                <w:u w:val="single"/>
              </w:rPr>
            </w:pPr>
            <w:r>
              <w:rPr>
                <w:rFonts w:hint="eastAsia" w:ascii="宋体" w:hAnsi="宋体" w:cs="宋体"/>
                <w:color w:val="auto"/>
                <w:sz w:val="24"/>
                <w:u w:val="single"/>
              </w:rPr>
              <w:t>以上事项如有虚假或隐瞒，我单位愿意承担一切后果，并不再寻求任何旨在减轻或免除法律责任的辩解。</w:t>
            </w:r>
          </w:p>
          <w:p w14:paraId="6D790AE1">
            <w:pPr>
              <w:snapToGrid w:val="0"/>
              <w:spacing w:line="360" w:lineRule="auto"/>
              <w:ind w:firstLine="480" w:firstLineChars="200"/>
              <w:jc w:val="right"/>
              <w:rPr>
                <w:rFonts w:ascii="宋体" w:hAnsi="宋体" w:cs="宋体"/>
                <w:color w:val="auto"/>
                <w:sz w:val="24"/>
              </w:rPr>
            </w:pPr>
            <w:r>
              <w:rPr>
                <w:rFonts w:hint="eastAsia" w:ascii="宋体" w:hAnsi="宋体" w:cs="宋体"/>
                <w:color w:val="auto"/>
                <w:sz w:val="24"/>
              </w:rPr>
              <w:t>供应商全称：</w:t>
            </w:r>
            <w:r>
              <w:rPr>
                <w:rFonts w:hint="eastAsia" w:ascii="宋体" w:hAnsi="宋体" w:cs="宋体"/>
                <w:color w:val="auto"/>
                <w:sz w:val="24"/>
                <w:u w:val="single"/>
              </w:rPr>
              <w:t xml:space="preserve">         </w:t>
            </w:r>
            <w:r>
              <w:rPr>
                <w:rFonts w:hint="eastAsia" w:ascii="宋体" w:hAnsi="宋体" w:cs="宋体"/>
                <w:color w:val="auto"/>
                <w:sz w:val="24"/>
              </w:rPr>
              <w:t>（盖公章）</w:t>
            </w:r>
          </w:p>
          <w:p w14:paraId="13C63944">
            <w:pPr>
              <w:snapToGrid w:val="0"/>
              <w:spacing w:line="360" w:lineRule="auto"/>
              <w:ind w:firstLine="480" w:firstLineChars="200"/>
              <w:jc w:val="right"/>
              <w:rPr>
                <w:rFonts w:ascii="宋体" w:hAnsi="宋体" w:cs="宋体"/>
                <w:color w:val="auto"/>
                <w:sz w:val="24"/>
              </w:rPr>
            </w:pPr>
            <w:r>
              <w:rPr>
                <w:rFonts w:hint="eastAsia" w:ascii="宋体" w:hAnsi="宋体" w:cs="宋体"/>
                <w:color w:val="auto"/>
                <w:sz w:val="24"/>
              </w:rPr>
              <w:t>法定代表人（负责人）或授权代表：</w:t>
            </w:r>
            <w:r>
              <w:rPr>
                <w:rFonts w:hint="eastAsia" w:ascii="宋体" w:hAnsi="宋体" w:cs="宋体"/>
                <w:color w:val="auto"/>
                <w:sz w:val="24"/>
                <w:u w:val="single"/>
              </w:rPr>
              <w:t xml:space="preserve">         </w:t>
            </w:r>
            <w:r>
              <w:rPr>
                <w:rFonts w:hint="eastAsia" w:ascii="宋体" w:hAnsi="宋体" w:cs="宋体"/>
                <w:color w:val="auto"/>
                <w:sz w:val="24"/>
              </w:rPr>
              <w:t>（签字或盖章）</w:t>
            </w:r>
          </w:p>
          <w:p w14:paraId="2BBFB870">
            <w:pPr>
              <w:snapToGrid w:val="0"/>
              <w:spacing w:line="360" w:lineRule="auto"/>
              <w:ind w:firstLine="480" w:firstLineChars="200"/>
              <w:jc w:val="right"/>
              <w:rPr>
                <w:rFonts w:ascii="宋体" w:hAnsi="宋体" w:cs="宋体"/>
                <w:color w:val="auto"/>
              </w:rPr>
            </w:pPr>
            <w:r>
              <w:rPr>
                <w:rFonts w:hint="eastAsia" w:ascii="宋体" w:hAnsi="宋体" w:cs="宋体"/>
                <w:color w:val="auto"/>
                <w:sz w:val="24"/>
              </w:rPr>
              <w:t>日期：  年 月 日</w:t>
            </w:r>
          </w:p>
        </w:tc>
      </w:tr>
    </w:tbl>
    <w:p w14:paraId="41C53520">
      <w:pPr>
        <w:pStyle w:val="27"/>
        <w:rPr>
          <w:rFonts w:hAnsi="宋体" w:cs="宋体"/>
          <w:bCs/>
          <w:color w:val="auto"/>
          <w:sz w:val="21"/>
          <w:szCs w:val="21"/>
        </w:rPr>
      </w:pPr>
      <w:r>
        <w:rPr>
          <w:rFonts w:hint="eastAsia" w:hAnsi="宋体" w:cs="宋体"/>
          <w:bCs/>
          <w:color w:val="auto"/>
          <w:sz w:val="21"/>
          <w:szCs w:val="21"/>
        </w:rPr>
        <w:t xml:space="preserve">附件6 商务（技术）条款偏离表：      </w:t>
      </w:r>
    </w:p>
    <w:p w14:paraId="618EB97E">
      <w:pPr>
        <w:pStyle w:val="27"/>
        <w:jc w:val="center"/>
        <w:rPr>
          <w:rFonts w:hAnsi="宋体" w:cs="宋体"/>
          <w:b/>
          <w:color w:val="auto"/>
          <w:sz w:val="30"/>
          <w:szCs w:val="30"/>
        </w:rPr>
      </w:pPr>
      <w:r>
        <w:rPr>
          <w:rFonts w:hint="eastAsia" w:hAnsi="宋体" w:cs="宋体"/>
          <w:b/>
          <w:color w:val="auto"/>
          <w:sz w:val="30"/>
          <w:szCs w:val="30"/>
        </w:rPr>
        <w:t>商务（技术）条款偏离表</w:t>
      </w:r>
    </w:p>
    <w:p w14:paraId="6B778683">
      <w:pPr>
        <w:pStyle w:val="7"/>
        <w:jc w:val="left"/>
        <w:rPr>
          <w:rFonts w:hAnsi="宋体" w:cs="宋体"/>
          <w:color w:val="auto"/>
          <w:sz w:val="24"/>
        </w:rPr>
      </w:pPr>
      <w:r>
        <w:rPr>
          <w:rFonts w:hint="eastAsia" w:hAnsi="宋体" w:cs="宋体"/>
          <w:color w:val="auto"/>
          <w:sz w:val="24"/>
        </w:rPr>
        <w:t>项目名称：天台县2025年度补充林地库建设项目                                                          项目编号： TCCG-2025-Z070</w:t>
      </w:r>
    </w:p>
    <w:tbl>
      <w:tblPr>
        <w:tblStyle w:val="31"/>
        <w:tblW w:w="9675"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23"/>
        <w:gridCol w:w="2582"/>
        <w:gridCol w:w="1974"/>
        <w:gridCol w:w="2512"/>
        <w:gridCol w:w="1884"/>
      </w:tblGrid>
      <w:tr w14:paraId="07EF6D6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39" w:hRule="atLeast"/>
          <w:jc w:val="center"/>
        </w:trPr>
        <w:tc>
          <w:tcPr>
            <w:tcW w:w="723" w:type="dxa"/>
            <w:vAlign w:val="center"/>
          </w:tcPr>
          <w:p w14:paraId="23C26B37">
            <w:pPr>
              <w:snapToGrid w:val="0"/>
              <w:jc w:val="center"/>
              <w:rPr>
                <w:rFonts w:ascii="宋体" w:hAnsi="宋体" w:cs="宋体"/>
                <w:color w:val="auto"/>
                <w:sz w:val="24"/>
              </w:rPr>
            </w:pPr>
            <w:r>
              <w:rPr>
                <w:rFonts w:hint="eastAsia" w:ascii="宋体" w:hAnsi="宋体" w:cs="宋体"/>
                <w:color w:val="auto"/>
                <w:sz w:val="24"/>
              </w:rPr>
              <w:t>序号</w:t>
            </w:r>
          </w:p>
        </w:tc>
        <w:tc>
          <w:tcPr>
            <w:tcW w:w="2582" w:type="dxa"/>
            <w:vAlign w:val="center"/>
          </w:tcPr>
          <w:p w14:paraId="2961F584">
            <w:pPr>
              <w:snapToGrid w:val="0"/>
              <w:jc w:val="center"/>
              <w:rPr>
                <w:rFonts w:ascii="宋体" w:hAnsi="宋体" w:cs="宋体"/>
                <w:color w:val="auto"/>
                <w:sz w:val="24"/>
              </w:rPr>
            </w:pPr>
            <w:r>
              <w:rPr>
                <w:rFonts w:hint="eastAsia" w:ascii="宋体" w:hAnsi="宋体" w:cs="宋体"/>
                <w:color w:val="auto"/>
                <w:sz w:val="24"/>
              </w:rPr>
              <w:t>招标要求</w:t>
            </w:r>
          </w:p>
        </w:tc>
        <w:tc>
          <w:tcPr>
            <w:tcW w:w="1974" w:type="dxa"/>
            <w:vAlign w:val="center"/>
          </w:tcPr>
          <w:p w14:paraId="466D7E72">
            <w:pPr>
              <w:snapToGrid w:val="0"/>
              <w:jc w:val="center"/>
              <w:rPr>
                <w:rFonts w:ascii="宋体" w:hAnsi="宋体" w:cs="宋体"/>
                <w:color w:val="auto"/>
                <w:sz w:val="24"/>
              </w:rPr>
            </w:pPr>
            <w:r>
              <w:rPr>
                <w:rFonts w:hint="eastAsia" w:ascii="宋体" w:hAnsi="宋体" w:cs="宋体"/>
                <w:color w:val="auto"/>
                <w:sz w:val="24"/>
              </w:rPr>
              <w:t>投标响应</w:t>
            </w:r>
          </w:p>
        </w:tc>
        <w:tc>
          <w:tcPr>
            <w:tcW w:w="2512" w:type="dxa"/>
            <w:vAlign w:val="center"/>
          </w:tcPr>
          <w:p w14:paraId="57DA9C97">
            <w:pPr>
              <w:snapToGrid w:val="0"/>
              <w:jc w:val="center"/>
              <w:rPr>
                <w:rFonts w:ascii="宋体" w:hAnsi="宋体" w:cs="宋体"/>
                <w:color w:val="auto"/>
                <w:sz w:val="24"/>
              </w:rPr>
            </w:pPr>
            <w:r>
              <w:rPr>
                <w:rFonts w:hint="eastAsia" w:ascii="宋体" w:hAnsi="宋体" w:cs="宋体"/>
                <w:color w:val="auto"/>
                <w:sz w:val="24"/>
              </w:rPr>
              <w:t>说  明</w:t>
            </w:r>
          </w:p>
          <w:p w14:paraId="6F737C0F">
            <w:pPr>
              <w:snapToGrid w:val="0"/>
              <w:jc w:val="center"/>
              <w:rPr>
                <w:rFonts w:ascii="宋体" w:hAnsi="宋体" w:cs="宋体"/>
                <w:color w:val="auto"/>
                <w:sz w:val="24"/>
              </w:rPr>
            </w:pPr>
            <w:r>
              <w:rPr>
                <w:rFonts w:hint="eastAsia" w:ascii="宋体" w:hAnsi="宋体" w:cs="宋体"/>
                <w:color w:val="auto"/>
                <w:sz w:val="18"/>
                <w:szCs w:val="18"/>
              </w:rPr>
              <w:t>（正偏离/无偏离/负偏离）</w:t>
            </w:r>
          </w:p>
        </w:tc>
        <w:tc>
          <w:tcPr>
            <w:tcW w:w="1884" w:type="dxa"/>
            <w:vAlign w:val="center"/>
          </w:tcPr>
          <w:p w14:paraId="0E75FE37">
            <w:pPr>
              <w:snapToGrid w:val="0"/>
              <w:jc w:val="center"/>
              <w:rPr>
                <w:rFonts w:ascii="宋体" w:hAnsi="宋体" w:cs="宋体"/>
                <w:color w:val="auto"/>
                <w:sz w:val="24"/>
              </w:rPr>
            </w:pPr>
            <w:r>
              <w:rPr>
                <w:rFonts w:hint="eastAsia" w:ascii="宋体" w:hAnsi="宋体" w:cs="宋体"/>
                <w:color w:val="auto"/>
                <w:sz w:val="24"/>
              </w:rPr>
              <w:t>投标文件响应页码</w:t>
            </w:r>
          </w:p>
        </w:tc>
      </w:tr>
      <w:tr w14:paraId="77B7AD3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34" w:hRule="atLeast"/>
          <w:jc w:val="center"/>
        </w:trPr>
        <w:tc>
          <w:tcPr>
            <w:tcW w:w="723" w:type="dxa"/>
            <w:vAlign w:val="center"/>
          </w:tcPr>
          <w:p w14:paraId="79CA1D8D">
            <w:pPr>
              <w:snapToGrid w:val="0"/>
              <w:jc w:val="center"/>
              <w:rPr>
                <w:rFonts w:ascii="宋体" w:hAnsi="宋体" w:cs="宋体"/>
                <w:color w:val="auto"/>
                <w:spacing w:val="20"/>
                <w:sz w:val="24"/>
              </w:rPr>
            </w:pPr>
            <w:r>
              <w:rPr>
                <w:rFonts w:hint="eastAsia" w:ascii="宋体" w:hAnsi="宋体" w:cs="宋体"/>
                <w:color w:val="auto"/>
                <w:spacing w:val="20"/>
                <w:sz w:val="24"/>
              </w:rPr>
              <w:t>1</w:t>
            </w:r>
          </w:p>
        </w:tc>
        <w:tc>
          <w:tcPr>
            <w:tcW w:w="2582" w:type="dxa"/>
            <w:vAlign w:val="center"/>
          </w:tcPr>
          <w:p w14:paraId="63B2E0FD">
            <w:pPr>
              <w:pStyle w:val="7"/>
              <w:snapToGrid w:val="0"/>
              <w:jc w:val="center"/>
              <w:rPr>
                <w:rFonts w:hAnsi="宋体" w:cs="宋体"/>
                <w:color w:val="auto"/>
                <w:sz w:val="24"/>
              </w:rPr>
            </w:pPr>
          </w:p>
        </w:tc>
        <w:tc>
          <w:tcPr>
            <w:tcW w:w="1974" w:type="dxa"/>
            <w:vAlign w:val="center"/>
          </w:tcPr>
          <w:p w14:paraId="1995912E">
            <w:pPr>
              <w:snapToGrid w:val="0"/>
              <w:jc w:val="center"/>
              <w:rPr>
                <w:rFonts w:ascii="宋体" w:hAnsi="宋体" w:cs="宋体"/>
                <w:color w:val="auto"/>
                <w:spacing w:val="20"/>
                <w:sz w:val="24"/>
              </w:rPr>
            </w:pPr>
          </w:p>
        </w:tc>
        <w:tc>
          <w:tcPr>
            <w:tcW w:w="2512" w:type="dxa"/>
            <w:vAlign w:val="center"/>
          </w:tcPr>
          <w:p w14:paraId="0B5BED28">
            <w:pPr>
              <w:snapToGrid w:val="0"/>
              <w:jc w:val="center"/>
              <w:rPr>
                <w:rFonts w:ascii="宋体" w:hAnsi="宋体" w:cs="宋体"/>
                <w:color w:val="auto"/>
                <w:spacing w:val="20"/>
                <w:sz w:val="24"/>
              </w:rPr>
            </w:pPr>
          </w:p>
        </w:tc>
        <w:tc>
          <w:tcPr>
            <w:tcW w:w="1884" w:type="dxa"/>
            <w:vAlign w:val="center"/>
          </w:tcPr>
          <w:p w14:paraId="787853F4">
            <w:pPr>
              <w:snapToGrid w:val="0"/>
              <w:jc w:val="center"/>
              <w:rPr>
                <w:rFonts w:ascii="宋体" w:hAnsi="宋体" w:cs="宋体"/>
                <w:color w:val="auto"/>
                <w:spacing w:val="20"/>
                <w:sz w:val="24"/>
              </w:rPr>
            </w:pPr>
          </w:p>
        </w:tc>
      </w:tr>
      <w:tr w14:paraId="156CBA9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34" w:hRule="atLeast"/>
          <w:jc w:val="center"/>
        </w:trPr>
        <w:tc>
          <w:tcPr>
            <w:tcW w:w="723" w:type="dxa"/>
            <w:vAlign w:val="center"/>
          </w:tcPr>
          <w:p w14:paraId="76EB5107">
            <w:pPr>
              <w:snapToGrid w:val="0"/>
              <w:jc w:val="center"/>
              <w:rPr>
                <w:rFonts w:ascii="宋体" w:hAnsi="宋体" w:cs="宋体"/>
                <w:color w:val="auto"/>
                <w:spacing w:val="20"/>
                <w:sz w:val="24"/>
              </w:rPr>
            </w:pPr>
            <w:r>
              <w:rPr>
                <w:rFonts w:hint="eastAsia" w:ascii="宋体" w:hAnsi="宋体" w:cs="宋体"/>
                <w:color w:val="auto"/>
                <w:spacing w:val="20"/>
                <w:sz w:val="24"/>
              </w:rPr>
              <w:t>2</w:t>
            </w:r>
          </w:p>
        </w:tc>
        <w:tc>
          <w:tcPr>
            <w:tcW w:w="2582" w:type="dxa"/>
            <w:vAlign w:val="center"/>
          </w:tcPr>
          <w:p w14:paraId="4B17342D">
            <w:pPr>
              <w:pStyle w:val="7"/>
              <w:snapToGrid w:val="0"/>
              <w:jc w:val="center"/>
              <w:rPr>
                <w:rFonts w:hAnsi="宋体" w:cs="宋体"/>
                <w:color w:val="auto"/>
                <w:sz w:val="24"/>
              </w:rPr>
            </w:pPr>
          </w:p>
        </w:tc>
        <w:tc>
          <w:tcPr>
            <w:tcW w:w="1974" w:type="dxa"/>
            <w:vAlign w:val="center"/>
          </w:tcPr>
          <w:p w14:paraId="3BC01593">
            <w:pPr>
              <w:snapToGrid w:val="0"/>
              <w:jc w:val="center"/>
              <w:rPr>
                <w:rFonts w:ascii="宋体" w:hAnsi="宋体" w:cs="宋体"/>
                <w:color w:val="auto"/>
                <w:spacing w:val="20"/>
                <w:sz w:val="24"/>
              </w:rPr>
            </w:pPr>
          </w:p>
        </w:tc>
        <w:tc>
          <w:tcPr>
            <w:tcW w:w="2512" w:type="dxa"/>
            <w:vAlign w:val="center"/>
          </w:tcPr>
          <w:p w14:paraId="272BFBAE">
            <w:pPr>
              <w:snapToGrid w:val="0"/>
              <w:jc w:val="center"/>
              <w:rPr>
                <w:rFonts w:ascii="宋体" w:hAnsi="宋体" w:cs="宋体"/>
                <w:color w:val="auto"/>
                <w:spacing w:val="20"/>
                <w:sz w:val="24"/>
              </w:rPr>
            </w:pPr>
          </w:p>
        </w:tc>
        <w:tc>
          <w:tcPr>
            <w:tcW w:w="1884" w:type="dxa"/>
            <w:vAlign w:val="center"/>
          </w:tcPr>
          <w:p w14:paraId="1FC9020C">
            <w:pPr>
              <w:snapToGrid w:val="0"/>
              <w:jc w:val="center"/>
              <w:rPr>
                <w:rFonts w:ascii="宋体" w:hAnsi="宋体" w:cs="宋体"/>
                <w:color w:val="auto"/>
                <w:spacing w:val="20"/>
                <w:sz w:val="24"/>
              </w:rPr>
            </w:pPr>
          </w:p>
        </w:tc>
      </w:tr>
      <w:tr w14:paraId="598C599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34" w:hRule="atLeast"/>
          <w:jc w:val="center"/>
        </w:trPr>
        <w:tc>
          <w:tcPr>
            <w:tcW w:w="723" w:type="dxa"/>
            <w:vAlign w:val="center"/>
          </w:tcPr>
          <w:p w14:paraId="3AA4F941">
            <w:pPr>
              <w:snapToGrid w:val="0"/>
              <w:jc w:val="center"/>
              <w:rPr>
                <w:rFonts w:ascii="宋体" w:hAnsi="宋体" w:cs="宋体"/>
                <w:color w:val="auto"/>
                <w:spacing w:val="20"/>
                <w:sz w:val="24"/>
              </w:rPr>
            </w:pPr>
            <w:r>
              <w:rPr>
                <w:rFonts w:hint="eastAsia" w:ascii="宋体" w:hAnsi="宋体" w:cs="宋体"/>
                <w:color w:val="auto"/>
                <w:spacing w:val="20"/>
                <w:sz w:val="24"/>
              </w:rPr>
              <w:t>3</w:t>
            </w:r>
          </w:p>
        </w:tc>
        <w:tc>
          <w:tcPr>
            <w:tcW w:w="2582" w:type="dxa"/>
            <w:vAlign w:val="center"/>
          </w:tcPr>
          <w:p w14:paraId="1DFEAEC8">
            <w:pPr>
              <w:pStyle w:val="7"/>
              <w:snapToGrid w:val="0"/>
              <w:jc w:val="center"/>
              <w:rPr>
                <w:rFonts w:hAnsi="宋体" w:cs="宋体"/>
                <w:color w:val="auto"/>
                <w:sz w:val="24"/>
              </w:rPr>
            </w:pPr>
          </w:p>
        </w:tc>
        <w:tc>
          <w:tcPr>
            <w:tcW w:w="1974" w:type="dxa"/>
            <w:vAlign w:val="center"/>
          </w:tcPr>
          <w:p w14:paraId="24AC814C">
            <w:pPr>
              <w:snapToGrid w:val="0"/>
              <w:jc w:val="center"/>
              <w:rPr>
                <w:rFonts w:ascii="宋体" w:hAnsi="宋体" w:cs="宋体"/>
                <w:color w:val="auto"/>
                <w:spacing w:val="20"/>
                <w:sz w:val="24"/>
              </w:rPr>
            </w:pPr>
          </w:p>
        </w:tc>
        <w:tc>
          <w:tcPr>
            <w:tcW w:w="2512" w:type="dxa"/>
            <w:vAlign w:val="center"/>
          </w:tcPr>
          <w:p w14:paraId="1418E0A8">
            <w:pPr>
              <w:snapToGrid w:val="0"/>
              <w:jc w:val="center"/>
              <w:rPr>
                <w:rFonts w:ascii="宋体" w:hAnsi="宋体" w:cs="宋体"/>
                <w:color w:val="auto"/>
                <w:spacing w:val="20"/>
                <w:sz w:val="24"/>
              </w:rPr>
            </w:pPr>
          </w:p>
        </w:tc>
        <w:tc>
          <w:tcPr>
            <w:tcW w:w="1884" w:type="dxa"/>
            <w:vAlign w:val="center"/>
          </w:tcPr>
          <w:p w14:paraId="256B4EBE">
            <w:pPr>
              <w:snapToGrid w:val="0"/>
              <w:jc w:val="center"/>
              <w:rPr>
                <w:rFonts w:ascii="宋体" w:hAnsi="宋体" w:cs="宋体"/>
                <w:color w:val="auto"/>
                <w:spacing w:val="20"/>
                <w:sz w:val="24"/>
              </w:rPr>
            </w:pPr>
          </w:p>
        </w:tc>
      </w:tr>
      <w:tr w14:paraId="598E0EC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34" w:hRule="atLeast"/>
          <w:jc w:val="center"/>
        </w:trPr>
        <w:tc>
          <w:tcPr>
            <w:tcW w:w="723" w:type="dxa"/>
            <w:vAlign w:val="center"/>
          </w:tcPr>
          <w:p w14:paraId="54C373B9">
            <w:pPr>
              <w:snapToGrid w:val="0"/>
              <w:jc w:val="center"/>
              <w:rPr>
                <w:rFonts w:ascii="宋体" w:hAnsi="宋体" w:cs="宋体"/>
                <w:color w:val="auto"/>
                <w:spacing w:val="20"/>
                <w:sz w:val="24"/>
              </w:rPr>
            </w:pPr>
          </w:p>
        </w:tc>
        <w:tc>
          <w:tcPr>
            <w:tcW w:w="2582" w:type="dxa"/>
            <w:vAlign w:val="center"/>
          </w:tcPr>
          <w:p w14:paraId="0CEED39A">
            <w:pPr>
              <w:pStyle w:val="7"/>
              <w:snapToGrid w:val="0"/>
              <w:jc w:val="center"/>
              <w:rPr>
                <w:rFonts w:hAnsi="宋体" w:cs="宋体"/>
                <w:color w:val="auto"/>
                <w:sz w:val="24"/>
              </w:rPr>
            </w:pPr>
            <w:r>
              <w:rPr>
                <w:rFonts w:hint="eastAsia" w:hAnsi="宋体" w:cs="宋体"/>
                <w:color w:val="auto"/>
                <w:spacing w:val="20"/>
                <w:sz w:val="24"/>
              </w:rPr>
              <w:t>……</w:t>
            </w:r>
          </w:p>
        </w:tc>
        <w:tc>
          <w:tcPr>
            <w:tcW w:w="1974" w:type="dxa"/>
            <w:vAlign w:val="center"/>
          </w:tcPr>
          <w:p w14:paraId="7B4A4557">
            <w:pPr>
              <w:snapToGrid w:val="0"/>
              <w:jc w:val="center"/>
              <w:rPr>
                <w:rFonts w:ascii="宋体" w:hAnsi="宋体" w:cs="宋体"/>
                <w:color w:val="auto"/>
                <w:spacing w:val="20"/>
                <w:sz w:val="24"/>
              </w:rPr>
            </w:pPr>
          </w:p>
        </w:tc>
        <w:tc>
          <w:tcPr>
            <w:tcW w:w="2512" w:type="dxa"/>
            <w:vAlign w:val="center"/>
          </w:tcPr>
          <w:p w14:paraId="10F1808D">
            <w:pPr>
              <w:snapToGrid w:val="0"/>
              <w:jc w:val="center"/>
              <w:rPr>
                <w:rFonts w:ascii="宋体" w:hAnsi="宋体" w:cs="宋体"/>
                <w:color w:val="auto"/>
                <w:spacing w:val="20"/>
                <w:sz w:val="24"/>
              </w:rPr>
            </w:pPr>
          </w:p>
        </w:tc>
        <w:tc>
          <w:tcPr>
            <w:tcW w:w="1884" w:type="dxa"/>
            <w:vAlign w:val="center"/>
          </w:tcPr>
          <w:p w14:paraId="6A6BD40E">
            <w:pPr>
              <w:snapToGrid w:val="0"/>
              <w:jc w:val="center"/>
              <w:rPr>
                <w:rFonts w:ascii="宋体" w:hAnsi="宋体" w:cs="宋体"/>
                <w:color w:val="auto"/>
                <w:spacing w:val="20"/>
                <w:sz w:val="24"/>
              </w:rPr>
            </w:pPr>
          </w:p>
        </w:tc>
      </w:tr>
      <w:tr w14:paraId="0CB2488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34" w:hRule="atLeast"/>
          <w:jc w:val="center"/>
        </w:trPr>
        <w:tc>
          <w:tcPr>
            <w:tcW w:w="723" w:type="dxa"/>
            <w:vAlign w:val="center"/>
          </w:tcPr>
          <w:p w14:paraId="422FF311">
            <w:pPr>
              <w:snapToGrid w:val="0"/>
              <w:jc w:val="center"/>
              <w:rPr>
                <w:rFonts w:ascii="宋体" w:hAnsi="宋体" w:cs="宋体"/>
                <w:color w:val="auto"/>
                <w:spacing w:val="20"/>
                <w:sz w:val="24"/>
              </w:rPr>
            </w:pPr>
          </w:p>
        </w:tc>
        <w:tc>
          <w:tcPr>
            <w:tcW w:w="2582" w:type="dxa"/>
            <w:vAlign w:val="center"/>
          </w:tcPr>
          <w:p w14:paraId="35BE8943">
            <w:pPr>
              <w:pStyle w:val="7"/>
              <w:snapToGrid w:val="0"/>
              <w:rPr>
                <w:rFonts w:hAnsi="宋体" w:cs="宋体"/>
                <w:color w:val="auto"/>
                <w:sz w:val="24"/>
              </w:rPr>
            </w:pPr>
          </w:p>
        </w:tc>
        <w:tc>
          <w:tcPr>
            <w:tcW w:w="1974" w:type="dxa"/>
            <w:vAlign w:val="center"/>
          </w:tcPr>
          <w:p w14:paraId="33638B92">
            <w:pPr>
              <w:snapToGrid w:val="0"/>
              <w:jc w:val="center"/>
              <w:rPr>
                <w:rFonts w:ascii="宋体" w:hAnsi="宋体" w:cs="宋体"/>
                <w:color w:val="auto"/>
                <w:spacing w:val="20"/>
                <w:sz w:val="24"/>
              </w:rPr>
            </w:pPr>
          </w:p>
        </w:tc>
        <w:tc>
          <w:tcPr>
            <w:tcW w:w="2512" w:type="dxa"/>
            <w:vAlign w:val="center"/>
          </w:tcPr>
          <w:p w14:paraId="42129FE3">
            <w:pPr>
              <w:snapToGrid w:val="0"/>
              <w:jc w:val="center"/>
              <w:rPr>
                <w:rFonts w:ascii="宋体" w:hAnsi="宋体" w:cs="宋体"/>
                <w:color w:val="auto"/>
                <w:spacing w:val="20"/>
                <w:sz w:val="24"/>
              </w:rPr>
            </w:pPr>
          </w:p>
        </w:tc>
        <w:tc>
          <w:tcPr>
            <w:tcW w:w="1884" w:type="dxa"/>
            <w:vAlign w:val="center"/>
          </w:tcPr>
          <w:p w14:paraId="09E49755">
            <w:pPr>
              <w:snapToGrid w:val="0"/>
              <w:jc w:val="center"/>
              <w:rPr>
                <w:rFonts w:ascii="宋体" w:hAnsi="宋体" w:cs="宋体"/>
                <w:color w:val="auto"/>
                <w:spacing w:val="20"/>
                <w:sz w:val="24"/>
              </w:rPr>
            </w:pPr>
          </w:p>
        </w:tc>
      </w:tr>
      <w:tr w14:paraId="710F892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34" w:hRule="atLeast"/>
          <w:jc w:val="center"/>
        </w:trPr>
        <w:tc>
          <w:tcPr>
            <w:tcW w:w="723" w:type="dxa"/>
            <w:vAlign w:val="center"/>
          </w:tcPr>
          <w:p w14:paraId="08A853B6">
            <w:pPr>
              <w:snapToGrid w:val="0"/>
              <w:jc w:val="center"/>
              <w:rPr>
                <w:rFonts w:ascii="宋体" w:hAnsi="宋体" w:cs="宋体"/>
                <w:color w:val="auto"/>
                <w:spacing w:val="20"/>
                <w:sz w:val="24"/>
              </w:rPr>
            </w:pPr>
          </w:p>
        </w:tc>
        <w:tc>
          <w:tcPr>
            <w:tcW w:w="2582" w:type="dxa"/>
            <w:vAlign w:val="center"/>
          </w:tcPr>
          <w:p w14:paraId="2EC7D829">
            <w:pPr>
              <w:pStyle w:val="7"/>
              <w:snapToGrid w:val="0"/>
              <w:rPr>
                <w:rFonts w:hAnsi="宋体" w:cs="宋体"/>
                <w:color w:val="auto"/>
                <w:sz w:val="24"/>
              </w:rPr>
            </w:pPr>
          </w:p>
        </w:tc>
        <w:tc>
          <w:tcPr>
            <w:tcW w:w="1974" w:type="dxa"/>
            <w:vAlign w:val="center"/>
          </w:tcPr>
          <w:p w14:paraId="5C5A6C70">
            <w:pPr>
              <w:snapToGrid w:val="0"/>
              <w:jc w:val="center"/>
              <w:rPr>
                <w:rFonts w:ascii="宋体" w:hAnsi="宋体" w:cs="宋体"/>
                <w:color w:val="auto"/>
                <w:spacing w:val="20"/>
                <w:sz w:val="24"/>
              </w:rPr>
            </w:pPr>
          </w:p>
        </w:tc>
        <w:tc>
          <w:tcPr>
            <w:tcW w:w="2512" w:type="dxa"/>
            <w:vAlign w:val="center"/>
          </w:tcPr>
          <w:p w14:paraId="21D19CC9">
            <w:pPr>
              <w:snapToGrid w:val="0"/>
              <w:jc w:val="center"/>
              <w:rPr>
                <w:rFonts w:ascii="宋体" w:hAnsi="宋体" w:cs="宋体"/>
                <w:color w:val="auto"/>
                <w:spacing w:val="20"/>
                <w:sz w:val="24"/>
              </w:rPr>
            </w:pPr>
          </w:p>
        </w:tc>
        <w:tc>
          <w:tcPr>
            <w:tcW w:w="1884" w:type="dxa"/>
            <w:vAlign w:val="center"/>
          </w:tcPr>
          <w:p w14:paraId="17D00CA2">
            <w:pPr>
              <w:snapToGrid w:val="0"/>
              <w:jc w:val="center"/>
              <w:rPr>
                <w:rFonts w:ascii="宋体" w:hAnsi="宋体" w:cs="宋体"/>
                <w:color w:val="auto"/>
                <w:spacing w:val="20"/>
                <w:sz w:val="24"/>
              </w:rPr>
            </w:pPr>
          </w:p>
        </w:tc>
      </w:tr>
      <w:tr w14:paraId="50594B0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34" w:hRule="atLeast"/>
          <w:jc w:val="center"/>
        </w:trPr>
        <w:tc>
          <w:tcPr>
            <w:tcW w:w="723" w:type="dxa"/>
            <w:vAlign w:val="center"/>
          </w:tcPr>
          <w:p w14:paraId="098B5AD9">
            <w:pPr>
              <w:snapToGrid w:val="0"/>
              <w:jc w:val="center"/>
              <w:rPr>
                <w:rFonts w:ascii="宋体" w:hAnsi="宋体" w:cs="宋体"/>
                <w:color w:val="auto"/>
                <w:spacing w:val="20"/>
                <w:sz w:val="24"/>
              </w:rPr>
            </w:pPr>
          </w:p>
        </w:tc>
        <w:tc>
          <w:tcPr>
            <w:tcW w:w="2582" w:type="dxa"/>
            <w:vAlign w:val="center"/>
          </w:tcPr>
          <w:p w14:paraId="5D441B48">
            <w:pPr>
              <w:pStyle w:val="7"/>
              <w:snapToGrid w:val="0"/>
              <w:rPr>
                <w:rFonts w:hAnsi="宋体" w:cs="宋体"/>
                <w:color w:val="auto"/>
                <w:sz w:val="24"/>
              </w:rPr>
            </w:pPr>
          </w:p>
        </w:tc>
        <w:tc>
          <w:tcPr>
            <w:tcW w:w="1974" w:type="dxa"/>
            <w:vAlign w:val="center"/>
          </w:tcPr>
          <w:p w14:paraId="7BC467B2">
            <w:pPr>
              <w:snapToGrid w:val="0"/>
              <w:jc w:val="center"/>
              <w:rPr>
                <w:rFonts w:ascii="宋体" w:hAnsi="宋体" w:cs="宋体"/>
                <w:color w:val="auto"/>
                <w:spacing w:val="20"/>
                <w:sz w:val="24"/>
              </w:rPr>
            </w:pPr>
          </w:p>
        </w:tc>
        <w:tc>
          <w:tcPr>
            <w:tcW w:w="2512" w:type="dxa"/>
            <w:vAlign w:val="center"/>
          </w:tcPr>
          <w:p w14:paraId="7BBBB3E7">
            <w:pPr>
              <w:snapToGrid w:val="0"/>
              <w:jc w:val="center"/>
              <w:rPr>
                <w:rFonts w:ascii="宋体" w:hAnsi="宋体" w:cs="宋体"/>
                <w:color w:val="auto"/>
                <w:spacing w:val="20"/>
                <w:sz w:val="24"/>
              </w:rPr>
            </w:pPr>
          </w:p>
        </w:tc>
        <w:tc>
          <w:tcPr>
            <w:tcW w:w="1884" w:type="dxa"/>
            <w:vAlign w:val="center"/>
          </w:tcPr>
          <w:p w14:paraId="1981A964">
            <w:pPr>
              <w:snapToGrid w:val="0"/>
              <w:jc w:val="center"/>
              <w:rPr>
                <w:rFonts w:ascii="宋体" w:hAnsi="宋体" w:cs="宋体"/>
                <w:color w:val="auto"/>
                <w:spacing w:val="20"/>
                <w:sz w:val="24"/>
              </w:rPr>
            </w:pPr>
          </w:p>
        </w:tc>
      </w:tr>
      <w:tr w14:paraId="30709B8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34" w:hRule="atLeast"/>
          <w:jc w:val="center"/>
        </w:trPr>
        <w:tc>
          <w:tcPr>
            <w:tcW w:w="723" w:type="dxa"/>
            <w:vAlign w:val="center"/>
          </w:tcPr>
          <w:p w14:paraId="78887D37">
            <w:pPr>
              <w:snapToGrid w:val="0"/>
              <w:jc w:val="center"/>
              <w:rPr>
                <w:rFonts w:ascii="宋体" w:hAnsi="宋体" w:cs="宋体"/>
                <w:color w:val="auto"/>
                <w:spacing w:val="20"/>
                <w:sz w:val="24"/>
              </w:rPr>
            </w:pPr>
          </w:p>
        </w:tc>
        <w:tc>
          <w:tcPr>
            <w:tcW w:w="2582" w:type="dxa"/>
            <w:vAlign w:val="center"/>
          </w:tcPr>
          <w:p w14:paraId="6368910D">
            <w:pPr>
              <w:snapToGrid w:val="0"/>
              <w:jc w:val="center"/>
              <w:rPr>
                <w:rFonts w:ascii="宋体" w:hAnsi="宋体" w:cs="宋体"/>
                <w:color w:val="auto"/>
                <w:spacing w:val="20"/>
                <w:sz w:val="24"/>
              </w:rPr>
            </w:pPr>
          </w:p>
        </w:tc>
        <w:tc>
          <w:tcPr>
            <w:tcW w:w="1974" w:type="dxa"/>
            <w:vAlign w:val="center"/>
          </w:tcPr>
          <w:p w14:paraId="00D7664C">
            <w:pPr>
              <w:snapToGrid w:val="0"/>
              <w:jc w:val="center"/>
              <w:rPr>
                <w:rFonts w:ascii="宋体" w:hAnsi="宋体" w:cs="宋体"/>
                <w:color w:val="auto"/>
                <w:spacing w:val="20"/>
                <w:sz w:val="24"/>
              </w:rPr>
            </w:pPr>
          </w:p>
        </w:tc>
        <w:tc>
          <w:tcPr>
            <w:tcW w:w="2512" w:type="dxa"/>
            <w:vAlign w:val="center"/>
          </w:tcPr>
          <w:p w14:paraId="40CF2452">
            <w:pPr>
              <w:snapToGrid w:val="0"/>
              <w:jc w:val="center"/>
              <w:rPr>
                <w:rFonts w:ascii="宋体" w:hAnsi="宋体" w:cs="宋体"/>
                <w:color w:val="auto"/>
                <w:spacing w:val="20"/>
                <w:sz w:val="24"/>
              </w:rPr>
            </w:pPr>
          </w:p>
        </w:tc>
        <w:tc>
          <w:tcPr>
            <w:tcW w:w="1884" w:type="dxa"/>
            <w:vAlign w:val="center"/>
          </w:tcPr>
          <w:p w14:paraId="342CFBE5">
            <w:pPr>
              <w:snapToGrid w:val="0"/>
              <w:jc w:val="center"/>
              <w:rPr>
                <w:rFonts w:ascii="宋体" w:hAnsi="宋体" w:cs="宋体"/>
                <w:color w:val="auto"/>
                <w:spacing w:val="20"/>
                <w:sz w:val="24"/>
              </w:rPr>
            </w:pPr>
          </w:p>
        </w:tc>
      </w:tr>
      <w:tr w14:paraId="52D3D0C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34" w:hRule="atLeast"/>
          <w:jc w:val="center"/>
        </w:trPr>
        <w:tc>
          <w:tcPr>
            <w:tcW w:w="723" w:type="dxa"/>
            <w:vAlign w:val="center"/>
          </w:tcPr>
          <w:p w14:paraId="68F0C01B">
            <w:pPr>
              <w:snapToGrid w:val="0"/>
              <w:jc w:val="center"/>
              <w:rPr>
                <w:rFonts w:ascii="宋体" w:hAnsi="宋体" w:cs="宋体"/>
                <w:color w:val="auto"/>
                <w:spacing w:val="20"/>
                <w:sz w:val="24"/>
              </w:rPr>
            </w:pPr>
          </w:p>
        </w:tc>
        <w:tc>
          <w:tcPr>
            <w:tcW w:w="2582" w:type="dxa"/>
            <w:vAlign w:val="center"/>
          </w:tcPr>
          <w:p w14:paraId="5F828698">
            <w:pPr>
              <w:snapToGrid w:val="0"/>
              <w:jc w:val="center"/>
              <w:rPr>
                <w:rFonts w:ascii="宋体" w:hAnsi="宋体" w:cs="宋体"/>
                <w:color w:val="auto"/>
                <w:spacing w:val="20"/>
                <w:sz w:val="24"/>
              </w:rPr>
            </w:pPr>
          </w:p>
        </w:tc>
        <w:tc>
          <w:tcPr>
            <w:tcW w:w="1974" w:type="dxa"/>
            <w:vAlign w:val="center"/>
          </w:tcPr>
          <w:p w14:paraId="3B565C9C">
            <w:pPr>
              <w:snapToGrid w:val="0"/>
              <w:jc w:val="center"/>
              <w:rPr>
                <w:rFonts w:ascii="宋体" w:hAnsi="宋体" w:cs="宋体"/>
                <w:color w:val="auto"/>
                <w:spacing w:val="20"/>
                <w:sz w:val="24"/>
              </w:rPr>
            </w:pPr>
          </w:p>
        </w:tc>
        <w:tc>
          <w:tcPr>
            <w:tcW w:w="2512" w:type="dxa"/>
            <w:vAlign w:val="center"/>
          </w:tcPr>
          <w:p w14:paraId="0F19EED2">
            <w:pPr>
              <w:snapToGrid w:val="0"/>
              <w:jc w:val="center"/>
              <w:rPr>
                <w:rFonts w:ascii="宋体" w:hAnsi="宋体" w:cs="宋体"/>
                <w:color w:val="auto"/>
                <w:spacing w:val="20"/>
                <w:sz w:val="24"/>
              </w:rPr>
            </w:pPr>
          </w:p>
        </w:tc>
        <w:tc>
          <w:tcPr>
            <w:tcW w:w="1884" w:type="dxa"/>
            <w:vAlign w:val="center"/>
          </w:tcPr>
          <w:p w14:paraId="428946CC">
            <w:pPr>
              <w:snapToGrid w:val="0"/>
              <w:jc w:val="center"/>
              <w:rPr>
                <w:rFonts w:ascii="宋体" w:hAnsi="宋体" w:cs="宋体"/>
                <w:color w:val="auto"/>
                <w:spacing w:val="20"/>
                <w:sz w:val="24"/>
              </w:rPr>
            </w:pPr>
          </w:p>
        </w:tc>
      </w:tr>
      <w:tr w14:paraId="07C2E1B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44" w:hRule="atLeast"/>
          <w:jc w:val="center"/>
        </w:trPr>
        <w:tc>
          <w:tcPr>
            <w:tcW w:w="723" w:type="dxa"/>
            <w:vAlign w:val="center"/>
          </w:tcPr>
          <w:p w14:paraId="1CD759DF">
            <w:pPr>
              <w:snapToGrid w:val="0"/>
              <w:jc w:val="center"/>
              <w:rPr>
                <w:rFonts w:ascii="宋体" w:hAnsi="宋体" w:cs="宋体"/>
                <w:color w:val="auto"/>
                <w:spacing w:val="20"/>
                <w:sz w:val="24"/>
              </w:rPr>
            </w:pPr>
          </w:p>
        </w:tc>
        <w:tc>
          <w:tcPr>
            <w:tcW w:w="2582" w:type="dxa"/>
            <w:vAlign w:val="center"/>
          </w:tcPr>
          <w:p w14:paraId="4D03C501">
            <w:pPr>
              <w:snapToGrid w:val="0"/>
              <w:jc w:val="center"/>
              <w:rPr>
                <w:rFonts w:ascii="宋体" w:hAnsi="宋体" w:cs="宋体"/>
                <w:color w:val="auto"/>
                <w:spacing w:val="20"/>
                <w:sz w:val="24"/>
              </w:rPr>
            </w:pPr>
          </w:p>
        </w:tc>
        <w:tc>
          <w:tcPr>
            <w:tcW w:w="1974" w:type="dxa"/>
            <w:vAlign w:val="center"/>
          </w:tcPr>
          <w:p w14:paraId="37C6D5AF">
            <w:pPr>
              <w:snapToGrid w:val="0"/>
              <w:jc w:val="center"/>
              <w:rPr>
                <w:rFonts w:ascii="宋体" w:hAnsi="宋体" w:cs="宋体"/>
                <w:color w:val="auto"/>
                <w:spacing w:val="20"/>
                <w:sz w:val="24"/>
              </w:rPr>
            </w:pPr>
          </w:p>
        </w:tc>
        <w:tc>
          <w:tcPr>
            <w:tcW w:w="2512" w:type="dxa"/>
            <w:vAlign w:val="center"/>
          </w:tcPr>
          <w:p w14:paraId="651DF14F">
            <w:pPr>
              <w:snapToGrid w:val="0"/>
              <w:jc w:val="center"/>
              <w:rPr>
                <w:rFonts w:ascii="宋体" w:hAnsi="宋体" w:cs="宋体"/>
                <w:color w:val="auto"/>
                <w:spacing w:val="20"/>
                <w:sz w:val="24"/>
              </w:rPr>
            </w:pPr>
          </w:p>
        </w:tc>
        <w:tc>
          <w:tcPr>
            <w:tcW w:w="1884" w:type="dxa"/>
            <w:vAlign w:val="center"/>
          </w:tcPr>
          <w:p w14:paraId="1FD08B1E">
            <w:pPr>
              <w:snapToGrid w:val="0"/>
              <w:jc w:val="center"/>
              <w:rPr>
                <w:rFonts w:ascii="宋体" w:hAnsi="宋体" w:cs="宋体"/>
                <w:color w:val="auto"/>
                <w:spacing w:val="20"/>
                <w:sz w:val="24"/>
              </w:rPr>
            </w:pPr>
          </w:p>
        </w:tc>
      </w:tr>
    </w:tbl>
    <w:p w14:paraId="64B9D44A">
      <w:pPr>
        <w:pStyle w:val="27"/>
        <w:spacing w:beforeLines="20" w:beforeAutospacing="0" w:after="0" w:afterAutospacing="0"/>
        <w:ind w:left="1079" w:leftChars="171" w:hanging="720" w:hangingChars="300"/>
        <w:rPr>
          <w:rFonts w:hAnsi="宋体" w:cs="宋体"/>
          <w:color w:val="auto"/>
          <w:kern w:val="2"/>
        </w:rPr>
      </w:pPr>
      <w:r>
        <w:rPr>
          <w:rFonts w:hint="eastAsia" w:hAnsi="宋体" w:cs="宋体"/>
          <w:color w:val="auto"/>
          <w:kern w:val="2"/>
        </w:rPr>
        <w:t>说明：1、供应商须将投标文件对采购文件的所有偏离填入此表；</w:t>
      </w:r>
    </w:p>
    <w:p w14:paraId="1D9390E1">
      <w:pPr>
        <w:pStyle w:val="27"/>
        <w:spacing w:beforeLines="20" w:beforeAutospacing="0" w:after="0" w:afterAutospacing="0"/>
        <w:ind w:left="1077" w:leftChars="513"/>
        <w:rPr>
          <w:rFonts w:hAnsi="宋体" w:cs="宋体"/>
          <w:b/>
          <w:bCs/>
          <w:color w:val="auto"/>
          <w:kern w:val="2"/>
        </w:rPr>
      </w:pPr>
      <w:r>
        <w:rPr>
          <w:rFonts w:hint="eastAsia" w:hAnsi="宋体" w:cs="宋体"/>
          <w:color w:val="auto"/>
          <w:kern w:val="2"/>
        </w:rPr>
        <w:t>2、</w:t>
      </w:r>
      <w:r>
        <w:rPr>
          <w:rFonts w:hint="eastAsia" w:hAnsi="宋体" w:cs="宋体"/>
          <w:b/>
          <w:bCs/>
          <w:color w:val="auto"/>
          <w:kern w:val="2"/>
        </w:rPr>
        <w:t>如不填写，视为完全响应采购文件的要求，但仍应编入投标文件；</w:t>
      </w:r>
    </w:p>
    <w:p w14:paraId="5769AF69">
      <w:pPr>
        <w:pStyle w:val="27"/>
        <w:spacing w:beforeLines="20" w:beforeAutospacing="0" w:after="0" w:afterAutospacing="0"/>
        <w:ind w:left="1082" w:leftChars="171" w:hanging="723" w:hangingChars="300"/>
        <w:rPr>
          <w:rFonts w:hAnsi="宋体" w:cs="宋体"/>
          <w:b/>
          <w:bCs/>
          <w:color w:val="auto"/>
          <w:kern w:val="2"/>
        </w:rPr>
      </w:pPr>
      <w:r>
        <w:rPr>
          <w:rFonts w:hint="eastAsia" w:hAnsi="宋体" w:cs="宋体"/>
          <w:b/>
          <w:bCs/>
          <w:color w:val="auto"/>
          <w:kern w:val="2"/>
        </w:rPr>
        <w:t xml:space="preserve">      3、本项目不允许负偏离。</w:t>
      </w:r>
    </w:p>
    <w:p w14:paraId="30FA9754">
      <w:pPr>
        <w:pStyle w:val="27"/>
        <w:spacing w:beforeLines="20" w:beforeAutospacing="0" w:after="0" w:afterAutospacing="0"/>
        <w:ind w:firstLine="1080" w:firstLineChars="450"/>
        <w:rPr>
          <w:rFonts w:hAnsi="宋体" w:cs="宋体"/>
          <w:color w:val="auto"/>
          <w:kern w:val="2"/>
        </w:rPr>
      </w:pPr>
      <w:r>
        <w:rPr>
          <w:rFonts w:hint="eastAsia" w:hAnsi="宋体" w:cs="宋体"/>
          <w:color w:val="auto"/>
          <w:kern w:val="2"/>
        </w:rPr>
        <w:t>4、此表仅提供了表格形式，供应商可按此表格复制。</w:t>
      </w:r>
    </w:p>
    <w:p w14:paraId="71DD87F4">
      <w:pPr>
        <w:pStyle w:val="27"/>
        <w:spacing w:beforeLines="20" w:beforeAutospacing="0" w:after="0" w:afterAutospacing="0"/>
        <w:ind w:firstLine="1080" w:firstLineChars="450"/>
        <w:rPr>
          <w:rFonts w:hAnsi="宋体" w:cs="宋体"/>
          <w:color w:val="auto"/>
          <w:kern w:val="2"/>
        </w:rPr>
      </w:pPr>
    </w:p>
    <w:p w14:paraId="7E05CDAC">
      <w:pPr>
        <w:ind w:firstLine="3500" w:firstLineChars="1250"/>
        <w:rPr>
          <w:rFonts w:ascii="宋体" w:hAnsi="宋体" w:cs="宋体"/>
          <w:color w:val="auto"/>
          <w:sz w:val="28"/>
          <w:szCs w:val="28"/>
        </w:rPr>
      </w:pPr>
    </w:p>
    <w:p w14:paraId="0E54688C">
      <w:pPr>
        <w:pStyle w:val="56"/>
        <w:rPr>
          <w:rFonts w:ascii="宋体" w:hAnsi="宋体"/>
          <w:color w:val="auto"/>
        </w:rPr>
      </w:pPr>
    </w:p>
    <w:p w14:paraId="79E7B330">
      <w:pPr>
        <w:snapToGrid w:val="0"/>
        <w:spacing w:line="360" w:lineRule="auto"/>
        <w:ind w:firstLine="480" w:firstLineChars="200"/>
        <w:jc w:val="right"/>
        <w:rPr>
          <w:rFonts w:ascii="宋体" w:hAnsi="宋体" w:cs="宋体"/>
          <w:color w:val="auto"/>
          <w:sz w:val="24"/>
        </w:rPr>
      </w:pPr>
      <w:r>
        <w:rPr>
          <w:rFonts w:hint="eastAsia" w:ascii="宋体" w:hAnsi="宋体" w:cs="宋体"/>
          <w:color w:val="auto"/>
          <w:sz w:val="24"/>
        </w:rPr>
        <w:t>供应商全称：</w:t>
      </w:r>
      <w:r>
        <w:rPr>
          <w:rFonts w:hint="eastAsia" w:ascii="宋体" w:hAnsi="宋体" w:cs="宋体"/>
          <w:color w:val="auto"/>
          <w:sz w:val="24"/>
          <w:u w:val="single"/>
        </w:rPr>
        <w:t xml:space="preserve">         </w:t>
      </w:r>
      <w:r>
        <w:rPr>
          <w:rFonts w:hint="eastAsia" w:ascii="宋体" w:hAnsi="宋体" w:cs="宋体"/>
          <w:color w:val="auto"/>
          <w:sz w:val="24"/>
        </w:rPr>
        <w:t>（盖公章）</w:t>
      </w:r>
    </w:p>
    <w:p w14:paraId="3DC8D5EB">
      <w:pPr>
        <w:snapToGrid w:val="0"/>
        <w:spacing w:line="360" w:lineRule="auto"/>
        <w:ind w:firstLine="480" w:firstLineChars="200"/>
        <w:jc w:val="right"/>
        <w:rPr>
          <w:rFonts w:ascii="宋体" w:hAnsi="宋体" w:cs="宋体"/>
          <w:color w:val="auto"/>
          <w:sz w:val="24"/>
        </w:rPr>
      </w:pPr>
      <w:r>
        <w:rPr>
          <w:rFonts w:hint="eastAsia" w:ascii="宋体" w:hAnsi="宋体" w:cs="宋体"/>
          <w:color w:val="auto"/>
          <w:sz w:val="24"/>
        </w:rPr>
        <w:t>法定代表人（负责人）或授权代表：</w:t>
      </w:r>
      <w:r>
        <w:rPr>
          <w:rFonts w:hint="eastAsia" w:ascii="宋体" w:hAnsi="宋体" w:cs="宋体"/>
          <w:color w:val="auto"/>
          <w:sz w:val="24"/>
          <w:u w:val="single"/>
        </w:rPr>
        <w:t xml:space="preserve">         </w:t>
      </w:r>
      <w:r>
        <w:rPr>
          <w:rFonts w:hint="eastAsia" w:ascii="宋体" w:hAnsi="宋体" w:cs="宋体"/>
          <w:color w:val="auto"/>
          <w:sz w:val="24"/>
        </w:rPr>
        <w:t>（签字或盖章）</w:t>
      </w:r>
    </w:p>
    <w:p w14:paraId="49ACFCC1">
      <w:pPr>
        <w:snapToGrid w:val="0"/>
        <w:spacing w:line="360" w:lineRule="auto"/>
        <w:ind w:firstLine="480" w:firstLineChars="200"/>
        <w:jc w:val="right"/>
        <w:rPr>
          <w:rFonts w:ascii="宋体" w:hAnsi="宋体" w:cs="宋体"/>
          <w:bCs/>
          <w:color w:val="auto"/>
          <w:sz w:val="24"/>
        </w:rPr>
      </w:pPr>
      <w:r>
        <w:rPr>
          <w:rFonts w:hint="eastAsia" w:ascii="宋体" w:hAnsi="宋体" w:cs="宋体"/>
          <w:color w:val="auto"/>
          <w:sz w:val="24"/>
        </w:rPr>
        <w:t>日期：  年 月 日</w:t>
      </w:r>
    </w:p>
    <w:p w14:paraId="71A3ABB4">
      <w:pPr>
        <w:rPr>
          <w:rFonts w:ascii="宋体" w:hAnsi="宋体" w:cs="宋体"/>
          <w:b/>
          <w:color w:val="auto"/>
          <w:kern w:val="0"/>
          <w:sz w:val="30"/>
          <w:szCs w:val="20"/>
        </w:rPr>
      </w:pPr>
    </w:p>
    <w:p w14:paraId="1DE1F05A">
      <w:pPr>
        <w:pStyle w:val="28"/>
        <w:rPr>
          <w:rFonts w:ascii="宋体" w:hAnsi="宋体" w:cs="宋体"/>
          <w:color w:val="auto"/>
          <w:lang w:eastAsia="zh-CN"/>
        </w:rPr>
      </w:pPr>
    </w:p>
    <w:p w14:paraId="38C5F912">
      <w:pPr>
        <w:pStyle w:val="42"/>
        <w:spacing w:line="240" w:lineRule="auto"/>
        <w:rPr>
          <w:rFonts w:ascii="宋体" w:hAnsi="宋体" w:cs="宋体"/>
          <w:b/>
          <w:color w:val="auto"/>
          <w:sz w:val="30"/>
          <w:szCs w:val="20"/>
        </w:rPr>
      </w:pPr>
    </w:p>
    <w:p w14:paraId="7557F742">
      <w:pPr>
        <w:pStyle w:val="50"/>
        <w:ind w:firstLine="602"/>
        <w:rPr>
          <w:rFonts w:ascii="宋体" w:hAnsi="宋体" w:cs="宋体"/>
          <w:b/>
          <w:color w:val="auto"/>
          <w:kern w:val="0"/>
          <w:sz w:val="30"/>
          <w:szCs w:val="20"/>
        </w:rPr>
      </w:pPr>
    </w:p>
    <w:p w14:paraId="5D407B58">
      <w:pPr>
        <w:pStyle w:val="50"/>
        <w:ind w:firstLine="602"/>
        <w:rPr>
          <w:rFonts w:ascii="宋体" w:hAnsi="宋体" w:cs="宋体"/>
          <w:b/>
          <w:color w:val="auto"/>
          <w:kern w:val="0"/>
          <w:sz w:val="30"/>
          <w:szCs w:val="20"/>
        </w:rPr>
      </w:pPr>
    </w:p>
    <w:p w14:paraId="3F53E9AE">
      <w:pPr>
        <w:pStyle w:val="50"/>
        <w:ind w:firstLine="602"/>
        <w:rPr>
          <w:rFonts w:ascii="宋体" w:hAnsi="宋体" w:cs="宋体"/>
          <w:b/>
          <w:color w:val="auto"/>
          <w:kern w:val="0"/>
          <w:sz w:val="30"/>
          <w:szCs w:val="20"/>
        </w:rPr>
      </w:pPr>
    </w:p>
    <w:p w14:paraId="102BB941">
      <w:pPr>
        <w:pStyle w:val="50"/>
        <w:ind w:firstLine="602"/>
        <w:rPr>
          <w:rFonts w:ascii="宋体" w:hAnsi="宋体" w:cs="宋体"/>
          <w:b/>
          <w:color w:val="auto"/>
          <w:kern w:val="0"/>
          <w:sz w:val="30"/>
          <w:szCs w:val="20"/>
        </w:rPr>
      </w:pPr>
    </w:p>
    <w:p w14:paraId="566C6FE2">
      <w:pPr>
        <w:pStyle w:val="27"/>
        <w:rPr>
          <w:rFonts w:hAnsi="宋体" w:cs="宋体"/>
          <w:bCs/>
          <w:color w:val="auto"/>
          <w:sz w:val="21"/>
          <w:szCs w:val="21"/>
        </w:rPr>
      </w:pPr>
      <w:r>
        <w:rPr>
          <w:rFonts w:hint="eastAsia" w:hAnsi="宋体" w:cs="宋体"/>
          <w:bCs/>
          <w:color w:val="auto"/>
          <w:sz w:val="21"/>
          <w:szCs w:val="21"/>
        </w:rPr>
        <w:t xml:space="preserve">附件7-1 中小企业声明函： </w:t>
      </w:r>
    </w:p>
    <w:p w14:paraId="53B9CA34">
      <w:pPr>
        <w:snapToGrid w:val="0"/>
        <w:spacing w:before="50" w:afterLines="50"/>
        <w:jc w:val="center"/>
        <w:rPr>
          <w:rFonts w:ascii="宋体" w:hAnsi="宋体" w:cs="宋体"/>
          <w:b/>
          <w:color w:val="auto"/>
          <w:kern w:val="0"/>
          <w:sz w:val="30"/>
          <w:szCs w:val="30"/>
        </w:rPr>
      </w:pPr>
      <w:r>
        <w:rPr>
          <w:rFonts w:hint="eastAsia" w:ascii="宋体" w:hAnsi="宋体" w:cs="宋体"/>
          <w:b/>
          <w:color w:val="auto"/>
          <w:kern w:val="0"/>
          <w:sz w:val="30"/>
          <w:szCs w:val="30"/>
        </w:rPr>
        <w:t>中小企业声明函（货物）</w:t>
      </w:r>
    </w:p>
    <w:p w14:paraId="23B9FCB4">
      <w:pPr>
        <w:pStyle w:val="28"/>
        <w:rPr>
          <w:rFonts w:ascii="宋体" w:hAnsi="宋体" w:cs="宋体"/>
          <w:b w:val="0"/>
          <w:color w:val="auto"/>
          <w:kern w:val="2"/>
          <w:sz w:val="24"/>
          <w:lang w:eastAsia="zh-CN"/>
        </w:rPr>
      </w:pPr>
      <w:r>
        <w:rPr>
          <w:rFonts w:hint="eastAsia" w:ascii="宋体" w:hAnsi="宋体" w:cs="宋体"/>
          <w:b w:val="0"/>
          <w:color w:val="auto"/>
          <w:kern w:val="2"/>
          <w:sz w:val="24"/>
          <w:lang w:eastAsia="zh-CN"/>
        </w:rPr>
        <w:t>（本项目不适用）</w:t>
      </w:r>
    </w:p>
    <w:p w14:paraId="56A42710">
      <w:pPr>
        <w:rPr>
          <w:rFonts w:ascii="宋体" w:hAnsi="宋体" w:cs="宋体"/>
          <w:color w:val="auto"/>
        </w:rPr>
      </w:pPr>
    </w:p>
    <w:p w14:paraId="739FDFBB">
      <w:pPr>
        <w:pStyle w:val="8"/>
        <w:spacing w:line="360" w:lineRule="auto"/>
        <w:ind w:left="0" w:leftChars="0" w:firstLine="480" w:firstLineChars="200"/>
        <w:rPr>
          <w:rFonts w:ascii="宋体" w:hAnsi="宋体" w:cs="宋体"/>
          <w:color w:val="auto"/>
          <w:sz w:val="24"/>
        </w:rPr>
      </w:pPr>
      <w:r>
        <w:rPr>
          <w:rFonts w:hint="eastAsia" w:ascii="宋体" w:hAnsi="宋体" w:cs="宋体"/>
          <w:color w:val="auto"/>
          <w:sz w:val="24"/>
        </w:rPr>
        <w:t>本公司（联合体）郑重声明，根据《政府采购促进中小企业发展管理办法》（财库﹝2020﹞46号）的规定，本公司（联合体）参加</w:t>
      </w:r>
      <w:r>
        <w:rPr>
          <w:rFonts w:hint="eastAsia" w:ascii="宋体" w:hAnsi="宋体" w:cs="宋体"/>
          <w:color w:val="auto"/>
          <w:sz w:val="24"/>
          <w:u w:val="single"/>
        </w:rPr>
        <w:t>（单位名称）</w:t>
      </w:r>
      <w:r>
        <w:rPr>
          <w:rFonts w:hint="eastAsia" w:ascii="宋体" w:hAnsi="宋体" w:cs="宋体"/>
          <w:color w:val="auto"/>
          <w:sz w:val="24"/>
        </w:rPr>
        <w:t>的</w:t>
      </w:r>
      <w:r>
        <w:rPr>
          <w:rFonts w:hint="eastAsia" w:ascii="宋体" w:hAnsi="宋体" w:cs="宋体"/>
          <w:color w:val="auto"/>
          <w:sz w:val="24"/>
          <w:u w:val="single"/>
        </w:rPr>
        <w:t>（项目名称）</w:t>
      </w:r>
      <w:r>
        <w:rPr>
          <w:rFonts w:hint="eastAsia" w:ascii="宋体" w:hAnsi="宋体" w:cs="宋体"/>
          <w:color w:val="auto"/>
          <w:sz w:val="24"/>
        </w:rPr>
        <w:t>采购活动，提供的货物全部由符合政策要求的中小企业制造。相关企业（含联合体中的中小企业、签订分包意向协议的中小企业）的具体情况如下：</w:t>
      </w:r>
    </w:p>
    <w:p w14:paraId="5CE7BAF5">
      <w:pPr>
        <w:pStyle w:val="8"/>
        <w:spacing w:line="360" w:lineRule="auto"/>
        <w:ind w:left="0" w:leftChars="0" w:firstLine="480" w:firstLineChars="200"/>
        <w:jc w:val="left"/>
        <w:rPr>
          <w:rFonts w:ascii="宋体" w:hAnsi="宋体" w:cs="宋体"/>
          <w:color w:val="auto"/>
          <w:sz w:val="24"/>
        </w:rPr>
      </w:pPr>
      <w:r>
        <w:rPr>
          <w:rFonts w:hint="eastAsia" w:ascii="宋体" w:hAnsi="宋体" w:cs="宋体"/>
          <w:color w:val="auto"/>
          <w:sz w:val="24"/>
        </w:rPr>
        <w:t xml:space="preserve">1. </w:t>
      </w:r>
      <w:r>
        <w:rPr>
          <w:rFonts w:hint="eastAsia" w:ascii="宋体" w:hAnsi="宋体" w:cs="宋体"/>
          <w:color w:val="auto"/>
          <w:sz w:val="24"/>
          <w:u w:val="single"/>
        </w:rPr>
        <w:t>（标的名称）</w:t>
      </w:r>
      <w:r>
        <w:rPr>
          <w:rFonts w:hint="eastAsia" w:ascii="宋体" w:hAnsi="宋体" w:cs="宋体"/>
          <w:color w:val="auto"/>
          <w:sz w:val="24"/>
        </w:rPr>
        <w:t>，属于</w:t>
      </w:r>
      <w:r>
        <w:rPr>
          <w:rFonts w:hint="eastAsia" w:ascii="宋体" w:hAnsi="宋体" w:cs="宋体"/>
          <w:color w:val="auto"/>
          <w:sz w:val="24"/>
          <w:u w:val="single"/>
        </w:rPr>
        <w:t>（采购文件中明确的所属行业）</w:t>
      </w:r>
      <w:r>
        <w:rPr>
          <w:rFonts w:hint="eastAsia" w:ascii="宋体" w:hAnsi="宋体" w:cs="宋体"/>
          <w:color w:val="auto"/>
          <w:sz w:val="24"/>
        </w:rPr>
        <w:t>行业；制造商为</w:t>
      </w:r>
      <w:r>
        <w:rPr>
          <w:rFonts w:hint="eastAsia" w:ascii="宋体" w:hAnsi="宋体" w:cs="宋体"/>
          <w:color w:val="auto"/>
          <w:sz w:val="24"/>
          <w:u w:val="single"/>
        </w:rPr>
        <w:t>（企业名称）</w:t>
      </w:r>
      <w:r>
        <w:rPr>
          <w:rFonts w:hint="eastAsia" w:ascii="宋体" w:hAnsi="宋体" w:cs="宋体"/>
          <w:color w:val="auto"/>
          <w:sz w:val="24"/>
        </w:rPr>
        <w:t>，从业人员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w:t>
      </w:r>
      <w:r>
        <w:rPr>
          <w:rFonts w:hint="eastAsia" w:ascii="宋体" w:hAnsi="宋体" w:cs="宋体"/>
          <w:color w:val="auto"/>
          <w:sz w:val="24"/>
          <w:vertAlign w:val="superscript"/>
        </w:rPr>
        <w:t>1</w:t>
      </w:r>
      <w:r>
        <w:rPr>
          <w:rFonts w:hint="eastAsia" w:ascii="宋体" w:hAnsi="宋体" w:cs="宋体"/>
          <w:color w:val="auto"/>
          <w:sz w:val="24"/>
        </w:rPr>
        <w:t>，属于</w:t>
      </w:r>
      <w:r>
        <w:rPr>
          <w:rFonts w:hint="eastAsia" w:ascii="宋体" w:hAnsi="宋体" w:cs="宋体"/>
          <w:color w:val="auto"/>
          <w:sz w:val="24"/>
          <w:u w:val="single"/>
        </w:rPr>
        <w:t>（中型企业、小型企业、微型企业）</w:t>
      </w:r>
      <w:r>
        <w:rPr>
          <w:rFonts w:hint="eastAsia" w:ascii="宋体" w:hAnsi="宋体" w:cs="宋体"/>
          <w:color w:val="auto"/>
          <w:sz w:val="24"/>
        </w:rPr>
        <w:t>；</w:t>
      </w:r>
    </w:p>
    <w:p w14:paraId="3DF64290">
      <w:pPr>
        <w:pStyle w:val="8"/>
        <w:spacing w:line="360" w:lineRule="auto"/>
        <w:ind w:left="0" w:leftChars="0" w:firstLine="480" w:firstLineChars="200"/>
        <w:jc w:val="left"/>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u w:val="single"/>
        </w:rPr>
        <w:t>（标的名称）</w:t>
      </w:r>
      <w:r>
        <w:rPr>
          <w:rFonts w:hint="eastAsia" w:ascii="宋体" w:hAnsi="宋体" w:cs="宋体"/>
          <w:color w:val="auto"/>
          <w:sz w:val="24"/>
        </w:rPr>
        <w:t>，属于</w:t>
      </w:r>
      <w:r>
        <w:rPr>
          <w:rFonts w:hint="eastAsia" w:ascii="宋体" w:hAnsi="宋体" w:cs="宋体"/>
          <w:color w:val="auto"/>
          <w:sz w:val="24"/>
          <w:u w:val="single"/>
        </w:rPr>
        <w:t>（采购文件中明确的所属行业）</w:t>
      </w:r>
      <w:r>
        <w:rPr>
          <w:rFonts w:hint="eastAsia" w:ascii="宋体" w:hAnsi="宋体" w:cs="宋体"/>
          <w:color w:val="auto"/>
          <w:sz w:val="24"/>
        </w:rPr>
        <w:t>行业；制造商为</w:t>
      </w:r>
      <w:r>
        <w:rPr>
          <w:rFonts w:hint="eastAsia" w:ascii="宋体" w:hAnsi="宋体" w:cs="宋体"/>
          <w:color w:val="auto"/>
          <w:sz w:val="24"/>
          <w:u w:val="single"/>
        </w:rPr>
        <w:t>（企业名称）</w:t>
      </w:r>
      <w:r>
        <w:rPr>
          <w:rFonts w:hint="eastAsia" w:ascii="宋体" w:hAnsi="宋体" w:cs="宋体"/>
          <w:color w:val="auto"/>
          <w:sz w:val="24"/>
        </w:rPr>
        <w:t>，从业人员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（中型企业、小型企业、微型企业）</w:t>
      </w:r>
      <w:r>
        <w:rPr>
          <w:rFonts w:hint="eastAsia" w:ascii="宋体" w:hAnsi="宋体" w:cs="宋体"/>
          <w:color w:val="auto"/>
          <w:sz w:val="24"/>
        </w:rPr>
        <w:t>；</w:t>
      </w:r>
    </w:p>
    <w:p w14:paraId="06EA9421">
      <w:pPr>
        <w:pStyle w:val="8"/>
        <w:spacing w:line="360" w:lineRule="auto"/>
        <w:ind w:left="0" w:leftChars="0" w:firstLine="480" w:firstLineChars="200"/>
        <w:rPr>
          <w:rFonts w:ascii="宋体" w:hAnsi="宋体" w:cs="宋体"/>
          <w:color w:val="auto"/>
          <w:sz w:val="24"/>
        </w:rPr>
      </w:pPr>
      <w:r>
        <w:rPr>
          <w:rFonts w:hint="eastAsia" w:ascii="宋体" w:hAnsi="宋体" w:cs="宋体"/>
          <w:color w:val="auto"/>
          <w:sz w:val="24"/>
        </w:rPr>
        <w:t>……</w:t>
      </w:r>
    </w:p>
    <w:p w14:paraId="3A3E23FD">
      <w:pPr>
        <w:pStyle w:val="8"/>
        <w:spacing w:line="360" w:lineRule="auto"/>
        <w:ind w:left="0" w:leftChars="0" w:firstLine="480" w:firstLineChars="200"/>
        <w:rPr>
          <w:rFonts w:ascii="宋体" w:hAnsi="宋体" w:cs="宋体"/>
          <w:color w:val="auto"/>
          <w:sz w:val="24"/>
        </w:rPr>
      </w:pPr>
      <w:r>
        <w:rPr>
          <w:rFonts w:hint="eastAsia" w:ascii="宋体" w:hAnsi="宋体" w:cs="宋体"/>
          <w:color w:val="auto"/>
          <w:sz w:val="24"/>
        </w:rPr>
        <w:t>以上企业，不属于大企业的分支机构，不存在控股股东为大企业的情形，也不存在与大企业的负责人为同一人的情形。</w:t>
      </w:r>
    </w:p>
    <w:p w14:paraId="000E5435">
      <w:pPr>
        <w:pStyle w:val="8"/>
        <w:spacing w:line="360" w:lineRule="auto"/>
        <w:ind w:left="0" w:leftChars="0" w:firstLine="480" w:firstLineChars="200"/>
        <w:rPr>
          <w:rFonts w:ascii="宋体" w:hAnsi="宋体" w:cs="宋体"/>
          <w:color w:val="auto"/>
          <w:sz w:val="24"/>
        </w:rPr>
      </w:pPr>
      <w:r>
        <w:rPr>
          <w:rFonts w:hint="eastAsia" w:ascii="宋体" w:hAnsi="宋体" w:cs="宋体"/>
          <w:color w:val="auto"/>
          <w:sz w:val="24"/>
        </w:rPr>
        <w:t>本企业对上述声明内容的真实性负责。如有虚假，将依法承担相应责任。</w:t>
      </w:r>
    </w:p>
    <w:p w14:paraId="62273011">
      <w:pPr>
        <w:spacing w:line="360" w:lineRule="auto"/>
        <w:rPr>
          <w:rFonts w:ascii="宋体" w:hAnsi="宋体" w:cs="宋体"/>
          <w:color w:val="auto"/>
        </w:rPr>
      </w:pPr>
    </w:p>
    <w:p w14:paraId="7C48829A">
      <w:pPr>
        <w:pStyle w:val="13"/>
        <w:spacing w:line="360" w:lineRule="auto"/>
        <w:rPr>
          <w:rFonts w:hAnsi="宋体" w:cs="宋体"/>
          <w:color w:val="auto"/>
        </w:rPr>
      </w:pPr>
    </w:p>
    <w:p w14:paraId="443D9797">
      <w:pPr>
        <w:spacing w:line="360" w:lineRule="auto"/>
        <w:rPr>
          <w:rFonts w:ascii="宋体" w:hAnsi="宋体" w:cs="宋体"/>
          <w:color w:val="auto"/>
        </w:rPr>
      </w:pPr>
    </w:p>
    <w:p w14:paraId="7EEB0035">
      <w:pPr>
        <w:pStyle w:val="13"/>
        <w:spacing w:line="360" w:lineRule="auto"/>
        <w:rPr>
          <w:rFonts w:hAnsi="宋体" w:cs="宋体"/>
          <w:color w:val="auto"/>
        </w:rPr>
      </w:pPr>
    </w:p>
    <w:p w14:paraId="2E4150D3">
      <w:pPr>
        <w:pStyle w:val="8"/>
        <w:spacing w:line="360" w:lineRule="auto"/>
        <w:ind w:left="2520" w:firstLine="2880" w:firstLineChars="1200"/>
        <w:rPr>
          <w:rFonts w:ascii="宋体" w:hAnsi="宋体" w:cs="宋体"/>
          <w:color w:val="auto"/>
          <w:sz w:val="24"/>
        </w:rPr>
      </w:pPr>
      <w:r>
        <w:rPr>
          <w:rFonts w:hint="eastAsia" w:ascii="宋体" w:hAnsi="宋体" w:cs="宋体"/>
          <w:color w:val="auto"/>
          <w:sz w:val="24"/>
        </w:rPr>
        <w:t>企业名称（盖公章）：</w:t>
      </w:r>
    </w:p>
    <w:p w14:paraId="7068642D">
      <w:pPr>
        <w:pStyle w:val="8"/>
        <w:spacing w:line="360" w:lineRule="auto"/>
        <w:ind w:left="2520" w:firstLine="2880" w:firstLineChars="1200"/>
        <w:rPr>
          <w:rFonts w:ascii="宋体" w:hAnsi="宋体" w:cs="宋体"/>
          <w:color w:val="auto"/>
          <w:sz w:val="24"/>
        </w:rPr>
      </w:pPr>
      <w:r>
        <w:rPr>
          <w:rFonts w:hint="eastAsia" w:ascii="宋体" w:hAnsi="宋体" w:cs="宋体"/>
          <w:color w:val="auto"/>
          <w:sz w:val="24"/>
        </w:rPr>
        <w:t>日期：</w:t>
      </w:r>
    </w:p>
    <w:p w14:paraId="278E36C1">
      <w:pPr>
        <w:rPr>
          <w:rFonts w:ascii="宋体" w:hAnsi="宋体" w:cs="宋体"/>
          <w:color w:val="auto"/>
          <w:sz w:val="24"/>
        </w:rPr>
      </w:pPr>
    </w:p>
    <w:p w14:paraId="2E435A2C">
      <w:pPr>
        <w:pStyle w:val="13"/>
        <w:rPr>
          <w:rFonts w:hAnsi="宋体" w:cs="宋体"/>
          <w:color w:val="auto"/>
          <w:sz w:val="24"/>
        </w:rPr>
      </w:pPr>
    </w:p>
    <w:p w14:paraId="5A0AC88A">
      <w:pPr>
        <w:rPr>
          <w:rFonts w:ascii="宋体" w:hAnsi="宋体" w:cs="宋体"/>
          <w:color w:val="auto"/>
          <w:sz w:val="24"/>
        </w:rPr>
      </w:pPr>
    </w:p>
    <w:p w14:paraId="36C038CE">
      <w:pPr>
        <w:pStyle w:val="13"/>
        <w:rPr>
          <w:rFonts w:hAnsi="宋体" w:cs="宋体"/>
          <w:color w:val="auto"/>
          <w:sz w:val="24"/>
        </w:rPr>
      </w:pPr>
    </w:p>
    <w:p w14:paraId="3837FFA6">
      <w:pPr>
        <w:rPr>
          <w:rFonts w:ascii="宋体" w:hAnsi="宋体" w:cs="宋体"/>
          <w:color w:val="auto"/>
          <w:sz w:val="24"/>
        </w:rPr>
      </w:pPr>
    </w:p>
    <w:p w14:paraId="2B1B0172">
      <w:pPr>
        <w:pStyle w:val="13"/>
        <w:rPr>
          <w:rFonts w:hAnsi="宋体" w:cs="宋体"/>
          <w:color w:val="auto"/>
        </w:rPr>
      </w:pPr>
    </w:p>
    <w:p w14:paraId="5888A596">
      <w:pPr>
        <w:rPr>
          <w:rFonts w:ascii="宋体" w:hAnsi="宋体" w:cs="宋体"/>
          <w:color w:val="auto"/>
          <w:sz w:val="24"/>
        </w:rPr>
      </w:pPr>
    </w:p>
    <w:p w14:paraId="27C600D5">
      <w:pPr>
        <w:pStyle w:val="13"/>
        <w:rPr>
          <w:rFonts w:hAnsi="宋体" w:cs="宋体"/>
          <w:color w:val="auto"/>
          <w:sz w:val="24"/>
        </w:rPr>
      </w:pPr>
    </w:p>
    <w:p w14:paraId="0257E1F9">
      <w:pPr>
        <w:rPr>
          <w:rFonts w:ascii="宋体" w:hAnsi="宋体" w:cs="宋体"/>
          <w:color w:val="auto"/>
        </w:rPr>
      </w:pPr>
    </w:p>
    <w:p w14:paraId="24C0A366">
      <w:pPr>
        <w:pStyle w:val="13"/>
        <w:ind w:firstLine="0"/>
        <w:jc w:val="center"/>
        <w:rPr>
          <w:rFonts w:hAnsi="宋体" w:cs="宋体"/>
          <w:color w:val="auto"/>
        </w:rPr>
      </w:pPr>
      <w:r>
        <w:rPr>
          <w:rFonts w:hint="eastAsia" w:hAnsi="宋体" w:cs="宋体"/>
          <w:color w:val="auto"/>
          <w:sz w:val="28"/>
          <w:szCs w:val="28"/>
          <w:vertAlign w:val="superscript"/>
        </w:rPr>
        <w:t xml:space="preserve">1 </w:t>
      </w:r>
      <w:r>
        <w:rPr>
          <w:rFonts w:hint="eastAsia" w:hAnsi="宋体" w:cs="宋体"/>
          <w:color w:val="auto"/>
          <w:szCs w:val="21"/>
        </w:rPr>
        <w:t>从业人员、营业收入、资产总额填报上一年度数据，无上一年度数据的新成立企业可不填报。</w:t>
      </w:r>
    </w:p>
    <w:p w14:paraId="29EA4D98">
      <w:pPr>
        <w:pStyle w:val="27"/>
        <w:rPr>
          <w:rFonts w:hAnsi="宋体" w:cs="宋体"/>
          <w:bCs/>
          <w:color w:val="auto"/>
          <w:sz w:val="21"/>
          <w:szCs w:val="21"/>
        </w:rPr>
      </w:pPr>
      <w:r>
        <w:rPr>
          <w:rFonts w:hint="eastAsia" w:hAnsi="宋体" w:cs="宋体"/>
          <w:bCs/>
          <w:color w:val="auto"/>
          <w:sz w:val="21"/>
          <w:szCs w:val="21"/>
        </w:rPr>
        <w:t xml:space="preserve">附件7-2 中小企业声明函： </w:t>
      </w:r>
    </w:p>
    <w:p w14:paraId="4A48C15C">
      <w:pPr>
        <w:snapToGrid w:val="0"/>
        <w:spacing w:before="50" w:afterLines="50"/>
        <w:jc w:val="center"/>
        <w:rPr>
          <w:rFonts w:ascii="宋体" w:hAnsi="宋体" w:cs="宋体"/>
          <w:b/>
          <w:color w:val="auto"/>
          <w:kern w:val="0"/>
          <w:sz w:val="30"/>
          <w:szCs w:val="30"/>
        </w:rPr>
      </w:pPr>
      <w:r>
        <w:rPr>
          <w:rFonts w:hint="eastAsia" w:ascii="宋体" w:hAnsi="宋体" w:cs="宋体"/>
          <w:b/>
          <w:color w:val="auto"/>
          <w:kern w:val="0"/>
          <w:sz w:val="30"/>
          <w:szCs w:val="30"/>
        </w:rPr>
        <w:t>中小企业声明函（工程、服务）</w:t>
      </w:r>
    </w:p>
    <w:p w14:paraId="775FEADE">
      <w:pPr>
        <w:pStyle w:val="50"/>
        <w:spacing w:line="360" w:lineRule="auto"/>
        <w:ind w:firstLine="560"/>
        <w:rPr>
          <w:rFonts w:ascii="宋体" w:hAnsi="宋体" w:cs="宋体"/>
          <w:color w:val="auto"/>
        </w:rPr>
      </w:pPr>
      <w:r>
        <w:rPr>
          <w:rFonts w:hint="eastAsia" w:ascii="宋体" w:hAnsi="宋体" w:cs="宋体"/>
          <w:color w:val="auto"/>
        </w:rPr>
        <w:t xml:space="preserve"> </w:t>
      </w:r>
    </w:p>
    <w:p w14:paraId="7990E980">
      <w:pPr>
        <w:pStyle w:val="50"/>
        <w:spacing w:line="360" w:lineRule="auto"/>
        <w:ind w:firstLine="480"/>
        <w:rPr>
          <w:rFonts w:ascii="宋体" w:hAnsi="宋体" w:cs="宋体"/>
          <w:color w:val="auto"/>
          <w:sz w:val="24"/>
          <w:szCs w:val="24"/>
        </w:rPr>
      </w:pPr>
      <w:r>
        <w:rPr>
          <w:rFonts w:hint="eastAsia" w:ascii="宋体" w:hAnsi="宋体" w:cs="宋体"/>
          <w:color w:val="auto"/>
          <w:sz w:val="24"/>
          <w:szCs w:val="24"/>
        </w:rPr>
        <w:t>本公司（联合体）郑重声明，根据《政府采购促进中小企业发展管理办法》（财库﹝2020﹞46 号）的规定，本公司（联合体）参加</w:t>
      </w:r>
      <w:r>
        <w:rPr>
          <w:rFonts w:hint="eastAsia" w:ascii="宋体" w:hAnsi="宋体" w:cs="宋体"/>
          <w:color w:val="auto"/>
          <w:sz w:val="24"/>
          <w:szCs w:val="24"/>
          <w:u w:val="single"/>
        </w:rPr>
        <w:t>天台县自然资源和规划局</w:t>
      </w:r>
      <w:r>
        <w:rPr>
          <w:rFonts w:hint="eastAsia" w:ascii="宋体" w:hAnsi="宋体" w:cs="宋体"/>
          <w:color w:val="auto"/>
          <w:sz w:val="21"/>
          <w:szCs w:val="21"/>
          <w:u w:val="single"/>
        </w:rPr>
        <w:t>（单位名称）</w:t>
      </w:r>
      <w:r>
        <w:rPr>
          <w:rFonts w:hint="eastAsia" w:ascii="宋体" w:hAnsi="宋体" w:cs="宋体"/>
          <w:color w:val="auto"/>
          <w:sz w:val="24"/>
          <w:szCs w:val="24"/>
        </w:rPr>
        <w:t>的</w:t>
      </w:r>
      <w:r>
        <w:rPr>
          <w:rFonts w:hint="eastAsia" w:ascii="宋体" w:hAnsi="宋体" w:cs="宋体"/>
          <w:color w:val="auto"/>
          <w:sz w:val="24"/>
          <w:szCs w:val="24"/>
          <w:u w:val="single"/>
        </w:rPr>
        <w:t>天台县2025年度补充林地库建设项目</w:t>
      </w:r>
      <w:r>
        <w:rPr>
          <w:rFonts w:hint="eastAsia" w:ascii="宋体" w:hAnsi="宋体" w:cs="宋体"/>
          <w:color w:val="auto"/>
          <w:sz w:val="21"/>
          <w:szCs w:val="21"/>
          <w:u w:val="single"/>
        </w:rPr>
        <w:t>（项目名称）</w:t>
      </w:r>
      <w:r>
        <w:rPr>
          <w:rFonts w:hint="eastAsia" w:ascii="宋体" w:hAnsi="宋体" w:cs="宋体"/>
          <w:color w:val="auto"/>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14:paraId="6EF28627">
      <w:pPr>
        <w:pStyle w:val="50"/>
        <w:spacing w:line="360" w:lineRule="auto"/>
        <w:ind w:firstLine="480"/>
        <w:rPr>
          <w:rFonts w:ascii="宋体" w:hAnsi="宋体" w:cs="宋体"/>
          <w:color w:val="auto"/>
          <w:sz w:val="24"/>
          <w:szCs w:val="24"/>
        </w:rPr>
      </w:pPr>
      <w:r>
        <w:rPr>
          <w:rFonts w:hint="eastAsia" w:ascii="宋体" w:hAnsi="宋体" w:cs="宋体"/>
          <w:color w:val="auto"/>
          <w:sz w:val="24"/>
          <w:szCs w:val="24"/>
        </w:rPr>
        <w:t>1.</w:t>
      </w:r>
      <w:r>
        <w:rPr>
          <w:rFonts w:hint="eastAsia" w:ascii="宋体" w:hAnsi="宋体" w:cs="宋体"/>
          <w:b/>
          <w:bCs/>
          <w:color w:val="auto"/>
          <w:sz w:val="24"/>
          <w:szCs w:val="24"/>
          <w:u w:val="single"/>
        </w:rPr>
        <w:t>补充林地库建设</w:t>
      </w:r>
      <w:r>
        <w:rPr>
          <w:rFonts w:hint="eastAsia" w:ascii="宋体" w:hAnsi="宋体" w:cs="宋体"/>
          <w:color w:val="auto"/>
          <w:sz w:val="21"/>
          <w:szCs w:val="21"/>
          <w:u w:val="single"/>
        </w:rPr>
        <w:t>（标的名称）</w:t>
      </w:r>
      <w:r>
        <w:rPr>
          <w:rFonts w:hint="eastAsia" w:ascii="宋体" w:hAnsi="宋体" w:cs="宋体"/>
          <w:color w:val="auto"/>
          <w:sz w:val="24"/>
          <w:szCs w:val="24"/>
        </w:rPr>
        <w:t>，属于</w:t>
      </w:r>
      <w:r>
        <w:rPr>
          <w:rFonts w:hint="eastAsia" w:ascii="宋体" w:hAnsi="宋体" w:cs="宋体"/>
          <w:b/>
          <w:bCs/>
          <w:color w:val="auto"/>
          <w:sz w:val="24"/>
          <w:szCs w:val="24"/>
          <w:u w:val="single"/>
        </w:rPr>
        <w:t>其他未列明行业</w:t>
      </w:r>
      <w:r>
        <w:rPr>
          <w:rFonts w:hint="eastAsia" w:ascii="宋体" w:hAnsi="宋体" w:cs="宋体"/>
          <w:color w:val="auto"/>
          <w:sz w:val="21"/>
          <w:szCs w:val="21"/>
          <w:u w:val="single"/>
        </w:rPr>
        <w:t>（采购文件中明确的所属行业）</w:t>
      </w:r>
      <w:r>
        <w:rPr>
          <w:rFonts w:hint="eastAsia" w:ascii="宋体" w:hAnsi="宋体" w:cs="宋体"/>
          <w:color w:val="auto"/>
          <w:sz w:val="24"/>
          <w:szCs w:val="24"/>
        </w:rPr>
        <w:t>；承建（承接）企业为</w:t>
      </w:r>
      <w:r>
        <w:rPr>
          <w:rFonts w:hint="eastAsia" w:ascii="宋体" w:hAnsi="宋体" w:cs="宋体"/>
          <w:color w:val="auto"/>
          <w:sz w:val="24"/>
          <w:szCs w:val="24"/>
          <w:u w:val="single"/>
        </w:rPr>
        <w:t xml:space="preserve">      </w:t>
      </w:r>
      <w:r>
        <w:rPr>
          <w:rFonts w:hint="eastAsia" w:ascii="宋体" w:hAnsi="宋体" w:cs="宋体"/>
          <w:color w:val="auto"/>
          <w:sz w:val="21"/>
          <w:szCs w:val="21"/>
          <w:u w:val="single"/>
        </w:rPr>
        <w:t>（企业名称）</w:t>
      </w:r>
      <w:r>
        <w:rPr>
          <w:rFonts w:hint="eastAsia" w:ascii="宋体" w:hAnsi="宋体" w:cs="宋体"/>
          <w:color w:val="auto"/>
          <w:sz w:val="24"/>
          <w:szCs w:val="24"/>
        </w:rPr>
        <w:t>，从业人员</w:t>
      </w:r>
      <w:r>
        <w:rPr>
          <w:rFonts w:hint="eastAsia" w:ascii="宋体" w:hAnsi="宋体" w:cs="宋体"/>
          <w:color w:val="auto"/>
          <w:sz w:val="24"/>
          <w:szCs w:val="24"/>
          <w:u w:val="single"/>
        </w:rPr>
        <w:t xml:space="preserve">      </w:t>
      </w:r>
      <w:r>
        <w:rPr>
          <w:rFonts w:hint="eastAsia" w:ascii="宋体" w:hAnsi="宋体" w:cs="宋体"/>
          <w:color w:val="auto"/>
          <w:sz w:val="24"/>
          <w:szCs w:val="24"/>
        </w:rPr>
        <w:t>人，营业收入为</w:t>
      </w:r>
      <w:r>
        <w:rPr>
          <w:rFonts w:hint="eastAsia" w:ascii="宋体" w:hAnsi="宋体" w:cs="宋体"/>
          <w:color w:val="auto"/>
          <w:sz w:val="24"/>
          <w:szCs w:val="24"/>
          <w:u w:val="single"/>
        </w:rPr>
        <w:t xml:space="preserve">      </w:t>
      </w:r>
      <w:r>
        <w:rPr>
          <w:rFonts w:hint="eastAsia" w:ascii="宋体" w:hAnsi="宋体" w:cs="宋体"/>
          <w:color w:val="auto"/>
          <w:sz w:val="24"/>
          <w:szCs w:val="24"/>
        </w:rPr>
        <w:t>万元，资产总额为</w:t>
      </w:r>
      <w:r>
        <w:rPr>
          <w:rFonts w:hint="eastAsia" w:ascii="宋体" w:hAnsi="宋体" w:cs="宋体"/>
          <w:color w:val="auto"/>
          <w:sz w:val="24"/>
          <w:szCs w:val="24"/>
          <w:u w:val="single"/>
        </w:rPr>
        <w:t xml:space="preserve">      </w:t>
      </w:r>
      <w:r>
        <w:rPr>
          <w:rFonts w:hint="eastAsia" w:ascii="宋体" w:hAnsi="宋体" w:cs="宋体"/>
          <w:color w:val="auto"/>
          <w:sz w:val="24"/>
          <w:szCs w:val="24"/>
        </w:rPr>
        <w:t>万元</w:t>
      </w:r>
      <w:r>
        <w:rPr>
          <w:rFonts w:hint="eastAsia" w:ascii="宋体" w:hAnsi="宋体" w:cs="宋体"/>
          <w:color w:val="auto"/>
          <w:sz w:val="24"/>
          <w:szCs w:val="24"/>
          <w:vertAlign w:val="superscript"/>
        </w:rPr>
        <w:t>1</w:t>
      </w:r>
      <w:r>
        <w:rPr>
          <w:rFonts w:hint="eastAsia" w:ascii="宋体" w:hAnsi="宋体" w:cs="宋体"/>
          <w:color w:val="auto"/>
          <w:sz w:val="24"/>
          <w:szCs w:val="24"/>
        </w:rPr>
        <w:t>，属于</w:t>
      </w:r>
      <w:r>
        <w:rPr>
          <w:rFonts w:hint="eastAsia" w:ascii="宋体" w:hAnsi="宋体" w:cs="宋体"/>
          <w:color w:val="auto"/>
          <w:sz w:val="24"/>
          <w:szCs w:val="24"/>
          <w:u w:val="single"/>
        </w:rPr>
        <w:t xml:space="preserve">      </w:t>
      </w:r>
      <w:r>
        <w:rPr>
          <w:rFonts w:hint="eastAsia" w:ascii="宋体" w:hAnsi="宋体" w:cs="宋体"/>
          <w:color w:val="auto"/>
          <w:sz w:val="21"/>
          <w:szCs w:val="21"/>
          <w:u w:val="single"/>
        </w:rPr>
        <w:t>（中型企业、小型企业、微型企业）</w:t>
      </w:r>
      <w:r>
        <w:rPr>
          <w:rFonts w:hint="eastAsia" w:ascii="宋体" w:hAnsi="宋体" w:cs="宋体"/>
          <w:color w:val="auto"/>
          <w:sz w:val="24"/>
          <w:szCs w:val="24"/>
        </w:rPr>
        <w:t>；</w:t>
      </w:r>
    </w:p>
    <w:p w14:paraId="0FBCC7B6">
      <w:pPr>
        <w:pStyle w:val="50"/>
        <w:spacing w:line="360" w:lineRule="auto"/>
        <w:ind w:firstLine="480"/>
        <w:rPr>
          <w:rFonts w:ascii="宋体" w:hAnsi="宋体" w:cs="宋体"/>
          <w:color w:val="auto"/>
          <w:sz w:val="24"/>
          <w:szCs w:val="24"/>
        </w:rPr>
      </w:pPr>
      <w:r>
        <w:rPr>
          <w:rFonts w:hint="eastAsia" w:ascii="宋体" w:hAnsi="宋体" w:cs="宋体"/>
          <w:color w:val="auto"/>
          <w:sz w:val="24"/>
          <w:szCs w:val="24"/>
        </w:rPr>
        <w:t>2.</w:t>
      </w:r>
      <w:r>
        <w:rPr>
          <w:rFonts w:hint="eastAsia" w:ascii="宋体" w:hAnsi="宋体" w:cs="宋体"/>
          <w:color w:val="auto"/>
          <w:sz w:val="24"/>
          <w:szCs w:val="24"/>
          <w:u w:val="single"/>
        </w:rPr>
        <w:t xml:space="preserve">              </w:t>
      </w:r>
      <w:r>
        <w:rPr>
          <w:rFonts w:hint="eastAsia" w:ascii="宋体" w:hAnsi="宋体" w:cs="宋体"/>
          <w:color w:val="auto"/>
          <w:sz w:val="21"/>
          <w:szCs w:val="21"/>
          <w:u w:val="single"/>
        </w:rPr>
        <w:t>（标的名称）</w:t>
      </w:r>
      <w:r>
        <w:rPr>
          <w:rFonts w:hint="eastAsia" w:ascii="宋体" w:hAnsi="宋体" w:cs="宋体"/>
          <w:color w:val="auto"/>
          <w:sz w:val="24"/>
          <w:szCs w:val="24"/>
        </w:rPr>
        <w:t>，属于</w:t>
      </w:r>
      <w:r>
        <w:rPr>
          <w:rFonts w:hint="eastAsia" w:ascii="宋体" w:hAnsi="宋体" w:cs="宋体"/>
          <w:color w:val="auto"/>
          <w:sz w:val="24"/>
          <w:szCs w:val="24"/>
          <w:u w:val="single"/>
        </w:rPr>
        <w:t xml:space="preserve">          </w:t>
      </w:r>
      <w:r>
        <w:rPr>
          <w:rFonts w:hint="eastAsia" w:ascii="宋体" w:hAnsi="宋体" w:cs="宋体"/>
          <w:color w:val="auto"/>
          <w:sz w:val="21"/>
          <w:szCs w:val="21"/>
          <w:u w:val="single"/>
        </w:rPr>
        <w:t>（采购文件中明确的所属行业）</w:t>
      </w:r>
      <w:r>
        <w:rPr>
          <w:rFonts w:hint="eastAsia" w:ascii="宋体" w:hAnsi="宋体" w:cs="宋体"/>
          <w:color w:val="auto"/>
          <w:sz w:val="24"/>
          <w:szCs w:val="24"/>
        </w:rPr>
        <w:t>；承建（承接）企业为</w:t>
      </w:r>
      <w:r>
        <w:rPr>
          <w:rFonts w:hint="eastAsia" w:ascii="宋体" w:hAnsi="宋体" w:cs="宋体"/>
          <w:color w:val="auto"/>
          <w:sz w:val="24"/>
          <w:szCs w:val="24"/>
          <w:u w:val="single"/>
        </w:rPr>
        <w:t xml:space="preserve">      </w:t>
      </w:r>
      <w:r>
        <w:rPr>
          <w:rFonts w:hint="eastAsia" w:ascii="宋体" w:hAnsi="宋体" w:cs="宋体"/>
          <w:color w:val="auto"/>
          <w:sz w:val="21"/>
          <w:szCs w:val="21"/>
          <w:u w:val="single"/>
        </w:rPr>
        <w:t>（企业名称）</w:t>
      </w:r>
      <w:r>
        <w:rPr>
          <w:rFonts w:hint="eastAsia" w:ascii="宋体" w:hAnsi="宋体" w:cs="宋体"/>
          <w:color w:val="auto"/>
          <w:sz w:val="24"/>
          <w:szCs w:val="24"/>
        </w:rPr>
        <w:t>，从业人员</w:t>
      </w:r>
      <w:r>
        <w:rPr>
          <w:rFonts w:hint="eastAsia" w:ascii="宋体" w:hAnsi="宋体" w:cs="宋体"/>
          <w:color w:val="auto"/>
          <w:sz w:val="24"/>
          <w:szCs w:val="24"/>
          <w:u w:val="single"/>
        </w:rPr>
        <w:t xml:space="preserve">      </w:t>
      </w:r>
      <w:r>
        <w:rPr>
          <w:rFonts w:hint="eastAsia" w:ascii="宋体" w:hAnsi="宋体" w:cs="宋体"/>
          <w:color w:val="auto"/>
          <w:sz w:val="24"/>
          <w:szCs w:val="24"/>
        </w:rPr>
        <w:t>人，营业收入为</w:t>
      </w:r>
      <w:r>
        <w:rPr>
          <w:rFonts w:hint="eastAsia" w:ascii="宋体" w:hAnsi="宋体" w:cs="宋体"/>
          <w:color w:val="auto"/>
          <w:sz w:val="24"/>
          <w:szCs w:val="24"/>
          <w:u w:val="single"/>
        </w:rPr>
        <w:t xml:space="preserve">      </w:t>
      </w:r>
      <w:r>
        <w:rPr>
          <w:rFonts w:hint="eastAsia" w:ascii="宋体" w:hAnsi="宋体" w:cs="宋体"/>
          <w:color w:val="auto"/>
          <w:sz w:val="24"/>
          <w:szCs w:val="24"/>
        </w:rPr>
        <w:t>万元，资产总额为</w:t>
      </w:r>
      <w:r>
        <w:rPr>
          <w:rFonts w:hint="eastAsia" w:ascii="宋体" w:hAnsi="宋体" w:cs="宋体"/>
          <w:color w:val="auto"/>
          <w:sz w:val="24"/>
          <w:szCs w:val="24"/>
          <w:u w:val="single"/>
        </w:rPr>
        <w:t xml:space="preserve">      </w:t>
      </w:r>
      <w:r>
        <w:rPr>
          <w:rFonts w:hint="eastAsia" w:ascii="宋体" w:hAnsi="宋体" w:cs="宋体"/>
          <w:color w:val="auto"/>
          <w:sz w:val="24"/>
          <w:szCs w:val="24"/>
        </w:rPr>
        <w:t>万元，属于</w:t>
      </w:r>
      <w:r>
        <w:rPr>
          <w:rFonts w:hint="eastAsia" w:ascii="宋体" w:hAnsi="宋体" w:cs="宋体"/>
          <w:color w:val="auto"/>
          <w:sz w:val="24"/>
          <w:szCs w:val="24"/>
          <w:u w:val="single"/>
        </w:rPr>
        <w:t xml:space="preserve">      </w:t>
      </w:r>
      <w:r>
        <w:rPr>
          <w:rFonts w:hint="eastAsia" w:ascii="宋体" w:hAnsi="宋体" w:cs="宋体"/>
          <w:color w:val="auto"/>
          <w:sz w:val="21"/>
          <w:szCs w:val="21"/>
          <w:u w:val="single"/>
        </w:rPr>
        <w:t>（中型企业、小型企业、微型企业）</w:t>
      </w:r>
      <w:r>
        <w:rPr>
          <w:rFonts w:hint="eastAsia" w:ascii="宋体" w:hAnsi="宋体" w:cs="宋体"/>
          <w:color w:val="auto"/>
          <w:sz w:val="24"/>
          <w:szCs w:val="24"/>
        </w:rPr>
        <w:t>；</w:t>
      </w:r>
    </w:p>
    <w:p w14:paraId="5562137A">
      <w:pPr>
        <w:pStyle w:val="50"/>
        <w:spacing w:line="360" w:lineRule="auto"/>
        <w:ind w:firstLine="480"/>
        <w:rPr>
          <w:rFonts w:ascii="宋体" w:hAnsi="宋体" w:cs="宋体"/>
          <w:color w:val="auto"/>
          <w:sz w:val="24"/>
          <w:szCs w:val="24"/>
        </w:rPr>
      </w:pPr>
      <w:r>
        <w:rPr>
          <w:rFonts w:hint="eastAsia" w:ascii="宋体" w:hAnsi="宋体" w:cs="宋体"/>
          <w:color w:val="auto"/>
          <w:sz w:val="24"/>
          <w:szCs w:val="24"/>
        </w:rPr>
        <w:t>……</w:t>
      </w:r>
    </w:p>
    <w:p w14:paraId="0C169107">
      <w:pPr>
        <w:pStyle w:val="50"/>
        <w:spacing w:line="360" w:lineRule="auto"/>
        <w:ind w:firstLine="480"/>
        <w:rPr>
          <w:rFonts w:ascii="宋体" w:hAnsi="宋体" w:cs="宋体"/>
          <w:color w:val="auto"/>
          <w:sz w:val="24"/>
          <w:szCs w:val="24"/>
        </w:rPr>
      </w:pPr>
      <w:r>
        <w:rPr>
          <w:rFonts w:hint="eastAsia" w:ascii="宋体" w:hAnsi="宋体" w:cs="宋体"/>
          <w:color w:val="auto"/>
          <w:sz w:val="24"/>
          <w:szCs w:val="24"/>
        </w:rPr>
        <w:t>以上企业，不属于大企业的分支机构，不存在控股股东为大企业的情形，也不存在与大企业的负责人为同一人的情形。</w:t>
      </w:r>
    </w:p>
    <w:p w14:paraId="562299B7">
      <w:pPr>
        <w:pStyle w:val="50"/>
        <w:spacing w:line="360" w:lineRule="auto"/>
        <w:ind w:firstLine="480"/>
        <w:rPr>
          <w:rFonts w:ascii="宋体" w:hAnsi="宋体" w:cs="宋体"/>
          <w:color w:val="auto"/>
          <w:sz w:val="24"/>
          <w:szCs w:val="24"/>
        </w:rPr>
      </w:pPr>
      <w:r>
        <w:rPr>
          <w:rFonts w:hint="eastAsia" w:ascii="宋体" w:hAnsi="宋体" w:cs="宋体"/>
          <w:color w:val="auto"/>
          <w:sz w:val="24"/>
          <w:szCs w:val="24"/>
        </w:rPr>
        <w:t>本企业对上述声明内容的真实性负责。如有虚假，将依法承担相应责任。</w:t>
      </w:r>
    </w:p>
    <w:p w14:paraId="1CD63054">
      <w:pPr>
        <w:spacing w:line="360" w:lineRule="auto"/>
        <w:rPr>
          <w:rFonts w:ascii="宋体" w:hAnsi="宋体" w:cs="宋体"/>
          <w:color w:val="auto"/>
        </w:rPr>
      </w:pPr>
    </w:p>
    <w:p w14:paraId="4A66E773">
      <w:pPr>
        <w:pStyle w:val="13"/>
        <w:spacing w:line="360" w:lineRule="auto"/>
        <w:rPr>
          <w:rFonts w:hAnsi="宋体" w:cs="宋体"/>
          <w:color w:val="auto"/>
        </w:rPr>
      </w:pPr>
    </w:p>
    <w:p w14:paraId="6F901F55">
      <w:pPr>
        <w:pStyle w:val="8"/>
        <w:spacing w:line="360" w:lineRule="auto"/>
        <w:ind w:left="2520" w:firstLine="2880" w:firstLineChars="1200"/>
        <w:rPr>
          <w:rFonts w:ascii="宋体" w:hAnsi="宋体" w:cs="宋体"/>
          <w:color w:val="auto"/>
          <w:sz w:val="24"/>
        </w:rPr>
      </w:pPr>
      <w:r>
        <w:rPr>
          <w:rFonts w:hint="eastAsia" w:ascii="宋体" w:hAnsi="宋体" w:cs="宋体"/>
          <w:color w:val="auto"/>
          <w:sz w:val="24"/>
        </w:rPr>
        <w:t>企业名称（盖公章）：</w:t>
      </w:r>
    </w:p>
    <w:p w14:paraId="2029C6B6">
      <w:pPr>
        <w:pStyle w:val="8"/>
        <w:spacing w:line="360" w:lineRule="auto"/>
        <w:ind w:left="2520" w:firstLine="2880" w:firstLineChars="1200"/>
        <w:rPr>
          <w:rFonts w:ascii="宋体" w:hAnsi="宋体" w:cs="宋体"/>
          <w:color w:val="auto"/>
          <w:sz w:val="24"/>
        </w:rPr>
      </w:pPr>
      <w:r>
        <w:rPr>
          <w:rFonts w:hint="eastAsia" w:ascii="宋体" w:hAnsi="宋体" w:cs="宋体"/>
          <w:color w:val="auto"/>
          <w:sz w:val="24"/>
        </w:rPr>
        <w:t>日期：</w:t>
      </w:r>
    </w:p>
    <w:p w14:paraId="51C44F95">
      <w:pPr>
        <w:rPr>
          <w:rFonts w:ascii="宋体" w:hAnsi="宋体" w:cs="宋体"/>
          <w:color w:val="auto"/>
          <w:sz w:val="24"/>
        </w:rPr>
      </w:pPr>
    </w:p>
    <w:p w14:paraId="1B5CFAFC">
      <w:pPr>
        <w:pStyle w:val="13"/>
        <w:rPr>
          <w:rFonts w:hAnsi="宋体" w:cs="宋体"/>
          <w:color w:val="auto"/>
          <w:sz w:val="24"/>
        </w:rPr>
      </w:pPr>
    </w:p>
    <w:p w14:paraId="0BAEF109">
      <w:pPr>
        <w:rPr>
          <w:rFonts w:ascii="宋体" w:hAnsi="宋体" w:cs="宋体"/>
          <w:color w:val="auto"/>
          <w:sz w:val="24"/>
        </w:rPr>
      </w:pPr>
    </w:p>
    <w:p w14:paraId="17CA1ADA">
      <w:pPr>
        <w:rPr>
          <w:rFonts w:ascii="宋体" w:hAnsi="宋体" w:cs="宋体"/>
          <w:color w:val="auto"/>
          <w:sz w:val="24"/>
        </w:rPr>
      </w:pPr>
    </w:p>
    <w:p w14:paraId="4D6971EE">
      <w:pPr>
        <w:pStyle w:val="13"/>
        <w:rPr>
          <w:rFonts w:hAnsi="宋体" w:cs="宋体"/>
          <w:color w:val="auto"/>
        </w:rPr>
      </w:pPr>
    </w:p>
    <w:p w14:paraId="7FDC4BA1">
      <w:pPr>
        <w:rPr>
          <w:rFonts w:ascii="宋体" w:hAnsi="宋体" w:cs="宋体"/>
          <w:color w:val="auto"/>
        </w:rPr>
      </w:pPr>
    </w:p>
    <w:p w14:paraId="7F556AF2">
      <w:pPr>
        <w:pStyle w:val="13"/>
        <w:rPr>
          <w:rFonts w:hAnsi="宋体" w:cs="宋体"/>
          <w:color w:val="auto"/>
        </w:rPr>
      </w:pPr>
    </w:p>
    <w:p w14:paraId="20E77918">
      <w:pPr>
        <w:rPr>
          <w:rFonts w:ascii="宋体" w:hAnsi="宋体" w:cs="宋体"/>
          <w:color w:val="auto"/>
        </w:rPr>
      </w:pPr>
    </w:p>
    <w:p w14:paraId="6E2FE8D4">
      <w:pPr>
        <w:pStyle w:val="13"/>
        <w:rPr>
          <w:rFonts w:hAnsi="宋体" w:cs="宋体"/>
          <w:color w:val="auto"/>
        </w:rPr>
      </w:pPr>
    </w:p>
    <w:p w14:paraId="257BB8A1">
      <w:pPr>
        <w:pStyle w:val="13"/>
        <w:rPr>
          <w:rFonts w:hAnsi="宋体" w:cs="宋体"/>
          <w:color w:val="auto"/>
          <w:sz w:val="24"/>
        </w:rPr>
      </w:pPr>
    </w:p>
    <w:p w14:paraId="4E296816">
      <w:pPr>
        <w:rPr>
          <w:rFonts w:ascii="宋体" w:hAnsi="宋体" w:cs="宋体"/>
          <w:color w:val="auto"/>
        </w:rPr>
      </w:pPr>
    </w:p>
    <w:p w14:paraId="4C52C0DD">
      <w:pPr>
        <w:pStyle w:val="13"/>
        <w:ind w:firstLine="0"/>
        <w:jc w:val="center"/>
        <w:rPr>
          <w:rFonts w:hAnsi="宋体" w:cs="宋体"/>
          <w:color w:val="auto"/>
          <w:szCs w:val="21"/>
        </w:rPr>
      </w:pPr>
      <w:r>
        <w:rPr>
          <w:rFonts w:hint="eastAsia" w:hAnsi="宋体" w:cs="宋体"/>
          <w:color w:val="auto"/>
          <w:sz w:val="28"/>
          <w:szCs w:val="28"/>
          <w:vertAlign w:val="superscript"/>
        </w:rPr>
        <w:t xml:space="preserve">1 </w:t>
      </w:r>
      <w:r>
        <w:rPr>
          <w:rFonts w:hint="eastAsia" w:hAnsi="宋体" w:cs="宋体"/>
          <w:color w:val="auto"/>
          <w:szCs w:val="21"/>
        </w:rPr>
        <w:t>从业人员、营业收入、资产总额填报上一年度数据，无上一年度数据的新成立企业可不填报。</w:t>
      </w:r>
    </w:p>
    <w:p w14:paraId="71BF7CC5">
      <w:pPr>
        <w:pStyle w:val="27"/>
        <w:rPr>
          <w:rFonts w:hAnsi="宋体" w:cs="宋体"/>
          <w:bCs/>
          <w:color w:val="auto"/>
          <w:sz w:val="21"/>
          <w:szCs w:val="21"/>
        </w:rPr>
      </w:pPr>
      <w:r>
        <w:rPr>
          <w:rFonts w:hint="eastAsia" w:hAnsi="宋体" w:cs="宋体"/>
          <w:bCs/>
          <w:color w:val="auto"/>
          <w:sz w:val="21"/>
          <w:szCs w:val="21"/>
        </w:rPr>
        <w:t xml:space="preserve">附件7-3 残疾人福利性单位声明函： </w:t>
      </w:r>
    </w:p>
    <w:p w14:paraId="000B9BBC">
      <w:pPr>
        <w:snapToGrid w:val="0"/>
        <w:spacing w:before="50" w:afterLines="50"/>
        <w:jc w:val="center"/>
        <w:rPr>
          <w:rFonts w:ascii="宋体" w:hAnsi="宋体" w:cs="宋体"/>
          <w:b/>
          <w:color w:val="auto"/>
          <w:kern w:val="0"/>
          <w:sz w:val="30"/>
          <w:szCs w:val="30"/>
        </w:rPr>
      </w:pPr>
      <w:r>
        <w:rPr>
          <w:rFonts w:hint="eastAsia" w:ascii="宋体" w:hAnsi="宋体" w:cs="宋体"/>
          <w:b/>
          <w:color w:val="auto"/>
          <w:kern w:val="0"/>
          <w:sz w:val="30"/>
          <w:szCs w:val="30"/>
        </w:rPr>
        <w:t>残疾人福利性单位声明函</w:t>
      </w:r>
    </w:p>
    <w:p w14:paraId="6D8B980F">
      <w:pPr>
        <w:pStyle w:val="28"/>
        <w:rPr>
          <w:rFonts w:ascii="宋体" w:hAnsi="宋体" w:cs="宋体"/>
          <w:b w:val="0"/>
          <w:color w:val="auto"/>
          <w:kern w:val="2"/>
          <w:sz w:val="24"/>
          <w:lang w:eastAsia="zh-CN"/>
        </w:rPr>
      </w:pPr>
      <w:r>
        <w:rPr>
          <w:rFonts w:hint="eastAsia" w:ascii="宋体" w:hAnsi="宋体" w:cs="宋体"/>
          <w:b w:val="0"/>
          <w:color w:val="auto"/>
          <w:kern w:val="2"/>
          <w:sz w:val="24"/>
          <w:lang w:eastAsia="zh-CN"/>
        </w:rPr>
        <w:t>（不属于残疾人福利性单位则无需提供）</w:t>
      </w:r>
    </w:p>
    <w:p w14:paraId="6298B317">
      <w:pPr>
        <w:pStyle w:val="41"/>
        <w:rPr>
          <w:rFonts w:ascii="宋体" w:hAnsi="宋体" w:cs="宋体"/>
          <w:color w:val="auto"/>
        </w:rPr>
      </w:pPr>
    </w:p>
    <w:p w14:paraId="6075ED12">
      <w:pPr>
        <w:pStyle w:val="42"/>
        <w:spacing w:line="240" w:lineRule="auto"/>
        <w:rPr>
          <w:rFonts w:ascii="宋体" w:hAnsi="宋体" w:cs="宋体"/>
          <w:color w:val="auto"/>
          <w:lang w:val="en-GB"/>
        </w:rPr>
      </w:pPr>
    </w:p>
    <w:p w14:paraId="633341DE">
      <w:pPr>
        <w:snapToGrid w:val="0"/>
        <w:spacing w:beforeLines="50" w:after="50" w:line="432" w:lineRule="auto"/>
        <w:ind w:firstLine="480" w:firstLineChars="200"/>
        <w:rPr>
          <w:rFonts w:ascii="宋体" w:hAnsi="宋体" w:cs="宋体"/>
          <w:color w:val="auto"/>
          <w:sz w:val="24"/>
        </w:rPr>
      </w:pPr>
      <w:r>
        <w:rPr>
          <w:rFonts w:hint="eastAsia" w:ascii="宋体" w:hAnsi="宋体" w:cs="宋体"/>
          <w:color w:val="auto"/>
          <w:sz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宋体"/>
          <w:color w:val="auto"/>
          <w:sz w:val="24"/>
          <w:u w:val="single"/>
        </w:rPr>
        <w:t xml:space="preserve">          </w:t>
      </w:r>
      <w:r>
        <w:rPr>
          <w:rFonts w:hint="eastAsia" w:ascii="宋体" w:hAnsi="宋体" w:cs="宋体"/>
          <w:color w:val="auto"/>
          <w:sz w:val="24"/>
        </w:rPr>
        <w:t>单位的</w:t>
      </w:r>
      <w:r>
        <w:rPr>
          <w:rFonts w:hint="eastAsia" w:ascii="宋体" w:hAnsi="宋体" w:cs="宋体"/>
          <w:color w:val="auto"/>
          <w:sz w:val="24"/>
          <w:u w:val="single"/>
        </w:rPr>
        <w:t xml:space="preserve">          </w:t>
      </w:r>
      <w:r>
        <w:rPr>
          <w:rFonts w:hint="eastAsia" w:ascii="宋体" w:hAnsi="宋体" w:cs="宋体"/>
          <w:color w:val="auto"/>
          <w:sz w:val="24"/>
        </w:rPr>
        <w:t>项目采购活动提供本单位制造的货物（由本单位承担工程/提供服务），或者提供其他残疾人福利性单位制造的货物（不包括使用非残疾人福利性单位注册商标的货物）。</w:t>
      </w:r>
    </w:p>
    <w:p w14:paraId="03A0A42A">
      <w:pPr>
        <w:snapToGrid w:val="0"/>
        <w:spacing w:beforeLines="50" w:after="50" w:line="432" w:lineRule="auto"/>
        <w:ind w:firstLine="480" w:firstLineChars="200"/>
        <w:rPr>
          <w:rFonts w:ascii="宋体" w:hAnsi="宋体" w:cs="宋体"/>
          <w:color w:val="auto"/>
          <w:sz w:val="24"/>
        </w:rPr>
      </w:pPr>
      <w:r>
        <w:rPr>
          <w:rFonts w:hint="eastAsia" w:ascii="宋体" w:hAnsi="宋体" w:cs="宋体"/>
          <w:color w:val="auto"/>
          <w:sz w:val="24"/>
        </w:rPr>
        <w:t>本公司对上述声明的真实性负责。如有虚假，愿意承担相应责任。</w:t>
      </w:r>
    </w:p>
    <w:p w14:paraId="575CAF9B">
      <w:pPr>
        <w:spacing w:line="432" w:lineRule="auto"/>
        <w:rPr>
          <w:rFonts w:ascii="宋体" w:hAnsi="宋体" w:cs="宋体"/>
          <w:color w:val="auto"/>
        </w:rPr>
      </w:pPr>
    </w:p>
    <w:p w14:paraId="6411B9DC">
      <w:pPr>
        <w:pStyle w:val="13"/>
        <w:spacing w:line="432" w:lineRule="auto"/>
        <w:rPr>
          <w:rFonts w:hAnsi="宋体" w:cs="宋体"/>
          <w:color w:val="auto"/>
        </w:rPr>
      </w:pPr>
    </w:p>
    <w:p w14:paraId="4C1F4159">
      <w:pPr>
        <w:spacing w:line="432" w:lineRule="auto"/>
        <w:rPr>
          <w:rFonts w:ascii="宋体" w:hAnsi="宋体" w:cs="宋体"/>
          <w:color w:val="auto"/>
        </w:rPr>
      </w:pPr>
    </w:p>
    <w:p w14:paraId="7285B00D">
      <w:pPr>
        <w:pStyle w:val="50"/>
        <w:spacing w:line="432" w:lineRule="auto"/>
        <w:ind w:firstLine="480"/>
        <w:rPr>
          <w:rFonts w:ascii="宋体" w:hAnsi="宋体" w:cs="宋体"/>
          <w:color w:val="auto"/>
          <w:sz w:val="24"/>
          <w:szCs w:val="24"/>
        </w:rPr>
      </w:pPr>
    </w:p>
    <w:p w14:paraId="4CED2B84">
      <w:pPr>
        <w:pStyle w:val="8"/>
        <w:spacing w:line="432" w:lineRule="auto"/>
        <w:ind w:left="2520" w:firstLine="3360" w:firstLineChars="1200"/>
        <w:rPr>
          <w:rFonts w:ascii="宋体" w:hAnsi="宋体" w:cs="宋体"/>
          <w:color w:val="auto"/>
          <w:sz w:val="28"/>
          <w:szCs w:val="28"/>
        </w:rPr>
      </w:pPr>
      <w:r>
        <w:rPr>
          <w:rFonts w:hint="eastAsia" w:ascii="宋体" w:hAnsi="宋体" w:cs="宋体"/>
          <w:color w:val="auto"/>
          <w:sz w:val="28"/>
          <w:szCs w:val="28"/>
        </w:rPr>
        <w:t>企业名称（盖公章）：</w:t>
      </w:r>
    </w:p>
    <w:p w14:paraId="79F8D142">
      <w:pPr>
        <w:pStyle w:val="8"/>
        <w:spacing w:line="432" w:lineRule="auto"/>
        <w:ind w:left="2520" w:firstLine="3360" w:firstLineChars="1200"/>
        <w:rPr>
          <w:rFonts w:ascii="宋体" w:hAnsi="宋体" w:cs="宋体"/>
          <w:color w:val="auto"/>
          <w:sz w:val="28"/>
          <w:szCs w:val="28"/>
        </w:rPr>
      </w:pPr>
      <w:r>
        <w:rPr>
          <w:rFonts w:hint="eastAsia" w:ascii="宋体" w:hAnsi="宋体" w:cs="宋体"/>
          <w:color w:val="auto"/>
          <w:sz w:val="28"/>
          <w:szCs w:val="28"/>
        </w:rPr>
        <w:t>日期 ：</w:t>
      </w:r>
    </w:p>
    <w:p w14:paraId="44081916">
      <w:pPr>
        <w:pStyle w:val="42"/>
        <w:spacing w:line="432" w:lineRule="auto"/>
        <w:rPr>
          <w:rFonts w:ascii="宋体" w:hAnsi="宋体" w:cs="宋体"/>
          <w:color w:val="auto"/>
          <w:szCs w:val="21"/>
        </w:rPr>
      </w:pPr>
    </w:p>
    <w:p w14:paraId="2E9BFB34">
      <w:pPr>
        <w:pStyle w:val="2"/>
        <w:spacing w:line="240" w:lineRule="auto"/>
        <w:rPr>
          <w:rFonts w:ascii="宋体" w:hAnsi="宋体" w:cs="宋体"/>
          <w:color w:val="auto"/>
          <w:sz w:val="21"/>
          <w:szCs w:val="21"/>
        </w:rPr>
      </w:pPr>
    </w:p>
    <w:p w14:paraId="41275436">
      <w:pPr>
        <w:pStyle w:val="50"/>
        <w:ind w:firstLine="0" w:firstLineChars="0"/>
        <w:rPr>
          <w:rFonts w:ascii="宋体" w:hAnsi="宋体" w:cs="宋体"/>
          <w:color w:val="auto"/>
        </w:rPr>
      </w:pPr>
    </w:p>
    <w:p w14:paraId="3A0F3EBB">
      <w:pPr>
        <w:pStyle w:val="50"/>
        <w:ind w:firstLine="0" w:firstLineChars="0"/>
        <w:rPr>
          <w:rFonts w:ascii="宋体" w:hAnsi="宋体" w:cs="宋体"/>
          <w:color w:val="auto"/>
        </w:rPr>
      </w:pPr>
    </w:p>
    <w:p w14:paraId="4B4EB776">
      <w:pPr>
        <w:pStyle w:val="50"/>
        <w:ind w:firstLine="0" w:firstLineChars="0"/>
        <w:rPr>
          <w:rFonts w:ascii="宋体" w:hAnsi="宋体" w:cs="宋体"/>
          <w:color w:val="auto"/>
        </w:rPr>
      </w:pPr>
    </w:p>
    <w:p w14:paraId="22B5B8D4">
      <w:pPr>
        <w:pStyle w:val="50"/>
        <w:ind w:firstLine="0" w:firstLineChars="0"/>
        <w:rPr>
          <w:rFonts w:ascii="宋体" w:hAnsi="宋体" w:cs="宋体"/>
          <w:color w:val="auto"/>
        </w:rPr>
      </w:pPr>
    </w:p>
    <w:p w14:paraId="2B63F804">
      <w:pPr>
        <w:pStyle w:val="50"/>
        <w:ind w:firstLine="0" w:firstLineChars="0"/>
        <w:rPr>
          <w:rFonts w:ascii="宋体" w:hAnsi="宋体" w:cs="宋体"/>
          <w:color w:val="auto"/>
        </w:rPr>
      </w:pPr>
    </w:p>
    <w:p w14:paraId="3A09B7ED">
      <w:pPr>
        <w:pStyle w:val="50"/>
        <w:ind w:firstLine="0" w:firstLineChars="0"/>
        <w:rPr>
          <w:rFonts w:ascii="宋体" w:hAnsi="宋体" w:cs="宋体"/>
          <w:color w:val="auto"/>
        </w:rPr>
      </w:pPr>
    </w:p>
    <w:p w14:paraId="732FC96B">
      <w:pPr>
        <w:pStyle w:val="50"/>
        <w:ind w:firstLine="0" w:firstLineChars="0"/>
        <w:rPr>
          <w:rFonts w:ascii="宋体" w:hAnsi="宋体" w:cs="宋体"/>
          <w:color w:val="auto"/>
        </w:rPr>
      </w:pPr>
    </w:p>
    <w:p w14:paraId="308BC0F8">
      <w:pPr>
        <w:pStyle w:val="50"/>
        <w:ind w:firstLine="0" w:firstLineChars="0"/>
        <w:rPr>
          <w:rFonts w:ascii="宋体" w:hAnsi="宋体" w:cs="宋体"/>
          <w:color w:val="auto"/>
        </w:rPr>
      </w:pPr>
    </w:p>
    <w:p w14:paraId="754C03B8">
      <w:pPr>
        <w:pStyle w:val="50"/>
        <w:ind w:firstLine="0" w:firstLineChars="0"/>
        <w:rPr>
          <w:rFonts w:ascii="宋体" w:hAnsi="宋体" w:cs="宋体"/>
          <w:color w:val="auto"/>
        </w:rPr>
      </w:pPr>
    </w:p>
    <w:p w14:paraId="3F588D72">
      <w:pPr>
        <w:pStyle w:val="50"/>
        <w:ind w:firstLine="0" w:firstLineChars="0"/>
        <w:rPr>
          <w:rFonts w:ascii="宋体" w:hAnsi="宋体" w:cs="宋体"/>
          <w:color w:val="auto"/>
        </w:rPr>
      </w:pPr>
    </w:p>
    <w:p w14:paraId="50C34456">
      <w:pPr>
        <w:pStyle w:val="50"/>
        <w:ind w:firstLine="0" w:firstLineChars="0"/>
        <w:rPr>
          <w:rFonts w:ascii="宋体" w:hAnsi="宋体" w:cs="宋体"/>
          <w:color w:val="auto"/>
        </w:rPr>
      </w:pPr>
    </w:p>
    <w:p w14:paraId="1246203F">
      <w:pPr>
        <w:pStyle w:val="27"/>
        <w:rPr>
          <w:rFonts w:hAnsi="宋体" w:cs="宋体"/>
          <w:bCs/>
          <w:color w:val="auto"/>
          <w:sz w:val="21"/>
          <w:szCs w:val="21"/>
        </w:rPr>
      </w:pPr>
      <w:r>
        <w:rPr>
          <w:rFonts w:hint="eastAsia" w:hAnsi="宋体" w:cs="宋体"/>
          <w:bCs/>
          <w:color w:val="auto"/>
          <w:sz w:val="21"/>
          <w:szCs w:val="21"/>
        </w:rPr>
        <w:t>附件8 联合协议：</w:t>
      </w:r>
    </w:p>
    <w:p w14:paraId="1423E974">
      <w:pPr>
        <w:snapToGrid w:val="0"/>
        <w:spacing w:before="50" w:afterLines="50"/>
        <w:jc w:val="center"/>
        <w:rPr>
          <w:rFonts w:ascii="宋体" w:hAnsi="宋体" w:cs="宋体"/>
          <w:b/>
          <w:color w:val="auto"/>
          <w:kern w:val="0"/>
          <w:sz w:val="30"/>
          <w:szCs w:val="30"/>
        </w:rPr>
      </w:pPr>
      <w:r>
        <w:rPr>
          <w:rFonts w:hint="eastAsia" w:ascii="宋体" w:hAnsi="宋体" w:cs="宋体"/>
          <w:b/>
          <w:color w:val="auto"/>
          <w:kern w:val="0"/>
          <w:sz w:val="30"/>
          <w:szCs w:val="30"/>
        </w:rPr>
        <w:t xml:space="preserve">联合协议 </w:t>
      </w:r>
    </w:p>
    <w:p w14:paraId="68BB71DE">
      <w:pPr>
        <w:widowControl/>
        <w:jc w:val="center"/>
        <w:rPr>
          <w:rFonts w:ascii="宋体" w:hAnsi="宋体" w:cs="宋体"/>
          <w:color w:val="auto"/>
        </w:rPr>
      </w:pPr>
      <w:r>
        <w:rPr>
          <w:rFonts w:hint="eastAsia" w:ascii="宋体" w:hAnsi="宋体" w:cs="宋体"/>
          <w:b/>
          <w:bCs/>
          <w:color w:val="auto"/>
          <w:kern w:val="0"/>
          <w:sz w:val="24"/>
        </w:rPr>
        <w:t>（以联合体形式投标的，提供联合协议；本项目不接受联合体投标或者投标人不以</w:t>
      </w:r>
    </w:p>
    <w:p w14:paraId="021EEC12">
      <w:pPr>
        <w:widowControl/>
        <w:jc w:val="center"/>
        <w:rPr>
          <w:rFonts w:ascii="宋体" w:hAnsi="宋体" w:cs="宋体"/>
          <w:color w:val="auto"/>
        </w:rPr>
      </w:pPr>
      <w:r>
        <w:rPr>
          <w:rFonts w:hint="eastAsia" w:ascii="宋体" w:hAnsi="宋体" w:cs="宋体"/>
          <w:b/>
          <w:bCs/>
          <w:color w:val="auto"/>
          <w:kern w:val="0"/>
          <w:sz w:val="24"/>
        </w:rPr>
        <w:t>联合体形式投标的，则无需提供）</w:t>
      </w:r>
    </w:p>
    <w:p w14:paraId="1BE525E2">
      <w:pPr>
        <w:widowControl/>
        <w:spacing w:line="288" w:lineRule="auto"/>
        <w:jc w:val="left"/>
        <w:rPr>
          <w:rFonts w:ascii="宋体" w:hAnsi="宋体" w:cs="宋体"/>
          <w:color w:val="auto"/>
        </w:rPr>
      </w:pPr>
      <w:r>
        <w:rPr>
          <w:rFonts w:hint="eastAsia" w:ascii="宋体" w:hAnsi="宋体" w:cs="宋体"/>
          <w:color w:val="auto"/>
          <w:kern w:val="0"/>
          <w:sz w:val="24"/>
          <w:u w:val="single"/>
        </w:rPr>
        <w:t>（联合体所有成员名称）</w:t>
      </w:r>
      <w:r>
        <w:rPr>
          <w:rFonts w:hint="eastAsia" w:ascii="宋体" w:hAnsi="宋体" w:cs="宋体"/>
          <w:color w:val="auto"/>
          <w:kern w:val="0"/>
          <w:sz w:val="24"/>
        </w:rPr>
        <w:t>自愿组成一个联合体，以一个投标人的身份参加</w:t>
      </w:r>
      <w:r>
        <w:rPr>
          <w:rFonts w:hint="eastAsia" w:ascii="宋体" w:hAnsi="宋体" w:cs="宋体"/>
          <w:color w:val="auto"/>
          <w:kern w:val="0"/>
          <w:sz w:val="24"/>
          <w:u w:val="single"/>
        </w:rPr>
        <w:t>天台县2025年度补充林地库建设项目</w:t>
      </w:r>
      <w:r>
        <w:rPr>
          <w:rFonts w:hint="eastAsia" w:ascii="宋体" w:hAnsi="宋体" w:cs="宋体"/>
          <w:color w:val="auto"/>
          <w:kern w:val="0"/>
          <w:sz w:val="24"/>
        </w:rPr>
        <w:t>【项目编号：</w:t>
      </w:r>
      <w:r>
        <w:rPr>
          <w:rFonts w:hint="eastAsia" w:ascii="宋体" w:hAnsi="宋体" w:cs="宋体"/>
          <w:color w:val="auto"/>
          <w:kern w:val="0"/>
          <w:sz w:val="24"/>
          <w:u w:val="single"/>
        </w:rPr>
        <w:t>TCCG-2025-Z070</w:t>
      </w:r>
      <w:r>
        <w:rPr>
          <w:rFonts w:hint="eastAsia" w:ascii="宋体" w:hAnsi="宋体" w:cs="宋体"/>
          <w:color w:val="auto"/>
          <w:kern w:val="0"/>
          <w:sz w:val="24"/>
        </w:rPr>
        <w:t xml:space="preserve">】投标。 </w:t>
      </w:r>
    </w:p>
    <w:p w14:paraId="6943C0B5">
      <w:pPr>
        <w:widowControl/>
        <w:spacing w:line="288" w:lineRule="auto"/>
        <w:ind w:firstLine="480" w:firstLineChars="200"/>
        <w:jc w:val="left"/>
        <w:rPr>
          <w:rFonts w:ascii="宋体" w:hAnsi="宋体" w:cs="宋体"/>
          <w:color w:val="auto"/>
        </w:rPr>
      </w:pPr>
      <w:r>
        <w:rPr>
          <w:rFonts w:hint="eastAsia" w:ascii="宋体" w:hAnsi="宋体" w:cs="宋体"/>
          <w:color w:val="auto"/>
          <w:kern w:val="0"/>
          <w:sz w:val="24"/>
        </w:rPr>
        <w:t>一、各方一致决定，</w:t>
      </w:r>
      <w:r>
        <w:rPr>
          <w:rFonts w:hint="eastAsia" w:ascii="宋体" w:hAnsi="宋体" w:cs="宋体"/>
          <w:color w:val="auto"/>
          <w:kern w:val="0"/>
          <w:sz w:val="24"/>
          <w:u w:val="single"/>
        </w:rPr>
        <w:t>（某联合体成员名称）</w:t>
      </w:r>
      <w:r>
        <w:rPr>
          <w:rFonts w:hint="eastAsia" w:ascii="宋体" w:hAnsi="宋体" w:cs="宋体"/>
          <w:color w:val="auto"/>
          <w:kern w:val="0"/>
          <w:sz w:val="24"/>
        </w:rPr>
        <w:t xml:space="preserve">为联合体牵头人，代表所有联合体成员 </w:t>
      </w:r>
    </w:p>
    <w:p w14:paraId="763AD4BC">
      <w:pPr>
        <w:widowControl/>
        <w:spacing w:line="288" w:lineRule="auto"/>
        <w:jc w:val="left"/>
        <w:rPr>
          <w:rFonts w:ascii="宋体" w:hAnsi="宋体" w:cs="宋体"/>
          <w:color w:val="auto"/>
        </w:rPr>
      </w:pPr>
      <w:r>
        <w:rPr>
          <w:rFonts w:hint="eastAsia" w:ascii="宋体" w:hAnsi="宋体" w:cs="宋体"/>
          <w:color w:val="auto"/>
          <w:kern w:val="0"/>
          <w:sz w:val="24"/>
        </w:rPr>
        <w:t xml:space="preserve">负责投标和合同实施阶段的主办、协调工作。 </w:t>
      </w:r>
    </w:p>
    <w:p w14:paraId="5475B10F">
      <w:pPr>
        <w:widowControl/>
        <w:spacing w:line="288" w:lineRule="auto"/>
        <w:ind w:firstLine="480" w:firstLineChars="200"/>
        <w:jc w:val="left"/>
        <w:rPr>
          <w:rFonts w:ascii="宋体" w:hAnsi="宋体" w:cs="宋体"/>
          <w:color w:val="auto"/>
        </w:rPr>
      </w:pPr>
      <w:r>
        <w:rPr>
          <w:rFonts w:hint="eastAsia" w:ascii="宋体" w:hAnsi="宋体" w:cs="宋体"/>
          <w:color w:val="auto"/>
          <w:kern w:val="0"/>
          <w:sz w:val="24"/>
        </w:rPr>
        <w:t xml:space="preserve">二、所有联合体成员各方签署授权书，授权书载明的授权代表根据招标文件规定及 </w:t>
      </w:r>
    </w:p>
    <w:p w14:paraId="1429A124">
      <w:pPr>
        <w:widowControl/>
        <w:spacing w:line="288" w:lineRule="auto"/>
        <w:jc w:val="left"/>
        <w:rPr>
          <w:rFonts w:ascii="宋体" w:hAnsi="宋体" w:cs="宋体"/>
          <w:color w:val="auto"/>
        </w:rPr>
      </w:pPr>
      <w:r>
        <w:rPr>
          <w:rFonts w:hint="eastAsia" w:ascii="宋体" w:hAnsi="宋体" w:cs="宋体"/>
          <w:color w:val="auto"/>
          <w:kern w:val="0"/>
          <w:sz w:val="24"/>
        </w:rPr>
        <w:t xml:space="preserve">投标内容而对采购人、采购代理机构所作的任何合法承诺，包括书面澄清及相应等均对 </w:t>
      </w:r>
    </w:p>
    <w:p w14:paraId="1983345B">
      <w:pPr>
        <w:widowControl/>
        <w:spacing w:line="288" w:lineRule="auto"/>
        <w:jc w:val="left"/>
        <w:rPr>
          <w:rFonts w:ascii="宋体" w:hAnsi="宋体" w:cs="宋体"/>
          <w:color w:val="auto"/>
        </w:rPr>
      </w:pPr>
      <w:r>
        <w:rPr>
          <w:rFonts w:hint="eastAsia" w:ascii="宋体" w:hAnsi="宋体" w:cs="宋体"/>
          <w:color w:val="auto"/>
          <w:kern w:val="0"/>
          <w:sz w:val="24"/>
        </w:rPr>
        <w:t xml:space="preserve">联合投标各方产生约束力。 </w:t>
      </w:r>
    </w:p>
    <w:p w14:paraId="27F45E0E">
      <w:pPr>
        <w:widowControl/>
        <w:spacing w:line="288" w:lineRule="auto"/>
        <w:ind w:firstLine="480" w:firstLineChars="200"/>
        <w:jc w:val="left"/>
        <w:rPr>
          <w:rFonts w:ascii="宋体" w:hAnsi="宋体" w:cs="宋体"/>
          <w:color w:val="auto"/>
          <w:kern w:val="0"/>
          <w:sz w:val="24"/>
        </w:rPr>
      </w:pPr>
      <w:r>
        <w:rPr>
          <w:rFonts w:hint="eastAsia" w:ascii="宋体" w:hAnsi="宋体" w:cs="宋体"/>
          <w:color w:val="auto"/>
          <w:kern w:val="0"/>
          <w:sz w:val="24"/>
        </w:rPr>
        <w:t>三、本次联合投标中，分工如下：</w:t>
      </w:r>
    </w:p>
    <w:p w14:paraId="1D3B6017">
      <w:pPr>
        <w:widowControl/>
        <w:spacing w:line="288" w:lineRule="auto"/>
        <w:ind w:firstLine="480" w:firstLineChars="200"/>
        <w:jc w:val="left"/>
        <w:rPr>
          <w:rFonts w:ascii="宋体" w:hAnsi="宋体" w:cs="宋体"/>
          <w:color w:val="auto"/>
          <w:kern w:val="0"/>
          <w:sz w:val="24"/>
        </w:rPr>
      </w:pPr>
      <w:r>
        <w:rPr>
          <w:rFonts w:hint="eastAsia" w:ascii="宋体" w:hAnsi="宋体" w:cs="宋体"/>
          <w:color w:val="auto"/>
          <w:kern w:val="0"/>
          <w:sz w:val="24"/>
          <w:u w:val="single"/>
        </w:rPr>
        <w:t>（联合体成员1）</w:t>
      </w:r>
      <w:r>
        <w:rPr>
          <w:rFonts w:hint="eastAsia" w:ascii="宋体" w:hAnsi="宋体" w:cs="宋体"/>
          <w:color w:val="auto"/>
          <w:kern w:val="0"/>
          <w:sz w:val="24"/>
        </w:rPr>
        <w:t>承担的工作和义务为：</w:t>
      </w:r>
      <w:r>
        <w:rPr>
          <w:rFonts w:hint="eastAsia" w:ascii="宋体" w:hAnsi="宋体" w:cs="宋体"/>
          <w:color w:val="auto"/>
          <w:kern w:val="0"/>
          <w:sz w:val="24"/>
          <w:u w:val="single"/>
        </w:rPr>
        <w:t xml:space="preserve">            </w:t>
      </w:r>
      <w:r>
        <w:rPr>
          <w:rFonts w:hint="eastAsia" w:ascii="宋体" w:hAnsi="宋体" w:cs="宋体"/>
          <w:color w:val="auto"/>
          <w:kern w:val="0"/>
          <w:sz w:val="24"/>
        </w:rPr>
        <w:t xml:space="preserve"> ；</w:t>
      </w:r>
    </w:p>
    <w:p w14:paraId="201179DE">
      <w:pPr>
        <w:widowControl/>
        <w:spacing w:line="288" w:lineRule="auto"/>
        <w:ind w:firstLine="480" w:firstLineChars="200"/>
        <w:jc w:val="left"/>
        <w:rPr>
          <w:rFonts w:ascii="宋体" w:hAnsi="宋体" w:cs="宋体"/>
          <w:color w:val="auto"/>
          <w:kern w:val="0"/>
          <w:sz w:val="24"/>
        </w:rPr>
      </w:pPr>
      <w:r>
        <w:rPr>
          <w:rFonts w:hint="eastAsia" w:ascii="宋体" w:hAnsi="宋体" w:cs="宋体"/>
          <w:color w:val="auto"/>
          <w:kern w:val="0"/>
          <w:sz w:val="24"/>
          <w:u w:val="single"/>
        </w:rPr>
        <w:t>（联合体成员2）</w:t>
      </w:r>
      <w:r>
        <w:rPr>
          <w:rFonts w:hint="eastAsia" w:ascii="宋体" w:hAnsi="宋体" w:cs="宋体"/>
          <w:color w:val="auto"/>
          <w:kern w:val="0"/>
          <w:sz w:val="24"/>
        </w:rPr>
        <w:t>承担的工作和义务为：</w:t>
      </w:r>
      <w:r>
        <w:rPr>
          <w:rFonts w:hint="eastAsia" w:ascii="宋体" w:hAnsi="宋体" w:cs="宋体"/>
          <w:color w:val="auto"/>
          <w:kern w:val="0"/>
          <w:sz w:val="24"/>
          <w:u w:val="single"/>
        </w:rPr>
        <w:t xml:space="preserve">            </w:t>
      </w:r>
      <w:r>
        <w:rPr>
          <w:rFonts w:hint="eastAsia" w:ascii="宋体" w:hAnsi="宋体" w:cs="宋体"/>
          <w:color w:val="auto"/>
          <w:kern w:val="0"/>
          <w:sz w:val="24"/>
        </w:rPr>
        <w:t xml:space="preserve"> ；</w:t>
      </w:r>
    </w:p>
    <w:p w14:paraId="3817CFA2">
      <w:pPr>
        <w:widowControl/>
        <w:spacing w:line="288" w:lineRule="auto"/>
        <w:ind w:firstLine="480" w:firstLineChars="200"/>
        <w:jc w:val="left"/>
        <w:rPr>
          <w:color w:val="auto"/>
        </w:rPr>
      </w:pPr>
      <w:r>
        <w:rPr>
          <w:rFonts w:hint="eastAsia" w:ascii="宋体" w:hAnsi="宋体" w:cs="宋体"/>
          <w:color w:val="auto"/>
          <w:kern w:val="0"/>
          <w:sz w:val="24"/>
        </w:rPr>
        <w:t>……</w:t>
      </w:r>
    </w:p>
    <w:p w14:paraId="44C46297">
      <w:pPr>
        <w:widowControl/>
        <w:spacing w:line="288" w:lineRule="auto"/>
        <w:ind w:firstLine="480" w:firstLineChars="200"/>
        <w:jc w:val="left"/>
        <w:rPr>
          <w:rFonts w:ascii="宋体" w:hAnsi="宋体" w:cs="宋体"/>
          <w:b/>
          <w:bCs/>
          <w:color w:val="auto"/>
          <w:kern w:val="0"/>
          <w:sz w:val="24"/>
        </w:rPr>
      </w:pPr>
      <w:r>
        <w:rPr>
          <w:rFonts w:hint="eastAsia" w:ascii="宋体" w:hAnsi="宋体" w:cs="宋体"/>
          <w:color w:val="auto"/>
          <w:kern w:val="0"/>
          <w:sz w:val="24"/>
        </w:rPr>
        <w:t>四、</w:t>
      </w:r>
      <w:r>
        <w:rPr>
          <w:rFonts w:hint="eastAsia" w:ascii="宋体" w:hAnsi="宋体" w:cs="宋体"/>
          <w:color w:val="auto"/>
          <w:kern w:val="0"/>
          <w:sz w:val="24"/>
          <w:u w:val="single"/>
        </w:rPr>
        <w:t>（联合体成员X,……）</w:t>
      </w:r>
      <w:r>
        <w:rPr>
          <w:rFonts w:hint="eastAsia" w:ascii="宋体" w:hAnsi="宋体" w:cs="宋体"/>
          <w:color w:val="auto"/>
          <w:kern w:val="0"/>
          <w:sz w:val="24"/>
        </w:rPr>
        <w:t>提供的服务由小微企业承接，</w:t>
      </w:r>
      <w:r>
        <w:rPr>
          <w:rFonts w:hint="eastAsia" w:ascii="宋体" w:hAnsi="宋体" w:cs="宋体"/>
          <w:color w:val="auto"/>
          <w:kern w:val="0"/>
          <w:sz w:val="24"/>
        </w:rPr>
        <w:t>其合同份额占到合同总金额</w:t>
      </w:r>
      <w:r>
        <w:rPr>
          <w:rFonts w:hint="eastAsia" w:ascii="宋体" w:hAnsi="宋体" w:cs="宋体"/>
          <w:color w:val="auto"/>
          <w:kern w:val="0"/>
          <w:sz w:val="24"/>
          <w:u w:val="single"/>
        </w:rPr>
        <w:t xml:space="preserve">     </w:t>
      </w:r>
      <w:r>
        <w:rPr>
          <w:rFonts w:hint="eastAsia" w:ascii="宋体" w:hAnsi="宋体" w:cs="宋体"/>
          <w:color w:val="auto"/>
          <w:kern w:val="0"/>
          <w:sz w:val="24"/>
        </w:rPr>
        <w:t>%以上；……。</w:t>
      </w:r>
      <w:r>
        <w:rPr>
          <w:rFonts w:hint="eastAsia" w:ascii="宋体" w:hAnsi="宋体" w:cs="宋体"/>
          <w:b/>
          <w:bCs/>
          <w:color w:val="auto"/>
          <w:kern w:val="0"/>
          <w:sz w:val="24"/>
        </w:rPr>
        <w:t>（未预留份额专门面向中小企业采购的的采购项目，以及预留份额中的非预留部分采购包，接受联合体投标的，联合协议约定小微企业的合同份额占到合同总金额30％以上的，</w:t>
      </w:r>
      <w:r>
        <w:rPr>
          <w:rFonts w:hint="eastAsia" w:ascii="宋体" w:hAnsi="宋体" w:cs="宋体"/>
          <w:b/>
          <w:bCs/>
          <w:color w:val="auto"/>
          <w:kern w:val="0"/>
          <w:sz w:val="24"/>
          <w:highlight w:val="yellow"/>
        </w:rPr>
        <w:t>对联合体报价给予6％的扣除。</w:t>
      </w:r>
      <w:r>
        <w:rPr>
          <w:rFonts w:hint="eastAsia" w:ascii="宋体" w:hAnsi="宋体" w:cs="宋体"/>
          <w:b/>
          <w:bCs/>
          <w:color w:val="auto"/>
          <w:kern w:val="0"/>
          <w:sz w:val="24"/>
        </w:rPr>
        <w:t>供应商拟享受以上价格扣除优惠政策的，填写有关内容。）</w:t>
      </w:r>
    </w:p>
    <w:p w14:paraId="5DAE0F1F">
      <w:pPr>
        <w:widowControl/>
        <w:spacing w:line="288" w:lineRule="auto"/>
        <w:ind w:firstLine="480" w:firstLineChars="200"/>
        <w:jc w:val="left"/>
        <w:rPr>
          <w:rFonts w:ascii="宋体" w:hAnsi="宋体" w:cs="宋体"/>
          <w:color w:val="auto"/>
        </w:rPr>
      </w:pPr>
      <w:r>
        <w:rPr>
          <w:rFonts w:hint="eastAsia" w:ascii="宋体" w:hAnsi="宋体" w:cs="宋体"/>
          <w:color w:val="auto"/>
          <w:kern w:val="0"/>
          <w:sz w:val="24"/>
        </w:rPr>
        <w:t xml:space="preserve">五、如果中标，联合体各成员方共同与采购人签订合同，并就采购合同约定的事项 </w:t>
      </w:r>
    </w:p>
    <w:p w14:paraId="4DB72C46">
      <w:pPr>
        <w:widowControl/>
        <w:spacing w:line="288" w:lineRule="auto"/>
        <w:jc w:val="left"/>
        <w:rPr>
          <w:rFonts w:ascii="宋体" w:hAnsi="宋体" w:cs="宋体"/>
          <w:color w:val="auto"/>
        </w:rPr>
      </w:pPr>
      <w:r>
        <w:rPr>
          <w:rFonts w:hint="eastAsia" w:ascii="宋体" w:hAnsi="宋体" w:cs="宋体"/>
          <w:color w:val="auto"/>
          <w:kern w:val="0"/>
          <w:sz w:val="24"/>
        </w:rPr>
        <w:t xml:space="preserve">对采购人承担连带责任。 </w:t>
      </w:r>
    </w:p>
    <w:p w14:paraId="2A532DE1">
      <w:pPr>
        <w:widowControl/>
        <w:spacing w:line="288" w:lineRule="auto"/>
        <w:ind w:firstLine="480" w:firstLineChars="200"/>
        <w:jc w:val="left"/>
        <w:rPr>
          <w:rFonts w:ascii="宋体" w:hAnsi="宋体" w:cs="宋体"/>
          <w:color w:val="auto"/>
        </w:rPr>
      </w:pPr>
      <w:r>
        <w:rPr>
          <w:rFonts w:hint="eastAsia" w:ascii="宋体" w:hAnsi="宋体" w:cs="宋体"/>
          <w:color w:val="auto"/>
          <w:kern w:val="0"/>
          <w:sz w:val="24"/>
        </w:rPr>
        <w:t xml:space="preserve">六、有关本次联合投标的其他事宜： </w:t>
      </w:r>
    </w:p>
    <w:p w14:paraId="3AFD2209">
      <w:pPr>
        <w:widowControl/>
        <w:spacing w:line="288" w:lineRule="auto"/>
        <w:ind w:firstLine="480" w:firstLineChars="200"/>
        <w:jc w:val="left"/>
        <w:rPr>
          <w:rFonts w:ascii="宋体" w:hAnsi="宋体" w:cs="宋体"/>
          <w:color w:val="auto"/>
        </w:rPr>
      </w:pPr>
      <w:r>
        <w:rPr>
          <w:rFonts w:hint="eastAsia" w:ascii="宋体" w:hAnsi="宋体" w:cs="宋体"/>
          <w:color w:val="auto"/>
          <w:kern w:val="0"/>
          <w:sz w:val="24"/>
        </w:rPr>
        <w:t xml:space="preserve">1、联合体各方不再单独参加或者与其他供应商另外组成联合体参加同一合同项下 </w:t>
      </w:r>
    </w:p>
    <w:p w14:paraId="7AA20F50">
      <w:pPr>
        <w:widowControl/>
        <w:spacing w:line="288" w:lineRule="auto"/>
        <w:jc w:val="left"/>
        <w:rPr>
          <w:rFonts w:ascii="宋体" w:hAnsi="宋体" w:cs="宋体"/>
          <w:color w:val="auto"/>
        </w:rPr>
      </w:pPr>
      <w:r>
        <w:rPr>
          <w:rFonts w:hint="eastAsia" w:ascii="宋体" w:hAnsi="宋体" w:cs="宋体"/>
          <w:color w:val="auto"/>
          <w:kern w:val="0"/>
          <w:sz w:val="24"/>
        </w:rPr>
        <w:t xml:space="preserve">的政府采购活动。 </w:t>
      </w:r>
    </w:p>
    <w:p w14:paraId="1EC4E348">
      <w:pPr>
        <w:widowControl/>
        <w:spacing w:line="288" w:lineRule="auto"/>
        <w:ind w:firstLine="480" w:firstLineChars="200"/>
        <w:jc w:val="left"/>
        <w:rPr>
          <w:rFonts w:ascii="宋体" w:hAnsi="宋体" w:cs="宋体"/>
          <w:color w:val="auto"/>
        </w:rPr>
      </w:pPr>
      <w:r>
        <w:rPr>
          <w:rFonts w:hint="eastAsia" w:ascii="宋体" w:hAnsi="宋体" w:cs="宋体"/>
          <w:color w:val="auto"/>
          <w:kern w:val="0"/>
          <w:sz w:val="24"/>
        </w:rPr>
        <w:t xml:space="preserve">2、联合体中有同类资质的各方按照联合体分工承担相同工作的，按照资质等级较 </w:t>
      </w:r>
    </w:p>
    <w:p w14:paraId="679BA4F1">
      <w:pPr>
        <w:widowControl/>
        <w:spacing w:line="288" w:lineRule="auto"/>
        <w:jc w:val="left"/>
        <w:rPr>
          <w:rFonts w:ascii="宋体" w:hAnsi="宋体" w:cs="宋体"/>
          <w:color w:val="auto"/>
        </w:rPr>
      </w:pPr>
      <w:r>
        <w:rPr>
          <w:rFonts w:hint="eastAsia" w:ascii="宋体" w:hAnsi="宋体" w:cs="宋体"/>
          <w:color w:val="auto"/>
          <w:kern w:val="0"/>
          <w:sz w:val="24"/>
        </w:rPr>
        <w:t xml:space="preserve">低的供应商确定资质等级。 </w:t>
      </w:r>
    </w:p>
    <w:p w14:paraId="5FFBA0F9">
      <w:pPr>
        <w:widowControl/>
        <w:spacing w:line="288" w:lineRule="auto"/>
        <w:ind w:firstLine="480" w:firstLineChars="200"/>
        <w:jc w:val="left"/>
        <w:rPr>
          <w:rFonts w:ascii="宋体" w:hAnsi="宋体" w:cs="宋体"/>
          <w:color w:val="auto"/>
        </w:rPr>
      </w:pPr>
      <w:r>
        <w:rPr>
          <w:rFonts w:hint="eastAsia" w:ascii="宋体" w:hAnsi="宋体" w:cs="宋体"/>
          <w:color w:val="auto"/>
          <w:kern w:val="0"/>
          <w:sz w:val="24"/>
        </w:rPr>
        <w:t xml:space="preserve">3、本协议提交采购人、采购代理机构后，联合体各方不得以任何形式对上述内容 </w:t>
      </w:r>
    </w:p>
    <w:p w14:paraId="56E2D70F">
      <w:pPr>
        <w:widowControl/>
        <w:spacing w:line="288" w:lineRule="auto"/>
        <w:jc w:val="left"/>
        <w:rPr>
          <w:color w:val="auto"/>
        </w:rPr>
      </w:pPr>
      <w:r>
        <w:rPr>
          <w:rFonts w:hint="eastAsia" w:ascii="宋体" w:hAnsi="宋体" w:cs="宋体"/>
          <w:color w:val="auto"/>
          <w:kern w:val="0"/>
          <w:sz w:val="24"/>
        </w:rPr>
        <w:t xml:space="preserve">进行修改或撤销。 </w:t>
      </w:r>
    </w:p>
    <w:p w14:paraId="0AB5B24C">
      <w:pPr>
        <w:widowControl/>
        <w:jc w:val="right"/>
        <w:rPr>
          <w:rFonts w:ascii="宋体" w:hAnsi="宋体" w:cs="宋体"/>
          <w:color w:val="auto"/>
          <w:kern w:val="0"/>
          <w:sz w:val="24"/>
        </w:rPr>
      </w:pPr>
    </w:p>
    <w:p w14:paraId="532F83EF">
      <w:pPr>
        <w:widowControl/>
        <w:jc w:val="right"/>
        <w:rPr>
          <w:rFonts w:ascii="宋体" w:hAnsi="宋体" w:cs="宋体"/>
          <w:color w:val="auto"/>
          <w:kern w:val="0"/>
          <w:sz w:val="24"/>
        </w:rPr>
      </w:pPr>
    </w:p>
    <w:p w14:paraId="2750FA18">
      <w:pPr>
        <w:widowControl/>
        <w:spacing w:line="360" w:lineRule="auto"/>
        <w:jc w:val="right"/>
        <w:rPr>
          <w:rFonts w:ascii="宋体" w:hAnsi="宋体" w:cs="宋体"/>
          <w:color w:val="auto"/>
        </w:rPr>
      </w:pPr>
      <w:r>
        <w:rPr>
          <w:rFonts w:hint="eastAsia" w:ascii="宋体" w:hAnsi="宋体" w:cs="宋体"/>
          <w:color w:val="auto"/>
          <w:kern w:val="0"/>
          <w:sz w:val="24"/>
        </w:rPr>
        <w:t xml:space="preserve">联合体所有成员名称(盖公章)： </w:t>
      </w:r>
    </w:p>
    <w:p w14:paraId="70D206F0">
      <w:pPr>
        <w:widowControl/>
        <w:spacing w:line="360" w:lineRule="auto"/>
        <w:jc w:val="center"/>
        <w:rPr>
          <w:color w:val="auto"/>
        </w:rPr>
      </w:pPr>
      <w:r>
        <w:rPr>
          <w:rFonts w:hint="eastAsia" w:ascii="宋体" w:hAnsi="宋体" w:cs="宋体"/>
          <w:color w:val="auto"/>
          <w:kern w:val="0"/>
          <w:sz w:val="24"/>
        </w:rPr>
        <w:t xml:space="preserve">                                                    日期： 年 月 日</w:t>
      </w:r>
    </w:p>
    <w:p w14:paraId="42BA97C2">
      <w:pPr>
        <w:pStyle w:val="30"/>
        <w:rPr>
          <w:rFonts w:ascii="宋体" w:hAnsi="宋体" w:cs="宋体"/>
          <w:color w:val="auto"/>
        </w:rPr>
      </w:pPr>
    </w:p>
    <w:p w14:paraId="23DCAE2B">
      <w:pPr>
        <w:pStyle w:val="30"/>
        <w:tabs>
          <w:tab w:val="left" w:pos="2015"/>
        </w:tabs>
        <w:ind w:firstLine="0" w:firstLineChars="0"/>
        <w:jc w:val="both"/>
        <w:rPr>
          <w:rFonts w:ascii="宋体" w:hAnsi="宋体" w:cs="宋体"/>
          <w:color w:val="auto"/>
          <w:szCs w:val="21"/>
        </w:rPr>
      </w:pPr>
    </w:p>
    <w:p w14:paraId="2334B60F">
      <w:pPr>
        <w:pStyle w:val="30"/>
        <w:tabs>
          <w:tab w:val="left" w:pos="2015"/>
        </w:tabs>
        <w:ind w:firstLine="0" w:firstLineChars="0"/>
        <w:jc w:val="both"/>
        <w:rPr>
          <w:rFonts w:ascii="宋体" w:hAnsi="宋体" w:cs="宋体"/>
          <w:color w:val="auto"/>
          <w:szCs w:val="21"/>
        </w:rPr>
      </w:pPr>
    </w:p>
    <w:p w14:paraId="3C0F7427">
      <w:pPr>
        <w:pStyle w:val="30"/>
        <w:tabs>
          <w:tab w:val="left" w:pos="2015"/>
        </w:tabs>
        <w:ind w:firstLine="0" w:firstLineChars="0"/>
        <w:jc w:val="both"/>
        <w:rPr>
          <w:rFonts w:ascii="宋体" w:hAnsi="宋体" w:cs="宋体"/>
          <w:color w:val="auto"/>
        </w:rPr>
      </w:pPr>
      <w:r>
        <w:rPr>
          <w:rFonts w:hint="eastAsia" w:ascii="宋体" w:hAnsi="宋体" w:cs="宋体"/>
          <w:color w:val="auto"/>
          <w:szCs w:val="21"/>
        </w:rPr>
        <w:t>说明：本联合协议经相关成员线下盖章后、编入投标文件并加盖联合体牵头人CA电子签章。</w:t>
      </w:r>
    </w:p>
    <w:p w14:paraId="4DC821C1">
      <w:pPr>
        <w:pStyle w:val="27"/>
        <w:rPr>
          <w:rFonts w:hAnsi="宋体" w:cs="宋体"/>
          <w:bCs/>
          <w:color w:val="auto"/>
          <w:sz w:val="21"/>
          <w:szCs w:val="21"/>
        </w:rPr>
      </w:pPr>
      <w:r>
        <w:rPr>
          <w:rFonts w:hint="eastAsia" w:hAnsi="宋体" w:cs="宋体"/>
          <w:bCs/>
          <w:color w:val="auto"/>
          <w:sz w:val="21"/>
          <w:szCs w:val="21"/>
        </w:rPr>
        <w:t>附件9 分包意向协议：</w:t>
      </w:r>
    </w:p>
    <w:p w14:paraId="7AF35E86">
      <w:pPr>
        <w:snapToGrid w:val="0"/>
        <w:spacing w:before="50" w:afterLines="50"/>
        <w:jc w:val="center"/>
        <w:rPr>
          <w:rFonts w:ascii="宋体" w:hAnsi="宋体" w:cs="宋体"/>
          <w:b/>
          <w:color w:val="auto"/>
          <w:kern w:val="0"/>
          <w:sz w:val="30"/>
          <w:szCs w:val="30"/>
        </w:rPr>
      </w:pPr>
      <w:r>
        <w:rPr>
          <w:rFonts w:hint="eastAsia" w:ascii="宋体" w:hAnsi="宋体" w:cs="宋体"/>
          <w:b/>
          <w:color w:val="auto"/>
          <w:kern w:val="0"/>
          <w:sz w:val="30"/>
          <w:szCs w:val="30"/>
        </w:rPr>
        <w:t xml:space="preserve">分包意向协议 </w:t>
      </w:r>
    </w:p>
    <w:p w14:paraId="33E40A13">
      <w:pPr>
        <w:widowControl/>
        <w:jc w:val="center"/>
        <w:rPr>
          <w:rFonts w:ascii="宋体" w:hAnsi="宋体" w:cs="宋体"/>
          <w:color w:val="auto"/>
        </w:rPr>
      </w:pPr>
      <w:r>
        <w:rPr>
          <w:rFonts w:hint="eastAsia" w:ascii="宋体" w:hAnsi="宋体" w:cs="宋体"/>
          <w:color w:val="auto"/>
          <w:kern w:val="0"/>
          <w:sz w:val="24"/>
        </w:rPr>
        <w:t>（</w:t>
      </w:r>
      <w:r>
        <w:rPr>
          <w:rFonts w:hint="eastAsia" w:ascii="宋体" w:hAnsi="宋体" w:cs="宋体"/>
          <w:b/>
          <w:bCs/>
          <w:color w:val="auto"/>
          <w:kern w:val="0"/>
          <w:sz w:val="24"/>
        </w:rPr>
        <w:t>中标后以分包方式履行合同的，提供分包意向协议；采购人不同意分包或者投标人</w:t>
      </w:r>
    </w:p>
    <w:p w14:paraId="17247069">
      <w:pPr>
        <w:widowControl/>
        <w:jc w:val="center"/>
        <w:rPr>
          <w:rFonts w:ascii="宋体" w:hAnsi="宋体" w:cs="宋体"/>
          <w:color w:val="auto"/>
        </w:rPr>
      </w:pPr>
      <w:r>
        <w:rPr>
          <w:rFonts w:hint="eastAsia" w:ascii="宋体" w:hAnsi="宋体" w:cs="宋体"/>
          <w:b/>
          <w:bCs/>
          <w:color w:val="auto"/>
          <w:kern w:val="0"/>
          <w:sz w:val="24"/>
        </w:rPr>
        <w:t>中标后不以分包方式履行合同的，则无需提供。</w:t>
      </w:r>
      <w:r>
        <w:rPr>
          <w:rFonts w:hint="eastAsia" w:ascii="宋体" w:hAnsi="宋体" w:cs="宋体"/>
          <w:color w:val="auto"/>
          <w:kern w:val="0"/>
          <w:sz w:val="24"/>
        </w:rPr>
        <w:t>）</w:t>
      </w:r>
    </w:p>
    <w:p w14:paraId="71A12A20">
      <w:pPr>
        <w:widowControl/>
        <w:spacing w:line="360" w:lineRule="auto"/>
        <w:jc w:val="left"/>
        <w:rPr>
          <w:rFonts w:ascii="宋体" w:hAnsi="宋体" w:cs="宋体"/>
          <w:color w:val="auto"/>
        </w:rPr>
      </w:pPr>
      <w:r>
        <w:rPr>
          <w:rFonts w:hint="eastAsia" w:ascii="宋体" w:hAnsi="宋体" w:cs="宋体"/>
          <w:color w:val="auto"/>
          <w:kern w:val="0"/>
          <w:sz w:val="24"/>
          <w:u w:val="single"/>
        </w:rPr>
        <w:t>（投标人名称）</w:t>
      </w:r>
      <w:r>
        <w:rPr>
          <w:rFonts w:hint="eastAsia" w:ascii="宋体" w:hAnsi="宋体" w:cs="宋体"/>
          <w:color w:val="auto"/>
          <w:kern w:val="0"/>
          <w:sz w:val="24"/>
        </w:rPr>
        <w:t>若成为</w:t>
      </w:r>
      <w:r>
        <w:rPr>
          <w:rFonts w:hint="eastAsia" w:ascii="宋体" w:hAnsi="宋体" w:cs="宋体"/>
          <w:color w:val="auto"/>
          <w:kern w:val="0"/>
          <w:sz w:val="24"/>
          <w:u w:val="single"/>
        </w:rPr>
        <w:t>天台县2025年度补充林地库建设项目</w:t>
      </w:r>
      <w:r>
        <w:rPr>
          <w:rFonts w:hint="eastAsia" w:ascii="宋体" w:hAnsi="宋体" w:cs="宋体"/>
          <w:color w:val="auto"/>
          <w:kern w:val="0"/>
          <w:sz w:val="24"/>
        </w:rPr>
        <w:t>【项目编号：</w:t>
      </w:r>
      <w:r>
        <w:rPr>
          <w:rFonts w:hint="eastAsia" w:ascii="宋体" w:hAnsi="宋体" w:cs="宋体"/>
          <w:color w:val="auto"/>
          <w:kern w:val="0"/>
          <w:sz w:val="24"/>
          <w:u w:val="single"/>
        </w:rPr>
        <w:t>TCCG-2025-Z070</w:t>
      </w:r>
      <w:r>
        <w:rPr>
          <w:rFonts w:hint="eastAsia" w:ascii="宋体" w:hAnsi="宋体" w:cs="宋体"/>
          <w:color w:val="auto"/>
          <w:kern w:val="0"/>
          <w:sz w:val="24"/>
        </w:rPr>
        <w:t>】的中标供应商，将依法采取分包方式履行合同。</w:t>
      </w:r>
      <w:r>
        <w:rPr>
          <w:rFonts w:hint="eastAsia" w:ascii="宋体" w:hAnsi="宋体" w:cs="宋体"/>
          <w:color w:val="auto"/>
          <w:kern w:val="0"/>
          <w:sz w:val="24"/>
          <w:u w:val="single"/>
        </w:rPr>
        <w:t>（投标人名称）</w:t>
      </w:r>
      <w:r>
        <w:rPr>
          <w:rFonts w:hint="eastAsia" w:ascii="宋体" w:hAnsi="宋体" w:cs="宋体"/>
          <w:color w:val="auto"/>
          <w:kern w:val="0"/>
          <w:sz w:val="24"/>
        </w:rPr>
        <w:t>与</w:t>
      </w:r>
      <w:r>
        <w:rPr>
          <w:rFonts w:hint="eastAsia" w:ascii="宋体" w:hAnsi="宋体" w:cs="宋体"/>
          <w:color w:val="auto"/>
          <w:kern w:val="0"/>
          <w:sz w:val="24"/>
          <w:u w:val="single"/>
        </w:rPr>
        <w:t>（所有分包供应商名称）</w:t>
      </w:r>
      <w:r>
        <w:rPr>
          <w:rFonts w:hint="eastAsia" w:ascii="宋体" w:hAnsi="宋体" w:cs="宋体"/>
          <w:color w:val="auto"/>
          <w:kern w:val="0"/>
          <w:sz w:val="24"/>
        </w:rPr>
        <w:t xml:space="preserve">达成分包意向协议。 </w:t>
      </w:r>
    </w:p>
    <w:p w14:paraId="381571BB">
      <w:pPr>
        <w:widowControl/>
        <w:spacing w:line="360" w:lineRule="auto"/>
        <w:jc w:val="left"/>
        <w:rPr>
          <w:rFonts w:ascii="宋体" w:hAnsi="宋体" w:cs="宋体"/>
          <w:color w:val="auto"/>
        </w:rPr>
      </w:pPr>
      <w:r>
        <w:rPr>
          <w:rFonts w:hint="eastAsia" w:ascii="宋体" w:hAnsi="宋体" w:cs="宋体"/>
          <w:color w:val="auto"/>
          <w:kern w:val="0"/>
          <w:sz w:val="24"/>
        </w:rPr>
        <w:t xml:space="preserve">一、分包标的及数量 </w:t>
      </w:r>
    </w:p>
    <w:p w14:paraId="5067C290">
      <w:pPr>
        <w:widowControl/>
        <w:spacing w:line="360" w:lineRule="auto"/>
        <w:jc w:val="left"/>
        <w:rPr>
          <w:rFonts w:ascii="宋体" w:hAnsi="宋体" w:cs="宋体"/>
          <w:color w:val="auto"/>
        </w:rPr>
      </w:pPr>
      <w:r>
        <w:rPr>
          <w:rFonts w:hint="eastAsia" w:ascii="宋体" w:hAnsi="宋体" w:cs="宋体"/>
          <w:color w:val="auto"/>
          <w:kern w:val="0"/>
          <w:sz w:val="24"/>
          <w:u w:val="single"/>
        </w:rPr>
        <w:t>（投标人名称）</w:t>
      </w:r>
      <w:r>
        <w:rPr>
          <w:rFonts w:hint="eastAsia" w:ascii="宋体" w:hAnsi="宋体" w:cs="宋体"/>
          <w:color w:val="auto"/>
          <w:kern w:val="0"/>
          <w:sz w:val="24"/>
        </w:rPr>
        <w:t>将</w:t>
      </w:r>
      <w:r>
        <w:rPr>
          <w:rFonts w:hint="eastAsia" w:ascii="宋体" w:hAnsi="宋体" w:cs="宋体"/>
          <w:color w:val="auto"/>
          <w:kern w:val="0"/>
          <w:sz w:val="24"/>
          <w:u w:val="single"/>
        </w:rPr>
        <w:t xml:space="preserve"> </w:t>
      </w:r>
      <w:r>
        <w:rPr>
          <w:rFonts w:hint="eastAsia" w:ascii="宋体" w:hAnsi="宋体" w:cs="宋体"/>
          <w:color w:val="auto"/>
          <w:kern w:val="0"/>
          <w:sz w:val="20"/>
          <w:szCs w:val="20"/>
          <w:u w:val="single"/>
        </w:rPr>
        <w:t xml:space="preserve">XX 工作内容 </w:t>
      </w:r>
      <w:r>
        <w:rPr>
          <w:rFonts w:hint="eastAsia" w:ascii="宋体" w:hAnsi="宋体" w:cs="宋体"/>
          <w:color w:val="auto"/>
          <w:kern w:val="0"/>
          <w:sz w:val="24"/>
        </w:rPr>
        <w:t>分包给</w:t>
      </w:r>
      <w:r>
        <w:rPr>
          <w:rFonts w:hint="eastAsia" w:ascii="宋体" w:hAnsi="宋体" w:cs="宋体"/>
          <w:color w:val="auto"/>
          <w:kern w:val="0"/>
          <w:sz w:val="24"/>
          <w:u w:val="single"/>
        </w:rPr>
        <w:t>（某分包供应商名称）</w:t>
      </w:r>
      <w:r>
        <w:rPr>
          <w:rFonts w:hint="eastAsia" w:ascii="宋体" w:hAnsi="宋体" w:cs="宋体"/>
          <w:color w:val="auto"/>
          <w:kern w:val="0"/>
          <w:sz w:val="24"/>
        </w:rPr>
        <w:t>，</w:t>
      </w:r>
      <w:r>
        <w:rPr>
          <w:rFonts w:hint="eastAsia" w:ascii="宋体" w:hAnsi="宋体" w:cs="宋体"/>
          <w:color w:val="auto"/>
          <w:kern w:val="0"/>
          <w:sz w:val="24"/>
          <w:u w:val="single"/>
        </w:rPr>
        <w:t>（某分包供应商名称）</w:t>
      </w:r>
      <w:r>
        <w:rPr>
          <w:rFonts w:hint="eastAsia" w:ascii="宋体" w:hAnsi="宋体" w:cs="宋体"/>
          <w:color w:val="auto"/>
          <w:kern w:val="0"/>
          <w:sz w:val="24"/>
        </w:rPr>
        <w:t>，具备承担</w:t>
      </w:r>
      <w:r>
        <w:rPr>
          <w:rFonts w:hint="eastAsia" w:ascii="宋体" w:hAnsi="宋体" w:cs="宋体"/>
          <w:color w:val="auto"/>
          <w:kern w:val="0"/>
          <w:sz w:val="24"/>
          <w:u w:val="single"/>
        </w:rPr>
        <w:t xml:space="preserve"> XX 工作内容</w:t>
      </w:r>
      <w:r>
        <w:rPr>
          <w:rFonts w:hint="eastAsia" w:ascii="宋体" w:hAnsi="宋体" w:cs="宋体"/>
          <w:color w:val="auto"/>
          <w:kern w:val="0"/>
          <w:sz w:val="24"/>
        </w:rPr>
        <w:t xml:space="preserve">相应资质条件且不得再次分包； </w:t>
      </w:r>
    </w:p>
    <w:p w14:paraId="0CFDAF1E">
      <w:pPr>
        <w:widowControl/>
        <w:spacing w:line="360" w:lineRule="auto"/>
        <w:jc w:val="left"/>
        <w:rPr>
          <w:rFonts w:ascii="宋体" w:hAnsi="宋体" w:cs="宋体"/>
          <w:color w:val="auto"/>
          <w:kern w:val="0"/>
          <w:sz w:val="24"/>
        </w:rPr>
      </w:pPr>
      <w:r>
        <w:rPr>
          <w:rFonts w:hint="eastAsia" w:ascii="宋体" w:hAnsi="宋体" w:cs="宋体"/>
          <w:color w:val="auto"/>
          <w:kern w:val="0"/>
          <w:sz w:val="24"/>
        </w:rPr>
        <w:t>……</w:t>
      </w:r>
    </w:p>
    <w:p w14:paraId="592702DB">
      <w:pPr>
        <w:widowControl/>
        <w:spacing w:line="288" w:lineRule="auto"/>
        <w:jc w:val="left"/>
        <w:rPr>
          <w:rFonts w:ascii="宋体" w:hAnsi="宋体" w:cs="宋体"/>
          <w:color w:val="auto"/>
          <w:kern w:val="0"/>
          <w:sz w:val="24"/>
        </w:rPr>
      </w:pPr>
      <w:r>
        <w:rPr>
          <w:rFonts w:hint="eastAsia" w:ascii="宋体" w:hAnsi="宋体" w:cs="宋体"/>
          <w:color w:val="auto"/>
          <w:kern w:val="0"/>
          <w:sz w:val="24"/>
        </w:rPr>
        <w:t xml:space="preserve">二、分包工作履行期限、地点、方式 </w:t>
      </w:r>
    </w:p>
    <w:p w14:paraId="70FEE911">
      <w:pPr>
        <w:pStyle w:val="30"/>
        <w:spacing w:line="288" w:lineRule="auto"/>
        <w:ind w:left="397" w:leftChars="189" w:firstLine="0" w:firstLineChars="0"/>
        <w:rPr>
          <w:rFonts w:ascii="宋体" w:hAnsi="宋体" w:cs="宋体"/>
          <w:color w:val="auto"/>
          <w:u w:val="single"/>
        </w:rPr>
      </w:pPr>
      <w:r>
        <w:rPr>
          <w:rFonts w:hint="eastAsia" w:ascii="宋体" w:hAnsi="宋体" w:cs="宋体"/>
          <w:color w:val="auto"/>
          <w:u w:val="single"/>
        </w:rPr>
        <w:t xml:space="preserve">                                                                         </w:t>
      </w:r>
    </w:p>
    <w:p w14:paraId="29C3640F">
      <w:pPr>
        <w:widowControl/>
        <w:spacing w:line="288" w:lineRule="auto"/>
        <w:jc w:val="left"/>
        <w:rPr>
          <w:rFonts w:ascii="宋体" w:hAnsi="宋体" w:cs="宋体"/>
          <w:color w:val="auto"/>
          <w:kern w:val="0"/>
          <w:sz w:val="24"/>
        </w:rPr>
      </w:pPr>
      <w:r>
        <w:rPr>
          <w:rFonts w:hint="eastAsia" w:ascii="宋体" w:hAnsi="宋体" w:cs="宋体"/>
          <w:color w:val="auto"/>
          <w:kern w:val="0"/>
          <w:sz w:val="24"/>
        </w:rPr>
        <w:t xml:space="preserve">三、质量 </w:t>
      </w:r>
    </w:p>
    <w:p w14:paraId="07BD5D8C">
      <w:pPr>
        <w:pStyle w:val="30"/>
        <w:spacing w:line="288" w:lineRule="auto"/>
        <w:ind w:left="397" w:leftChars="189" w:firstLine="0" w:firstLineChars="0"/>
        <w:rPr>
          <w:rFonts w:ascii="宋体" w:hAnsi="宋体" w:cs="宋体"/>
          <w:color w:val="auto"/>
          <w:u w:val="single"/>
        </w:rPr>
      </w:pPr>
      <w:r>
        <w:rPr>
          <w:rFonts w:hint="eastAsia" w:ascii="宋体" w:hAnsi="宋体" w:cs="宋体"/>
          <w:color w:val="auto"/>
          <w:u w:val="single"/>
        </w:rPr>
        <w:t xml:space="preserve">                                                                         </w:t>
      </w:r>
    </w:p>
    <w:p w14:paraId="1AD6AC41">
      <w:pPr>
        <w:widowControl/>
        <w:spacing w:line="288" w:lineRule="auto"/>
        <w:jc w:val="left"/>
        <w:rPr>
          <w:rFonts w:ascii="宋体" w:hAnsi="宋体" w:cs="宋体"/>
          <w:color w:val="auto"/>
          <w:kern w:val="0"/>
          <w:sz w:val="24"/>
        </w:rPr>
      </w:pPr>
      <w:r>
        <w:rPr>
          <w:rFonts w:hint="eastAsia" w:ascii="宋体" w:hAnsi="宋体" w:cs="宋体"/>
          <w:color w:val="auto"/>
          <w:kern w:val="0"/>
          <w:sz w:val="24"/>
        </w:rPr>
        <w:t xml:space="preserve">四、价款或者报酬 </w:t>
      </w:r>
    </w:p>
    <w:p w14:paraId="6A30AA08">
      <w:pPr>
        <w:pStyle w:val="30"/>
        <w:spacing w:line="288" w:lineRule="auto"/>
        <w:ind w:left="397" w:leftChars="189" w:firstLine="0" w:firstLineChars="0"/>
        <w:rPr>
          <w:rFonts w:ascii="宋体" w:hAnsi="宋体" w:cs="宋体"/>
          <w:color w:val="auto"/>
          <w:u w:val="single"/>
        </w:rPr>
      </w:pPr>
      <w:r>
        <w:rPr>
          <w:rFonts w:hint="eastAsia" w:ascii="宋体" w:hAnsi="宋体" w:cs="宋体"/>
          <w:color w:val="auto"/>
          <w:u w:val="single"/>
        </w:rPr>
        <w:t xml:space="preserve">                                                                         </w:t>
      </w:r>
    </w:p>
    <w:p w14:paraId="3B42179E">
      <w:pPr>
        <w:widowControl/>
        <w:spacing w:line="288" w:lineRule="auto"/>
        <w:jc w:val="left"/>
        <w:rPr>
          <w:rFonts w:ascii="宋体" w:hAnsi="宋体" w:cs="宋体"/>
          <w:color w:val="auto"/>
          <w:kern w:val="0"/>
          <w:sz w:val="24"/>
        </w:rPr>
      </w:pPr>
      <w:r>
        <w:rPr>
          <w:rFonts w:hint="eastAsia" w:ascii="宋体" w:hAnsi="宋体" w:cs="宋体"/>
          <w:color w:val="auto"/>
          <w:kern w:val="0"/>
          <w:sz w:val="24"/>
        </w:rPr>
        <w:t xml:space="preserve">五、违约责任 </w:t>
      </w:r>
    </w:p>
    <w:p w14:paraId="0C803885">
      <w:pPr>
        <w:pStyle w:val="30"/>
        <w:spacing w:line="288" w:lineRule="auto"/>
        <w:ind w:left="397" w:leftChars="189" w:firstLine="0" w:firstLineChars="0"/>
        <w:rPr>
          <w:rFonts w:ascii="宋体" w:hAnsi="宋体" w:cs="宋体"/>
          <w:color w:val="auto"/>
          <w:u w:val="single"/>
        </w:rPr>
      </w:pPr>
      <w:r>
        <w:rPr>
          <w:rFonts w:hint="eastAsia" w:ascii="宋体" w:hAnsi="宋体" w:cs="宋体"/>
          <w:color w:val="auto"/>
          <w:u w:val="single"/>
        </w:rPr>
        <w:t xml:space="preserve">                                                                         </w:t>
      </w:r>
    </w:p>
    <w:p w14:paraId="5022B6CD">
      <w:pPr>
        <w:widowControl/>
        <w:spacing w:line="288" w:lineRule="auto"/>
        <w:jc w:val="left"/>
        <w:rPr>
          <w:rFonts w:ascii="宋体" w:hAnsi="宋体" w:cs="宋体"/>
          <w:color w:val="auto"/>
          <w:kern w:val="0"/>
          <w:sz w:val="24"/>
        </w:rPr>
      </w:pPr>
      <w:r>
        <w:rPr>
          <w:rFonts w:hint="eastAsia" w:ascii="宋体" w:hAnsi="宋体" w:cs="宋体"/>
          <w:color w:val="auto"/>
          <w:kern w:val="0"/>
          <w:sz w:val="24"/>
        </w:rPr>
        <w:t xml:space="preserve">六、争议解决的办法 </w:t>
      </w:r>
    </w:p>
    <w:p w14:paraId="7A4703A5">
      <w:pPr>
        <w:pStyle w:val="30"/>
        <w:spacing w:line="288" w:lineRule="auto"/>
        <w:ind w:left="397" w:leftChars="189" w:firstLine="0" w:firstLineChars="0"/>
        <w:rPr>
          <w:rFonts w:ascii="宋体" w:hAnsi="宋体" w:cs="宋体"/>
          <w:color w:val="auto"/>
          <w:u w:val="single"/>
        </w:rPr>
      </w:pPr>
      <w:r>
        <w:rPr>
          <w:rFonts w:hint="eastAsia" w:ascii="宋体" w:hAnsi="宋体" w:cs="宋体"/>
          <w:color w:val="auto"/>
          <w:u w:val="single"/>
        </w:rPr>
        <w:t xml:space="preserve">                                                                         </w:t>
      </w:r>
    </w:p>
    <w:p w14:paraId="1F083D64">
      <w:pPr>
        <w:widowControl/>
        <w:spacing w:line="360" w:lineRule="auto"/>
        <w:jc w:val="left"/>
        <w:rPr>
          <w:rFonts w:ascii="宋体" w:hAnsi="宋体" w:cs="宋体"/>
          <w:color w:val="auto"/>
          <w:kern w:val="0"/>
          <w:sz w:val="24"/>
        </w:rPr>
      </w:pPr>
      <w:r>
        <w:rPr>
          <w:rFonts w:hint="eastAsia" w:ascii="宋体" w:hAnsi="宋体" w:cs="宋体"/>
          <w:color w:val="auto"/>
          <w:kern w:val="0"/>
          <w:sz w:val="24"/>
        </w:rPr>
        <w:t xml:space="preserve">七、其他 </w:t>
      </w:r>
    </w:p>
    <w:p w14:paraId="6F476DEE">
      <w:pPr>
        <w:widowControl/>
        <w:spacing w:line="360" w:lineRule="auto"/>
        <w:jc w:val="left"/>
        <w:rPr>
          <w:rFonts w:ascii="宋体" w:hAnsi="宋体" w:cs="宋体"/>
          <w:b/>
          <w:bCs/>
          <w:color w:val="auto"/>
          <w:kern w:val="0"/>
          <w:sz w:val="24"/>
        </w:rPr>
      </w:pPr>
      <w:r>
        <w:rPr>
          <w:rFonts w:hint="eastAsia" w:ascii="宋体" w:hAnsi="宋体" w:cs="宋体"/>
          <w:color w:val="auto"/>
          <w:kern w:val="0"/>
          <w:sz w:val="24"/>
          <w:u w:val="single"/>
        </w:rPr>
        <w:t>（分包供应商名称）</w:t>
      </w:r>
      <w:r>
        <w:rPr>
          <w:rFonts w:hint="eastAsia" w:ascii="宋体" w:hAnsi="宋体" w:cs="宋体"/>
          <w:color w:val="auto"/>
          <w:kern w:val="0"/>
          <w:sz w:val="24"/>
        </w:rPr>
        <w:t xml:space="preserve">提供的服务/货物全部由小微企业承接/制造，其合同份额占到合同总金额 </w:t>
      </w:r>
      <w:r>
        <w:rPr>
          <w:rFonts w:hint="eastAsia" w:ascii="宋体" w:hAnsi="宋体" w:cs="宋体"/>
          <w:color w:val="auto"/>
          <w:kern w:val="0"/>
          <w:sz w:val="24"/>
          <w:u w:val="single"/>
        </w:rPr>
        <w:t xml:space="preserve">  </w:t>
      </w:r>
      <w:r>
        <w:rPr>
          <w:rFonts w:hint="eastAsia" w:ascii="宋体" w:hAnsi="宋体" w:cs="宋体"/>
          <w:color w:val="auto"/>
          <w:kern w:val="0"/>
          <w:sz w:val="24"/>
        </w:rPr>
        <w:t>%以上</w:t>
      </w:r>
      <w:r>
        <w:rPr>
          <w:rFonts w:hint="eastAsia" w:ascii="宋体" w:hAnsi="宋体" w:cs="宋体"/>
          <w:color w:val="auto"/>
          <w:kern w:val="0"/>
          <w:sz w:val="20"/>
          <w:szCs w:val="20"/>
        </w:rPr>
        <w:t>。</w:t>
      </w:r>
      <w:r>
        <w:rPr>
          <w:rFonts w:hint="eastAsia" w:ascii="宋体" w:hAnsi="宋体" w:cs="宋体"/>
          <w:b/>
          <w:bCs/>
          <w:color w:val="auto"/>
          <w:kern w:val="0"/>
          <w:sz w:val="24"/>
        </w:rPr>
        <w:t xml:space="preserve">（未预留份额专门面向中小企业采购的的采购项目，以及预留份额中的非预留部分采购包，允许分包的，分包意向协议约定小微企业的合同份额占到合同总金额30％以上的，对大中型企业的报价给予6％的扣除。供应商拟享受以上价格扣除优惠政策的，填写有关内容。） </w:t>
      </w:r>
    </w:p>
    <w:p w14:paraId="566DE806">
      <w:pPr>
        <w:widowControl/>
        <w:spacing w:line="360" w:lineRule="auto"/>
        <w:jc w:val="right"/>
        <w:rPr>
          <w:rFonts w:ascii="宋体" w:hAnsi="宋体" w:cs="宋体"/>
          <w:color w:val="auto"/>
        </w:rPr>
      </w:pPr>
      <w:r>
        <w:rPr>
          <w:rFonts w:hint="eastAsia" w:ascii="宋体" w:hAnsi="宋体" w:cs="宋体"/>
          <w:color w:val="auto"/>
          <w:kern w:val="0"/>
          <w:sz w:val="24"/>
        </w:rPr>
        <w:t xml:space="preserve">投标人名称(盖公章)： </w:t>
      </w:r>
    </w:p>
    <w:p w14:paraId="08B36BD7">
      <w:pPr>
        <w:widowControl/>
        <w:spacing w:line="360" w:lineRule="auto"/>
        <w:jc w:val="right"/>
        <w:rPr>
          <w:rFonts w:ascii="宋体" w:hAnsi="宋体" w:cs="宋体"/>
          <w:color w:val="auto"/>
        </w:rPr>
      </w:pPr>
      <w:r>
        <w:rPr>
          <w:rFonts w:hint="eastAsia" w:ascii="宋体" w:hAnsi="宋体" w:cs="宋体"/>
          <w:color w:val="auto"/>
          <w:kern w:val="0"/>
          <w:sz w:val="24"/>
        </w:rPr>
        <w:t xml:space="preserve">分包供应商名称(盖公章)： </w:t>
      </w:r>
    </w:p>
    <w:p w14:paraId="5AD8DF4F">
      <w:pPr>
        <w:widowControl/>
        <w:spacing w:line="360" w:lineRule="auto"/>
        <w:jc w:val="right"/>
        <w:rPr>
          <w:rFonts w:ascii="宋体" w:hAnsi="宋体" w:cs="宋体"/>
          <w:color w:val="auto"/>
          <w:kern w:val="0"/>
          <w:sz w:val="24"/>
        </w:rPr>
      </w:pPr>
      <w:r>
        <w:rPr>
          <w:rFonts w:hint="eastAsia" w:ascii="宋体" w:hAnsi="宋体" w:cs="宋体"/>
          <w:color w:val="auto"/>
          <w:kern w:val="0"/>
          <w:sz w:val="24"/>
        </w:rPr>
        <w:t>日期： 年 月 日</w:t>
      </w:r>
    </w:p>
    <w:p w14:paraId="40DA9CD3">
      <w:pPr>
        <w:pStyle w:val="4"/>
        <w:rPr>
          <w:rFonts w:ascii="宋体" w:eastAsia="宋体" w:cs="宋体"/>
          <w:color w:val="auto"/>
        </w:rPr>
      </w:pPr>
    </w:p>
    <w:p w14:paraId="34CCFBCD">
      <w:pPr>
        <w:rPr>
          <w:rFonts w:ascii="宋体" w:hAnsi="宋体" w:cs="宋体"/>
          <w:color w:val="auto"/>
        </w:rPr>
      </w:pPr>
    </w:p>
    <w:p w14:paraId="5676B539">
      <w:pPr>
        <w:pStyle w:val="30"/>
        <w:tabs>
          <w:tab w:val="left" w:pos="2015"/>
        </w:tabs>
        <w:ind w:firstLine="0" w:firstLineChars="0"/>
        <w:rPr>
          <w:rFonts w:ascii="宋体" w:hAnsi="宋体" w:cs="宋体"/>
          <w:color w:val="auto"/>
        </w:rPr>
      </w:pPr>
      <w:r>
        <w:rPr>
          <w:rFonts w:hint="eastAsia" w:ascii="宋体" w:hAnsi="宋体" w:cs="宋体"/>
          <w:color w:val="auto"/>
          <w:szCs w:val="21"/>
        </w:rPr>
        <w:t>说明：本分包意向协议经相关成员线下盖章后、编入投标文件并加盖投标人CA电子签章。</w:t>
      </w:r>
    </w:p>
    <w:p w14:paraId="57A4D861">
      <w:pPr>
        <w:pStyle w:val="27"/>
        <w:rPr>
          <w:rFonts w:hAnsi="宋体" w:cs="宋体"/>
          <w:bCs/>
          <w:color w:val="auto"/>
          <w:sz w:val="21"/>
          <w:szCs w:val="21"/>
        </w:rPr>
      </w:pPr>
      <w:r>
        <w:rPr>
          <w:rFonts w:hint="eastAsia" w:hAnsi="宋体" w:cs="宋体"/>
          <w:bCs/>
          <w:color w:val="auto"/>
          <w:sz w:val="21"/>
          <w:szCs w:val="21"/>
        </w:rPr>
        <w:t>附件10 投标函：</w:t>
      </w:r>
    </w:p>
    <w:p w14:paraId="09C61ED0">
      <w:pPr>
        <w:snapToGrid w:val="0"/>
        <w:spacing w:before="50" w:afterLines="50"/>
        <w:jc w:val="center"/>
        <w:rPr>
          <w:rFonts w:ascii="宋体" w:hAnsi="宋体" w:cs="宋体"/>
          <w:b/>
          <w:color w:val="auto"/>
          <w:kern w:val="0"/>
          <w:sz w:val="30"/>
          <w:szCs w:val="30"/>
        </w:rPr>
      </w:pPr>
      <w:r>
        <w:rPr>
          <w:rFonts w:hint="eastAsia" w:ascii="宋体" w:hAnsi="宋体" w:cs="宋体"/>
          <w:b/>
          <w:color w:val="auto"/>
          <w:kern w:val="0"/>
          <w:sz w:val="30"/>
          <w:szCs w:val="30"/>
        </w:rPr>
        <w:t>投 标 函</w:t>
      </w:r>
    </w:p>
    <w:p w14:paraId="6EFC79F0">
      <w:pPr>
        <w:spacing w:line="360" w:lineRule="auto"/>
        <w:rPr>
          <w:rFonts w:ascii="宋体" w:hAnsi="宋体" w:cs="宋体"/>
          <w:color w:val="auto"/>
          <w:sz w:val="24"/>
          <w:u w:val="single"/>
        </w:rPr>
      </w:pPr>
      <w:r>
        <w:rPr>
          <w:rFonts w:hint="eastAsia" w:ascii="宋体" w:hAnsi="宋体" w:cs="宋体"/>
          <w:color w:val="auto"/>
          <w:sz w:val="24"/>
          <w:u w:val="single"/>
        </w:rPr>
        <w:t>致天台县自然资源和规划局</w:t>
      </w:r>
      <w:r>
        <w:rPr>
          <w:rFonts w:hint="eastAsia" w:ascii="宋体" w:hAnsi="宋体" w:cs="宋体"/>
          <w:color w:val="auto"/>
          <w:sz w:val="24"/>
        </w:rPr>
        <w:t>：</w:t>
      </w:r>
    </w:p>
    <w:p w14:paraId="46A4887C">
      <w:pPr>
        <w:spacing w:line="360" w:lineRule="auto"/>
        <w:ind w:firstLine="480" w:firstLineChars="200"/>
        <w:rPr>
          <w:rFonts w:ascii="宋体" w:hAnsi="宋体" w:cs="宋体"/>
          <w:color w:val="auto"/>
          <w:sz w:val="24"/>
        </w:rPr>
      </w:pPr>
      <w:r>
        <w:rPr>
          <w:rFonts w:hint="eastAsia" w:ascii="宋体" w:hAnsi="宋体" w:cs="宋体"/>
          <w:color w:val="auto"/>
          <w:sz w:val="24"/>
        </w:rPr>
        <w:t>我</w:t>
      </w:r>
      <w:r>
        <w:rPr>
          <w:rFonts w:hint="eastAsia" w:ascii="宋体" w:hAnsi="宋体" w:cs="宋体"/>
          <w:color w:val="auto"/>
          <w:sz w:val="24"/>
          <w:u w:val="single"/>
        </w:rPr>
        <w:t xml:space="preserve">             </w:t>
      </w:r>
      <w:r>
        <w:rPr>
          <w:rFonts w:hint="eastAsia" w:ascii="宋体" w:hAnsi="宋体" w:cs="宋体"/>
          <w:color w:val="auto"/>
          <w:sz w:val="24"/>
        </w:rPr>
        <w:t>（姓名）系</w:t>
      </w:r>
      <w:r>
        <w:rPr>
          <w:rFonts w:hint="eastAsia" w:ascii="宋体" w:hAnsi="宋体" w:cs="宋体"/>
          <w:color w:val="auto"/>
          <w:sz w:val="24"/>
          <w:u w:val="single"/>
        </w:rPr>
        <w:t xml:space="preserve">              </w:t>
      </w:r>
      <w:r>
        <w:rPr>
          <w:rFonts w:hint="eastAsia" w:ascii="宋体" w:hAnsi="宋体" w:cs="宋体"/>
          <w:color w:val="auto"/>
          <w:sz w:val="24"/>
        </w:rPr>
        <w:t>（投标人名称）的法定代表人</w:t>
      </w:r>
      <w:r>
        <w:rPr>
          <w:rFonts w:hint="eastAsia" w:ascii="宋体" w:hAnsi="宋体" w:cs="宋体"/>
          <w:i/>
          <w:color w:val="auto"/>
          <w:sz w:val="24"/>
        </w:rPr>
        <w:t>（负责人）</w:t>
      </w:r>
      <w:r>
        <w:rPr>
          <w:rFonts w:hint="eastAsia" w:ascii="宋体" w:hAnsi="宋体" w:cs="宋体"/>
          <w:color w:val="auto"/>
          <w:sz w:val="24"/>
        </w:rPr>
        <w:t>，我方愿意参加贵方组织的</w:t>
      </w:r>
      <w:r>
        <w:rPr>
          <w:rFonts w:hint="eastAsia" w:ascii="宋体" w:hAnsi="宋体" w:cs="宋体"/>
          <w:color w:val="auto"/>
          <w:sz w:val="24"/>
          <w:u w:val="single"/>
        </w:rPr>
        <w:t xml:space="preserve"> 天台县2025年度补充林地库建设项目 </w:t>
      </w:r>
      <w:r>
        <w:rPr>
          <w:rFonts w:hint="eastAsia" w:ascii="宋体" w:hAnsi="宋体" w:cs="宋体"/>
          <w:color w:val="auto"/>
          <w:sz w:val="24"/>
        </w:rPr>
        <w:t>的投标，为便于贵方公正、择优地确定中标供应商及其投标产品和服务，我方就本次投标有关事项郑重声明如下：</w:t>
      </w:r>
    </w:p>
    <w:p w14:paraId="68D1C5FA">
      <w:pPr>
        <w:spacing w:line="360" w:lineRule="auto"/>
        <w:ind w:firstLine="480" w:firstLineChars="200"/>
        <w:rPr>
          <w:rFonts w:ascii="宋体" w:hAnsi="宋体" w:cs="宋体"/>
          <w:color w:val="auto"/>
          <w:sz w:val="24"/>
        </w:rPr>
      </w:pPr>
      <w:r>
        <w:rPr>
          <w:rFonts w:hint="eastAsia" w:ascii="宋体" w:hAnsi="宋体" w:cs="宋体"/>
          <w:color w:val="auto"/>
          <w:sz w:val="24"/>
        </w:rPr>
        <w:t>1、我方已详细审查全部“采购文件”，包括修改文件（如有）以及全部参考资料和有关附件，已经了解我方对于采购文件、采购过程、采购结果有依法进行询问、质疑、投诉的权利及相关渠道和要求。</w:t>
      </w:r>
    </w:p>
    <w:p w14:paraId="42BC011D">
      <w:pPr>
        <w:spacing w:line="360" w:lineRule="auto"/>
        <w:ind w:firstLine="480" w:firstLineChars="200"/>
        <w:rPr>
          <w:rFonts w:ascii="宋体" w:hAnsi="宋体" w:cs="宋体"/>
          <w:color w:val="auto"/>
          <w:sz w:val="24"/>
        </w:rPr>
      </w:pPr>
      <w:r>
        <w:rPr>
          <w:rFonts w:hint="eastAsia" w:ascii="宋体" w:hAnsi="宋体" w:cs="宋体"/>
          <w:color w:val="auto"/>
          <w:sz w:val="24"/>
        </w:rPr>
        <w:t>2、我方在投标之前已经与贵方进行了充分的沟通，完全理解并接受采购文件的各项规定和要求，对采购文件的合理性、合法性不再有异议。</w:t>
      </w:r>
    </w:p>
    <w:p w14:paraId="641ACC95">
      <w:pPr>
        <w:spacing w:line="360" w:lineRule="auto"/>
        <w:ind w:firstLine="480" w:firstLineChars="200"/>
        <w:rPr>
          <w:rFonts w:ascii="宋体" w:hAnsi="宋体" w:cs="宋体"/>
          <w:color w:val="auto"/>
          <w:sz w:val="24"/>
        </w:rPr>
      </w:pPr>
      <w:r>
        <w:rPr>
          <w:rFonts w:hint="eastAsia" w:ascii="宋体" w:hAnsi="宋体" w:cs="宋体"/>
          <w:color w:val="auto"/>
          <w:sz w:val="24"/>
        </w:rPr>
        <w:t>3、我方向贵方提交的所有投标文件资料都是准确的和真实的；</w:t>
      </w:r>
    </w:p>
    <w:p w14:paraId="761C756A">
      <w:pPr>
        <w:spacing w:line="360" w:lineRule="auto"/>
        <w:ind w:firstLine="480" w:firstLineChars="200"/>
        <w:rPr>
          <w:rFonts w:ascii="宋体" w:hAnsi="宋体" w:cs="宋体"/>
          <w:color w:val="auto"/>
          <w:sz w:val="24"/>
        </w:rPr>
      </w:pPr>
      <w:r>
        <w:rPr>
          <w:rFonts w:hint="eastAsia" w:ascii="宋体" w:hAnsi="宋体" w:cs="宋体"/>
          <w:color w:val="auto"/>
          <w:sz w:val="24"/>
        </w:rPr>
        <w:t>4、我方此次向贵方提供的服务，我方有能力提供；</w:t>
      </w:r>
    </w:p>
    <w:p w14:paraId="2511D8F4">
      <w:pPr>
        <w:spacing w:line="360" w:lineRule="auto"/>
        <w:ind w:firstLine="480" w:firstLineChars="200"/>
        <w:rPr>
          <w:rFonts w:ascii="宋体" w:hAnsi="宋体" w:cs="宋体"/>
          <w:color w:val="auto"/>
          <w:sz w:val="24"/>
        </w:rPr>
      </w:pPr>
      <w:r>
        <w:rPr>
          <w:rFonts w:hint="eastAsia" w:ascii="宋体" w:hAnsi="宋体" w:cs="宋体"/>
          <w:color w:val="auto"/>
          <w:sz w:val="24"/>
        </w:rPr>
        <w:t>5、服务期：于2025年12月31日前完成。（具体根据省林业局的要求调整完成时间）</w:t>
      </w:r>
    </w:p>
    <w:p w14:paraId="0865F7F7">
      <w:pPr>
        <w:spacing w:line="360" w:lineRule="auto"/>
        <w:ind w:firstLine="480" w:firstLineChars="200"/>
        <w:rPr>
          <w:rFonts w:ascii="宋体" w:hAnsi="宋体" w:cs="宋体"/>
          <w:color w:val="auto"/>
          <w:sz w:val="24"/>
        </w:rPr>
      </w:pPr>
      <w:r>
        <w:rPr>
          <w:rFonts w:hint="eastAsia" w:ascii="宋体" w:hAnsi="宋体" w:cs="宋体"/>
          <w:color w:val="auto"/>
          <w:sz w:val="24"/>
        </w:rPr>
        <w:t>6、本投标有效期90天；</w:t>
      </w:r>
    </w:p>
    <w:p w14:paraId="01D78925">
      <w:pPr>
        <w:spacing w:line="312" w:lineRule="auto"/>
        <w:ind w:firstLine="480" w:firstLineChars="200"/>
        <w:rPr>
          <w:rFonts w:ascii="宋体" w:hAnsi="宋体" w:cs="宋体"/>
          <w:color w:val="auto"/>
          <w:sz w:val="24"/>
        </w:rPr>
      </w:pPr>
      <w:r>
        <w:rPr>
          <w:rFonts w:hint="eastAsia" w:ascii="宋体" w:hAnsi="宋体" w:cs="宋体"/>
          <w:color w:val="auto"/>
          <w:sz w:val="24"/>
        </w:rPr>
        <w:t>7、我方承诺：</w:t>
      </w:r>
    </w:p>
    <w:p w14:paraId="6EB160BE">
      <w:pPr>
        <w:spacing w:line="312" w:lineRule="auto"/>
        <w:ind w:firstLine="482" w:firstLineChars="200"/>
        <w:rPr>
          <w:rFonts w:ascii="宋体" w:hAnsi="宋体" w:cs="宋体"/>
          <w:color w:val="auto"/>
          <w:sz w:val="24"/>
        </w:rPr>
      </w:pPr>
      <w:r>
        <w:rPr>
          <w:rFonts w:hint="eastAsia" w:ascii="宋体" w:hAnsi="宋体" w:cs="宋体"/>
          <w:b/>
          <w:bCs/>
          <w:color w:val="auto"/>
          <w:sz w:val="24"/>
        </w:rPr>
        <w:t>a）</w:t>
      </w:r>
      <w:r>
        <w:rPr>
          <w:rFonts w:hint="eastAsia" w:ascii="宋体" w:hAnsi="宋体" w:cs="宋体"/>
          <w:color w:val="auto"/>
          <w:sz w:val="24"/>
        </w:rPr>
        <w:t>如中标，我方将按采购文件规定（如有）提交履约保证金，并签订合同；我方若放弃中标资格，将由我方承担本项目采购代理服务费及专家评审费等全部费用，并赔偿可能对采购人造成的损失。</w:t>
      </w:r>
    </w:p>
    <w:p w14:paraId="14DE5D24">
      <w:pPr>
        <w:spacing w:line="312" w:lineRule="auto"/>
        <w:ind w:firstLine="482" w:firstLineChars="200"/>
        <w:rPr>
          <w:rFonts w:ascii="宋体" w:hAnsi="宋体" w:cs="宋体"/>
          <w:color w:val="auto"/>
          <w:sz w:val="24"/>
        </w:rPr>
      </w:pPr>
      <w:r>
        <w:rPr>
          <w:rFonts w:hint="eastAsia" w:ascii="宋体" w:hAnsi="宋体" w:cs="宋体"/>
          <w:b/>
          <w:bCs/>
          <w:color w:val="auto"/>
          <w:sz w:val="24"/>
        </w:rPr>
        <w:t>b）</w:t>
      </w:r>
      <w:r>
        <w:rPr>
          <w:rFonts w:hint="eastAsia" w:ascii="宋体" w:hAnsi="宋体" w:cs="宋体"/>
          <w:color w:val="auto"/>
          <w:sz w:val="24"/>
        </w:rPr>
        <w:t>如中标，我方将按采购文件规定（如有）在中标通知书发出之日起15日内支付本项目采购代理服务费。</w:t>
      </w:r>
    </w:p>
    <w:p w14:paraId="5CFFA7BA">
      <w:pPr>
        <w:spacing w:line="312" w:lineRule="auto"/>
        <w:ind w:firstLine="482" w:firstLineChars="200"/>
        <w:rPr>
          <w:rFonts w:ascii="宋体" w:hAnsi="宋体" w:cs="宋体"/>
          <w:color w:val="auto"/>
          <w:sz w:val="24"/>
        </w:rPr>
      </w:pPr>
      <w:r>
        <w:rPr>
          <w:rFonts w:hint="eastAsia" w:ascii="宋体" w:hAnsi="宋体" w:cs="宋体"/>
          <w:b/>
          <w:bCs/>
          <w:color w:val="auto"/>
          <w:sz w:val="24"/>
        </w:rPr>
        <w:t>c）</w:t>
      </w:r>
      <w:r>
        <w:rPr>
          <w:rFonts w:hint="eastAsia" w:ascii="宋体" w:hAnsi="宋体" w:cs="宋体"/>
          <w:color w:val="auto"/>
          <w:sz w:val="24"/>
        </w:rPr>
        <w:t>如中标，本投标文件至本项目合同履行完毕止均保持有效，我方将按采购文件及政府采购法律、法规的规定履行合同责任和义务。</w:t>
      </w:r>
    </w:p>
    <w:p w14:paraId="4AF90C36">
      <w:pPr>
        <w:spacing w:line="312" w:lineRule="auto"/>
        <w:ind w:firstLine="480" w:firstLineChars="200"/>
        <w:rPr>
          <w:rFonts w:ascii="宋体" w:hAnsi="宋体" w:cs="宋体"/>
          <w:color w:val="auto"/>
          <w:sz w:val="24"/>
        </w:rPr>
      </w:pPr>
      <w:r>
        <w:rPr>
          <w:rFonts w:hint="eastAsia" w:ascii="宋体" w:hAnsi="宋体" w:cs="宋体"/>
          <w:color w:val="auto"/>
          <w:sz w:val="24"/>
        </w:rPr>
        <w:t>8、与本投标有关的一切正式往来信函请寄：</w:t>
      </w:r>
    </w:p>
    <w:p w14:paraId="1F08793D">
      <w:pPr>
        <w:spacing w:line="360" w:lineRule="auto"/>
        <w:ind w:firstLine="480" w:firstLineChars="200"/>
        <w:rPr>
          <w:rFonts w:ascii="宋体" w:hAnsi="宋体" w:cs="宋体"/>
          <w:color w:val="auto"/>
          <w:sz w:val="24"/>
        </w:rPr>
      </w:pPr>
      <w:r>
        <w:rPr>
          <w:rFonts w:hint="eastAsia" w:ascii="宋体" w:hAnsi="宋体" w:cs="宋体"/>
          <w:color w:val="auto"/>
          <w:sz w:val="24"/>
        </w:rPr>
        <w:t>邮寄地址：</w:t>
      </w:r>
      <w:r>
        <w:rPr>
          <w:rFonts w:hint="eastAsia" w:ascii="宋体" w:hAnsi="宋体" w:cs="宋体"/>
          <w:color w:val="auto"/>
          <w:sz w:val="24"/>
          <w:u w:val="single"/>
        </w:rPr>
        <w:t xml:space="preserve">                    </w:t>
      </w:r>
      <w:r>
        <w:rPr>
          <w:rFonts w:hint="eastAsia" w:ascii="宋体" w:hAnsi="宋体" w:cs="宋体"/>
          <w:color w:val="auto"/>
          <w:sz w:val="24"/>
        </w:rPr>
        <w:t xml:space="preserve"> 收件人：</w:t>
      </w:r>
      <w:r>
        <w:rPr>
          <w:rFonts w:hint="eastAsia" w:ascii="宋体" w:hAnsi="宋体" w:cs="宋体"/>
          <w:color w:val="auto"/>
          <w:sz w:val="24"/>
          <w:u w:val="single"/>
        </w:rPr>
        <w:t xml:space="preserve">                 </w:t>
      </w:r>
      <w:r>
        <w:rPr>
          <w:rFonts w:hint="eastAsia" w:ascii="宋体" w:hAnsi="宋体" w:cs="宋体"/>
          <w:color w:val="auto"/>
          <w:sz w:val="24"/>
        </w:rPr>
        <w:t xml:space="preserve">            </w:t>
      </w:r>
    </w:p>
    <w:p w14:paraId="61705D71">
      <w:pPr>
        <w:spacing w:line="360" w:lineRule="auto"/>
        <w:ind w:firstLine="480" w:firstLineChars="200"/>
        <w:rPr>
          <w:rFonts w:ascii="宋体" w:hAnsi="宋体" w:cs="宋体"/>
          <w:color w:val="auto"/>
          <w:sz w:val="24"/>
        </w:rPr>
      </w:pPr>
      <w:r>
        <w:rPr>
          <w:rFonts w:hint="eastAsia" w:ascii="宋体" w:hAnsi="宋体" w:cs="宋体"/>
          <w:color w:val="auto"/>
          <w:sz w:val="24"/>
        </w:rPr>
        <w:t>联系电话：</w:t>
      </w:r>
      <w:r>
        <w:rPr>
          <w:rFonts w:hint="eastAsia" w:ascii="宋体" w:hAnsi="宋体" w:cs="宋体"/>
          <w:color w:val="auto"/>
          <w:sz w:val="24"/>
          <w:u w:val="single"/>
        </w:rPr>
        <w:t xml:space="preserve">                    </w:t>
      </w:r>
      <w:r>
        <w:rPr>
          <w:rFonts w:hint="eastAsia" w:ascii="宋体" w:hAnsi="宋体" w:cs="宋体"/>
          <w:color w:val="auto"/>
          <w:sz w:val="24"/>
        </w:rPr>
        <w:t xml:space="preserve"> 电子邮箱：</w:t>
      </w:r>
      <w:r>
        <w:rPr>
          <w:rFonts w:hint="eastAsia" w:ascii="宋体" w:hAnsi="宋体" w:cs="宋体"/>
          <w:color w:val="auto"/>
          <w:sz w:val="24"/>
          <w:u w:val="single"/>
        </w:rPr>
        <w:t xml:space="preserve">               </w:t>
      </w:r>
      <w:r>
        <w:rPr>
          <w:rFonts w:hint="eastAsia" w:ascii="宋体" w:hAnsi="宋体" w:cs="宋体"/>
          <w:color w:val="auto"/>
          <w:sz w:val="24"/>
        </w:rPr>
        <w:t xml:space="preserve">        </w:t>
      </w:r>
    </w:p>
    <w:p w14:paraId="2B6503C0">
      <w:pPr>
        <w:ind w:firstLine="480" w:firstLineChars="200"/>
        <w:rPr>
          <w:rFonts w:ascii="宋体" w:hAnsi="宋体" w:cs="宋体"/>
          <w:color w:val="auto"/>
          <w:sz w:val="24"/>
        </w:rPr>
      </w:pPr>
    </w:p>
    <w:p w14:paraId="2FB5D88B">
      <w:pPr>
        <w:ind w:firstLine="480" w:firstLineChars="200"/>
        <w:rPr>
          <w:rFonts w:ascii="宋体" w:hAnsi="宋体" w:cs="宋体"/>
          <w:color w:val="auto"/>
          <w:sz w:val="24"/>
        </w:rPr>
      </w:pPr>
      <w:r>
        <w:rPr>
          <w:rFonts w:hint="eastAsia" w:ascii="宋体" w:hAnsi="宋体" w:cs="宋体"/>
          <w:color w:val="auto"/>
          <w:sz w:val="24"/>
        </w:rPr>
        <w:t xml:space="preserve">          </w:t>
      </w:r>
    </w:p>
    <w:p w14:paraId="2F86B5F6">
      <w:pPr>
        <w:ind w:firstLine="4680" w:firstLineChars="1950"/>
        <w:jc w:val="right"/>
        <w:rPr>
          <w:rFonts w:ascii="宋体" w:hAnsi="宋体" w:cs="宋体"/>
          <w:color w:val="auto"/>
          <w:sz w:val="24"/>
        </w:rPr>
      </w:pPr>
      <w:r>
        <w:rPr>
          <w:rFonts w:hint="eastAsia" w:ascii="宋体" w:hAnsi="宋体" w:cs="宋体"/>
          <w:color w:val="auto"/>
          <w:sz w:val="24"/>
        </w:rPr>
        <w:t>投标人全称：</w:t>
      </w:r>
      <w:r>
        <w:rPr>
          <w:rFonts w:hint="eastAsia" w:ascii="宋体" w:hAnsi="宋体" w:cs="宋体"/>
          <w:color w:val="auto"/>
          <w:sz w:val="24"/>
          <w:u w:val="single"/>
        </w:rPr>
        <w:t xml:space="preserve">                   </w:t>
      </w:r>
      <w:r>
        <w:rPr>
          <w:rFonts w:hint="eastAsia" w:ascii="宋体" w:hAnsi="宋体" w:cs="宋体"/>
          <w:color w:val="auto"/>
          <w:sz w:val="24"/>
        </w:rPr>
        <w:t>（盖公章）</w:t>
      </w:r>
    </w:p>
    <w:p w14:paraId="48FA6621">
      <w:pPr>
        <w:ind w:firstLine="1980" w:firstLineChars="825"/>
        <w:jc w:val="right"/>
        <w:rPr>
          <w:rFonts w:ascii="宋体" w:hAnsi="宋体" w:cs="宋体"/>
          <w:color w:val="auto"/>
          <w:sz w:val="24"/>
          <w:u w:val="single"/>
        </w:rPr>
      </w:pPr>
    </w:p>
    <w:p w14:paraId="49F7B489">
      <w:pPr>
        <w:ind w:firstLine="2760" w:firstLineChars="1150"/>
        <w:jc w:val="right"/>
        <w:rPr>
          <w:rFonts w:ascii="宋体" w:hAnsi="宋体" w:cs="宋体"/>
          <w:color w:val="auto"/>
          <w:sz w:val="24"/>
        </w:rPr>
      </w:pPr>
      <w:r>
        <w:rPr>
          <w:rFonts w:hint="eastAsia" w:ascii="宋体" w:hAnsi="宋体" w:cs="宋体"/>
          <w:color w:val="auto"/>
          <w:sz w:val="24"/>
        </w:rPr>
        <w:t>法定代表人（负责人）或授权代表：</w:t>
      </w:r>
      <w:r>
        <w:rPr>
          <w:rFonts w:hint="eastAsia" w:ascii="宋体" w:hAnsi="宋体" w:cs="宋体"/>
          <w:color w:val="auto"/>
          <w:sz w:val="24"/>
          <w:u w:val="single"/>
        </w:rPr>
        <w:t xml:space="preserve">         </w:t>
      </w:r>
      <w:r>
        <w:rPr>
          <w:rFonts w:hint="eastAsia" w:ascii="宋体" w:hAnsi="宋体" w:cs="宋体"/>
          <w:color w:val="auto"/>
          <w:sz w:val="24"/>
        </w:rPr>
        <w:t>（签字或盖章）</w:t>
      </w:r>
    </w:p>
    <w:p w14:paraId="47DC0006">
      <w:pPr>
        <w:jc w:val="right"/>
        <w:rPr>
          <w:rFonts w:ascii="宋体" w:hAnsi="宋体" w:cs="宋体"/>
          <w:color w:val="auto"/>
          <w:sz w:val="24"/>
        </w:rPr>
      </w:pPr>
    </w:p>
    <w:p w14:paraId="0771CA58">
      <w:pPr>
        <w:jc w:val="right"/>
        <w:rPr>
          <w:rFonts w:ascii="宋体" w:hAnsi="宋体" w:cs="宋体"/>
          <w:color w:val="auto"/>
        </w:rPr>
      </w:pPr>
      <w:r>
        <w:rPr>
          <w:rFonts w:hint="eastAsia" w:ascii="宋体" w:hAnsi="宋体" w:cs="宋体"/>
          <w:color w:val="auto"/>
          <w:sz w:val="24"/>
        </w:rPr>
        <w:t xml:space="preserve">                                                年    月    日</w:t>
      </w:r>
    </w:p>
    <w:p w14:paraId="15A4C32F">
      <w:pPr>
        <w:spacing w:beforeLines="100" w:afterLines="50"/>
        <w:rPr>
          <w:rFonts w:ascii="宋体" w:hAnsi="宋体" w:cs="宋体"/>
          <w:b/>
          <w:bCs/>
          <w:color w:val="auto"/>
          <w:sz w:val="30"/>
        </w:rPr>
      </w:pPr>
      <w:r>
        <w:rPr>
          <w:rFonts w:hint="eastAsia" w:ascii="宋体" w:hAnsi="宋体" w:cs="宋体"/>
          <w:bCs/>
          <w:color w:val="auto"/>
        </w:rPr>
        <w:t>附件11 开标一览表</w:t>
      </w:r>
      <w:r>
        <w:rPr>
          <w:rFonts w:hint="eastAsia" w:ascii="宋体" w:hAnsi="宋体" w:cs="宋体"/>
          <w:b/>
          <w:bCs/>
          <w:color w:val="auto"/>
          <w:sz w:val="24"/>
        </w:rPr>
        <w:t>：</w:t>
      </w:r>
      <w:r>
        <w:rPr>
          <w:rFonts w:hint="eastAsia" w:ascii="宋体" w:hAnsi="宋体" w:cs="宋体"/>
          <w:bCs/>
          <w:color w:val="auto"/>
        </w:rPr>
        <w:t xml:space="preserve">  </w:t>
      </w:r>
      <w:r>
        <w:rPr>
          <w:rFonts w:hint="eastAsia" w:ascii="宋体" w:hAnsi="宋体" w:cs="宋体"/>
          <w:b/>
          <w:bCs/>
          <w:color w:val="auto"/>
          <w:sz w:val="30"/>
        </w:rPr>
        <w:t xml:space="preserve">           </w:t>
      </w:r>
    </w:p>
    <w:p w14:paraId="3AD12512">
      <w:pPr>
        <w:snapToGrid w:val="0"/>
        <w:spacing w:before="50" w:afterLines="50"/>
        <w:jc w:val="center"/>
        <w:rPr>
          <w:rFonts w:ascii="宋体" w:hAnsi="宋体" w:cs="宋体"/>
          <w:b/>
          <w:color w:val="auto"/>
          <w:kern w:val="0"/>
          <w:sz w:val="30"/>
          <w:szCs w:val="30"/>
        </w:rPr>
      </w:pPr>
      <w:r>
        <w:rPr>
          <w:rFonts w:hint="eastAsia" w:ascii="宋体" w:hAnsi="宋体" w:cs="宋体"/>
          <w:b/>
          <w:color w:val="auto"/>
          <w:kern w:val="0"/>
          <w:sz w:val="30"/>
          <w:szCs w:val="30"/>
        </w:rPr>
        <w:t>开标一览表</w:t>
      </w:r>
    </w:p>
    <w:p w14:paraId="23D9DF7B">
      <w:pPr>
        <w:pStyle w:val="7"/>
        <w:jc w:val="left"/>
        <w:rPr>
          <w:rFonts w:hAnsi="宋体" w:cs="宋体"/>
          <w:color w:val="auto"/>
          <w:sz w:val="24"/>
        </w:rPr>
      </w:pPr>
      <w:r>
        <w:rPr>
          <w:rFonts w:hint="eastAsia" w:hAnsi="宋体" w:cs="宋体"/>
          <w:color w:val="auto"/>
          <w:sz w:val="24"/>
        </w:rPr>
        <w:t>项目名称：天台县2025年度补充林地库建设项目                                                           项目编号：TCCG-2025-Z070</w:t>
      </w:r>
    </w:p>
    <w:tbl>
      <w:tblPr>
        <w:tblStyle w:val="31"/>
        <w:tblW w:w="96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84"/>
        <w:gridCol w:w="1167"/>
        <w:gridCol w:w="1158"/>
        <w:gridCol w:w="4572"/>
      </w:tblGrid>
      <w:tr w14:paraId="426EA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jc w:val="center"/>
        </w:trPr>
        <w:tc>
          <w:tcPr>
            <w:tcW w:w="2784" w:type="dxa"/>
            <w:tcBorders>
              <w:tl2br w:val="nil"/>
              <w:tr2bl w:val="nil"/>
            </w:tcBorders>
            <w:vAlign w:val="center"/>
          </w:tcPr>
          <w:p w14:paraId="366073EB">
            <w:pPr>
              <w:jc w:val="center"/>
              <w:rPr>
                <w:rFonts w:ascii="宋体" w:hAnsi="宋体" w:cs="宋体"/>
                <w:bCs/>
                <w:color w:val="auto"/>
                <w:sz w:val="24"/>
              </w:rPr>
            </w:pPr>
            <w:r>
              <w:rPr>
                <w:rFonts w:hint="eastAsia" w:ascii="宋体" w:hAnsi="宋体" w:cs="宋体"/>
                <w:bCs/>
                <w:color w:val="auto"/>
                <w:sz w:val="24"/>
              </w:rPr>
              <w:t>标项内容</w:t>
            </w:r>
          </w:p>
        </w:tc>
        <w:tc>
          <w:tcPr>
            <w:tcW w:w="1167" w:type="dxa"/>
            <w:tcBorders>
              <w:tl2br w:val="nil"/>
              <w:tr2bl w:val="nil"/>
            </w:tcBorders>
            <w:vAlign w:val="center"/>
          </w:tcPr>
          <w:p w14:paraId="521C7886">
            <w:pPr>
              <w:jc w:val="center"/>
              <w:rPr>
                <w:rFonts w:ascii="宋体" w:hAnsi="宋体" w:cs="宋体"/>
                <w:bCs/>
                <w:color w:val="auto"/>
                <w:sz w:val="24"/>
              </w:rPr>
            </w:pPr>
            <w:r>
              <w:rPr>
                <w:rFonts w:hint="eastAsia" w:ascii="宋体" w:hAnsi="宋体" w:cs="宋体"/>
                <w:bCs/>
                <w:color w:val="auto"/>
                <w:sz w:val="24"/>
              </w:rPr>
              <w:t>数量</w:t>
            </w:r>
          </w:p>
        </w:tc>
        <w:tc>
          <w:tcPr>
            <w:tcW w:w="1158" w:type="dxa"/>
            <w:tcBorders>
              <w:tl2br w:val="nil"/>
              <w:tr2bl w:val="nil"/>
            </w:tcBorders>
            <w:vAlign w:val="center"/>
          </w:tcPr>
          <w:p w14:paraId="333A43F0">
            <w:pPr>
              <w:jc w:val="center"/>
              <w:rPr>
                <w:rFonts w:ascii="宋体" w:hAnsi="宋体" w:cs="宋体"/>
                <w:bCs/>
                <w:color w:val="auto"/>
                <w:sz w:val="24"/>
              </w:rPr>
            </w:pPr>
            <w:r>
              <w:rPr>
                <w:rFonts w:hint="eastAsia" w:ascii="宋体" w:hAnsi="宋体" w:cs="宋体"/>
                <w:bCs/>
                <w:color w:val="auto"/>
                <w:sz w:val="24"/>
              </w:rPr>
              <w:t>单位</w:t>
            </w:r>
          </w:p>
        </w:tc>
        <w:tc>
          <w:tcPr>
            <w:tcW w:w="4572" w:type="dxa"/>
            <w:tcBorders>
              <w:tl2br w:val="nil"/>
              <w:tr2bl w:val="nil"/>
            </w:tcBorders>
            <w:vAlign w:val="center"/>
          </w:tcPr>
          <w:p w14:paraId="6C9CD43C">
            <w:pPr>
              <w:jc w:val="center"/>
              <w:rPr>
                <w:rFonts w:ascii="宋体" w:hAnsi="宋体" w:cs="宋体"/>
                <w:bCs/>
                <w:color w:val="auto"/>
                <w:sz w:val="24"/>
              </w:rPr>
            </w:pPr>
            <w:r>
              <w:rPr>
                <w:rFonts w:hint="eastAsia" w:ascii="宋体" w:hAnsi="宋体" w:cs="宋体"/>
                <w:bCs/>
                <w:color w:val="auto"/>
                <w:sz w:val="24"/>
              </w:rPr>
              <w:t>服务期限</w:t>
            </w:r>
          </w:p>
        </w:tc>
      </w:tr>
      <w:tr w14:paraId="38E74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7" w:hRule="atLeast"/>
          <w:jc w:val="center"/>
        </w:trPr>
        <w:tc>
          <w:tcPr>
            <w:tcW w:w="2784" w:type="dxa"/>
            <w:tcBorders>
              <w:tl2br w:val="nil"/>
              <w:tr2bl w:val="nil"/>
            </w:tcBorders>
            <w:vAlign w:val="center"/>
          </w:tcPr>
          <w:p w14:paraId="470E3869">
            <w:pPr>
              <w:jc w:val="center"/>
              <w:rPr>
                <w:rFonts w:ascii="宋体" w:hAnsi="宋体" w:cs="宋体"/>
                <w:bCs/>
                <w:color w:val="auto"/>
                <w:sz w:val="24"/>
              </w:rPr>
            </w:pPr>
            <w:r>
              <w:rPr>
                <w:rFonts w:hint="eastAsia" w:ascii="宋体" w:hAnsi="宋体" w:cs="宋体"/>
                <w:bCs/>
                <w:color w:val="auto"/>
                <w:sz w:val="24"/>
              </w:rPr>
              <w:t>天台县2025年度补充林地库建设项目</w:t>
            </w:r>
          </w:p>
        </w:tc>
        <w:tc>
          <w:tcPr>
            <w:tcW w:w="1167" w:type="dxa"/>
            <w:tcBorders>
              <w:tl2br w:val="nil"/>
              <w:tr2bl w:val="nil"/>
            </w:tcBorders>
            <w:vAlign w:val="center"/>
          </w:tcPr>
          <w:p w14:paraId="767ABC6D">
            <w:pPr>
              <w:jc w:val="center"/>
              <w:rPr>
                <w:rFonts w:ascii="宋体" w:hAnsi="宋体" w:cs="宋体"/>
                <w:bCs/>
                <w:color w:val="auto"/>
                <w:sz w:val="24"/>
              </w:rPr>
            </w:pPr>
            <w:r>
              <w:rPr>
                <w:rFonts w:hint="eastAsia" w:ascii="宋体" w:hAnsi="宋体" w:cs="宋体"/>
                <w:bCs/>
                <w:color w:val="auto"/>
                <w:sz w:val="24"/>
              </w:rPr>
              <w:t>1</w:t>
            </w:r>
          </w:p>
        </w:tc>
        <w:tc>
          <w:tcPr>
            <w:tcW w:w="1158" w:type="dxa"/>
            <w:tcBorders>
              <w:tl2br w:val="nil"/>
              <w:tr2bl w:val="nil"/>
            </w:tcBorders>
            <w:vAlign w:val="center"/>
          </w:tcPr>
          <w:p w14:paraId="4440FDDA">
            <w:pPr>
              <w:jc w:val="center"/>
              <w:rPr>
                <w:rFonts w:ascii="宋体" w:hAnsi="宋体" w:cs="宋体"/>
                <w:bCs/>
                <w:color w:val="auto"/>
                <w:sz w:val="24"/>
              </w:rPr>
            </w:pPr>
            <w:r>
              <w:rPr>
                <w:rFonts w:hint="eastAsia" w:ascii="宋体" w:hAnsi="宋体" w:cs="宋体"/>
                <w:bCs/>
                <w:color w:val="auto"/>
                <w:sz w:val="24"/>
              </w:rPr>
              <w:t>项</w:t>
            </w:r>
          </w:p>
        </w:tc>
        <w:tc>
          <w:tcPr>
            <w:tcW w:w="4572" w:type="dxa"/>
            <w:tcBorders>
              <w:tl2br w:val="nil"/>
              <w:tr2bl w:val="nil"/>
            </w:tcBorders>
            <w:vAlign w:val="center"/>
          </w:tcPr>
          <w:p w14:paraId="786251C2">
            <w:pPr>
              <w:jc w:val="center"/>
              <w:rPr>
                <w:rFonts w:ascii="宋体" w:hAnsi="宋体" w:cs="宋体"/>
                <w:bCs/>
                <w:color w:val="auto"/>
                <w:sz w:val="24"/>
              </w:rPr>
            </w:pPr>
            <w:r>
              <w:rPr>
                <w:rFonts w:hint="eastAsia" w:ascii="宋体" w:hAnsi="宋体" w:cs="宋体"/>
                <w:bCs/>
                <w:color w:val="auto"/>
                <w:sz w:val="24"/>
              </w:rPr>
              <w:t>于2025年12月31日前完成。（具体根据省林业局的要求调整完成时间）</w:t>
            </w:r>
          </w:p>
        </w:tc>
      </w:tr>
      <w:tr w14:paraId="17B3C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5" w:hRule="atLeast"/>
          <w:jc w:val="center"/>
        </w:trPr>
        <w:tc>
          <w:tcPr>
            <w:tcW w:w="2784" w:type="dxa"/>
            <w:tcBorders>
              <w:tl2br w:val="nil"/>
              <w:tr2bl w:val="nil"/>
            </w:tcBorders>
            <w:vAlign w:val="center"/>
          </w:tcPr>
          <w:p w14:paraId="4669492F">
            <w:pPr>
              <w:jc w:val="center"/>
              <w:rPr>
                <w:rFonts w:ascii="宋体" w:hAnsi="宋体" w:cs="宋体"/>
                <w:bCs/>
                <w:color w:val="auto"/>
                <w:sz w:val="24"/>
              </w:rPr>
            </w:pPr>
            <w:r>
              <w:rPr>
                <w:rFonts w:hint="eastAsia" w:ascii="宋体" w:hAnsi="宋体" w:cs="宋体"/>
                <w:bCs/>
                <w:color w:val="auto"/>
                <w:sz w:val="24"/>
              </w:rPr>
              <w:t>投标总价(元)</w:t>
            </w:r>
          </w:p>
        </w:tc>
        <w:tc>
          <w:tcPr>
            <w:tcW w:w="6897" w:type="dxa"/>
            <w:gridSpan w:val="3"/>
            <w:tcBorders>
              <w:tl2br w:val="nil"/>
              <w:tr2bl w:val="nil"/>
            </w:tcBorders>
            <w:vAlign w:val="center"/>
          </w:tcPr>
          <w:p w14:paraId="7007EF1B">
            <w:pPr>
              <w:jc w:val="left"/>
              <w:rPr>
                <w:rFonts w:ascii="宋体" w:hAnsi="宋体" w:cs="宋体"/>
                <w:bCs/>
                <w:color w:val="auto"/>
                <w:sz w:val="24"/>
                <w:u w:val="single"/>
              </w:rPr>
            </w:pPr>
            <w:r>
              <w:rPr>
                <w:rFonts w:hint="eastAsia" w:ascii="宋体" w:hAnsi="宋体" w:cs="宋体"/>
                <w:bCs/>
                <w:color w:val="auto"/>
                <w:sz w:val="24"/>
              </w:rPr>
              <w:t>（小写）：</w:t>
            </w:r>
            <w:r>
              <w:rPr>
                <w:rFonts w:hint="eastAsia" w:ascii="宋体" w:hAnsi="宋体" w:cs="宋体"/>
                <w:bCs/>
                <w:color w:val="auto"/>
                <w:sz w:val="24"/>
                <w:u w:val="single"/>
              </w:rPr>
              <w:t xml:space="preserve">                    </w:t>
            </w:r>
          </w:p>
          <w:p w14:paraId="5EF345DB">
            <w:pPr>
              <w:jc w:val="left"/>
              <w:rPr>
                <w:rFonts w:ascii="宋体" w:hAnsi="宋体" w:cs="宋体"/>
                <w:bCs/>
                <w:color w:val="auto"/>
                <w:sz w:val="24"/>
              </w:rPr>
            </w:pPr>
          </w:p>
          <w:p w14:paraId="50D8838D">
            <w:pPr>
              <w:jc w:val="left"/>
              <w:rPr>
                <w:rFonts w:ascii="宋体" w:hAnsi="宋体" w:cs="宋体"/>
                <w:bCs/>
                <w:color w:val="auto"/>
                <w:sz w:val="24"/>
              </w:rPr>
            </w:pPr>
            <w:r>
              <w:rPr>
                <w:rFonts w:hint="eastAsia" w:ascii="宋体" w:hAnsi="宋体" w:cs="宋体"/>
                <w:bCs/>
                <w:color w:val="auto"/>
                <w:sz w:val="24"/>
              </w:rPr>
              <w:t>（大写）：</w:t>
            </w:r>
            <w:r>
              <w:rPr>
                <w:rFonts w:hint="eastAsia" w:ascii="宋体" w:hAnsi="宋体" w:cs="宋体"/>
                <w:bCs/>
                <w:color w:val="auto"/>
                <w:sz w:val="24"/>
                <w:u w:val="single"/>
              </w:rPr>
              <w:t xml:space="preserve">                    </w:t>
            </w:r>
          </w:p>
        </w:tc>
      </w:tr>
    </w:tbl>
    <w:p w14:paraId="60AB9255">
      <w:pPr>
        <w:pStyle w:val="7"/>
        <w:snapToGrid w:val="0"/>
        <w:spacing w:beforeLines="40" w:afterLines="40"/>
        <w:ind w:left="228" w:hanging="228" w:hangingChars="95"/>
        <w:jc w:val="left"/>
        <w:rPr>
          <w:rFonts w:hAnsi="宋体" w:cs="宋体"/>
          <w:bCs/>
          <w:color w:val="auto"/>
          <w:sz w:val="24"/>
        </w:rPr>
      </w:pPr>
      <w:r>
        <w:rPr>
          <w:rFonts w:hint="eastAsia" w:hAnsi="宋体" w:cs="宋体"/>
          <w:bCs/>
          <w:color w:val="auto"/>
          <w:sz w:val="24"/>
        </w:rPr>
        <w:t>说明：</w:t>
      </w:r>
      <w:bookmarkStart w:id="43" w:name="_Toc327261253"/>
      <w:r>
        <w:rPr>
          <w:rFonts w:hint="eastAsia" w:hAnsi="宋体" w:cs="宋体"/>
          <w:bCs/>
          <w:color w:val="auto"/>
          <w:sz w:val="24"/>
        </w:rPr>
        <w:t>1.</w:t>
      </w:r>
      <w:bookmarkEnd w:id="43"/>
      <w:r>
        <w:rPr>
          <w:rFonts w:hint="eastAsia" w:hAnsi="宋体" w:cs="宋体"/>
          <w:bCs/>
          <w:color w:val="auto"/>
          <w:sz w:val="24"/>
        </w:rPr>
        <w:t>投标报价是履行合同的最终价格，投标报价应包括：服务费、人工费、技术支持、报告等成果文件的费用、税金、招标代理费等完成本项目的其它费用和政策性文件规定及合同包含的所有风险、责任等各项应有费用，即投标人所投 的投标报价为投标人所能承受的整个项目的一次性最终最低报价。如有漏项，视同已包含在其它项目中，合同单价及总价不作调整。</w:t>
      </w:r>
    </w:p>
    <w:p w14:paraId="6F93830E">
      <w:pPr>
        <w:pStyle w:val="7"/>
        <w:snapToGrid w:val="0"/>
        <w:spacing w:beforeLines="40" w:afterLines="40"/>
        <w:ind w:left="237" w:leftChars="113" w:firstLine="480" w:firstLineChars="200"/>
        <w:jc w:val="left"/>
        <w:rPr>
          <w:rFonts w:hAnsi="宋体" w:cs="宋体"/>
          <w:bCs/>
          <w:color w:val="auto"/>
          <w:sz w:val="24"/>
        </w:rPr>
      </w:pPr>
      <w:r>
        <w:rPr>
          <w:rFonts w:hint="eastAsia" w:hAnsi="宋体" w:cs="宋体"/>
          <w:bCs/>
          <w:color w:val="auto"/>
          <w:sz w:val="24"/>
        </w:rPr>
        <w:t xml:space="preserve">2.报价一经涂改，应在涂改处加盖单位公章或者由法定代表人或其授权代表签字或盖章，否则按无效标处理。  </w:t>
      </w:r>
    </w:p>
    <w:p w14:paraId="7F2D383E">
      <w:pPr>
        <w:ind w:right="-21" w:rightChars="-10" w:firstLine="720" w:firstLineChars="300"/>
        <w:rPr>
          <w:rFonts w:ascii="宋体" w:hAnsi="宋体" w:cs="宋体"/>
          <w:color w:val="auto"/>
          <w:sz w:val="24"/>
        </w:rPr>
      </w:pPr>
      <w:r>
        <w:rPr>
          <w:rFonts w:hint="eastAsia" w:ascii="宋体" w:hAnsi="宋体" w:cs="宋体"/>
          <w:bCs/>
          <w:color w:val="auto"/>
          <w:sz w:val="24"/>
        </w:rPr>
        <w:t>3.报价超过采购预算（或最高限价）的，作无效标处理。</w:t>
      </w:r>
    </w:p>
    <w:p w14:paraId="5EAAF830">
      <w:pPr>
        <w:pStyle w:val="41"/>
        <w:rPr>
          <w:rFonts w:ascii="宋体" w:hAnsi="宋体" w:cs="宋体"/>
          <w:color w:val="auto"/>
        </w:rPr>
      </w:pPr>
    </w:p>
    <w:p w14:paraId="213A1142">
      <w:pPr>
        <w:spacing w:beforeLines="100" w:afterLines="50"/>
        <w:rPr>
          <w:rFonts w:ascii="宋体" w:hAnsi="宋体" w:cs="宋体"/>
          <w:color w:val="auto"/>
          <w:sz w:val="24"/>
        </w:rPr>
      </w:pPr>
    </w:p>
    <w:p w14:paraId="08C058B0">
      <w:pPr>
        <w:ind w:firstLine="4680" w:firstLineChars="1950"/>
        <w:jc w:val="right"/>
        <w:rPr>
          <w:rFonts w:ascii="宋体" w:hAnsi="宋体" w:cs="宋体"/>
          <w:color w:val="auto"/>
          <w:sz w:val="24"/>
        </w:rPr>
      </w:pPr>
      <w:r>
        <w:rPr>
          <w:rFonts w:hint="eastAsia" w:ascii="宋体" w:hAnsi="宋体" w:cs="宋体"/>
          <w:color w:val="auto"/>
          <w:sz w:val="24"/>
        </w:rPr>
        <w:t>投标人全称：</w:t>
      </w:r>
      <w:r>
        <w:rPr>
          <w:rFonts w:hint="eastAsia" w:ascii="宋体" w:hAnsi="宋体" w:cs="宋体"/>
          <w:color w:val="auto"/>
          <w:sz w:val="24"/>
          <w:u w:val="single"/>
        </w:rPr>
        <w:t xml:space="preserve">                   </w:t>
      </w:r>
      <w:r>
        <w:rPr>
          <w:rFonts w:hint="eastAsia" w:ascii="宋体" w:hAnsi="宋体" w:cs="宋体"/>
          <w:color w:val="auto"/>
          <w:sz w:val="24"/>
        </w:rPr>
        <w:t>（盖公章）</w:t>
      </w:r>
    </w:p>
    <w:p w14:paraId="00E68C0D">
      <w:pPr>
        <w:ind w:firstLine="1980" w:firstLineChars="825"/>
        <w:jc w:val="right"/>
        <w:rPr>
          <w:rFonts w:ascii="宋体" w:hAnsi="宋体" w:cs="宋体"/>
          <w:color w:val="auto"/>
          <w:sz w:val="24"/>
          <w:u w:val="single"/>
        </w:rPr>
      </w:pPr>
    </w:p>
    <w:p w14:paraId="5C0C7C04">
      <w:pPr>
        <w:ind w:firstLine="2760" w:firstLineChars="1150"/>
        <w:jc w:val="right"/>
        <w:rPr>
          <w:rFonts w:ascii="宋体" w:hAnsi="宋体" w:cs="宋体"/>
          <w:color w:val="auto"/>
          <w:sz w:val="24"/>
        </w:rPr>
      </w:pPr>
      <w:r>
        <w:rPr>
          <w:rFonts w:hint="eastAsia" w:ascii="宋体" w:hAnsi="宋体" w:cs="宋体"/>
          <w:color w:val="auto"/>
          <w:sz w:val="24"/>
        </w:rPr>
        <w:t>法定代表人</w:t>
      </w:r>
      <w:r>
        <w:rPr>
          <w:rFonts w:hint="eastAsia" w:ascii="宋体" w:hAnsi="宋体" w:cs="宋体"/>
          <w:iCs/>
          <w:color w:val="auto"/>
          <w:sz w:val="24"/>
        </w:rPr>
        <w:t>（负责人）或授权</w:t>
      </w:r>
      <w:r>
        <w:rPr>
          <w:rFonts w:hint="eastAsia" w:ascii="宋体" w:hAnsi="宋体" w:cs="宋体"/>
          <w:color w:val="auto"/>
          <w:sz w:val="24"/>
        </w:rPr>
        <w:t>代表：</w:t>
      </w:r>
      <w:r>
        <w:rPr>
          <w:rFonts w:hint="eastAsia" w:ascii="宋体" w:hAnsi="宋体" w:cs="宋体"/>
          <w:color w:val="auto"/>
          <w:sz w:val="24"/>
          <w:u w:val="single"/>
        </w:rPr>
        <w:t xml:space="preserve">         </w:t>
      </w:r>
      <w:r>
        <w:rPr>
          <w:rFonts w:hint="eastAsia" w:ascii="宋体" w:hAnsi="宋体" w:cs="宋体"/>
          <w:color w:val="auto"/>
          <w:sz w:val="24"/>
        </w:rPr>
        <w:t>（签字或盖章）</w:t>
      </w:r>
    </w:p>
    <w:p w14:paraId="0236F975">
      <w:pPr>
        <w:jc w:val="right"/>
        <w:rPr>
          <w:rFonts w:ascii="宋体" w:hAnsi="宋体" w:cs="宋体"/>
          <w:color w:val="auto"/>
          <w:sz w:val="24"/>
        </w:rPr>
      </w:pPr>
    </w:p>
    <w:p w14:paraId="77BE32FE">
      <w:pPr>
        <w:jc w:val="right"/>
        <w:rPr>
          <w:rFonts w:ascii="宋体" w:hAnsi="宋体" w:cs="宋体"/>
          <w:color w:val="auto"/>
          <w:sz w:val="24"/>
        </w:rPr>
      </w:pPr>
      <w:r>
        <w:rPr>
          <w:rFonts w:hint="eastAsia" w:ascii="宋体" w:hAnsi="宋体" w:cs="宋体"/>
          <w:color w:val="auto"/>
          <w:sz w:val="24"/>
        </w:rPr>
        <w:t xml:space="preserve">                                                年    月    日</w:t>
      </w:r>
    </w:p>
    <w:p w14:paraId="4B1B7D1C">
      <w:pPr>
        <w:rPr>
          <w:rFonts w:ascii="宋体" w:hAnsi="宋体" w:cs="宋体"/>
          <w:b/>
          <w:bCs/>
          <w:color w:val="auto"/>
          <w:sz w:val="28"/>
          <w:szCs w:val="28"/>
        </w:rPr>
      </w:pPr>
    </w:p>
    <w:p w14:paraId="694A279D">
      <w:pPr>
        <w:rPr>
          <w:rFonts w:ascii="宋体" w:hAnsi="宋体" w:cs="宋体"/>
          <w:b/>
          <w:bCs/>
          <w:color w:val="auto"/>
          <w:sz w:val="28"/>
          <w:szCs w:val="28"/>
        </w:rPr>
      </w:pPr>
    </w:p>
    <w:p w14:paraId="7B97D3D7">
      <w:pPr>
        <w:pStyle w:val="16"/>
        <w:spacing w:line="240" w:lineRule="auto"/>
        <w:rPr>
          <w:rFonts w:hint="default" w:cs="宋体"/>
          <w:color w:val="auto"/>
        </w:rPr>
      </w:pPr>
    </w:p>
    <w:p w14:paraId="194998F9">
      <w:pPr>
        <w:rPr>
          <w:rFonts w:ascii="宋体" w:hAnsi="宋体" w:cs="宋体"/>
          <w:color w:val="auto"/>
        </w:rPr>
      </w:pPr>
    </w:p>
    <w:p w14:paraId="3A026953">
      <w:pPr>
        <w:pStyle w:val="13"/>
        <w:rPr>
          <w:rFonts w:hAnsi="宋体" w:cs="宋体"/>
          <w:color w:val="auto"/>
        </w:rPr>
      </w:pPr>
    </w:p>
    <w:p w14:paraId="707A30D3">
      <w:pPr>
        <w:rPr>
          <w:rFonts w:ascii="宋体" w:hAnsi="宋体" w:cs="宋体"/>
          <w:color w:val="auto"/>
        </w:rPr>
      </w:pPr>
    </w:p>
    <w:p w14:paraId="1B3AD5ED">
      <w:pPr>
        <w:pStyle w:val="13"/>
        <w:rPr>
          <w:rFonts w:hAnsi="宋体" w:cs="宋体"/>
          <w:color w:val="auto"/>
        </w:rPr>
      </w:pPr>
    </w:p>
    <w:p w14:paraId="62B3B1D2">
      <w:pPr>
        <w:rPr>
          <w:rFonts w:ascii="宋体" w:hAnsi="宋体" w:cs="宋体"/>
          <w:color w:val="auto"/>
        </w:rPr>
      </w:pPr>
    </w:p>
    <w:p w14:paraId="0FAB6E30">
      <w:pPr>
        <w:pStyle w:val="41"/>
        <w:rPr>
          <w:rFonts w:ascii="宋体" w:hAnsi="宋体" w:cs="宋体"/>
          <w:color w:val="auto"/>
        </w:rPr>
      </w:pPr>
    </w:p>
    <w:p w14:paraId="188AA068">
      <w:pPr>
        <w:rPr>
          <w:rFonts w:ascii="宋体" w:hAnsi="宋体" w:cs="宋体"/>
          <w:color w:val="auto"/>
        </w:rPr>
      </w:pPr>
    </w:p>
    <w:p w14:paraId="2EE7D9A3">
      <w:pPr>
        <w:rPr>
          <w:rFonts w:ascii="宋体" w:hAnsi="宋体" w:cs="宋体"/>
          <w:color w:val="auto"/>
          <w:spacing w:val="20"/>
          <w:szCs w:val="21"/>
          <w:u w:val="single"/>
        </w:rPr>
      </w:pPr>
      <w:r>
        <w:rPr>
          <w:rFonts w:hint="eastAsia" w:ascii="宋体" w:hAnsi="宋体" w:cs="宋体"/>
          <w:bCs/>
          <w:color w:val="auto"/>
        </w:rPr>
        <w:t>附件12 投标人基本情况表</w:t>
      </w:r>
      <w:r>
        <w:rPr>
          <w:rFonts w:hint="eastAsia" w:ascii="宋体" w:hAnsi="宋体" w:cs="宋体"/>
          <w:b/>
          <w:bCs/>
          <w:color w:val="auto"/>
          <w:sz w:val="24"/>
        </w:rPr>
        <w:t>：</w:t>
      </w:r>
    </w:p>
    <w:p w14:paraId="561BAC01">
      <w:pPr>
        <w:rPr>
          <w:rFonts w:ascii="宋体" w:hAnsi="宋体" w:cs="宋体"/>
          <w:color w:val="auto"/>
        </w:rPr>
      </w:pPr>
    </w:p>
    <w:p w14:paraId="4BF934BC">
      <w:pPr>
        <w:snapToGrid w:val="0"/>
        <w:spacing w:before="50" w:afterLines="50"/>
        <w:jc w:val="center"/>
        <w:rPr>
          <w:rFonts w:ascii="宋体" w:hAnsi="宋体" w:cs="宋体"/>
          <w:b/>
          <w:color w:val="auto"/>
          <w:kern w:val="0"/>
          <w:sz w:val="30"/>
          <w:szCs w:val="30"/>
        </w:rPr>
      </w:pPr>
      <w:r>
        <w:rPr>
          <w:rFonts w:hint="eastAsia" w:ascii="宋体" w:hAnsi="宋体" w:cs="宋体"/>
          <w:b/>
          <w:color w:val="auto"/>
          <w:kern w:val="0"/>
          <w:sz w:val="30"/>
          <w:szCs w:val="30"/>
        </w:rPr>
        <w:t>投标人基本情况表</w:t>
      </w:r>
    </w:p>
    <w:p w14:paraId="6DF5A0C0">
      <w:pPr>
        <w:pStyle w:val="7"/>
        <w:ind w:left="218" w:leftChars="104"/>
        <w:jc w:val="left"/>
        <w:rPr>
          <w:rFonts w:hAnsi="宋体" w:cs="宋体"/>
          <w:color w:val="auto"/>
          <w:sz w:val="24"/>
        </w:rPr>
      </w:pPr>
      <w:r>
        <w:rPr>
          <w:rFonts w:hint="eastAsia" w:hAnsi="宋体" w:cs="宋体"/>
          <w:color w:val="auto"/>
          <w:sz w:val="24"/>
        </w:rPr>
        <w:t xml:space="preserve">项目名称：天台县2025年度补充林地库建设项目                                                           项目编号： TCCG-2025-Z070  </w:t>
      </w:r>
    </w:p>
    <w:tbl>
      <w:tblPr>
        <w:tblStyle w:val="31"/>
        <w:tblW w:w="954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43"/>
        <w:gridCol w:w="1705"/>
        <w:gridCol w:w="1467"/>
        <w:gridCol w:w="1867"/>
        <w:gridCol w:w="1400"/>
        <w:gridCol w:w="1561"/>
      </w:tblGrid>
      <w:tr w14:paraId="6000D9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543" w:type="dxa"/>
            <w:tcBorders>
              <w:top w:val="single" w:color="auto" w:sz="4" w:space="0"/>
              <w:left w:val="single" w:color="auto" w:sz="4" w:space="0"/>
              <w:bottom w:val="single" w:color="auto" w:sz="4" w:space="0"/>
              <w:right w:val="single" w:color="auto" w:sz="4" w:space="0"/>
            </w:tcBorders>
            <w:vAlign w:val="center"/>
          </w:tcPr>
          <w:p w14:paraId="645CB3D2">
            <w:pPr>
              <w:jc w:val="center"/>
              <w:rPr>
                <w:rFonts w:ascii="宋体" w:hAnsi="宋体" w:cs="宋体"/>
                <w:bCs/>
                <w:color w:val="auto"/>
                <w:sz w:val="24"/>
              </w:rPr>
            </w:pPr>
            <w:r>
              <w:rPr>
                <w:rFonts w:hint="eastAsia" w:ascii="宋体" w:hAnsi="宋体" w:cs="宋体"/>
                <w:bCs/>
                <w:color w:val="auto"/>
                <w:sz w:val="24"/>
              </w:rPr>
              <w:t>投标人名称</w:t>
            </w:r>
          </w:p>
        </w:tc>
        <w:tc>
          <w:tcPr>
            <w:tcW w:w="8000" w:type="dxa"/>
            <w:gridSpan w:val="5"/>
            <w:tcBorders>
              <w:top w:val="single" w:color="auto" w:sz="4" w:space="0"/>
              <w:left w:val="single" w:color="auto" w:sz="4" w:space="0"/>
              <w:bottom w:val="single" w:color="auto" w:sz="4" w:space="0"/>
              <w:right w:val="single" w:color="auto" w:sz="4" w:space="0"/>
            </w:tcBorders>
            <w:vAlign w:val="center"/>
          </w:tcPr>
          <w:p w14:paraId="7B5A0567">
            <w:pPr>
              <w:jc w:val="center"/>
              <w:rPr>
                <w:rFonts w:ascii="宋体" w:hAnsi="宋体" w:cs="宋体"/>
                <w:color w:val="auto"/>
                <w:sz w:val="24"/>
              </w:rPr>
            </w:pPr>
          </w:p>
        </w:tc>
      </w:tr>
      <w:tr w14:paraId="65D2BF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543" w:type="dxa"/>
            <w:tcBorders>
              <w:top w:val="single" w:color="auto" w:sz="4" w:space="0"/>
              <w:left w:val="single" w:color="auto" w:sz="4" w:space="0"/>
              <w:bottom w:val="single" w:color="auto" w:sz="4" w:space="0"/>
              <w:right w:val="single" w:color="auto" w:sz="4" w:space="0"/>
            </w:tcBorders>
            <w:vAlign w:val="center"/>
          </w:tcPr>
          <w:p w14:paraId="56052CC8">
            <w:pPr>
              <w:jc w:val="center"/>
              <w:rPr>
                <w:rFonts w:ascii="宋体" w:hAnsi="宋体" w:cs="宋体"/>
                <w:bCs/>
                <w:color w:val="auto"/>
                <w:sz w:val="24"/>
              </w:rPr>
            </w:pPr>
            <w:r>
              <w:rPr>
                <w:rFonts w:hint="eastAsia" w:ascii="宋体" w:hAnsi="宋体" w:cs="宋体"/>
                <w:bCs/>
                <w:color w:val="auto"/>
                <w:sz w:val="24"/>
              </w:rPr>
              <w:t>注册地址</w:t>
            </w:r>
          </w:p>
        </w:tc>
        <w:tc>
          <w:tcPr>
            <w:tcW w:w="1705" w:type="dxa"/>
            <w:tcBorders>
              <w:top w:val="single" w:color="auto" w:sz="4" w:space="0"/>
              <w:left w:val="single" w:color="auto" w:sz="4" w:space="0"/>
              <w:bottom w:val="single" w:color="auto" w:sz="4" w:space="0"/>
              <w:right w:val="single" w:color="auto" w:sz="4" w:space="0"/>
            </w:tcBorders>
            <w:vAlign w:val="center"/>
          </w:tcPr>
          <w:p w14:paraId="205450DA">
            <w:pPr>
              <w:jc w:val="center"/>
              <w:rPr>
                <w:rFonts w:ascii="宋体" w:hAnsi="宋体" w:cs="宋体"/>
                <w:color w:val="auto"/>
                <w:sz w:val="24"/>
              </w:rPr>
            </w:pPr>
          </w:p>
        </w:tc>
        <w:tc>
          <w:tcPr>
            <w:tcW w:w="1467" w:type="dxa"/>
            <w:tcBorders>
              <w:top w:val="single" w:color="auto" w:sz="4" w:space="0"/>
              <w:left w:val="single" w:color="auto" w:sz="4" w:space="0"/>
              <w:bottom w:val="single" w:color="auto" w:sz="4" w:space="0"/>
              <w:right w:val="single" w:color="auto" w:sz="4" w:space="0"/>
            </w:tcBorders>
            <w:vAlign w:val="center"/>
          </w:tcPr>
          <w:p w14:paraId="05F5EB61">
            <w:pPr>
              <w:jc w:val="center"/>
              <w:rPr>
                <w:rFonts w:ascii="宋体" w:hAnsi="宋体" w:cs="宋体"/>
                <w:color w:val="auto"/>
                <w:sz w:val="24"/>
              </w:rPr>
            </w:pPr>
            <w:r>
              <w:rPr>
                <w:rFonts w:hint="eastAsia" w:ascii="宋体" w:hAnsi="宋体" w:cs="宋体"/>
                <w:bCs/>
                <w:color w:val="auto"/>
                <w:sz w:val="24"/>
              </w:rPr>
              <w:t>注册时间</w:t>
            </w:r>
          </w:p>
        </w:tc>
        <w:tc>
          <w:tcPr>
            <w:tcW w:w="1867" w:type="dxa"/>
            <w:tcBorders>
              <w:top w:val="single" w:color="auto" w:sz="4" w:space="0"/>
              <w:left w:val="single" w:color="auto" w:sz="4" w:space="0"/>
              <w:bottom w:val="single" w:color="auto" w:sz="4" w:space="0"/>
              <w:right w:val="single" w:color="auto" w:sz="4" w:space="0"/>
            </w:tcBorders>
            <w:vAlign w:val="center"/>
          </w:tcPr>
          <w:p w14:paraId="69DA18E2">
            <w:pPr>
              <w:jc w:val="center"/>
              <w:rPr>
                <w:rFonts w:ascii="宋体" w:hAnsi="宋体" w:cs="宋体"/>
                <w:color w:val="auto"/>
                <w:sz w:val="24"/>
              </w:rPr>
            </w:pPr>
          </w:p>
        </w:tc>
        <w:tc>
          <w:tcPr>
            <w:tcW w:w="1400" w:type="dxa"/>
            <w:tcBorders>
              <w:top w:val="single" w:color="auto" w:sz="4" w:space="0"/>
              <w:left w:val="single" w:color="auto" w:sz="4" w:space="0"/>
              <w:bottom w:val="single" w:color="auto" w:sz="4" w:space="0"/>
              <w:right w:val="single" w:color="auto" w:sz="4" w:space="0"/>
            </w:tcBorders>
            <w:vAlign w:val="center"/>
          </w:tcPr>
          <w:p w14:paraId="284CD974">
            <w:pPr>
              <w:ind w:left="-28" w:leftChars="-51" w:hanging="79" w:hangingChars="33"/>
              <w:jc w:val="center"/>
              <w:rPr>
                <w:rFonts w:ascii="宋体" w:hAnsi="宋体" w:cs="宋体"/>
                <w:color w:val="auto"/>
                <w:sz w:val="24"/>
              </w:rPr>
            </w:pPr>
            <w:r>
              <w:rPr>
                <w:rFonts w:hint="eastAsia" w:ascii="宋体" w:hAnsi="宋体" w:cs="宋体"/>
                <w:bCs/>
                <w:color w:val="auto"/>
                <w:sz w:val="24"/>
              </w:rPr>
              <w:t>注册资金</w:t>
            </w:r>
          </w:p>
        </w:tc>
        <w:tc>
          <w:tcPr>
            <w:tcW w:w="1561" w:type="dxa"/>
            <w:tcBorders>
              <w:top w:val="single" w:color="auto" w:sz="4" w:space="0"/>
              <w:left w:val="single" w:color="auto" w:sz="4" w:space="0"/>
              <w:bottom w:val="single" w:color="auto" w:sz="4" w:space="0"/>
              <w:right w:val="single" w:color="auto" w:sz="4" w:space="0"/>
            </w:tcBorders>
            <w:vAlign w:val="center"/>
          </w:tcPr>
          <w:p w14:paraId="05E88945">
            <w:pPr>
              <w:ind w:left="960" w:hanging="960" w:hangingChars="400"/>
              <w:jc w:val="center"/>
              <w:rPr>
                <w:rFonts w:ascii="宋体" w:hAnsi="宋体" w:cs="宋体"/>
                <w:color w:val="auto"/>
                <w:sz w:val="24"/>
              </w:rPr>
            </w:pPr>
            <w:r>
              <w:rPr>
                <w:rFonts w:hint="eastAsia" w:ascii="宋体" w:hAnsi="宋体" w:cs="宋体"/>
                <w:bCs/>
                <w:color w:val="auto"/>
                <w:sz w:val="24"/>
              </w:rPr>
              <w:t xml:space="preserve">       万元</w:t>
            </w:r>
          </w:p>
        </w:tc>
      </w:tr>
      <w:tr w14:paraId="5F30F5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543" w:type="dxa"/>
            <w:tcBorders>
              <w:top w:val="single" w:color="auto" w:sz="4" w:space="0"/>
              <w:left w:val="single" w:color="auto" w:sz="4" w:space="0"/>
              <w:bottom w:val="single" w:color="auto" w:sz="4" w:space="0"/>
              <w:right w:val="single" w:color="auto" w:sz="4" w:space="0"/>
            </w:tcBorders>
            <w:vAlign w:val="center"/>
          </w:tcPr>
          <w:p w14:paraId="201EDE76">
            <w:pPr>
              <w:jc w:val="center"/>
              <w:rPr>
                <w:rFonts w:ascii="宋体" w:hAnsi="宋体" w:cs="宋体"/>
                <w:bCs/>
                <w:color w:val="auto"/>
                <w:sz w:val="24"/>
              </w:rPr>
            </w:pPr>
            <w:r>
              <w:rPr>
                <w:rFonts w:hint="eastAsia" w:ascii="宋体" w:hAnsi="宋体" w:cs="宋体"/>
                <w:bCs/>
                <w:color w:val="auto"/>
                <w:sz w:val="24"/>
              </w:rPr>
              <w:t>法定代表人</w:t>
            </w:r>
          </w:p>
        </w:tc>
        <w:tc>
          <w:tcPr>
            <w:tcW w:w="1705" w:type="dxa"/>
            <w:tcBorders>
              <w:top w:val="single" w:color="auto" w:sz="4" w:space="0"/>
              <w:left w:val="single" w:color="auto" w:sz="4" w:space="0"/>
              <w:bottom w:val="single" w:color="auto" w:sz="4" w:space="0"/>
              <w:right w:val="single" w:color="auto" w:sz="4" w:space="0"/>
            </w:tcBorders>
            <w:vAlign w:val="center"/>
          </w:tcPr>
          <w:p w14:paraId="57F59C3F">
            <w:pPr>
              <w:jc w:val="center"/>
              <w:rPr>
                <w:rFonts w:ascii="宋体" w:hAnsi="宋体" w:cs="宋体"/>
                <w:color w:val="auto"/>
                <w:sz w:val="24"/>
              </w:rPr>
            </w:pPr>
          </w:p>
        </w:tc>
        <w:tc>
          <w:tcPr>
            <w:tcW w:w="1467" w:type="dxa"/>
            <w:tcBorders>
              <w:top w:val="single" w:color="auto" w:sz="4" w:space="0"/>
              <w:left w:val="single" w:color="auto" w:sz="4" w:space="0"/>
              <w:bottom w:val="single" w:color="auto" w:sz="4" w:space="0"/>
              <w:right w:val="single" w:color="auto" w:sz="4" w:space="0"/>
            </w:tcBorders>
            <w:vAlign w:val="center"/>
          </w:tcPr>
          <w:p w14:paraId="5B1C962A">
            <w:pPr>
              <w:jc w:val="center"/>
              <w:rPr>
                <w:rFonts w:ascii="宋体" w:hAnsi="宋体" w:cs="宋体"/>
                <w:bCs/>
                <w:color w:val="auto"/>
                <w:sz w:val="24"/>
              </w:rPr>
            </w:pPr>
            <w:r>
              <w:rPr>
                <w:rFonts w:hint="eastAsia" w:ascii="宋体" w:hAnsi="宋体" w:cs="宋体"/>
                <w:bCs/>
                <w:color w:val="auto"/>
                <w:sz w:val="24"/>
              </w:rPr>
              <w:t>统一社会信用代码</w:t>
            </w:r>
          </w:p>
        </w:tc>
        <w:tc>
          <w:tcPr>
            <w:tcW w:w="1867" w:type="dxa"/>
            <w:tcBorders>
              <w:top w:val="single" w:color="auto" w:sz="4" w:space="0"/>
              <w:left w:val="single" w:color="auto" w:sz="4" w:space="0"/>
              <w:bottom w:val="single" w:color="auto" w:sz="4" w:space="0"/>
              <w:right w:val="single" w:color="auto" w:sz="4" w:space="0"/>
            </w:tcBorders>
            <w:vAlign w:val="center"/>
          </w:tcPr>
          <w:p w14:paraId="231A0DA5">
            <w:pPr>
              <w:jc w:val="center"/>
              <w:rPr>
                <w:rFonts w:ascii="宋体" w:hAnsi="宋体" w:cs="宋体"/>
                <w:color w:val="auto"/>
                <w:sz w:val="24"/>
              </w:rPr>
            </w:pPr>
          </w:p>
        </w:tc>
        <w:tc>
          <w:tcPr>
            <w:tcW w:w="1400" w:type="dxa"/>
            <w:tcBorders>
              <w:top w:val="single" w:color="auto" w:sz="4" w:space="0"/>
              <w:left w:val="single" w:color="auto" w:sz="4" w:space="0"/>
              <w:bottom w:val="single" w:color="auto" w:sz="4" w:space="0"/>
              <w:right w:val="single" w:color="auto" w:sz="4" w:space="0"/>
            </w:tcBorders>
            <w:vAlign w:val="center"/>
          </w:tcPr>
          <w:p w14:paraId="3723128A">
            <w:pPr>
              <w:jc w:val="center"/>
              <w:rPr>
                <w:rFonts w:ascii="宋体" w:hAnsi="宋体" w:cs="宋体"/>
                <w:bCs/>
                <w:color w:val="auto"/>
                <w:sz w:val="24"/>
              </w:rPr>
            </w:pPr>
            <w:r>
              <w:rPr>
                <w:rFonts w:hint="eastAsia" w:ascii="宋体" w:hAnsi="宋体" w:cs="宋体"/>
                <w:bCs/>
                <w:color w:val="auto"/>
                <w:sz w:val="24"/>
              </w:rPr>
              <w:t>职工人数</w:t>
            </w:r>
          </w:p>
        </w:tc>
        <w:tc>
          <w:tcPr>
            <w:tcW w:w="1561" w:type="dxa"/>
            <w:tcBorders>
              <w:top w:val="single" w:color="auto" w:sz="4" w:space="0"/>
              <w:left w:val="single" w:color="auto" w:sz="4" w:space="0"/>
              <w:bottom w:val="single" w:color="auto" w:sz="4" w:space="0"/>
              <w:right w:val="single" w:color="auto" w:sz="4" w:space="0"/>
            </w:tcBorders>
            <w:vAlign w:val="center"/>
          </w:tcPr>
          <w:p w14:paraId="4A6EBCCA">
            <w:pPr>
              <w:jc w:val="center"/>
              <w:rPr>
                <w:rFonts w:ascii="宋体" w:hAnsi="宋体" w:cs="宋体"/>
                <w:color w:val="auto"/>
                <w:sz w:val="24"/>
              </w:rPr>
            </w:pPr>
            <w:r>
              <w:rPr>
                <w:rFonts w:hint="eastAsia" w:ascii="宋体" w:hAnsi="宋体" w:cs="宋体"/>
                <w:color w:val="auto"/>
                <w:sz w:val="24"/>
              </w:rPr>
              <w:t xml:space="preserve">         人</w:t>
            </w:r>
          </w:p>
        </w:tc>
      </w:tr>
      <w:tr w14:paraId="395E24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543" w:type="dxa"/>
            <w:vMerge w:val="restart"/>
            <w:tcBorders>
              <w:top w:val="single" w:color="auto" w:sz="4" w:space="0"/>
              <w:left w:val="single" w:color="auto" w:sz="4" w:space="0"/>
              <w:right w:val="single" w:color="auto" w:sz="4" w:space="0"/>
            </w:tcBorders>
            <w:vAlign w:val="center"/>
          </w:tcPr>
          <w:p w14:paraId="53CA08B9">
            <w:pPr>
              <w:jc w:val="center"/>
              <w:rPr>
                <w:rFonts w:ascii="宋体" w:hAnsi="宋体" w:cs="宋体"/>
                <w:color w:val="auto"/>
                <w:sz w:val="24"/>
              </w:rPr>
            </w:pPr>
            <w:r>
              <w:rPr>
                <w:rFonts w:hint="eastAsia" w:ascii="宋体" w:hAnsi="宋体" w:cs="宋体"/>
                <w:color w:val="auto"/>
                <w:sz w:val="24"/>
              </w:rPr>
              <w:t>所获资质</w:t>
            </w:r>
          </w:p>
          <w:p w14:paraId="098E0F1E">
            <w:pPr>
              <w:jc w:val="center"/>
              <w:rPr>
                <w:rFonts w:ascii="宋体" w:hAnsi="宋体" w:cs="宋体"/>
                <w:color w:val="auto"/>
                <w:sz w:val="24"/>
              </w:rPr>
            </w:pPr>
            <w:r>
              <w:rPr>
                <w:rFonts w:hint="eastAsia" w:ascii="宋体" w:hAnsi="宋体" w:cs="宋体"/>
                <w:color w:val="auto"/>
                <w:sz w:val="24"/>
              </w:rPr>
              <w:t>或认证</w:t>
            </w:r>
          </w:p>
        </w:tc>
        <w:tc>
          <w:tcPr>
            <w:tcW w:w="1705" w:type="dxa"/>
            <w:tcBorders>
              <w:top w:val="single" w:color="auto" w:sz="4" w:space="0"/>
              <w:left w:val="single" w:color="auto" w:sz="4" w:space="0"/>
              <w:bottom w:val="single" w:color="auto" w:sz="4" w:space="0"/>
              <w:right w:val="single" w:color="auto" w:sz="4" w:space="0"/>
            </w:tcBorders>
            <w:vAlign w:val="center"/>
          </w:tcPr>
          <w:p w14:paraId="5A90FF8F">
            <w:pPr>
              <w:jc w:val="center"/>
              <w:rPr>
                <w:rFonts w:ascii="宋体" w:hAnsi="宋体" w:cs="宋体"/>
                <w:bCs/>
                <w:color w:val="auto"/>
                <w:sz w:val="24"/>
              </w:rPr>
            </w:pPr>
            <w:r>
              <w:rPr>
                <w:rFonts w:hint="eastAsia" w:ascii="宋体" w:hAnsi="宋体" w:cs="宋体"/>
                <w:bCs/>
                <w:color w:val="auto"/>
                <w:sz w:val="24"/>
              </w:rPr>
              <w:t>证书或证件名称及等级</w:t>
            </w:r>
          </w:p>
        </w:tc>
        <w:tc>
          <w:tcPr>
            <w:tcW w:w="3334" w:type="dxa"/>
            <w:gridSpan w:val="2"/>
            <w:tcBorders>
              <w:top w:val="single" w:color="auto" w:sz="4" w:space="0"/>
              <w:left w:val="single" w:color="auto" w:sz="4" w:space="0"/>
              <w:bottom w:val="single" w:color="auto" w:sz="4" w:space="0"/>
              <w:right w:val="single" w:color="auto" w:sz="4" w:space="0"/>
            </w:tcBorders>
            <w:vAlign w:val="center"/>
          </w:tcPr>
          <w:p w14:paraId="71FBF731">
            <w:pPr>
              <w:widowControl/>
              <w:jc w:val="center"/>
              <w:rPr>
                <w:rFonts w:ascii="宋体" w:hAnsi="宋体" w:cs="宋体"/>
                <w:bCs/>
                <w:color w:val="auto"/>
                <w:sz w:val="24"/>
              </w:rPr>
            </w:pPr>
            <w:r>
              <w:rPr>
                <w:rFonts w:hint="eastAsia" w:ascii="宋体" w:hAnsi="宋体" w:cs="宋体"/>
                <w:bCs/>
                <w:color w:val="auto"/>
                <w:sz w:val="24"/>
              </w:rPr>
              <w:t>颁发部门</w:t>
            </w:r>
          </w:p>
        </w:tc>
        <w:tc>
          <w:tcPr>
            <w:tcW w:w="1400" w:type="dxa"/>
            <w:tcBorders>
              <w:top w:val="single" w:color="auto" w:sz="4" w:space="0"/>
              <w:left w:val="single" w:color="auto" w:sz="4" w:space="0"/>
              <w:bottom w:val="single" w:color="auto" w:sz="4" w:space="0"/>
              <w:right w:val="single" w:color="auto" w:sz="4" w:space="0"/>
            </w:tcBorders>
            <w:vAlign w:val="center"/>
          </w:tcPr>
          <w:p w14:paraId="4553D431">
            <w:pPr>
              <w:widowControl/>
              <w:jc w:val="center"/>
              <w:rPr>
                <w:rFonts w:ascii="宋体" w:hAnsi="宋体" w:cs="宋体"/>
                <w:bCs/>
                <w:color w:val="auto"/>
                <w:sz w:val="24"/>
              </w:rPr>
            </w:pPr>
            <w:r>
              <w:rPr>
                <w:rFonts w:hint="eastAsia" w:ascii="宋体" w:hAnsi="宋体" w:cs="宋体"/>
                <w:bCs/>
                <w:color w:val="auto"/>
                <w:sz w:val="24"/>
              </w:rPr>
              <w:t>颁发时间</w:t>
            </w:r>
          </w:p>
        </w:tc>
        <w:tc>
          <w:tcPr>
            <w:tcW w:w="1561" w:type="dxa"/>
            <w:tcBorders>
              <w:top w:val="single" w:color="auto" w:sz="4" w:space="0"/>
              <w:left w:val="single" w:color="auto" w:sz="4" w:space="0"/>
              <w:bottom w:val="single" w:color="auto" w:sz="4" w:space="0"/>
              <w:right w:val="single" w:color="auto" w:sz="4" w:space="0"/>
            </w:tcBorders>
            <w:vAlign w:val="center"/>
          </w:tcPr>
          <w:p w14:paraId="7E4F59F2">
            <w:pPr>
              <w:widowControl/>
              <w:jc w:val="center"/>
              <w:rPr>
                <w:rFonts w:ascii="宋体" w:hAnsi="宋体" w:cs="宋体"/>
                <w:bCs/>
                <w:color w:val="auto"/>
                <w:sz w:val="24"/>
              </w:rPr>
            </w:pPr>
            <w:r>
              <w:rPr>
                <w:rFonts w:hint="eastAsia" w:ascii="宋体" w:hAnsi="宋体" w:cs="宋体"/>
                <w:bCs/>
                <w:color w:val="auto"/>
                <w:sz w:val="24"/>
              </w:rPr>
              <w:t>有效期</w:t>
            </w:r>
          </w:p>
        </w:tc>
      </w:tr>
      <w:tr w14:paraId="076F60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543" w:type="dxa"/>
            <w:vMerge w:val="continue"/>
            <w:tcBorders>
              <w:left w:val="single" w:color="auto" w:sz="4" w:space="0"/>
              <w:right w:val="single" w:color="auto" w:sz="4" w:space="0"/>
            </w:tcBorders>
            <w:vAlign w:val="center"/>
          </w:tcPr>
          <w:p w14:paraId="06B5D06A">
            <w:pPr>
              <w:jc w:val="center"/>
              <w:rPr>
                <w:rFonts w:ascii="宋体" w:hAnsi="宋体" w:cs="宋体"/>
                <w:color w:val="auto"/>
                <w:sz w:val="24"/>
              </w:rPr>
            </w:pPr>
          </w:p>
        </w:tc>
        <w:tc>
          <w:tcPr>
            <w:tcW w:w="1705" w:type="dxa"/>
            <w:tcBorders>
              <w:top w:val="single" w:color="auto" w:sz="4" w:space="0"/>
              <w:left w:val="single" w:color="auto" w:sz="4" w:space="0"/>
              <w:bottom w:val="single" w:color="auto" w:sz="4" w:space="0"/>
              <w:right w:val="single" w:color="auto" w:sz="4" w:space="0"/>
            </w:tcBorders>
            <w:vAlign w:val="center"/>
          </w:tcPr>
          <w:p w14:paraId="503687B4">
            <w:pPr>
              <w:jc w:val="center"/>
              <w:rPr>
                <w:rFonts w:ascii="宋体" w:hAnsi="宋体" w:cs="宋体"/>
                <w:color w:val="auto"/>
                <w:sz w:val="24"/>
                <w:u w:val="single"/>
              </w:rPr>
            </w:pPr>
          </w:p>
        </w:tc>
        <w:tc>
          <w:tcPr>
            <w:tcW w:w="3334" w:type="dxa"/>
            <w:gridSpan w:val="2"/>
            <w:tcBorders>
              <w:top w:val="single" w:color="auto" w:sz="4" w:space="0"/>
              <w:left w:val="single" w:color="auto" w:sz="4" w:space="0"/>
              <w:bottom w:val="single" w:color="auto" w:sz="4" w:space="0"/>
              <w:right w:val="single" w:color="auto" w:sz="4" w:space="0"/>
            </w:tcBorders>
            <w:vAlign w:val="center"/>
          </w:tcPr>
          <w:p w14:paraId="0681A7F2">
            <w:pPr>
              <w:jc w:val="center"/>
              <w:rPr>
                <w:rFonts w:ascii="宋体" w:hAnsi="宋体" w:cs="宋体"/>
                <w:color w:val="auto"/>
                <w:sz w:val="24"/>
                <w:u w:val="single"/>
              </w:rPr>
            </w:pPr>
          </w:p>
        </w:tc>
        <w:tc>
          <w:tcPr>
            <w:tcW w:w="1400" w:type="dxa"/>
            <w:tcBorders>
              <w:top w:val="single" w:color="auto" w:sz="4" w:space="0"/>
              <w:left w:val="single" w:color="auto" w:sz="4" w:space="0"/>
              <w:bottom w:val="single" w:color="auto" w:sz="4" w:space="0"/>
              <w:right w:val="single" w:color="auto" w:sz="4" w:space="0"/>
            </w:tcBorders>
            <w:vAlign w:val="center"/>
          </w:tcPr>
          <w:p w14:paraId="71EF3512">
            <w:pPr>
              <w:jc w:val="center"/>
              <w:rPr>
                <w:rFonts w:ascii="宋体" w:hAnsi="宋体" w:cs="宋体"/>
                <w:color w:val="auto"/>
                <w:sz w:val="24"/>
                <w:u w:val="single"/>
              </w:rPr>
            </w:pPr>
          </w:p>
        </w:tc>
        <w:tc>
          <w:tcPr>
            <w:tcW w:w="1561" w:type="dxa"/>
            <w:tcBorders>
              <w:top w:val="single" w:color="auto" w:sz="4" w:space="0"/>
              <w:left w:val="single" w:color="auto" w:sz="4" w:space="0"/>
              <w:bottom w:val="single" w:color="auto" w:sz="4" w:space="0"/>
              <w:right w:val="single" w:color="auto" w:sz="4" w:space="0"/>
            </w:tcBorders>
            <w:vAlign w:val="center"/>
          </w:tcPr>
          <w:p w14:paraId="5C2DAB72">
            <w:pPr>
              <w:jc w:val="center"/>
              <w:rPr>
                <w:rFonts w:ascii="宋体" w:hAnsi="宋体" w:cs="宋体"/>
                <w:color w:val="auto"/>
                <w:sz w:val="24"/>
                <w:u w:val="single"/>
              </w:rPr>
            </w:pPr>
          </w:p>
        </w:tc>
      </w:tr>
      <w:tr w14:paraId="03CA47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543" w:type="dxa"/>
            <w:vMerge w:val="continue"/>
            <w:tcBorders>
              <w:left w:val="single" w:color="auto" w:sz="4" w:space="0"/>
              <w:right w:val="single" w:color="auto" w:sz="4" w:space="0"/>
            </w:tcBorders>
            <w:vAlign w:val="center"/>
          </w:tcPr>
          <w:p w14:paraId="73934B16">
            <w:pPr>
              <w:jc w:val="center"/>
              <w:rPr>
                <w:rFonts w:ascii="宋体" w:hAnsi="宋体" w:cs="宋体"/>
                <w:color w:val="auto"/>
                <w:sz w:val="24"/>
              </w:rPr>
            </w:pPr>
          </w:p>
        </w:tc>
        <w:tc>
          <w:tcPr>
            <w:tcW w:w="1705" w:type="dxa"/>
            <w:tcBorders>
              <w:top w:val="single" w:color="auto" w:sz="4" w:space="0"/>
              <w:left w:val="single" w:color="auto" w:sz="4" w:space="0"/>
              <w:bottom w:val="single" w:color="auto" w:sz="4" w:space="0"/>
              <w:right w:val="single" w:color="auto" w:sz="4" w:space="0"/>
            </w:tcBorders>
            <w:vAlign w:val="center"/>
          </w:tcPr>
          <w:p w14:paraId="45A1619D">
            <w:pPr>
              <w:jc w:val="center"/>
              <w:rPr>
                <w:rFonts w:ascii="宋体" w:hAnsi="宋体" w:cs="宋体"/>
                <w:color w:val="auto"/>
                <w:sz w:val="24"/>
                <w:u w:val="single"/>
              </w:rPr>
            </w:pPr>
          </w:p>
        </w:tc>
        <w:tc>
          <w:tcPr>
            <w:tcW w:w="3334" w:type="dxa"/>
            <w:gridSpan w:val="2"/>
            <w:tcBorders>
              <w:top w:val="single" w:color="auto" w:sz="4" w:space="0"/>
              <w:left w:val="single" w:color="auto" w:sz="4" w:space="0"/>
              <w:bottom w:val="single" w:color="auto" w:sz="4" w:space="0"/>
              <w:right w:val="single" w:color="auto" w:sz="4" w:space="0"/>
            </w:tcBorders>
            <w:vAlign w:val="center"/>
          </w:tcPr>
          <w:p w14:paraId="22FC5EA4">
            <w:pPr>
              <w:jc w:val="center"/>
              <w:rPr>
                <w:rFonts w:ascii="宋体" w:hAnsi="宋体" w:cs="宋体"/>
                <w:color w:val="auto"/>
                <w:sz w:val="24"/>
                <w:u w:val="single"/>
              </w:rPr>
            </w:pPr>
          </w:p>
        </w:tc>
        <w:tc>
          <w:tcPr>
            <w:tcW w:w="1400" w:type="dxa"/>
            <w:tcBorders>
              <w:top w:val="single" w:color="auto" w:sz="4" w:space="0"/>
              <w:left w:val="single" w:color="auto" w:sz="4" w:space="0"/>
              <w:bottom w:val="single" w:color="auto" w:sz="4" w:space="0"/>
              <w:right w:val="single" w:color="auto" w:sz="4" w:space="0"/>
            </w:tcBorders>
            <w:vAlign w:val="center"/>
          </w:tcPr>
          <w:p w14:paraId="26896A3D">
            <w:pPr>
              <w:jc w:val="center"/>
              <w:rPr>
                <w:rFonts w:ascii="宋体" w:hAnsi="宋体" w:cs="宋体"/>
                <w:color w:val="auto"/>
                <w:sz w:val="24"/>
                <w:u w:val="single"/>
              </w:rPr>
            </w:pPr>
          </w:p>
        </w:tc>
        <w:tc>
          <w:tcPr>
            <w:tcW w:w="1561" w:type="dxa"/>
            <w:tcBorders>
              <w:top w:val="single" w:color="auto" w:sz="4" w:space="0"/>
              <w:left w:val="single" w:color="auto" w:sz="4" w:space="0"/>
              <w:bottom w:val="single" w:color="auto" w:sz="4" w:space="0"/>
              <w:right w:val="single" w:color="auto" w:sz="4" w:space="0"/>
            </w:tcBorders>
            <w:vAlign w:val="center"/>
          </w:tcPr>
          <w:p w14:paraId="7622A3CB">
            <w:pPr>
              <w:jc w:val="center"/>
              <w:rPr>
                <w:rFonts w:ascii="宋体" w:hAnsi="宋体" w:cs="宋体"/>
                <w:color w:val="auto"/>
                <w:sz w:val="24"/>
                <w:u w:val="single"/>
              </w:rPr>
            </w:pPr>
          </w:p>
        </w:tc>
      </w:tr>
      <w:tr w14:paraId="3D5728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543" w:type="dxa"/>
            <w:vMerge w:val="continue"/>
            <w:tcBorders>
              <w:left w:val="single" w:color="auto" w:sz="4" w:space="0"/>
              <w:right w:val="single" w:color="auto" w:sz="4" w:space="0"/>
            </w:tcBorders>
            <w:vAlign w:val="center"/>
          </w:tcPr>
          <w:p w14:paraId="335A61F3">
            <w:pPr>
              <w:jc w:val="center"/>
              <w:rPr>
                <w:rFonts w:ascii="宋体" w:hAnsi="宋体" w:cs="宋体"/>
                <w:color w:val="auto"/>
                <w:sz w:val="24"/>
              </w:rPr>
            </w:pPr>
          </w:p>
        </w:tc>
        <w:tc>
          <w:tcPr>
            <w:tcW w:w="1705" w:type="dxa"/>
            <w:tcBorders>
              <w:top w:val="single" w:color="auto" w:sz="4" w:space="0"/>
              <w:left w:val="single" w:color="auto" w:sz="4" w:space="0"/>
              <w:bottom w:val="single" w:color="auto" w:sz="4" w:space="0"/>
              <w:right w:val="single" w:color="auto" w:sz="4" w:space="0"/>
            </w:tcBorders>
            <w:vAlign w:val="center"/>
          </w:tcPr>
          <w:p w14:paraId="25565335">
            <w:pPr>
              <w:jc w:val="center"/>
              <w:rPr>
                <w:rFonts w:ascii="宋体" w:hAnsi="宋体" w:cs="宋体"/>
                <w:color w:val="auto"/>
                <w:sz w:val="24"/>
                <w:u w:val="single"/>
              </w:rPr>
            </w:pPr>
          </w:p>
        </w:tc>
        <w:tc>
          <w:tcPr>
            <w:tcW w:w="3334" w:type="dxa"/>
            <w:gridSpan w:val="2"/>
            <w:tcBorders>
              <w:top w:val="single" w:color="auto" w:sz="4" w:space="0"/>
              <w:left w:val="single" w:color="auto" w:sz="4" w:space="0"/>
              <w:bottom w:val="single" w:color="auto" w:sz="4" w:space="0"/>
              <w:right w:val="single" w:color="auto" w:sz="4" w:space="0"/>
            </w:tcBorders>
            <w:vAlign w:val="center"/>
          </w:tcPr>
          <w:p w14:paraId="44F0F51D">
            <w:pPr>
              <w:jc w:val="center"/>
              <w:rPr>
                <w:rFonts w:ascii="宋体" w:hAnsi="宋体" w:cs="宋体"/>
                <w:color w:val="auto"/>
                <w:sz w:val="24"/>
                <w:u w:val="single"/>
              </w:rPr>
            </w:pPr>
          </w:p>
        </w:tc>
        <w:tc>
          <w:tcPr>
            <w:tcW w:w="1400" w:type="dxa"/>
            <w:tcBorders>
              <w:top w:val="single" w:color="auto" w:sz="4" w:space="0"/>
              <w:left w:val="single" w:color="auto" w:sz="4" w:space="0"/>
              <w:bottom w:val="single" w:color="auto" w:sz="4" w:space="0"/>
              <w:right w:val="single" w:color="auto" w:sz="4" w:space="0"/>
            </w:tcBorders>
            <w:vAlign w:val="center"/>
          </w:tcPr>
          <w:p w14:paraId="09B75309">
            <w:pPr>
              <w:jc w:val="center"/>
              <w:rPr>
                <w:rFonts w:ascii="宋体" w:hAnsi="宋体" w:cs="宋体"/>
                <w:color w:val="auto"/>
                <w:sz w:val="24"/>
                <w:u w:val="single"/>
              </w:rPr>
            </w:pPr>
          </w:p>
        </w:tc>
        <w:tc>
          <w:tcPr>
            <w:tcW w:w="1561" w:type="dxa"/>
            <w:tcBorders>
              <w:top w:val="single" w:color="auto" w:sz="4" w:space="0"/>
              <w:left w:val="single" w:color="auto" w:sz="4" w:space="0"/>
              <w:bottom w:val="single" w:color="auto" w:sz="4" w:space="0"/>
              <w:right w:val="single" w:color="auto" w:sz="4" w:space="0"/>
            </w:tcBorders>
            <w:vAlign w:val="center"/>
          </w:tcPr>
          <w:p w14:paraId="2FEB47F9">
            <w:pPr>
              <w:jc w:val="center"/>
              <w:rPr>
                <w:rFonts w:ascii="宋体" w:hAnsi="宋体" w:cs="宋体"/>
                <w:color w:val="auto"/>
                <w:sz w:val="24"/>
                <w:u w:val="single"/>
              </w:rPr>
            </w:pPr>
          </w:p>
        </w:tc>
      </w:tr>
      <w:tr w14:paraId="02F6AA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543" w:type="dxa"/>
            <w:vMerge w:val="restart"/>
            <w:tcBorders>
              <w:top w:val="single" w:color="auto" w:sz="4" w:space="0"/>
              <w:left w:val="single" w:color="auto" w:sz="4" w:space="0"/>
              <w:right w:val="single" w:color="auto" w:sz="4" w:space="0"/>
            </w:tcBorders>
            <w:vAlign w:val="center"/>
          </w:tcPr>
          <w:p w14:paraId="75E13E01">
            <w:pPr>
              <w:jc w:val="center"/>
              <w:rPr>
                <w:rFonts w:ascii="宋体" w:hAnsi="宋体" w:cs="宋体"/>
                <w:color w:val="auto"/>
                <w:sz w:val="24"/>
              </w:rPr>
            </w:pPr>
            <w:r>
              <w:rPr>
                <w:rFonts w:hint="eastAsia" w:ascii="宋体" w:hAnsi="宋体" w:cs="宋体"/>
                <w:bCs/>
                <w:color w:val="auto"/>
                <w:sz w:val="24"/>
              </w:rPr>
              <w:t>所获荣誉</w:t>
            </w:r>
          </w:p>
        </w:tc>
        <w:tc>
          <w:tcPr>
            <w:tcW w:w="1705" w:type="dxa"/>
            <w:tcBorders>
              <w:top w:val="single" w:color="auto" w:sz="4" w:space="0"/>
              <w:left w:val="single" w:color="auto" w:sz="4" w:space="0"/>
              <w:bottom w:val="single" w:color="auto" w:sz="4" w:space="0"/>
              <w:right w:val="single" w:color="auto" w:sz="4" w:space="0"/>
            </w:tcBorders>
            <w:vAlign w:val="center"/>
          </w:tcPr>
          <w:p w14:paraId="0209AB00">
            <w:pPr>
              <w:jc w:val="center"/>
              <w:rPr>
                <w:rFonts w:ascii="宋体" w:hAnsi="宋体" w:cs="宋体"/>
                <w:bCs/>
                <w:color w:val="auto"/>
                <w:sz w:val="24"/>
              </w:rPr>
            </w:pPr>
            <w:r>
              <w:rPr>
                <w:rFonts w:hint="eastAsia" w:ascii="宋体" w:hAnsi="宋体" w:cs="宋体"/>
                <w:bCs/>
                <w:color w:val="auto"/>
                <w:sz w:val="24"/>
              </w:rPr>
              <w:t>荣誉名称</w:t>
            </w:r>
          </w:p>
        </w:tc>
        <w:tc>
          <w:tcPr>
            <w:tcW w:w="3334" w:type="dxa"/>
            <w:gridSpan w:val="2"/>
            <w:tcBorders>
              <w:top w:val="single" w:color="auto" w:sz="4" w:space="0"/>
              <w:left w:val="single" w:color="auto" w:sz="4" w:space="0"/>
              <w:bottom w:val="single" w:color="auto" w:sz="4" w:space="0"/>
              <w:right w:val="single" w:color="auto" w:sz="4" w:space="0"/>
            </w:tcBorders>
            <w:vAlign w:val="center"/>
          </w:tcPr>
          <w:p w14:paraId="72DE6754">
            <w:pPr>
              <w:widowControl/>
              <w:jc w:val="center"/>
              <w:rPr>
                <w:rFonts w:ascii="宋体" w:hAnsi="宋体" w:cs="宋体"/>
                <w:bCs/>
                <w:color w:val="auto"/>
                <w:sz w:val="24"/>
              </w:rPr>
            </w:pPr>
            <w:r>
              <w:rPr>
                <w:rFonts w:hint="eastAsia" w:ascii="宋体" w:hAnsi="宋体" w:cs="宋体"/>
                <w:bCs/>
                <w:color w:val="auto"/>
                <w:sz w:val="24"/>
              </w:rPr>
              <w:t>颁发部门</w:t>
            </w:r>
          </w:p>
        </w:tc>
        <w:tc>
          <w:tcPr>
            <w:tcW w:w="1400" w:type="dxa"/>
            <w:tcBorders>
              <w:top w:val="single" w:color="auto" w:sz="4" w:space="0"/>
              <w:left w:val="single" w:color="auto" w:sz="4" w:space="0"/>
              <w:bottom w:val="single" w:color="auto" w:sz="4" w:space="0"/>
              <w:right w:val="single" w:color="auto" w:sz="4" w:space="0"/>
            </w:tcBorders>
            <w:vAlign w:val="center"/>
          </w:tcPr>
          <w:p w14:paraId="3240ABFB">
            <w:pPr>
              <w:widowControl/>
              <w:jc w:val="center"/>
              <w:rPr>
                <w:rFonts w:ascii="宋体" w:hAnsi="宋体" w:cs="宋体"/>
                <w:bCs/>
                <w:color w:val="auto"/>
                <w:sz w:val="24"/>
              </w:rPr>
            </w:pPr>
            <w:r>
              <w:rPr>
                <w:rFonts w:hint="eastAsia" w:ascii="宋体" w:hAnsi="宋体" w:cs="宋体"/>
                <w:bCs/>
                <w:color w:val="auto"/>
                <w:sz w:val="24"/>
              </w:rPr>
              <w:t>颁发时间</w:t>
            </w:r>
          </w:p>
        </w:tc>
        <w:tc>
          <w:tcPr>
            <w:tcW w:w="1561" w:type="dxa"/>
            <w:tcBorders>
              <w:top w:val="single" w:color="auto" w:sz="4" w:space="0"/>
              <w:left w:val="single" w:color="auto" w:sz="4" w:space="0"/>
              <w:bottom w:val="single" w:color="auto" w:sz="4" w:space="0"/>
              <w:right w:val="single" w:color="auto" w:sz="4" w:space="0"/>
            </w:tcBorders>
            <w:vAlign w:val="center"/>
          </w:tcPr>
          <w:p w14:paraId="5AC2850C">
            <w:pPr>
              <w:widowControl/>
              <w:jc w:val="center"/>
              <w:rPr>
                <w:rFonts w:ascii="宋体" w:hAnsi="宋体" w:cs="宋体"/>
                <w:bCs/>
                <w:color w:val="auto"/>
                <w:sz w:val="24"/>
              </w:rPr>
            </w:pPr>
            <w:r>
              <w:rPr>
                <w:rFonts w:hint="eastAsia" w:ascii="宋体" w:hAnsi="宋体" w:cs="宋体"/>
                <w:bCs/>
                <w:color w:val="auto"/>
                <w:sz w:val="24"/>
              </w:rPr>
              <w:t>有效期</w:t>
            </w:r>
          </w:p>
        </w:tc>
      </w:tr>
      <w:tr w14:paraId="75D5B7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543" w:type="dxa"/>
            <w:vMerge w:val="continue"/>
            <w:tcBorders>
              <w:left w:val="single" w:color="auto" w:sz="4" w:space="0"/>
              <w:right w:val="single" w:color="auto" w:sz="4" w:space="0"/>
            </w:tcBorders>
            <w:vAlign w:val="center"/>
          </w:tcPr>
          <w:p w14:paraId="4FDFEA8A">
            <w:pPr>
              <w:jc w:val="center"/>
              <w:rPr>
                <w:rFonts w:ascii="宋体" w:hAnsi="宋体" w:cs="宋体"/>
                <w:color w:val="auto"/>
                <w:sz w:val="24"/>
              </w:rPr>
            </w:pPr>
          </w:p>
        </w:tc>
        <w:tc>
          <w:tcPr>
            <w:tcW w:w="1705" w:type="dxa"/>
            <w:tcBorders>
              <w:top w:val="single" w:color="auto" w:sz="4" w:space="0"/>
              <w:left w:val="single" w:color="auto" w:sz="4" w:space="0"/>
              <w:bottom w:val="single" w:color="auto" w:sz="4" w:space="0"/>
              <w:right w:val="single" w:color="auto" w:sz="4" w:space="0"/>
            </w:tcBorders>
            <w:vAlign w:val="center"/>
          </w:tcPr>
          <w:p w14:paraId="6A924B39">
            <w:pPr>
              <w:jc w:val="center"/>
              <w:rPr>
                <w:rFonts w:ascii="宋体" w:hAnsi="宋体" w:cs="宋体"/>
                <w:color w:val="auto"/>
                <w:sz w:val="24"/>
                <w:u w:val="single"/>
              </w:rPr>
            </w:pPr>
          </w:p>
        </w:tc>
        <w:tc>
          <w:tcPr>
            <w:tcW w:w="3334" w:type="dxa"/>
            <w:gridSpan w:val="2"/>
            <w:tcBorders>
              <w:top w:val="single" w:color="auto" w:sz="4" w:space="0"/>
              <w:left w:val="single" w:color="auto" w:sz="4" w:space="0"/>
              <w:bottom w:val="single" w:color="auto" w:sz="4" w:space="0"/>
              <w:right w:val="single" w:color="auto" w:sz="4" w:space="0"/>
            </w:tcBorders>
            <w:vAlign w:val="center"/>
          </w:tcPr>
          <w:p w14:paraId="26E42087">
            <w:pPr>
              <w:jc w:val="center"/>
              <w:rPr>
                <w:rFonts w:ascii="宋体" w:hAnsi="宋体" w:cs="宋体"/>
                <w:color w:val="auto"/>
                <w:sz w:val="24"/>
                <w:u w:val="single"/>
              </w:rPr>
            </w:pPr>
          </w:p>
        </w:tc>
        <w:tc>
          <w:tcPr>
            <w:tcW w:w="1400" w:type="dxa"/>
            <w:tcBorders>
              <w:top w:val="single" w:color="auto" w:sz="4" w:space="0"/>
              <w:left w:val="single" w:color="auto" w:sz="4" w:space="0"/>
              <w:bottom w:val="single" w:color="auto" w:sz="4" w:space="0"/>
              <w:right w:val="single" w:color="auto" w:sz="4" w:space="0"/>
            </w:tcBorders>
            <w:vAlign w:val="center"/>
          </w:tcPr>
          <w:p w14:paraId="4E101F9C">
            <w:pPr>
              <w:jc w:val="center"/>
              <w:rPr>
                <w:rFonts w:ascii="宋体" w:hAnsi="宋体" w:cs="宋体"/>
                <w:color w:val="auto"/>
                <w:sz w:val="24"/>
                <w:u w:val="single"/>
              </w:rPr>
            </w:pPr>
          </w:p>
        </w:tc>
        <w:tc>
          <w:tcPr>
            <w:tcW w:w="1561" w:type="dxa"/>
            <w:tcBorders>
              <w:top w:val="single" w:color="auto" w:sz="4" w:space="0"/>
              <w:left w:val="single" w:color="auto" w:sz="4" w:space="0"/>
              <w:bottom w:val="single" w:color="auto" w:sz="4" w:space="0"/>
              <w:right w:val="single" w:color="auto" w:sz="4" w:space="0"/>
            </w:tcBorders>
            <w:vAlign w:val="center"/>
          </w:tcPr>
          <w:p w14:paraId="0CE0A063">
            <w:pPr>
              <w:jc w:val="center"/>
              <w:rPr>
                <w:rFonts w:ascii="宋体" w:hAnsi="宋体" w:cs="宋体"/>
                <w:color w:val="auto"/>
                <w:sz w:val="24"/>
                <w:u w:val="single"/>
              </w:rPr>
            </w:pPr>
          </w:p>
        </w:tc>
      </w:tr>
      <w:tr w14:paraId="4E1A32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543" w:type="dxa"/>
            <w:vMerge w:val="continue"/>
            <w:tcBorders>
              <w:left w:val="single" w:color="auto" w:sz="4" w:space="0"/>
              <w:right w:val="single" w:color="auto" w:sz="4" w:space="0"/>
            </w:tcBorders>
            <w:vAlign w:val="center"/>
          </w:tcPr>
          <w:p w14:paraId="5FA4E5FE">
            <w:pPr>
              <w:jc w:val="center"/>
              <w:rPr>
                <w:rFonts w:ascii="宋体" w:hAnsi="宋体" w:cs="宋体"/>
                <w:color w:val="auto"/>
                <w:sz w:val="24"/>
              </w:rPr>
            </w:pPr>
          </w:p>
        </w:tc>
        <w:tc>
          <w:tcPr>
            <w:tcW w:w="1705" w:type="dxa"/>
            <w:tcBorders>
              <w:top w:val="single" w:color="auto" w:sz="4" w:space="0"/>
              <w:left w:val="single" w:color="auto" w:sz="4" w:space="0"/>
              <w:bottom w:val="single" w:color="auto" w:sz="4" w:space="0"/>
              <w:right w:val="single" w:color="auto" w:sz="4" w:space="0"/>
            </w:tcBorders>
            <w:vAlign w:val="center"/>
          </w:tcPr>
          <w:p w14:paraId="11B65EB0">
            <w:pPr>
              <w:jc w:val="center"/>
              <w:rPr>
                <w:rFonts w:ascii="宋体" w:hAnsi="宋体" w:cs="宋体"/>
                <w:color w:val="auto"/>
                <w:sz w:val="24"/>
                <w:u w:val="single"/>
              </w:rPr>
            </w:pPr>
          </w:p>
        </w:tc>
        <w:tc>
          <w:tcPr>
            <w:tcW w:w="3334" w:type="dxa"/>
            <w:gridSpan w:val="2"/>
            <w:tcBorders>
              <w:top w:val="single" w:color="auto" w:sz="4" w:space="0"/>
              <w:left w:val="single" w:color="auto" w:sz="4" w:space="0"/>
              <w:bottom w:val="single" w:color="auto" w:sz="4" w:space="0"/>
              <w:right w:val="single" w:color="auto" w:sz="4" w:space="0"/>
            </w:tcBorders>
            <w:vAlign w:val="center"/>
          </w:tcPr>
          <w:p w14:paraId="2F7DC1B3">
            <w:pPr>
              <w:jc w:val="center"/>
              <w:rPr>
                <w:rFonts w:ascii="宋体" w:hAnsi="宋体" w:cs="宋体"/>
                <w:color w:val="auto"/>
                <w:sz w:val="24"/>
                <w:u w:val="single"/>
              </w:rPr>
            </w:pPr>
          </w:p>
        </w:tc>
        <w:tc>
          <w:tcPr>
            <w:tcW w:w="1400" w:type="dxa"/>
            <w:tcBorders>
              <w:top w:val="single" w:color="auto" w:sz="4" w:space="0"/>
              <w:left w:val="single" w:color="auto" w:sz="4" w:space="0"/>
              <w:bottom w:val="single" w:color="auto" w:sz="4" w:space="0"/>
              <w:right w:val="single" w:color="auto" w:sz="4" w:space="0"/>
            </w:tcBorders>
            <w:vAlign w:val="center"/>
          </w:tcPr>
          <w:p w14:paraId="67E63336">
            <w:pPr>
              <w:jc w:val="center"/>
              <w:rPr>
                <w:rFonts w:ascii="宋体" w:hAnsi="宋体" w:cs="宋体"/>
                <w:color w:val="auto"/>
                <w:sz w:val="24"/>
                <w:u w:val="single"/>
              </w:rPr>
            </w:pPr>
          </w:p>
        </w:tc>
        <w:tc>
          <w:tcPr>
            <w:tcW w:w="1561" w:type="dxa"/>
            <w:tcBorders>
              <w:top w:val="single" w:color="auto" w:sz="4" w:space="0"/>
              <w:left w:val="single" w:color="auto" w:sz="4" w:space="0"/>
              <w:bottom w:val="single" w:color="auto" w:sz="4" w:space="0"/>
              <w:right w:val="single" w:color="auto" w:sz="4" w:space="0"/>
            </w:tcBorders>
            <w:vAlign w:val="center"/>
          </w:tcPr>
          <w:p w14:paraId="6256E70B">
            <w:pPr>
              <w:jc w:val="center"/>
              <w:rPr>
                <w:rFonts w:ascii="宋体" w:hAnsi="宋体" w:cs="宋体"/>
                <w:color w:val="auto"/>
                <w:sz w:val="24"/>
                <w:u w:val="single"/>
              </w:rPr>
            </w:pPr>
          </w:p>
        </w:tc>
      </w:tr>
      <w:tr w14:paraId="7F396E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543" w:type="dxa"/>
            <w:vMerge w:val="continue"/>
            <w:tcBorders>
              <w:left w:val="single" w:color="auto" w:sz="4" w:space="0"/>
              <w:right w:val="single" w:color="auto" w:sz="4" w:space="0"/>
            </w:tcBorders>
            <w:vAlign w:val="center"/>
          </w:tcPr>
          <w:p w14:paraId="3990EC14">
            <w:pPr>
              <w:jc w:val="center"/>
              <w:rPr>
                <w:rFonts w:ascii="宋体" w:hAnsi="宋体" w:cs="宋体"/>
                <w:color w:val="auto"/>
                <w:sz w:val="24"/>
              </w:rPr>
            </w:pPr>
          </w:p>
        </w:tc>
        <w:tc>
          <w:tcPr>
            <w:tcW w:w="1705" w:type="dxa"/>
            <w:tcBorders>
              <w:top w:val="single" w:color="auto" w:sz="4" w:space="0"/>
              <w:left w:val="single" w:color="auto" w:sz="4" w:space="0"/>
              <w:bottom w:val="single" w:color="auto" w:sz="4" w:space="0"/>
              <w:right w:val="single" w:color="auto" w:sz="4" w:space="0"/>
            </w:tcBorders>
            <w:vAlign w:val="center"/>
          </w:tcPr>
          <w:p w14:paraId="2228E369">
            <w:pPr>
              <w:jc w:val="center"/>
              <w:rPr>
                <w:rFonts w:ascii="宋体" w:hAnsi="宋体" w:cs="宋体"/>
                <w:color w:val="auto"/>
                <w:sz w:val="24"/>
                <w:u w:val="single"/>
              </w:rPr>
            </w:pPr>
          </w:p>
        </w:tc>
        <w:tc>
          <w:tcPr>
            <w:tcW w:w="3334" w:type="dxa"/>
            <w:gridSpan w:val="2"/>
            <w:tcBorders>
              <w:top w:val="single" w:color="auto" w:sz="4" w:space="0"/>
              <w:left w:val="single" w:color="auto" w:sz="4" w:space="0"/>
              <w:bottom w:val="single" w:color="auto" w:sz="4" w:space="0"/>
              <w:right w:val="single" w:color="auto" w:sz="4" w:space="0"/>
            </w:tcBorders>
            <w:vAlign w:val="center"/>
          </w:tcPr>
          <w:p w14:paraId="1B4D76C1">
            <w:pPr>
              <w:jc w:val="center"/>
              <w:rPr>
                <w:rFonts w:ascii="宋体" w:hAnsi="宋体" w:cs="宋体"/>
                <w:color w:val="auto"/>
                <w:sz w:val="24"/>
                <w:u w:val="single"/>
              </w:rPr>
            </w:pPr>
          </w:p>
        </w:tc>
        <w:tc>
          <w:tcPr>
            <w:tcW w:w="1400" w:type="dxa"/>
            <w:tcBorders>
              <w:top w:val="single" w:color="auto" w:sz="4" w:space="0"/>
              <w:left w:val="single" w:color="auto" w:sz="4" w:space="0"/>
              <w:bottom w:val="single" w:color="auto" w:sz="4" w:space="0"/>
              <w:right w:val="single" w:color="auto" w:sz="4" w:space="0"/>
            </w:tcBorders>
            <w:vAlign w:val="center"/>
          </w:tcPr>
          <w:p w14:paraId="6ED391D2">
            <w:pPr>
              <w:jc w:val="center"/>
              <w:rPr>
                <w:rFonts w:ascii="宋体" w:hAnsi="宋体" w:cs="宋体"/>
                <w:color w:val="auto"/>
                <w:sz w:val="24"/>
                <w:u w:val="single"/>
              </w:rPr>
            </w:pPr>
          </w:p>
        </w:tc>
        <w:tc>
          <w:tcPr>
            <w:tcW w:w="1561" w:type="dxa"/>
            <w:tcBorders>
              <w:top w:val="single" w:color="auto" w:sz="4" w:space="0"/>
              <w:left w:val="single" w:color="auto" w:sz="4" w:space="0"/>
              <w:bottom w:val="single" w:color="auto" w:sz="4" w:space="0"/>
              <w:right w:val="single" w:color="auto" w:sz="4" w:space="0"/>
            </w:tcBorders>
            <w:vAlign w:val="center"/>
          </w:tcPr>
          <w:p w14:paraId="0541C8F1">
            <w:pPr>
              <w:jc w:val="center"/>
              <w:rPr>
                <w:rFonts w:ascii="宋体" w:hAnsi="宋体" w:cs="宋体"/>
                <w:color w:val="auto"/>
                <w:sz w:val="24"/>
                <w:u w:val="single"/>
              </w:rPr>
            </w:pPr>
          </w:p>
        </w:tc>
      </w:tr>
      <w:tr w14:paraId="3881F4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87" w:hRule="atLeast"/>
          <w:jc w:val="center"/>
        </w:trPr>
        <w:tc>
          <w:tcPr>
            <w:tcW w:w="1543" w:type="dxa"/>
            <w:tcBorders>
              <w:top w:val="single" w:color="auto" w:sz="4" w:space="0"/>
              <w:left w:val="single" w:color="auto" w:sz="4" w:space="0"/>
              <w:bottom w:val="single" w:color="auto" w:sz="4" w:space="0"/>
              <w:right w:val="single" w:color="auto" w:sz="4" w:space="0"/>
            </w:tcBorders>
            <w:vAlign w:val="center"/>
          </w:tcPr>
          <w:p w14:paraId="3B8602C5">
            <w:pPr>
              <w:jc w:val="center"/>
              <w:rPr>
                <w:rFonts w:ascii="宋体" w:hAnsi="宋体" w:cs="宋体"/>
                <w:bCs/>
                <w:color w:val="auto"/>
                <w:sz w:val="24"/>
              </w:rPr>
            </w:pPr>
            <w:r>
              <w:rPr>
                <w:rFonts w:hint="eastAsia" w:ascii="宋体" w:hAnsi="宋体" w:cs="宋体"/>
                <w:bCs/>
                <w:color w:val="auto"/>
                <w:sz w:val="24"/>
              </w:rPr>
              <w:t>经营范围</w:t>
            </w:r>
          </w:p>
        </w:tc>
        <w:tc>
          <w:tcPr>
            <w:tcW w:w="8000" w:type="dxa"/>
            <w:gridSpan w:val="5"/>
            <w:tcBorders>
              <w:top w:val="single" w:color="auto" w:sz="4" w:space="0"/>
              <w:left w:val="single" w:color="auto" w:sz="4" w:space="0"/>
              <w:bottom w:val="single" w:color="auto" w:sz="4" w:space="0"/>
              <w:right w:val="single" w:color="auto" w:sz="4" w:space="0"/>
            </w:tcBorders>
            <w:vAlign w:val="center"/>
          </w:tcPr>
          <w:p w14:paraId="015581A9">
            <w:pPr>
              <w:tabs>
                <w:tab w:val="left" w:pos="1800"/>
                <w:tab w:val="left" w:pos="1980"/>
              </w:tabs>
              <w:jc w:val="center"/>
              <w:rPr>
                <w:rFonts w:ascii="宋体" w:hAnsi="宋体" w:cs="宋体"/>
                <w:color w:val="auto"/>
                <w:sz w:val="24"/>
              </w:rPr>
            </w:pPr>
          </w:p>
        </w:tc>
      </w:tr>
      <w:tr w14:paraId="018EFB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93" w:hRule="atLeast"/>
          <w:jc w:val="center"/>
        </w:trPr>
        <w:tc>
          <w:tcPr>
            <w:tcW w:w="1543" w:type="dxa"/>
            <w:tcBorders>
              <w:top w:val="single" w:color="auto" w:sz="4" w:space="0"/>
              <w:left w:val="single" w:color="auto" w:sz="4" w:space="0"/>
              <w:bottom w:val="single" w:color="auto" w:sz="4" w:space="0"/>
              <w:right w:val="single" w:color="auto" w:sz="4" w:space="0"/>
            </w:tcBorders>
            <w:vAlign w:val="center"/>
          </w:tcPr>
          <w:p w14:paraId="13A87108">
            <w:pPr>
              <w:jc w:val="center"/>
              <w:rPr>
                <w:rFonts w:ascii="宋体" w:hAnsi="宋体" w:cs="宋体"/>
                <w:bCs/>
                <w:color w:val="auto"/>
                <w:sz w:val="24"/>
              </w:rPr>
            </w:pPr>
            <w:r>
              <w:rPr>
                <w:rFonts w:hint="eastAsia" w:ascii="宋体" w:hAnsi="宋体" w:cs="宋体"/>
                <w:bCs/>
                <w:color w:val="auto"/>
                <w:sz w:val="24"/>
              </w:rPr>
              <w:t>其他</w:t>
            </w:r>
          </w:p>
        </w:tc>
        <w:tc>
          <w:tcPr>
            <w:tcW w:w="8000" w:type="dxa"/>
            <w:gridSpan w:val="5"/>
            <w:tcBorders>
              <w:top w:val="single" w:color="auto" w:sz="4" w:space="0"/>
              <w:left w:val="single" w:color="auto" w:sz="4" w:space="0"/>
              <w:bottom w:val="single" w:color="auto" w:sz="4" w:space="0"/>
              <w:right w:val="single" w:color="auto" w:sz="4" w:space="0"/>
            </w:tcBorders>
            <w:vAlign w:val="center"/>
          </w:tcPr>
          <w:p w14:paraId="6789B433">
            <w:pPr>
              <w:jc w:val="center"/>
              <w:rPr>
                <w:rFonts w:ascii="宋体" w:hAnsi="宋体" w:cs="宋体"/>
                <w:bCs/>
                <w:color w:val="auto"/>
                <w:sz w:val="24"/>
              </w:rPr>
            </w:pPr>
          </w:p>
        </w:tc>
      </w:tr>
    </w:tbl>
    <w:p w14:paraId="1EBE27C1">
      <w:pPr>
        <w:rPr>
          <w:rFonts w:ascii="宋体" w:hAnsi="宋体" w:cs="宋体"/>
          <w:color w:val="auto"/>
          <w:sz w:val="24"/>
        </w:rPr>
      </w:pPr>
      <w:r>
        <w:rPr>
          <w:rFonts w:hint="eastAsia" w:ascii="宋体" w:hAnsi="宋体" w:cs="宋体"/>
          <w:color w:val="auto"/>
          <w:sz w:val="24"/>
        </w:rPr>
        <w:t>注：1.表格内容不够,可另附页。</w:t>
      </w:r>
    </w:p>
    <w:p w14:paraId="08610450">
      <w:pPr>
        <w:pStyle w:val="2"/>
        <w:rPr>
          <w:rFonts w:ascii="宋体" w:hAnsi="宋体" w:cs="宋体"/>
          <w:color w:val="auto"/>
        </w:rPr>
      </w:pPr>
    </w:p>
    <w:p w14:paraId="01B6C5EB">
      <w:pPr>
        <w:widowControl/>
        <w:spacing w:line="360" w:lineRule="auto"/>
        <w:jc w:val="right"/>
        <w:rPr>
          <w:rFonts w:ascii="宋体" w:hAnsi="宋体" w:cs="宋体"/>
          <w:color w:val="auto"/>
        </w:rPr>
      </w:pPr>
      <w:r>
        <w:rPr>
          <w:rFonts w:hint="eastAsia" w:ascii="宋体" w:hAnsi="宋体" w:cs="宋体"/>
          <w:color w:val="auto"/>
          <w:kern w:val="0"/>
          <w:sz w:val="24"/>
        </w:rPr>
        <w:t xml:space="preserve">投标人名称(盖公章)： </w:t>
      </w:r>
    </w:p>
    <w:p w14:paraId="22ABB0BE">
      <w:pPr>
        <w:widowControl/>
        <w:spacing w:line="360" w:lineRule="auto"/>
        <w:jc w:val="center"/>
        <w:rPr>
          <w:rFonts w:ascii="宋体" w:hAnsi="宋体" w:cs="宋体"/>
          <w:color w:val="auto"/>
          <w:kern w:val="0"/>
          <w:sz w:val="24"/>
        </w:rPr>
      </w:pPr>
      <w:r>
        <w:rPr>
          <w:rFonts w:hint="eastAsia" w:ascii="宋体" w:hAnsi="宋体" w:cs="宋体"/>
          <w:color w:val="auto"/>
          <w:kern w:val="0"/>
          <w:sz w:val="24"/>
        </w:rPr>
        <w:t xml:space="preserve">                                                             日期： 年 月 日</w:t>
      </w:r>
    </w:p>
    <w:p w14:paraId="5443BC35">
      <w:pPr>
        <w:pStyle w:val="29"/>
        <w:ind w:firstLine="210"/>
        <w:rPr>
          <w:rFonts w:ascii="宋体" w:hAnsi="宋体" w:cs="宋体"/>
          <w:color w:val="auto"/>
        </w:rPr>
      </w:pPr>
    </w:p>
    <w:p w14:paraId="06511C56">
      <w:pPr>
        <w:rPr>
          <w:rFonts w:ascii="宋体" w:hAnsi="宋体" w:cs="宋体"/>
          <w:color w:val="auto"/>
        </w:rPr>
      </w:pPr>
    </w:p>
    <w:p w14:paraId="1BF3E188">
      <w:pPr>
        <w:pStyle w:val="29"/>
        <w:ind w:firstLine="210"/>
        <w:rPr>
          <w:rFonts w:ascii="宋体" w:hAnsi="宋体" w:cs="宋体"/>
          <w:color w:val="auto"/>
        </w:rPr>
      </w:pPr>
    </w:p>
    <w:p w14:paraId="04D18CC7">
      <w:pPr>
        <w:pStyle w:val="7"/>
        <w:rPr>
          <w:rFonts w:hAnsi="宋体" w:cs="宋体"/>
          <w:bCs/>
          <w:color w:val="auto"/>
        </w:rPr>
      </w:pPr>
      <w:r>
        <w:rPr>
          <w:rFonts w:hint="eastAsia" w:hAnsi="宋体" w:cs="宋体"/>
          <w:bCs/>
          <w:color w:val="auto"/>
        </w:rPr>
        <w:t xml:space="preserve">附件13 拟派人员一览表： </w:t>
      </w:r>
    </w:p>
    <w:p w14:paraId="7C0CA63C">
      <w:pPr>
        <w:pStyle w:val="50"/>
        <w:ind w:firstLine="560"/>
        <w:rPr>
          <w:rFonts w:ascii="宋体" w:hAnsi="宋体" w:cs="宋体"/>
          <w:bCs/>
          <w:color w:val="auto"/>
        </w:rPr>
      </w:pPr>
    </w:p>
    <w:p w14:paraId="2953A766">
      <w:pPr>
        <w:snapToGrid w:val="0"/>
        <w:spacing w:before="50" w:afterLines="50"/>
        <w:jc w:val="center"/>
        <w:rPr>
          <w:rFonts w:ascii="宋体" w:hAnsi="宋体" w:cs="宋体"/>
          <w:b/>
          <w:color w:val="auto"/>
          <w:kern w:val="0"/>
          <w:sz w:val="30"/>
          <w:szCs w:val="30"/>
        </w:rPr>
      </w:pPr>
      <w:r>
        <w:rPr>
          <w:rFonts w:hint="eastAsia" w:ascii="宋体" w:hAnsi="宋体" w:cs="宋体"/>
          <w:b/>
          <w:color w:val="auto"/>
          <w:kern w:val="0"/>
          <w:sz w:val="30"/>
          <w:szCs w:val="30"/>
        </w:rPr>
        <w:t>拟派人员一览表</w:t>
      </w:r>
    </w:p>
    <w:p w14:paraId="2368F31E">
      <w:pPr>
        <w:pStyle w:val="7"/>
        <w:jc w:val="left"/>
        <w:rPr>
          <w:rFonts w:hAnsi="宋体" w:cs="宋体"/>
          <w:color w:val="auto"/>
          <w:sz w:val="24"/>
        </w:rPr>
      </w:pPr>
      <w:r>
        <w:rPr>
          <w:rFonts w:hint="eastAsia" w:hAnsi="宋体" w:cs="宋体"/>
          <w:color w:val="auto"/>
          <w:sz w:val="24"/>
        </w:rPr>
        <w:t>项目名称：天台县2025年度补充林地库建设项目                                                         项目编号： TCCG-2025-Z070</w:t>
      </w:r>
    </w:p>
    <w:tbl>
      <w:tblPr>
        <w:tblStyle w:val="31"/>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886"/>
        <w:gridCol w:w="922"/>
        <w:gridCol w:w="1045"/>
        <w:gridCol w:w="1082"/>
        <w:gridCol w:w="1238"/>
        <w:gridCol w:w="1650"/>
        <w:gridCol w:w="1257"/>
        <w:gridCol w:w="858"/>
      </w:tblGrid>
      <w:tr w14:paraId="5965C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8" w:type="dxa"/>
            <w:tcBorders>
              <w:tl2br w:val="nil"/>
              <w:tr2bl w:val="nil"/>
            </w:tcBorders>
            <w:vAlign w:val="center"/>
          </w:tcPr>
          <w:p w14:paraId="62079B08">
            <w:pPr>
              <w:jc w:val="center"/>
              <w:rPr>
                <w:rFonts w:ascii="宋体" w:hAnsi="宋体" w:cs="宋体"/>
                <w:color w:val="auto"/>
                <w:sz w:val="24"/>
              </w:rPr>
            </w:pPr>
            <w:r>
              <w:rPr>
                <w:rFonts w:hint="eastAsia" w:ascii="宋体" w:hAnsi="宋体" w:cs="宋体"/>
                <w:color w:val="auto"/>
                <w:sz w:val="24"/>
              </w:rPr>
              <w:t>序号</w:t>
            </w:r>
          </w:p>
        </w:tc>
        <w:tc>
          <w:tcPr>
            <w:tcW w:w="886" w:type="dxa"/>
            <w:tcBorders>
              <w:tl2br w:val="nil"/>
              <w:tr2bl w:val="nil"/>
            </w:tcBorders>
            <w:vAlign w:val="center"/>
          </w:tcPr>
          <w:p w14:paraId="528B2C5A">
            <w:pPr>
              <w:jc w:val="center"/>
              <w:rPr>
                <w:rFonts w:ascii="宋体" w:hAnsi="宋体" w:cs="宋体"/>
                <w:color w:val="auto"/>
                <w:sz w:val="24"/>
              </w:rPr>
            </w:pPr>
            <w:r>
              <w:rPr>
                <w:rFonts w:hint="eastAsia" w:ascii="宋体" w:hAnsi="宋体" w:cs="宋体"/>
                <w:color w:val="auto"/>
                <w:sz w:val="24"/>
              </w:rPr>
              <w:t>姓名</w:t>
            </w:r>
          </w:p>
        </w:tc>
        <w:tc>
          <w:tcPr>
            <w:tcW w:w="922" w:type="dxa"/>
            <w:tcBorders>
              <w:tl2br w:val="nil"/>
              <w:tr2bl w:val="nil"/>
            </w:tcBorders>
            <w:vAlign w:val="center"/>
          </w:tcPr>
          <w:p w14:paraId="3A4FD9C0">
            <w:pPr>
              <w:jc w:val="center"/>
              <w:rPr>
                <w:rFonts w:ascii="宋体" w:hAnsi="宋体" w:cs="宋体"/>
                <w:color w:val="auto"/>
                <w:sz w:val="24"/>
              </w:rPr>
            </w:pPr>
            <w:r>
              <w:rPr>
                <w:rFonts w:hint="eastAsia" w:ascii="宋体" w:hAnsi="宋体" w:cs="宋体"/>
                <w:color w:val="auto"/>
                <w:sz w:val="24"/>
              </w:rPr>
              <w:t>性别</w:t>
            </w:r>
          </w:p>
        </w:tc>
        <w:tc>
          <w:tcPr>
            <w:tcW w:w="1045" w:type="dxa"/>
            <w:tcBorders>
              <w:tl2br w:val="nil"/>
              <w:tr2bl w:val="nil"/>
            </w:tcBorders>
            <w:vAlign w:val="center"/>
          </w:tcPr>
          <w:p w14:paraId="05698452">
            <w:pPr>
              <w:jc w:val="center"/>
              <w:rPr>
                <w:rFonts w:ascii="宋体" w:hAnsi="宋体" w:cs="宋体"/>
                <w:color w:val="auto"/>
                <w:sz w:val="24"/>
              </w:rPr>
            </w:pPr>
            <w:r>
              <w:rPr>
                <w:rFonts w:hint="eastAsia" w:ascii="宋体" w:hAnsi="宋体" w:cs="宋体"/>
                <w:color w:val="auto"/>
                <w:sz w:val="24"/>
              </w:rPr>
              <w:t>年龄</w:t>
            </w:r>
          </w:p>
        </w:tc>
        <w:tc>
          <w:tcPr>
            <w:tcW w:w="1082" w:type="dxa"/>
            <w:tcBorders>
              <w:tl2br w:val="nil"/>
              <w:tr2bl w:val="nil"/>
            </w:tcBorders>
            <w:vAlign w:val="center"/>
          </w:tcPr>
          <w:p w14:paraId="68569439">
            <w:pPr>
              <w:jc w:val="center"/>
              <w:rPr>
                <w:rFonts w:ascii="宋体" w:hAnsi="宋体" w:cs="宋体"/>
                <w:color w:val="auto"/>
                <w:sz w:val="24"/>
              </w:rPr>
            </w:pPr>
            <w:r>
              <w:rPr>
                <w:rFonts w:hint="eastAsia" w:ascii="宋体" w:hAnsi="宋体" w:cs="宋体"/>
                <w:color w:val="auto"/>
                <w:sz w:val="24"/>
              </w:rPr>
              <w:t>学历</w:t>
            </w:r>
          </w:p>
        </w:tc>
        <w:tc>
          <w:tcPr>
            <w:tcW w:w="1238" w:type="dxa"/>
            <w:tcBorders>
              <w:tl2br w:val="nil"/>
              <w:tr2bl w:val="nil"/>
            </w:tcBorders>
            <w:vAlign w:val="center"/>
          </w:tcPr>
          <w:p w14:paraId="2CC35456">
            <w:pPr>
              <w:jc w:val="center"/>
              <w:rPr>
                <w:rFonts w:ascii="宋体" w:hAnsi="宋体" w:cs="宋体"/>
                <w:color w:val="auto"/>
                <w:sz w:val="24"/>
              </w:rPr>
            </w:pPr>
            <w:r>
              <w:rPr>
                <w:rFonts w:hint="eastAsia" w:ascii="宋体" w:hAnsi="宋体" w:cs="宋体"/>
                <w:color w:val="auto"/>
                <w:sz w:val="24"/>
              </w:rPr>
              <w:t>资格证书</w:t>
            </w:r>
          </w:p>
        </w:tc>
        <w:tc>
          <w:tcPr>
            <w:tcW w:w="1650" w:type="dxa"/>
            <w:tcBorders>
              <w:tl2br w:val="nil"/>
              <w:tr2bl w:val="nil"/>
            </w:tcBorders>
            <w:vAlign w:val="center"/>
          </w:tcPr>
          <w:p w14:paraId="18BD7249">
            <w:pPr>
              <w:jc w:val="center"/>
              <w:rPr>
                <w:rFonts w:ascii="宋体" w:hAnsi="宋体" w:cs="宋体"/>
                <w:color w:val="auto"/>
                <w:sz w:val="24"/>
              </w:rPr>
            </w:pPr>
            <w:r>
              <w:rPr>
                <w:rFonts w:hint="eastAsia" w:ascii="宋体" w:hAnsi="宋体" w:cs="宋体"/>
                <w:color w:val="auto"/>
                <w:sz w:val="24"/>
              </w:rPr>
              <w:t>从事类似服务简历、年限</w:t>
            </w:r>
          </w:p>
        </w:tc>
        <w:tc>
          <w:tcPr>
            <w:tcW w:w="1257" w:type="dxa"/>
            <w:tcBorders>
              <w:tl2br w:val="nil"/>
              <w:tr2bl w:val="nil"/>
            </w:tcBorders>
            <w:vAlign w:val="center"/>
          </w:tcPr>
          <w:p w14:paraId="24AD6D39">
            <w:pPr>
              <w:jc w:val="center"/>
              <w:rPr>
                <w:rFonts w:ascii="宋体" w:hAnsi="宋体" w:cs="宋体"/>
                <w:color w:val="auto"/>
                <w:sz w:val="24"/>
              </w:rPr>
            </w:pPr>
            <w:r>
              <w:rPr>
                <w:rFonts w:hint="eastAsia" w:ascii="宋体" w:hAnsi="宋体" w:cs="宋体"/>
                <w:color w:val="auto"/>
                <w:sz w:val="24"/>
              </w:rPr>
              <w:t>拟任职务</w:t>
            </w:r>
          </w:p>
        </w:tc>
        <w:tc>
          <w:tcPr>
            <w:tcW w:w="858" w:type="dxa"/>
            <w:tcBorders>
              <w:tl2br w:val="nil"/>
              <w:tr2bl w:val="nil"/>
            </w:tcBorders>
            <w:vAlign w:val="center"/>
          </w:tcPr>
          <w:p w14:paraId="7CEF869F">
            <w:pPr>
              <w:jc w:val="center"/>
              <w:rPr>
                <w:rFonts w:ascii="宋体" w:hAnsi="宋体" w:cs="宋体"/>
                <w:color w:val="auto"/>
                <w:sz w:val="24"/>
              </w:rPr>
            </w:pPr>
            <w:r>
              <w:rPr>
                <w:rFonts w:hint="eastAsia" w:ascii="宋体" w:hAnsi="宋体" w:cs="宋体"/>
                <w:color w:val="auto"/>
                <w:sz w:val="24"/>
              </w:rPr>
              <w:t>备注</w:t>
            </w:r>
          </w:p>
        </w:tc>
      </w:tr>
      <w:tr w14:paraId="754A0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8" w:type="dxa"/>
            <w:tcBorders>
              <w:tl2br w:val="nil"/>
              <w:tr2bl w:val="nil"/>
            </w:tcBorders>
            <w:vAlign w:val="center"/>
          </w:tcPr>
          <w:p w14:paraId="7D7C6D60">
            <w:pPr>
              <w:jc w:val="center"/>
              <w:rPr>
                <w:rFonts w:ascii="宋体" w:hAnsi="宋体" w:cs="宋体"/>
                <w:color w:val="auto"/>
                <w:sz w:val="24"/>
              </w:rPr>
            </w:pPr>
            <w:r>
              <w:rPr>
                <w:rFonts w:hint="eastAsia" w:ascii="宋体" w:hAnsi="宋体" w:cs="宋体"/>
                <w:color w:val="auto"/>
                <w:sz w:val="24"/>
              </w:rPr>
              <w:t>1</w:t>
            </w:r>
          </w:p>
        </w:tc>
        <w:tc>
          <w:tcPr>
            <w:tcW w:w="886" w:type="dxa"/>
            <w:tcBorders>
              <w:tl2br w:val="nil"/>
              <w:tr2bl w:val="nil"/>
            </w:tcBorders>
            <w:vAlign w:val="center"/>
          </w:tcPr>
          <w:p w14:paraId="629607BA">
            <w:pPr>
              <w:jc w:val="center"/>
              <w:rPr>
                <w:rFonts w:ascii="宋体" w:hAnsi="宋体" w:cs="宋体"/>
                <w:color w:val="auto"/>
                <w:sz w:val="24"/>
              </w:rPr>
            </w:pPr>
          </w:p>
        </w:tc>
        <w:tc>
          <w:tcPr>
            <w:tcW w:w="922" w:type="dxa"/>
            <w:tcBorders>
              <w:tl2br w:val="nil"/>
              <w:tr2bl w:val="nil"/>
            </w:tcBorders>
            <w:vAlign w:val="center"/>
          </w:tcPr>
          <w:p w14:paraId="225319C2">
            <w:pPr>
              <w:jc w:val="center"/>
              <w:rPr>
                <w:rFonts w:ascii="宋体" w:hAnsi="宋体" w:cs="宋体"/>
                <w:color w:val="auto"/>
                <w:sz w:val="24"/>
              </w:rPr>
            </w:pPr>
          </w:p>
        </w:tc>
        <w:tc>
          <w:tcPr>
            <w:tcW w:w="1045" w:type="dxa"/>
            <w:tcBorders>
              <w:tl2br w:val="nil"/>
              <w:tr2bl w:val="nil"/>
            </w:tcBorders>
            <w:vAlign w:val="center"/>
          </w:tcPr>
          <w:p w14:paraId="51CFB4D7">
            <w:pPr>
              <w:jc w:val="center"/>
              <w:rPr>
                <w:rFonts w:ascii="宋体" w:hAnsi="宋体" w:cs="宋体"/>
                <w:color w:val="auto"/>
                <w:sz w:val="24"/>
              </w:rPr>
            </w:pPr>
          </w:p>
        </w:tc>
        <w:tc>
          <w:tcPr>
            <w:tcW w:w="1082" w:type="dxa"/>
            <w:tcBorders>
              <w:tl2br w:val="nil"/>
              <w:tr2bl w:val="nil"/>
            </w:tcBorders>
            <w:vAlign w:val="center"/>
          </w:tcPr>
          <w:p w14:paraId="027CB426">
            <w:pPr>
              <w:jc w:val="center"/>
              <w:rPr>
                <w:rFonts w:ascii="宋体" w:hAnsi="宋体" w:cs="宋体"/>
                <w:color w:val="auto"/>
                <w:sz w:val="24"/>
              </w:rPr>
            </w:pPr>
          </w:p>
        </w:tc>
        <w:tc>
          <w:tcPr>
            <w:tcW w:w="1238" w:type="dxa"/>
            <w:tcBorders>
              <w:tl2br w:val="nil"/>
              <w:tr2bl w:val="nil"/>
            </w:tcBorders>
            <w:vAlign w:val="center"/>
          </w:tcPr>
          <w:p w14:paraId="365C7F1A">
            <w:pPr>
              <w:jc w:val="center"/>
              <w:rPr>
                <w:rFonts w:ascii="宋体" w:hAnsi="宋体" w:cs="宋体"/>
                <w:color w:val="auto"/>
                <w:sz w:val="24"/>
              </w:rPr>
            </w:pPr>
          </w:p>
        </w:tc>
        <w:tc>
          <w:tcPr>
            <w:tcW w:w="1650" w:type="dxa"/>
            <w:tcBorders>
              <w:tl2br w:val="nil"/>
              <w:tr2bl w:val="nil"/>
            </w:tcBorders>
            <w:vAlign w:val="center"/>
          </w:tcPr>
          <w:p w14:paraId="312F6BE1">
            <w:pPr>
              <w:jc w:val="center"/>
              <w:rPr>
                <w:rFonts w:ascii="宋体" w:hAnsi="宋体" w:cs="宋体"/>
                <w:color w:val="auto"/>
                <w:sz w:val="24"/>
              </w:rPr>
            </w:pPr>
          </w:p>
        </w:tc>
        <w:tc>
          <w:tcPr>
            <w:tcW w:w="1257" w:type="dxa"/>
            <w:tcBorders>
              <w:tl2br w:val="nil"/>
              <w:tr2bl w:val="nil"/>
            </w:tcBorders>
            <w:vAlign w:val="center"/>
          </w:tcPr>
          <w:p w14:paraId="187628F1">
            <w:pPr>
              <w:jc w:val="center"/>
              <w:rPr>
                <w:rFonts w:ascii="宋体" w:hAnsi="宋体" w:cs="宋体"/>
                <w:color w:val="auto"/>
                <w:sz w:val="24"/>
              </w:rPr>
            </w:pPr>
          </w:p>
        </w:tc>
        <w:tc>
          <w:tcPr>
            <w:tcW w:w="858" w:type="dxa"/>
            <w:tcBorders>
              <w:tl2br w:val="nil"/>
              <w:tr2bl w:val="nil"/>
            </w:tcBorders>
            <w:vAlign w:val="center"/>
          </w:tcPr>
          <w:p w14:paraId="6E02C445">
            <w:pPr>
              <w:jc w:val="center"/>
              <w:rPr>
                <w:rFonts w:ascii="宋体" w:hAnsi="宋体" w:cs="宋体"/>
                <w:color w:val="auto"/>
                <w:sz w:val="24"/>
              </w:rPr>
            </w:pPr>
          </w:p>
        </w:tc>
      </w:tr>
      <w:tr w14:paraId="5E04E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8" w:type="dxa"/>
            <w:tcBorders>
              <w:tl2br w:val="nil"/>
              <w:tr2bl w:val="nil"/>
            </w:tcBorders>
            <w:vAlign w:val="center"/>
          </w:tcPr>
          <w:p w14:paraId="2CD07ECF">
            <w:pPr>
              <w:jc w:val="center"/>
              <w:rPr>
                <w:rFonts w:ascii="宋体" w:hAnsi="宋体" w:cs="宋体"/>
                <w:color w:val="auto"/>
                <w:sz w:val="24"/>
              </w:rPr>
            </w:pPr>
            <w:r>
              <w:rPr>
                <w:rFonts w:hint="eastAsia" w:ascii="宋体" w:hAnsi="宋体" w:cs="宋体"/>
                <w:color w:val="auto"/>
                <w:sz w:val="24"/>
              </w:rPr>
              <w:t>2</w:t>
            </w:r>
          </w:p>
        </w:tc>
        <w:tc>
          <w:tcPr>
            <w:tcW w:w="886" w:type="dxa"/>
            <w:tcBorders>
              <w:tl2br w:val="nil"/>
              <w:tr2bl w:val="nil"/>
            </w:tcBorders>
            <w:vAlign w:val="center"/>
          </w:tcPr>
          <w:p w14:paraId="39649447">
            <w:pPr>
              <w:jc w:val="center"/>
              <w:rPr>
                <w:rFonts w:ascii="宋体" w:hAnsi="宋体" w:cs="宋体"/>
                <w:color w:val="auto"/>
                <w:sz w:val="24"/>
              </w:rPr>
            </w:pPr>
          </w:p>
        </w:tc>
        <w:tc>
          <w:tcPr>
            <w:tcW w:w="922" w:type="dxa"/>
            <w:tcBorders>
              <w:tl2br w:val="nil"/>
              <w:tr2bl w:val="nil"/>
            </w:tcBorders>
            <w:vAlign w:val="center"/>
          </w:tcPr>
          <w:p w14:paraId="09E412D0">
            <w:pPr>
              <w:jc w:val="center"/>
              <w:rPr>
                <w:rFonts w:ascii="宋体" w:hAnsi="宋体" w:cs="宋体"/>
                <w:color w:val="auto"/>
                <w:sz w:val="24"/>
              </w:rPr>
            </w:pPr>
          </w:p>
        </w:tc>
        <w:tc>
          <w:tcPr>
            <w:tcW w:w="1045" w:type="dxa"/>
            <w:tcBorders>
              <w:tl2br w:val="nil"/>
              <w:tr2bl w:val="nil"/>
            </w:tcBorders>
            <w:vAlign w:val="center"/>
          </w:tcPr>
          <w:p w14:paraId="45EDB166">
            <w:pPr>
              <w:jc w:val="center"/>
              <w:rPr>
                <w:rFonts w:ascii="宋体" w:hAnsi="宋体" w:cs="宋体"/>
                <w:color w:val="auto"/>
                <w:sz w:val="24"/>
              </w:rPr>
            </w:pPr>
          </w:p>
        </w:tc>
        <w:tc>
          <w:tcPr>
            <w:tcW w:w="1082" w:type="dxa"/>
            <w:tcBorders>
              <w:tl2br w:val="nil"/>
              <w:tr2bl w:val="nil"/>
            </w:tcBorders>
            <w:vAlign w:val="center"/>
          </w:tcPr>
          <w:p w14:paraId="1099E046">
            <w:pPr>
              <w:jc w:val="center"/>
              <w:rPr>
                <w:rFonts w:ascii="宋体" w:hAnsi="宋体" w:cs="宋体"/>
                <w:color w:val="auto"/>
                <w:sz w:val="24"/>
              </w:rPr>
            </w:pPr>
          </w:p>
        </w:tc>
        <w:tc>
          <w:tcPr>
            <w:tcW w:w="1238" w:type="dxa"/>
            <w:tcBorders>
              <w:tl2br w:val="nil"/>
              <w:tr2bl w:val="nil"/>
            </w:tcBorders>
            <w:vAlign w:val="center"/>
          </w:tcPr>
          <w:p w14:paraId="5A40AD31">
            <w:pPr>
              <w:jc w:val="center"/>
              <w:rPr>
                <w:rFonts w:ascii="宋体" w:hAnsi="宋体" w:cs="宋体"/>
                <w:color w:val="auto"/>
                <w:sz w:val="24"/>
              </w:rPr>
            </w:pPr>
          </w:p>
        </w:tc>
        <w:tc>
          <w:tcPr>
            <w:tcW w:w="1650" w:type="dxa"/>
            <w:tcBorders>
              <w:tl2br w:val="nil"/>
              <w:tr2bl w:val="nil"/>
            </w:tcBorders>
            <w:vAlign w:val="center"/>
          </w:tcPr>
          <w:p w14:paraId="73BC1D5A">
            <w:pPr>
              <w:jc w:val="center"/>
              <w:rPr>
                <w:rFonts w:ascii="宋体" w:hAnsi="宋体" w:cs="宋体"/>
                <w:color w:val="auto"/>
                <w:sz w:val="24"/>
              </w:rPr>
            </w:pPr>
          </w:p>
        </w:tc>
        <w:tc>
          <w:tcPr>
            <w:tcW w:w="1257" w:type="dxa"/>
            <w:tcBorders>
              <w:tl2br w:val="nil"/>
              <w:tr2bl w:val="nil"/>
            </w:tcBorders>
            <w:vAlign w:val="center"/>
          </w:tcPr>
          <w:p w14:paraId="66369028">
            <w:pPr>
              <w:jc w:val="center"/>
              <w:rPr>
                <w:rFonts w:ascii="宋体" w:hAnsi="宋体" w:cs="宋体"/>
                <w:color w:val="auto"/>
                <w:sz w:val="24"/>
              </w:rPr>
            </w:pPr>
          </w:p>
        </w:tc>
        <w:tc>
          <w:tcPr>
            <w:tcW w:w="858" w:type="dxa"/>
            <w:tcBorders>
              <w:tl2br w:val="nil"/>
              <w:tr2bl w:val="nil"/>
            </w:tcBorders>
            <w:vAlign w:val="center"/>
          </w:tcPr>
          <w:p w14:paraId="18890B1F">
            <w:pPr>
              <w:jc w:val="center"/>
              <w:rPr>
                <w:rFonts w:ascii="宋体" w:hAnsi="宋体" w:cs="宋体"/>
                <w:color w:val="auto"/>
                <w:sz w:val="24"/>
              </w:rPr>
            </w:pPr>
          </w:p>
        </w:tc>
      </w:tr>
      <w:tr w14:paraId="6F7D4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8" w:type="dxa"/>
            <w:tcBorders>
              <w:tl2br w:val="nil"/>
              <w:tr2bl w:val="nil"/>
            </w:tcBorders>
            <w:vAlign w:val="center"/>
          </w:tcPr>
          <w:p w14:paraId="52853363">
            <w:pPr>
              <w:jc w:val="center"/>
              <w:rPr>
                <w:rFonts w:ascii="宋体" w:hAnsi="宋体" w:cs="宋体"/>
                <w:color w:val="auto"/>
                <w:sz w:val="24"/>
              </w:rPr>
            </w:pPr>
            <w:r>
              <w:rPr>
                <w:rFonts w:hint="eastAsia" w:ascii="宋体" w:hAnsi="宋体" w:cs="宋体"/>
                <w:color w:val="auto"/>
                <w:sz w:val="24"/>
              </w:rPr>
              <w:t>3</w:t>
            </w:r>
          </w:p>
        </w:tc>
        <w:tc>
          <w:tcPr>
            <w:tcW w:w="886" w:type="dxa"/>
            <w:tcBorders>
              <w:tl2br w:val="nil"/>
              <w:tr2bl w:val="nil"/>
            </w:tcBorders>
            <w:vAlign w:val="center"/>
          </w:tcPr>
          <w:p w14:paraId="084B094D">
            <w:pPr>
              <w:jc w:val="center"/>
              <w:rPr>
                <w:rFonts w:ascii="宋体" w:hAnsi="宋体" w:cs="宋体"/>
                <w:color w:val="auto"/>
                <w:sz w:val="24"/>
              </w:rPr>
            </w:pPr>
          </w:p>
        </w:tc>
        <w:tc>
          <w:tcPr>
            <w:tcW w:w="922" w:type="dxa"/>
            <w:tcBorders>
              <w:tl2br w:val="nil"/>
              <w:tr2bl w:val="nil"/>
            </w:tcBorders>
            <w:vAlign w:val="center"/>
          </w:tcPr>
          <w:p w14:paraId="76273356">
            <w:pPr>
              <w:jc w:val="center"/>
              <w:rPr>
                <w:rFonts w:ascii="宋体" w:hAnsi="宋体" w:cs="宋体"/>
                <w:color w:val="auto"/>
                <w:sz w:val="24"/>
              </w:rPr>
            </w:pPr>
          </w:p>
        </w:tc>
        <w:tc>
          <w:tcPr>
            <w:tcW w:w="1045" w:type="dxa"/>
            <w:tcBorders>
              <w:tl2br w:val="nil"/>
              <w:tr2bl w:val="nil"/>
            </w:tcBorders>
            <w:vAlign w:val="center"/>
          </w:tcPr>
          <w:p w14:paraId="16533419">
            <w:pPr>
              <w:jc w:val="center"/>
              <w:rPr>
                <w:rFonts w:ascii="宋体" w:hAnsi="宋体" w:cs="宋体"/>
                <w:color w:val="auto"/>
                <w:sz w:val="24"/>
              </w:rPr>
            </w:pPr>
          </w:p>
        </w:tc>
        <w:tc>
          <w:tcPr>
            <w:tcW w:w="1082" w:type="dxa"/>
            <w:tcBorders>
              <w:tl2br w:val="nil"/>
              <w:tr2bl w:val="nil"/>
            </w:tcBorders>
            <w:vAlign w:val="center"/>
          </w:tcPr>
          <w:p w14:paraId="073E4F45">
            <w:pPr>
              <w:jc w:val="center"/>
              <w:rPr>
                <w:rFonts w:ascii="宋体" w:hAnsi="宋体" w:cs="宋体"/>
                <w:color w:val="auto"/>
                <w:sz w:val="24"/>
              </w:rPr>
            </w:pPr>
          </w:p>
        </w:tc>
        <w:tc>
          <w:tcPr>
            <w:tcW w:w="1238" w:type="dxa"/>
            <w:tcBorders>
              <w:tl2br w:val="nil"/>
              <w:tr2bl w:val="nil"/>
            </w:tcBorders>
            <w:vAlign w:val="center"/>
          </w:tcPr>
          <w:p w14:paraId="4BD146DF">
            <w:pPr>
              <w:jc w:val="center"/>
              <w:rPr>
                <w:rFonts w:ascii="宋体" w:hAnsi="宋体" w:cs="宋体"/>
                <w:color w:val="auto"/>
                <w:sz w:val="24"/>
              </w:rPr>
            </w:pPr>
          </w:p>
        </w:tc>
        <w:tc>
          <w:tcPr>
            <w:tcW w:w="1650" w:type="dxa"/>
            <w:tcBorders>
              <w:tl2br w:val="nil"/>
              <w:tr2bl w:val="nil"/>
            </w:tcBorders>
            <w:vAlign w:val="center"/>
          </w:tcPr>
          <w:p w14:paraId="18D5C96E">
            <w:pPr>
              <w:jc w:val="center"/>
              <w:rPr>
                <w:rFonts w:ascii="宋体" w:hAnsi="宋体" w:cs="宋体"/>
                <w:color w:val="auto"/>
                <w:sz w:val="24"/>
              </w:rPr>
            </w:pPr>
          </w:p>
        </w:tc>
        <w:tc>
          <w:tcPr>
            <w:tcW w:w="1257" w:type="dxa"/>
            <w:tcBorders>
              <w:tl2br w:val="nil"/>
              <w:tr2bl w:val="nil"/>
            </w:tcBorders>
            <w:vAlign w:val="center"/>
          </w:tcPr>
          <w:p w14:paraId="359A9B14">
            <w:pPr>
              <w:jc w:val="center"/>
              <w:rPr>
                <w:rFonts w:ascii="宋体" w:hAnsi="宋体" w:cs="宋体"/>
                <w:color w:val="auto"/>
                <w:sz w:val="24"/>
              </w:rPr>
            </w:pPr>
          </w:p>
        </w:tc>
        <w:tc>
          <w:tcPr>
            <w:tcW w:w="858" w:type="dxa"/>
            <w:tcBorders>
              <w:tl2br w:val="nil"/>
              <w:tr2bl w:val="nil"/>
            </w:tcBorders>
            <w:vAlign w:val="center"/>
          </w:tcPr>
          <w:p w14:paraId="4F4C6047">
            <w:pPr>
              <w:jc w:val="center"/>
              <w:rPr>
                <w:rFonts w:ascii="宋体" w:hAnsi="宋体" w:cs="宋体"/>
                <w:color w:val="auto"/>
                <w:sz w:val="24"/>
              </w:rPr>
            </w:pPr>
          </w:p>
        </w:tc>
      </w:tr>
      <w:tr w14:paraId="01A53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8" w:type="dxa"/>
            <w:tcBorders>
              <w:tl2br w:val="nil"/>
              <w:tr2bl w:val="nil"/>
            </w:tcBorders>
            <w:vAlign w:val="center"/>
          </w:tcPr>
          <w:p w14:paraId="0D152E13">
            <w:pPr>
              <w:jc w:val="center"/>
              <w:rPr>
                <w:rFonts w:ascii="宋体" w:hAnsi="宋体" w:cs="宋体"/>
                <w:color w:val="auto"/>
                <w:sz w:val="24"/>
              </w:rPr>
            </w:pPr>
            <w:r>
              <w:rPr>
                <w:rFonts w:hint="eastAsia" w:ascii="宋体" w:hAnsi="宋体" w:cs="宋体"/>
                <w:color w:val="auto"/>
                <w:sz w:val="18"/>
                <w:szCs w:val="18"/>
              </w:rPr>
              <w:t>……</w:t>
            </w:r>
          </w:p>
        </w:tc>
        <w:tc>
          <w:tcPr>
            <w:tcW w:w="886" w:type="dxa"/>
            <w:tcBorders>
              <w:tl2br w:val="nil"/>
              <w:tr2bl w:val="nil"/>
            </w:tcBorders>
            <w:vAlign w:val="center"/>
          </w:tcPr>
          <w:p w14:paraId="02A6D50D">
            <w:pPr>
              <w:jc w:val="center"/>
              <w:rPr>
                <w:rFonts w:ascii="宋体" w:hAnsi="宋体" w:cs="宋体"/>
                <w:color w:val="auto"/>
                <w:sz w:val="24"/>
              </w:rPr>
            </w:pPr>
          </w:p>
        </w:tc>
        <w:tc>
          <w:tcPr>
            <w:tcW w:w="922" w:type="dxa"/>
            <w:tcBorders>
              <w:tl2br w:val="nil"/>
              <w:tr2bl w:val="nil"/>
            </w:tcBorders>
            <w:vAlign w:val="center"/>
          </w:tcPr>
          <w:p w14:paraId="7D157F7D">
            <w:pPr>
              <w:jc w:val="center"/>
              <w:rPr>
                <w:rFonts w:ascii="宋体" w:hAnsi="宋体" w:cs="宋体"/>
                <w:color w:val="auto"/>
                <w:sz w:val="24"/>
              </w:rPr>
            </w:pPr>
          </w:p>
        </w:tc>
        <w:tc>
          <w:tcPr>
            <w:tcW w:w="1045" w:type="dxa"/>
            <w:tcBorders>
              <w:tl2br w:val="nil"/>
              <w:tr2bl w:val="nil"/>
            </w:tcBorders>
            <w:vAlign w:val="center"/>
          </w:tcPr>
          <w:p w14:paraId="153A5D31">
            <w:pPr>
              <w:jc w:val="center"/>
              <w:rPr>
                <w:rFonts w:ascii="宋体" w:hAnsi="宋体" w:cs="宋体"/>
                <w:color w:val="auto"/>
                <w:sz w:val="24"/>
              </w:rPr>
            </w:pPr>
          </w:p>
        </w:tc>
        <w:tc>
          <w:tcPr>
            <w:tcW w:w="1082" w:type="dxa"/>
            <w:tcBorders>
              <w:tl2br w:val="nil"/>
              <w:tr2bl w:val="nil"/>
            </w:tcBorders>
            <w:vAlign w:val="center"/>
          </w:tcPr>
          <w:p w14:paraId="47FAED1C">
            <w:pPr>
              <w:jc w:val="center"/>
              <w:rPr>
                <w:rFonts w:ascii="宋体" w:hAnsi="宋体" w:cs="宋体"/>
                <w:color w:val="auto"/>
                <w:sz w:val="24"/>
              </w:rPr>
            </w:pPr>
          </w:p>
        </w:tc>
        <w:tc>
          <w:tcPr>
            <w:tcW w:w="1238" w:type="dxa"/>
            <w:tcBorders>
              <w:tl2br w:val="nil"/>
              <w:tr2bl w:val="nil"/>
            </w:tcBorders>
            <w:vAlign w:val="center"/>
          </w:tcPr>
          <w:p w14:paraId="72CBD4B4">
            <w:pPr>
              <w:jc w:val="center"/>
              <w:rPr>
                <w:rFonts w:ascii="宋体" w:hAnsi="宋体" w:cs="宋体"/>
                <w:color w:val="auto"/>
                <w:sz w:val="24"/>
              </w:rPr>
            </w:pPr>
          </w:p>
        </w:tc>
        <w:tc>
          <w:tcPr>
            <w:tcW w:w="1650" w:type="dxa"/>
            <w:tcBorders>
              <w:tl2br w:val="nil"/>
              <w:tr2bl w:val="nil"/>
            </w:tcBorders>
            <w:vAlign w:val="center"/>
          </w:tcPr>
          <w:p w14:paraId="7A20BF4F">
            <w:pPr>
              <w:jc w:val="center"/>
              <w:rPr>
                <w:rFonts w:ascii="宋体" w:hAnsi="宋体" w:cs="宋体"/>
                <w:color w:val="auto"/>
                <w:sz w:val="24"/>
              </w:rPr>
            </w:pPr>
          </w:p>
        </w:tc>
        <w:tc>
          <w:tcPr>
            <w:tcW w:w="1257" w:type="dxa"/>
            <w:tcBorders>
              <w:tl2br w:val="nil"/>
              <w:tr2bl w:val="nil"/>
            </w:tcBorders>
            <w:vAlign w:val="center"/>
          </w:tcPr>
          <w:p w14:paraId="0C5CAF68">
            <w:pPr>
              <w:jc w:val="center"/>
              <w:rPr>
                <w:rFonts w:ascii="宋体" w:hAnsi="宋体" w:cs="宋体"/>
                <w:color w:val="auto"/>
                <w:sz w:val="24"/>
              </w:rPr>
            </w:pPr>
          </w:p>
        </w:tc>
        <w:tc>
          <w:tcPr>
            <w:tcW w:w="858" w:type="dxa"/>
            <w:tcBorders>
              <w:tl2br w:val="nil"/>
              <w:tr2bl w:val="nil"/>
            </w:tcBorders>
            <w:vAlign w:val="center"/>
          </w:tcPr>
          <w:p w14:paraId="667E0D65">
            <w:pPr>
              <w:jc w:val="center"/>
              <w:rPr>
                <w:rFonts w:ascii="宋体" w:hAnsi="宋体" w:cs="宋体"/>
                <w:color w:val="auto"/>
                <w:sz w:val="24"/>
              </w:rPr>
            </w:pPr>
          </w:p>
        </w:tc>
      </w:tr>
      <w:tr w14:paraId="55C24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8" w:type="dxa"/>
            <w:tcBorders>
              <w:tl2br w:val="nil"/>
              <w:tr2bl w:val="nil"/>
            </w:tcBorders>
            <w:vAlign w:val="center"/>
          </w:tcPr>
          <w:p w14:paraId="482CC4DE">
            <w:pPr>
              <w:jc w:val="center"/>
              <w:rPr>
                <w:rFonts w:ascii="宋体" w:hAnsi="宋体" w:cs="宋体"/>
                <w:color w:val="auto"/>
                <w:sz w:val="24"/>
              </w:rPr>
            </w:pPr>
          </w:p>
        </w:tc>
        <w:tc>
          <w:tcPr>
            <w:tcW w:w="886" w:type="dxa"/>
            <w:tcBorders>
              <w:tl2br w:val="nil"/>
              <w:tr2bl w:val="nil"/>
            </w:tcBorders>
            <w:vAlign w:val="center"/>
          </w:tcPr>
          <w:p w14:paraId="31EC2B97">
            <w:pPr>
              <w:jc w:val="center"/>
              <w:rPr>
                <w:rFonts w:ascii="宋体" w:hAnsi="宋体" w:cs="宋体"/>
                <w:color w:val="auto"/>
                <w:sz w:val="24"/>
              </w:rPr>
            </w:pPr>
          </w:p>
        </w:tc>
        <w:tc>
          <w:tcPr>
            <w:tcW w:w="922" w:type="dxa"/>
            <w:tcBorders>
              <w:tl2br w:val="nil"/>
              <w:tr2bl w:val="nil"/>
            </w:tcBorders>
            <w:vAlign w:val="center"/>
          </w:tcPr>
          <w:p w14:paraId="50385002">
            <w:pPr>
              <w:jc w:val="center"/>
              <w:rPr>
                <w:rFonts w:ascii="宋体" w:hAnsi="宋体" w:cs="宋体"/>
                <w:color w:val="auto"/>
                <w:sz w:val="24"/>
              </w:rPr>
            </w:pPr>
          </w:p>
        </w:tc>
        <w:tc>
          <w:tcPr>
            <w:tcW w:w="1045" w:type="dxa"/>
            <w:tcBorders>
              <w:tl2br w:val="nil"/>
              <w:tr2bl w:val="nil"/>
            </w:tcBorders>
            <w:vAlign w:val="center"/>
          </w:tcPr>
          <w:p w14:paraId="0FA618FD">
            <w:pPr>
              <w:jc w:val="center"/>
              <w:rPr>
                <w:rFonts w:ascii="宋体" w:hAnsi="宋体" w:cs="宋体"/>
                <w:color w:val="auto"/>
                <w:sz w:val="24"/>
              </w:rPr>
            </w:pPr>
          </w:p>
        </w:tc>
        <w:tc>
          <w:tcPr>
            <w:tcW w:w="1082" w:type="dxa"/>
            <w:tcBorders>
              <w:tl2br w:val="nil"/>
              <w:tr2bl w:val="nil"/>
            </w:tcBorders>
            <w:vAlign w:val="center"/>
          </w:tcPr>
          <w:p w14:paraId="1775D0C9">
            <w:pPr>
              <w:jc w:val="center"/>
              <w:rPr>
                <w:rFonts w:ascii="宋体" w:hAnsi="宋体" w:cs="宋体"/>
                <w:color w:val="auto"/>
                <w:sz w:val="24"/>
              </w:rPr>
            </w:pPr>
          </w:p>
        </w:tc>
        <w:tc>
          <w:tcPr>
            <w:tcW w:w="1238" w:type="dxa"/>
            <w:tcBorders>
              <w:tl2br w:val="nil"/>
              <w:tr2bl w:val="nil"/>
            </w:tcBorders>
            <w:vAlign w:val="center"/>
          </w:tcPr>
          <w:p w14:paraId="06A7CF2C">
            <w:pPr>
              <w:jc w:val="center"/>
              <w:rPr>
                <w:rFonts w:ascii="宋体" w:hAnsi="宋体" w:cs="宋体"/>
                <w:color w:val="auto"/>
                <w:sz w:val="24"/>
              </w:rPr>
            </w:pPr>
          </w:p>
        </w:tc>
        <w:tc>
          <w:tcPr>
            <w:tcW w:w="1650" w:type="dxa"/>
            <w:tcBorders>
              <w:tl2br w:val="nil"/>
              <w:tr2bl w:val="nil"/>
            </w:tcBorders>
            <w:vAlign w:val="center"/>
          </w:tcPr>
          <w:p w14:paraId="5543F098">
            <w:pPr>
              <w:jc w:val="center"/>
              <w:rPr>
                <w:rFonts w:ascii="宋体" w:hAnsi="宋体" w:cs="宋体"/>
                <w:color w:val="auto"/>
                <w:sz w:val="24"/>
              </w:rPr>
            </w:pPr>
          </w:p>
        </w:tc>
        <w:tc>
          <w:tcPr>
            <w:tcW w:w="1257" w:type="dxa"/>
            <w:tcBorders>
              <w:tl2br w:val="nil"/>
              <w:tr2bl w:val="nil"/>
            </w:tcBorders>
            <w:vAlign w:val="center"/>
          </w:tcPr>
          <w:p w14:paraId="1AC9F054">
            <w:pPr>
              <w:jc w:val="center"/>
              <w:rPr>
                <w:rFonts w:ascii="宋体" w:hAnsi="宋体" w:cs="宋体"/>
                <w:color w:val="auto"/>
                <w:sz w:val="24"/>
              </w:rPr>
            </w:pPr>
          </w:p>
        </w:tc>
        <w:tc>
          <w:tcPr>
            <w:tcW w:w="858" w:type="dxa"/>
            <w:tcBorders>
              <w:tl2br w:val="nil"/>
              <w:tr2bl w:val="nil"/>
            </w:tcBorders>
            <w:vAlign w:val="center"/>
          </w:tcPr>
          <w:p w14:paraId="204EE140">
            <w:pPr>
              <w:jc w:val="center"/>
              <w:rPr>
                <w:rFonts w:ascii="宋体" w:hAnsi="宋体" w:cs="宋体"/>
                <w:color w:val="auto"/>
                <w:sz w:val="24"/>
              </w:rPr>
            </w:pPr>
          </w:p>
        </w:tc>
      </w:tr>
    </w:tbl>
    <w:p w14:paraId="32ABE505">
      <w:pPr>
        <w:rPr>
          <w:rFonts w:ascii="宋体" w:hAnsi="宋体" w:cs="宋体"/>
          <w:color w:val="auto"/>
          <w:sz w:val="24"/>
        </w:rPr>
      </w:pPr>
      <w:r>
        <w:rPr>
          <w:rFonts w:hint="eastAsia" w:ascii="宋体" w:hAnsi="宋体" w:cs="宋体"/>
          <w:color w:val="auto"/>
          <w:sz w:val="24"/>
        </w:rPr>
        <w:t>注：1.此表仅提供了表格形式，供应商可按此表格复制。</w:t>
      </w:r>
    </w:p>
    <w:p w14:paraId="3712FA28">
      <w:pPr>
        <w:pStyle w:val="42"/>
        <w:spacing w:line="240" w:lineRule="auto"/>
        <w:rPr>
          <w:rFonts w:ascii="宋体" w:hAnsi="宋体" w:cs="宋体"/>
          <w:color w:val="auto"/>
        </w:rPr>
      </w:pPr>
      <w:r>
        <w:rPr>
          <w:rFonts w:hint="eastAsia" w:ascii="宋体" w:hAnsi="宋体" w:cs="宋体"/>
          <w:color w:val="auto"/>
          <w:sz w:val="24"/>
        </w:rPr>
        <w:t xml:space="preserve">    2.</w:t>
      </w:r>
      <w:r>
        <w:rPr>
          <w:rFonts w:hint="eastAsia" w:ascii="宋体" w:hAnsi="宋体" w:cs="宋体"/>
          <w:b/>
          <w:bCs/>
          <w:color w:val="auto"/>
          <w:sz w:val="24"/>
        </w:rPr>
        <w:t>后附相应的证明材料并加盖公章。（可根据评分标准提供）</w:t>
      </w:r>
    </w:p>
    <w:p w14:paraId="3CBE7684">
      <w:pPr>
        <w:rPr>
          <w:rFonts w:ascii="宋体" w:hAnsi="宋体" w:cs="宋体"/>
          <w:color w:val="auto"/>
          <w:sz w:val="24"/>
        </w:rPr>
      </w:pPr>
    </w:p>
    <w:p w14:paraId="71B9FF78">
      <w:pPr>
        <w:jc w:val="right"/>
        <w:rPr>
          <w:rFonts w:ascii="宋体" w:hAnsi="宋体" w:cs="宋体"/>
          <w:color w:val="auto"/>
          <w:sz w:val="24"/>
        </w:rPr>
      </w:pPr>
    </w:p>
    <w:p w14:paraId="1D1523E9">
      <w:pPr>
        <w:ind w:firstLine="4680" w:firstLineChars="1950"/>
        <w:jc w:val="right"/>
        <w:rPr>
          <w:rFonts w:ascii="宋体" w:hAnsi="宋体" w:cs="宋体"/>
          <w:color w:val="auto"/>
          <w:sz w:val="24"/>
        </w:rPr>
      </w:pPr>
      <w:r>
        <w:rPr>
          <w:rFonts w:hint="eastAsia" w:ascii="宋体" w:hAnsi="宋体" w:cs="宋体"/>
          <w:color w:val="auto"/>
          <w:sz w:val="24"/>
        </w:rPr>
        <w:t>投标人全称：</w:t>
      </w:r>
      <w:r>
        <w:rPr>
          <w:rFonts w:hint="eastAsia" w:ascii="宋体" w:hAnsi="宋体" w:cs="宋体"/>
          <w:color w:val="auto"/>
          <w:sz w:val="24"/>
          <w:u w:val="single"/>
        </w:rPr>
        <w:t xml:space="preserve">                   </w:t>
      </w:r>
      <w:r>
        <w:rPr>
          <w:rFonts w:hint="eastAsia" w:ascii="宋体" w:hAnsi="宋体" w:cs="宋体"/>
          <w:color w:val="auto"/>
          <w:sz w:val="24"/>
        </w:rPr>
        <w:t>（盖公章）</w:t>
      </w:r>
    </w:p>
    <w:p w14:paraId="0A44173D">
      <w:pPr>
        <w:ind w:firstLine="1980" w:firstLineChars="825"/>
        <w:jc w:val="right"/>
        <w:rPr>
          <w:rFonts w:ascii="宋体" w:hAnsi="宋体" w:cs="宋体"/>
          <w:color w:val="auto"/>
          <w:sz w:val="24"/>
          <w:u w:val="single"/>
        </w:rPr>
      </w:pPr>
    </w:p>
    <w:p w14:paraId="75F844C3">
      <w:pPr>
        <w:ind w:firstLine="2760" w:firstLineChars="1150"/>
        <w:jc w:val="right"/>
        <w:rPr>
          <w:rFonts w:ascii="宋体" w:hAnsi="宋体" w:cs="宋体"/>
          <w:color w:val="auto"/>
          <w:sz w:val="24"/>
        </w:rPr>
      </w:pPr>
      <w:r>
        <w:rPr>
          <w:rFonts w:hint="eastAsia" w:ascii="宋体" w:hAnsi="宋体" w:cs="宋体"/>
          <w:color w:val="auto"/>
          <w:sz w:val="24"/>
        </w:rPr>
        <w:t>法定代表人</w:t>
      </w:r>
      <w:r>
        <w:rPr>
          <w:rFonts w:hint="eastAsia" w:ascii="宋体" w:hAnsi="宋体" w:cs="宋体"/>
          <w:iCs/>
          <w:color w:val="auto"/>
          <w:sz w:val="24"/>
        </w:rPr>
        <w:t>（负责人）</w:t>
      </w:r>
      <w:r>
        <w:rPr>
          <w:rFonts w:hint="eastAsia" w:ascii="宋体" w:hAnsi="宋体" w:cs="宋体"/>
          <w:color w:val="auto"/>
          <w:sz w:val="24"/>
        </w:rPr>
        <w:t>或授权代表：</w:t>
      </w:r>
      <w:r>
        <w:rPr>
          <w:rFonts w:hint="eastAsia" w:ascii="宋体" w:hAnsi="宋体" w:cs="宋体"/>
          <w:color w:val="auto"/>
          <w:sz w:val="24"/>
          <w:u w:val="single"/>
        </w:rPr>
        <w:t xml:space="preserve">         </w:t>
      </w:r>
      <w:r>
        <w:rPr>
          <w:rFonts w:hint="eastAsia" w:ascii="宋体" w:hAnsi="宋体" w:cs="宋体"/>
          <w:color w:val="auto"/>
          <w:sz w:val="24"/>
        </w:rPr>
        <w:t>（签字或盖章）</w:t>
      </w:r>
    </w:p>
    <w:p w14:paraId="64846C15">
      <w:pPr>
        <w:jc w:val="right"/>
        <w:rPr>
          <w:rFonts w:ascii="宋体" w:hAnsi="宋体" w:cs="宋体"/>
          <w:color w:val="auto"/>
          <w:sz w:val="24"/>
        </w:rPr>
      </w:pPr>
    </w:p>
    <w:p w14:paraId="740F278D">
      <w:pPr>
        <w:jc w:val="right"/>
        <w:rPr>
          <w:rFonts w:ascii="宋体" w:hAnsi="宋体" w:cs="宋体"/>
          <w:color w:val="auto"/>
          <w:sz w:val="24"/>
        </w:rPr>
      </w:pPr>
      <w:r>
        <w:rPr>
          <w:rFonts w:hint="eastAsia" w:ascii="宋体" w:hAnsi="宋体" w:cs="宋体"/>
          <w:color w:val="auto"/>
          <w:sz w:val="24"/>
        </w:rPr>
        <w:t xml:space="preserve">                                                年    月    日</w:t>
      </w:r>
    </w:p>
    <w:p w14:paraId="20F49101">
      <w:pPr>
        <w:jc w:val="center"/>
        <w:rPr>
          <w:rFonts w:ascii="宋体" w:hAnsi="宋体" w:cs="宋体"/>
          <w:color w:val="auto"/>
          <w:sz w:val="22"/>
          <w:szCs w:val="22"/>
        </w:rPr>
      </w:pPr>
    </w:p>
    <w:p w14:paraId="3848E8B5">
      <w:pPr>
        <w:jc w:val="center"/>
        <w:rPr>
          <w:rFonts w:ascii="宋体" w:hAnsi="宋体" w:cs="宋体"/>
          <w:color w:val="auto"/>
          <w:sz w:val="22"/>
          <w:szCs w:val="22"/>
        </w:rPr>
      </w:pPr>
    </w:p>
    <w:p w14:paraId="07C697D4">
      <w:pPr>
        <w:jc w:val="center"/>
        <w:rPr>
          <w:rFonts w:ascii="宋体" w:hAnsi="宋体" w:cs="宋体"/>
          <w:color w:val="auto"/>
          <w:sz w:val="22"/>
          <w:szCs w:val="22"/>
        </w:rPr>
      </w:pPr>
    </w:p>
    <w:p w14:paraId="7C0DCE86">
      <w:pPr>
        <w:jc w:val="center"/>
        <w:rPr>
          <w:rFonts w:ascii="宋体" w:hAnsi="宋体" w:cs="宋体"/>
          <w:color w:val="auto"/>
          <w:sz w:val="22"/>
          <w:szCs w:val="22"/>
        </w:rPr>
      </w:pPr>
    </w:p>
    <w:p w14:paraId="025B9E6D">
      <w:pPr>
        <w:pStyle w:val="2"/>
        <w:spacing w:line="240" w:lineRule="auto"/>
        <w:rPr>
          <w:rFonts w:ascii="宋体" w:hAnsi="宋体" w:cs="宋体"/>
          <w:color w:val="auto"/>
          <w:sz w:val="22"/>
          <w:szCs w:val="22"/>
        </w:rPr>
      </w:pPr>
    </w:p>
    <w:p w14:paraId="0DA455FC">
      <w:pPr>
        <w:pStyle w:val="50"/>
        <w:ind w:firstLine="440"/>
        <w:rPr>
          <w:rFonts w:ascii="宋体" w:hAnsi="宋体" w:cs="宋体"/>
          <w:color w:val="auto"/>
          <w:sz w:val="22"/>
        </w:rPr>
      </w:pPr>
    </w:p>
    <w:p w14:paraId="16A17F66">
      <w:pPr>
        <w:pStyle w:val="50"/>
        <w:ind w:firstLine="440"/>
        <w:rPr>
          <w:rFonts w:ascii="宋体" w:hAnsi="宋体" w:cs="宋体"/>
          <w:color w:val="auto"/>
          <w:sz w:val="22"/>
        </w:rPr>
      </w:pPr>
    </w:p>
    <w:p w14:paraId="56243E9A">
      <w:pPr>
        <w:rPr>
          <w:rFonts w:ascii="宋体" w:hAnsi="宋体" w:cs="宋体"/>
          <w:color w:val="auto"/>
          <w:sz w:val="22"/>
          <w:szCs w:val="22"/>
        </w:rPr>
      </w:pPr>
    </w:p>
    <w:p w14:paraId="6B0FDE4E">
      <w:pPr>
        <w:pStyle w:val="42"/>
        <w:spacing w:line="240" w:lineRule="auto"/>
        <w:rPr>
          <w:rFonts w:ascii="宋体" w:hAnsi="宋体" w:cs="宋体"/>
          <w:color w:val="auto"/>
        </w:rPr>
      </w:pPr>
    </w:p>
    <w:p w14:paraId="783B3B75">
      <w:pPr>
        <w:jc w:val="center"/>
        <w:rPr>
          <w:rFonts w:ascii="宋体" w:hAnsi="宋体" w:cs="宋体"/>
          <w:color w:val="auto"/>
          <w:sz w:val="22"/>
          <w:szCs w:val="22"/>
        </w:rPr>
      </w:pPr>
    </w:p>
    <w:p w14:paraId="27439D98">
      <w:pPr>
        <w:pStyle w:val="10"/>
        <w:spacing w:line="240" w:lineRule="auto"/>
        <w:rPr>
          <w:rFonts w:ascii="宋体" w:hAnsi="宋体" w:eastAsia="宋体" w:cs="宋体"/>
          <w:color w:val="auto"/>
          <w:sz w:val="22"/>
          <w:szCs w:val="22"/>
        </w:rPr>
      </w:pPr>
    </w:p>
    <w:p w14:paraId="64C2DBFD">
      <w:pPr>
        <w:rPr>
          <w:rFonts w:ascii="宋体" w:hAnsi="宋体" w:cs="宋体"/>
          <w:color w:val="auto"/>
          <w:sz w:val="22"/>
          <w:szCs w:val="22"/>
        </w:rPr>
      </w:pPr>
    </w:p>
    <w:p w14:paraId="185A3441">
      <w:pPr>
        <w:pStyle w:val="10"/>
        <w:spacing w:line="240" w:lineRule="auto"/>
        <w:rPr>
          <w:rFonts w:ascii="宋体" w:hAnsi="宋体" w:eastAsia="宋体" w:cs="宋体"/>
          <w:color w:val="auto"/>
          <w:sz w:val="22"/>
          <w:szCs w:val="22"/>
        </w:rPr>
      </w:pPr>
    </w:p>
    <w:p w14:paraId="6467879C">
      <w:pPr>
        <w:rPr>
          <w:rFonts w:ascii="宋体" w:hAnsi="宋体" w:cs="宋体"/>
          <w:color w:val="auto"/>
          <w:sz w:val="22"/>
          <w:szCs w:val="22"/>
        </w:rPr>
      </w:pPr>
    </w:p>
    <w:p w14:paraId="33C80E1B">
      <w:pPr>
        <w:pStyle w:val="13"/>
        <w:rPr>
          <w:rFonts w:hAnsi="宋体" w:cs="宋体"/>
          <w:color w:val="auto"/>
          <w:sz w:val="22"/>
          <w:szCs w:val="22"/>
        </w:rPr>
      </w:pPr>
    </w:p>
    <w:p w14:paraId="56E4A0CE">
      <w:pPr>
        <w:rPr>
          <w:rFonts w:ascii="宋体" w:hAnsi="宋体" w:cs="宋体"/>
          <w:color w:val="auto"/>
          <w:sz w:val="22"/>
          <w:szCs w:val="22"/>
        </w:rPr>
      </w:pPr>
    </w:p>
    <w:p w14:paraId="0BA08566">
      <w:pPr>
        <w:pStyle w:val="13"/>
        <w:rPr>
          <w:rFonts w:hAnsi="宋体" w:cs="宋体"/>
          <w:color w:val="auto"/>
        </w:rPr>
      </w:pPr>
    </w:p>
    <w:p w14:paraId="277A13B6">
      <w:pPr>
        <w:pStyle w:val="47"/>
        <w:rPr>
          <w:rFonts w:ascii="宋体" w:hAnsi="宋体"/>
          <w:color w:val="auto"/>
          <w:sz w:val="22"/>
          <w:szCs w:val="22"/>
        </w:rPr>
      </w:pPr>
    </w:p>
    <w:p w14:paraId="2B232183">
      <w:pPr>
        <w:pStyle w:val="47"/>
        <w:rPr>
          <w:rFonts w:ascii="宋体" w:hAnsi="宋体"/>
          <w:color w:val="auto"/>
          <w:sz w:val="22"/>
          <w:szCs w:val="22"/>
        </w:rPr>
      </w:pPr>
    </w:p>
    <w:p w14:paraId="676BBA7B">
      <w:pPr>
        <w:pStyle w:val="47"/>
        <w:rPr>
          <w:rFonts w:ascii="宋体" w:hAnsi="宋体"/>
          <w:color w:val="auto"/>
          <w:sz w:val="22"/>
          <w:szCs w:val="22"/>
        </w:rPr>
      </w:pPr>
    </w:p>
    <w:p w14:paraId="424E5DF1">
      <w:pPr>
        <w:pStyle w:val="47"/>
        <w:rPr>
          <w:rFonts w:ascii="宋体" w:hAnsi="宋体"/>
          <w:color w:val="auto"/>
          <w:sz w:val="22"/>
          <w:szCs w:val="22"/>
        </w:rPr>
      </w:pPr>
    </w:p>
    <w:p w14:paraId="210E43DC">
      <w:pPr>
        <w:pStyle w:val="7"/>
        <w:rPr>
          <w:rFonts w:hAnsi="宋体" w:cs="宋体"/>
          <w:bCs/>
          <w:color w:val="auto"/>
        </w:rPr>
      </w:pPr>
      <w:r>
        <w:rPr>
          <w:rFonts w:hint="eastAsia" w:hAnsi="宋体" w:cs="宋体"/>
          <w:bCs/>
          <w:color w:val="auto"/>
        </w:rPr>
        <w:t xml:space="preserve">附件14 相关业绩一览表： </w:t>
      </w:r>
    </w:p>
    <w:p w14:paraId="5189244D">
      <w:pPr>
        <w:pStyle w:val="50"/>
        <w:ind w:firstLine="642"/>
        <w:rPr>
          <w:rFonts w:ascii="宋体" w:hAnsi="宋体" w:cs="宋体"/>
          <w:b/>
          <w:color w:val="auto"/>
          <w:spacing w:val="20"/>
          <w:szCs w:val="21"/>
        </w:rPr>
      </w:pPr>
    </w:p>
    <w:p w14:paraId="16CC8EDD">
      <w:pPr>
        <w:snapToGrid w:val="0"/>
        <w:spacing w:before="50" w:afterLines="50"/>
        <w:jc w:val="center"/>
        <w:rPr>
          <w:rFonts w:ascii="宋体" w:hAnsi="宋体" w:cs="宋体"/>
          <w:b/>
          <w:color w:val="auto"/>
          <w:kern w:val="0"/>
          <w:sz w:val="30"/>
          <w:szCs w:val="30"/>
        </w:rPr>
      </w:pPr>
      <w:r>
        <w:rPr>
          <w:rFonts w:hint="eastAsia" w:ascii="宋体" w:hAnsi="宋体" w:cs="宋体"/>
          <w:b/>
          <w:color w:val="auto"/>
          <w:kern w:val="0"/>
          <w:sz w:val="30"/>
          <w:szCs w:val="30"/>
        </w:rPr>
        <w:t>相关业绩一览表</w:t>
      </w:r>
    </w:p>
    <w:p w14:paraId="714A47DF">
      <w:pPr>
        <w:snapToGrid w:val="0"/>
        <w:spacing w:beforeLines="50" w:after="50"/>
        <w:ind w:firstLine="240" w:firstLineChars="100"/>
        <w:rPr>
          <w:rFonts w:ascii="宋体" w:hAnsi="宋体" w:cs="宋体"/>
          <w:color w:val="auto"/>
          <w:sz w:val="24"/>
        </w:rPr>
      </w:pPr>
      <w:r>
        <w:rPr>
          <w:rFonts w:hint="eastAsia" w:ascii="宋体" w:hAnsi="宋体" w:cs="宋体"/>
          <w:color w:val="auto"/>
          <w:sz w:val="24"/>
        </w:rPr>
        <w:t>项目名称：天台县2025年度补充林地库建设项目</w:t>
      </w:r>
    </w:p>
    <w:p w14:paraId="39062548">
      <w:pPr>
        <w:pStyle w:val="7"/>
        <w:ind w:firstLine="240" w:firstLineChars="100"/>
        <w:rPr>
          <w:rFonts w:hAnsi="宋体" w:cs="宋体"/>
          <w:color w:val="auto"/>
          <w:sz w:val="24"/>
        </w:rPr>
      </w:pPr>
      <w:r>
        <w:rPr>
          <w:rFonts w:hint="eastAsia" w:hAnsi="宋体" w:cs="宋体"/>
          <w:color w:val="auto"/>
          <w:sz w:val="24"/>
        </w:rPr>
        <w:t>项目编号：TCCG-2025-Z070</w:t>
      </w:r>
    </w:p>
    <w:tbl>
      <w:tblPr>
        <w:tblStyle w:val="31"/>
        <w:tblW w:w="91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1179"/>
        <w:gridCol w:w="1400"/>
        <w:gridCol w:w="1230"/>
        <w:gridCol w:w="1113"/>
        <w:gridCol w:w="2725"/>
        <w:gridCol w:w="737"/>
      </w:tblGrid>
      <w:tr w14:paraId="17FBA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759" w:type="dxa"/>
            <w:vAlign w:val="center"/>
          </w:tcPr>
          <w:p w14:paraId="5BCECB67">
            <w:pPr>
              <w:snapToGrid w:val="0"/>
              <w:jc w:val="center"/>
              <w:rPr>
                <w:rFonts w:ascii="宋体" w:hAnsi="宋体" w:cs="宋体"/>
                <w:caps/>
                <w:color w:val="auto"/>
                <w:sz w:val="24"/>
              </w:rPr>
            </w:pPr>
            <w:r>
              <w:rPr>
                <w:rFonts w:hint="eastAsia" w:ascii="宋体" w:hAnsi="宋体" w:cs="宋体"/>
                <w:caps/>
                <w:color w:val="auto"/>
                <w:sz w:val="24"/>
              </w:rPr>
              <w:t>序号</w:t>
            </w:r>
          </w:p>
        </w:tc>
        <w:tc>
          <w:tcPr>
            <w:tcW w:w="1179" w:type="dxa"/>
            <w:vAlign w:val="center"/>
          </w:tcPr>
          <w:p w14:paraId="049E0D2C">
            <w:pPr>
              <w:snapToGrid w:val="0"/>
              <w:jc w:val="center"/>
              <w:rPr>
                <w:rFonts w:ascii="宋体" w:hAnsi="宋体" w:cs="宋体"/>
                <w:caps/>
                <w:color w:val="auto"/>
                <w:sz w:val="24"/>
              </w:rPr>
            </w:pPr>
            <w:r>
              <w:rPr>
                <w:rFonts w:hint="eastAsia" w:ascii="宋体" w:hAnsi="宋体" w:cs="宋体"/>
                <w:color w:val="auto"/>
                <w:sz w:val="24"/>
              </w:rPr>
              <w:t>业主单位全称</w:t>
            </w:r>
          </w:p>
        </w:tc>
        <w:tc>
          <w:tcPr>
            <w:tcW w:w="1400" w:type="dxa"/>
            <w:vAlign w:val="center"/>
          </w:tcPr>
          <w:p w14:paraId="149C5B58">
            <w:pPr>
              <w:snapToGrid w:val="0"/>
              <w:jc w:val="center"/>
              <w:rPr>
                <w:rFonts w:ascii="宋体" w:hAnsi="宋体" w:cs="宋体"/>
                <w:caps/>
                <w:color w:val="auto"/>
                <w:sz w:val="24"/>
              </w:rPr>
            </w:pPr>
            <w:r>
              <w:rPr>
                <w:rFonts w:hint="eastAsia" w:ascii="宋体" w:hAnsi="宋体" w:cs="宋体"/>
                <w:caps/>
                <w:color w:val="auto"/>
                <w:sz w:val="24"/>
              </w:rPr>
              <w:t>项目名称</w:t>
            </w:r>
          </w:p>
        </w:tc>
        <w:tc>
          <w:tcPr>
            <w:tcW w:w="1230" w:type="dxa"/>
            <w:vAlign w:val="center"/>
          </w:tcPr>
          <w:p w14:paraId="467ECA20">
            <w:pPr>
              <w:snapToGrid w:val="0"/>
              <w:jc w:val="center"/>
              <w:rPr>
                <w:rFonts w:ascii="宋体" w:hAnsi="宋体" w:cs="宋体"/>
                <w:caps/>
                <w:color w:val="auto"/>
                <w:sz w:val="24"/>
              </w:rPr>
            </w:pPr>
            <w:r>
              <w:rPr>
                <w:rFonts w:hint="eastAsia" w:ascii="宋体" w:hAnsi="宋体" w:cs="宋体"/>
                <w:caps/>
                <w:color w:val="auto"/>
                <w:sz w:val="24"/>
              </w:rPr>
              <w:t>合同金额</w:t>
            </w:r>
          </w:p>
        </w:tc>
        <w:tc>
          <w:tcPr>
            <w:tcW w:w="1113" w:type="dxa"/>
            <w:vAlign w:val="center"/>
          </w:tcPr>
          <w:p w14:paraId="6614C9D2">
            <w:pPr>
              <w:snapToGrid w:val="0"/>
              <w:jc w:val="center"/>
              <w:rPr>
                <w:rFonts w:ascii="宋体" w:hAnsi="宋体" w:cs="宋体"/>
                <w:caps/>
                <w:color w:val="auto"/>
                <w:sz w:val="24"/>
              </w:rPr>
            </w:pPr>
            <w:r>
              <w:rPr>
                <w:rFonts w:hint="eastAsia" w:ascii="宋体" w:hAnsi="宋体" w:cs="宋体"/>
                <w:color w:val="auto"/>
                <w:sz w:val="24"/>
              </w:rPr>
              <w:t>服务期</w:t>
            </w:r>
          </w:p>
        </w:tc>
        <w:tc>
          <w:tcPr>
            <w:tcW w:w="2725" w:type="dxa"/>
            <w:vAlign w:val="center"/>
          </w:tcPr>
          <w:p w14:paraId="0C361EBB">
            <w:pPr>
              <w:snapToGrid w:val="0"/>
              <w:jc w:val="center"/>
              <w:rPr>
                <w:rFonts w:ascii="宋体" w:hAnsi="宋体" w:cs="宋体"/>
                <w:color w:val="auto"/>
                <w:sz w:val="24"/>
              </w:rPr>
            </w:pPr>
            <w:r>
              <w:rPr>
                <w:rFonts w:hint="eastAsia" w:ascii="宋体" w:hAnsi="宋体" w:cs="宋体"/>
                <w:color w:val="auto"/>
                <w:sz w:val="24"/>
              </w:rPr>
              <w:t>业主单位联系人及电话</w:t>
            </w:r>
          </w:p>
        </w:tc>
        <w:tc>
          <w:tcPr>
            <w:tcW w:w="737" w:type="dxa"/>
            <w:vAlign w:val="center"/>
          </w:tcPr>
          <w:p w14:paraId="45C0BD2B">
            <w:pPr>
              <w:snapToGrid w:val="0"/>
              <w:jc w:val="center"/>
              <w:rPr>
                <w:rFonts w:ascii="宋体" w:hAnsi="宋体" w:cs="宋体"/>
                <w:color w:val="auto"/>
                <w:sz w:val="24"/>
              </w:rPr>
            </w:pPr>
            <w:r>
              <w:rPr>
                <w:rFonts w:hint="eastAsia" w:ascii="宋体" w:hAnsi="宋体" w:cs="宋体"/>
                <w:color w:val="auto"/>
                <w:sz w:val="24"/>
              </w:rPr>
              <w:t>备注</w:t>
            </w:r>
          </w:p>
        </w:tc>
      </w:tr>
      <w:tr w14:paraId="2279D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9" w:type="dxa"/>
            <w:vAlign w:val="center"/>
          </w:tcPr>
          <w:p w14:paraId="7C16494D">
            <w:pPr>
              <w:snapToGrid w:val="0"/>
              <w:jc w:val="center"/>
              <w:rPr>
                <w:rFonts w:ascii="宋体" w:hAnsi="宋体" w:cs="宋体"/>
                <w:color w:val="auto"/>
                <w:spacing w:val="20"/>
                <w:sz w:val="24"/>
              </w:rPr>
            </w:pPr>
          </w:p>
        </w:tc>
        <w:tc>
          <w:tcPr>
            <w:tcW w:w="1179" w:type="dxa"/>
            <w:vAlign w:val="center"/>
          </w:tcPr>
          <w:p w14:paraId="1EB7EA79">
            <w:pPr>
              <w:snapToGrid w:val="0"/>
              <w:jc w:val="center"/>
              <w:rPr>
                <w:rFonts w:ascii="宋体" w:hAnsi="宋体" w:cs="宋体"/>
                <w:color w:val="auto"/>
                <w:spacing w:val="20"/>
                <w:sz w:val="24"/>
              </w:rPr>
            </w:pPr>
          </w:p>
        </w:tc>
        <w:tc>
          <w:tcPr>
            <w:tcW w:w="1400" w:type="dxa"/>
            <w:vAlign w:val="center"/>
          </w:tcPr>
          <w:p w14:paraId="03E4DB9E">
            <w:pPr>
              <w:snapToGrid w:val="0"/>
              <w:jc w:val="center"/>
              <w:rPr>
                <w:rFonts w:ascii="宋体" w:hAnsi="宋体" w:cs="宋体"/>
                <w:color w:val="auto"/>
                <w:spacing w:val="20"/>
                <w:sz w:val="24"/>
              </w:rPr>
            </w:pPr>
          </w:p>
        </w:tc>
        <w:tc>
          <w:tcPr>
            <w:tcW w:w="1230" w:type="dxa"/>
            <w:vAlign w:val="center"/>
          </w:tcPr>
          <w:p w14:paraId="25D48DDA">
            <w:pPr>
              <w:snapToGrid w:val="0"/>
              <w:jc w:val="center"/>
              <w:rPr>
                <w:rFonts w:ascii="宋体" w:hAnsi="宋体" w:cs="宋体"/>
                <w:color w:val="auto"/>
                <w:spacing w:val="20"/>
                <w:sz w:val="24"/>
              </w:rPr>
            </w:pPr>
          </w:p>
        </w:tc>
        <w:tc>
          <w:tcPr>
            <w:tcW w:w="1113" w:type="dxa"/>
            <w:vAlign w:val="center"/>
          </w:tcPr>
          <w:p w14:paraId="592A396F">
            <w:pPr>
              <w:snapToGrid w:val="0"/>
              <w:jc w:val="center"/>
              <w:rPr>
                <w:rFonts w:ascii="宋体" w:hAnsi="宋体" w:cs="宋体"/>
                <w:color w:val="auto"/>
                <w:spacing w:val="20"/>
                <w:sz w:val="24"/>
              </w:rPr>
            </w:pPr>
          </w:p>
        </w:tc>
        <w:tc>
          <w:tcPr>
            <w:tcW w:w="2725" w:type="dxa"/>
            <w:vAlign w:val="center"/>
          </w:tcPr>
          <w:p w14:paraId="5F0916C7">
            <w:pPr>
              <w:snapToGrid w:val="0"/>
              <w:jc w:val="center"/>
              <w:rPr>
                <w:rFonts w:ascii="宋体" w:hAnsi="宋体" w:cs="宋体"/>
                <w:color w:val="auto"/>
                <w:spacing w:val="20"/>
                <w:sz w:val="24"/>
              </w:rPr>
            </w:pPr>
          </w:p>
        </w:tc>
        <w:tc>
          <w:tcPr>
            <w:tcW w:w="737" w:type="dxa"/>
            <w:vAlign w:val="center"/>
          </w:tcPr>
          <w:p w14:paraId="177E3E59">
            <w:pPr>
              <w:snapToGrid w:val="0"/>
              <w:jc w:val="center"/>
              <w:rPr>
                <w:rFonts w:ascii="宋体" w:hAnsi="宋体" w:cs="宋体"/>
                <w:color w:val="auto"/>
                <w:spacing w:val="20"/>
                <w:sz w:val="24"/>
              </w:rPr>
            </w:pPr>
          </w:p>
        </w:tc>
      </w:tr>
      <w:tr w14:paraId="64758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9" w:type="dxa"/>
            <w:vAlign w:val="center"/>
          </w:tcPr>
          <w:p w14:paraId="2110E81C">
            <w:pPr>
              <w:snapToGrid w:val="0"/>
              <w:jc w:val="center"/>
              <w:rPr>
                <w:rFonts w:ascii="宋体" w:hAnsi="宋体" w:cs="宋体"/>
                <w:color w:val="auto"/>
                <w:spacing w:val="20"/>
                <w:sz w:val="24"/>
              </w:rPr>
            </w:pPr>
          </w:p>
        </w:tc>
        <w:tc>
          <w:tcPr>
            <w:tcW w:w="1179" w:type="dxa"/>
            <w:vAlign w:val="center"/>
          </w:tcPr>
          <w:p w14:paraId="159D01C4">
            <w:pPr>
              <w:snapToGrid w:val="0"/>
              <w:jc w:val="center"/>
              <w:rPr>
                <w:rFonts w:ascii="宋体" w:hAnsi="宋体" w:cs="宋体"/>
                <w:color w:val="auto"/>
                <w:spacing w:val="20"/>
                <w:sz w:val="24"/>
              </w:rPr>
            </w:pPr>
          </w:p>
        </w:tc>
        <w:tc>
          <w:tcPr>
            <w:tcW w:w="1400" w:type="dxa"/>
            <w:vAlign w:val="center"/>
          </w:tcPr>
          <w:p w14:paraId="2EF8A1AD">
            <w:pPr>
              <w:snapToGrid w:val="0"/>
              <w:jc w:val="center"/>
              <w:rPr>
                <w:rFonts w:ascii="宋体" w:hAnsi="宋体" w:cs="宋体"/>
                <w:color w:val="auto"/>
                <w:spacing w:val="20"/>
                <w:sz w:val="24"/>
              </w:rPr>
            </w:pPr>
          </w:p>
        </w:tc>
        <w:tc>
          <w:tcPr>
            <w:tcW w:w="1230" w:type="dxa"/>
            <w:vAlign w:val="center"/>
          </w:tcPr>
          <w:p w14:paraId="67C85F8F">
            <w:pPr>
              <w:snapToGrid w:val="0"/>
              <w:jc w:val="center"/>
              <w:rPr>
                <w:rFonts w:ascii="宋体" w:hAnsi="宋体" w:cs="宋体"/>
                <w:color w:val="auto"/>
                <w:spacing w:val="20"/>
                <w:sz w:val="24"/>
              </w:rPr>
            </w:pPr>
          </w:p>
        </w:tc>
        <w:tc>
          <w:tcPr>
            <w:tcW w:w="1113" w:type="dxa"/>
            <w:vAlign w:val="center"/>
          </w:tcPr>
          <w:p w14:paraId="32C30201">
            <w:pPr>
              <w:snapToGrid w:val="0"/>
              <w:jc w:val="center"/>
              <w:rPr>
                <w:rFonts w:ascii="宋体" w:hAnsi="宋体" w:cs="宋体"/>
                <w:color w:val="auto"/>
                <w:spacing w:val="20"/>
                <w:sz w:val="24"/>
              </w:rPr>
            </w:pPr>
          </w:p>
        </w:tc>
        <w:tc>
          <w:tcPr>
            <w:tcW w:w="2725" w:type="dxa"/>
            <w:vAlign w:val="center"/>
          </w:tcPr>
          <w:p w14:paraId="0CCC4B24">
            <w:pPr>
              <w:snapToGrid w:val="0"/>
              <w:jc w:val="center"/>
              <w:rPr>
                <w:rFonts w:ascii="宋体" w:hAnsi="宋体" w:cs="宋体"/>
                <w:color w:val="auto"/>
                <w:spacing w:val="20"/>
                <w:sz w:val="24"/>
              </w:rPr>
            </w:pPr>
          </w:p>
        </w:tc>
        <w:tc>
          <w:tcPr>
            <w:tcW w:w="737" w:type="dxa"/>
            <w:vAlign w:val="center"/>
          </w:tcPr>
          <w:p w14:paraId="12D06A55">
            <w:pPr>
              <w:snapToGrid w:val="0"/>
              <w:jc w:val="center"/>
              <w:rPr>
                <w:rFonts w:ascii="宋体" w:hAnsi="宋体" w:cs="宋体"/>
                <w:color w:val="auto"/>
                <w:spacing w:val="20"/>
                <w:sz w:val="24"/>
              </w:rPr>
            </w:pPr>
          </w:p>
        </w:tc>
      </w:tr>
      <w:tr w14:paraId="33F05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9" w:type="dxa"/>
            <w:vAlign w:val="center"/>
          </w:tcPr>
          <w:p w14:paraId="622E4AA9">
            <w:pPr>
              <w:snapToGrid w:val="0"/>
              <w:jc w:val="center"/>
              <w:rPr>
                <w:rFonts w:ascii="宋体" w:hAnsi="宋体" w:cs="宋体"/>
                <w:color w:val="auto"/>
                <w:spacing w:val="20"/>
                <w:sz w:val="24"/>
              </w:rPr>
            </w:pPr>
          </w:p>
        </w:tc>
        <w:tc>
          <w:tcPr>
            <w:tcW w:w="1179" w:type="dxa"/>
            <w:vAlign w:val="center"/>
          </w:tcPr>
          <w:p w14:paraId="25F8755C">
            <w:pPr>
              <w:snapToGrid w:val="0"/>
              <w:jc w:val="center"/>
              <w:rPr>
                <w:rFonts w:ascii="宋体" w:hAnsi="宋体" w:cs="宋体"/>
                <w:color w:val="auto"/>
                <w:spacing w:val="20"/>
                <w:sz w:val="24"/>
              </w:rPr>
            </w:pPr>
          </w:p>
        </w:tc>
        <w:tc>
          <w:tcPr>
            <w:tcW w:w="1400" w:type="dxa"/>
            <w:vAlign w:val="center"/>
          </w:tcPr>
          <w:p w14:paraId="1CE2858F">
            <w:pPr>
              <w:snapToGrid w:val="0"/>
              <w:jc w:val="center"/>
              <w:rPr>
                <w:rFonts w:ascii="宋体" w:hAnsi="宋体" w:cs="宋体"/>
                <w:color w:val="auto"/>
                <w:spacing w:val="20"/>
                <w:sz w:val="24"/>
              </w:rPr>
            </w:pPr>
          </w:p>
        </w:tc>
        <w:tc>
          <w:tcPr>
            <w:tcW w:w="1230" w:type="dxa"/>
            <w:vAlign w:val="center"/>
          </w:tcPr>
          <w:p w14:paraId="3850038E">
            <w:pPr>
              <w:snapToGrid w:val="0"/>
              <w:jc w:val="center"/>
              <w:rPr>
                <w:rFonts w:ascii="宋体" w:hAnsi="宋体" w:cs="宋体"/>
                <w:color w:val="auto"/>
                <w:spacing w:val="20"/>
                <w:sz w:val="24"/>
              </w:rPr>
            </w:pPr>
          </w:p>
        </w:tc>
        <w:tc>
          <w:tcPr>
            <w:tcW w:w="1113" w:type="dxa"/>
            <w:vAlign w:val="center"/>
          </w:tcPr>
          <w:p w14:paraId="254CF8C5">
            <w:pPr>
              <w:snapToGrid w:val="0"/>
              <w:jc w:val="center"/>
              <w:rPr>
                <w:rFonts w:ascii="宋体" w:hAnsi="宋体" w:cs="宋体"/>
                <w:color w:val="auto"/>
                <w:spacing w:val="20"/>
                <w:sz w:val="24"/>
              </w:rPr>
            </w:pPr>
          </w:p>
        </w:tc>
        <w:tc>
          <w:tcPr>
            <w:tcW w:w="2725" w:type="dxa"/>
            <w:vAlign w:val="center"/>
          </w:tcPr>
          <w:p w14:paraId="2856CE48">
            <w:pPr>
              <w:snapToGrid w:val="0"/>
              <w:jc w:val="center"/>
              <w:rPr>
                <w:rFonts w:ascii="宋体" w:hAnsi="宋体" w:cs="宋体"/>
                <w:color w:val="auto"/>
                <w:spacing w:val="20"/>
                <w:sz w:val="24"/>
              </w:rPr>
            </w:pPr>
          </w:p>
        </w:tc>
        <w:tc>
          <w:tcPr>
            <w:tcW w:w="737" w:type="dxa"/>
            <w:vAlign w:val="center"/>
          </w:tcPr>
          <w:p w14:paraId="5164D70B">
            <w:pPr>
              <w:snapToGrid w:val="0"/>
              <w:jc w:val="center"/>
              <w:rPr>
                <w:rFonts w:ascii="宋体" w:hAnsi="宋体" w:cs="宋体"/>
                <w:color w:val="auto"/>
                <w:spacing w:val="20"/>
                <w:sz w:val="24"/>
              </w:rPr>
            </w:pPr>
          </w:p>
        </w:tc>
      </w:tr>
      <w:tr w14:paraId="41D29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9" w:type="dxa"/>
            <w:vAlign w:val="center"/>
          </w:tcPr>
          <w:p w14:paraId="199B987F">
            <w:pPr>
              <w:snapToGrid w:val="0"/>
              <w:jc w:val="center"/>
              <w:rPr>
                <w:rFonts w:ascii="宋体" w:hAnsi="宋体" w:cs="宋体"/>
                <w:color w:val="auto"/>
                <w:spacing w:val="20"/>
                <w:sz w:val="24"/>
              </w:rPr>
            </w:pPr>
          </w:p>
        </w:tc>
        <w:tc>
          <w:tcPr>
            <w:tcW w:w="1179" w:type="dxa"/>
            <w:vAlign w:val="center"/>
          </w:tcPr>
          <w:p w14:paraId="1562C508">
            <w:pPr>
              <w:snapToGrid w:val="0"/>
              <w:jc w:val="center"/>
              <w:rPr>
                <w:rFonts w:ascii="宋体" w:hAnsi="宋体" w:cs="宋体"/>
                <w:color w:val="auto"/>
                <w:spacing w:val="20"/>
                <w:sz w:val="24"/>
              </w:rPr>
            </w:pPr>
          </w:p>
        </w:tc>
        <w:tc>
          <w:tcPr>
            <w:tcW w:w="1400" w:type="dxa"/>
            <w:vAlign w:val="center"/>
          </w:tcPr>
          <w:p w14:paraId="41D09939">
            <w:pPr>
              <w:snapToGrid w:val="0"/>
              <w:jc w:val="center"/>
              <w:rPr>
                <w:rFonts w:ascii="宋体" w:hAnsi="宋体" w:cs="宋体"/>
                <w:color w:val="auto"/>
                <w:spacing w:val="20"/>
                <w:sz w:val="24"/>
              </w:rPr>
            </w:pPr>
          </w:p>
        </w:tc>
        <w:tc>
          <w:tcPr>
            <w:tcW w:w="1230" w:type="dxa"/>
            <w:vAlign w:val="center"/>
          </w:tcPr>
          <w:p w14:paraId="55A86D74">
            <w:pPr>
              <w:snapToGrid w:val="0"/>
              <w:jc w:val="center"/>
              <w:rPr>
                <w:rFonts w:ascii="宋体" w:hAnsi="宋体" w:cs="宋体"/>
                <w:color w:val="auto"/>
                <w:spacing w:val="20"/>
                <w:sz w:val="24"/>
              </w:rPr>
            </w:pPr>
          </w:p>
        </w:tc>
        <w:tc>
          <w:tcPr>
            <w:tcW w:w="1113" w:type="dxa"/>
            <w:vAlign w:val="center"/>
          </w:tcPr>
          <w:p w14:paraId="44E50B73">
            <w:pPr>
              <w:snapToGrid w:val="0"/>
              <w:jc w:val="center"/>
              <w:rPr>
                <w:rFonts w:ascii="宋体" w:hAnsi="宋体" w:cs="宋体"/>
                <w:color w:val="auto"/>
                <w:spacing w:val="20"/>
                <w:sz w:val="24"/>
              </w:rPr>
            </w:pPr>
          </w:p>
        </w:tc>
        <w:tc>
          <w:tcPr>
            <w:tcW w:w="2725" w:type="dxa"/>
            <w:vAlign w:val="center"/>
          </w:tcPr>
          <w:p w14:paraId="6D9283E5">
            <w:pPr>
              <w:snapToGrid w:val="0"/>
              <w:jc w:val="center"/>
              <w:rPr>
                <w:rFonts w:ascii="宋体" w:hAnsi="宋体" w:cs="宋体"/>
                <w:color w:val="auto"/>
                <w:spacing w:val="20"/>
                <w:sz w:val="24"/>
              </w:rPr>
            </w:pPr>
          </w:p>
        </w:tc>
        <w:tc>
          <w:tcPr>
            <w:tcW w:w="737" w:type="dxa"/>
            <w:vAlign w:val="center"/>
          </w:tcPr>
          <w:p w14:paraId="2B7A0923">
            <w:pPr>
              <w:snapToGrid w:val="0"/>
              <w:jc w:val="center"/>
              <w:rPr>
                <w:rFonts w:ascii="宋体" w:hAnsi="宋体" w:cs="宋体"/>
                <w:color w:val="auto"/>
                <w:spacing w:val="20"/>
                <w:sz w:val="24"/>
              </w:rPr>
            </w:pPr>
          </w:p>
        </w:tc>
      </w:tr>
      <w:tr w14:paraId="60281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9" w:type="dxa"/>
            <w:vAlign w:val="center"/>
          </w:tcPr>
          <w:p w14:paraId="611DC76A">
            <w:pPr>
              <w:snapToGrid w:val="0"/>
              <w:jc w:val="center"/>
              <w:rPr>
                <w:rFonts w:ascii="宋体" w:hAnsi="宋体" w:cs="宋体"/>
                <w:color w:val="auto"/>
                <w:spacing w:val="20"/>
                <w:sz w:val="24"/>
              </w:rPr>
            </w:pPr>
          </w:p>
        </w:tc>
        <w:tc>
          <w:tcPr>
            <w:tcW w:w="1179" w:type="dxa"/>
            <w:vAlign w:val="center"/>
          </w:tcPr>
          <w:p w14:paraId="77D7D1FE">
            <w:pPr>
              <w:snapToGrid w:val="0"/>
              <w:jc w:val="center"/>
              <w:rPr>
                <w:rFonts w:ascii="宋体" w:hAnsi="宋体" w:cs="宋体"/>
                <w:color w:val="auto"/>
                <w:spacing w:val="20"/>
                <w:sz w:val="24"/>
              </w:rPr>
            </w:pPr>
          </w:p>
        </w:tc>
        <w:tc>
          <w:tcPr>
            <w:tcW w:w="1400" w:type="dxa"/>
            <w:vAlign w:val="center"/>
          </w:tcPr>
          <w:p w14:paraId="7DDE78A1">
            <w:pPr>
              <w:snapToGrid w:val="0"/>
              <w:jc w:val="center"/>
              <w:rPr>
                <w:rFonts w:ascii="宋体" w:hAnsi="宋体" w:cs="宋体"/>
                <w:color w:val="auto"/>
                <w:spacing w:val="20"/>
                <w:sz w:val="24"/>
              </w:rPr>
            </w:pPr>
          </w:p>
        </w:tc>
        <w:tc>
          <w:tcPr>
            <w:tcW w:w="1230" w:type="dxa"/>
            <w:vAlign w:val="center"/>
          </w:tcPr>
          <w:p w14:paraId="6D9FB823">
            <w:pPr>
              <w:snapToGrid w:val="0"/>
              <w:jc w:val="center"/>
              <w:rPr>
                <w:rFonts w:ascii="宋体" w:hAnsi="宋体" w:cs="宋体"/>
                <w:color w:val="auto"/>
                <w:spacing w:val="20"/>
                <w:sz w:val="24"/>
              </w:rPr>
            </w:pPr>
          </w:p>
        </w:tc>
        <w:tc>
          <w:tcPr>
            <w:tcW w:w="1113" w:type="dxa"/>
            <w:vAlign w:val="center"/>
          </w:tcPr>
          <w:p w14:paraId="42C5FAA0">
            <w:pPr>
              <w:snapToGrid w:val="0"/>
              <w:jc w:val="center"/>
              <w:rPr>
                <w:rFonts w:ascii="宋体" w:hAnsi="宋体" w:cs="宋体"/>
                <w:color w:val="auto"/>
                <w:spacing w:val="20"/>
                <w:sz w:val="24"/>
              </w:rPr>
            </w:pPr>
          </w:p>
        </w:tc>
        <w:tc>
          <w:tcPr>
            <w:tcW w:w="2725" w:type="dxa"/>
            <w:vAlign w:val="center"/>
          </w:tcPr>
          <w:p w14:paraId="0DA2CFBC">
            <w:pPr>
              <w:snapToGrid w:val="0"/>
              <w:jc w:val="center"/>
              <w:rPr>
                <w:rFonts w:ascii="宋体" w:hAnsi="宋体" w:cs="宋体"/>
                <w:color w:val="auto"/>
                <w:spacing w:val="20"/>
                <w:sz w:val="24"/>
              </w:rPr>
            </w:pPr>
          </w:p>
        </w:tc>
        <w:tc>
          <w:tcPr>
            <w:tcW w:w="737" w:type="dxa"/>
            <w:vAlign w:val="center"/>
          </w:tcPr>
          <w:p w14:paraId="4154F1FC">
            <w:pPr>
              <w:snapToGrid w:val="0"/>
              <w:jc w:val="center"/>
              <w:rPr>
                <w:rFonts w:ascii="宋体" w:hAnsi="宋体" w:cs="宋体"/>
                <w:color w:val="auto"/>
                <w:spacing w:val="20"/>
                <w:sz w:val="24"/>
              </w:rPr>
            </w:pPr>
          </w:p>
        </w:tc>
      </w:tr>
      <w:tr w14:paraId="2616B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9" w:type="dxa"/>
            <w:vAlign w:val="center"/>
          </w:tcPr>
          <w:p w14:paraId="1B6AD02C">
            <w:pPr>
              <w:snapToGrid w:val="0"/>
              <w:jc w:val="center"/>
              <w:rPr>
                <w:rFonts w:ascii="宋体" w:hAnsi="宋体" w:cs="宋体"/>
                <w:color w:val="auto"/>
                <w:spacing w:val="20"/>
                <w:sz w:val="24"/>
              </w:rPr>
            </w:pPr>
          </w:p>
        </w:tc>
        <w:tc>
          <w:tcPr>
            <w:tcW w:w="1179" w:type="dxa"/>
            <w:vAlign w:val="center"/>
          </w:tcPr>
          <w:p w14:paraId="27F307AA">
            <w:pPr>
              <w:snapToGrid w:val="0"/>
              <w:jc w:val="center"/>
              <w:rPr>
                <w:rFonts w:ascii="宋体" w:hAnsi="宋体" w:cs="宋体"/>
                <w:color w:val="auto"/>
                <w:spacing w:val="20"/>
                <w:sz w:val="24"/>
              </w:rPr>
            </w:pPr>
          </w:p>
        </w:tc>
        <w:tc>
          <w:tcPr>
            <w:tcW w:w="1400" w:type="dxa"/>
            <w:vAlign w:val="center"/>
          </w:tcPr>
          <w:p w14:paraId="59CDA64C">
            <w:pPr>
              <w:snapToGrid w:val="0"/>
              <w:jc w:val="center"/>
              <w:rPr>
                <w:rFonts w:ascii="宋体" w:hAnsi="宋体" w:cs="宋体"/>
                <w:color w:val="auto"/>
                <w:spacing w:val="20"/>
                <w:sz w:val="24"/>
              </w:rPr>
            </w:pPr>
          </w:p>
        </w:tc>
        <w:tc>
          <w:tcPr>
            <w:tcW w:w="1230" w:type="dxa"/>
            <w:vAlign w:val="center"/>
          </w:tcPr>
          <w:p w14:paraId="41453AB0">
            <w:pPr>
              <w:snapToGrid w:val="0"/>
              <w:jc w:val="center"/>
              <w:rPr>
                <w:rFonts w:ascii="宋体" w:hAnsi="宋体" w:cs="宋体"/>
                <w:color w:val="auto"/>
                <w:spacing w:val="20"/>
                <w:sz w:val="24"/>
              </w:rPr>
            </w:pPr>
          </w:p>
        </w:tc>
        <w:tc>
          <w:tcPr>
            <w:tcW w:w="1113" w:type="dxa"/>
            <w:vAlign w:val="center"/>
          </w:tcPr>
          <w:p w14:paraId="10E4C88F">
            <w:pPr>
              <w:snapToGrid w:val="0"/>
              <w:jc w:val="center"/>
              <w:rPr>
                <w:rFonts w:ascii="宋体" w:hAnsi="宋体" w:cs="宋体"/>
                <w:color w:val="auto"/>
                <w:spacing w:val="20"/>
                <w:sz w:val="24"/>
              </w:rPr>
            </w:pPr>
          </w:p>
        </w:tc>
        <w:tc>
          <w:tcPr>
            <w:tcW w:w="2725" w:type="dxa"/>
            <w:vAlign w:val="center"/>
          </w:tcPr>
          <w:p w14:paraId="128A774B">
            <w:pPr>
              <w:snapToGrid w:val="0"/>
              <w:jc w:val="center"/>
              <w:rPr>
                <w:rFonts w:ascii="宋体" w:hAnsi="宋体" w:cs="宋体"/>
                <w:color w:val="auto"/>
                <w:spacing w:val="20"/>
                <w:sz w:val="24"/>
              </w:rPr>
            </w:pPr>
          </w:p>
        </w:tc>
        <w:tc>
          <w:tcPr>
            <w:tcW w:w="737" w:type="dxa"/>
            <w:vAlign w:val="center"/>
          </w:tcPr>
          <w:p w14:paraId="7D42FB49">
            <w:pPr>
              <w:snapToGrid w:val="0"/>
              <w:jc w:val="center"/>
              <w:rPr>
                <w:rFonts w:ascii="宋体" w:hAnsi="宋体" w:cs="宋体"/>
                <w:color w:val="auto"/>
                <w:spacing w:val="20"/>
                <w:sz w:val="24"/>
              </w:rPr>
            </w:pPr>
          </w:p>
        </w:tc>
      </w:tr>
    </w:tbl>
    <w:p w14:paraId="6F4372BD">
      <w:pPr>
        <w:pStyle w:val="7"/>
        <w:rPr>
          <w:rFonts w:hAnsi="宋体" w:cs="宋体"/>
          <w:color w:val="auto"/>
          <w:sz w:val="24"/>
        </w:rPr>
      </w:pPr>
      <w:r>
        <w:rPr>
          <w:rFonts w:hint="eastAsia" w:hAnsi="宋体" w:cs="宋体"/>
          <w:color w:val="auto"/>
          <w:sz w:val="24"/>
        </w:rPr>
        <w:t>注：1.此表不提供，可视为无业绩；</w:t>
      </w:r>
    </w:p>
    <w:p w14:paraId="17DECCB3">
      <w:pPr>
        <w:pStyle w:val="7"/>
        <w:ind w:firstLine="480" w:firstLineChars="200"/>
        <w:rPr>
          <w:rFonts w:hAnsi="宋体" w:cs="宋体"/>
          <w:color w:val="auto"/>
          <w:sz w:val="24"/>
        </w:rPr>
      </w:pPr>
      <w:r>
        <w:rPr>
          <w:rFonts w:hint="eastAsia" w:hAnsi="宋体" w:cs="宋体"/>
          <w:color w:val="auto"/>
          <w:sz w:val="24"/>
        </w:rPr>
        <w:t>2.此表仅提供了表格形式，供应商可按此表格复制；</w:t>
      </w:r>
    </w:p>
    <w:p w14:paraId="4921BCA3">
      <w:pPr>
        <w:pStyle w:val="7"/>
        <w:ind w:firstLine="482" w:firstLineChars="200"/>
        <w:rPr>
          <w:rFonts w:hAnsi="宋体" w:cs="宋体"/>
          <w:b/>
          <w:bCs/>
          <w:color w:val="auto"/>
          <w:sz w:val="24"/>
        </w:rPr>
      </w:pPr>
      <w:r>
        <w:rPr>
          <w:rFonts w:hint="eastAsia" w:hAnsi="宋体" w:cs="宋体"/>
          <w:b/>
          <w:bCs/>
          <w:color w:val="auto"/>
          <w:sz w:val="24"/>
        </w:rPr>
        <w:t>3.后附业绩合同并加盖公章，所提供材料应清晰体现合同签订时间、签署盖章等内容；</w:t>
      </w:r>
    </w:p>
    <w:p w14:paraId="5A8C46FE">
      <w:pPr>
        <w:pStyle w:val="2"/>
        <w:spacing w:line="240" w:lineRule="auto"/>
        <w:rPr>
          <w:rFonts w:ascii="宋体" w:hAnsi="宋体" w:cs="宋体"/>
          <w:color w:val="auto"/>
        </w:rPr>
      </w:pPr>
      <w:r>
        <w:rPr>
          <w:rFonts w:hint="eastAsia" w:ascii="宋体" w:hAnsi="宋体" w:cs="宋体"/>
          <w:color w:val="auto"/>
        </w:rPr>
        <w:t xml:space="preserve">                                                                                                                                                                                                                                                                                                                                                                                                                                                                                                                                                                                                                                                                                                                                                                                                                                                                                                                                                                                                                                                                                                                                                                                                                                                                                                                                                                                                                                                                                                                                                                                                      </w:t>
      </w:r>
    </w:p>
    <w:p w14:paraId="05382338">
      <w:pPr>
        <w:pStyle w:val="50"/>
        <w:ind w:firstLine="480"/>
        <w:jc w:val="right"/>
        <w:rPr>
          <w:rFonts w:ascii="宋体" w:hAnsi="宋体" w:cs="宋体"/>
          <w:color w:val="auto"/>
          <w:sz w:val="24"/>
          <w:szCs w:val="24"/>
        </w:rPr>
      </w:pPr>
    </w:p>
    <w:p w14:paraId="1A4F2E83">
      <w:pPr>
        <w:pStyle w:val="50"/>
        <w:ind w:firstLine="480"/>
        <w:jc w:val="right"/>
        <w:rPr>
          <w:rFonts w:ascii="宋体" w:hAnsi="宋体" w:cs="宋体"/>
          <w:color w:val="auto"/>
          <w:sz w:val="24"/>
          <w:szCs w:val="24"/>
        </w:rPr>
      </w:pPr>
    </w:p>
    <w:p w14:paraId="17FBB3DA">
      <w:pPr>
        <w:ind w:firstLine="4680" w:firstLineChars="1950"/>
        <w:jc w:val="right"/>
        <w:rPr>
          <w:rFonts w:ascii="宋体" w:hAnsi="宋体" w:cs="宋体"/>
          <w:color w:val="auto"/>
          <w:sz w:val="24"/>
        </w:rPr>
      </w:pPr>
      <w:r>
        <w:rPr>
          <w:rFonts w:hint="eastAsia" w:ascii="宋体" w:hAnsi="宋体" w:cs="宋体"/>
          <w:color w:val="auto"/>
          <w:sz w:val="24"/>
        </w:rPr>
        <w:t>投标人全称：</w:t>
      </w:r>
      <w:r>
        <w:rPr>
          <w:rFonts w:hint="eastAsia" w:ascii="宋体" w:hAnsi="宋体" w:cs="宋体"/>
          <w:color w:val="auto"/>
          <w:sz w:val="24"/>
          <w:u w:val="single"/>
        </w:rPr>
        <w:t xml:space="preserve">                   </w:t>
      </w:r>
      <w:r>
        <w:rPr>
          <w:rFonts w:hint="eastAsia" w:ascii="宋体" w:hAnsi="宋体" w:cs="宋体"/>
          <w:color w:val="auto"/>
          <w:sz w:val="24"/>
        </w:rPr>
        <w:t>（盖公章）</w:t>
      </w:r>
    </w:p>
    <w:p w14:paraId="41035E0C">
      <w:pPr>
        <w:ind w:firstLine="1980" w:firstLineChars="825"/>
        <w:jc w:val="right"/>
        <w:rPr>
          <w:rFonts w:ascii="宋体" w:hAnsi="宋体" w:cs="宋体"/>
          <w:color w:val="auto"/>
          <w:sz w:val="24"/>
          <w:u w:val="single"/>
        </w:rPr>
      </w:pPr>
    </w:p>
    <w:p w14:paraId="45F850DF">
      <w:pPr>
        <w:ind w:firstLine="2760" w:firstLineChars="1150"/>
        <w:jc w:val="right"/>
        <w:rPr>
          <w:rFonts w:ascii="宋体" w:hAnsi="宋体" w:cs="宋体"/>
          <w:color w:val="auto"/>
          <w:sz w:val="24"/>
        </w:rPr>
      </w:pPr>
      <w:r>
        <w:rPr>
          <w:rFonts w:hint="eastAsia" w:ascii="宋体" w:hAnsi="宋体" w:cs="宋体"/>
          <w:color w:val="auto"/>
          <w:sz w:val="24"/>
        </w:rPr>
        <w:t>法定代表人</w:t>
      </w:r>
      <w:r>
        <w:rPr>
          <w:rFonts w:hint="eastAsia" w:ascii="宋体" w:hAnsi="宋体" w:cs="宋体"/>
          <w:iCs/>
          <w:color w:val="auto"/>
          <w:sz w:val="24"/>
        </w:rPr>
        <w:t>（负责人）</w:t>
      </w:r>
      <w:r>
        <w:rPr>
          <w:rFonts w:hint="eastAsia" w:ascii="宋体" w:hAnsi="宋体" w:cs="宋体"/>
          <w:color w:val="auto"/>
          <w:sz w:val="24"/>
        </w:rPr>
        <w:t>或授权代表：</w:t>
      </w:r>
      <w:r>
        <w:rPr>
          <w:rFonts w:hint="eastAsia" w:ascii="宋体" w:hAnsi="宋体" w:cs="宋体"/>
          <w:color w:val="auto"/>
          <w:sz w:val="24"/>
          <w:u w:val="single"/>
        </w:rPr>
        <w:t xml:space="preserve">         </w:t>
      </w:r>
      <w:r>
        <w:rPr>
          <w:rFonts w:hint="eastAsia" w:ascii="宋体" w:hAnsi="宋体" w:cs="宋体"/>
          <w:color w:val="auto"/>
          <w:sz w:val="24"/>
        </w:rPr>
        <w:t>（签字或盖章）</w:t>
      </w:r>
    </w:p>
    <w:p w14:paraId="5A51EDF4">
      <w:pPr>
        <w:jc w:val="right"/>
        <w:rPr>
          <w:rFonts w:ascii="宋体" w:hAnsi="宋体" w:cs="宋体"/>
          <w:color w:val="auto"/>
          <w:sz w:val="24"/>
        </w:rPr>
      </w:pPr>
    </w:p>
    <w:p w14:paraId="338E6594">
      <w:pPr>
        <w:jc w:val="right"/>
        <w:rPr>
          <w:rFonts w:ascii="宋体" w:hAnsi="宋体" w:cs="宋体"/>
          <w:bCs/>
          <w:color w:val="auto"/>
        </w:rPr>
      </w:pPr>
      <w:r>
        <w:rPr>
          <w:rFonts w:hint="eastAsia" w:ascii="宋体" w:hAnsi="宋体" w:cs="宋体"/>
          <w:color w:val="auto"/>
          <w:sz w:val="24"/>
        </w:rPr>
        <w:t xml:space="preserve">                                                年    月    日</w:t>
      </w:r>
    </w:p>
    <w:p w14:paraId="2F648795">
      <w:pPr>
        <w:pStyle w:val="50"/>
        <w:ind w:firstLine="0" w:firstLineChars="0"/>
        <w:rPr>
          <w:rFonts w:ascii="宋体" w:hAnsi="宋体" w:cs="宋体"/>
          <w:bCs/>
          <w:color w:val="auto"/>
        </w:rPr>
      </w:pPr>
    </w:p>
    <w:p w14:paraId="6172CB43">
      <w:pPr>
        <w:pStyle w:val="50"/>
        <w:ind w:firstLine="0" w:firstLineChars="0"/>
        <w:rPr>
          <w:rFonts w:ascii="宋体" w:hAnsi="宋体" w:cs="宋体"/>
          <w:bCs/>
          <w:color w:val="auto"/>
        </w:rPr>
      </w:pPr>
    </w:p>
    <w:p w14:paraId="1A8DE5A6">
      <w:pPr>
        <w:pStyle w:val="50"/>
        <w:ind w:firstLine="0" w:firstLineChars="0"/>
        <w:rPr>
          <w:rFonts w:ascii="宋体" w:hAnsi="宋体" w:cs="宋体"/>
          <w:bCs/>
          <w:color w:val="auto"/>
        </w:rPr>
      </w:pPr>
    </w:p>
    <w:p w14:paraId="472CAA34">
      <w:pPr>
        <w:pStyle w:val="50"/>
        <w:ind w:firstLine="0" w:firstLineChars="0"/>
        <w:rPr>
          <w:rFonts w:ascii="宋体" w:hAnsi="宋体" w:cs="宋体"/>
          <w:bCs/>
          <w:color w:val="auto"/>
        </w:rPr>
      </w:pPr>
    </w:p>
    <w:p w14:paraId="50F4FDC9">
      <w:pPr>
        <w:pStyle w:val="50"/>
        <w:ind w:firstLine="0" w:firstLineChars="0"/>
        <w:rPr>
          <w:rFonts w:ascii="宋体" w:hAnsi="宋体" w:cs="宋体"/>
          <w:bCs/>
          <w:color w:val="auto"/>
        </w:rPr>
      </w:pPr>
    </w:p>
    <w:p w14:paraId="2A81EB68">
      <w:pPr>
        <w:pStyle w:val="50"/>
        <w:ind w:firstLine="0" w:firstLineChars="0"/>
        <w:rPr>
          <w:rFonts w:ascii="宋体" w:hAnsi="宋体" w:cs="宋体"/>
          <w:bCs/>
          <w:color w:val="auto"/>
        </w:rPr>
      </w:pPr>
    </w:p>
    <w:p w14:paraId="1588943A">
      <w:pPr>
        <w:pStyle w:val="50"/>
        <w:ind w:firstLine="0" w:firstLineChars="0"/>
        <w:rPr>
          <w:rFonts w:ascii="宋体" w:hAnsi="宋体" w:cs="宋体"/>
          <w:bCs/>
          <w:color w:val="auto"/>
        </w:rPr>
      </w:pPr>
    </w:p>
    <w:p w14:paraId="63FFB052">
      <w:pPr>
        <w:pStyle w:val="50"/>
        <w:ind w:firstLine="0" w:firstLineChars="0"/>
        <w:rPr>
          <w:rFonts w:ascii="宋体" w:hAnsi="宋体" w:cs="宋体"/>
          <w:bCs/>
          <w:color w:val="auto"/>
        </w:rPr>
      </w:pPr>
    </w:p>
    <w:p w14:paraId="79803950">
      <w:pPr>
        <w:pStyle w:val="50"/>
        <w:ind w:firstLine="0" w:firstLineChars="0"/>
        <w:rPr>
          <w:rFonts w:ascii="宋体" w:hAnsi="宋体" w:cs="宋体"/>
          <w:bCs/>
          <w:color w:val="auto"/>
        </w:rPr>
      </w:pPr>
    </w:p>
    <w:p w14:paraId="499A3191">
      <w:pPr>
        <w:pStyle w:val="50"/>
        <w:ind w:firstLine="0" w:firstLineChars="0"/>
        <w:rPr>
          <w:rFonts w:ascii="宋体" w:hAnsi="宋体" w:cs="宋体"/>
          <w:bCs/>
          <w:color w:val="auto"/>
        </w:rPr>
      </w:pPr>
    </w:p>
    <w:p w14:paraId="10C66BF0">
      <w:pPr>
        <w:pStyle w:val="50"/>
        <w:ind w:firstLine="0" w:firstLineChars="0"/>
        <w:rPr>
          <w:rFonts w:ascii="宋体" w:hAnsi="宋体" w:cs="宋体"/>
          <w:bCs/>
          <w:color w:val="auto"/>
        </w:rPr>
      </w:pPr>
    </w:p>
    <w:p w14:paraId="38E9E0C9">
      <w:pPr>
        <w:pStyle w:val="50"/>
        <w:ind w:firstLine="0" w:firstLineChars="0"/>
        <w:rPr>
          <w:rFonts w:ascii="宋体" w:hAnsi="宋体" w:cs="宋体"/>
          <w:bCs/>
          <w:color w:val="auto"/>
        </w:rPr>
      </w:pPr>
    </w:p>
    <w:sectPr>
      <w:footerReference r:id="rId7" w:type="default"/>
      <w:pgSz w:w="11905" w:h="16838"/>
      <w:pgMar w:top="1440" w:right="1134" w:bottom="1440" w:left="1417" w:header="850" w:footer="850" w:gutter="0"/>
      <w:cols w:space="0" w:num="1"/>
      <w:docGrid w:linePitch="27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ntury Gothic">
    <w:altName w:val="Yu Gothic UI"/>
    <w:panose1 w:val="020B0502020202020204"/>
    <w:charset w:val="00"/>
    <w:family w:val="swiss"/>
    <w:pitch w:val="default"/>
    <w:sig w:usb0="00000000" w:usb1="00000000" w:usb2="00000000" w:usb3="00000000" w:csb0="0000009F" w:csb1="00000000"/>
  </w:font>
  <w:font w:name="Yu Gothic UI">
    <w:panose1 w:val="020B0500000000000000"/>
    <w:charset w:val="80"/>
    <w:family w:val="auto"/>
    <w:pitch w:val="default"/>
    <w:sig w:usb0="E00002FF" w:usb1="2AC7FDFF" w:usb2="00000016" w:usb3="00000000" w:csb0="200200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embedRegular r:id="rId1" w:fontKey="{7D21F675-1129-4661-A302-B4F02ABE25D7}"/>
  </w:font>
  <w:font w:name="等线">
    <w:panose1 w:val="02010600030101010101"/>
    <w:charset w:val="86"/>
    <w:family w:val="auto"/>
    <w:pitch w:val="default"/>
    <w:sig w:usb0="A00002BF" w:usb1="38CF7CFA" w:usb2="00000016" w:usb3="00000000" w:csb0="0004000F" w:csb1="00000000"/>
  </w:font>
  <w:font w:name="Helvetica">
    <w:panose1 w:val="020B0504020202030204"/>
    <w:charset w:val="00"/>
    <w:family w:val="swiss"/>
    <w:pitch w:val="default"/>
    <w:sig w:usb0="00000007" w:usb1="00000000" w:usb2="00000000" w:usb3="00000000" w:csb0="00000093" w:csb1="00000000"/>
  </w:font>
  <w:font w:name="Verdana">
    <w:panose1 w:val="020B0604030504040204"/>
    <w:charset w:val="00"/>
    <w:family w:val="swiss"/>
    <w:pitch w:val="default"/>
    <w:sig w:usb0="A00006FF" w:usb1="4000205B" w:usb2="0000001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embedRegular r:id="rId2" w:fontKey="{D4EE5DD4-0340-44BD-8FFA-CADB9DB51514}"/>
  </w:font>
  <w:font w:name="微软雅黑">
    <w:panose1 w:val="020B0503020204020204"/>
    <w:charset w:val="86"/>
    <w:family w:val="swiss"/>
    <w:pitch w:val="default"/>
    <w:sig w:usb0="80000287" w:usb1="2ACF3C50" w:usb2="00000016" w:usb3="00000000" w:csb0="0004001F" w:csb1="00000000"/>
  </w:font>
  <w:font w:name="微软雅黑 Light">
    <w:panose1 w:val="020B0502040204020203"/>
    <w:charset w:val="86"/>
    <w:family w:val="swiss"/>
    <w:pitch w:val="default"/>
    <w:sig w:usb0="80000287" w:usb1="2ACF001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634D04">
    <w:pPr>
      <w:pStyle w:val="2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E12226">
    <w:pPr>
      <w:pStyle w:val="21"/>
      <w:ind w:right="360" w:firstLine="360"/>
      <w:jc w:val="center"/>
    </w:pPr>
    <w:r>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ip7u8EBAACN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bkGhLtjwsKln4w6Qk3FcEqF0bRReQ3+vJesp79o+x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pip7u8EBAACNAwAADgAAAAAAAAABACAAAAAeAQAAZHJzL2Uyb0RvYy54bWxQSwUG&#10;AAAAAAYABgBZAQAAUQUAAAAA&#10;">
          <v:path/>
          <v:fill on="f" focussize="0,0"/>
          <v:stroke on="f" joinstyle="miter"/>
          <v:imagedata o:title=""/>
          <o:lock v:ext="edit"/>
          <v:textbox inset="0mm,0mm,0mm,0mm" style="mso-fit-shape-to-text:t;">
            <w:txbxContent>
              <w:p w14:paraId="535EF961">
                <w:pPr>
                  <w:pStyle w:val="21"/>
                </w:pPr>
                <w:r>
                  <w:rPr>
                    <w:rFonts w:hint="eastAsia"/>
                  </w:rPr>
                  <w:fldChar w:fldCharType="begin"/>
                </w:r>
                <w:r>
                  <w:rPr>
                    <w:rFonts w:hint="eastAsia"/>
                  </w:rPr>
                  <w:instrText xml:space="preserve"> PAGE  \* MERGEFORMAT </w:instrText>
                </w:r>
                <w:r>
                  <w:rPr>
                    <w:rFonts w:hint="eastAsia"/>
                  </w:rPr>
                  <w:fldChar w:fldCharType="separate"/>
                </w:r>
                <w:r>
                  <w:t>29</w:t>
                </w:r>
                <w:r>
                  <w:rPr>
                    <w:rFonts w:hint="eastAsia"/>
                  </w:rPr>
                  <w:fldChar w:fldCharType="end"/>
                </w:r>
              </w:p>
            </w:txbxContent>
          </v:textbox>
        </v:shape>
      </w:pict>
    </w:r>
    <w:r>
      <w:rPr>
        <w:rStyle w:val="35"/>
        <w:szCs w:val="21"/>
      </w:rPr>
      <w:tab/>
    </w:r>
    <w:r>
      <w:rPr>
        <w:rStyle w:val="35"/>
        <w:szCs w:val="21"/>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2DA078">
    <w:pPr>
      <w:pStyle w:val="21"/>
      <w:ind w:right="360"/>
    </w:pPr>
    <w:r>
      <w:pict>
        <v:shape id="文本框 1029" o:spid="_x0000_s1027"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CmeJIPwwEAAJEDAAAOAAAAAAAAAAEAIAAAAB4BAABkcnMvZTJvRG9jLnhtbFBL&#10;BQYAAAAABgAGAFkBAABTBQAAAAA=&#10;">
          <v:path/>
          <v:fill on="f" focussize="0,0"/>
          <v:stroke on="f" joinstyle="miter"/>
          <v:imagedata o:title=""/>
          <o:lock v:ext="edit"/>
          <v:textbox inset="0mm,0mm,0mm,0mm" style="mso-fit-shape-to-text:t;">
            <w:txbxContent>
              <w:p w14:paraId="43D35458">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53</w:t>
                </w:r>
                <w:r>
                  <w:rPr>
                    <w:rFonts w:hint="eastAsia"/>
                    <w:sz w:val="18"/>
                  </w:rPr>
                  <w:fldChar w:fldCharType="end"/>
                </w:r>
              </w:p>
            </w:txbxContent>
          </v:textbox>
        </v:shape>
      </w:pict>
    </w: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F01164">
    <w:pPr>
      <w:pStyle w:val="22"/>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AE57B9">
    <w:pPr>
      <w:pStyle w:val="22"/>
      <w:jc w:val="right"/>
      <w:rPr>
        <w:rFonts w:ascii="宋体" w:hAnsi="宋体" w:cs="宋体"/>
        <w:color w:val="000000" w:themeColor="text1"/>
      </w:rPr>
    </w:pPr>
    <w:r>
      <w:rPr>
        <w:rFonts w:hint="eastAsia" w:ascii="宋体" w:hAnsi="宋体" w:cs="宋体"/>
        <w:color w:val="000000" w:themeColor="text1"/>
        <w:sz w:val="21"/>
        <w:szCs w:val="21"/>
      </w:rPr>
      <w:t>天台县2025年度补充林地库建设项目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ABD20D"/>
    <w:multiLevelType w:val="singleLevel"/>
    <w:tmpl w:val="A6ABD20D"/>
    <w:lvl w:ilvl="0" w:tentative="0">
      <w:start w:val="1"/>
      <w:numFmt w:val="chineseCounting"/>
      <w:suff w:val="nothing"/>
      <w:lvlText w:val="（%1）"/>
      <w:lvlJc w:val="left"/>
      <w:rPr>
        <w:rFonts w:hint="eastAsia"/>
      </w:rPr>
    </w:lvl>
  </w:abstractNum>
  <w:abstractNum w:abstractNumId="1">
    <w:nsid w:val="AA228692"/>
    <w:multiLevelType w:val="singleLevel"/>
    <w:tmpl w:val="AA228692"/>
    <w:lvl w:ilvl="0" w:tentative="0">
      <w:start w:val="1"/>
      <w:numFmt w:val="decimal"/>
      <w:pStyle w:val="12"/>
      <w:lvlText w:val="%1."/>
      <w:lvlJc w:val="left"/>
      <w:pPr>
        <w:tabs>
          <w:tab w:val="left" w:pos="360"/>
        </w:tabs>
        <w:ind w:left="360" w:hanging="360"/>
      </w:pPr>
    </w:lvl>
  </w:abstractNum>
  <w:abstractNum w:abstractNumId="2">
    <w:nsid w:val="BCEE6A40"/>
    <w:multiLevelType w:val="singleLevel"/>
    <w:tmpl w:val="BCEE6A40"/>
    <w:lvl w:ilvl="0" w:tentative="0">
      <w:start w:val="1"/>
      <w:numFmt w:val="chineseCounting"/>
      <w:suff w:val="nothing"/>
      <w:lvlText w:val="（%1）"/>
      <w:lvlJc w:val="left"/>
      <w:rPr>
        <w:rFonts w:hint="eastAsia"/>
      </w:rPr>
    </w:lvl>
  </w:abstractNum>
  <w:abstractNum w:abstractNumId="3">
    <w:nsid w:val="BE584AED"/>
    <w:multiLevelType w:val="singleLevel"/>
    <w:tmpl w:val="BE584AED"/>
    <w:lvl w:ilvl="0" w:tentative="0">
      <w:start w:val="1"/>
      <w:numFmt w:val="decimal"/>
      <w:lvlText w:val="%1."/>
      <w:lvlJc w:val="left"/>
      <w:pPr>
        <w:ind w:left="425" w:hanging="425"/>
      </w:pPr>
      <w:rPr>
        <w:rFonts w:hint="default"/>
      </w:rPr>
    </w:lvl>
  </w:abstractNum>
  <w:abstractNum w:abstractNumId="4">
    <w:nsid w:val="C3AB6B29"/>
    <w:multiLevelType w:val="singleLevel"/>
    <w:tmpl w:val="C3AB6B29"/>
    <w:lvl w:ilvl="0" w:tentative="0">
      <w:start w:val="1"/>
      <w:numFmt w:val="decimal"/>
      <w:lvlText w:val="%1."/>
      <w:lvlJc w:val="left"/>
      <w:pPr>
        <w:ind w:left="425" w:hanging="425"/>
      </w:pPr>
      <w:rPr>
        <w:rFonts w:hint="default"/>
      </w:rPr>
    </w:lvl>
  </w:abstractNum>
  <w:abstractNum w:abstractNumId="5">
    <w:nsid w:val="C4D23B41"/>
    <w:multiLevelType w:val="singleLevel"/>
    <w:tmpl w:val="C4D23B41"/>
    <w:lvl w:ilvl="0" w:tentative="0">
      <w:start w:val="4"/>
      <w:numFmt w:val="decimal"/>
      <w:suff w:val="nothing"/>
      <w:lvlText w:val="%1、"/>
      <w:lvlJc w:val="left"/>
    </w:lvl>
  </w:abstractNum>
  <w:abstractNum w:abstractNumId="6">
    <w:nsid w:val="C5D1D1F2"/>
    <w:multiLevelType w:val="singleLevel"/>
    <w:tmpl w:val="C5D1D1F2"/>
    <w:lvl w:ilvl="0" w:tentative="0">
      <w:start w:val="1"/>
      <w:numFmt w:val="chineseCounting"/>
      <w:suff w:val="nothing"/>
      <w:lvlText w:val="（%1）"/>
      <w:lvlJc w:val="left"/>
      <w:rPr>
        <w:rFonts w:hint="eastAsia"/>
      </w:rPr>
    </w:lvl>
  </w:abstractNum>
  <w:abstractNum w:abstractNumId="7">
    <w:nsid w:val="D472B521"/>
    <w:multiLevelType w:val="singleLevel"/>
    <w:tmpl w:val="D472B521"/>
    <w:lvl w:ilvl="0" w:tentative="0">
      <w:start w:val="2"/>
      <w:numFmt w:val="decimal"/>
      <w:suff w:val="nothing"/>
      <w:lvlText w:val="（%1）"/>
      <w:lvlJc w:val="left"/>
    </w:lvl>
  </w:abstractNum>
  <w:abstractNum w:abstractNumId="8">
    <w:nsid w:val="DE226D0B"/>
    <w:multiLevelType w:val="singleLevel"/>
    <w:tmpl w:val="DE226D0B"/>
    <w:lvl w:ilvl="0" w:tentative="0">
      <w:start w:val="2"/>
      <w:numFmt w:val="chineseCounting"/>
      <w:suff w:val="nothing"/>
      <w:lvlText w:val="%1、"/>
      <w:lvlJc w:val="left"/>
      <w:rPr>
        <w:rFonts w:hint="eastAsia"/>
      </w:rPr>
    </w:lvl>
  </w:abstractNum>
  <w:abstractNum w:abstractNumId="9">
    <w:nsid w:val="F5196F32"/>
    <w:multiLevelType w:val="singleLevel"/>
    <w:tmpl w:val="F5196F32"/>
    <w:lvl w:ilvl="0" w:tentative="0">
      <w:start w:val="1"/>
      <w:numFmt w:val="decimal"/>
      <w:suff w:val="nothing"/>
      <w:lvlText w:val="%1）"/>
      <w:lvlJc w:val="left"/>
    </w:lvl>
  </w:abstractNum>
  <w:abstractNum w:abstractNumId="10">
    <w:nsid w:val="FF318C9B"/>
    <w:multiLevelType w:val="singleLevel"/>
    <w:tmpl w:val="FF318C9B"/>
    <w:lvl w:ilvl="0" w:tentative="0">
      <w:start w:val="4"/>
      <w:numFmt w:val="chineseCounting"/>
      <w:suff w:val="space"/>
      <w:lvlText w:val="第%1章"/>
      <w:lvlJc w:val="left"/>
      <w:rPr>
        <w:rFonts w:hint="eastAsia"/>
      </w:rPr>
    </w:lvl>
  </w:abstractNum>
  <w:abstractNum w:abstractNumId="11">
    <w:nsid w:val="00000004"/>
    <w:multiLevelType w:val="multilevel"/>
    <w:tmpl w:val="00000004"/>
    <w:lvl w:ilvl="0" w:tentative="0">
      <w:start w:val="1"/>
      <w:numFmt w:val="decimal"/>
      <w:pStyle w:val="39"/>
      <w:lvlText w:val="%1"/>
      <w:lvlJc w:val="left"/>
      <w:pPr>
        <w:ind w:left="432" w:hanging="432"/>
      </w:pPr>
    </w:lvl>
    <w:lvl w:ilvl="1" w:tentative="0">
      <w:start w:val="1"/>
      <w:numFmt w:val="decimal"/>
      <w:lvlText w:val="%1.%2"/>
      <w:lvlJc w:val="left"/>
      <w:pPr>
        <w:ind w:left="576" w:hanging="576"/>
      </w:pPr>
    </w:lvl>
    <w:lvl w:ilvl="2" w:tentative="0">
      <w:start w:val="1"/>
      <w:numFmt w:val="decimal"/>
      <w:lvlText w:val="%1.%2.%3"/>
      <w:lvlJc w:val="left"/>
      <w:pPr>
        <w:ind w:left="720" w:hanging="720"/>
      </w:pPr>
    </w:lvl>
    <w:lvl w:ilvl="3" w:tentative="0">
      <w:start w:val="1"/>
      <w:numFmt w:val="decimal"/>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12">
    <w:nsid w:val="1A97CE01"/>
    <w:multiLevelType w:val="singleLevel"/>
    <w:tmpl w:val="1A97CE01"/>
    <w:lvl w:ilvl="0" w:tentative="0">
      <w:start w:val="1"/>
      <w:numFmt w:val="decimal"/>
      <w:lvlText w:val="%1."/>
      <w:lvlJc w:val="left"/>
      <w:pPr>
        <w:ind w:left="425" w:hanging="425"/>
      </w:pPr>
      <w:rPr>
        <w:rFonts w:hint="default"/>
      </w:rPr>
    </w:lvl>
  </w:abstractNum>
  <w:abstractNum w:abstractNumId="13">
    <w:nsid w:val="2A4C94D3"/>
    <w:multiLevelType w:val="singleLevel"/>
    <w:tmpl w:val="2A4C94D3"/>
    <w:lvl w:ilvl="0" w:tentative="0">
      <w:start w:val="1"/>
      <w:numFmt w:val="decimal"/>
      <w:lvlText w:val="%1."/>
      <w:lvlJc w:val="left"/>
      <w:pPr>
        <w:ind w:left="425" w:hanging="425"/>
      </w:pPr>
      <w:rPr>
        <w:rFonts w:hint="default"/>
      </w:rPr>
    </w:lvl>
  </w:abstractNum>
  <w:abstractNum w:abstractNumId="14">
    <w:nsid w:val="32365B24"/>
    <w:multiLevelType w:val="multilevel"/>
    <w:tmpl w:val="32365B24"/>
    <w:lvl w:ilvl="0" w:tentative="0">
      <w:start w:val="1"/>
      <w:numFmt w:val="decimal"/>
      <w:lvlText w:val="%1."/>
      <w:lvlJc w:val="left"/>
      <w:pPr>
        <w:ind w:left="425" w:hanging="425"/>
      </w:pPr>
      <w:rPr>
        <w:rFonts w:hint="default"/>
      </w:rPr>
    </w:lvl>
    <w:lvl w:ilvl="1" w:tentative="0">
      <w:start w:val="1"/>
      <w:numFmt w:val="decimal"/>
      <w:lvlText w:val="%1.%2."/>
      <w:lvlJc w:val="left"/>
      <w:pPr>
        <w:tabs>
          <w:tab w:val="left" w:pos="312"/>
        </w:tabs>
        <w:ind w:left="0" w:firstLine="0"/>
      </w:pPr>
      <w:rPr>
        <w:rFonts w:hint="default"/>
      </w:rPr>
    </w:lvl>
    <w:lvl w:ilvl="2" w:tentative="0">
      <w:start w:val="1"/>
      <w:numFmt w:val="decimal"/>
      <w:lvlText w:val="%1.%2.%3."/>
      <w:lvlJc w:val="left"/>
      <w:pPr>
        <w:tabs>
          <w:tab w:val="left" w:pos="312"/>
        </w:tabs>
        <w:ind w:left="0" w:firstLine="0"/>
      </w:pPr>
      <w:rPr>
        <w:rFonts w:hint="default"/>
      </w:rPr>
    </w:lvl>
    <w:lvl w:ilvl="3" w:tentative="0">
      <w:start w:val="1"/>
      <w:numFmt w:val="decimal"/>
      <w:lvlText w:val="%1.%2.%3.%4."/>
      <w:lvlJc w:val="left"/>
      <w:pPr>
        <w:tabs>
          <w:tab w:val="left" w:pos="312"/>
        </w:tabs>
        <w:ind w:left="0" w:firstLine="0"/>
      </w:pPr>
      <w:rPr>
        <w:rFonts w:hint="default"/>
      </w:rPr>
    </w:lvl>
    <w:lvl w:ilvl="4" w:tentative="0">
      <w:start w:val="1"/>
      <w:numFmt w:val="decimal"/>
      <w:lvlText w:val="%1.%2.%3.%4.%5."/>
      <w:lvlJc w:val="left"/>
      <w:pPr>
        <w:tabs>
          <w:tab w:val="left" w:pos="312"/>
        </w:tabs>
        <w:ind w:left="0" w:firstLine="0"/>
      </w:pPr>
      <w:rPr>
        <w:rFonts w:hint="default"/>
      </w:rPr>
    </w:lvl>
    <w:lvl w:ilvl="5" w:tentative="0">
      <w:start w:val="1"/>
      <w:numFmt w:val="decimal"/>
      <w:lvlText w:val="%1.%2.%3.%4.%5.%6."/>
      <w:lvlJc w:val="left"/>
      <w:pPr>
        <w:tabs>
          <w:tab w:val="left" w:pos="312"/>
        </w:tabs>
        <w:ind w:left="0" w:firstLine="0"/>
      </w:pPr>
      <w:rPr>
        <w:rFonts w:hint="default"/>
      </w:rPr>
    </w:lvl>
    <w:lvl w:ilvl="6" w:tentative="0">
      <w:start w:val="1"/>
      <w:numFmt w:val="decimal"/>
      <w:lvlText w:val="%1.%2.%3.%4.%5.%6.%7."/>
      <w:lvlJc w:val="left"/>
      <w:pPr>
        <w:tabs>
          <w:tab w:val="left" w:pos="312"/>
        </w:tabs>
        <w:ind w:left="0" w:firstLine="0"/>
      </w:pPr>
      <w:rPr>
        <w:rFonts w:hint="default"/>
      </w:rPr>
    </w:lvl>
    <w:lvl w:ilvl="7" w:tentative="0">
      <w:start w:val="1"/>
      <w:numFmt w:val="decimal"/>
      <w:lvlText w:val="%1.%2.%3.%4.%5.%6.%7.%8."/>
      <w:lvlJc w:val="left"/>
      <w:pPr>
        <w:tabs>
          <w:tab w:val="left" w:pos="312"/>
        </w:tabs>
        <w:ind w:left="0" w:firstLine="0"/>
      </w:pPr>
      <w:rPr>
        <w:rFonts w:hint="default"/>
      </w:rPr>
    </w:lvl>
    <w:lvl w:ilvl="8" w:tentative="0">
      <w:start w:val="1"/>
      <w:numFmt w:val="decimal"/>
      <w:lvlText w:val="%1.%2.%3.%4.%5.%6.%7.%8.%9."/>
      <w:lvlJc w:val="left"/>
      <w:pPr>
        <w:tabs>
          <w:tab w:val="left" w:pos="312"/>
        </w:tabs>
        <w:ind w:left="0" w:firstLine="0"/>
      </w:pPr>
      <w:rPr>
        <w:rFonts w:hint="default"/>
      </w:rPr>
    </w:lvl>
  </w:abstractNum>
  <w:abstractNum w:abstractNumId="15">
    <w:nsid w:val="3BDF59FD"/>
    <w:multiLevelType w:val="singleLevel"/>
    <w:tmpl w:val="3BDF59FD"/>
    <w:lvl w:ilvl="0" w:tentative="0">
      <w:start w:val="1"/>
      <w:numFmt w:val="chineseCounting"/>
      <w:suff w:val="nothing"/>
      <w:lvlText w:val="%1、"/>
      <w:lvlJc w:val="left"/>
      <w:rPr>
        <w:rFonts w:hint="eastAsia"/>
      </w:rPr>
    </w:lvl>
  </w:abstractNum>
  <w:abstractNum w:abstractNumId="16">
    <w:nsid w:val="54F403B5"/>
    <w:multiLevelType w:val="singleLevel"/>
    <w:tmpl w:val="54F403B5"/>
    <w:lvl w:ilvl="0" w:tentative="0">
      <w:start w:val="1"/>
      <w:numFmt w:val="chineseCounting"/>
      <w:suff w:val="nothing"/>
      <w:lvlText w:val="%1、"/>
      <w:lvlJc w:val="left"/>
    </w:lvl>
  </w:abstractNum>
  <w:abstractNum w:abstractNumId="17">
    <w:nsid w:val="557FD3DA"/>
    <w:multiLevelType w:val="singleLevel"/>
    <w:tmpl w:val="557FD3DA"/>
    <w:lvl w:ilvl="0" w:tentative="0">
      <w:start w:val="3"/>
      <w:numFmt w:val="chineseCounting"/>
      <w:suff w:val="nothing"/>
      <w:lvlText w:val="%1、"/>
      <w:lvlJc w:val="left"/>
    </w:lvl>
  </w:abstractNum>
  <w:abstractNum w:abstractNumId="18">
    <w:nsid w:val="5ECB7A0A"/>
    <w:multiLevelType w:val="singleLevel"/>
    <w:tmpl w:val="5ECB7A0A"/>
    <w:lvl w:ilvl="0" w:tentative="0">
      <w:start w:val="6"/>
      <w:numFmt w:val="chineseCounting"/>
      <w:suff w:val="nothing"/>
      <w:lvlText w:val="%1、"/>
      <w:lvlJc w:val="left"/>
      <w:rPr>
        <w:rFonts w:hint="eastAsia"/>
      </w:rPr>
    </w:lvl>
  </w:abstractNum>
  <w:abstractNum w:abstractNumId="19">
    <w:nsid w:val="6890F85D"/>
    <w:multiLevelType w:val="singleLevel"/>
    <w:tmpl w:val="6890F85D"/>
    <w:lvl w:ilvl="0" w:tentative="0">
      <w:start w:val="1"/>
      <w:numFmt w:val="decimal"/>
      <w:lvlText w:val="%1."/>
      <w:lvlJc w:val="left"/>
      <w:pPr>
        <w:ind w:left="425" w:hanging="425"/>
      </w:pPr>
      <w:rPr>
        <w:rFonts w:hint="default"/>
      </w:rPr>
    </w:lvl>
  </w:abstractNum>
  <w:abstractNum w:abstractNumId="20">
    <w:nsid w:val="791F5732"/>
    <w:multiLevelType w:val="singleLevel"/>
    <w:tmpl w:val="791F5732"/>
    <w:lvl w:ilvl="0" w:tentative="0">
      <w:start w:val="1"/>
      <w:numFmt w:val="chineseCounting"/>
      <w:suff w:val="space"/>
      <w:lvlText w:val="第%1章"/>
      <w:lvlJc w:val="left"/>
      <w:rPr>
        <w:rFonts w:hint="eastAsia"/>
      </w:rPr>
    </w:lvl>
  </w:abstractNum>
  <w:num w:numId="1">
    <w:abstractNumId w:val="1"/>
  </w:num>
  <w:num w:numId="2">
    <w:abstractNumId w:val="11"/>
  </w:num>
  <w:num w:numId="3">
    <w:abstractNumId w:val="20"/>
  </w:num>
  <w:num w:numId="4">
    <w:abstractNumId w:val="18"/>
  </w:num>
  <w:num w:numId="5">
    <w:abstractNumId w:val="4"/>
  </w:num>
  <w:num w:numId="6">
    <w:abstractNumId w:val="14"/>
  </w:num>
  <w:num w:numId="7">
    <w:abstractNumId w:val="2"/>
  </w:num>
  <w:num w:numId="8">
    <w:abstractNumId w:val="19"/>
  </w:num>
  <w:num w:numId="9">
    <w:abstractNumId w:val="13"/>
  </w:num>
  <w:num w:numId="10">
    <w:abstractNumId w:val="3"/>
  </w:num>
  <w:num w:numId="11">
    <w:abstractNumId w:val="6"/>
  </w:num>
  <w:num w:numId="12">
    <w:abstractNumId w:val="0"/>
  </w:num>
  <w:num w:numId="13">
    <w:abstractNumId w:val="15"/>
  </w:num>
  <w:num w:numId="14">
    <w:abstractNumId w:val="10"/>
  </w:num>
  <w:num w:numId="15">
    <w:abstractNumId w:val="8"/>
  </w:num>
  <w:num w:numId="16">
    <w:abstractNumId w:val="12"/>
  </w:num>
  <w:num w:numId="17">
    <w:abstractNumId w:val="9"/>
  </w:num>
  <w:num w:numId="18">
    <w:abstractNumId w:val="5"/>
  </w:num>
  <w:num w:numId="19">
    <w:abstractNumId w:val="7"/>
  </w:num>
  <w:num w:numId="20">
    <w:abstractNumId w:val="16"/>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TdhOWI4MDY2NGU4OThlMjc0MGI3MjdiNDEyZGFlZDQifQ=="/>
  </w:docVars>
  <w:rsids>
    <w:rsidRoot w:val="008D7EEC"/>
    <w:rsid w:val="00043144"/>
    <w:rsid w:val="00210EDD"/>
    <w:rsid w:val="00460185"/>
    <w:rsid w:val="004830A5"/>
    <w:rsid w:val="004F54E0"/>
    <w:rsid w:val="006B535D"/>
    <w:rsid w:val="008D7EEC"/>
    <w:rsid w:val="008F60D7"/>
    <w:rsid w:val="00B708C3"/>
    <w:rsid w:val="00C04C9C"/>
    <w:rsid w:val="00CC6E85"/>
    <w:rsid w:val="00D23FA1"/>
    <w:rsid w:val="00D34AF4"/>
    <w:rsid w:val="00DE1BE7"/>
    <w:rsid w:val="00DE5743"/>
    <w:rsid w:val="00E91114"/>
    <w:rsid w:val="00E94978"/>
    <w:rsid w:val="00F632F3"/>
    <w:rsid w:val="01153BFD"/>
    <w:rsid w:val="013D4B60"/>
    <w:rsid w:val="01505F15"/>
    <w:rsid w:val="01AF70E0"/>
    <w:rsid w:val="01BB6F95"/>
    <w:rsid w:val="01C7267B"/>
    <w:rsid w:val="020379CE"/>
    <w:rsid w:val="020C2D28"/>
    <w:rsid w:val="02305D77"/>
    <w:rsid w:val="02364376"/>
    <w:rsid w:val="025B02F7"/>
    <w:rsid w:val="02CF4B1F"/>
    <w:rsid w:val="02F11F7D"/>
    <w:rsid w:val="030B64A0"/>
    <w:rsid w:val="03143C31"/>
    <w:rsid w:val="03291826"/>
    <w:rsid w:val="033E3D9E"/>
    <w:rsid w:val="035F22B0"/>
    <w:rsid w:val="0360515D"/>
    <w:rsid w:val="03AA4EC7"/>
    <w:rsid w:val="03B35EB3"/>
    <w:rsid w:val="04016348"/>
    <w:rsid w:val="0405748B"/>
    <w:rsid w:val="041D6583"/>
    <w:rsid w:val="04543ED4"/>
    <w:rsid w:val="046D5974"/>
    <w:rsid w:val="054B55BB"/>
    <w:rsid w:val="057C3D51"/>
    <w:rsid w:val="0594649B"/>
    <w:rsid w:val="05986A13"/>
    <w:rsid w:val="059E0492"/>
    <w:rsid w:val="05A25B48"/>
    <w:rsid w:val="05B0226D"/>
    <w:rsid w:val="05FE413F"/>
    <w:rsid w:val="0608695F"/>
    <w:rsid w:val="064B38C4"/>
    <w:rsid w:val="065322EC"/>
    <w:rsid w:val="066A4BC3"/>
    <w:rsid w:val="06704256"/>
    <w:rsid w:val="06744454"/>
    <w:rsid w:val="06746659"/>
    <w:rsid w:val="06827320"/>
    <w:rsid w:val="06893BDB"/>
    <w:rsid w:val="06A426FF"/>
    <w:rsid w:val="06B34F7C"/>
    <w:rsid w:val="06B50CF4"/>
    <w:rsid w:val="06CF2543"/>
    <w:rsid w:val="06D41F0D"/>
    <w:rsid w:val="06DA413B"/>
    <w:rsid w:val="07220A17"/>
    <w:rsid w:val="07320699"/>
    <w:rsid w:val="074C6F94"/>
    <w:rsid w:val="076369A2"/>
    <w:rsid w:val="07BF39C2"/>
    <w:rsid w:val="07C123B3"/>
    <w:rsid w:val="07E77379"/>
    <w:rsid w:val="07F04264"/>
    <w:rsid w:val="080A32C2"/>
    <w:rsid w:val="080D17FF"/>
    <w:rsid w:val="0873745A"/>
    <w:rsid w:val="088C7769"/>
    <w:rsid w:val="08A47338"/>
    <w:rsid w:val="08A74D39"/>
    <w:rsid w:val="08DA1162"/>
    <w:rsid w:val="08F33D56"/>
    <w:rsid w:val="090D67AE"/>
    <w:rsid w:val="09171F6A"/>
    <w:rsid w:val="091C14FF"/>
    <w:rsid w:val="091F420F"/>
    <w:rsid w:val="092856B0"/>
    <w:rsid w:val="092A47DD"/>
    <w:rsid w:val="095F28AF"/>
    <w:rsid w:val="097430E9"/>
    <w:rsid w:val="097D68E5"/>
    <w:rsid w:val="099922E5"/>
    <w:rsid w:val="09A926B0"/>
    <w:rsid w:val="09BD035F"/>
    <w:rsid w:val="09EE79C7"/>
    <w:rsid w:val="0A120031"/>
    <w:rsid w:val="0A3807A7"/>
    <w:rsid w:val="0A6A0101"/>
    <w:rsid w:val="0A744030"/>
    <w:rsid w:val="0AA555E2"/>
    <w:rsid w:val="0AAF5F83"/>
    <w:rsid w:val="0ABC1C74"/>
    <w:rsid w:val="0AC86757"/>
    <w:rsid w:val="0ACC6D0D"/>
    <w:rsid w:val="0AD8531C"/>
    <w:rsid w:val="0AD90A7D"/>
    <w:rsid w:val="0ADE7ACE"/>
    <w:rsid w:val="0AF420EB"/>
    <w:rsid w:val="0B07233A"/>
    <w:rsid w:val="0B0B7FF2"/>
    <w:rsid w:val="0B2B1C59"/>
    <w:rsid w:val="0B9E02E6"/>
    <w:rsid w:val="0BC52CC7"/>
    <w:rsid w:val="0BCA3C1E"/>
    <w:rsid w:val="0BEB28E5"/>
    <w:rsid w:val="0BF2291F"/>
    <w:rsid w:val="0C30593F"/>
    <w:rsid w:val="0C322DE7"/>
    <w:rsid w:val="0C4924D9"/>
    <w:rsid w:val="0C506064"/>
    <w:rsid w:val="0C96101D"/>
    <w:rsid w:val="0CB105E1"/>
    <w:rsid w:val="0CC97C9D"/>
    <w:rsid w:val="0CD10A6D"/>
    <w:rsid w:val="0CD342B6"/>
    <w:rsid w:val="0CEE3E58"/>
    <w:rsid w:val="0CEF2D2B"/>
    <w:rsid w:val="0D136775"/>
    <w:rsid w:val="0D2546FA"/>
    <w:rsid w:val="0D7A177C"/>
    <w:rsid w:val="0DA8151C"/>
    <w:rsid w:val="0DDD3598"/>
    <w:rsid w:val="0DDE4FF7"/>
    <w:rsid w:val="0DEE4EE4"/>
    <w:rsid w:val="0E0B1B42"/>
    <w:rsid w:val="0E3479AD"/>
    <w:rsid w:val="0E460DCC"/>
    <w:rsid w:val="0E4625F6"/>
    <w:rsid w:val="0E503C45"/>
    <w:rsid w:val="0E820056"/>
    <w:rsid w:val="0E9710B1"/>
    <w:rsid w:val="0E9C63D5"/>
    <w:rsid w:val="0EDF7AEE"/>
    <w:rsid w:val="0F5056CB"/>
    <w:rsid w:val="0F5A6C36"/>
    <w:rsid w:val="0F9C1978"/>
    <w:rsid w:val="0FB16128"/>
    <w:rsid w:val="0FBF0014"/>
    <w:rsid w:val="0FC85F3C"/>
    <w:rsid w:val="0FCD6B1D"/>
    <w:rsid w:val="0FD464FE"/>
    <w:rsid w:val="10024E4D"/>
    <w:rsid w:val="10082DBA"/>
    <w:rsid w:val="10560A13"/>
    <w:rsid w:val="10802373"/>
    <w:rsid w:val="109D703A"/>
    <w:rsid w:val="111C52FF"/>
    <w:rsid w:val="11290C5D"/>
    <w:rsid w:val="114C0FE9"/>
    <w:rsid w:val="115278B0"/>
    <w:rsid w:val="115D3400"/>
    <w:rsid w:val="11626B52"/>
    <w:rsid w:val="11770AEE"/>
    <w:rsid w:val="117E53FE"/>
    <w:rsid w:val="11AA2C5A"/>
    <w:rsid w:val="11B755BF"/>
    <w:rsid w:val="11BD6E3E"/>
    <w:rsid w:val="11C01F67"/>
    <w:rsid w:val="11E54306"/>
    <w:rsid w:val="11FA6155"/>
    <w:rsid w:val="121511E1"/>
    <w:rsid w:val="12684C01"/>
    <w:rsid w:val="127557DC"/>
    <w:rsid w:val="128D521B"/>
    <w:rsid w:val="12AC38F3"/>
    <w:rsid w:val="12EA1794"/>
    <w:rsid w:val="12FA3184"/>
    <w:rsid w:val="130354DD"/>
    <w:rsid w:val="1335567A"/>
    <w:rsid w:val="1346021D"/>
    <w:rsid w:val="136975D1"/>
    <w:rsid w:val="1375783C"/>
    <w:rsid w:val="138170B3"/>
    <w:rsid w:val="13CF064E"/>
    <w:rsid w:val="140D0011"/>
    <w:rsid w:val="14357F2E"/>
    <w:rsid w:val="143D6077"/>
    <w:rsid w:val="14604341"/>
    <w:rsid w:val="147C779D"/>
    <w:rsid w:val="147E1869"/>
    <w:rsid w:val="14926B19"/>
    <w:rsid w:val="14A61472"/>
    <w:rsid w:val="14C650ED"/>
    <w:rsid w:val="14CF7CD8"/>
    <w:rsid w:val="14F055ED"/>
    <w:rsid w:val="151F68ED"/>
    <w:rsid w:val="15520F4C"/>
    <w:rsid w:val="15536C3A"/>
    <w:rsid w:val="15626403"/>
    <w:rsid w:val="15945E76"/>
    <w:rsid w:val="15C45FB5"/>
    <w:rsid w:val="15C76619"/>
    <w:rsid w:val="15E47333"/>
    <w:rsid w:val="160006E8"/>
    <w:rsid w:val="1609105D"/>
    <w:rsid w:val="163A6185"/>
    <w:rsid w:val="165E2F10"/>
    <w:rsid w:val="167C182F"/>
    <w:rsid w:val="167D17DE"/>
    <w:rsid w:val="169671CF"/>
    <w:rsid w:val="16BF55B7"/>
    <w:rsid w:val="16CE5D65"/>
    <w:rsid w:val="16E37E09"/>
    <w:rsid w:val="16EC3635"/>
    <w:rsid w:val="16F35A55"/>
    <w:rsid w:val="16F83508"/>
    <w:rsid w:val="16FA2753"/>
    <w:rsid w:val="17040F70"/>
    <w:rsid w:val="17066C93"/>
    <w:rsid w:val="17343DA8"/>
    <w:rsid w:val="17700303"/>
    <w:rsid w:val="17A61FF9"/>
    <w:rsid w:val="17E23913"/>
    <w:rsid w:val="180052A4"/>
    <w:rsid w:val="18060CED"/>
    <w:rsid w:val="18163509"/>
    <w:rsid w:val="18190F0A"/>
    <w:rsid w:val="185247E9"/>
    <w:rsid w:val="1894383C"/>
    <w:rsid w:val="18A21A2D"/>
    <w:rsid w:val="18A850B1"/>
    <w:rsid w:val="18B109B0"/>
    <w:rsid w:val="19166A86"/>
    <w:rsid w:val="19327E88"/>
    <w:rsid w:val="194C79B4"/>
    <w:rsid w:val="19540489"/>
    <w:rsid w:val="1956728C"/>
    <w:rsid w:val="195972AD"/>
    <w:rsid w:val="1986236A"/>
    <w:rsid w:val="198C47C6"/>
    <w:rsid w:val="19C42BA1"/>
    <w:rsid w:val="19EA66F4"/>
    <w:rsid w:val="19FC002C"/>
    <w:rsid w:val="19FE5AC4"/>
    <w:rsid w:val="1A0062D3"/>
    <w:rsid w:val="1A051B3B"/>
    <w:rsid w:val="1A393EEA"/>
    <w:rsid w:val="1A764976"/>
    <w:rsid w:val="1AB048AE"/>
    <w:rsid w:val="1AD1141A"/>
    <w:rsid w:val="1AD377E7"/>
    <w:rsid w:val="1B2304CB"/>
    <w:rsid w:val="1B4C291C"/>
    <w:rsid w:val="1B6E4C3E"/>
    <w:rsid w:val="1B863909"/>
    <w:rsid w:val="1BAD5FE6"/>
    <w:rsid w:val="1BBE6445"/>
    <w:rsid w:val="1BD97161"/>
    <w:rsid w:val="1BE14CED"/>
    <w:rsid w:val="1BEA723A"/>
    <w:rsid w:val="1C261336"/>
    <w:rsid w:val="1C2F1354"/>
    <w:rsid w:val="1C411A9B"/>
    <w:rsid w:val="1C711A38"/>
    <w:rsid w:val="1C803D6F"/>
    <w:rsid w:val="1C98001E"/>
    <w:rsid w:val="1C9F4979"/>
    <w:rsid w:val="1CA92C52"/>
    <w:rsid w:val="1CCA0FFC"/>
    <w:rsid w:val="1CE908B0"/>
    <w:rsid w:val="1CF235A4"/>
    <w:rsid w:val="1D063C00"/>
    <w:rsid w:val="1D3A1692"/>
    <w:rsid w:val="1D4B0140"/>
    <w:rsid w:val="1D70301E"/>
    <w:rsid w:val="1D8A4C5F"/>
    <w:rsid w:val="1D9260F0"/>
    <w:rsid w:val="1D9358AD"/>
    <w:rsid w:val="1DA0424E"/>
    <w:rsid w:val="1DA40C66"/>
    <w:rsid w:val="1DA60D77"/>
    <w:rsid w:val="1DB77DDF"/>
    <w:rsid w:val="1DCE4E07"/>
    <w:rsid w:val="1DF502FC"/>
    <w:rsid w:val="1E130E8A"/>
    <w:rsid w:val="1E1C0F8C"/>
    <w:rsid w:val="1E2F5078"/>
    <w:rsid w:val="1E2F7178"/>
    <w:rsid w:val="1E4041DC"/>
    <w:rsid w:val="1E631986"/>
    <w:rsid w:val="1E6A22A5"/>
    <w:rsid w:val="1EA71A5E"/>
    <w:rsid w:val="1EA77392"/>
    <w:rsid w:val="1ED10481"/>
    <w:rsid w:val="1F052F4A"/>
    <w:rsid w:val="1F2729AA"/>
    <w:rsid w:val="1F2E2E45"/>
    <w:rsid w:val="1F5E7ADF"/>
    <w:rsid w:val="1F612F71"/>
    <w:rsid w:val="1F660CE7"/>
    <w:rsid w:val="1F6F52B2"/>
    <w:rsid w:val="1F9C084C"/>
    <w:rsid w:val="1FC15D11"/>
    <w:rsid w:val="1FD66C5F"/>
    <w:rsid w:val="1FDF698A"/>
    <w:rsid w:val="1FFB37C4"/>
    <w:rsid w:val="202944A5"/>
    <w:rsid w:val="205F1151"/>
    <w:rsid w:val="20733733"/>
    <w:rsid w:val="2097158A"/>
    <w:rsid w:val="20AC3D08"/>
    <w:rsid w:val="20CD61F9"/>
    <w:rsid w:val="20F70FD3"/>
    <w:rsid w:val="21004E0A"/>
    <w:rsid w:val="21301A1D"/>
    <w:rsid w:val="21352374"/>
    <w:rsid w:val="214D44F3"/>
    <w:rsid w:val="215937BD"/>
    <w:rsid w:val="217A04D7"/>
    <w:rsid w:val="21905BCE"/>
    <w:rsid w:val="21B77CC2"/>
    <w:rsid w:val="21BD6F7F"/>
    <w:rsid w:val="2215571C"/>
    <w:rsid w:val="22417ADD"/>
    <w:rsid w:val="22535511"/>
    <w:rsid w:val="227C021B"/>
    <w:rsid w:val="22C07FB7"/>
    <w:rsid w:val="22EC59D2"/>
    <w:rsid w:val="22EF31E6"/>
    <w:rsid w:val="232963EA"/>
    <w:rsid w:val="232E3A8F"/>
    <w:rsid w:val="233C28E7"/>
    <w:rsid w:val="23743B3B"/>
    <w:rsid w:val="23820457"/>
    <w:rsid w:val="23931F66"/>
    <w:rsid w:val="239F14BA"/>
    <w:rsid w:val="24007717"/>
    <w:rsid w:val="24175037"/>
    <w:rsid w:val="242E7BCF"/>
    <w:rsid w:val="24311FA5"/>
    <w:rsid w:val="244A3E9B"/>
    <w:rsid w:val="245C7BF0"/>
    <w:rsid w:val="24720121"/>
    <w:rsid w:val="24F22093"/>
    <w:rsid w:val="24FF2FC1"/>
    <w:rsid w:val="25512559"/>
    <w:rsid w:val="256A62FF"/>
    <w:rsid w:val="256E2C8A"/>
    <w:rsid w:val="2579754D"/>
    <w:rsid w:val="25A66ED8"/>
    <w:rsid w:val="25E15ED2"/>
    <w:rsid w:val="25E22D30"/>
    <w:rsid w:val="25E3727A"/>
    <w:rsid w:val="260F6C7E"/>
    <w:rsid w:val="268C46AC"/>
    <w:rsid w:val="26901F98"/>
    <w:rsid w:val="26C53463"/>
    <w:rsid w:val="26C73FD4"/>
    <w:rsid w:val="26EF779A"/>
    <w:rsid w:val="271E55EA"/>
    <w:rsid w:val="27315D1D"/>
    <w:rsid w:val="27337F15"/>
    <w:rsid w:val="273E03D7"/>
    <w:rsid w:val="274B6DD8"/>
    <w:rsid w:val="275951DE"/>
    <w:rsid w:val="275E533A"/>
    <w:rsid w:val="275F2D8A"/>
    <w:rsid w:val="27692E5B"/>
    <w:rsid w:val="27797BEF"/>
    <w:rsid w:val="278B48C3"/>
    <w:rsid w:val="27A0449E"/>
    <w:rsid w:val="27A47019"/>
    <w:rsid w:val="27BA5D13"/>
    <w:rsid w:val="27EE64E8"/>
    <w:rsid w:val="27F57641"/>
    <w:rsid w:val="280D678A"/>
    <w:rsid w:val="280D7006"/>
    <w:rsid w:val="282750DC"/>
    <w:rsid w:val="28312344"/>
    <w:rsid w:val="28461C9C"/>
    <w:rsid w:val="285B737A"/>
    <w:rsid w:val="28643ED1"/>
    <w:rsid w:val="287810ED"/>
    <w:rsid w:val="28C6696E"/>
    <w:rsid w:val="28CD1A76"/>
    <w:rsid w:val="28CD1EB8"/>
    <w:rsid w:val="28D10C1C"/>
    <w:rsid w:val="28E40445"/>
    <w:rsid w:val="28F27F06"/>
    <w:rsid w:val="29310711"/>
    <w:rsid w:val="293A4ACE"/>
    <w:rsid w:val="295A7047"/>
    <w:rsid w:val="29671ECA"/>
    <w:rsid w:val="296A3A44"/>
    <w:rsid w:val="29AC6E62"/>
    <w:rsid w:val="29DA4B78"/>
    <w:rsid w:val="29E3216C"/>
    <w:rsid w:val="2A021BF3"/>
    <w:rsid w:val="2A1B067B"/>
    <w:rsid w:val="2A1D6A5B"/>
    <w:rsid w:val="2A3217A2"/>
    <w:rsid w:val="2A3C6EB3"/>
    <w:rsid w:val="2A454937"/>
    <w:rsid w:val="2A5640CD"/>
    <w:rsid w:val="2AAB5F5B"/>
    <w:rsid w:val="2AE75902"/>
    <w:rsid w:val="2AF7102C"/>
    <w:rsid w:val="2B1E71B6"/>
    <w:rsid w:val="2B3E2AFD"/>
    <w:rsid w:val="2B4E123F"/>
    <w:rsid w:val="2B5E72FD"/>
    <w:rsid w:val="2B7756EB"/>
    <w:rsid w:val="2B7B3C10"/>
    <w:rsid w:val="2BA569A9"/>
    <w:rsid w:val="2BB117E4"/>
    <w:rsid w:val="2BB43E1B"/>
    <w:rsid w:val="2BE260F5"/>
    <w:rsid w:val="2BED3F68"/>
    <w:rsid w:val="2C03285D"/>
    <w:rsid w:val="2C27124A"/>
    <w:rsid w:val="2C3A362A"/>
    <w:rsid w:val="2C6A78DD"/>
    <w:rsid w:val="2C967322"/>
    <w:rsid w:val="2CC75BE4"/>
    <w:rsid w:val="2CCA4791"/>
    <w:rsid w:val="2CCB7C9C"/>
    <w:rsid w:val="2CD63C1A"/>
    <w:rsid w:val="2CDA157B"/>
    <w:rsid w:val="2CDC2BCF"/>
    <w:rsid w:val="2D1170F9"/>
    <w:rsid w:val="2D235B29"/>
    <w:rsid w:val="2D323C21"/>
    <w:rsid w:val="2D3E73E6"/>
    <w:rsid w:val="2D691DE4"/>
    <w:rsid w:val="2D6D1BF5"/>
    <w:rsid w:val="2D754BB0"/>
    <w:rsid w:val="2D7A094D"/>
    <w:rsid w:val="2DA47D6E"/>
    <w:rsid w:val="2DA749EF"/>
    <w:rsid w:val="2DB95FE0"/>
    <w:rsid w:val="2DBE0F49"/>
    <w:rsid w:val="2E00469C"/>
    <w:rsid w:val="2E2905AC"/>
    <w:rsid w:val="2E503F81"/>
    <w:rsid w:val="2E790C41"/>
    <w:rsid w:val="2EB8085D"/>
    <w:rsid w:val="2EC41B6D"/>
    <w:rsid w:val="2EC81B6F"/>
    <w:rsid w:val="2EF3362B"/>
    <w:rsid w:val="2EF57F78"/>
    <w:rsid w:val="2F284F56"/>
    <w:rsid w:val="2F3F1D34"/>
    <w:rsid w:val="2F56299D"/>
    <w:rsid w:val="2F82214C"/>
    <w:rsid w:val="2FAB4707"/>
    <w:rsid w:val="30096D64"/>
    <w:rsid w:val="302A54B3"/>
    <w:rsid w:val="30352580"/>
    <w:rsid w:val="3045283A"/>
    <w:rsid w:val="304D25CD"/>
    <w:rsid w:val="308D46D1"/>
    <w:rsid w:val="30A612CD"/>
    <w:rsid w:val="30B579BF"/>
    <w:rsid w:val="30CF550C"/>
    <w:rsid w:val="30D836AE"/>
    <w:rsid w:val="30F537B2"/>
    <w:rsid w:val="31275CB7"/>
    <w:rsid w:val="313A41BF"/>
    <w:rsid w:val="31466D87"/>
    <w:rsid w:val="31487B4D"/>
    <w:rsid w:val="31533F0D"/>
    <w:rsid w:val="3157138D"/>
    <w:rsid w:val="3165628E"/>
    <w:rsid w:val="318415B4"/>
    <w:rsid w:val="318B2A22"/>
    <w:rsid w:val="319C15A3"/>
    <w:rsid w:val="31AE4E48"/>
    <w:rsid w:val="31B8491B"/>
    <w:rsid w:val="31D837C9"/>
    <w:rsid w:val="31EE23E6"/>
    <w:rsid w:val="325050FE"/>
    <w:rsid w:val="326074AA"/>
    <w:rsid w:val="326F2B2C"/>
    <w:rsid w:val="329C202F"/>
    <w:rsid w:val="32C53C98"/>
    <w:rsid w:val="32EB4869"/>
    <w:rsid w:val="32F95E6C"/>
    <w:rsid w:val="33294694"/>
    <w:rsid w:val="333C6176"/>
    <w:rsid w:val="334051B3"/>
    <w:rsid w:val="33415959"/>
    <w:rsid w:val="33501C21"/>
    <w:rsid w:val="33507A29"/>
    <w:rsid w:val="337111EE"/>
    <w:rsid w:val="33861354"/>
    <w:rsid w:val="338641C7"/>
    <w:rsid w:val="338A536B"/>
    <w:rsid w:val="338F4036"/>
    <w:rsid w:val="33A96BFD"/>
    <w:rsid w:val="33AB50A9"/>
    <w:rsid w:val="33B35F23"/>
    <w:rsid w:val="33C95001"/>
    <w:rsid w:val="33D1415B"/>
    <w:rsid w:val="33EB264F"/>
    <w:rsid w:val="33F151B2"/>
    <w:rsid w:val="340429E1"/>
    <w:rsid w:val="340449F2"/>
    <w:rsid w:val="342C17D2"/>
    <w:rsid w:val="344364BD"/>
    <w:rsid w:val="34A8367A"/>
    <w:rsid w:val="34CE5BB5"/>
    <w:rsid w:val="34F273E2"/>
    <w:rsid w:val="34F66B70"/>
    <w:rsid w:val="35502A8A"/>
    <w:rsid w:val="35737AE2"/>
    <w:rsid w:val="357D65E9"/>
    <w:rsid w:val="35830DB6"/>
    <w:rsid w:val="359B0E89"/>
    <w:rsid w:val="35D6202B"/>
    <w:rsid w:val="36031FE9"/>
    <w:rsid w:val="36034D29"/>
    <w:rsid w:val="364E42B0"/>
    <w:rsid w:val="36931790"/>
    <w:rsid w:val="36AF212A"/>
    <w:rsid w:val="36B35441"/>
    <w:rsid w:val="36C05BDE"/>
    <w:rsid w:val="371D4801"/>
    <w:rsid w:val="37226A6B"/>
    <w:rsid w:val="372D192D"/>
    <w:rsid w:val="37843BA8"/>
    <w:rsid w:val="379110F1"/>
    <w:rsid w:val="379B4532"/>
    <w:rsid w:val="379C3A92"/>
    <w:rsid w:val="37A91D62"/>
    <w:rsid w:val="37AD7642"/>
    <w:rsid w:val="37B51012"/>
    <w:rsid w:val="37DC1F20"/>
    <w:rsid w:val="37F64733"/>
    <w:rsid w:val="38012E83"/>
    <w:rsid w:val="38241DCC"/>
    <w:rsid w:val="385C2357"/>
    <w:rsid w:val="3861141D"/>
    <w:rsid w:val="386120EF"/>
    <w:rsid w:val="38655CCF"/>
    <w:rsid w:val="38697929"/>
    <w:rsid w:val="387002F0"/>
    <w:rsid w:val="3873659F"/>
    <w:rsid w:val="38967CF8"/>
    <w:rsid w:val="38994352"/>
    <w:rsid w:val="38A02D03"/>
    <w:rsid w:val="38A21A78"/>
    <w:rsid w:val="38D67FFB"/>
    <w:rsid w:val="38FC33D2"/>
    <w:rsid w:val="39376943"/>
    <w:rsid w:val="394015FA"/>
    <w:rsid w:val="396C12FC"/>
    <w:rsid w:val="397F3F36"/>
    <w:rsid w:val="398268F8"/>
    <w:rsid w:val="39A86C7D"/>
    <w:rsid w:val="39A9778E"/>
    <w:rsid w:val="39AA6FAB"/>
    <w:rsid w:val="39BE492C"/>
    <w:rsid w:val="39F07B1B"/>
    <w:rsid w:val="39F229A3"/>
    <w:rsid w:val="3A43603C"/>
    <w:rsid w:val="3A6C438A"/>
    <w:rsid w:val="3A734C67"/>
    <w:rsid w:val="3A895333"/>
    <w:rsid w:val="3A8C5D23"/>
    <w:rsid w:val="3A975EA2"/>
    <w:rsid w:val="3A9E5F63"/>
    <w:rsid w:val="3AB61AAD"/>
    <w:rsid w:val="3ABD1223"/>
    <w:rsid w:val="3ABF3C3B"/>
    <w:rsid w:val="3AE2729A"/>
    <w:rsid w:val="3B292E13"/>
    <w:rsid w:val="3B40102D"/>
    <w:rsid w:val="3B841636"/>
    <w:rsid w:val="3BAC293F"/>
    <w:rsid w:val="3BE15B0C"/>
    <w:rsid w:val="3C1014B7"/>
    <w:rsid w:val="3C1E7DFF"/>
    <w:rsid w:val="3C4B1926"/>
    <w:rsid w:val="3C8F6C29"/>
    <w:rsid w:val="3CA66F82"/>
    <w:rsid w:val="3CC7400E"/>
    <w:rsid w:val="3CC84361"/>
    <w:rsid w:val="3CDD3F1B"/>
    <w:rsid w:val="3CE65032"/>
    <w:rsid w:val="3CEF6007"/>
    <w:rsid w:val="3D0A5D94"/>
    <w:rsid w:val="3D2F28A7"/>
    <w:rsid w:val="3D472ED8"/>
    <w:rsid w:val="3D5B641A"/>
    <w:rsid w:val="3D613D22"/>
    <w:rsid w:val="3D8B21D4"/>
    <w:rsid w:val="3D8B35ED"/>
    <w:rsid w:val="3DA3706B"/>
    <w:rsid w:val="3DAB24CC"/>
    <w:rsid w:val="3DB71317"/>
    <w:rsid w:val="3DCB61AF"/>
    <w:rsid w:val="3E0C4438"/>
    <w:rsid w:val="3E0C52B0"/>
    <w:rsid w:val="3E171226"/>
    <w:rsid w:val="3E2866CA"/>
    <w:rsid w:val="3E360A30"/>
    <w:rsid w:val="3E7F4B32"/>
    <w:rsid w:val="3ECC74F3"/>
    <w:rsid w:val="3EE352BF"/>
    <w:rsid w:val="3EF65DA2"/>
    <w:rsid w:val="3EFA6550"/>
    <w:rsid w:val="3F180CD2"/>
    <w:rsid w:val="3F3E093F"/>
    <w:rsid w:val="3F7E2F32"/>
    <w:rsid w:val="3F9350DF"/>
    <w:rsid w:val="3FA33390"/>
    <w:rsid w:val="3FD060F1"/>
    <w:rsid w:val="3FDF05B5"/>
    <w:rsid w:val="3FFA36B8"/>
    <w:rsid w:val="40102F08"/>
    <w:rsid w:val="4021297B"/>
    <w:rsid w:val="40233D9B"/>
    <w:rsid w:val="402C6763"/>
    <w:rsid w:val="40413059"/>
    <w:rsid w:val="408262FF"/>
    <w:rsid w:val="40A43DCF"/>
    <w:rsid w:val="40A474AF"/>
    <w:rsid w:val="40BC5674"/>
    <w:rsid w:val="40D2705F"/>
    <w:rsid w:val="40FF185D"/>
    <w:rsid w:val="411658F6"/>
    <w:rsid w:val="41B2707D"/>
    <w:rsid w:val="41C37A62"/>
    <w:rsid w:val="41DB1A25"/>
    <w:rsid w:val="41E365F3"/>
    <w:rsid w:val="41FD6034"/>
    <w:rsid w:val="41FE4420"/>
    <w:rsid w:val="420E3C4D"/>
    <w:rsid w:val="42271175"/>
    <w:rsid w:val="422972C0"/>
    <w:rsid w:val="42434AC7"/>
    <w:rsid w:val="424456CC"/>
    <w:rsid w:val="4270651C"/>
    <w:rsid w:val="428818DE"/>
    <w:rsid w:val="42940AAA"/>
    <w:rsid w:val="42A13266"/>
    <w:rsid w:val="42A45113"/>
    <w:rsid w:val="42A47894"/>
    <w:rsid w:val="42E41851"/>
    <w:rsid w:val="43013CD0"/>
    <w:rsid w:val="431F521E"/>
    <w:rsid w:val="432952D8"/>
    <w:rsid w:val="43476B9D"/>
    <w:rsid w:val="434A3F97"/>
    <w:rsid w:val="434A6CCE"/>
    <w:rsid w:val="43704BBA"/>
    <w:rsid w:val="438F759E"/>
    <w:rsid w:val="43AB141A"/>
    <w:rsid w:val="43AE5943"/>
    <w:rsid w:val="43B0175F"/>
    <w:rsid w:val="43E8191A"/>
    <w:rsid w:val="43EC18EB"/>
    <w:rsid w:val="43F3462F"/>
    <w:rsid w:val="43FB329A"/>
    <w:rsid w:val="44094D3B"/>
    <w:rsid w:val="443E597A"/>
    <w:rsid w:val="44542702"/>
    <w:rsid w:val="445762DD"/>
    <w:rsid w:val="445F3A72"/>
    <w:rsid w:val="448A39A2"/>
    <w:rsid w:val="44AE446E"/>
    <w:rsid w:val="44C00A96"/>
    <w:rsid w:val="44C3283C"/>
    <w:rsid w:val="44D05E53"/>
    <w:rsid w:val="44D202B7"/>
    <w:rsid w:val="44ED768E"/>
    <w:rsid w:val="45393CF0"/>
    <w:rsid w:val="454F6E4D"/>
    <w:rsid w:val="45753135"/>
    <w:rsid w:val="457E6AAD"/>
    <w:rsid w:val="45864857"/>
    <w:rsid w:val="45BD4425"/>
    <w:rsid w:val="45C63B78"/>
    <w:rsid w:val="45DC4158"/>
    <w:rsid w:val="45DE01A7"/>
    <w:rsid w:val="45EE07F2"/>
    <w:rsid w:val="4616486B"/>
    <w:rsid w:val="464E399B"/>
    <w:rsid w:val="468173E6"/>
    <w:rsid w:val="468D74A3"/>
    <w:rsid w:val="469143A1"/>
    <w:rsid w:val="46B053E1"/>
    <w:rsid w:val="46B35FC5"/>
    <w:rsid w:val="46BA36A3"/>
    <w:rsid w:val="46C16C66"/>
    <w:rsid w:val="46CE2F90"/>
    <w:rsid w:val="47226FD9"/>
    <w:rsid w:val="474D3FB6"/>
    <w:rsid w:val="475B2F6A"/>
    <w:rsid w:val="47A85730"/>
    <w:rsid w:val="47BB61F3"/>
    <w:rsid w:val="47CF654B"/>
    <w:rsid w:val="4801760B"/>
    <w:rsid w:val="48147089"/>
    <w:rsid w:val="4862229F"/>
    <w:rsid w:val="48947503"/>
    <w:rsid w:val="48C77FDD"/>
    <w:rsid w:val="49004C17"/>
    <w:rsid w:val="49137654"/>
    <w:rsid w:val="49207025"/>
    <w:rsid w:val="49344875"/>
    <w:rsid w:val="495D7FCB"/>
    <w:rsid w:val="498673EE"/>
    <w:rsid w:val="49A47B87"/>
    <w:rsid w:val="49B103FB"/>
    <w:rsid w:val="49B51766"/>
    <w:rsid w:val="49DF50EC"/>
    <w:rsid w:val="49E37A98"/>
    <w:rsid w:val="49FE60AB"/>
    <w:rsid w:val="4A056E6A"/>
    <w:rsid w:val="4A0A383A"/>
    <w:rsid w:val="4A11593B"/>
    <w:rsid w:val="4A387BCF"/>
    <w:rsid w:val="4A5D4EF8"/>
    <w:rsid w:val="4A7F429F"/>
    <w:rsid w:val="4A8648EC"/>
    <w:rsid w:val="4A90685C"/>
    <w:rsid w:val="4ABE4C8F"/>
    <w:rsid w:val="4ABF4F5A"/>
    <w:rsid w:val="4AD47DF0"/>
    <w:rsid w:val="4ADD45C9"/>
    <w:rsid w:val="4AFF1B0B"/>
    <w:rsid w:val="4B0140BA"/>
    <w:rsid w:val="4B1100AF"/>
    <w:rsid w:val="4B1D35F5"/>
    <w:rsid w:val="4B4E4840"/>
    <w:rsid w:val="4B4F3581"/>
    <w:rsid w:val="4B5A2315"/>
    <w:rsid w:val="4B6C0C34"/>
    <w:rsid w:val="4B7169AE"/>
    <w:rsid w:val="4B7A5635"/>
    <w:rsid w:val="4BA33329"/>
    <w:rsid w:val="4BAB4F3A"/>
    <w:rsid w:val="4BAE7C32"/>
    <w:rsid w:val="4BBA0128"/>
    <w:rsid w:val="4BC44A01"/>
    <w:rsid w:val="4BCD404B"/>
    <w:rsid w:val="4BDD73BD"/>
    <w:rsid w:val="4BF93011"/>
    <w:rsid w:val="4C0A4C0B"/>
    <w:rsid w:val="4C201C8A"/>
    <w:rsid w:val="4C206B1A"/>
    <w:rsid w:val="4C4C60C1"/>
    <w:rsid w:val="4C5D1DC9"/>
    <w:rsid w:val="4C997D3D"/>
    <w:rsid w:val="4CE948F5"/>
    <w:rsid w:val="4CF70270"/>
    <w:rsid w:val="4D0E000F"/>
    <w:rsid w:val="4D2674F1"/>
    <w:rsid w:val="4D7C539B"/>
    <w:rsid w:val="4DC75A52"/>
    <w:rsid w:val="4DCA5DFE"/>
    <w:rsid w:val="4DD679CB"/>
    <w:rsid w:val="4E035DB6"/>
    <w:rsid w:val="4E207E4B"/>
    <w:rsid w:val="4E33304B"/>
    <w:rsid w:val="4E7C33BF"/>
    <w:rsid w:val="4E805783"/>
    <w:rsid w:val="4ED17354"/>
    <w:rsid w:val="4F2C7D8B"/>
    <w:rsid w:val="4F430152"/>
    <w:rsid w:val="4F442E5D"/>
    <w:rsid w:val="4F56156D"/>
    <w:rsid w:val="4F7B5A42"/>
    <w:rsid w:val="4F93791D"/>
    <w:rsid w:val="4FAD26E1"/>
    <w:rsid w:val="4FB5643C"/>
    <w:rsid w:val="4FB57FC8"/>
    <w:rsid w:val="4FCB3005"/>
    <w:rsid w:val="50177EC4"/>
    <w:rsid w:val="501E42C6"/>
    <w:rsid w:val="50281B04"/>
    <w:rsid w:val="506E2BAE"/>
    <w:rsid w:val="50720449"/>
    <w:rsid w:val="50B536D5"/>
    <w:rsid w:val="50D3129D"/>
    <w:rsid w:val="51376F65"/>
    <w:rsid w:val="51581086"/>
    <w:rsid w:val="51592273"/>
    <w:rsid w:val="517A4869"/>
    <w:rsid w:val="51E7154B"/>
    <w:rsid w:val="52626791"/>
    <w:rsid w:val="52A8413D"/>
    <w:rsid w:val="52DA65C9"/>
    <w:rsid w:val="531B01DC"/>
    <w:rsid w:val="536253CD"/>
    <w:rsid w:val="53632D8D"/>
    <w:rsid w:val="53642FDA"/>
    <w:rsid w:val="53712680"/>
    <w:rsid w:val="5376227B"/>
    <w:rsid w:val="5382777D"/>
    <w:rsid w:val="539C61A7"/>
    <w:rsid w:val="53A53101"/>
    <w:rsid w:val="53CA410D"/>
    <w:rsid w:val="54295A39"/>
    <w:rsid w:val="54384043"/>
    <w:rsid w:val="54426862"/>
    <w:rsid w:val="546F23A0"/>
    <w:rsid w:val="54AB6D6C"/>
    <w:rsid w:val="54C25CE1"/>
    <w:rsid w:val="54C37148"/>
    <w:rsid w:val="54C561D3"/>
    <w:rsid w:val="54EF7075"/>
    <w:rsid w:val="54F545F9"/>
    <w:rsid w:val="54F62C15"/>
    <w:rsid w:val="54FB4607"/>
    <w:rsid w:val="55164028"/>
    <w:rsid w:val="554C0053"/>
    <w:rsid w:val="55667C67"/>
    <w:rsid w:val="55782AF7"/>
    <w:rsid w:val="55C667D3"/>
    <w:rsid w:val="55CC5CBD"/>
    <w:rsid w:val="55CD2886"/>
    <w:rsid w:val="55D02682"/>
    <w:rsid w:val="55EB4736"/>
    <w:rsid w:val="56226FF5"/>
    <w:rsid w:val="56615668"/>
    <w:rsid w:val="566623BE"/>
    <w:rsid w:val="566D6ED9"/>
    <w:rsid w:val="567A473C"/>
    <w:rsid w:val="568143F1"/>
    <w:rsid w:val="56AC1F16"/>
    <w:rsid w:val="56BF40CA"/>
    <w:rsid w:val="56D2754F"/>
    <w:rsid w:val="56E11251"/>
    <w:rsid w:val="57252C7C"/>
    <w:rsid w:val="57547F62"/>
    <w:rsid w:val="57831D16"/>
    <w:rsid w:val="57857ED2"/>
    <w:rsid w:val="57954FEE"/>
    <w:rsid w:val="579D2903"/>
    <w:rsid w:val="579E009D"/>
    <w:rsid w:val="58140BA6"/>
    <w:rsid w:val="58160FF1"/>
    <w:rsid w:val="58284BCC"/>
    <w:rsid w:val="582A0CFA"/>
    <w:rsid w:val="584344C4"/>
    <w:rsid w:val="5848614A"/>
    <w:rsid w:val="5854400C"/>
    <w:rsid w:val="586774A4"/>
    <w:rsid w:val="58733B38"/>
    <w:rsid w:val="58817574"/>
    <w:rsid w:val="58833B9A"/>
    <w:rsid w:val="588C25E3"/>
    <w:rsid w:val="5895531C"/>
    <w:rsid w:val="58AE34D6"/>
    <w:rsid w:val="58C039E8"/>
    <w:rsid w:val="58C31980"/>
    <w:rsid w:val="58CC20F1"/>
    <w:rsid w:val="58D51E87"/>
    <w:rsid w:val="59011C17"/>
    <w:rsid w:val="5901760E"/>
    <w:rsid w:val="593806EA"/>
    <w:rsid w:val="598B6C60"/>
    <w:rsid w:val="598C3104"/>
    <w:rsid w:val="598D761D"/>
    <w:rsid w:val="59975605"/>
    <w:rsid w:val="59A65848"/>
    <w:rsid w:val="59C24663"/>
    <w:rsid w:val="59CF49C4"/>
    <w:rsid w:val="59EA7E2A"/>
    <w:rsid w:val="5A044EC4"/>
    <w:rsid w:val="5A181932"/>
    <w:rsid w:val="5A1A46F2"/>
    <w:rsid w:val="5A5E72AE"/>
    <w:rsid w:val="5A5E7EA7"/>
    <w:rsid w:val="5A726A09"/>
    <w:rsid w:val="5A7B2DE2"/>
    <w:rsid w:val="5A9963EA"/>
    <w:rsid w:val="5AA12504"/>
    <w:rsid w:val="5AC02934"/>
    <w:rsid w:val="5ACB7783"/>
    <w:rsid w:val="5AFA5E4B"/>
    <w:rsid w:val="5B111798"/>
    <w:rsid w:val="5B173BB7"/>
    <w:rsid w:val="5B7C5BCF"/>
    <w:rsid w:val="5BC60A35"/>
    <w:rsid w:val="5BCB3FDF"/>
    <w:rsid w:val="5BCD767D"/>
    <w:rsid w:val="5BEF0C8B"/>
    <w:rsid w:val="5C1A0104"/>
    <w:rsid w:val="5C2A6B4C"/>
    <w:rsid w:val="5C2F6ADA"/>
    <w:rsid w:val="5C2F7D76"/>
    <w:rsid w:val="5C3D0A3C"/>
    <w:rsid w:val="5C410FEB"/>
    <w:rsid w:val="5C743C9D"/>
    <w:rsid w:val="5C934F21"/>
    <w:rsid w:val="5CA1390D"/>
    <w:rsid w:val="5CB26333"/>
    <w:rsid w:val="5CBC3D63"/>
    <w:rsid w:val="5CCC6B20"/>
    <w:rsid w:val="5CEE7736"/>
    <w:rsid w:val="5CFB5EAA"/>
    <w:rsid w:val="5D206F66"/>
    <w:rsid w:val="5D217777"/>
    <w:rsid w:val="5D2E002E"/>
    <w:rsid w:val="5D375A6E"/>
    <w:rsid w:val="5D7C523D"/>
    <w:rsid w:val="5D7D3449"/>
    <w:rsid w:val="5D9A1666"/>
    <w:rsid w:val="5D9C229D"/>
    <w:rsid w:val="5DAA6D34"/>
    <w:rsid w:val="5E4B29E5"/>
    <w:rsid w:val="5E6119B1"/>
    <w:rsid w:val="5E8565E7"/>
    <w:rsid w:val="5EB02019"/>
    <w:rsid w:val="5EC5531C"/>
    <w:rsid w:val="5EE13CC4"/>
    <w:rsid w:val="5F502495"/>
    <w:rsid w:val="5FA8125C"/>
    <w:rsid w:val="5FD0789F"/>
    <w:rsid w:val="5FE118BA"/>
    <w:rsid w:val="5FEB2206"/>
    <w:rsid w:val="5FF40165"/>
    <w:rsid w:val="5FF76453"/>
    <w:rsid w:val="60477F9C"/>
    <w:rsid w:val="60593614"/>
    <w:rsid w:val="60870181"/>
    <w:rsid w:val="60891E51"/>
    <w:rsid w:val="60A236D8"/>
    <w:rsid w:val="60AE7E03"/>
    <w:rsid w:val="60D127A1"/>
    <w:rsid w:val="60FB46CB"/>
    <w:rsid w:val="61053DDD"/>
    <w:rsid w:val="610754F5"/>
    <w:rsid w:val="612E29D1"/>
    <w:rsid w:val="613528A4"/>
    <w:rsid w:val="619C7C5C"/>
    <w:rsid w:val="619E53BF"/>
    <w:rsid w:val="61A579A8"/>
    <w:rsid w:val="61BE7630"/>
    <w:rsid w:val="61C3343B"/>
    <w:rsid w:val="61D8602B"/>
    <w:rsid w:val="62353C0D"/>
    <w:rsid w:val="624803B6"/>
    <w:rsid w:val="625007BF"/>
    <w:rsid w:val="625B620F"/>
    <w:rsid w:val="627051C5"/>
    <w:rsid w:val="628218E8"/>
    <w:rsid w:val="62B209ED"/>
    <w:rsid w:val="62C2093C"/>
    <w:rsid w:val="62CD65B8"/>
    <w:rsid w:val="62EF1E31"/>
    <w:rsid w:val="630F26B0"/>
    <w:rsid w:val="63191339"/>
    <w:rsid w:val="631B1054"/>
    <w:rsid w:val="635051A2"/>
    <w:rsid w:val="636367C4"/>
    <w:rsid w:val="63640F73"/>
    <w:rsid w:val="638970C0"/>
    <w:rsid w:val="63C20235"/>
    <w:rsid w:val="63CB65D6"/>
    <w:rsid w:val="64082877"/>
    <w:rsid w:val="641E417B"/>
    <w:rsid w:val="6424218B"/>
    <w:rsid w:val="642E7B90"/>
    <w:rsid w:val="64326656"/>
    <w:rsid w:val="645A7270"/>
    <w:rsid w:val="647B69D3"/>
    <w:rsid w:val="647D1F9D"/>
    <w:rsid w:val="64C33752"/>
    <w:rsid w:val="64D76404"/>
    <w:rsid w:val="64FA41EC"/>
    <w:rsid w:val="64FC53D1"/>
    <w:rsid w:val="65344A6E"/>
    <w:rsid w:val="65494F78"/>
    <w:rsid w:val="65B35ADB"/>
    <w:rsid w:val="65BF6C45"/>
    <w:rsid w:val="65D60431"/>
    <w:rsid w:val="660B53B0"/>
    <w:rsid w:val="660F67BE"/>
    <w:rsid w:val="661C201B"/>
    <w:rsid w:val="663779AB"/>
    <w:rsid w:val="66795925"/>
    <w:rsid w:val="668C2575"/>
    <w:rsid w:val="672D0789"/>
    <w:rsid w:val="67392099"/>
    <w:rsid w:val="673A3A26"/>
    <w:rsid w:val="67784682"/>
    <w:rsid w:val="67997E3A"/>
    <w:rsid w:val="67B60119"/>
    <w:rsid w:val="67B66B94"/>
    <w:rsid w:val="67D817B1"/>
    <w:rsid w:val="683F57E5"/>
    <w:rsid w:val="684150B9"/>
    <w:rsid w:val="687A2C35"/>
    <w:rsid w:val="687C4343"/>
    <w:rsid w:val="688A63C1"/>
    <w:rsid w:val="68DC118F"/>
    <w:rsid w:val="68F64182"/>
    <w:rsid w:val="690F2569"/>
    <w:rsid w:val="69334062"/>
    <w:rsid w:val="6962728F"/>
    <w:rsid w:val="69B54A8C"/>
    <w:rsid w:val="69EF02B7"/>
    <w:rsid w:val="69F75A58"/>
    <w:rsid w:val="6A1C0EBD"/>
    <w:rsid w:val="6A302FA3"/>
    <w:rsid w:val="6A484735"/>
    <w:rsid w:val="6A484E25"/>
    <w:rsid w:val="6A803748"/>
    <w:rsid w:val="6A991F9B"/>
    <w:rsid w:val="6A9D0087"/>
    <w:rsid w:val="6AC2542A"/>
    <w:rsid w:val="6AD713C8"/>
    <w:rsid w:val="6AF65A35"/>
    <w:rsid w:val="6B19329D"/>
    <w:rsid w:val="6B2B3DFF"/>
    <w:rsid w:val="6B465590"/>
    <w:rsid w:val="6B4B78C9"/>
    <w:rsid w:val="6B8C0E92"/>
    <w:rsid w:val="6B922814"/>
    <w:rsid w:val="6BBD1575"/>
    <w:rsid w:val="6BC82B25"/>
    <w:rsid w:val="6BD352DB"/>
    <w:rsid w:val="6C066D46"/>
    <w:rsid w:val="6C1825DC"/>
    <w:rsid w:val="6C44571F"/>
    <w:rsid w:val="6C4C6481"/>
    <w:rsid w:val="6CEB5F3B"/>
    <w:rsid w:val="6D2356D5"/>
    <w:rsid w:val="6D81727B"/>
    <w:rsid w:val="6D8C05D5"/>
    <w:rsid w:val="6DF03907"/>
    <w:rsid w:val="6E0076ED"/>
    <w:rsid w:val="6E3054BE"/>
    <w:rsid w:val="6E510020"/>
    <w:rsid w:val="6E895871"/>
    <w:rsid w:val="6E8E3022"/>
    <w:rsid w:val="6E98315A"/>
    <w:rsid w:val="6F010911"/>
    <w:rsid w:val="6F5C37CA"/>
    <w:rsid w:val="6F6B1DED"/>
    <w:rsid w:val="6F7C5542"/>
    <w:rsid w:val="6FA80BBD"/>
    <w:rsid w:val="6FAD3CA9"/>
    <w:rsid w:val="6FBD6CB9"/>
    <w:rsid w:val="6FCF5D23"/>
    <w:rsid w:val="6FD17590"/>
    <w:rsid w:val="6FEF12D1"/>
    <w:rsid w:val="705E2AF6"/>
    <w:rsid w:val="706B7C31"/>
    <w:rsid w:val="706D4464"/>
    <w:rsid w:val="707C51FB"/>
    <w:rsid w:val="70941663"/>
    <w:rsid w:val="709F775F"/>
    <w:rsid w:val="70BB5063"/>
    <w:rsid w:val="70C53B3E"/>
    <w:rsid w:val="70EC4390"/>
    <w:rsid w:val="710D5505"/>
    <w:rsid w:val="710E7F23"/>
    <w:rsid w:val="714E2BDF"/>
    <w:rsid w:val="7150018A"/>
    <w:rsid w:val="715D6248"/>
    <w:rsid w:val="7165375A"/>
    <w:rsid w:val="71914D68"/>
    <w:rsid w:val="71A92237"/>
    <w:rsid w:val="71C900DE"/>
    <w:rsid w:val="71D75795"/>
    <w:rsid w:val="71E952CC"/>
    <w:rsid w:val="71FC15A2"/>
    <w:rsid w:val="720E25EB"/>
    <w:rsid w:val="72194564"/>
    <w:rsid w:val="722A1277"/>
    <w:rsid w:val="722E19DD"/>
    <w:rsid w:val="725B1454"/>
    <w:rsid w:val="727C1AD4"/>
    <w:rsid w:val="72C6583F"/>
    <w:rsid w:val="72EF3440"/>
    <w:rsid w:val="73532623"/>
    <w:rsid w:val="73581DDB"/>
    <w:rsid w:val="736600CA"/>
    <w:rsid w:val="736741AA"/>
    <w:rsid w:val="73683E42"/>
    <w:rsid w:val="738F4DC4"/>
    <w:rsid w:val="73A03374"/>
    <w:rsid w:val="73BF77DA"/>
    <w:rsid w:val="73C3687C"/>
    <w:rsid w:val="73ED0074"/>
    <w:rsid w:val="741F4D58"/>
    <w:rsid w:val="74284E02"/>
    <w:rsid w:val="7444152B"/>
    <w:rsid w:val="744D1F5C"/>
    <w:rsid w:val="745631DF"/>
    <w:rsid w:val="746E7E16"/>
    <w:rsid w:val="747970FF"/>
    <w:rsid w:val="74835301"/>
    <w:rsid w:val="748C676F"/>
    <w:rsid w:val="748D6652"/>
    <w:rsid w:val="74B041F8"/>
    <w:rsid w:val="74B66250"/>
    <w:rsid w:val="74D379E1"/>
    <w:rsid w:val="74D53759"/>
    <w:rsid w:val="74D74DEE"/>
    <w:rsid w:val="750648B0"/>
    <w:rsid w:val="750D40AB"/>
    <w:rsid w:val="751C614A"/>
    <w:rsid w:val="75981A19"/>
    <w:rsid w:val="75B01534"/>
    <w:rsid w:val="75C50142"/>
    <w:rsid w:val="75EB0D5A"/>
    <w:rsid w:val="75EF084A"/>
    <w:rsid w:val="76395FF6"/>
    <w:rsid w:val="764F12A7"/>
    <w:rsid w:val="76530DD9"/>
    <w:rsid w:val="766541A9"/>
    <w:rsid w:val="766B0B94"/>
    <w:rsid w:val="76973313"/>
    <w:rsid w:val="76B96380"/>
    <w:rsid w:val="76EF03D6"/>
    <w:rsid w:val="770411AA"/>
    <w:rsid w:val="77121C8D"/>
    <w:rsid w:val="773A3D47"/>
    <w:rsid w:val="7754197B"/>
    <w:rsid w:val="77545CF4"/>
    <w:rsid w:val="775841CD"/>
    <w:rsid w:val="777E5046"/>
    <w:rsid w:val="77876F21"/>
    <w:rsid w:val="77E61A66"/>
    <w:rsid w:val="77F30AD8"/>
    <w:rsid w:val="780113D8"/>
    <w:rsid w:val="78221F61"/>
    <w:rsid w:val="782E0EB8"/>
    <w:rsid w:val="78590854"/>
    <w:rsid w:val="785D6C46"/>
    <w:rsid w:val="785E095F"/>
    <w:rsid w:val="7875547E"/>
    <w:rsid w:val="788C0F3B"/>
    <w:rsid w:val="789E536D"/>
    <w:rsid w:val="78E310F6"/>
    <w:rsid w:val="78FE7BB6"/>
    <w:rsid w:val="7924080B"/>
    <w:rsid w:val="794C17CC"/>
    <w:rsid w:val="79B23631"/>
    <w:rsid w:val="79B80F53"/>
    <w:rsid w:val="79BF6786"/>
    <w:rsid w:val="79EC61F6"/>
    <w:rsid w:val="7A0A223C"/>
    <w:rsid w:val="7A4647B1"/>
    <w:rsid w:val="7A570777"/>
    <w:rsid w:val="7A754115"/>
    <w:rsid w:val="7A97566F"/>
    <w:rsid w:val="7ABE2599"/>
    <w:rsid w:val="7AC36B6F"/>
    <w:rsid w:val="7ADD08E8"/>
    <w:rsid w:val="7B160C66"/>
    <w:rsid w:val="7B1C7868"/>
    <w:rsid w:val="7B763E80"/>
    <w:rsid w:val="7B7C4451"/>
    <w:rsid w:val="7BC6405E"/>
    <w:rsid w:val="7BF85F7F"/>
    <w:rsid w:val="7C1E26B7"/>
    <w:rsid w:val="7C3004D5"/>
    <w:rsid w:val="7C4B0AF4"/>
    <w:rsid w:val="7C6C4058"/>
    <w:rsid w:val="7C806262"/>
    <w:rsid w:val="7CAF663E"/>
    <w:rsid w:val="7CC62D94"/>
    <w:rsid w:val="7CE71611"/>
    <w:rsid w:val="7D052AED"/>
    <w:rsid w:val="7D1538C8"/>
    <w:rsid w:val="7D2F59D0"/>
    <w:rsid w:val="7D3B05B6"/>
    <w:rsid w:val="7D3B2145"/>
    <w:rsid w:val="7D4716CE"/>
    <w:rsid w:val="7D5158CF"/>
    <w:rsid w:val="7EA63720"/>
    <w:rsid w:val="7F0B55EB"/>
    <w:rsid w:val="7F227F4D"/>
    <w:rsid w:val="7F231018"/>
    <w:rsid w:val="7F482482"/>
    <w:rsid w:val="7F693216"/>
    <w:rsid w:val="7F8054B6"/>
    <w:rsid w:val="7F92176E"/>
    <w:rsid w:val="7F9222E3"/>
    <w:rsid w:val="7F9E5EDC"/>
    <w:rsid w:val="7FAA2F02"/>
    <w:rsid w:val="7FE733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9" w:semiHidden="0" w:name="heading 3"/>
    <w:lsdException w:qFormat="1" w:unhideWhenUsed="0" w:uiPriority="0" w:semiHidden="0" w:name="heading 4"/>
    <w:lsdException w:qFormat="1" w:unhideWhenUsed="0" w:uiPriority="1"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iPriority="39"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rFonts w:eastAsia="Century Gothic"/>
      <w:b/>
      <w:bCs/>
      <w:kern w:val="44"/>
      <w:sz w:val="44"/>
      <w:szCs w:val="44"/>
    </w:rPr>
  </w:style>
  <w:style w:type="paragraph" w:styleId="4">
    <w:name w:val="heading 2"/>
    <w:basedOn w:val="1"/>
    <w:next w:val="1"/>
    <w:qFormat/>
    <w:uiPriority w:val="99"/>
    <w:pPr>
      <w:keepNext/>
      <w:adjustRightInd w:val="0"/>
      <w:spacing w:line="360" w:lineRule="auto"/>
      <w:outlineLvl w:val="1"/>
    </w:pPr>
    <w:rPr>
      <w:rFonts w:ascii="仿宋_GB2312" w:hAnsi="宋体" w:eastAsia="仿宋_GB2312"/>
      <w:kern w:val="0"/>
      <w:sz w:val="30"/>
      <w:szCs w:val="20"/>
    </w:rPr>
  </w:style>
  <w:style w:type="paragraph" w:styleId="5">
    <w:name w:val="heading 3"/>
    <w:basedOn w:val="1"/>
    <w:next w:val="1"/>
    <w:qFormat/>
    <w:uiPriority w:val="9"/>
    <w:pPr>
      <w:keepNext/>
      <w:keepLines/>
      <w:spacing w:before="260" w:after="260" w:line="416" w:lineRule="auto"/>
      <w:outlineLvl w:val="2"/>
    </w:pPr>
    <w:rPr>
      <w:sz w:val="32"/>
      <w:szCs w:val="32"/>
    </w:rPr>
  </w:style>
  <w:style w:type="paragraph" w:styleId="6">
    <w:name w:val="heading 4"/>
    <w:basedOn w:val="1"/>
    <w:next w:val="7"/>
    <w:qFormat/>
    <w:uiPriority w:val="0"/>
    <w:pPr>
      <w:keepNext/>
      <w:keepLines/>
      <w:spacing w:line="540" w:lineRule="atLeast"/>
      <w:outlineLvl w:val="3"/>
    </w:pPr>
    <w:rPr>
      <w:sz w:val="28"/>
      <w:szCs w:val="28"/>
    </w:rPr>
  </w:style>
  <w:style w:type="paragraph" w:styleId="9">
    <w:name w:val="heading 5"/>
    <w:basedOn w:val="1"/>
    <w:next w:val="1"/>
    <w:qFormat/>
    <w:uiPriority w:val="1"/>
    <w:pPr>
      <w:ind w:left="800"/>
      <w:outlineLvl w:val="4"/>
    </w:pPr>
    <w:rPr>
      <w:rFonts w:ascii="宋体" w:hAnsi="宋体" w:cs="宋体"/>
      <w:b/>
      <w:bCs/>
      <w:sz w:val="24"/>
      <w:lang w:val="zh-CN" w:bidi="zh-CN"/>
    </w:rPr>
  </w:style>
  <w:style w:type="paragraph" w:styleId="10">
    <w:name w:val="heading 6"/>
    <w:basedOn w:val="1"/>
    <w:next w:val="1"/>
    <w:qFormat/>
    <w:uiPriority w:val="0"/>
    <w:pPr>
      <w:keepNext/>
      <w:keepLines/>
      <w:spacing w:line="320" w:lineRule="auto"/>
      <w:outlineLvl w:val="5"/>
    </w:pPr>
    <w:rPr>
      <w:rFonts w:ascii="Arial" w:hAnsi="Arial" w:eastAsia="黑体"/>
      <w:b/>
      <w:bCs/>
      <w:sz w:val="24"/>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line="360" w:lineRule="exact"/>
    </w:pPr>
    <w:rPr>
      <w:sz w:val="24"/>
    </w:rPr>
  </w:style>
  <w:style w:type="paragraph" w:styleId="7">
    <w:name w:val="Plain Text"/>
    <w:basedOn w:val="1"/>
    <w:next w:val="8"/>
    <w:qFormat/>
    <w:uiPriority w:val="0"/>
    <w:rPr>
      <w:rFonts w:ascii="宋体" w:hAnsi="Courier New"/>
    </w:rPr>
  </w:style>
  <w:style w:type="paragraph" w:styleId="8">
    <w:name w:val="index 7"/>
    <w:basedOn w:val="1"/>
    <w:next w:val="1"/>
    <w:qFormat/>
    <w:uiPriority w:val="0"/>
    <w:pPr>
      <w:ind w:left="1200" w:leftChars="1200"/>
    </w:pPr>
  </w:style>
  <w:style w:type="paragraph" w:styleId="11">
    <w:name w:val="table of authorities"/>
    <w:basedOn w:val="1"/>
    <w:next w:val="1"/>
    <w:qFormat/>
    <w:uiPriority w:val="0"/>
    <w:pPr>
      <w:ind w:left="420" w:leftChars="200"/>
    </w:pPr>
  </w:style>
  <w:style w:type="paragraph" w:styleId="12">
    <w:name w:val="List Number"/>
    <w:basedOn w:val="1"/>
    <w:qFormat/>
    <w:uiPriority w:val="0"/>
    <w:pPr>
      <w:numPr>
        <w:ilvl w:val="0"/>
        <w:numId w:val="1"/>
      </w:numPr>
    </w:pPr>
  </w:style>
  <w:style w:type="paragraph" w:styleId="13">
    <w:name w:val="Normal Indent"/>
    <w:basedOn w:val="1"/>
    <w:next w:val="1"/>
    <w:qFormat/>
    <w:uiPriority w:val="0"/>
    <w:pPr>
      <w:ind w:firstLine="420"/>
    </w:pPr>
    <w:rPr>
      <w:rFonts w:ascii="宋体" w:hAnsi="Courier New"/>
    </w:rPr>
  </w:style>
  <w:style w:type="paragraph" w:styleId="14">
    <w:name w:val="caption"/>
    <w:basedOn w:val="1"/>
    <w:next w:val="1"/>
    <w:qFormat/>
    <w:uiPriority w:val="0"/>
    <w:pPr>
      <w:spacing w:before="152" w:after="160"/>
    </w:pPr>
    <w:rPr>
      <w:rFonts w:ascii="Arial" w:hAnsi="Arial" w:eastAsia="黑体" w:cs="Arial"/>
      <w:sz w:val="20"/>
      <w:szCs w:val="20"/>
    </w:rPr>
  </w:style>
  <w:style w:type="paragraph" w:styleId="15">
    <w:name w:val="annotation text"/>
    <w:basedOn w:val="1"/>
    <w:qFormat/>
    <w:uiPriority w:val="0"/>
    <w:pPr>
      <w:jc w:val="left"/>
    </w:pPr>
  </w:style>
  <w:style w:type="paragraph" w:styleId="16">
    <w:name w:val="Body Text Indent"/>
    <w:basedOn w:val="1"/>
    <w:next w:val="13"/>
    <w:qFormat/>
    <w:uiPriority w:val="0"/>
    <w:pPr>
      <w:spacing w:line="400" w:lineRule="atLeast"/>
      <w:ind w:left="210" w:firstLine="210"/>
    </w:pPr>
    <w:rPr>
      <w:rFonts w:hint="eastAsia" w:ascii="宋体" w:hAnsi="宋体"/>
      <w:szCs w:val="20"/>
    </w:rPr>
  </w:style>
  <w:style w:type="paragraph" w:styleId="17">
    <w:name w:val="Block Text"/>
    <w:basedOn w:val="1"/>
    <w:unhideWhenUsed/>
    <w:qFormat/>
    <w:uiPriority w:val="99"/>
    <w:pPr>
      <w:spacing w:after="120"/>
      <w:ind w:left="1440" w:leftChars="700" w:right="1440" w:rightChars="700"/>
    </w:pPr>
  </w:style>
  <w:style w:type="paragraph" w:styleId="18">
    <w:name w:val="toc 3"/>
    <w:basedOn w:val="1"/>
    <w:next w:val="1"/>
    <w:unhideWhenUsed/>
    <w:qFormat/>
    <w:uiPriority w:val="39"/>
    <w:pPr>
      <w:ind w:left="200" w:leftChars="200"/>
    </w:pPr>
    <w:rPr>
      <w:rFonts w:eastAsia="仿宋"/>
      <w:b/>
    </w:rPr>
  </w:style>
  <w:style w:type="paragraph" w:styleId="19">
    <w:name w:val="Date"/>
    <w:basedOn w:val="1"/>
    <w:next w:val="1"/>
    <w:qFormat/>
    <w:uiPriority w:val="0"/>
    <w:pPr>
      <w:ind w:left="100" w:leftChars="2500"/>
    </w:pPr>
  </w:style>
  <w:style w:type="paragraph" w:styleId="20">
    <w:name w:val="Body Text Indent 2"/>
    <w:basedOn w:val="1"/>
    <w:qFormat/>
    <w:uiPriority w:val="0"/>
    <w:pPr>
      <w:spacing w:line="432" w:lineRule="auto"/>
      <w:ind w:firstLine="480" w:firstLineChars="200"/>
    </w:pPr>
    <w:rPr>
      <w:sz w:val="24"/>
      <w:szCs w:val="21"/>
    </w:rPr>
  </w:style>
  <w:style w:type="paragraph" w:styleId="21">
    <w:name w:val="footer"/>
    <w:basedOn w:val="1"/>
    <w:qFormat/>
    <w:uiPriority w:val="0"/>
    <w:pPr>
      <w:tabs>
        <w:tab w:val="center" w:pos="4153"/>
        <w:tab w:val="right" w:pos="8306"/>
      </w:tabs>
      <w:snapToGrid w:val="0"/>
      <w:jc w:val="left"/>
    </w:pPr>
    <w:rPr>
      <w:sz w:val="18"/>
      <w:szCs w:val="18"/>
    </w:rPr>
  </w:style>
  <w:style w:type="paragraph" w:styleId="2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0"/>
    <w:pPr>
      <w:tabs>
        <w:tab w:val="right" w:leader="dot" w:pos="9060"/>
        <w:tab w:val="right" w:leader="dot" w:pos="9170"/>
      </w:tabs>
      <w:jc w:val="center"/>
    </w:pPr>
    <w:rPr>
      <w:rFonts w:ascii="仿宋_GB2312" w:eastAsia="仿宋_GB2312"/>
      <w:b/>
      <w:caps/>
      <w:color w:val="000000"/>
      <w:sz w:val="20"/>
      <w:szCs w:val="20"/>
    </w:rPr>
  </w:style>
  <w:style w:type="paragraph" w:styleId="24">
    <w:name w:val="toc 6"/>
    <w:basedOn w:val="1"/>
    <w:next w:val="1"/>
    <w:qFormat/>
    <w:uiPriority w:val="0"/>
    <w:pPr>
      <w:spacing w:line="360" w:lineRule="auto"/>
      <w:ind w:left="960" w:firstLine="200" w:firstLineChars="200"/>
      <w:jc w:val="left"/>
    </w:pPr>
    <w:rPr>
      <w:sz w:val="20"/>
      <w:szCs w:val="20"/>
    </w:rPr>
  </w:style>
  <w:style w:type="paragraph" w:styleId="25">
    <w:name w:val="Body Text Indent 3"/>
    <w:basedOn w:val="1"/>
    <w:qFormat/>
    <w:uiPriority w:val="0"/>
    <w:pPr>
      <w:snapToGrid w:val="0"/>
      <w:ind w:firstLine="480" w:firstLineChars="200"/>
      <w:jc w:val="left"/>
    </w:pPr>
    <w:rPr>
      <w:rFonts w:ascii="仿宋_GB2312" w:hAnsi="宋体" w:eastAsia="仿宋_GB2312"/>
      <w:color w:val="000000"/>
      <w:sz w:val="24"/>
    </w:rPr>
  </w:style>
  <w:style w:type="paragraph" w:styleId="26">
    <w:name w:val="toc 2"/>
    <w:basedOn w:val="1"/>
    <w:next w:val="1"/>
    <w:qFormat/>
    <w:uiPriority w:val="0"/>
    <w:pPr>
      <w:tabs>
        <w:tab w:val="right" w:leader="dot" w:pos="9170"/>
      </w:tabs>
      <w:ind w:left="210" w:firstLine="150"/>
      <w:jc w:val="left"/>
    </w:pPr>
    <w:rPr>
      <w:smallCaps/>
      <w:sz w:val="20"/>
      <w:szCs w:val="20"/>
    </w:rPr>
  </w:style>
  <w:style w:type="paragraph" w:styleId="27">
    <w:name w:val="Normal (Web)"/>
    <w:basedOn w:val="1"/>
    <w:qFormat/>
    <w:uiPriority w:val="99"/>
    <w:pPr>
      <w:widowControl/>
      <w:spacing w:before="100" w:beforeAutospacing="1" w:after="100" w:afterAutospacing="1"/>
      <w:jc w:val="left"/>
    </w:pPr>
    <w:rPr>
      <w:rFonts w:ascii="宋体"/>
      <w:kern w:val="0"/>
      <w:sz w:val="24"/>
    </w:rPr>
  </w:style>
  <w:style w:type="paragraph" w:styleId="28">
    <w:name w:val="Title"/>
    <w:basedOn w:val="1"/>
    <w:next w:val="1"/>
    <w:qFormat/>
    <w:uiPriority w:val="0"/>
    <w:pPr>
      <w:jc w:val="center"/>
    </w:pPr>
    <w:rPr>
      <w:rFonts w:ascii="Arial" w:hAnsi="Arial"/>
      <w:b/>
      <w:kern w:val="0"/>
      <w:sz w:val="36"/>
      <w:lang w:eastAsia="en-US"/>
    </w:rPr>
  </w:style>
  <w:style w:type="paragraph" w:styleId="29">
    <w:name w:val="Body Text First Indent"/>
    <w:basedOn w:val="2"/>
    <w:qFormat/>
    <w:uiPriority w:val="0"/>
    <w:pPr>
      <w:spacing w:after="120"/>
      <w:ind w:firstLine="420" w:firstLineChars="100"/>
    </w:pPr>
    <w:rPr>
      <w:rFonts w:ascii="Times New Roman"/>
      <w:sz w:val="21"/>
    </w:rPr>
  </w:style>
  <w:style w:type="paragraph" w:styleId="30">
    <w:name w:val="Body Text First Indent 2"/>
    <w:basedOn w:val="1"/>
    <w:next w:val="1"/>
    <w:qFormat/>
    <w:uiPriority w:val="0"/>
    <w:pPr>
      <w:autoSpaceDE w:val="0"/>
      <w:autoSpaceDN w:val="0"/>
      <w:adjustRightInd w:val="0"/>
      <w:ind w:firstLine="420" w:firstLineChars="200"/>
      <w:jc w:val="left"/>
    </w:pPr>
  </w:style>
  <w:style w:type="table" w:styleId="32">
    <w:name w:val="Table Grid"/>
    <w:basedOn w:val="31"/>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4">
    <w:name w:val="Strong"/>
    <w:basedOn w:val="33"/>
    <w:qFormat/>
    <w:uiPriority w:val="0"/>
  </w:style>
  <w:style w:type="character" w:styleId="35">
    <w:name w:val="page number"/>
    <w:basedOn w:val="33"/>
    <w:qFormat/>
    <w:uiPriority w:val="0"/>
  </w:style>
  <w:style w:type="character" w:styleId="36">
    <w:name w:val="FollowedHyperlink"/>
    <w:basedOn w:val="33"/>
    <w:qFormat/>
    <w:uiPriority w:val="0"/>
    <w:rPr>
      <w:color w:val="333333"/>
      <w:u w:val="none"/>
    </w:rPr>
  </w:style>
  <w:style w:type="character" w:styleId="37">
    <w:name w:val="Emphasis"/>
    <w:basedOn w:val="33"/>
    <w:qFormat/>
    <w:uiPriority w:val="0"/>
  </w:style>
  <w:style w:type="character" w:styleId="38">
    <w:name w:val="Hyperlink"/>
    <w:basedOn w:val="33"/>
    <w:qFormat/>
    <w:uiPriority w:val="0"/>
    <w:rPr>
      <w:color w:val="333333"/>
      <w:u w:val="none"/>
    </w:rPr>
  </w:style>
  <w:style w:type="paragraph" w:customStyle="1" w:styleId="39">
    <w:name w:val="Heading1"/>
    <w:basedOn w:val="1"/>
    <w:next w:val="1"/>
    <w:qFormat/>
    <w:uiPriority w:val="0"/>
    <w:pPr>
      <w:keepNext/>
      <w:keepLines/>
      <w:numPr>
        <w:ilvl w:val="0"/>
        <w:numId w:val="2"/>
      </w:numPr>
      <w:spacing w:before="340" w:after="330" w:line="578" w:lineRule="auto"/>
    </w:pPr>
    <w:rPr>
      <w:rFonts w:ascii="Times New Roman" w:hAnsi="Times New Roman"/>
      <w:b/>
      <w:bCs/>
      <w:kern w:val="44"/>
      <w:sz w:val="44"/>
      <w:szCs w:val="44"/>
    </w:rPr>
  </w:style>
  <w:style w:type="paragraph" w:customStyle="1" w:styleId="40">
    <w:name w:val="Default"/>
    <w:qFormat/>
    <w:uiPriority w:val="0"/>
    <w:pPr>
      <w:widowControl w:val="0"/>
      <w:autoSpaceDE w:val="0"/>
      <w:autoSpaceDN w:val="0"/>
      <w:adjustRightInd w:val="0"/>
    </w:pPr>
    <w:rPr>
      <w:rFonts w:ascii="宋体" w:hAnsi="Calibri" w:eastAsia="等线" w:cs="宋体"/>
      <w:color w:val="000000"/>
      <w:sz w:val="24"/>
      <w:szCs w:val="24"/>
      <w:lang w:val="en-US" w:eastAsia="zh-CN" w:bidi="ar-SA"/>
    </w:rPr>
  </w:style>
  <w:style w:type="paragraph" w:customStyle="1" w:styleId="41">
    <w:name w:val="BodyText"/>
    <w:basedOn w:val="1"/>
    <w:next w:val="1"/>
    <w:qFormat/>
    <w:uiPriority w:val="0"/>
    <w:pPr>
      <w:textAlignment w:val="baseline"/>
    </w:pPr>
    <w:rPr>
      <w:b/>
      <w:sz w:val="30"/>
      <w:szCs w:val="22"/>
    </w:rPr>
  </w:style>
  <w:style w:type="paragraph" w:customStyle="1" w:styleId="42">
    <w:name w:val="表格文字"/>
    <w:basedOn w:val="43"/>
    <w:next w:val="2"/>
    <w:qFormat/>
    <w:uiPriority w:val="0"/>
    <w:pPr>
      <w:adjustRightInd w:val="0"/>
      <w:spacing w:line="420" w:lineRule="atLeast"/>
      <w:jc w:val="left"/>
      <w:textAlignment w:val="baseline"/>
    </w:pPr>
    <w:rPr>
      <w:kern w:val="0"/>
    </w:rPr>
  </w:style>
  <w:style w:type="paragraph" w:customStyle="1" w:styleId="43">
    <w:name w:val="表格文字（两侧对齐）"/>
    <w:basedOn w:val="1"/>
    <w:qFormat/>
    <w:uiPriority w:val="0"/>
    <w:pPr>
      <w:snapToGrid w:val="0"/>
    </w:pPr>
    <w:rPr>
      <w:sz w:val="20"/>
    </w:rPr>
  </w:style>
  <w:style w:type="paragraph" w:customStyle="1" w:styleId="44">
    <w:name w:val="章正文"/>
    <w:basedOn w:val="1"/>
    <w:qFormat/>
    <w:uiPriority w:val="0"/>
    <w:pPr>
      <w:spacing w:beforeLines="50" w:after="120" w:line="300" w:lineRule="auto"/>
      <w:ind w:firstLine="480"/>
    </w:pPr>
    <w:rPr>
      <w:rFonts w:ascii="Helvetica" w:hAnsi="Helvetica"/>
      <w:kern w:val="0"/>
      <w:sz w:val="24"/>
    </w:rPr>
  </w:style>
  <w:style w:type="paragraph" w:customStyle="1" w:styleId="45">
    <w:name w:val="Char"/>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46">
    <w:name w:val="正文格式"/>
    <w:basedOn w:val="1"/>
    <w:qFormat/>
    <w:uiPriority w:val="0"/>
    <w:pPr>
      <w:widowControl/>
      <w:topLinePunct/>
      <w:ind w:firstLine="420" w:firstLineChars="200"/>
    </w:pPr>
    <w:rPr>
      <w:rFonts w:ascii="宋体" w:hAnsi="宋体"/>
      <w:bCs/>
      <w:szCs w:val="21"/>
    </w:rPr>
  </w:style>
  <w:style w:type="paragraph" w:customStyle="1" w:styleId="47">
    <w:name w:val="Body Text First Indent 21"/>
    <w:basedOn w:val="48"/>
    <w:qFormat/>
    <w:uiPriority w:val="0"/>
    <w:pPr>
      <w:ind w:firstLine="420"/>
    </w:pPr>
    <w:rPr>
      <w:rFonts w:ascii="Times New Roman" w:hAnsi="Times New Roman" w:cs="宋体"/>
    </w:rPr>
  </w:style>
  <w:style w:type="paragraph" w:customStyle="1" w:styleId="48">
    <w:name w:val="Body Text Indent1"/>
    <w:basedOn w:val="1"/>
    <w:next w:val="1"/>
    <w:qFormat/>
    <w:uiPriority w:val="0"/>
    <w:pPr>
      <w:spacing w:after="120"/>
      <w:ind w:left="420" w:leftChars="200"/>
    </w:pPr>
    <w:rPr>
      <w:color w:val="000000"/>
      <w:szCs w:val="21"/>
    </w:rPr>
  </w:style>
  <w:style w:type="paragraph" w:customStyle="1" w:styleId="49">
    <w:name w:val="正文（首行缩进2字符）"/>
    <w:basedOn w:val="1"/>
    <w:qFormat/>
    <w:uiPriority w:val="0"/>
    <w:pPr>
      <w:spacing w:line="360" w:lineRule="auto"/>
      <w:ind w:firstLine="420" w:firstLineChars="200"/>
    </w:pPr>
    <w:rPr>
      <w:szCs w:val="21"/>
    </w:rPr>
  </w:style>
  <w:style w:type="paragraph" w:customStyle="1" w:styleId="50">
    <w:name w:val="_Style 2"/>
    <w:basedOn w:val="1"/>
    <w:qFormat/>
    <w:uiPriority w:val="0"/>
    <w:pPr>
      <w:ind w:firstLine="200" w:firstLineChars="200"/>
    </w:pPr>
    <w:rPr>
      <w:sz w:val="28"/>
      <w:szCs w:val="22"/>
    </w:rPr>
  </w:style>
  <w:style w:type="paragraph" w:customStyle="1" w:styleId="51">
    <w:name w:val="Char1"/>
    <w:basedOn w:val="1"/>
    <w:qFormat/>
    <w:uiPriority w:val="0"/>
    <w:rPr>
      <w:rFonts w:ascii="仿宋_GB2312" w:eastAsia="仿宋_GB2312"/>
      <w:b/>
      <w:sz w:val="32"/>
      <w:szCs w:val="32"/>
    </w:rPr>
  </w:style>
  <w:style w:type="paragraph" w:customStyle="1" w:styleId="52">
    <w:name w:val="样式 正文（首行缩进两字） + 宋体 左侧:  0 厘米 悬挂缩进: 1.43 字符"/>
    <w:basedOn w:val="13"/>
    <w:qFormat/>
    <w:uiPriority w:val="0"/>
    <w:pPr>
      <w:spacing w:line="460" w:lineRule="exact"/>
      <w:ind w:left="359" w:hanging="359" w:hangingChars="143"/>
    </w:pPr>
    <w:rPr>
      <w:rFonts w:hAnsi="宋体" w:cs="宋体"/>
      <w:spacing w:val="6"/>
      <w:kern w:val="24"/>
      <w:sz w:val="24"/>
    </w:rPr>
  </w:style>
  <w:style w:type="paragraph" w:customStyle="1" w:styleId="53">
    <w:name w:val="正文2"/>
    <w:basedOn w:val="1"/>
    <w:qFormat/>
    <w:uiPriority w:val="0"/>
    <w:pPr>
      <w:spacing w:before="156" w:line="360" w:lineRule="auto"/>
      <w:ind w:firstLine="510" w:firstLineChars="200"/>
    </w:pPr>
    <w:rPr>
      <w:sz w:val="24"/>
      <w:szCs w:val="20"/>
    </w:rPr>
  </w:style>
  <w:style w:type="paragraph" w:customStyle="1" w:styleId="54">
    <w:name w:val="正文文本缩进1"/>
    <w:basedOn w:val="1"/>
    <w:next w:val="1"/>
    <w:qFormat/>
    <w:uiPriority w:val="0"/>
    <w:pPr>
      <w:spacing w:after="120"/>
      <w:ind w:left="420" w:leftChars="200"/>
    </w:pPr>
    <w:rPr>
      <w:color w:val="000000"/>
      <w:szCs w:val="21"/>
    </w:rPr>
  </w:style>
  <w:style w:type="paragraph" w:customStyle="1" w:styleId="55">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6">
    <w:name w:val="正文首行缩进 21"/>
    <w:basedOn w:val="54"/>
    <w:qFormat/>
    <w:uiPriority w:val="0"/>
    <w:pPr>
      <w:ind w:firstLine="420"/>
    </w:pPr>
    <w:rPr>
      <w:rFonts w:ascii="Times New Roman" w:hAnsi="Times New Roman" w:cs="宋体"/>
    </w:rPr>
  </w:style>
  <w:style w:type="paragraph" w:customStyle="1" w:styleId="57">
    <w:name w:val="p0"/>
    <w:basedOn w:val="1"/>
    <w:qFormat/>
    <w:uiPriority w:val="0"/>
    <w:pPr>
      <w:widowControl/>
    </w:pPr>
    <w:rPr>
      <w:kern w:val="0"/>
      <w:szCs w:val="21"/>
    </w:rPr>
  </w:style>
  <w:style w:type="paragraph" w:customStyle="1" w:styleId="58">
    <w:name w:val="Table Paragraph"/>
    <w:basedOn w:val="1"/>
    <w:qFormat/>
    <w:uiPriority w:val="1"/>
    <w:rPr>
      <w:rFonts w:ascii="宋体" w:hAnsi="宋体" w:cs="宋体"/>
      <w:lang w:val="zh-CN" w:bidi="zh-CN"/>
    </w:rPr>
  </w:style>
  <w:style w:type="paragraph" w:customStyle="1" w:styleId="59">
    <w:name w:val="样式 正文（首行缩进两字） + 宋体 首行缩进:  0 字符"/>
    <w:basedOn w:val="13"/>
    <w:qFormat/>
    <w:uiPriority w:val="0"/>
    <w:pPr>
      <w:spacing w:line="460" w:lineRule="exact"/>
      <w:ind w:firstLine="0"/>
    </w:pPr>
    <w:rPr>
      <w:rFonts w:hAnsi="宋体" w:cs="宋体"/>
      <w:spacing w:val="6"/>
      <w:kern w:val="24"/>
      <w:sz w:val="24"/>
    </w:rPr>
  </w:style>
  <w:style w:type="paragraph" w:customStyle="1" w:styleId="60">
    <w:name w:val="列出段落1"/>
    <w:basedOn w:val="1"/>
    <w:qFormat/>
    <w:uiPriority w:val="1"/>
    <w:pPr>
      <w:ind w:left="800" w:firstLine="424"/>
    </w:pPr>
    <w:rPr>
      <w:rFonts w:ascii="宋体" w:hAnsi="宋体" w:cs="宋体"/>
      <w:lang w:val="zh-CN" w:bidi="zh-CN"/>
    </w:rPr>
  </w:style>
  <w:style w:type="paragraph" w:customStyle="1" w:styleId="61">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62">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3">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4">
    <w:name w:val="large1"/>
    <w:basedOn w:val="33"/>
    <w:qFormat/>
    <w:uiPriority w:val="0"/>
    <w:rPr>
      <w:rFonts w:hint="eastAsia" w:ascii="宋体" w:hAnsi="宋体" w:eastAsia="宋体"/>
      <w:sz w:val="21"/>
      <w:szCs w:val="21"/>
    </w:rPr>
  </w:style>
  <w:style w:type="paragraph" w:customStyle="1" w:styleId="65">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6">
    <w:name w:val="正文段"/>
    <w:qFormat/>
    <w:uiPriority w:val="0"/>
    <w:pPr>
      <w:snapToGrid w:val="0"/>
      <w:spacing w:afterLines="50"/>
      <w:ind w:firstLine="200" w:firstLineChars="200"/>
      <w:jc w:val="both"/>
    </w:pPr>
    <w:rPr>
      <w:rFonts w:ascii="Calibri" w:hAnsi="Calibri" w:eastAsia="宋体" w:cs="Times New Roman"/>
      <w:sz w:val="24"/>
      <w:lang w:val="en-US" w:eastAsia="zh-CN" w:bidi="ar-SA"/>
    </w:rPr>
  </w:style>
  <w:style w:type="paragraph" w:customStyle="1" w:styleId="67">
    <w:name w:val="正文1"/>
    <w:basedOn w:val="1"/>
    <w:qFormat/>
    <w:uiPriority w:val="0"/>
    <w:rPr>
      <w:rFonts w:ascii="宋体" w:hAnsi="宋体" w:cs="宋体"/>
    </w:rPr>
  </w:style>
  <w:style w:type="character" w:customStyle="1" w:styleId="68">
    <w:name w:val="time"/>
    <w:basedOn w:val="33"/>
    <w:qFormat/>
    <w:uiPriority w:val="0"/>
    <w:rPr>
      <w:sz w:val="18"/>
      <w:szCs w:val="18"/>
    </w:rPr>
  </w:style>
  <w:style w:type="character" w:customStyle="1" w:styleId="69">
    <w:name w:val="time1"/>
    <w:basedOn w:val="33"/>
    <w:qFormat/>
    <w:uiPriority w:val="0"/>
    <w:rPr>
      <w:sz w:val="18"/>
      <w:szCs w:val="18"/>
    </w:rPr>
  </w:style>
  <w:style w:type="character" w:customStyle="1" w:styleId="70">
    <w:name w:val="font"/>
    <w:basedOn w:val="33"/>
    <w:qFormat/>
    <w:uiPriority w:val="0"/>
    <w:rPr>
      <w:color w:val="727272"/>
      <w:sz w:val="19"/>
      <w:szCs w:val="19"/>
    </w:rPr>
  </w:style>
  <w:style w:type="character" w:customStyle="1" w:styleId="71">
    <w:name w:val="font1"/>
    <w:basedOn w:val="33"/>
    <w:qFormat/>
    <w:uiPriority w:val="0"/>
    <w:rPr>
      <w:color w:val="727272"/>
      <w:sz w:val="19"/>
      <w:szCs w:val="19"/>
    </w:rPr>
  </w:style>
  <w:style w:type="character" w:customStyle="1" w:styleId="72">
    <w:name w:val="tel"/>
    <w:basedOn w:val="33"/>
    <w:qFormat/>
    <w:uiPriority w:val="0"/>
  </w:style>
  <w:style w:type="character" w:customStyle="1" w:styleId="73">
    <w:name w:val="ul_channel"/>
    <w:basedOn w:val="33"/>
    <w:qFormat/>
    <w:uiPriority w:val="0"/>
    <w:rPr>
      <w:color w:val="333333"/>
    </w:rPr>
  </w:style>
  <w:style w:type="character" w:customStyle="1" w:styleId="74">
    <w:name w:val="ul_channel1"/>
    <w:basedOn w:val="33"/>
    <w:qFormat/>
    <w:uiPriority w:val="0"/>
    <w:rPr>
      <w:color w:val="333333"/>
    </w:rPr>
  </w:style>
  <w:style w:type="character" w:customStyle="1" w:styleId="75">
    <w:name w:val="news"/>
    <w:basedOn w:val="33"/>
    <w:qFormat/>
    <w:uiPriority w:val="0"/>
  </w:style>
  <w:style w:type="character" w:customStyle="1" w:styleId="76">
    <w:name w:val="span_s"/>
    <w:basedOn w:val="33"/>
    <w:qFormat/>
    <w:uiPriority w:val="0"/>
  </w:style>
  <w:style w:type="character" w:customStyle="1" w:styleId="77">
    <w:name w:val="time2"/>
    <w:basedOn w:val="33"/>
    <w:qFormat/>
    <w:uiPriority w:val="0"/>
  </w:style>
  <w:style w:type="character" w:customStyle="1" w:styleId="78">
    <w:name w:val="time3"/>
    <w:basedOn w:val="33"/>
    <w:qFormat/>
    <w:uiPriority w:val="0"/>
  </w:style>
  <w:style w:type="character" w:customStyle="1" w:styleId="79">
    <w:name w:val="zfjc"/>
    <w:basedOn w:val="33"/>
    <w:qFormat/>
    <w:uiPriority w:val="0"/>
  </w:style>
  <w:style w:type="character" w:customStyle="1" w:styleId="80">
    <w:name w:val="event"/>
    <w:basedOn w:val="33"/>
    <w:qFormat/>
    <w:uiPriority w:val="0"/>
  </w:style>
  <w:style w:type="character" w:customStyle="1" w:styleId="81">
    <w:name w:val="event1"/>
    <w:basedOn w:val="33"/>
    <w:qFormat/>
    <w:uiPriority w:val="0"/>
  </w:style>
  <w:style w:type="character" w:customStyle="1" w:styleId="82">
    <w:name w:val="event2"/>
    <w:basedOn w:val="33"/>
    <w:qFormat/>
    <w:uiPriority w:val="0"/>
  </w:style>
  <w:style w:type="character" w:customStyle="1" w:styleId="83">
    <w:name w:val="sea_co"/>
    <w:basedOn w:val="33"/>
    <w:qFormat/>
    <w:uiPriority w:val="0"/>
    <w:rPr>
      <w:sz w:val="18"/>
      <w:szCs w:val="18"/>
    </w:rPr>
  </w:style>
  <w:style w:type="character" w:customStyle="1" w:styleId="84">
    <w:name w:val="span_l"/>
    <w:basedOn w:val="33"/>
    <w:qFormat/>
    <w:uiPriority w:val="0"/>
  </w:style>
  <w:style w:type="character" w:customStyle="1" w:styleId="85">
    <w:name w:val="channel_t"/>
    <w:basedOn w:val="33"/>
    <w:qFormat/>
    <w:uiPriority w:val="0"/>
    <w:rPr>
      <w:sz w:val="21"/>
      <w:szCs w:val="21"/>
    </w:rPr>
  </w:style>
  <w:style w:type="character" w:customStyle="1" w:styleId="86">
    <w:name w:val="NormalCharacter"/>
    <w:qFormat/>
    <w:uiPriority w:val="0"/>
    <w:rPr>
      <w:rFonts w:ascii="Calibri" w:hAnsi="Calibri" w:eastAsia="宋体" w:cs="Times New Roman"/>
    </w:rPr>
  </w:style>
  <w:style w:type="paragraph" w:customStyle="1" w:styleId="87">
    <w:name w:val="纯文本1"/>
    <w:basedOn w:val="88"/>
    <w:qFormat/>
    <w:uiPriority w:val="0"/>
    <w:pPr>
      <w:widowControl/>
      <w:jc w:val="left"/>
    </w:pPr>
    <w:rPr>
      <w:rFonts w:ascii="宋体" w:hAnsi="Courier New"/>
    </w:rPr>
  </w:style>
  <w:style w:type="paragraph" w:customStyle="1" w:styleId="88">
    <w:name w:val="正文3"/>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89">
    <w:name w:val="无间隔1"/>
    <w:qFormat/>
    <w:uiPriority w:val="1"/>
    <w:rPr>
      <w:rFonts w:ascii="Calibri" w:hAnsi="Calibri" w:eastAsia="宋体" w:cs="Times New Roman"/>
      <w:sz w:val="22"/>
      <w:szCs w:val="22"/>
      <w:lang w:val="en-US" w:eastAsia="zh-CN" w:bidi="ar-SA"/>
    </w:rPr>
  </w:style>
  <w:style w:type="paragraph" w:customStyle="1" w:styleId="90">
    <w:name w:val="样式1"/>
    <w:basedOn w:val="22"/>
    <w:qFormat/>
    <w:uiPriority w:val="0"/>
    <w:rPr>
      <w:rFonts w:eastAsia="仿宋"/>
      <w:b/>
    </w:rPr>
  </w:style>
  <w:style w:type="paragraph" w:customStyle="1" w:styleId="91">
    <w:name w:val="[Normal]"/>
    <w:qFormat/>
    <w:uiPriority w:val="0"/>
    <w:rPr>
      <w:rFonts w:ascii="宋体" w:hAnsi="宋体" w:eastAsia="宋体" w:cs="Times New Roman"/>
      <w:sz w:val="24"/>
      <w:lang w:val="en-US" w:eastAsia="en-US" w:bidi="ar-SA"/>
    </w:rPr>
  </w:style>
  <w:style w:type="paragraph" w:customStyle="1" w:styleId="92">
    <w:name w:val="Char3"/>
    <w:basedOn w:val="1"/>
    <w:qFormat/>
    <w:uiPriority w:val="99"/>
    <w:pPr>
      <w:adjustRightInd w:val="0"/>
      <w:spacing w:line="360" w:lineRule="auto"/>
    </w:pPr>
    <w:rPr>
      <w:kern w:val="0"/>
      <w:sz w:val="24"/>
      <w:szCs w:val="20"/>
    </w:rPr>
  </w:style>
  <w:style w:type="character" w:customStyle="1" w:styleId="93">
    <w:name w:val="font11"/>
    <w:basedOn w:val="33"/>
    <w:qFormat/>
    <w:uiPriority w:val="0"/>
    <w:rPr>
      <w:rFonts w:hint="default" w:ascii="Wingdings 2" w:hAnsi="Wingdings 2" w:eastAsia="Wingdings 2" w:cs="Wingdings 2"/>
      <w:color w:val="000000"/>
      <w:sz w:val="22"/>
      <w:szCs w:val="22"/>
      <w:u w:val="none"/>
    </w:rPr>
  </w:style>
  <w:style w:type="character" w:customStyle="1" w:styleId="94">
    <w:name w:val="font21"/>
    <w:basedOn w:val="33"/>
    <w:qFormat/>
    <w:uiPriority w:val="0"/>
    <w:rPr>
      <w:rFonts w:hint="eastAsia" w:ascii="微软雅黑" w:hAnsi="微软雅黑" w:eastAsia="微软雅黑" w:cs="微软雅黑"/>
      <w:color w:val="000000"/>
      <w:sz w:val="22"/>
      <w:szCs w:val="22"/>
      <w:u w:val="none"/>
    </w:rPr>
  </w:style>
  <w:style w:type="paragraph" w:customStyle="1" w:styleId="95">
    <w:name w:val="_Style 10"/>
    <w:basedOn w:val="1"/>
    <w:qFormat/>
    <w:uiPriority w:val="34"/>
    <w:pPr>
      <w:widowControl/>
      <w:ind w:firstLine="420" w:firstLineChars="200"/>
      <w:jc w:val="left"/>
    </w:pPr>
    <w:rPr>
      <w:rFonts w:ascii="宋体" w:hAnsi="宋体" w:cs="宋体"/>
      <w:kern w:val="0"/>
      <w:sz w:val="24"/>
    </w:rPr>
  </w:style>
  <w:style w:type="paragraph" w:customStyle="1" w:styleId="96">
    <w:name w:val="正文4"/>
    <w:basedOn w:val="1"/>
    <w:qFormat/>
    <w:uiPriority w:val="0"/>
    <w:pPr>
      <w:adjustRightInd w:val="0"/>
      <w:spacing w:line="318" w:lineRule="atLeast"/>
      <w:ind w:left="369" w:firstLine="369"/>
      <w:textAlignment w:val="baseline"/>
    </w:pPr>
    <w:rPr>
      <w:rFonts w:ascii="宋体"/>
      <w:szCs w:val="20"/>
    </w:rPr>
  </w:style>
  <w:style w:type="character" w:customStyle="1" w:styleId="97">
    <w:name w:val="font41"/>
    <w:basedOn w:val="33"/>
    <w:qFormat/>
    <w:uiPriority w:val="0"/>
    <w:rPr>
      <w:rFonts w:hint="eastAsia" w:ascii="宋体" w:hAnsi="宋体" w:eastAsia="宋体" w:cs="宋体"/>
      <w:color w:val="000000"/>
      <w:sz w:val="20"/>
      <w:szCs w:val="20"/>
      <w:u w:val="none"/>
    </w:rPr>
  </w:style>
  <w:style w:type="character" w:customStyle="1" w:styleId="98">
    <w:name w:val="font81"/>
    <w:basedOn w:val="33"/>
    <w:qFormat/>
    <w:uiPriority w:val="0"/>
    <w:rPr>
      <w:rFonts w:hint="eastAsia" w:ascii="微软雅黑" w:hAnsi="微软雅黑" w:eastAsia="微软雅黑" w:cs="微软雅黑"/>
      <w:color w:val="FF0000"/>
      <w:sz w:val="20"/>
      <w:szCs w:val="20"/>
      <w:u w:val="none"/>
    </w:rPr>
  </w:style>
  <w:style w:type="character" w:customStyle="1" w:styleId="99">
    <w:name w:val="font91"/>
    <w:basedOn w:val="33"/>
    <w:qFormat/>
    <w:uiPriority w:val="0"/>
    <w:rPr>
      <w:rFonts w:ascii="Wingdings 2" w:hAnsi="Wingdings 2" w:eastAsia="Wingdings 2" w:cs="Wingdings 2"/>
      <w:color w:val="000000"/>
      <w:sz w:val="20"/>
      <w:szCs w:val="20"/>
      <w:u w:val="none"/>
    </w:rPr>
  </w:style>
  <w:style w:type="character" w:customStyle="1" w:styleId="100">
    <w:name w:val="font51"/>
    <w:basedOn w:val="33"/>
    <w:qFormat/>
    <w:uiPriority w:val="0"/>
    <w:rPr>
      <w:rFonts w:hint="eastAsia" w:ascii="宋体" w:hAnsi="宋体" w:eastAsia="宋体" w:cs="宋体"/>
      <w:color w:val="FF0000"/>
      <w:sz w:val="20"/>
      <w:szCs w:val="20"/>
      <w:u w:val="none"/>
    </w:rPr>
  </w:style>
  <w:style w:type="character" w:customStyle="1" w:styleId="101">
    <w:name w:val="font31"/>
    <w:basedOn w:val="33"/>
    <w:qFormat/>
    <w:uiPriority w:val="0"/>
    <w:rPr>
      <w:rFonts w:hint="eastAsia" w:ascii="微软雅黑" w:hAnsi="微软雅黑" w:eastAsia="微软雅黑" w:cs="微软雅黑"/>
      <w:color w:val="000000"/>
      <w:sz w:val="20"/>
      <w:szCs w:val="20"/>
      <w:u w:val="none"/>
    </w:rPr>
  </w:style>
  <w:style w:type="character" w:customStyle="1" w:styleId="102">
    <w:name w:val="font61"/>
    <w:basedOn w:val="33"/>
    <w:qFormat/>
    <w:uiPriority w:val="0"/>
    <w:rPr>
      <w:rFonts w:hint="eastAsia" w:ascii="微软雅黑" w:hAnsi="微软雅黑" w:eastAsia="微软雅黑" w:cs="微软雅黑"/>
      <w:color w:val="C00000"/>
      <w:sz w:val="20"/>
      <w:szCs w:val="20"/>
      <w:u w:val="none"/>
    </w:rPr>
  </w:style>
  <w:style w:type="character" w:customStyle="1" w:styleId="103">
    <w:name w:val="font01"/>
    <w:qFormat/>
    <w:uiPriority w:val="0"/>
    <w:rPr>
      <w:rFonts w:hint="default" w:ascii="Times New Roman" w:hAnsi="Times New Roman" w:cs="Times New Roman"/>
      <w:b/>
      <w:bCs/>
      <w:color w:val="000000"/>
      <w:sz w:val="22"/>
      <w:szCs w:val="22"/>
      <w:u w:val="none"/>
    </w:rPr>
  </w:style>
  <w:style w:type="paragraph" w:styleId="104">
    <w:name w:val="List Paragraph"/>
    <w:basedOn w:val="1"/>
    <w:qFormat/>
    <w:uiPriority w:val="1"/>
    <w:pPr>
      <w:ind w:left="800" w:firstLine="424"/>
    </w:pPr>
    <w:rPr>
      <w:rFonts w:ascii="宋体" w:hAnsi="宋体" w:cs="宋体"/>
      <w:lang w:val="zh-CN" w:bidi="zh-CN"/>
    </w:rPr>
  </w:style>
  <w:style w:type="paragraph" w:customStyle="1" w:styleId="105">
    <w:name w:val="无间距1"/>
    <w:qFormat/>
    <w:uiPriority w:val="99"/>
    <w:pPr>
      <w:widowControl w:val="0"/>
      <w:jc w:val="both"/>
    </w:pPr>
    <w:rPr>
      <w:rFonts w:ascii="Calibri" w:hAnsi="Calibri" w:eastAsia="微软雅黑 Light" w:cs="Times New Roman"/>
      <w:kern w:val="2"/>
      <w:sz w:val="24"/>
      <w:szCs w:val="22"/>
      <w:lang w:val="en-US" w:eastAsia="zh-CN" w:bidi="ar-SA"/>
    </w:rPr>
  </w:style>
  <w:style w:type="paragraph" w:customStyle="1" w:styleId="106">
    <w:name w:val="Heading3"/>
    <w:basedOn w:val="1"/>
    <w:next w:val="1"/>
    <w:qFormat/>
    <w:uiPriority w:val="0"/>
    <w:pPr>
      <w:keepNext/>
      <w:keepLines/>
      <w:spacing w:before="260" w:after="260" w:line="360" w:lineRule="auto"/>
      <w:ind w:firstLine="602" w:firstLineChars="200"/>
      <w:textAlignment w:val="baseline"/>
    </w:pPr>
    <w:rPr>
      <w:rFonts w:ascii="仿宋_GB2312" w:hAnsi="Times New Roman" w:eastAsia="仿宋_GB2312"/>
      <w:b/>
      <w:bCs/>
      <w:sz w:val="30"/>
      <w:szCs w:val="20"/>
    </w:rPr>
  </w:style>
  <w:style w:type="paragraph" w:customStyle="1" w:styleId="107">
    <w:name w:val="BodyText1I2"/>
    <w:basedOn w:val="108"/>
    <w:qFormat/>
    <w:uiPriority w:val="0"/>
    <w:pPr>
      <w:spacing w:after="120"/>
      <w:ind w:left="420" w:leftChars="200" w:firstLine="420" w:firstLineChars="200"/>
    </w:pPr>
    <w:rPr>
      <w:sz w:val="21"/>
    </w:rPr>
  </w:style>
  <w:style w:type="paragraph" w:customStyle="1" w:styleId="108">
    <w:name w:val="BodyTextIndent"/>
    <w:basedOn w:val="1"/>
    <w:qFormat/>
    <w:uiPriority w:val="0"/>
    <w:pPr>
      <w:ind w:firstLine="540"/>
    </w:pPr>
    <w:rPr>
      <w:sz w:val="28"/>
      <w:szCs w:val="20"/>
    </w:rPr>
  </w:style>
  <w:style w:type="paragraph" w:customStyle="1" w:styleId="109">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110">
    <w:name w:val="4、正文"/>
    <w:basedOn w:val="1"/>
    <w:qFormat/>
    <w:uiPriority w:val="0"/>
    <w:pPr>
      <w:ind w:firstLine="200" w:firstLineChars="200"/>
    </w:pPr>
    <w:rPr>
      <w:rFonts w:ascii="宋体"/>
      <w:sz w:val="24"/>
      <w:szCs w:val="28"/>
    </w:rPr>
  </w:style>
  <w:style w:type="table" w:customStyle="1" w:styleId="111">
    <w:name w:val="Table Normal"/>
    <w:unhideWhenUsed/>
    <w:qFormat/>
    <w:uiPriority w:val="0"/>
    <w:tblPr>
      <w:tblCellMar>
        <w:top w:w="0" w:type="dxa"/>
        <w:left w:w="0" w:type="dxa"/>
        <w:bottom w:w="0" w:type="dxa"/>
        <w:right w:w="0" w:type="dxa"/>
      </w:tblCellMar>
    </w:tblPr>
  </w:style>
  <w:style w:type="paragraph" w:customStyle="1" w:styleId="112">
    <w:name w:val="表格"/>
    <w:basedOn w:val="1"/>
    <w:qFormat/>
    <w:uiPriority w:val="0"/>
    <w:pPr>
      <w:spacing w:line="300" w:lineRule="auto"/>
      <w:jc w:val="center"/>
    </w:pPr>
    <w:rPr>
      <w:rFonts w:hint="eastAsia" w:ascii="宋体" w:hAnsi="宋体" w:cs="宋体"/>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天诚</Company>
  <Pages>54</Pages>
  <Words>25264</Words>
  <Characters>26901</Characters>
  <Lines>331</Lines>
  <Paragraphs>93</Paragraphs>
  <TotalTime>74</TotalTime>
  <ScaleCrop>false</ScaleCrop>
  <LinksUpToDate>false</LinksUpToDate>
  <CharactersWithSpaces>28565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2021-11-25T02:32:00Z</dcterms:created>
  <dc:creator>天诚</dc:creator>
  <cp:keywords>天诚</cp:keywords>
  <cp:lastModifiedBy>Admin</cp:lastModifiedBy>
  <cp:lastPrinted>2022-07-27T00:23:00Z</cp:lastPrinted>
  <dcterms:modified xsi:type="dcterms:W3CDTF">2025-07-18T08:29:45Z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FF84C537919B428988B6A73B96523ABC</vt:lpwstr>
  </property>
  <property fmtid="{D5CDD505-2E9C-101B-9397-08002B2CF9AE}" pid="4" name="commondata">
    <vt:lpwstr>eyJoZGlkIjoiNTI3OGI0YTNhNjc3OTA5MWUwNThlZmEyNTg2ODE2MTMifQ==</vt:lpwstr>
  </property>
  <property fmtid="{D5CDD505-2E9C-101B-9397-08002B2CF9AE}" pid="5" name="KSOTemplateDocerSaveRecord">
    <vt:lpwstr>eyJoZGlkIjoiZTdhOWI4MDY2NGU4OThlMjc0MGI3MjdiNDEyZGFlZDQiLCJ1c2VySWQiOiIzNTI2MTUyNDgifQ==</vt:lpwstr>
  </property>
</Properties>
</file>