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pPr>
        <w:tabs>
          <w:tab w:val="center" w:pos="4682"/>
          <w:tab w:val="right" w:pos="9240"/>
        </w:tabs>
        <w:autoSpaceDE w:val="0"/>
        <w:autoSpaceDN w:val="0"/>
        <w:adjustRightInd w:val="0"/>
        <w:jc w:val="center"/>
        <w:rPr>
          <w:rFonts w:hint="eastAsia" w:ascii="宋体" w:hAnsi="宋体" w:eastAsia="宋体"/>
          <w:color w:val="auto"/>
          <w:sz w:val="48"/>
          <w:szCs w:val="48"/>
          <w:highlight w:val="none"/>
          <w:lang w:eastAsia="zh-CN"/>
        </w:rPr>
      </w:pPr>
      <w:r>
        <w:rPr>
          <w:rFonts w:hint="eastAsia" w:ascii="宋体" w:hAnsi="宋体"/>
          <w:b/>
          <w:color w:val="auto"/>
          <w:sz w:val="48"/>
          <w:szCs w:val="48"/>
          <w:highlight w:val="none"/>
          <w:lang w:eastAsia="zh-CN"/>
        </w:rPr>
        <w:t>2023年三门县下湾生活垃圾填埋场渗滤液处理设施运营服务项目</w:t>
      </w:r>
    </w:p>
    <w:p>
      <w:pPr>
        <w:autoSpaceDE w:val="0"/>
        <w:autoSpaceDN w:val="0"/>
        <w:adjustRightInd w:val="0"/>
        <w:jc w:val="center"/>
        <w:rPr>
          <w:rFonts w:ascii="宋体" w:hAnsi="宋体"/>
          <w:color w:val="auto"/>
          <w:szCs w:val="36"/>
          <w:highlight w:val="none"/>
        </w:rPr>
      </w:pPr>
    </w:p>
    <w:p>
      <w:pPr>
        <w:autoSpaceDE w:val="0"/>
        <w:autoSpaceDN w:val="0"/>
        <w:adjustRightInd w:val="0"/>
        <w:jc w:val="center"/>
        <w:rPr>
          <w:rFonts w:ascii="宋体" w:hAnsi="宋体"/>
          <w:color w:val="auto"/>
          <w:szCs w:val="36"/>
          <w:highlight w:val="none"/>
        </w:rPr>
      </w:pPr>
    </w:p>
    <w:p>
      <w:pPr>
        <w:autoSpaceDE w:val="0"/>
        <w:autoSpaceDN w:val="0"/>
        <w:adjustRightInd w:val="0"/>
        <w:jc w:val="center"/>
        <w:rPr>
          <w:rFonts w:ascii="宋体" w:hAnsi="宋体"/>
          <w:color w:val="auto"/>
          <w:szCs w:val="36"/>
          <w:highlight w:val="none"/>
        </w:rPr>
      </w:pPr>
    </w:p>
    <w:p>
      <w:pPr>
        <w:autoSpaceDE w:val="0"/>
        <w:autoSpaceDN w:val="0"/>
        <w:adjustRightInd w:val="0"/>
        <w:jc w:val="center"/>
        <w:rPr>
          <w:rFonts w:ascii="宋体" w:hAnsi="宋体"/>
          <w:color w:val="auto"/>
          <w:szCs w:val="36"/>
          <w:highlight w:val="none"/>
        </w:rPr>
      </w:pPr>
    </w:p>
    <w:p>
      <w:pPr>
        <w:adjustRightInd w:val="0"/>
        <w:snapToGrid w:val="0"/>
        <w:jc w:val="center"/>
        <w:rPr>
          <w:rFonts w:ascii="黑体" w:hAnsi="宋体" w:eastAsia="黑体"/>
          <w:b/>
          <w:bCs/>
          <w:color w:val="auto"/>
          <w:spacing w:val="36"/>
          <w:sz w:val="84"/>
          <w:szCs w:val="84"/>
          <w:highlight w:val="none"/>
        </w:rPr>
      </w:pPr>
      <w:r>
        <w:rPr>
          <w:rFonts w:hint="eastAsia" w:ascii="黑体" w:hAnsi="宋体" w:eastAsia="黑体"/>
          <w:b/>
          <w:bCs/>
          <w:color w:val="auto"/>
          <w:spacing w:val="36"/>
          <w:sz w:val="84"/>
          <w:szCs w:val="84"/>
          <w:highlight w:val="none"/>
        </w:rPr>
        <w:t>公开招标文件</w:t>
      </w:r>
    </w:p>
    <w:p>
      <w:pPr>
        <w:adjustRightInd w:val="0"/>
        <w:snapToGrid w:val="0"/>
        <w:jc w:val="center"/>
        <w:rPr>
          <w:rFonts w:ascii="华文行楷" w:hAnsi="宋体" w:eastAsia="华文行楷"/>
          <w:b/>
          <w:bCs/>
          <w:color w:val="auto"/>
          <w:spacing w:val="36"/>
          <w:sz w:val="24"/>
          <w:highlight w:val="none"/>
        </w:rPr>
      </w:pPr>
    </w:p>
    <w:p>
      <w:pPr>
        <w:adjustRightInd w:val="0"/>
        <w:snapToGrid w:val="0"/>
        <w:rPr>
          <w:rFonts w:ascii="华文行楷" w:hAnsi="宋体" w:eastAsia="华文行楷"/>
          <w:b/>
          <w:bCs/>
          <w:color w:val="auto"/>
          <w:spacing w:val="36"/>
          <w:sz w:val="24"/>
          <w:highlight w:val="none"/>
        </w:rPr>
      </w:pPr>
    </w:p>
    <w:p>
      <w:pPr>
        <w:adjustRightInd w:val="0"/>
        <w:snapToGrid w:val="0"/>
        <w:spacing w:line="480" w:lineRule="auto"/>
        <w:jc w:val="center"/>
        <w:rPr>
          <w:rFonts w:ascii="宋体" w:hAnsi="宋体"/>
          <w:b/>
          <w:color w:val="auto"/>
          <w:sz w:val="32"/>
          <w:szCs w:val="32"/>
          <w:highlight w:val="none"/>
        </w:rPr>
      </w:pPr>
      <w:r>
        <w:rPr>
          <w:rFonts w:hint="eastAsia" w:ascii="宋体" w:hAnsi="宋体"/>
          <w:b/>
          <w:color w:val="auto"/>
          <w:sz w:val="32"/>
          <w:szCs w:val="32"/>
          <w:highlight w:val="none"/>
        </w:rPr>
        <w:t>项目编号：三招采-2023-GK011号</w:t>
      </w:r>
    </w:p>
    <w:p>
      <w:pPr>
        <w:autoSpaceDE w:val="0"/>
        <w:autoSpaceDN w:val="0"/>
        <w:adjustRightInd w:val="0"/>
        <w:jc w:val="center"/>
        <w:rPr>
          <w:rFonts w:ascii="宋体" w:hAnsi="宋体"/>
          <w:color w:val="auto"/>
          <w:szCs w:val="36"/>
          <w:highlight w:val="none"/>
        </w:rPr>
      </w:pPr>
    </w:p>
    <w:p>
      <w:pPr>
        <w:autoSpaceDE w:val="0"/>
        <w:autoSpaceDN w:val="0"/>
        <w:adjustRightInd w:val="0"/>
        <w:jc w:val="center"/>
        <w:rPr>
          <w:rFonts w:ascii="黑体" w:eastAsia="黑体"/>
          <w:b/>
          <w:bCs/>
          <w:color w:val="auto"/>
          <w:sz w:val="52"/>
          <w:szCs w:val="72"/>
          <w:highlight w:val="none"/>
        </w:rPr>
      </w:pPr>
    </w:p>
    <w:p>
      <w:pPr>
        <w:autoSpaceDE w:val="0"/>
        <w:autoSpaceDN w:val="0"/>
        <w:adjustRightInd w:val="0"/>
        <w:jc w:val="center"/>
        <w:rPr>
          <w:rFonts w:ascii="黑体" w:eastAsia="黑体"/>
          <w:b/>
          <w:bCs/>
          <w:color w:val="auto"/>
          <w:sz w:val="52"/>
          <w:szCs w:val="72"/>
          <w:highlight w:val="none"/>
        </w:rPr>
      </w:pPr>
    </w:p>
    <w:p>
      <w:pPr>
        <w:autoSpaceDE w:val="0"/>
        <w:autoSpaceDN w:val="0"/>
        <w:adjustRightInd w:val="0"/>
        <w:jc w:val="center"/>
        <w:rPr>
          <w:rFonts w:ascii="黑体" w:eastAsia="黑体"/>
          <w:b/>
          <w:bCs/>
          <w:color w:val="auto"/>
          <w:sz w:val="52"/>
          <w:szCs w:val="72"/>
          <w:highlight w:val="none"/>
        </w:rPr>
      </w:pPr>
    </w:p>
    <w:p>
      <w:pPr>
        <w:tabs>
          <w:tab w:val="left" w:pos="1440"/>
        </w:tabs>
        <w:spacing w:line="216" w:lineRule="auto"/>
        <w:ind w:firstLine="1343" w:firstLineChars="446"/>
        <w:rPr>
          <w:rFonts w:ascii="宋体" w:hAnsi="宋体"/>
          <w:b/>
          <w:bCs/>
          <w:color w:val="auto"/>
          <w:sz w:val="30"/>
          <w:highlight w:val="none"/>
        </w:rPr>
      </w:pPr>
      <w:r>
        <w:rPr>
          <w:rFonts w:hint="eastAsia" w:ascii="宋体" w:hAnsi="宋体"/>
          <w:b/>
          <w:bCs/>
          <w:color w:val="auto"/>
          <w:sz w:val="30"/>
          <w:highlight w:val="none"/>
        </w:rPr>
        <w:t xml:space="preserve">  </w:t>
      </w:r>
    </w:p>
    <w:p>
      <w:pPr>
        <w:tabs>
          <w:tab w:val="left" w:pos="1440"/>
        </w:tabs>
        <w:spacing w:line="216" w:lineRule="auto"/>
        <w:rPr>
          <w:rFonts w:ascii="宋体" w:hAnsi="宋体"/>
          <w:b/>
          <w:bCs/>
          <w:color w:val="auto"/>
          <w:sz w:val="30"/>
          <w:highlight w:val="none"/>
        </w:rPr>
      </w:pPr>
      <w:r>
        <w:rPr>
          <w:rFonts w:hint="eastAsia" w:ascii="宋体" w:hAnsi="宋体"/>
          <w:b/>
          <w:bCs/>
          <w:color w:val="auto"/>
          <w:sz w:val="30"/>
          <w:highlight w:val="none"/>
        </w:rPr>
        <w:t xml:space="preserve">    </w:t>
      </w:r>
    </w:p>
    <w:p>
      <w:pPr>
        <w:spacing w:line="640" w:lineRule="exact"/>
        <w:jc w:val="left"/>
        <w:rPr>
          <w:rFonts w:ascii="宋体" w:hAnsi="宋体"/>
          <w:color w:val="auto"/>
          <w:spacing w:val="50"/>
          <w:sz w:val="32"/>
          <w:szCs w:val="20"/>
          <w:highlight w:val="none"/>
        </w:rPr>
      </w:pPr>
    </w:p>
    <w:tbl>
      <w:tblPr>
        <w:tblStyle w:val="25"/>
        <w:tblW w:w="0" w:type="auto"/>
        <w:jc w:val="center"/>
        <w:tblLayout w:type="fixed"/>
        <w:tblCellMar>
          <w:top w:w="0" w:type="dxa"/>
          <w:left w:w="108" w:type="dxa"/>
          <w:bottom w:w="0" w:type="dxa"/>
          <w:right w:w="108" w:type="dxa"/>
        </w:tblCellMar>
      </w:tblPr>
      <w:tblGrid>
        <w:gridCol w:w="1988"/>
        <w:gridCol w:w="257"/>
        <w:gridCol w:w="6111"/>
      </w:tblGrid>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color w:val="auto"/>
                <w:sz w:val="32"/>
                <w:szCs w:val="32"/>
                <w:highlight w:val="none"/>
              </w:rPr>
            </w:pPr>
            <w:r>
              <w:rPr>
                <w:rFonts w:hint="eastAsia"/>
                <w:color w:val="auto"/>
                <w:sz w:val="32"/>
                <w:szCs w:val="32"/>
                <w:highlight w:val="none"/>
              </w:rPr>
              <w:t>采购</w:t>
            </w:r>
            <w:r>
              <w:rPr>
                <w:color w:val="auto"/>
                <w:sz w:val="32"/>
                <w:szCs w:val="32"/>
                <w:highlight w:val="none"/>
              </w:rPr>
              <w:t>人</w:t>
            </w:r>
          </w:p>
        </w:tc>
        <w:tc>
          <w:tcPr>
            <w:tcW w:w="257" w:type="dxa"/>
            <w:vAlign w:val="center"/>
          </w:tcPr>
          <w:p>
            <w:pPr>
              <w:adjustRightInd w:val="0"/>
              <w:snapToGrid w:val="0"/>
              <w:spacing w:line="440" w:lineRule="exact"/>
              <w:jc w:val="distribute"/>
              <w:rPr>
                <w:color w:val="auto"/>
                <w:sz w:val="32"/>
                <w:szCs w:val="32"/>
                <w:highlight w:val="none"/>
              </w:rPr>
            </w:pPr>
            <w:r>
              <w:rPr>
                <w:color w:val="auto"/>
                <w:sz w:val="32"/>
                <w:szCs w:val="32"/>
                <w:highlight w:val="none"/>
              </w:rPr>
              <w:t>：</w:t>
            </w:r>
          </w:p>
        </w:tc>
        <w:tc>
          <w:tcPr>
            <w:tcW w:w="6111" w:type="dxa"/>
            <w:vAlign w:val="center"/>
          </w:tcPr>
          <w:p>
            <w:pPr>
              <w:adjustRightInd w:val="0"/>
              <w:snapToGrid w:val="0"/>
              <w:spacing w:line="440" w:lineRule="exact"/>
              <w:jc w:val="distribute"/>
              <w:rPr>
                <w:rFonts w:hint="eastAsia" w:eastAsia="宋体"/>
                <w:color w:val="auto"/>
                <w:sz w:val="32"/>
                <w:szCs w:val="32"/>
                <w:highlight w:val="none"/>
                <w:lang w:eastAsia="zh-CN"/>
              </w:rPr>
            </w:pPr>
            <w:r>
              <w:rPr>
                <w:rFonts w:hint="eastAsia"/>
                <w:color w:val="auto"/>
                <w:sz w:val="32"/>
                <w:szCs w:val="32"/>
                <w:highlight w:val="none"/>
                <w:lang w:eastAsia="zh-CN"/>
              </w:rPr>
              <w:t xml:space="preserve">三门县环境卫生服务中心 </w:t>
            </w:r>
          </w:p>
        </w:tc>
      </w:tr>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color w:val="auto"/>
                <w:sz w:val="32"/>
                <w:szCs w:val="32"/>
                <w:highlight w:val="none"/>
              </w:rPr>
            </w:pPr>
            <w:r>
              <w:rPr>
                <w:color w:val="auto"/>
                <w:sz w:val="32"/>
                <w:szCs w:val="32"/>
                <w:highlight w:val="none"/>
              </w:rPr>
              <w:t>招标代理人</w:t>
            </w:r>
          </w:p>
        </w:tc>
        <w:tc>
          <w:tcPr>
            <w:tcW w:w="257" w:type="dxa"/>
            <w:vAlign w:val="center"/>
          </w:tcPr>
          <w:p>
            <w:pPr>
              <w:adjustRightInd w:val="0"/>
              <w:snapToGrid w:val="0"/>
              <w:spacing w:line="440" w:lineRule="exact"/>
              <w:jc w:val="distribute"/>
              <w:rPr>
                <w:color w:val="auto"/>
                <w:sz w:val="32"/>
                <w:szCs w:val="32"/>
                <w:highlight w:val="none"/>
              </w:rPr>
            </w:pPr>
            <w:r>
              <w:rPr>
                <w:color w:val="auto"/>
                <w:sz w:val="32"/>
                <w:szCs w:val="32"/>
                <w:highlight w:val="none"/>
              </w:rPr>
              <w:t>：</w:t>
            </w:r>
          </w:p>
        </w:tc>
        <w:tc>
          <w:tcPr>
            <w:tcW w:w="6111" w:type="dxa"/>
            <w:vAlign w:val="center"/>
          </w:tcPr>
          <w:p>
            <w:pPr>
              <w:adjustRightInd w:val="0"/>
              <w:snapToGrid w:val="0"/>
              <w:spacing w:line="440" w:lineRule="exact"/>
              <w:jc w:val="distribute"/>
              <w:rPr>
                <w:color w:val="auto"/>
                <w:sz w:val="32"/>
                <w:szCs w:val="32"/>
                <w:highlight w:val="none"/>
              </w:rPr>
            </w:pPr>
            <w:r>
              <w:rPr>
                <w:rFonts w:hint="eastAsia"/>
                <w:color w:val="auto"/>
                <w:sz w:val="32"/>
                <w:szCs w:val="32"/>
                <w:highlight w:val="none"/>
              </w:rPr>
              <w:t>三门华厦建设工程造价事务所（普通合伙）</w:t>
            </w:r>
          </w:p>
        </w:tc>
      </w:tr>
    </w:tbl>
    <w:p>
      <w:pPr>
        <w:spacing w:line="640" w:lineRule="exact"/>
        <w:ind w:firstLine="1280" w:firstLineChars="400"/>
        <w:jc w:val="left"/>
        <w:rPr>
          <w:rFonts w:ascii="宋体" w:hAnsi="宋体"/>
          <w:color w:val="auto"/>
          <w:sz w:val="32"/>
          <w:szCs w:val="2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704" w:firstLineChars="200"/>
        <w:jc w:val="center"/>
        <w:rPr>
          <w:rFonts w:ascii="宋体" w:hAnsi="宋体" w:cs="宋体"/>
          <w:color w:val="auto"/>
          <w:kern w:val="0"/>
          <w:sz w:val="28"/>
          <w:szCs w:val="28"/>
          <w:highlight w:val="none"/>
        </w:rPr>
      </w:pPr>
      <w:r>
        <w:rPr>
          <w:rFonts w:hint="eastAsia" w:ascii="宋体" w:hAnsi="宋体"/>
          <w:color w:val="auto"/>
          <w:spacing w:val="16"/>
          <w:sz w:val="32"/>
          <w:szCs w:val="20"/>
          <w:highlight w:val="none"/>
        </w:rPr>
        <w:t xml:space="preserve">二 ○ 二 </w:t>
      </w:r>
      <w:r>
        <w:rPr>
          <w:rFonts w:hint="eastAsia" w:ascii="宋体" w:hAnsi="宋体"/>
          <w:color w:val="auto"/>
          <w:spacing w:val="16"/>
          <w:sz w:val="32"/>
          <w:szCs w:val="20"/>
          <w:highlight w:val="none"/>
          <w:lang w:eastAsia="zh-CN"/>
        </w:rPr>
        <w:t>三</w:t>
      </w:r>
      <w:r>
        <w:rPr>
          <w:rFonts w:hint="eastAsia" w:ascii="宋体" w:hAnsi="宋体"/>
          <w:color w:val="auto"/>
          <w:spacing w:val="16"/>
          <w:sz w:val="32"/>
          <w:szCs w:val="20"/>
          <w:highlight w:val="none"/>
        </w:rPr>
        <w:t xml:space="preserve"> 年 </w:t>
      </w:r>
      <w:r>
        <w:rPr>
          <w:rFonts w:hint="eastAsia" w:ascii="宋体" w:hAnsi="宋体"/>
          <w:color w:val="auto"/>
          <w:spacing w:val="16"/>
          <w:sz w:val="32"/>
          <w:szCs w:val="20"/>
          <w:highlight w:val="none"/>
          <w:lang w:eastAsia="zh-CN"/>
        </w:rPr>
        <w:t>二</w:t>
      </w:r>
      <w:r>
        <w:rPr>
          <w:rFonts w:hint="eastAsia" w:ascii="宋体" w:hAnsi="宋体"/>
          <w:color w:val="auto"/>
          <w:spacing w:val="16"/>
          <w:sz w:val="32"/>
          <w:szCs w:val="20"/>
          <w:highlight w:val="none"/>
        </w:rPr>
        <w:t xml:space="preserve"> 月</w:t>
      </w: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pPr>
            <w:spacing w:line="480" w:lineRule="auto"/>
            <w:jc w:val="center"/>
            <w:rPr>
              <w:rFonts w:ascii="宋体" w:hAnsi="宋体"/>
              <w:color w:val="auto"/>
              <w:sz w:val="28"/>
              <w:szCs w:val="28"/>
              <w:highlight w:val="none"/>
            </w:rPr>
          </w:pPr>
          <w:bookmarkStart w:id="0" w:name="_Toc25017_WPSOffice_Type1"/>
        </w:p>
        <w:p>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pPr>
            <w:pStyle w:val="20"/>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第一章 招标公告</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pPr>
            <w:pStyle w:val="20"/>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第二章 供应商须知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8</w:t>
          </w:r>
          <w:r>
            <w:rPr>
              <w:rFonts w:eastAsiaTheme="minorEastAsia" w:cstheme="minorBidi"/>
              <w:color w:val="auto"/>
              <w:sz w:val="28"/>
              <w:szCs w:val="28"/>
              <w:highlight w:val="none"/>
            </w:rPr>
            <w:fldChar w:fldCharType="end"/>
          </w:r>
        </w:p>
        <w:p>
          <w:pPr>
            <w:pStyle w:val="20"/>
            <w:tabs>
              <w:tab w:val="right" w:leader="dot" w:pos="8620"/>
            </w:tabs>
            <w:ind w:right="638" w:rightChars="304"/>
            <w:rPr>
              <w:rFonts w:hint="eastAsia" w:eastAsiaTheme="minorEastAsia" w:cstheme="minorBidi"/>
              <w:color w:val="auto"/>
              <w:sz w:val="28"/>
              <w:szCs w:val="28"/>
              <w:highlight w:val="none"/>
              <w:lang w:eastAsia="zh-CN"/>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7</w:t>
          </w:r>
        </w:p>
        <w:p>
          <w:pPr>
            <w:pStyle w:val="20"/>
            <w:tabs>
              <w:tab w:val="right" w:leader="dot" w:pos="8620"/>
            </w:tabs>
            <w:rPr>
              <w:rFonts w:hint="eastAsia" w:eastAsiaTheme="minorEastAsia" w:cstheme="minorBidi"/>
              <w:color w:val="auto"/>
              <w:sz w:val="28"/>
              <w:szCs w:val="28"/>
              <w:highlight w:val="none"/>
              <w:lang w:val="en-US" w:eastAsia="zh-CN"/>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2</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4</w:t>
          </w:r>
        </w:p>
        <w:p>
          <w:pPr>
            <w:pStyle w:val="20"/>
            <w:tabs>
              <w:tab w:val="right" w:leader="dot" w:pos="8620"/>
            </w:tabs>
            <w:rPr>
              <w:rFonts w:hint="eastAsia" w:eastAsiaTheme="minorEastAsia" w:cstheme="minorBidi"/>
              <w:color w:val="auto"/>
              <w:sz w:val="28"/>
              <w:szCs w:val="28"/>
              <w:highlight w:val="none"/>
              <w:lang w:val="en-US" w:eastAsia="zh-CN"/>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3</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3</w:t>
          </w:r>
        </w:p>
        <w:p>
          <w:pPr>
            <w:pStyle w:val="20"/>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37</w:t>
          </w:r>
          <w:r>
            <w:rPr>
              <w:rFonts w:hint="eastAsia" w:eastAsiaTheme="minorEastAsia" w:cstheme="minorBidi"/>
              <w:color w:val="auto"/>
              <w:sz w:val="28"/>
              <w:szCs w:val="28"/>
              <w:highlight w:val="none"/>
            </w:rPr>
            <w:fldChar w:fldCharType="end"/>
          </w:r>
        </w:p>
      </w:sdtContent>
    </w:sdt>
    <w:bookmarkEnd w:id="0"/>
    <w:p>
      <w:pPr>
        <w:spacing w:line="480" w:lineRule="auto"/>
        <w:rPr>
          <w:color w:val="auto"/>
          <w:sz w:val="28"/>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p>
    <w:tbl>
      <w:tblPr>
        <w:tblStyle w:val="25"/>
        <w:tblW w:w="966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660" w:type="dxa"/>
          </w:tcPr>
          <w:p>
            <w:pPr>
              <w:spacing w:line="340" w:lineRule="exact"/>
              <w:ind w:left="17" w:firstLine="360" w:firstLineChars="150"/>
              <w:jc w:val="left"/>
              <w:rPr>
                <w:rFonts w:ascii="宋体" w:hAnsi="宋体"/>
                <w:color w:val="auto"/>
                <w:sz w:val="24"/>
                <w:highlight w:val="none"/>
              </w:rPr>
            </w:pPr>
            <w:r>
              <w:rPr>
                <w:rFonts w:hint="eastAsia" w:ascii="宋体" w:hAnsi="宋体"/>
                <w:color w:val="auto"/>
                <w:sz w:val="24"/>
                <w:highlight w:val="none"/>
              </w:rPr>
              <w:t>项目概况</w:t>
            </w:r>
          </w:p>
          <w:p>
            <w:pPr>
              <w:tabs>
                <w:tab w:val="left" w:pos="180"/>
                <w:tab w:val="left" w:pos="360"/>
                <w:tab w:val="left" w:pos="540"/>
                <w:tab w:val="left" w:pos="8280"/>
              </w:tabs>
              <w:autoSpaceDE w:val="0"/>
              <w:autoSpaceDN w:val="0"/>
              <w:adjustRightInd w:val="0"/>
              <w:spacing w:line="360" w:lineRule="auto"/>
              <w:ind w:left="17" w:leftChars="8" w:right="23" w:firstLine="537" w:firstLineChars="224"/>
              <w:jc w:val="left"/>
              <w:rPr>
                <w:rFonts w:ascii="宋体" w:hAnsi="宋体"/>
                <w:color w:val="auto"/>
                <w:sz w:val="24"/>
                <w:highlight w:val="none"/>
              </w:rPr>
            </w:pPr>
            <w:r>
              <w:rPr>
                <w:rFonts w:hint="eastAsia" w:ascii="宋体" w:hAnsi="宋体"/>
                <w:color w:val="auto"/>
                <w:sz w:val="24"/>
                <w:highlight w:val="none"/>
                <w:u w:val="single"/>
                <w:lang w:eastAsia="zh-CN"/>
              </w:rPr>
              <w:t>2023年三门县下湾生活垃圾填埋场渗滤液处理设施运营服务项目</w:t>
            </w:r>
            <w:r>
              <w:rPr>
                <w:rFonts w:hint="eastAsia" w:ascii="宋体" w:hAnsi="宋体"/>
                <w:color w:val="auto"/>
                <w:sz w:val="24"/>
                <w:highlight w:val="none"/>
                <w:lang w:eastAsia="zh-CN"/>
              </w:rPr>
              <w:t>招标项目</w:t>
            </w:r>
            <w:r>
              <w:rPr>
                <w:rFonts w:hint="eastAsia" w:ascii="宋体" w:hAnsi="宋体"/>
                <w:color w:val="auto"/>
                <w:sz w:val="24"/>
                <w:highlight w:val="none"/>
              </w:rPr>
              <w:t>的潜在投标人应在浙江政府采购云平台（https://www.zcygov.cn/）网上报名后下载</w:t>
            </w:r>
            <w:r>
              <w:rPr>
                <w:rFonts w:hint="eastAsia" w:ascii="宋体" w:hAnsi="宋体"/>
                <w:color w:val="auto"/>
                <w:sz w:val="24"/>
                <w:highlight w:val="none"/>
                <w:lang w:eastAsia="zh-CN"/>
              </w:rPr>
              <w:t>。</w:t>
            </w:r>
            <w:r>
              <w:rPr>
                <w:rFonts w:hint="eastAsia" w:ascii="宋体" w:hAnsi="宋体"/>
                <w:color w:val="auto"/>
                <w:sz w:val="24"/>
                <w:highlight w:val="none"/>
              </w:rPr>
              <w:t>获取（下载）招标文件</w:t>
            </w:r>
            <w:r>
              <w:rPr>
                <w:rFonts w:ascii="宋体" w:hAnsi="宋体"/>
                <w:color w:val="auto"/>
                <w:sz w:val="24"/>
                <w:highlight w:val="none"/>
              </w:rPr>
              <w:t>，并于</w:t>
            </w:r>
            <w:r>
              <w:rPr>
                <w:rFonts w:ascii="宋体" w:hAnsi="宋体"/>
                <w:color w:val="auto"/>
                <w:sz w:val="24"/>
                <w:highlight w:val="none"/>
                <w:u w:val="single"/>
              </w:rPr>
              <w:t>202</w:t>
            </w:r>
            <w:r>
              <w:rPr>
                <w:rFonts w:hint="eastAsia" w:ascii="宋体" w:hAnsi="宋体"/>
                <w:color w:val="auto"/>
                <w:sz w:val="24"/>
                <w:highlight w:val="none"/>
                <w:u w:val="single"/>
                <w:lang w:val="en-US" w:eastAsia="zh-CN"/>
              </w:rPr>
              <w:t>3</w:t>
            </w:r>
            <w:r>
              <w:rPr>
                <w:rFonts w:ascii="宋体" w:hAnsi="宋体"/>
                <w:color w:val="auto"/>
                <w:sz w:val="24"/>
                <w:highlight w:val="none"/>
                <w:u w:val="single"/>
              </w:rPr>
              <w:t>年</w:t>
            </w:r>
            <w:r>
              <w:rPr>
                <w:rFonts w:hint="eastAsia" w:ascii="宋体" w:hAnsi="宋体"/>
                <w:color w:val="auto"/>
                <w:sz w:val="24"/>
                <w:highlight w:val="none"/>
                <w:u w:val="single"/>
                <w:lang w:val="en-US" w:eastAsia="zh-CN"/>
              </w:rPr>
              <w:t>3</w:t>
            </w:r>
            <w:r>
              <w:rPr>
                <w:rFonts w:ascii="宋体" w:hAnsi="宋体"/>
                <w:color w:val="auto"/>
                <w:sz w:val="24"/>
                <w:highlight w:val="none"/>
                <w:u w:val="single"/>
              </w:rPr>
              <w:t>月</w:t>
            </w:r>
            <w:r>
              <w:rPr>
                <w:rFonts w:hint="eastAsia" w:ascii="宋体" w:hAnsi="宋体"/>
                <w:color w:val="auto"/>
                <w:sz w:val="24"/>
                <w:highlight w:val="none"/>
                <w:u w:val="single"/>
                <w:lang w:val="en-US" w:eastAsia="zh-CN"/>
              </w:rPr>
              <w:t>23</w:t>
            </w:r>
            <w:r>
              <w:rPr>
                <w:rFonts w:ascii="宋体" w:hAnsi="宋体"/>
                <w:color w:val="auto"/>
                <w:sz w:val="24"/>
                <w:highlight w:val="none"/>
                <w:u w:val="single"/>
              </w:rPr>
              <w:t xml:space="preserve">日 </w:t>
            </w:r>
            <w:r>
              <w:rPr>
                <w:rFonts w:hint="eastAsia" w:ascii="宋体" w:hAnsi="宋体"/>
                <w:color w:val="auto"/>
                <w:sz w:val="24"/>
                <w:highlight w:val="none"/>
                <w:u w:val="single"/>
              </w:rPr>
              <w:t>14</w:t>
            </w:r>
            <w:r>
              <w:rPr>
                <w:rFonts w:ascii="宋体" w:hAnsi="宋体"/>
                <w:color w:val="auto"/>
                <w:sz w:val="24"/>
                <w:highlight w:val="none"/>
                <w:u w:val="single"/>
              </w:rPr>
              <w:t>:</w:t>
            </w:r>
            <w:r>
              <w:rPr>
                <w:rFonts w:hint="eastAsia" w:ascii="宋体" w:hAnsi="宋体"/>
                <w:color w:val="auto"/>
                <w:sz w:val="24"/>
                <w:highlight w:val="none"/>
                <w:u w:val="single"/>
                <w:lang w:val="en-US" w:eastAsia="zh-CN"/>
              </w:rPr>
              <w:t>0</w:t>
            </w:r>
            <w:r>
              <w:rPr>
                <w:rFonts w:ascii="宋体" w:hAnsi="宋体"/>
                <w:color w:val="auto"/>
                <w:sz w:val="24"/>
                <w:highlight w:val="none"/>
                <w:u w:val="single"/>
              </w:rPr>
              <w:t>0</w:t>
            </w:r>
            <w:r>
              <w:rPr>
                <w:rFonts w:ascii="宋体" w:hAnsi="宋体"/>
                <w:color w:val="auto"/>
                <w:sz w:val="24"/>
                <w:highlight w:val="none"/>
              </w:rPr>
              <w:t>（北京时间）前递交（上传）投标文件。</w:t>
            </w:r>
          </w:p>
        </w:tc>
      </w:tr>
    </w:tbl>
    <w:p>
      <w:pPr>
        <w:tabs>
          <w:tab w:val="left" w:pos="180"/>
          <w:tab w:val="left" w:pos="360"/>
          <w:tab w:val="left" w:pos="540"/>
          <w:tab w:val="left" w:pos="8280"/>
        </w:tabs>
        <w:autoSpaceDE w:val="0"/>
        <w:autoSpaceDN w:val="0"/>
        <w:adjustRightInd w:val="0"/>
        <w:spacing w:line="360" w:lineRule="auto"/>
        <w:ind w:left="539" w:right="23"/>
        <w:jc w:val="left"/>
        <w:rPr>
          <w:rFonts w:ascii="宋体" w:hAnsi="宋体"/>
          <w:b/>
          <w:color w:val="auto"/>
          <w:kern w:val="0"/>
          <w:sz w:val="24"/>
          <w:highlight w:val="none"/>
        </w:rPr>
      </w:pPr>
      <w:r>
        <w:rPr>
          <w:rFonts w:hint="eastAsia" w:ascii="宋体" w:hAnsi="宋体"/>
          <w:b/>
          <w:color w:val="auto"/>
          <w:kern w:val="0"/>
          <w:sz w:val="24"/>
          <w:highlight w:val="none"/>
        </w:rPr>
        <w:t>一、项目基本情况</w:t>
      </w:r>
    </w:p>
    <w:p>
      <w:pPr>
        <w:tabs>
          <w:tab w:val="left" w:pos="180"/>
          <w:tab w:val="left" w:pos="360"/>
          <w:tab w:val="left" w:pos="540"/>
          <w:tab w:val="left" w:pos="8280"/>
        </w:tabs>
        <w:autoSpaceDE w:val="0"/>
        <w:autoSpaceDN w:val="0"/>
        <w:adjustRightInd w:val="0"/>
        <w:snapToGrid w:val="0"/>
        <w:spacing w:line="460" w:lineRule="exact"/>
        <w:ind w:left="539" w:right="23"/>
        <w:jc w:val="left"/>
        <w:rPr>
          <w:rFonts w:ascii="宋体" w:hAnsi="宋体"/>
          <w:color w:val="auto"/>
          <w:kern w:val="0"/>
          <w:sz w:val="24"/>
          <w:highlight w:val="none"/>
        </w:rPr>
      </w:pPr>
      <w:r>
        <w:rPr>
          <w:rFonts w:hint="eastAsia" w:ascii="宋体" w:hAnsi="宋体"/>
          <w:color w:val="auto"/>
          <w:kern w:val="0"/>
          <w:sz w:val="24"/>
          <w:highlight w:val="none"/>
        </w:rPr>
        <w:t>项目编号</w:t>
      </w:r>
      <w:r>
        <w:rPr>
          <w:rFonts w:hint="eastAsia" w:ascii="宋体" w:hAnsi="宋体"/>
          <w:color w:val="auto"/>
          <w:sz w:val="24"/>
          <w:highlight w:val="none"/>
        </w:rPr>
        <w:t>：三招采-2023-GK011号</w:t>
      </w:r>
    </w:p>
    <w:p>
      <w:pPr>
        <w:tabs>
          <w:tab w:val="left" w:pos="180"/>
          <w:tab w:val="left" w:pos="360"/>
          <w:tab w:val="left" w:pos="540"/>
          <w:tab w:val="left" w:pos="8280"/>
        </w:tabs>
        <w:autoSpaceDE w:val="0"/>
        <w:autoSpaceDN w:val="0"/>
        <w:adjustRightInd w:val="0"/>
        <w:snapToGrid w:val="0"/>
        <w:spacing w:line="460" w:lineRule="exact"/>
        <w:ind w:left="539" w:right="23"/>
        <w:jc w:val="left"/>
        <w:rPr>
          <w:rFonts w:hint="eastAsia" w:ascii="宋体" w:hAnsi="宋体" w:eastAsia="宋体" w:cs="Simang"/>
          <w:color w:val="auto"/>
          <w:kern w:val="0"/>
          <w:sz w:val="24"/>
          <w:highlight w:val="none"/>
          <w:lang w:eastAsia="zh-CN"/>
        </w:rPr>
      </w:pPr>
      <w:r>
        <w:rPr>
          <w:rFonts w:hint="eastAsia" w:ascii="宋体" w:hAnsi="宋体"/>
          <w:color w:val="auto"/>
          <w:kern w:val="0"/>
          <w:sz w:val="24"/>
          <w:highlight w:val="none"/>
        </w:rPr>
        <w:t>项目名称：</w:t>
      </w:r>
      <w:r>
        <w:rPr>
          <w:rFonts w:hint="eastAsia" w:ascii="宋体" w:hAnsi="宋体"/>
          <w:color w:val="auto"/>
          <w:sz w:val="24"/>
          <w:highlight w:val="none"/>
          <w:lang w:eastAsia="zh-CN"/>
        </w:rPr>
        <w:t>2023年三门县下湾生活垃圾填埋场渗滤液处理设施运营服务项目</w:t>
      </w:r>
    </w:p>
    <w:p>
      <w:pPr>
        <w:tabs>
          <w:tab w:val="left" w:pos="180"/>
          <w:tab w:val="left" w:pos="360"/>
          <w:tab w:val="left" w:pos="540"/>
          <w:tab w:val="left" w:pos="8280"/>
        </w:tabs>
        <w:autoSpaceDE w:val="0"/>
        <w:autoSpaceDN w:val="0"/>
        <w:adjustRightInd w:val="0"/>
        <w:snapToGrid w:val="0"/>
        <w:spacing w:line="460" w:lineRule="exact"/>
        <w:ind w:left="539" w:right="23"/>
        <w:jc w:val="left"/>
        <w:rPr>
          <w:rFonts w:hint="default" w:ascii="宋体" w:hAnsi="宋体" w:eastAsia="宋体" w:cs="Simang"/>
          <w:color w:val="auto"/>
          <w:kern w:val="0"/>
          <w:sz w:val="24"/>
          <w:highlight w:val="none"/>
          <w:lang w:val="en-US" w:eastAsia="zh-CN"/>
        </w:rPr>
      </w:pPr>
      <w:r>
        <w:rPr>
          <w:rFonts w:hint="eastAsia" w:ascii="宋体" w:hAnsi="宋体" w:cs="Simang"/>
          <w:color w:val="auto"/>
          <w:kern w:val="0"/>
          <w:sz w:val="24"/>
          <w:highlight w:val="none"/>
        </w:rPr>
        <w:t>预算金额</w:t>
      </w:r>
      <w:r>
        <w:rPr>
          <w:rFonts w:hint="eastAsia" w:ascii="宋体" w:hAnsi="宋体" w:cs="Simang"/>
          <w:color w:val="auto"/>
          <w:kern w:val="0"/>
          <w:sz w:val="24"/>
          <w:highlight w:val="none"/>
          <w:lang w:eastAsia="zh-CN"/>
        </w:rPr>
        <w:t>（元）</w:t>
      </w:r>
      <w:r>
        <w:rPr>
          <w:rFonts w:hint="eastAsia" w:ascii="宋体" w:hAnsi="宋体" w:cs="Simang"/>
          <w:color w:val="auto"/>
          <w:kern w:val="0"/>
          <w:sz w:val="24"/>
          <w:highlight w:val="none"/>
        </w:rPr>
        <w:t>：</w:t>
      </w:r>
      <w:r>
        <w:rPr>
          <w:rFonts w:hint="eastAsia" w:ascii="宋体" w:hAnsi="宋体" w:cs="Simang"/>
          <w:color w:val="auto"/>
          <w:kern w:val="0"/>
          <w:sz w:val="24"/>
          <w:highlight w:val="none"/>
          <w:lang w:eastAsia="zh-CN"/>
        </w:rPr>
        <w:t>5018000</w:t>
      </w:r>
    </w:p>
    <w:p>
      <w:pPr>
        <w:tabs>
          <w:tab w:val="left" w:pos="180"/>
          <w:tab w:val="left" w:pos="360"/>
          <w:tab w:val="left" w:pos="540"/>
          <w:tab w:val="left" w:pos="8280"/>
        </w:tabs>
        <w:autoSpaceDE w:val="0"/>
        <w:autoSpaceDN w:val="0"/>
        <w:adjustRightInd w:val="0"/>
        <w:snapToGrid w:val="0"/>
        <w:spacing w:line="460" w:lineRule="exact"/>
        <w:ind w:left="539" w:right="23"/>
        <w:jc w:val="left"/>
        <w:rPr>
          <w:rFonts w:hint="eastAsia" w:ascii="宋体" w:hAnsi="宋体" w:eastAsia="宋体" w:cs="Simang"/>
          <w:color w:val="auto"/>
          <w:kern w:val="0"/>
          <w:sz w:val="24"/>
          <w:highlight w:val="none"/>
          <w:lang w:val="en-US" w:eastAsia="zh-CN"/>
        </w:rPr>
      </w:pPr>
      <w:r>
        <w:rPr>
          <w:rFonts w:hint="eastAsia" w:ascii="宋体" w:hAnsi="宋体" w:cs="Simang"/>
          <w:color w:val="auto"/>
          <w:kern w:val="0"/>
          <w:sz w:val="24"/>
          <w:highlight w:val="none"/>
        </w:rPr>
        <w:t>最高限价（</w:t>
      </w:r>
      <w:r>
        <w:rPr>
          <w:rFonts w:hint="eastAsia" w:ascii="宋体" w:hAnsi="宋体" w:cs="Simang"/>
          <w:color w:val="auto"/>
          <w:kern w:val="0"/>
          <w:sz w:val="24"/>
          <w:highlight w:val="none"/>
          <w:lang w:eastAsia="zh-CN"/>
        </w:rPr>
        <w:t>元</w:t>
      </w:r>
      <w:r>
        <w:rPr>
          <w:rFonts w:hint="eastAsia" w:ascii="宋体" w:hAnsi="宋体" w:cs="Simang"/>
          <w:color w:val="auto"/>
          <w:kern w:val="0"/>
          <w:sz w:val="24"/>
          <w:highlight w:val="none"/>
        </w:rPr>
        <w:t>）：</w:t>
      </w:r>
      <w:r>
        <w:rPr>
          <w:rFonts w:hint="eastAsia" w:ascii="宋体" w:hAnsi="宋体" w:cs="Simang"/>
          <w:color w:val="auto"/>
          <w:kern w:val="0"/>
          <w:sz w:val="24"/>
          <w:highlight w:val="none"/>
          <w:lang w:eastAsia="zh-CN"/>
        </w:rPr>
        <w:t>5018000</w:t>
      </w:r>
    </w:p>
    <w:p>
      <w:pPr>
        <w:tabs>
          <w:tab w:val="left" w:pos="180"/>
          <w:tab w:val="left" w:pos="360"/>
          <w:tab w:val="left" w:pos="540"/>
          <w:tab w:val="left" w:pos="8280"/>
        </w:tabs>
        <w:autoSpaceDE w:val="0"/>
        <w:autoSpaceDN w:val="0"/>
        <w:adjustRightInd w:val="0"/>
        <w:snapToGrid w:val="0"/>
        <w:spacing w:line="460" w:lineRule="exact"/>
        <w:ind w:left="539" w:right="23"/>
        <w:jc w:val="left"/>
        <w:rPr>
          <w:rFonts w:ascii="宋体" w:hAnsi="宋体" w:cs="Simang"/>
          <w:color w:val="auto"/>
          <w:kern w:val="0"/>
          <w:sz w:val="24"/>
          <w:highlight w:val="none"/>
        </w:rPr>
      </w:pPr>
      <w:r>
        <w:rPr>
          <w:rFonts w:hint="eastAsia" w:ascii="宋体" w:hAnsi="宋体" w:cs="Simang"/>
          <w:color w:val="auto"/>
          <w:kern w:val="0"/>
          <w:sz w:val="24"/>
          <w:highlight w:val="none"/>
        </w:rPr>
        <w:t>采购需求：</w:t>
      </w:r>
    </w:p>
    <w:p>
      <w:pPr>
        <w:tabs>
          <w:tab w:val="left" w:pos="180"/>
          <w:tab w:val="left" w:pos="360"/>
          <w:tab w:val="left" w:pos="540"/>
          <w:tab w:val="left" w:pos="8280"/>
        </w:tabs>
        <w:autoSpaceDE w:val="0"/>
        <w:autoSpaceDN w:val="0"/>
        <w:adjustRightInd w:val="0"/>
        <w:snapToGrid w:val="0"/>
        <w:spacing w:line="460" w:lineRule="exact"/>
        <w:ind w:left="540" w:leftChars="257" w:right="23" w:firstLine="120" w:firstLineChars="50"/>
        <w:jc w:val="left"/>
        <w:rPr>
          <w:rFonts w:hint="eastAsia" w:ascii="宋体" w:hAnsi="宋体" w:eastAsia="宋体" w:cs="Simang"/>
          <w:color w:val="auto"/>
          <w:kern w:val="0"/>
          <w:sz w:val="24"/>
          <w:highlight w:val="none"/>
          <w:lang w:eastAsia="zh-CN"/>
        </w:rPr>
      </w:pPr>
      <w:r>
        <w:rPr>
          <w:rFonts w:hint="eastAsia" w:ascii="宋体" w:hAnsi="宋体" w:cs="Simang"/>
          <w:color w:val="auto"/>
          <w:kern w:val="0"/>
          <w:sz w:val="24"/>
          <w:highlight w:val="none"/>
        </w:rPr>
        <w:t>标项名称：</w:t>
      </w:r>
      <w:r>
        <w:rPr>
          <w:rFonts w:hint="eastAsia" w:ascii="宋体" w:hAnsi="宋体"/>
          <w:color w:val="auto"/>
          <w:sz w:val="24"/>
          <w:highlight w:val="none"/>
          <w:lang w:eastAsia="zh-CN"/>
        </w:rPr>
        <w:t>2023年三门县下湾生活垃圾填埋场渗滤液处理设施运营服务项目</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460" w:lineRule="exact"/>
        <w:ind w:left="540" w:leftChars="257" w:right="23" w:firstLine="120" w:firstLineChars="50"/>
        <w:jc w:val="left"/>
        <w:textAlignment w:val="auto"/>
        <w:rPr>
          <w:rFonts w:hint="eastAsia" w:ascii="宋体" w:hAnsi="宋体" w:eastAsia="宋体" w:cs="Simang"/>
          <w:color w:val="auto"/>
          <w:kern w:val="0"/>
          <w:sz w:val="24"/>
          <w:highlight w:val="none"/>
          <w:lang w:eastAsia="zh-CN"/>
        </w:rPr>
      </w:pPr>
      <w:r>
        <w:rPr>
          <w:rFonts w:hint="eastAsia" w:ascii="宋体" w:hAnsi="宋体" w:cs="Simang"/>
          <w:color w:val="auto"/>
          <w:kern w:val="0"/>
          <w:sz w:val="24"/>
          <w:highlight w:val="none"/>
        </w:rPr>
        <w:t>数量：</w:t>
      </w:r>
      <w:r>
        <w:rPr>
          <w:rFonts w:hint="eastAsia" w:ascii="宋体" w:hAnsi="宋体" w:cs="Simang"/>
          <w:color w:val="auto"/>
          <w:kern w:val="0"/>
          <w:sz w:val="24"/>
          <w:highlight w:val="none"/>
          <w:lang w:eastAsia="zh-CN"/>
        </w:rPr>
        <w:t>不限</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460" w:lineRule="exact"/>
        <w:ind w:left="540" w:leftChars="257" w:right="23" w:firstLine="120" w:firstLineChars="50"/>
        <w:jc w:val="left"/>
        <w:textAlignment w:val="auto"/>
        <w:rPr>
          <w:rFonts w:hint="eastAsia" w:ascii="宋体" w:hAnsi="宋体" w:eastAsia="宋体" w:cs="Simang"/>
          <w:color w:val="auto"/>
          <w:kern w:val="0"/>
          <w:sz w:val="24"/>
          <w:highlight w:val="none"/>
          <w:lang w:eastAsia="zh-CN"/>
        </w:rPr>
      </w:pPr>
      <w:r>
        <w:rPr>
          <w:rFonts w:hint="eastAsia" w:ascii="宋体" w:hAnsi="宋体" w:cs="Simang"/>
          <w:color w:val="auto"/>
          <w:kern w:val="0"/>
          <w:sz w:val="24"/>
          <w:highlight w:val="none"/>
        </w:rPr>
        <w:t>预算金额</w:t>
      </w:r>
      <w:r>
        <w:rPr>
          <w:rFonts w:hint="eastAsia" w:ascii="宋体" w:hAnsi="宋体" w:cs="Simang"/>
          <w:color w:val="auto"/>
          <w:kern w:val="0"/>
          <w:sz w:val="24"/>
          <w:highlight w:val="none"/>
          <w:lang w:eastAsia="zh-CN"/>
        </w:rPr>
        <w:t>（元）</w:t>
      </w:r>
      <w:r>
        <w:rPr>
          <w:rFonts w:hint="eastAsia" w:ascii="宋体" w:hAnsi="宋体" w:cs="Simang"/>
          <w:color w:val="auto"/>
          <w:kern w:val="0"/>
          <w:sz w:val="24"/>
          <w:highlight w:val="none"/>
        </w:rPr>
        <w:t>：</w:t>
      </w:r>
      <w:r>
        <w:rPr>
          <w:rFonts w:hint="eastAsia" w:ascii="宋体" w:hAnsi="宋体" w:cs="Simang"/>
          <w:color w:val="auto"/>
          <w:kern w:val="0"/>
          <w:sz w:val="24"/>
          <w:highlight w:val="none"/>
          <w:lang w:eastAsia="zh-CN"/>
        </w:rPr>
        <w:t>5018000</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460" w:lineRule="exact"/>
        <w:ind w:left="540" w:leftChars="257" w:firstLine="120" w:firstLineChars="50"/>
        <w:jc w:val="left"/>
        <w:textAlignment w:val="auto"/>
        <w:rPr>
          <w:rFonts w:hint="eastAsia" w:ascii="宋体" w:hAnsi="宋体"/>
          <w:color w:val="auto"/>
          <w:sz w:val="24"/>
          <w:highlight w:val="none"/>
        </w:rPr>
      </w:pPr>
      <w:r>
        <w:rPr>
          <w:rFonts w:hint="eastAsia" w:ascii="宋体" w:hAnsi="宋体" w:cs="Simang"/>
          <w:color w:val="auto"/>
          <w:kern w:val="0"/>
          <w:sz w:val="24"/>
          <w:highlight w:val="none"/>
        </w:rPr>
        <w:t>简要规格描述或项目基本概况介绍、用途：</w:t>
      </w:r>
      <w:r>
        <w:rPr>
          <w:rFonts w:hint="eastAsia" w:ascii="宋体" w:hAnsi="宋体"/>
          <w:color w:val="auto"/>
          <w:sz w:val="24"/>
          <w:highlight w:val="none"/>
        </w:rPr>
        <w:t>详见招标文件。</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460" w:lineRule="exact"/>
        <w:ind w:left="540" w:leftChars="257" w:firstLine="120" w:firstLineChars="50"/>
        <w:jc w:val="left"/>
        <w:textAlignment w:val="auto"/>
        <w:rPr>
          <w:rFonts w:hint="eastAsia" w:ascii="宋体" w:hAnsi="宋体" w:cs="Simang"/>
          <w:color w:val="auto"/>
          <w:kern w:val="0"/>
          <w:sz w:val="24"/>
          <w:highlight w:val="none"/>
          <w:lang w:eastAsia="zh-CN"/>
        </w:rPr>
      </w:pPr>
      <w:r>
        <w:rPr>
          <w:rFonts w:hint="eastAsia" w:ascii="宋体" w:hAnsi="宋体" w:cs="Simang"/>
          <w:color w:val="auto"/>
          <w:kern w:val="0"/>
          <w:sz w:val="24"/>
          <w:highlight w:val="none"/>
          <w:lang w:eastAsia="zh-CN"/>
        </w:rPr>
        <w:t>备注：</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460" w:lineRule="exact"/>
        <w:ind w:left="540" w:leftChars="257" w:right="23" w:firstLine="120" w:firstLineChars="50"/>
        <w:jc w:val="left"/>
        <w:textAlignment w:val="auto"/>
        <w:rPr>
          <w:rFonts w:ascii="宋体" w:hAnsi="宋体" w:cs="Simang"/>
          <w:color w:val="auto"/>
          <w:kern w:val="0"/>
          <w:sz w:val="24"/>
          <w:highlight w:val="none"/>
        </w:rPr>
      </w:pPr>
      <w:r>
        <w:rPr>
          <w:rFonts w:hint="eastAsia" w:ascii="宋体" w:hAnsi="宋体" w:cs="Simang"/>
          <w:color w:val="auto"/>
          <w:kern w:val="0"/>
          <w:sz w:val="24"/>
          <w:highlight w:val="none"/>
        </w:rPr>
        <w:t>合同履约期限：标项 1，</w:t>
      </w:r>
      <w:r>
        <w:rPr>
          <w:rFonts w:hint="eastAsia" w:ascii="宋体" w:hAnsi="宋体" w:cs="Simang"/>
          <w:color w:val="auto"/>
          <w:kern w:val="0"/>
          <w:sz w:val="24"/>
          <w:highlight w:val="none"/>
          <w:lang w:eastAsia="zh-CN"/>
        </w:rPr>
        <w:t>在自合同签订后1年时间。第一年合同履行完毕后，采购人对中标人服务质量进行客观评估，年度满意度测评达到要求且采购人年度预算能够保障的前提下，续签下一年度合同，最多续签2次合同。</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460" w:lineRule="exact"/>
        <w:ind w:left="539" w:right="23"/>
        <w:jc w:val="left"/>
        <w:textAlignment w:val="auto"/>
        <w:rPr>
          <w:rFonts w:cs="宋体"/>
          <w:color w:val="auto"/>
          <w:sz w:val="24"/>
          <w:highlight w:val="none"/>
        </w:rPr>
      </w:pPr>
      <w:r>
        <w:rPr>
          <w:rFonts w:hint="eastAsia" w:cs="宋体"/>
          <w:color w:val="auto"/>
          <w:sz w:val="24"/>
          <w:highlight w:val="none"/>
        </w:rPr>
        <w:t xml:space="preserve"> 本项目（否）接受联合体投标。</w:t>
      </w:r>
    </w:p>
    <w:p>
      <w:pPr>
        <w:tabs>
          <w:tab w:val="left" w:pos="180"/>
          <w:tab w:val="left" w:pos="360"/>
          <w:tab w:val="left" w:pos="540"/>
          <w:tab w:val="left" w:pos="8280"/>
        </w:tabs>
        <w:autoSpaceDE w:val="0"/>
        <w:autoSpaceDN w:val="0"/>
        <w:adjustRightInd w:val="0"/>
        <w:snapToGrid w:val="0"/>
        <w:spacing w:line="460" w:lineRule="exact"/>
        <w:ind w:left="539" w:right="23"/>
        <w:jc w:val="left"/>
        <w:rPr>
          <w:rFonts w:ascii="宋体" w:hAnsi="宋体"/>
          <w:b/>
          <w:color w:val="auto"/>
          <w:kern w:val="0"/>
          <w:sz w:val="24"/>
          <w:highlight w:val="none"/>
        </w:rPr>
      </w:pPr>
      <w:r>
        <w:rPr>
          <w:rFonts w:hint="eastAsia" w:ascii="宋体" w:hAnsi="宋体"/>
          <w:b/>
          <w:color w:val="auto"/>
          <w:sz w:val="24"/>
          <w:highlight w:val="none"/>
        </w:rPr>
        <w:t>二、申请人的资格要求：</w:t>
      </w:r>
    </w:p>
    <w:p>
      <w:pPr>
        <w:tabs>
          <w:tab w:val="left" w:pos="180"/>
          <w:tab w:val="left" w:pos="360"/>
          <w:tab w:val="left" w:pos="540"/>
          <w:tab w:val="left" w:pos="8280"/>
        </w:tabs>
        <w:autoSpaceDE w:val="0"/>
        <w:autoSpaceDN w:val="0"/>
        <w:adjustRightInd w:val="0"/>
        <w:snapToGrid w:val="0"/>
        <w:spacing w:line="460" w:lineRule="exact"/>
        <w:ind w:right="23" w:firstLine="480" w:firstLineChars="200"/>
        <w:jc w:val="left"/>
        <w:rPr>
          <w:rFonts w:ascii="宋体" w:hAnsi="宋体"/>
          <w:color w:val="auto"/>
          <w:kern w:val="0"/>
          <w:sz w:val="24"/>
          <w:highlight w:val="none"/>
        </w:rPr>
      </w:pPr>
      <w:r>
        <w:rPr>
          <w:rFonts w:hint="eastAsia" w:ascii="宋体" w:hAnsi="宋体"/>
          <w:color w:val="auto"/>
          <w:sz w:val="24"/>
          <w:highlight w:val="none"/>
        </w:rPr>
        <w:t>1.满足《中华人民共和国政府采购法》第二十二条规定，</w:t>
      </w:r>
      <w:r>
        <w:rPr>
          <w:rFonts w:ascii="宋体" w:hAnsi="宋体"/>
          <w:color w:val="auto"/>
          <w:sz w:val="24"/>
          <w:highlight w:val="none"/>
        </w:rPr>
        <w:t>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280"/>
        </w:tabs>
        <w:autoSpaceDE w:val="0"/>
        <w:autoSpaceDN w:val="0"/>
        <w:adjustRightInd w:val="0"/>
        <w:snapToGrid w:val="0"/>
        <w:spacing w:line="460" w:lineRule="exact"/>
        <w:ind w:right="23" w:firstLine="480" w:firstLineChars="200"/>
        <w:jc w:val="left"/>
        <w:rPr>
          <w:rFonts w:hint="eastAsia" w:ascii="宋体" w:eastAsia="宋体"/>
          <w:color w:val="auto"/>
          <w:kern w:val="0"/>
          <w:sz w:val="24"/>
          <w:highlight w:val="none"/>
          <w:lang w:val="en-US" w:eastAsia="zh-CN"/>
        </w:rPr>
      </w:pPr>
      <w:r>
        <w:rPr>
          <w:rFonts w:ascii="宋体" w:hAnsi="宋体"/>
          <w:color w:val="auto"/>
          <w:sz w:val="24"/>
          <w:highlight w:val="none"/>
        </w:rPr>
        <w:t>2.落实政府采购政策需满足的资格要求：</w:t>
      </w:r>
      <w:r>
        <w:rPr>
          <w:rFonts w:hint="eastAsia" w:ascii="宋体" w:hAnsi="宋体"/>
          <w:color w:val="auto"/>
          <w:sz w:val="24"/>
          <w:highlight w:val="none"/>
          <w:lang w:val="en-US" w:eastAsia="zh-CN"/>
        </w:rPr>
        <w:t>/</w:t>
      </w:r>
    </w:p>
    <w:p>
      <w:pPr>
        <w:adjustRightInd w:val="0"/>
        <w:snapToGrid w:val="0"/>
        <w:spacing w:line="460" w:lineRule="exact"/>
        <w:ind w:firstLine="480" w:firstLineChars="200"/>
        <w:rPr>
          <w:rFonts w:ascii="宋体" w:hAnsi="宋体"/>
          <w:color w:val="auto"/>
          <w:sz w:val="24"/>
          <w:highlight w:val="none"/>
        </w:rPr>
      </w:pPr>
      <w:r>
        <w:rPr>
          <w:rFonts w:ascii="宋体" w:hAnsi="宋体"/>
          <w:color w:val="auto"/>
          <w:sz w:val="24"/>
          <w:highlight w:val="none"/>
        </w:rPr>
        <w:t>3.本项目的特定资格要求</w:t>
      </w:r>
      <w:r>
        <w:rPr>
          <w:rFonts w:hint="eastAsia" w:ascii="宋体" w:hAnsi="宋体"/>
          <w:color w:val="auto"/>
          <w:sz w:val="24"/>
          <w:highlight w:val="none"/>
        </w:rPr>
        <w:t>：无</w:t>
      </w:r>
    </w:p>
    <w:p>
      <w:pPr>
        <w:tabs>
          <w:tab w:val="left" w:pos="180"/>
          <w:tab w:val="left" w:pos="360"/>
          <w:tab w:val="left" w:pos="540"/>
          <w:tab w:val="left" w:pos="8280"/>
        </w:tabs>
        <w:autoSpaceDE w:val="0"/>
        <w:autoSpaceDN w:val="0"/>
        <w:adjustRightInd w:val="0"/>
        <w:snapToGrid w:val="0"/>
        <w:spacing w:line="460" w:lineRule="exact"/>
        <w:ind w:right="23"/>
        <w:jc w:val="left"/>
        <w:rPr>
          <w:rFonts w:ascii="宋体" w:hAnsi="宋体"/>
          <w:b/>
          <w:color w:val="auto"/>
          <w:sz w:val="24"/>
          <w:highlight w:val="none"/>
        </w:rPr>
      </w:pPr>
      <w:r>
        <w:rPr>
          <w:rFonts w:hint="eastAsia" w:ascii="宋体" w:hAnsi="宋体"/>
          <w:b/>
          <w:color w:val="auto"/>
          <w:sz w:val="24"/>
          <w:highlight w:val="none"/>
        </w:rPr>
        <w:t>三、获取招标文件：</w:t>
      </w:r>
    </w:p>
    <w:p>
      <w:pPr>
        <w:tabs>
          <w:tab w:val="left" w:pos="180"/>
          <w:tab w:val="left" w:pos="360"/>
          <w:tab w:val="left" w:pos="540"/>
          <w:tab w:val="left" w:pos="8280"/>
        </w:tabs>
        <w:autoSpaceDE w:val="0"/>
        <w:autoSpaceDN w:val="0"/>
        <w:adjustRightInd w:val="0"/>
        <w:snapToGrid w:val="0"/>
        <w:spacing w:line="460" w:lineRule="exact"/>
        <w:ind w:firstLine="480" w:firstLineChars="200"/>
        <w:jc w:val="left"/>
        <w:rPr>
          <w:rFonts w:ascii="宋体" w:hAnsi="宋体"/>
          <w:color w:val="auto"/>
          <w:sz w:val="24"/>
          <w:highlight w:val="none"/>
        </w:rPr>
      </w:pPr>
      <w:r>
        <w:rPr>
          <w:rFonts w:ascii="宋体" w:hAnsi="宋体"/>
          <w:color w:val="auto"/>
          <w:sz w:val="24"/>
          <w:highlight w:val="none"/>
        </w:rPr>
        <w:t>时间： /至</w:t>
      </w:r>
      <w:r>
        <w:rPr>
          <w:rFonts w:ascii="宋体" w:hAnsi="宋体"/>
          <w:color w:val="auto"/>
          <w:sz w:val="24"/>
          <w:highlight w:val="none"/>
          <w:u w:val="none"/>
        </w:rPr>
        <w:t>202</w:t>
      </w:r>
      <w:r>
        <w:rPr>
          <w:rFonts w:hint="eastAsia" w:ascii="宋体" w:hAnsi="宋体"/>
          <w:color w:val="auto"/>
          <w:sz w:val="24"/>
          <w:highlight w:val="none"/>
          <w:u w:val="none"/>
          <w:lang w:val="en-US" w:eastAsia="zh-CN"/>
        </w:rPr>
        <w:t>3</w:t>
      </w:r>
      <w:r>
        <w:rPr>
          <w:rFonts w:ascii="宋体" w:hAnsi="宋体"/>
          <w:color w:val="auto"/>
          <w:sz w:val="24"/>
          <w:highlight w:val="none"/>
          <w:u w:val="none"/>
        </w:rPr>
        <w:t>年</w:t>
      </w:r>
      <w:r>
        <w:rPr>
          <w:rFonts w:hint="eastAsia" w:ascii="宋体" w:hAnsi="宋体"/>
          <w:color w:val="auto"/>
          <w:sz w:val="24"/>
          <w:highlight w:val="none"/>
          <w:u w:val="none"/>
          <w:lang w:val="en-US" w:eastAsia="zh-CN"/>
        </w:rPr>
        <w:t>3</w:t>
      </w:r>
      <w:r>
        <w:rPr>
          <w:rFonts w:ascii="宋体" w:hAnsi="宋体"/>
          <w:color w:val="auto"/>
          <w:sz w:val="24"/>
          <w:highlight w:val="none"/>
          <w:u w:val="none"/>
        </w:rPr>
        <w:t>月</w:t>
      </w:r>
      <w:r>
        <w:rPr>
          <w:rFonts w:hint="eastAsia" w:ascii="宋体" w:hAnsi="宋体"/>
          <w:color w:val="auto"/>
          <w:sz w:val="24"/>
          <w:highlight w:val="none"/>
          <w:u w:val="none"/>
          <w:lang w:val="en-US" w:eastAsia="zh-CN"/>
        </w:rPr>
        <w:t>23</w:t>
      </w:r>
      <w:r>
        <w:rPr>
          <w:rFonts w:ascii="宋体" w:hAnsi="宋体"/>
          <w:color w:val="auto"/>
          <w:sz w:val="24"/>
          <w:highlight w:val="none"/>
          <w:u w:val="none"/>
        </w:rPr>
        <w:t>日</w:t>
      </w:r>
      <w:r>
        <w:rPr>
          <w:rFonts w:ascii="宋体" w:hAnsi="宋体"/>
          <w:color w:val="auto"/>
          <w:sz w:val="24"/>
          <w:highlight w:val="none"/>
        </w:rPr>
        <w:t>，每天上午00:00至12:00</w:t>
      </w:r>
      <w:r>
        <w:rPr>
          <w:rFonts w:hint="eastAsia" w:ascii="宋体" w:hAnsi="宋体"/>
          <w:color w:val="auto"/>
          <w:sz w:val="24"/>
          <w:highlight w:val="none"/>
        </w:rPr>
        <w:t>，</w:t>
      </w:r>
      <w:r>
        <w:rPr>
          <w:rFonts w:ascii="宋体" w:hAnsi="宋体"/>
          <w:color w:val="auto"/>
          <w:sz w:val="24"/>
          <w:highlight w:val="none"/>
        </w:rPr>
        <w:t>下午12:00至23:59（北京时间，线上获取法定节假日均可，线下获取文件法定节假日除外）</w:t>
      </w:r>
    </w:p>
    <w:p>
      <w:pPr>
        <w:tabs>
          <w:tab w:val="left" w:pos="180"/>
          <w:tab w:val="left" w:pos="360"/>
          <w:tab w:val="left" w:pos="540"/>
          <w:tab w:val="left" w:pos="8280"/>
        </w:tabs>
        <w:autoSpaceDE w:val="0"/>
        <w:autoSpaceDN w:val="0"/>
        <w:adjustRightInd w:val="0"/>
        <w:snapToGrid w:val="0"/>
        <w:spacing w:line="460" w:lineRule="exact"/>
        <w:ind w:right="23" w:firstLine="720" w:firstLineChars="300"/>
        <w:jc w:val="left"/>
        <w:rPr>
          <w:rFonts w:ascii="宋体" w:hAnsi="宋体"/>
          <w:color w:val="auto"/>
          <w:sz w:val="24"/>
          <w:highlight w:val="none"/>
        </w:rPr>
      </w:pPr>
      <w:r>
        <w:rPr>
          <w:rFonts w:ascii="宋体" w:hAnsi="宋体"/>
          <w:color w:val="auto"/>
          <w:sz w:val="24"/>
          <w:highlight w:val="none"/>
        </w:rPr>
        <w:t>地点（网址）：浙江政府采购</w:t>
      </w:r>
      <w:r>
        <w:rPr>
          <w:rFonts w:hint="eastAsia" w:ascii="宋体" w:hAnsi="宋体"/>
          <w:color w:val="auto"/>
          <w:sz w:val="24"/>
          <w:highlight w:val="none"/>
        </w:rPr>
        <w:t>云平台（https://www.zcygov.cn/）网上报名后下载</w:t>
      </w:r>
      <w:r>
        <w:rPr>
          <w:rFonts w:hint="eastAsia" w:ascii="仿宋" w:hAnsi="仿宋"/>
          <w:color w:val="auto"/>
          <w:sz w:val="27"/>
          <w:szCs w:val="27"/>
          <w:highlight w:val="none"/>
        </w:rPr>
        <w:t>。</w:t>
      </w:r>
      <w:r>
        <w:rPr>
          <w:rFonts w:ascii="宋体" w:hAnsi="宋体"/>
          <w:color w:val="auto"/>
          <w:sz w:val="24"/>
          <w:highlight w:val="none"/>
        </w:rPr>
        <w:t> </w:t>
      </w:r>
    </w:p>
    <w:p>
      <w:pPr>
        <w:tabs>
          <w:tab w:val="left" w:pos="180"/>
          <w:tab w:val="left" w:pos="360"/>
          <w:tab w:val="left" w:pos="540"/>
          <w:tab w:val="left" w:pos="8280"/>
        </w:tabs>
        <w:autoSpaceDE w:val="0"/>
        <w:autoSpaceDN w:val="0"/>
        <w:adjustRightInd w:val="0"/>
        <w:snapToGrid w:val="0"/>
        <w:spacing w:line="460" w:lineRule="exact"/>
        <w:ind w:firstLine="480" w:firstLineChars="200"/>
        <w:jc w:val="left"/>
        <w:rPr>
          <w:rFonts w:ascii="宋体" w:hAnsi="宋体"/>
          <w:color w:val="auto"/>
          <w:sz w:val="24"/>
          <w:highlight w:val="none"/>
        </w:rPr>
      </w:pPr>
      <w:r>
        <w:rPr>
          <w:rFonts w:ascii="宋体" w:hAnsi="宋体"/>
          <w:color w:val="auto"/>
          <w:sz w:val="24"/>
          <w:highlight w:val="none"/>
        </w:rPr>
        <w:t>方式：</w:t>
      </w:r>
      <w:r>
        <w:rPr>
          <w:rFonts w:hint="eastAsia" w:ascii="宋体" w:hAnsi="宋体"/>
          <w:color w:val="auto"/>
          <w:sz w:val="24"/>
          <w:highlight w:val="none"/>
        </w:rPr>
        <w:t>供应商登录政采云平台（https://www.zcygov.cn/）在线申请获取采购文件（进入“项目采购”应用，在获取采购文件菜单中选择项目，申请获取采购文件）</w:t>
      </w:r>
    </w:p>
    <w:p>
      <w:pPr>
        <w:tabs>
          <w:tab w:val="left" w:pos="180"/>
          <w:tab w:val="left" w:pos="360"/>
          <w:tab w:val="left" w:pos="540"/>
          <w:tab w:val="left" w:pos="8280"/>
        </w:tabs>
        <w:autoSpaceDE w:val="0"/>
        <w:autoSpaceDN w:val="0"/>
        <w:adjustRightInd w:val="0"/>
        <w:snapToGrid w:val="0"/>
        <w:spacing w:line="460" w:lineRule="exact"/>
        <w:ind w:firstLine="240" w:firstLineChars="100"/>
        <w:jc w:val="left"/>
        <w:rPr>
          <w:rFonts w:ascii="宋体" w:hAnsi="宋体" w:cs="宋体"/>
          <w:color w:val="auto"/>
          <w:kern w:val="0"/>
          <w:sz w:val="24"/>
          <w:highlight w:val="none"/>
        </w:rPr>
      </w:pPr>
      <w:r>
        <w:rPr>
          <w:rFonts w:ascii="宋体" w:hAnsi="宋体"/>
          <w:color w:val="auto"/>
          <w:sz w:val="24"/>
          <w:highlight w:val="none"/>
        </w:rPr>
        <w:t> 售价（元）：0</w:t>
      </w:r>
    </w:p>
    <w:p>
      <w:pPr>
        <w:widowControl/>
        <w:adjustRightInd w:val="0"/>
        <w:snapToGrid w:val="0"/>
        <w:spacing w:line="460" w:lineRule="exact"/>
        <w:rPr>
          <w:rFonts w:ascii="宋体" w:hAnsi="宋体" w:cs="宋体"/>
          <w:color w:val="auto"/>
          <w:kern w:val="0"/>
          <w:sz w:val="24"/>
          <w:highlight w:val="none"/>
        </w:rPr>
      </w:pPr>
      <w:r>
        <w:rPr>
          <w:rFonts w:hint="eastAsia" w:ascii="宋体" w:hAnsi="宋体" w:cs="宋体"/>
          <w:b/>
          <w:bCs/>
          <w:color w:val="auto"/>
          <w:kern w:val="0"/>
          <w:sz w:val="24"/>
          <w:highlight w:val="none"/>
        </w:rPr>
        <w:t>四、提交投标文件截止时间、开标时间和地点</w:t>
      </w:r>
    </w:p>
    <w:p>
      <w:pPr>
        <w:widowControl/>
        <w:adjustRightInd w:val="0"/>
        <w:snapToGrid w:val="0"/>
        <w:spacing w:line="460" w:lineRule="exact"/>
        <w:jc w:val="left"/>
        <w:rPr>
          <w:rFonts w:ascii="宋体" w:hAnsi="宋体"/>
          <w:color w:val="auto"/>
          <w:sz w:val="24"/>
          <w:highlight w:val="none"/>
        </w:rPr>
      </w:pPr>
      <w:r>
        <w:rPr>
          <w:rFonts w:ascii="宋体" w:hAnsi="宋体" w:cs="宋体"/>
          <w:color w:val="auto"/>
          <w:kern w:val="0"/>
          <w:sz w:val="24"/>
          <w:highlight w:val="none"/>
        </w:rPr>
        <w:t xml:space="preserve">  </w:t>
      </w:r>
      <w:r>
        <w:rPr>
          <w:rFonts w:ascii="宋体" w:hAnsi="宋体"/>
          <w:color w:val="auto"/>
          <w:sz w:val="24"/>
          <w:highlight w:val="none"/>
        </w:rPr>
        <w:t>提交投标文件截止时间：</w:t>
      </w:r>
      <w:r>
        <w:rPr>
          <w:rFonts w:ascii="宋体" w:hAnsi="宋体"/>
          <w:color w:val="auto"/>
          <w:sz w:val="24"/>
          <w:highlight w:val="none"/>
          <w:u w:val="none"/>
        </w:rPr>
        <w:t>202</w:t>
      </w:r>
      <w:r>
        <w:rPr>
          <w:rFonts w:hint="eastAsia" w:ascii="宋体" w:hAnsi="宋体"/>
          <w:color w:val="auto"/>
          <w:sz w:val="24"/>
          <w:highlight w:val="none"/>
          <w:u w:val="none"/>
          <w:lang w:val="en-US" w:eastAsia="zh-CN"/>
        </w:rPr>
        <w:t>3</w:t>
      </w:r>
      <w:r>
        <w:rPr>
          <w:rFonts w:ascii="宋体" w:hAnsi="宋体"/>
          <w:color w:val="auto"/>
          <w:sz w:val="24"/>
          <w:highlight w:val="none"/>
          <w:u w:val="none"/>
        </w:rPr>
        <w:t>年</w:t>
      </w:r>
      <w:r>
        <w:rPr>
          <w:rFonts w:hint="eastAsia" w:ascii="宋体" w:hAnsi="宋体"/>
          <w:color w:val="auto"/>
          <w:sz w:val="24"/>
          <w:highlight w:val="none"/>
          <w:u w:val="none"/>
          <w:lang w:val="en-US" w:eastAsia="zh-CN"/>
        </w:rPr>
        <w:t>3</w:t>
      </w:r>
      <w:r>
        <w:rPr>
          <w:rFonts w:ascii="宋体" w:hAnsi="宋体"/>
          <w:color w:val="auto"/>
          <w:sz w:val="24"/>
          <w:highlight w:val="none"/>
          <w:u w:val="none"/>
        </w:rPr>
        <w:t>月</w:t>
      </w:r>
      <w:r>
        <w:rPr>
          <w:rFonts w:hint="eastAsia" w:ascii="宋体" w:hAnsi="宋体"/>
          <w:color w:val="auto"/>
          <w:sz w:val="24"/>
          <w:highlight w:val="none"/>
          <w:u w:val="none"/>
          <w:lang w:val="en-US" w:eastAsia="zh-CN"/>
        </w:rPr>
        <w:t>23</w:t>
      </w:r>
      <w:r>
        <w:rPr>
          <w:rFonts w:ascii="宋体" w:hAnsi="宋体"/>
          <w:color w:val="auto"/>
          <w:sz w:val="24"/>
          <w:highlight w:val="none"/>
          <w:u w:val="none"/>
        </w:rPr>
        <w:t xml:space="preserve">日 </w:t>
      </w:r>
      <w:r>
        <w:rPr>
          <w:rFonts w:hint="eastAsia" w:ascii="宋体" w:hAnsi="宋体"/>
          <w:color w:val="auto"/>
          <w:sz w:val="24"/>
          <w:highlight w:val="none"/>
          <w:u w:val="none"/>
        </w:rPr>
        <w:t>14</w:t>
      </w:r>
      <w:r>
        <w:rPr>
          <w:rFonts w:ascii="宋体" w:hAnsi="宋体"/>
          <w:color w:val="auto"/>
          <w:sz w:val="24"/>
          <w:highlight w:val="none"/>
          <w:u w:val="none"/>
        </w:rPr>
        <w:t>:</w:t>
      </w:r>
      <w:r>
        <w:rPr>
          <w:rFonts w:hint="eastAsia" w:ascii="宋体" w:hAnsi="宋体"/>
          <w:color w:val="auto"/>
          <w:sz w:val="24"/>
          <w:highlight w:val="none"/>
          <w:u w:val="none"/>
          <w:lang w:val="en-US" w:eastAsia="zh-CN"/>
        </w:rPr>
        <w:t>0</w:t>
      </w:r>
      <w:r>
        <w:rPr>
          <w:rFonts w:ascii="宋体" w:hAnsi="宋体"/>
          <w:color w:val="auto"/>
          <w:sz w:val="24"/>
          <w:highlight w:val="none"/>
          <w:u w:val="none"/>
        </w:rPr>
        <w:t>0</w:t>
      </w:r>
      <w:r>
        <w:rPr>
          <w:rFonts w:ascii="宋体" w:hAnsi="宋体"/>
          <w:color w:val="auto"/>
          <w:sz w:val="24"/>
          <w:highlight w:val="none"/>
        </w:rPr>
        <w:t>（北京时间）</w:t>
      </w:r>
    </w:p>
    <w:p>
      <w:pPr>
        <w:widowControl/>
        <w:adjustRightInd w:val="0"/>
        <w:snapToGrid w:val="0"/>
        <w:spacing w:line="460" w:lineRule="exact"/>
        <w:jc w:val="left"/>
        <w:rPr>
          <w:rFonts w:ascii="宋体" w:hAnsi="宋体"/>
          <w:color w:val="auto"/>
          <w:sz w:val="24"/>
          <w:highlight w:val="none"/>
        </w:rPr>
      </w:pPr>
      <w:r>
        <w:rPr>
          <w:rFonts w:ascii="宋体" w:hAnsi="宋体"/>
          <w:color w:val="auto"/>
          <w:sz w:val="24"/>
          <w:highlight w:val="none"/>
        </w:rPr>
        <w:t>  投标地点（网址）：</w:t>
      </w:r>
      <w:r>
        <w:rPr>
          <w:rFonts w:hint="eastAsia" w:ascii="宋体" w:hAnsi="宋体"/>
          <w:color w:val="auto"/>
          <w:sz w:val="24"/>
          <w:highlight w:val="none"/>
        </w:rPr>
        <w:t>本项目实行网上投标，通过政采云平台</w:t>
      </w:r>
      <w:r>
        <w:rPr>
          <w:rFonts w:ascii="宋体" w:hAnsi="宋体"/>
          <w:color w:val="auto"/>
          <w:sz w:val="24"/>
          <w:highlight w:val="none"/>
        </w:rPr>
        <w:t>递交</w:t>
      </w:r>
    </w:p>
    <w:p>
      <w:pPr>
        <w:widowControl/>
        <w:adjustRightInd w:val="0"/>
        <w:snapToGrid w:val="0"/>
        <w:spacing w:line="460" w:lineRule="exact"/>
        <w:jc w:val="left"/>
        <w:rPr>
          <w:rFonts w:ascii="宋体" w:hAnsi="宋体"/>
          <w:color w:val="auto"/>
          <w:sz w:val="24"/>
          <w:highlight w:val="none"/>
        </w:rPr>
      </w:pPr>
      <w:r>
        <w:rPr>
          <w:rFonts w:ascii="宋体" w:hAnsi="宋体"/>
          <w:color w:val="auto"/>
          <w:sz w:val="24"/>
          <w:highlight w:val="none"/>
        </w:rPr>
        <w:t>  开标时间：</w:t>
      </w:r>
      <w:r>
        <w:rPr>
          <w:rFonts w:ascii="宋体" w:hAnsi="宋体"/>
          <w:color w:val="auto"/>
          <w:sz w:val="24"/>
          <w:highlight w:val="none"/>
          <w:u w:val="none"/>
        </w:rPr>
        <w:t>202</w:t>
      </w:r>
      <w:r>
        <w:rPr>
          <w:rFonts w:hint="eastAsia" w:ascii="宋体" w:hAnsi="宋体"/>
          <w:color w:val="auto"/>
          <w:sz w:val="24"/>
          <w:highlight w:val="none"/>
          <w:u w:val="none"/>
          <w:lang w:val="en-US" w:eastAsia="zh-CN"/>
        </w:rPr>
        <w:t>3</w:t>
      </w:r>
      <w:r>
        <w:rPr>
          <w:rFonts w:ascii="宋体" w:hAnsi="宋体"/>
          <w:color w:val="auto"/>
          <w:sz w:val="24"/>
          <w:highlight w:val="none"/>
          <w:u w:val="none"/>
        </w:rPr>
        <w:t>年</w:t>
      </w:r>
      <w:r>
        <w:rPr>
          <w:rFonts w:hint="eastAsia" w:ascii="宋体" w:hAnsi="宋体"/>
          <w:color w:val="auto"/>
          <w:sz w:val="24"/>
          <w:highlight w:val="none"/>
          <w:u w:val="none"/>
          <w:lang w:val="en-US" w:eastAsia="zh-CN"/>
        </w:rPr>
        <w:t>3</w:t>
      </w:r>
      <w:r>
        <w:rPr>
          <w:rFonts w:ascii="宋体" w:hAnsi="宋体"/>
          <w:color w:val="auto"/>
          <w:sz w:val="24"/>
          <w:highlight w:val="none"/>
          <w:u w:val="none"/>
        </w:rPr>
        <w:t>月</w:t>
      </w:r>
      <w:r>
        <w:rPr>
          <w:rFonts w:hint="eastAsia" w:ascii="宋体" w:hAnsi="宋体"/>
          <w:color w:val="auto"/>
          <w:sz w:val="24"/>
          <w:highlight w:val="none"/>
          <w:u w:val="none"/>
          <w:lang w:val="en-US" w:eastAsia="zh-CN"/>
        </w:rPr>
        <w:t>23</w:t>
      </w:r>
      <w:r>
        <w:rPr>
          <w:rFonts w:ascii="宋体" w:hAnsi="宋体"/>
          <w:color w:val="auto"/>
          <w:sz w:val="24"/>
          <w:highlight w:val="none"/>
          <w:u w:val="none"/>
        </w:rPr>
        <w:t xml:space="preserve">日 </w:t>
      </w:r>
      <w:r>
        <w:rPr>
          <w:rFonts w:hint="eastAsia" w:ascii="宋体" w:hAnsi="宋体"/>
          <w:color w:val="auto"/>
          <w:sz w:val="24"/>
          <w:highlight w:val="none"/>
          <w:u w:val="none"/>
        </w:rPr>
        <w:t>14</w:t>
      </w:r>
      <w:r>
        <w:rPr>
          <w:rFonts w:ascii="宋体" w:hAnsi="宋体"/>
          <w:color w:val="auto"/>
          <w:sz w:val="24"/>
          <w:highlight w:val="none"/>
          <w:u w:val="none"/>
        </w:rPr>
        <w:t>:</w:t>
      </w:r>
      <w:r>
        <w:rPr>
          <w:rFonts w:hint="eastAsia" w:ascii="宋体" w:hAnsi="宋体"/>
          <w:color w:val="auto"/>
          <w:sz w:val="24"/>
          <w:highlight w:val="none"/>
          <w:u w:val="none"/>
          <w:lang w:val="en-US" w:eastAsia="zh-CN"/>
        </w:rPr>
        <w:t>0</w:t>
      </w:r>
      <w:r>
        <w:rPr>
          <w:rFonts w:ascii="宋体" w:hAnsi="宋体"/>
          <w:color w:val="auto"/>
          <w:sz w:val="24"/>
          <w:highlight w:val="none"/>
          <w:u w:val="none"/>
        </w:rPr>
        <w:t>0</w:t>
      </w:r>
      <w:r>
        <w:rPr>
          <w:rFonts w:ascii="宋体" w:hAnsi="宋体"/>
          <w:color w:val="auto"/>
          <w:sz w:val="24"/>
          <w:highlight w:val="none"/>
        </w:rPr>
        <w:t> </w:t>
      </w:r>
    </w:p>
    <w:p>
      <w:pPr>
        <w:widowControl/>
        <w:adjustRightInd w:val="0"/>
        <w:snapToGrid w:val="0"/>
        <w:spacing w:line="460" w:lineRule="exact"/>
        <w:jc w:val="left"/>
        <w:rPr>
          <w:rFonts w:ascii="宋体" w:hAnsi="宋体"/>
          <w:color w:val="auto"/>
          <w:sz w:val="24"/>
          <w:highlight w:val="none"/>
        </w:rPr>
      </w:pPr>
      <w:r>
        <w:rPr>
          <w:rFonts w:ascii="宋体" w:hAnsi="宋体"/>
          <w:color w:val="auto"/>
          <w:sz w:val="24"/>
          <w:highlight w:val="none"/>
        </w:rPr>
        <w:t>  开标地点（网址）：三门县</w:t>
      </w:r>
      <w:r>
        <w:rPr>
          <w:rFonts w:hint="eastAsia" w:ascii="宋体" w:hAnsi="宋体"/>
          <w:color w:val="auto"/>
          <w:sz w:val="24"/>
          <w:highlight w:val="none"/>
        </w:rPr>
        <w:t>海游街道</w:t>
      </w:r>
      <w:r>
        <w:rPr>
          <w:rFonts w:ascii="宋体" w:hAnsi="宋体"/>
          <w:color w:val="auto"/>
          <w:sz w:val="24"/>
          <w:highlight w:val="none"/>
        </w:rPr>
        <w:t>广场路22号交通大楼四楼</w:t>
      </w:r>
      <w:r>
        <w:rPr>
          <w:rFonts w:hint="eastAsia" w:ascii="宋体" w:hAnsi="宋体"/>
          <w:color w:val="auto"/>
          <w:sz w:val="24"/>
          <w:highlight w:val="none"/>
        </w:rPr>
        <w:t>开标</w:t>
      </w:r>
      <w:r>
        <w:rPr>
          <w:rFonts w:hint="eastAsia" w:ascii="宋体" w:hAnsi="宋体"/>
          <w:color w:val="auto"/>
          <w:sz w:val="24"/>
          <w:highlight w:val="none"/>
          <w:lang w:eastAsia="zh-CN"/>
        </w:rPr>
        <w:t>三</w:t>
      </w:r>
      <w:r>
        <w:rPr>
          <w:rFonts w:hint="eastAsia" w:ascii="宋体" w:hAnsi="宋体"/>
          <w:color w:val="auto"/>
          <w:sz w:val="24"/>
          <w:highlight w:val="none"/>
        </w:rPr>
        <w:t>室（5.1新建项目使用）</w:t>
      </w:r>
    </w:p>
    <w:p>
      <w:pPr>
        <w:widowControl/>
        <w:adjustRightInd w:val="0"/>
        <w:snapToGrid w:val="0"/>
        <w:spacing w:line="460" w:lineRule="exact"/>
        <w:rPr>
          <w:rFonts w:ascii="宋体" w:hAnsi="宋体" w:cs="宋体"/>
          <w:color w:val="auto"/>
          <w:kern w:val="0"/>
          <w:sz w:val="24"/>
          <w:highlight w:val="none"/>
        </w:rPr>
      </w:pPr>
      <w:r>
        <w:rPr>
          <w:rFonts w:hint="eastAsia" w:ascii="宋体" w:hAnsi="宋体" w:cs="宋体"/>
          <w:b/>
          <w:bCs/>
          <w:color w:val="auto"/>
          <w:kern w:val="0"/>
          <w:sz w:val="24"/>
          <w:highlight w:val="none"/>
        </w:rPr>
        <w:t>五、公告期限</w:t>
      </w:r>
      <w:r>
        <w:rPr>
          <w:rFonts w:hint="eastAsia" w:ascii="宋体" w:hAnsi="宋体" w:cs="宋体"/>
          <w:color w:val="auto"/>
          <w:kern w:val="0"/>
          <w:sz w:val="24"/>
          <w:highlight w:val="none"/>
        </w:rPr>
        <w:t> </w:t>
      </w:r>
    </w:p>
    <w:p>
      <w:pPr>
        <w:widowControl/>
        <w:adjustRightInd w:val="0"/>
        <w:snapToGrid w:val="0"/>
        <w:spacing w:line="460" w:lineRule="exact"/>
        <w:jc w:val="left"/>
        <w:rPr>
          <w:rFonts w:ascii="宋体" w:hAnsi="宋体" w:cs="宋体"/>
          <w:color w:val="auto"/>
          <w:kern w:val="0"/>
          <w:sz w:val="24"/>
          <w:highlight w:val="none"/>
        </w:rPr>
      </w:pPr>
      <w:r>
        <w:rPr>
          <w:rFonts w:ascii="宋体" w:hAnsi="宋体" w:cs="宋体"/>
          <w:color w:val="auto"/>
          <w:kern w:val="0"/>
          <w:sz w:val="24"/>
          <w:highlight w:val="none"/>
        </w:rPr>
        <w:t xml:space="preserve">  </w:t>
      </w:r>
      <w:r>
        <w:rPr>
          <w:rFonts w:ascii="宋体" w:hAnsi="宋体"/>
          <w:color w:val="auto"/>
          <w:sz w:val="24"/>
          <w:highlight w:val="none"/>
        </w:rPr>
        <w:t>  自本公告发布之日起5个工作日。</w:t>
      </w:r>
    </w:p>
    <w:p>
      <w:pPr>
        <w:widowControl/>
        <w:adjustRightInd w:val="0"/>
        <w:snapToGrid w:val="0"/>
        <w:spacing w:line="460" w:lineRule="exact"/>
        <w:rPr>
          <w:rFonts w:ascii="宋体" w:hAnsi="宋体" w:cs="宋体"/>
          <w:color w:val="auto"/>
          <w:kern w:val="0"/>
          <w:sz w:val="24"/>
          <w:highlight w:val="none"/>
        </w:rPr>
      </w:pPr>
      <w:r>
        <w:rPr>
          <w:rFonts w:hint="eastAsia" w:ascii="宋体" w:hAnsi="宋体" w:cs="宋体"/>
          <w:b/>
          <w:bCs/>
          <w:color w:val="auto"/>
          <w:kern w:val="0"/>
          <w:sz w:val="24"/>
          <w:highlight w:val="none"/>
        </w:rPr>
        <w:t>六、其他补充事宜</w:t>
      </w:r>
    </w:p>
    <w:p>
      <w:pPr>
        <w:widowControl/>
        <w:adjustRightInd w:val="0"/>
        <w:snapToGrid w:val="0"/>
        <w:spacing w:line="460" w:lineRule="exact"/>
        <w:ind w:firstLine="360" w:firstLineChars="15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olor w:val="auto"/>
          <w:sz w:val="24"/>
          <w:highlight w:val="none"/>
        </w:rPr>
        <w:t>。</w:t>
      </w:r>
    </w:p>
    <w:p>
      <w:pPr>
        <w:widowControl/>
        <w:adjustRightInd w:val="0"/>
        <w:snapToGrid w:val="0"/>
        <w:spacing w:line="460" w:lineRule="exact"/>
        <w:ind w:firstLine="360" w:firstLineChars="150"/>
        <w:jc w:val="left"/>
        <w:rPr>
          <w:rFonts w:ascii="微软雅黑" w:hAnsi="微软雅黑" w:eastAsia="微软雅黑" w:cs="宋体"/>
          <w:color w:val="auto"/>
          <w:kern w:val="0"/>
          <w:sz w:val="27"/>
          <w:szCs w:val="27"/>
          <w:highlight w:val="none"/>
        </w:rPr>
      </w:pPr>
      <w:r>
        <w:rPr>
          <w:rFonts w:ascii="宋体" w:hAnsi="宋体"/>
          <w:color w:val="auto"/>
          <w:sz w:val="24"/>
          <w:highlight w:val="none"/>
        </w:rPr>
        <w:t>2.</w:t>
      </w:r>
      <w:r>
        <w:rPr>
          <w:rFonts w:hint="eastAsia" w:ascii="宋体" w:hAnsi="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ascii="宋体" w:hAnsi="宋体"/>
          <w:color w:val="auto"/>
          <w:sz w:val="24"/>
          <w:highlight w:val="none"/>
        </w:rPr>
        <w:t>。</w:t>
      </w:r>
    </w:p>
    <w:p>
      <w:pPr>
        <w:widowControl/>
        <w:adjustRightInd w:val="0"/>
        <w:snapToGrid w:val="0"/>
        <w:spacing w:line="460" w:lineRule="exact"/>
        <w:ind w:firstLine="42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宋体" w:hAnsi="宋体"/>
          <w:color w:val="auto"/>
          <w:sz w:val="24"/>
          <w:highlight w:val="none"/>
        </w:rPr>
        <w:t>。</w:t>
      </w:r>
    </w:p>
    <w:p>
      <w:pPr>
        <w:widowControl/>
        <w:adjustRightInd w:val="0"/>
        <w:snapToGrid w:val="0"/>
        <w:spacing w:line="460" w:lineRule="exact"/>
        <w:ind w:firstLine="420"/>
        <w:jc w:val="left"/>
        <w:rPr>
          <w:rFonts w:ascii="宋体" w:hAnsi="宋体"/>
          <w:color w:val="auto"/>
          <w:sz w:val="24"/>
          <w:highlight w:val="none"/>
        </w:rPr>
      </w:pPr>
      <w:r>
        <w:rPr>
          <w:rFonts w:hint="eastAsia" w:ascii="宋体" w:hAnsi="宋体"/>
          <w:color w:val="auto"/>
          <w:sz w:val="24"/>
          <w:highlight w:val="none"/>
        </w:rPr>
        <w:t>4.其他事项</w:t>
      </w:r>
    </w:p>
    <w:p>
      <w:pPr>
        <w:widowControl/>
        <w:adjustRightInd w:val="0"/>
        <w:snapToGrid w:val="0"/>
        <w:spacing w:line="460" w:lineRule="exact"/>
        <w:ind w:firstLine="420"/>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.本项目实行</w:t>
      </w:r>
      <w:r>
        <w:rPr>
          <w:rFonts w:hint="eastAsia" w:ascii="宋体" w:hAnsi="宋体"/>
          <w:color w:val="auto"/>
          <w:sz w:val="24"/>
          <w:highlight w:val="none"/>
        </w:rPr>
        <w:t>网上投标，采用电子投标文件。若供应商参与投标，自行承担投标一切费用。</w:t>
      </w:r>
      <w:r>
        <w:rPr>
          <w:rFonts w:ascii="宋体" w:hAnsi="宋体"/>
          <w:color w:val="auto"/>
          <w:sz w:val="24"/>
          <w:highlight w:val="none"/>
        </w:rPr>
        <w:t xml:space="preserve"> </w:t>
      </w:r>
    </w:p>
    <w:p>
      <w:pPr>
        <w:widowControl/>
        <w:adjustRightInd w:val="0"/>
        <w:snapToGrid w:val="0"/>
        <w:spacing w:line="460" w:lineRule="exact"/>
        <w:ind w:firstLine="420"/>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各供应商在开标前应确保成为浙江省政府采购网正式注册入库供应商。</w:t>
      </w:r>
      <w:r>
        <w:rPr>
          <w:rFonts w:hint="eastAsia" w:ascii="宋体" w:hAnsi="宋体" w:cs="宋体"/>
          <w:bCs/>
          <w:color w:val="auto"/>
          <w:sz w:val="24"/>
          <w:highlight w:val="none"/>
        </w:rPr>
        <w:t>并完成CA数字证书办理。（办理流程详见本招标公告附件：“政采云CA签章申领操作流程.pdf”）。因未注册入库、未办理CA数字证书等原因造成无法投标或投标失败等后果由供应商自行承担。</w:t>
      </w:r>
      <w:r>
        <w:rPr>
          <w:rFonts w:ascii="宋体" w:hAnsi="宋体"/>
          <w:color w:val="auto"/>
          <w:sz w:val="24"/>
          <w:highlight w:val="none"/>
        </w:rPr>
        <w:t>完成CA数字证书办理在资料齐全的情况下预计7个工作日左右，建议</w:t>
      </w:r>
      <w:r>
        <w:rPr>
          <w:rFonts w:hint="eastAsia" w:ascii="宋体" w:hAnsi="宋体"/>
          <w:color w:val="auto"/>
          <w:sz w:val="24"/>
          <w:highlight w:val="none"/>
        </w:rPr>
        <w:t>供应商</w:t>
      </w:r>
      <w:r>
        <w:rPr>
          <w:rFonts w:ascii="宋体" w:hAnsi="宋体"/>
          <w:color w:val="auto"/>
          <w:sz w:val="24"/>
          <w:highlight w:val="none"/>
        </w:rPr>
        <w:t xml:space="preserve">及时办理。 </w:t>
      </w:r>
    </w:p>
    <w:p>
      <w:pPr>
        <w:widowControl/>
        <w:adjustRightInd w:val="0"/>
        <w:snapToGrid w:val="0"/>
        <w:spacing w:line="460" w:lineRule="exact"/>
        <w:ind w:firstLine="42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投标文件制作：</w:t>
      </w:r>
    </w:p>
    <w:p>
      <w:pPr>
        <w:widowControl/>
        <w:adjustRightInd w:val="0"/>
        <w:snapToGrid w:val="0"/>
        <w:spacing w:line="460" w:lineRule="exact"/>
        <w:ind w:firstLine="420"/>
        <w:jc w:val="left"/>
        <w:rPr>
          <w:rFonts w:ascii="宋体" w:hAnsi="宋体" w:cs="宋体"/>
          <w:bCs/>
          <w:color w:val="auto"/>
          <w:sz w:val="24"/>
          <w:highlight w:val="none"/>
        </w:rPr>
      </w:pPr>
      <w:r>
        <w:rPr>
          <w:rFonts w:hint="eastAsia" w:ascii="宋体" w:hAnsi="宋体"/>
          <w:color w:val="auto"/>
          <w:sz w:val="24"/>
          <w:highlight w:val="none"/>
        </w:rPr>
        <w:t xml:space="preserve"> 3.1、供应商</w:t>
      </w:r>
      <w:r>
        <w:rPr>
          <w:rFonts w:ascii="宋体" w:hAnsi="宋体"/>
          <w:color w:val="auto"/>
          <w:sz w:val="24"/>
          <w:highlight w:val="none"/>
        </w:rPr>
        <w:t>应按照本项目招标文件和政采云平台的要求编制、加密并递交投标文件。</w:t>
      </w:r>
      <w:r>
        <w:rPr>
          <w:rFonts w:hint="eastAsia" w:ascii="宋体" w:hAnsi="宋体" w:cs="宋体"/>
          <w:bCs/>
          <w:color w:val="auto"/>
          <w:sz w:val="24"/>
          <w:highlight w:val="none"/>
        </w:rPr>
        <w:t>供应商在使用系统进行投标的过程中遇到涉及平台使用的任何问题，可致电政采云平台技术支持热线咨询，联系方式：400-881-7190。</w:t>
      </w:r>
    </w:p>
    <w:p>
      <w:pPr>
        <w:widowControl/>
        <w:adjustRightInd w:val="0"/>
        <w:snapToGrid w:val="0"/>
        <w:spacing w:line="460" w:lineRule="exact"/>
        <w:ind w:firstLine="420"/>
        <w:jc w:val="left"/>
        <w:rPr>
          <w:rFonts w:ascii="宋体" w:hAnsi="宋体"/>
          <w:color w:val="auto"/>
          <w:sz w:val="24"/>
          <w:highlight w:val="none"/>
        </w:rPr>
      </w:pPr>
      <w:r>
        <w:rPr>
          <w:rFonts w:hint="eastAsia" w:ascii="宋体" w:hAnsi="宋体" w:cs="宋体"/>
          <w:bCs/>
          <w:color w:val="auto"/>
          <w:sz w:val="24"/>
          <w:highlight w:val="none"/>
        </w:rPr>
        <w:t>3.2、</w:t>
      </w:r>
      <w:r>
        <w:rPr>
          <w:rFonts w:hint="eastAsia" w:ascii="宋体" w:hAnsi="宋体"/>
          <w:color w:val="auto"/>
          <w:sz w:val="24"/>
          <w:highlight w:val="none"/>
        </w:rPr>
        <w:t>供应商</w:t>
      </w:r>
      <w:r>
        <w:rPr>
          <w:rFonts w:hint="eastAsia" w:ascii="宋体" w:hAnsi="宋体" w:cs="宋体"/>
          <w:bCs/>
          <w:color w:val="auto"/>
          <w:sz w:val="24"/>
          <w:highlight w:val="none"/>
        </w:rPr>
        <w:t>通过“政采云”平台电子投标工具制作投标文件，电子投标工具请供应商自行前往浙江省政府采购网下载并安装，（下载网址：https://zfcg.czt.zj.gov.cn/bidClientTemplate/2019-05-27/12946.html），投标文件制作具体流程详见本招标公告附件：“政采云供应商项目采购-电子招投标操作指南.pdf”。</w:t>
      </w:r>
      <w:r>
        <w:rPr>
          <w:rFonts w:ascii="宋体" w:hAnsi="宋体"/>
          <w:color w:val="auto"/>
          <w:sz w:val="24"/>
          <w:highlight w:val="none"/>
        </w:rPr>
        <w:t xml:space="preserve"> </w:t>
      </w:r>
    </w:p>
    <w:p>
      <w:pPr>
        <w:adjustRightInd w:val="0"/>
        <w:snapToGrid w:val="0"/>
        <w:spacing w:line="460" w:lineRule="exact"/>
        <w:ind w:firstLine="480" w:firstLineChars="200"/>
        <w:rPr>
          <w:rFonts w:ascii="宋体" w:hAnsi="宋体" w:cs="Arial"/>
          <w:b/>
          <w:color w:val="auto"/>
          <w:sz w:val="24"/>
          <w:highlight w:val="none"/>
        </w:rPr>
      </w:pPr>
      <w:r>
        <w:rPr>
          <w:rFonts w:hint="eastAsia" w:ascii="宋体" w:hAnsi="宋体"/>
          <w:color w:val="auto"/>
          <w:sz w:val="24"/>
          <w:highlight w:val="none"/>
        </w:rPr>
        <w:t>5.</w:t>
      </w:r>
      <w:r>
        <w:rPr>
          <w:rFonts w:hint="eastAsia" w:ascii="宋体" w:hAnsi="宋体"/>
          <w:b/>
          <w:color w:val="auto"/>
          <w:sz w:val="24"/>
          <w:highlight w:val="none"/>
        </w:rPr>
        <w:t>供应商</w:t>
      </w:r>
      <w:r>
        <w:rPr>
          <w:rFonts w:ascii="宋体" w:hAnsi="宋体" w:cs="Arial"/>
          <w:b/>
          <w:color w:val="auto"/>
          <w:sz w:val="24"/>
          <w:highlight w:val="none"/>
        </w:rPr>
        <w:t>信用信息查询渠道及截止时点、信用信息查询记录和证据留存的具体方式、信用信息的使用规则</w:t>
      </w:r>
      <w:r>
        <w:rPr>
          <w:rFonts w:hint="eastAsia" w:ascii="宋体" w:hAnsi="宋体" w:cs="Arial"/>
          <w:b/>
          <w:color w:val="auto"/>
          <w:sz w:val="24"/>
          <w:highlight w:val="none"/>
        </w:rPr>
        <w:t>：</w:t>
      </w:r>
    </w:p>
    <w:p>
      <w:pPr>
        <w:adjustRightInd w:val="0"/>
        <w:snapToGrid w:val="0"/>
        <w:spacing w:line="460" w:lineRule="exact"/>
        <w:ind w:firstLine="588" w:firstLineChars="245"/>
        <w:rPr>
          <w:rFonts w:ascii="宋体" w:hAnsi="宋体" w:cs="Arial"/>
          <w:color w:val="auto"/>
          <w:sz w:val="24"/>
          <w:highlight w:val="none"/>
        </w:rPr>
      </w:pPr>
      <w:r>
        <w:rPr>
          <w:rFonts w:hint="eastAsia" w:ascii="宋体" w:hAnsi="宋体" w:cs="Arial"/>
          <w:color w:val="auto"/>
          <w:sz w:val="24"/>
          <w:highlight w:val="none"/>
        </w:rPr>
        <w:t>5.1、查询渠道：信用中国（网址：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hAnsi="宋体" w:cs="Arial"/>
          <w:color w:val="auto"/>
          <w:sz w:val="24"/>
          <w:highlight w:val="none"/>
        </w:rPr>
        <w:t>http://www.creditchina.gov.cn</w:t>
      </w:r>
      <w:r>
        <w:rPr>
          <w:rFonts w:ascii="宋体" w:hAnsi="宋体" w:cs="Arial"/>
          <w:color w:val="auto"/>
          <w:sz w:val="24"/>
          <w:highlight w:val="none"/>
        </w:rPr>
        <w:fldChar w:fldCharType="end"/>
      </w:r>
      <w:r>
        <w:rPr>
          <w:rFonts w:hint="eastAsia" w:ascii="宋体" w:hAnsi="宋体" w:cs="Arial"/>
          <w:color w:val="auto"/>
          <w:sz w:val="24"/>
          <w:highlight w:val="none"/>
        </w:rPr>
        <w:t>）、中国政府采购网(网址：</w:t>
      </w:r>
      <w:r>
        <w:rPr>
          <w:rFonts w:ascii="宋体" w:hAnsi="宋体" w:cs="Arial"/>
          <w:color w:val="auto"/>
          <w:sz w:val="24"/>
          <w:highlight w:val="none"/>
        </w:rPr>
        <w:t>http://www.ccgp.gov.cn</w:t>
      </w:r>
      <w:r>
        <w:rPr>
          <w:rFonts w:hint="eastAsia" w:ascii="宋体" w:hAnsi="宋体" w:cs="Arial"/>
          <w:color w:val="auto"/>
          <w:sz w:val="24"/>
          <w:highlight w:val="none"/>
        </w:rPr>
        <w:t>）。</w:t>
      </w:r>
    </w:p>
    <w:p>
      <w:pPr>
        <w:adjustRightInd w:val="0"/>
        <w:snapToGrid w:val="0"/>
        <w:spacing w:line="460" w:lineRule="exact"/>
        <w:ind w:firstLine="480" w:firstLineChars="200"/>
        <w:rPr>
          <w:rFonts w:ascii="宋体" w:hAnsi="宋体" w:cs="Arial"/>
          <w:b/>
          <w:bCs/>
          <w:color w:val="auto"/>
          <w:sz w:val="24"/>
          <w:highlight w:val="none"/>
          <w:shd w:val="clear" w:color="FFFFFF" w:fill="D9D9D9"/>
        </w:rPr>
      </w:pPr>
      <w:r>
        <w:rPr>
          <w:rFonts w:hint="eastAsia" w:ascii="宋体" w:hAnsi="宋体" w:cs="Arial"/>
          <w:color w:val="auto"/>
          <w:sz w:val="24"/>
          <w:highlight w:val="none"/>
        </w:rPr>
        <w:t>5.2、截止时点：开标后评标前。</w:t>
      </w:r>
    </w:p>
    <w:p>
      <w:pPr>
        <w:adjustRightInd w:val="0"/>
        <w:snapToGrid w:val="0"/>
        <w:spacing w:line="46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5.3、</w:t>
      </w:r>
      <w:r>
        <w:rPr>
          <w:rFonts w:ascii="宋体" w:hAnsi="宋体" w:cs="Arial"/>
          <w:color w:val="auto"/>
          <w:sz w:val="24"/>
          <w:highlight w:val="none"/>
        </w:rPr>
        <w:t>信用信息查询记录和证据留存的具体方式</w:t>
      </w:r>
      <w:r>
        <w:rPr>
          <w:rFonts w:hint="eastAsia" w:ascii="宋体" w:hAnsi="宋体" w:cs="Arial"/>
          <w:color w:val="auto"/>
          <w:sz w:val="24"/>
          <w:highlight w:val="none"/>
        </w:rPr>
        <w:t>：由采购组织机构在规定查询时间内打印信用信息查询记录并归入项目档案。</w:t>
      </w:r>
    </w:p>
    <w:p>
      <w:pPr>
        <w:widowControl/>
        <w:adjustRightInd w:val="0"/>
        <w:snapToGrid w:val="0"/>
        <w:spacing w:line="460" w:lineRule="exact"/>
        <w:ind w:firstLine="420"/>
        <w:jc w:val="left"/>
        <w:rPr>
          <w:rFonts w:ascii="宋体" w:hAnsi="宋体"/>
          <w:color w:val="auto"/>
          <w:sz w:val="24"/>
          <w:highlight w:val="none"/>
        </w:rPr>
      </w:pPr>
      <w:r>
        <w:rPr>
          <w:rFonts w:hint="eastAsia" w:ascii="宋体" w:hAnsi="宋体" w:cs="Arial"/>
          <w:color w:val="auto"/>
          <w:sz w:val="24"/>
          <w:highlight w:val="none"/>
        </w:rPr>
        <w:t>5.4、使用规则：对列入失信被执行人、重大税收违法案件当事人名单、政府采购严重违法失信行为记录名单及其他不符合《中华人民共和国政府采购法》第二十二条规定条件的供应商，</w:t>
      </w:r>
      <w:r>
        <w:rPr>
          <w:rFonts w:ascii="宋体" w:hAnsi="宋体" w:cs="Arial"/>
          <w:color w:val="auto"/>
          <w:sz w:val="24"/>
          <w:highlight w:val="none"/>
        </w:rPr>
        <w:t>将被</w:t>
      </w:r>
      <w:r>
        <w:rPr>
          <w:rFonts w:hint="eastAsia" w:ascii="宋体" w:hAnsi="宋体" w:cs="Arial"/>
          <w:color w:val="auto"/>
          <w:sz w:val="24"/>
          <w:highlight w:val="none"/>
        </w:rPr>
        <w:t>拒绝其参与政府采购活动。</w:t>
      </w:r>
    </w:p>
    <w:p>
      <w:pPr>
        <w:widowControl/>
        <w:adjustRightInd w:val="0"/>
        <w:snapToGrid w:val="0"/>
        <w:spacing w:line="460" w:lineRule="exact"/>
        <w:ind w:firstLine="482"/>
        <w:rPr>
          <w:rFonts w:ascii="宋体" w:hAnsi="宋体" w:cs="宋体"/>
          <w:color w:val="auto"/>
          <w:kern w:val="0"/>
          <w:sz w:val="24"/>
          <w:highlight w:val="none"/>
        </w:rPr>
      </w:pPr>
      <w:r>
        <w:rPr>
          <w:rFonts w:hint="eastAsia" w:ascii="宋体" w:hAnsi="宋体" w:cs="Arial"/>
          <w:color w:val="auto"/>
          <w:sz w:val="24"/>
          <w:highlight w:val="none"/>
        </w:rPr>
        <w:t>6、本项目所有公告发布网站：“浙江省政府采购网”（</w:t>
      </w:r>
      <w:r>
        <w:rPr>
          <w:rFonts w:hint="eastAsia" w:ascii="宋体" w:hAnsi="宋体"/>
          <w:color w:val="auto"/>
          <w:sz w:val="24"/>
          <w:highlight w:val="none"/>
        </w:rPr>
        <w:t>https://zfcg.czt.zj.gov.cn</w:t>
      </w:r>
      <w:r>
        <w:rPr>
          <w:rFonts w:hint="eastAsia" w:ascii="宋体" w:hAnsi="宋体" w:cs="Arial"/>
          <w:color w:val="auto"/>
          <w:sz w:val="24"/>
          <w:highlight w:val="none"/>
        </w:rPr>
        <w:t>）和</w:t>
      </w:r>
      <w:r>
        <w:rPr>
          <w:rFonts w:ascii="宋体" w:hAnsi="宋体" w:cs="宋体"/>
          <w:color w:val="auto"/>
          <w:kern w:val="0"/>
          <w:sz w:val="24"/>
          <w:highlight w:val="none"/>
        </w:rPr>
        <w:t>“三门县公共资源交易中心网</w:t>
      </w:r>
      <w:r>
        <w:rPr>
          <w:rFonts w:hint="eastAsia" w:ascii="宋体" w:hAnsi="宋体" w:cs="宋体"/>
          <w:color w:val="auto"/>
          <w:kern w:val="0"/>
          <w:sz w:val="24"/>
          <w:highlight w:val="none"/>
        </w:rPr>
        <w:t>”</w:t>
      </w:r>
    </w:p>
    <w:p>
      <w:pPr>
        <w:widowControl/>
        <w:adjustRightInd w:val="0"/>
        <w:snapToGrid w:val="0"/>
        <w:spacing w:line="460" w:lineRule="exact"/>
        <w:ind w:firstLine="482"/>
        <w:rPr>
          <w:rFonts w:ascii="宋体" w:hAnsi="宋体" w:cs="Arial"/>
          <w:b/>
          <w:color w:val="auto"/>
          <w:highlight w:val="none"/>
        </w:rPr>
      </w:pPr>
      <w:r>
        <w:rPr>
          <w:rFonts w:ascii="宋体" w:hAnsi="宋体" w:cs="宋体"/>
          <w:color w:val="auto"/>
          <w:kern w:val="0"/>
          <w:sz w:val="24"/>
          <w:highlight w:val="none"/>
        </w:rPr>
        <w:t>（</w:t>
      </w:r>
      <w:r>
        <w:rPr>
          <w:rFonts w:hint="eastAsia" w:ascii="宋体" w:hAnsi="宋体" w:cs="宋体"/>
          <w:color w:val="auto"/>
          <w:sz w:val="24"/>
          <w:highlight w:val="none"/>
        </w:rPr>
        <w:t>http://www.sanmen.gov.cn/col/col1229610743/index.html</w:t>
      </w:r>
      <w:r>
        <w:rPr>
          <w:rFonts w:ascii="宋体" w:hAnsi="宋体" w:cs="宋体"/>
          <w:color w:val="auto"/>
          <w:kern w:val="0"/>
          <w:sz w:val="24"/>
          <w:highlight w:val="none"/>
        </w:rPr>
        <w:t>）</w:t>
      </w:r>
      <w:r>
        <w:rPr>
          <w:rFonts w:hint="eastAsia" w:ascii="宋体" w:hAnsi="宋体" w:cs="Arial"/>
          <w:color w:val="auto"/>
          <w:sz w:val="24"/>
          <w:highlight w:val="none"/>
        </w:rPr>
        <w:t>。</w:t>
      </w:r>
    </w:p>
    <w:p>
      <w:pPr>
        <w:pStyle w:val="4"/>
        <w:ind w:right="0" w:firstLine="482" w:firstLineChars="200"/>
        <w:rPr>
          <w:rFonts w:cs="宋体"/>
          <w:bCs/>
          <w:color w:val="auto"/>
          <w:sz w:val="24"/>
          <w:szCs w:val="24"/>
          <w:highlight w:val="none"/>
        </w:rPr>
      </w:pPr>
      <w:bookmarkStart w:id="2" w:name="_Toc28359008"/>
      <w:bookmarkStart w:id="3" w:name="_Toc35393627"/>
      <w:bookmarkStart w:id="4" w:name="_Toc28359085"/>
      <w:bookmarkStart w:id="5" w:name="_Toc35393796"/>
      <w:r>
        <w:rPr>
          <w:rFonts w:hint="eastAsia" w:cs="宋体"/>
          <w:bCs/>
          <w:color w:val="auto"/>
          <w:sz w:val="24"/>
          <w:szCs w:val="24"/>
          <w:highlight w:val="none"/>
        </w:rPr>
        <w:t>七、</w:t>
      </w:r>
      <w:bookmarkEnd w:id="2"/>
      <w:bookmarkEnd w:id="3"/>
      <w:bookmarkEnd w:id="4"/>
      <w:bookmarkEnd w:id="5"/>
      <w:r>
        <w:rPr>
          <w:rFonts w:hint="eastAsia" w:cs="宋体"/>
          <w:bCs/>
          <w:color w:val="auto"/>
          <w:sz w:val="24"/>
          <w:szCs w:val="24"/>
          <w:highlight w:val="none"/>
        </w:rPr>
        <w:t>联系方式</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（一）采购人信息（受理招标文件相关质疑及答复） </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cs="宋体"/>
          <w:color w:val="auto"/>
          <w:highlight w:val="none"/>
        </w:rPr>
      </w:pPr>
      <w:bookmarkStart w:id="6" w:name="_Toc28359087"/>
      <w:bookmarkStart w:id="7" w:name="_Toc28359010"/>
      <w:r>
        <w:rPr>
          <w:rFonts w:cs="宋体"/>
          <w:color w:val="auto"/>
          <w:highlight w:val="none"/>
        </w:rPr>
        <w:t>    1.采购人信息</w:t>
      </w:r>
    </w:p>
    <w:p>
      <w:pPr>
        <w:pStyle w:val="23"/>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xml:space="preserve"> </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名    称：</w:t>
      </w:r>
      <w:r>
        <w:rPr>
          <w:rFonts w:hint="eastAsia" w:cs="宋体"/>
          <w:i w:val="0"/>
          <w:iCs w:val="0"/>
          <w:caps w:val="0"/>
          <w:color w:val="auto"/>
          <w:spacing w:val="0"/>
          <w:sz w:val="24"/>
          <w:szCs w:val="24"/>
          <w:highlight w:val="none"/>
          <w:lang w:eastAsia="zh-CN"/>
        </w:rPr>
        <w:t>三门县环境卫生服务中心</w:t>
      </w:r>
      <w:r>
        <w:rPr>
          <w:rFonts w:hint="eastAsia" w:ascii="宋体" w:hAnsi="宋体" w:eastAsia="宋体" w:cs="宋体"/>
          <w:i w:val="0"/>
          <w:iCs w:val="0"/>
          <w:caps w:val="0"/>
          <w:color w:val="auto"/>
          <w:spacing w:val="0"/>
          <w:sz w:val="24"/>
          <w:szCs w:val="24"/>
          <w:highlight w:val="none"/>
        </w:rPr>
        <w:t> </w:t>
      </w:r>
    </w:p>
    <w:p>
      <w:pPr>
        <w:pStyle w:val="23"/>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地    址：三门县海游镇玉城路</w:t>
      </w:r>
    </w:p>
    <w:p>
      <w:pPr>
        <w:pStyle w:val="23"/>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传    真：  </w:t>
      </w:r>
    </w:p>
    <w:p>
      <w:pPr>
        <w:pStyle w:val="23"/>
        <w:keepNext w:val="0"/>
        <w:keepLines w:val="0"/>
        <w:pageBreakBefore w:val="0"/>
        <w:widowControl/>
        <w:suppressLineNumbers w:val="0"/>
        <w:kinsoku/>
        <w:wordWrap/>
        <w:overflowPunct/>
        <w:topLinePunct w:val="0"/>
        <w:autoSpaceDE/>
        <w:autoSpaceDN/>
        <w:bidi w:val="0"/>
        <w:adjustRightInd/>
        <w:snapToGrid/>
        <w:spacing w:line="320" w:lineRule="exact"/>
        <w:ind w:firstLine="720" w:firstLineChars="3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项目联系人（询问）：韩韬 </w:t>
      </w:r>
    </w:p>
    <w:p>
      <w:pPr>
        <w:pStyle w:val="23"/>
        <w:keepNext w:val="0"/>
        <w:keepLines w:val="0"/>
        <w:pageBreakBefore w:val="0"/>
        <w:widowControl/>
        <w:suppressLineNumbers w:val="0"/>
        <w:kinsoku/>
        <w:wordWrap/>
        <w:overflowPunct/>
        <w:topLinePunct w:val="0"/>
        <w:autoSpaceDE/>
        <w:autoSpaceDN/>
        <w:bidi w:val="0"/>
        <w:adjustRightInd/>
        <w:snapToGrid/>
        <w:spacing w:line="320" w:lineRule="exact"/>
        <w:ind w:firstLine="720" w:firstLineChars="3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项目联系方式（询问）：</w:t>
      </w:r>
      <w:r>
        <w:rPr>
          <w:rFonts w:hint="eastAsia" w:cs="宋体"/>
          <w:i w:val="0"/>
          <w:iCs w:val="0"/>
          <w:caps w:val="0"/>
          <w:color w:val="auto"/>
          <w:spacing w:val="0"/>
          <w:sz w:val="24"/>
          <w:szCs w:val="24"/>
          <w:highlight w:val="none"/>
          <w:lang w:eastAsia="zh-CN"/>
        </w:rPr>
        <w:t>0576-89332908</w:t>
      </w:r>
      <w:r>
        <w:rPr>
          <w:rFonts w:hint="eastAsia" w:ascii="宋体" w:hAnsi="宋体" w:eastAsia="宋体" w:cs="宋体"/>
          <w:i w:val="0"/>
          <w:iCs w:val="0"/>
          <w:caps w:val="0"/>
          <w:color w:val="auto"/>
          <w:spacing w:val="0"/>
          <w:sz w:val="24"/>
          <w:szCs w:val="24"/>
          <w:highlight w:val="none"/>
        </w:rPr>
        <w:t> </w:t>
      </w:r>
    </w:p>
    <w:p>
      <w:pPr>
        <w:pStyle w:val="23"/>
        <w:keepNext w:val="0"/>
        <w:keepLines w:val="0"/>
        <w:pageBreakBefore w:val="0"/>
        <w:widowControl/>
        <w:suppressLineNumbers w:val="0"/>
        <w:kinsoku/>
        <w:wordWrap/>
        <w:overflowPunct/>
        <w:topLinePunct w:val="0"/>
        <w:autoSpaceDE/>
        <w:autoSpaceDN/>
        <w:bidi w:val="0"/>
        <w:adjustRightInd/>
        <w:snapToGrid/>
        <w:spacing w:line="320" w:lineRule="exact"/>
        <w:ind w:firstLine="720" w:firstLineChars="3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项目质疑联系人：杨宗颖</w:t>
      </w:r>
    </w:p>
    <w:p>
      <w:pPr>
        <w:pStyle w:val="23"/>
        <w:keepNext w:val="0"/>
        <w:keepLines w:val="0"/>
        <w:pageBreakBefore w:val="0"/>
        <w:widowControl/>
        <w:suppressLineNumbers w:val="0"/>
        <w:kinsoku/>
        <w:wordWrap/>
        <w:overflowPunct/>
        <w:topLinePunct w:val="0"/>
        <w:autoSpaceDE/>
        <w:autoSpaceDN/>
        <w:bidi w:val="0"/>
        <w:adjustRightInd/>
        <w:snapToGrid/>
        <w:spacing w:line="320" w:lineRule="exact"/>
        <w:ind w:firstLine="720" w:firstLineChars="3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联系电话：</w:t>
      </w:r>
      <w:r>
        <w:rPr>
          <w:rFonts w:hint="eastAsia" w:cs="宋体"/>
          <w:i w:val="0"/>
          <w:iCs w:val="0"/>
          <w:caps w:val="0"/>
          <w:color w:val="auto"/>
          <w:spacing w:val="0"/>
          <w:sz w:val="24"/>
          <w:szCs w:val="24"/>
          <w:highlight w:val="none"/>
          <w:lang w:eastAsia="zh-CN"/>
        </w:rPr>
        <w:t>0576-89332908</w:t>
      </w:r>
    </w:p>
    <w:p>
      <w:pPr>
        <w:pStyle w:val="23"/>
        <w:spacing w:line="320" w:lineRule="exact"/>
        <w:rPr>
          <w:rFonts w:hint="default" w:cs="宋体"/>
          <w:color w:val="auto"/>
          <w:highlight w:val="none"/>
        </w:rPr>
      </w:pPr>
      <w:r>
        <w:rPr>
          <w:rFonts w:cs="宋体"/>
          <w:color w:val="auto"/>
          <w:highlight w:val="none"/>
        </w:rPr>
        <w:t>   </w:t>
      </w:r>
      <w:r>
        <w:rPr>
          <w:rFonts w:cs="宋体"/>
          <w:color w:val="auto"/>
          <w:highlight w:val="none"/>
        </w:rPr>
        <w:br w:type="textWrapping"/>
      </w:r>
      <w:r>
        <w:rPr>
          <w:rFonts w:cs="宋体"/>
          <w:color w:val="auto"/>
          <w:highlight w:val="none"/>
        </w:rPr>
        <w:t>    2.采购代理机构信息            </w:t>
      </w:r>
    </w:p>
    <w:p>
      <w:pPr>
        <w:pStyle w:val="23"/>
        <w:spacing w:line="320" w:lineRule="exact"/>
        <w:rPr>
          <w:rFonts w:hint="default" w:cs="宋体"/>
          <w:color w:val="auto"/>
          <w:highlight w:val="none"/>
        </w:rPr>
      </w:pPr>
      <w:r>
        <w:rPr>
          <w:rFonts w:cs="宋体"/>
          <w:color w:val="auto"/>
          <w:highlight w:val="none"/>
        </w:rPr>
        <w:t>    名    称：三门华厦建设工程造价事务所（普通合伙）             </w:t>
      </w:r>
    </w:p>
    <w:p>
      <w:pPr>
        <w:pStyle w:val="23"/>
        <w:spacing w:line="320" w:lineRule="exact"/>
        <w:ind w:firstLine="720"/>
        <w:rPr>
          <w:rFonts w:hint="default" w:cs="宋体"/>
          <w:color w:val="auto"/>
          <w:highlight w:val="none"/>
        </w:rPr>
      </w:pPr>
      <w:r>
        <w:rPr>
          <w:rFonts w:cs="宋体"/>
          <w:color w:val="auto"/>
          <w:highlight w:val="none"/>
        </w:rPr>
        <w:t>地    址：浙江省台州市三门县海游街道梧桐路49号406室           </w:t>
      </w:r>
    </w:p>
    <w:p>
      <w:pPr>
        <w:pStyle w:val="23"/>
        <w:spacing w:line="320" w:lineRule="exact"/>
        <w:rPr>
          <w:rFonts w:hint="default" w:cs="宋体"/>
          <w:color w:val="auto"/>
          <w:highlight w:val="none"/>
        </w:rPr>
      </w:pPr>
      <w:r>
        <w:rPr>
          <w:rFonts w:cs="宋体"/>
          <w:color w:val="auto"/>
          <w:highlight w:val="none"/>
        </w:rPr>
        <w:t>    传    真：             </w:t>
      </w:r>
    </w:p>
    <w:p>
      <w:pPr>
        <w:pStyle w:val="23"/>
        <w:spacing w:line="320" w:lineRule="exact"/>
        <w:rPr>
          <w:rFonts w:hint="default" w:cs="宋体"/>
          <w:color w:val="auto"/>
          <w:highlight w:val="none"/>
        </w:rPr>
      </w:pPr>
      <w:r>
        <w:rPr>
          <w:rFonts w:cs="宋体"/>
          <w:color w:val="auto"/>
          <w:highlight w:val="none"/>
        </w:rPr>
        <w:t>    项目联系人（询问）：方远             </w:t>
      </w:r>
    </w:p>
    <w:p>
      <w:pPr>
        <w:pStyle w:val="23"/>
        <w:spacing w:line="320" w:lineRule="exact"/>
        <w:rPr>
          <w:rFonts w:hint="default" w:cs="宋体"/>
          <w:color w:val="auto"/>
          <w:highlight w:val="none"/>
        </w:rPr>
      </w:pPr>
      <w:r>
        <w:rPr>
          <w:rFonts w:cs="宋体"/>
          <w:color w:val="auto"/>
          <w:highlight w:val="none"/>
        </w:rPr>
        <w:t>    项目联系方式（询问）：13634077717</w:t>
      </w:r>
    </w:p>
    <w:p>
      <w:pPr>
        <w:pStyle w:val="23"/>
        <w:spacing w:line="320" w:lineRule="exact"/>
        <w:ind w:firstLine="720"/>
        <w:rPr>
          <w:rFonts w:hint="default" w:cs="宋体"/>
          <w:color w:val="auto"/>
          <w:highlight w:val="none"/>
        </w:rPr>
      </w:pPr>
      <w:r>
        <w:rPr>
          <w:rFonts w:cs="宋体"/>
          <w:color w:val="auto"/>
          <w:highlight w:val="none"/>
        </w:rPr>
        <w:t>质疑联系人：邵全法</w:t>
      </w:r>
    </w:p>
    <w:p>
      <w:pPr>
        <w:pStyle w:val="23"/>
        <w:spacing w:line="320" w:lineRule="exact"/>
        <w:ind w:firstLine="720"/>
        <w:rPr>
          <w:rFonts w:hint="default" w:cs="宋体"/>
          <w:color w:val="auto"/>
          <w:highlight w:val="none"/>
        </w:rPr>
      </w:pPr>
      <w:r>
        <w:rPr>
          <w:rFonts w:cs="宋体"/>
          <w:color w:val="auto"/>
          <w:highlight w:val="none"/>
        </w:rPr>
        <w:t>质疑联系方式：</w:t>
      </w:r>
      <w:r>
        <w:rPr>
          <w:rFonts w:hint="eastAsia" w:cs="宋体"/>
          <w:color w:val="auto"/>
          <w:highlight w:val="none"/>
        </w:rPr>
        <w:t>13634077717</w:t>
      </w:r>
      <w:r>
        <w:rPr>
          <w:rFonts w:cs="宋体"/>
          <w:color w:val="auto"/>
          <w:highlight w:val="none"/>
        </w:rPr>
        <w:t>　　　　　　     </w:t>
      </w:r>
    </w:p>
    <w:p>
      <w:pPr>
        <w:pStyle w:val="23"/>
        <w:spacing w:line="320" w:lineRule="exact"/>
        <w:rPr>
          <w:rFonts w:hint="default" w:cs="宋体"/>
          <w:color w:val="auto"/>
          <w:highlight w:val="none"/>
        </w:rPr>
      </w:pPr>
      <w:r>
        <w:rPr>
          <w:rFonts w:cs="宋体"/>
          <w:color w:val="auto"/>
          <w:highlight w:val="none"/>
        </w:rPr>
        <w:t>    3.同级政府采购监督管理部门            </w:t>
      </w:r>
    </w:p>
    <w:p>
      <w:pPr>
        <w:pStyle w:val="23"/>
        <w:spacing w:line="320" w:lineRule="exact"/>
        <w:rPr>
          <w:rFonts w:hint="default" w:cs="宋体"/>
          <w:color w:val="auto"/>
          <w:highlight w:val="none"/>
        </w:rPr>
      </w:pPr>
      <w:r>
        <w:rPr>
          <w:rFonts w:cs="宋体"/>
          <w:color w:val="auto"/>
          <w:highlight w:val="none"/>
        </w:rPr>
        <w:t>    名    称：三门县财政局               </w:t>
      </w:r>
    </w:p>
    <w:p>
      <w:pPr>
        <w:pStyle w:val="23"/>
        <w:spacing w:line="320" w:lineRule="exact"/>
        <w:rPr>
          <w:rFonts w:hint="default" w:cs="宋体"/>
          <w:color w:val="auto"/>
          <w:highlight w:val="none"/>
        </w:rPr>
      </w:pPr>
      <w:r>
        <w:rPr>
          <w:rFonts w:cs="宋体"/>
          <w:color w:val="auto"/>
          <w:highlight w:val="none"/>
        </w:rPr>
        <w:t>    地    址：三门县海游街道湫水大道1号             </w:t>
      </w:r>
    </w:p>
    <w:p>
      <w:pPr>
        <w:pStyle w:val="23"/>
        <w:spacing w:line="320" w:lineRule="exact"/>
        <w:rPr>
          <w:rFonts w:hint="default" w:cs="宋体"/>
          <w:color w:val="auto"/>
          <w:highlight w:val="none"/>
        </w:rPr>
      </w:pPr>
      <w:r>
        <w:rPr>
          <w:rFonts w:cs="宋体"/>
          <w:color w:val="auto"/>
          <w:highlight w:val="none"/>
        </w:rPr>
        <w:t>    传    真：/             </w:t>
      </w:r>
    </w:p>
    <w:p>
      <w:pPr>
        <w:pStyle w:val="23"/>
        <w:spacing w:line="320" w:lineRule="exact"/>
        <w:rPr>
          <w:rFonts w:hint="default" w:cs="宋体"/>
          <w:color w:val="auto"/>
          <w:highlight w:val="none"/>
        </w:rPr>
      </w:pPr>
      <w:r>
        <w:rPr>
          <w:rFonts w:cs="宋体"/>
          <w:color w:val="auto"/>
          <w:highlight w:val="none"/>
        </w:rPr>
        <w:t>    联系人 ：</w:t>
      </w:r>
      <w:r>
        <w:rPr>
          <w:rFonts w:hint="eastAsia" w:cs="宋体"/>
          <w:color w:val="auto"/>
          <w:highlight w:val="none"/>
          <w:lang w:val="en-US" w:eastAsia="zh-CN"/>
        </w:rPr>
        <w:t>柳方妙</w:t>
      </w:r>
      <w:r>
        <w:rPr>
          <w:rFonts w:cs="宋体"/>
          <w:color w:val="auto"/>
          <w:highlight w:val="none"/>
        </w:rPr>
        <w:t>            </w:t>
      </w:r>
    </w:p>
    <w:p>
      <w:pPr>
        <w:pStyle w:val="23"/>
        <w:spacing w:line="320" w:lineRule="exact"/>
        <w:rPr>
          <w:rFonts w:hint="default" w:cs="宋体"/>
          <w:color w:val="auto"/>
          <w:highlight w:val="none"/>
        </w:rPr>
      </w:pPr>
      <w:r>
        <w:rPr>
          <w:rFonts w:cs="宋体"/>
          <w:color w:val="auto"/>
          <w:highlight w:val="none"/>
        </w:rPr>
        <w:t xml:space="preserve">    监督投诉电话：0576-83305830           </w:t>
      </w:r>
    </w:p>
    <w:p>
      <w:pPr>
        <w:widowControl/>
        <w:spacing w:line="320" w:lineRule="exact"/>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若对项目采购电子交易系统操作有疑问，可登录政采云（https://www.zcygov.cn/），点击右侧咨询小采，获取采小蜜智能服务管家帮助，或拨打政采云服务热线400-881-7190获取热线服务帮助。</w:t>
      </w:r>
    </w:p>
    <w:p>
      <w:pPr>
        <w:spacing w:line="360" w:lineRule="auto"/>
        <w:ind w:right="480"/>
        <w:rPr>
          <w:rFonts w:ascii="宋体" w:hAnsi="宋体" w:cs="宋体"/>
          <w:color w:val="auto"/>
          <w:highlight w:val="none"/>
        </w:rPr>
      </w:pPr>
      <w:r>
        <w:rPr>
          <w:rFonts w:hint="eastAsia" w:ascii="宋体" w:hAnsi="宋体" w:cs="宋体"/>
          <w:color w:val="auto"/>
          <w:kern w:val="0"/>
          <w:sz w:val="24"/>
          <w:highlight w:val="none"/>
          <w:lang w:bidi="ar"/>
        </w:rPr>
        <w:t> CA问题联系电话（人工）：汇信CA 400-888-4636；天谷CA 400-087-8198</w:t>
      </w:r>
    </w:p>
    <w:bookmarkEnd w:id="6"/>
    <w:bookmarkEnd w:id="7"/>
    <w:p>
      <w:pPr>
        <w:rPr>
          <w:rFonts w:asciiTheme="minorEastAsia" w:hAnsiTheme="minorEastAsia" w:eastAsiaTheme="minorEastAsia"/>
          <w:b/>
          <w:color w:val="auto"/>
          <w:sz w:val="36"/>
          <w:szCs w:val="36"/>
          <w:highlight w:val="none"/>
        </w:rPr>
      </w:pPr>
      <w:bookmarkStart w:id="8" w:name="_Toc25017_WPSOffice_Level1"/>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供应商须知</w:t>
      </w:r>
      <w:bookmarkEnd w:id="8"/>
    </w:p>
    <w:p>
      <w:pPr>
        <w:numPr>
          <w:ilvl w:val="0"/>
          <w:numId w:val="5"/>
        </w:numPr>
        <w:ind w:firstLine="482" w:firstLineChars="200"/>
        <w:rPr>
          <w:color w:val="auto"/>
          <w:highlight w:val="none"/>
        </w:rPr>
      </w:pPr>
      <w:r>
        <w:rPr>
          <w:rFonts w:hint="eastAsia" w:asciiTheme="minorEastAsia" w:hAnsiTheme="minorEastAsia" w:eastAsiaTheme="minorEastAsia"/>
          <w:b/>
          <w:color w:val="auto"/>
          <w:sz w:val="24"/>
          <w:highlight w:val="none"/>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color w:val="auto"/>
                <w:highlight w:val="none"/>
              </w:rPr>
            </w:pPr>
            <w:r>
              <w:rPr>
                <w:rFonts w:hint="eastAsia"/>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color w:val="auto"/>
                <w:highlight w:val="none"/>
              </w:rPr>
            </w:pPr>
            <w:r>
              <w:rPr>
                <w:rFonts w:hint="eastAsia"/>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color w:val="auto"/>
                <w:highlight w:val="none"/>
              </w:rPr>
            </w:pPr>
            <w:r>
              <w:rPr>
                <w:rFonts w:hint="eastAsia"/>
                <w:b/>
                <w:bCs/>
                <w:color w:val="auto"/>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□是（但主体部分不得分包，详见招标需求内容）/</w:t>
            </w:r>
            <w:r>
              <w:rPr>
                <w:rFonts w:hint="eastAsia" w:ascii="MS Mincho" w:hAnsi="MS Mincho" w:eastAsia="MS Mincho" w:cs="MS Mincho"/>
                <w:color w:val="auto"/>
                <w:highlight w:val="none"/>
              </w:rPr>
              <w:t>☑</w:t>
            </w:r>
            <w:r>
              <w:rPr>
                <w:rFonts w:hint="eastAsia" w:ascii="宋体" w:hAnsi="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请供应商在投标前仔细阅读“政府采购项目电子交易操作指南”。</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1.投标文件的制作：供应商按照本项目招标文件和政采云平台的要求，通过“政采云电子交易客户端”编制、加密并递交投标文件（下载网址：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ascii="宋体" w:hAnsi="宋体" w:cs="宋体"/>
                <w:color w:val="auto"/>
                <w:highlight w:val="none"/>
              </w:rPr>
              <w:t>https://zfcg.czt.zj.gov.cn/download/index.html）。</w:t>
            </w:r>
            <w:r>
              <w:rPr>
                <w:rFonts w:hint="eastAsia" w:ascii="宋体" w:hAnsi="宋体" w:cs="宋体"/>
                <w:color w:val="auto"/>
                <w:highlight w:val="none"/>
              </w:rPr>
              <w:fldChar w:fldCharType="end"/>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2.投标：供应商应当在投标截止时间前（开标当天北京时间</w:t>
            </w:r>
            <w:r>
              <w:rPr>
                <w:rFonts w:hint="eastAsia" w:ascii="宋体" w:hAnsi="宋体" w:cs="宋体"/>
                <w:color w:val="auto"/>
                <w:highlight w:val="none"/>
                <w:u w:val="single"/>
              </w:rPr>
              <w:t>14:</w:t>
            </w:r>
            <w:r>
              <w:rPr>
                <w:rFonts w:hint="eastAsia" w:ascii="宋体" w:hAnsi="宋体" w:cs="宋体"/>
                <w:color w:val="auto"/>
                <w:highlight w:val="none"/>
                <w:u w:val="single"/>
                <w:lang w:val="en-US" w:eastAsia="zh-CN"/>
              </w:rPr>
              <w:t>0</w:t>
            </w:r>
            <w:r>
              <w:rPr>
                <w:rFonts w:ascii="宋体" w:hAnsi="宋体" w:cs="宋体"/>
                <w:color w:val="auto"/>
                <w:highlight w:val="none"/>
                <w:u w:val="single"/>
              </w:rPr>
              <w:t>0</w:t>
            </w:r>
            <w:r>
              <w:rPr>
                <w:rFonts w:hint="eastAsia" w:ascii="宋体" w:hAnsi="宋体" w:cs="宋体"/>
                <w:color w:val="auto"/>
                <w:highlight w:val="none"/>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3.投标文件解密：供应商应在开标当天北京时间</w:t>
            </w:r>
            <w:r>
              <w:rPr>
                <w:rFonts w:hint="eastAsia" w:ascii="宋体" w:hAnsi="宋体" w:cs="宋体"/>
                <w:color w:val="auto"/>
                <w:highlight w:val="none"/>
                <w:u w:val="single"/>
              </w:rPr>
              <w:t>14:</w:t>
            </w:r>
            <w:r>
              <w:rPr>
                <w:rFonts w:hint="eastAsia" w:ascii="宋体" w:hAnsi="宋体" w:cs="宋体"/>
                <w:color w:val="auto"/>
                <w:highlight w:val="none"/>
                <w:u w:val="single"/>
                <w:lang w:val="en-US" w:eastAsia="zh-CN"/>
              </w:rPr>
              <w:t>0</w:t>
            </w:r>
            <w:r>
              <w:rPr>
                <w:rFonts w:ascii="宋体" w:hAnsi="宋体" w:cs="宋体"/>
                <w:color w:val="auto"/>
                <w:highlight w:val="none"/>
                <w:u w:val="single"/>
              </w:rPr>
              <w:t>0</w:t>
            </w:r>
            <w:r>
              <w:rPr>
                <w:rFonts w:hint="eastAsia" w:ascii="宋体" w:hAnsi="宋体" w:cs="宋体"/>
                <w:color w:val="auto"/>
                <w:highlight w:val="none"/>
              </w:rPr>
              <w:t>至</w:t>
            </w:r>
            <w:r>
              <w:rPr>
                <w:rFonts w:hint="eastAsia" w:ascii="宋体" w:hAnsi="宋体" w:cs="宋体"/>
                <w:color w:val="auto"/>
                <w:highlight w:val="none"/>
                <w:u w:val="single"/>
              </w:rPr>
              <w:t>1</w:t>
            </w:r>
            <w:r>
              <w:rPr>
                <w:rFonts w:hint="eastAsia" w:ascii="宋体" w:hAnsi="宋体" w:cs="宋体"/>
                <w:color w:val="auto"/>
                <w:highlight w:val="none"/>
                <w:u w:val="single"/>
                <w:lang w:val="en-US" w:eastAsia="zh-CN"/>
              </w:rPr>
              <w:t>4</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3</w:t>
            </w:r>
            <w:r>
              <w:rPr>
                <w:rFonts w:ascii="宋体" w:hAnsi="宋体" w:cs="宋体"/>
                <w:color w:val="auto"/>
                <w:highlight w:val="none"/>
                <w:u w:val="single"/>
              </w:rPr>
              <w:t>0</w:t>
            </w:r>
            <w:r>
              <w:rPr>
                <w:rFonts w:hint="eastAsia" w:ascii="宋体" w:hAnsi="宋体" w:cs="宋体"/>
                <w:color w:val="auto"/>
                <w:highlight w:val="none"/>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备份投标文件是通过政采云电子交易客户端制作投标文件产生的备份文件，请供应商自行妥善保管。</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1.使用前提：在解密截止时间前，供应商自行在线解密操作失败,又未能及时联系技术人员帮助解密，或者供应商寻求技术人员帮助仍无法完成解密。</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2.递交截止时间：开标当天</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3</w:t>
            </w:r>
            <w:r>
              <w:rPr>
                <w:rFonts w:ascii="宋体" w:hAnsi="宋体" w:cs="宋体"/>
                <w:color w:val="auto"/>
                <w:highlight w:val="none"/>
                <w:u w:val="single"/>
              </w:rPr>
              <w:t>0</w:t>
            </w:r>
            <w:r>
              <w:rPr>
                <w:rFonts w:hint="eastAsia" w:ascii="宋体" w:hAnsi="宋体" w:cs="宋体"/>
                <w:color w:val="auto"/>
                <w:highlight w:val="none"/>
              </w:rPr>
              <w:t>（北京时间）。</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3.投递邮箱：</w:t>
            </w:r>
            <w:r>
              <w:rPr>
                <w:rFonts w:hint="eastAsia" w:ascii="宋体" w:hAnsi="宋体" w:cs="宋体"/>
                <w:color w:val="auto"/>
                <w:kern w:val="0"/>
                <w:szCs w:val="21"/>
                <w:highlight w:val="none"/>
              </w:rPr>
              <w:t>开标当天公布的指定邮箱。</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5.供应商未按时完成解密的，并符合备份投标文件使用前提的，供应商应提供备份投标文件，否则视为放弃投标。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投标与开标</w:t>
            </w:r>
          </w:p>
          <w:p>
            <w:pPr>
              <w:spacing w:line="300" w:lineRule="auto"/>
              <w:jc w:val="center"/>
              <w:rPr>
                <w:rFonts w:ascii="宋体" w:hAnsi="宋体" w:cs="宋体"/>
                <w:color w:val="auto"/>
                <w:highlight w:val="none"/>
              </w:rPr>
            </w:pPr>
            <w:r>
              <w:rPr>
                <w:rFonts w:hint="eastAsia" w:ascii="宋体" w:hAnsi="宋体" w:cs="宋体"/>
                <w:color w:val="auto"/>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1.本项目实行电子投标，供应商自行承担投标一切费用。</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标前准备：供应商在开标前确保成为浙江省政府采购网正式注册用户，并完成CA数字证书办理。（办理流程详见本招标公告附件：政采云CA签章申领操作流程）。因未注册入库、未办理CA数字证书等原因造成无法投标或投标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信用信息</w:t>
            </w:r>
          </w:p>
          <w:p>
            <w:pPr>
              <w:spacing w:line="300" w:lineRule="auto"/>
              <w:jc w:val="center"/>
              <w:rPr>
                <w:rFonts w:ascii="宋体" w:hAnsi="宋体" w:cs="宋体"/>
                <w:color w:val="auto"/>
                <w:highlight w:val="none"/>
              </w:rPr>
            </w:pPr>
            <w:r>
              <w:rPr>
                <w:rFonts w:hint="eastAsia" w:ascii="宋体" w:hAnsi="宋体" w:cs="宋体"/>
                <w:color w:val="auto"/>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http://www.creditchina.gov.cn</w:t>
            </w:r>
            <w:r>
              <w:rPr>
                <w:rFonts w:hint="eastAsia" w:ascii="宋体" w:hAnsi="宋体" w:cs="宋体"/>
                <w:color w:val="auto"/>
                <w:highlight w:val="none"/>
              </w:rPr>
              <w:fldChar w:fldCharType="end"/>
            </w:r>
            <w:r>
              <w:rPr>
                <w:rFonts w:hint="eastAsia" w:ascii="宋体" w:hAnsi="宋体" w:cs="宋体"/>
                <w:color w:val="auto"/>
                <w:highlight w:val="none"/>
              </w:rPr>
              <w:t>)</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中小企业预留</w:t>
            </w:r>
          </w:p>
          <w:p>
            <w:pPr>
              <w:spacing w:line="300" w:lineRule="auto"/>
              <w:jc w:val="center"/>
              <w:rPr>
                <w:rFonts w:ascii="宋体" w:hAnsi="宋体" w:cs="宋体"/>
                <w:color w:val="auto"/>
                <w:highlight w:val="none"/>
              </w:rPr>
            </w:pPr>
            <w:r>
              <w:rPr>
                <w:rFonts w:hint="eastAsia" w:ascii="宋体" w:hAnsi="宋体" w:cs="宋体"/>
                <w:color w:val="auto"/>
                <w:highlight w:val="none"/>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根据《政府采购促进中小企业发展管理办法》财库〔2020〕46号文件的规定，本项目(</w:t>
            </w:r>
            <w:r>
              <w:rPr>
                <w:rFonts w:hint="eastAsia" w:ascii="MS Mincho" w:hAnsi="MS Mincho" w:eastAsia="宋体" w:cs="MS Mincho"/>
                <w:color w:val="auto"/>
                <w:highlight w:val="none"/>
                <w:lang w:eastAsia="zh-CN"/>
              </w:rPr>
              <w:t>□</w:t>
            </w:r>
            <w:r>
              <w:rPr>
                <w:rFonts w:hint="eastAsia" w:ascii="宋体" w:hAnsi="宋体" w:cs="宋体"/>
                <w:color w:val="auto"/>
                <w:highlight w:val="none"/>
              </w:rPr>
              <w:t>是 /</w:t>
            </w:r>
            <w:r>
              <w:rPr>
                <w:rFonts w:hint="eastAsia" w:ascii="宋体" w:hAnsi="宋体" w:cs="宋体"/>
                <w:color w:val="auto"/>
                <w:highlight w:val="none"/>
                <w:lang w:eastAsia="zh-CN"/>
              </w:rPr>
              <w:t>☑</w:t>
            </w:r>
            <w:r>
              <w:rPr>
                <w:rFonts w:hint="eastAsia" w:ascii="宋体" w:hAnsi="宋体" w:cs="宋体"/>
                <w:color w:val="auto"/>
                <w:highlight w:val="none"/>
              </w:rPr>
              <w:t xml:space="preserve">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中小企业</w:t>
            </w:r>
          </w:p>
          <w:p>
            <w:pPr>
              <w:spacing w:line="300" w:lineRule="auto"/>
              <w:jc w:val="center"/>
              <w:rPr>
                <w:rFonts w:ascii="宋体" w:hAnsi="宋体" w:cs="宋体"/>
                <w:color w:val="auto"/>
                <w:highlight w:val="none"/>
              </w:rPr>
            </w:pPr>
            <w:r>
              <w:rPr>
                <w:rFonts w:hint="eastAsia" w:ascii="宋体" w:hAnsi="宋体" w:cs="宋体"/>
                <w:color w:val="auto"/>
                <w:highlight w:val="none"/>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1.项目属性（服务类）</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2.中小企业划分标准所属行业（具体根据《中小企业划型标准规定》执行）。</w:t>
            </w:r>
          </w:p>
          <w:p>
            <w:pPr>
              <w:spacing w:line="300" w:lineRule="auto"/>
              <w:ind w:firstLine="420" w:firstLineChars="200"/>
              <w:jc w:val="left"/>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采购标的：</w:t>
            </w:r>
            <w:r>
              <w:rPr>
                <w:rFonts w:hint="eastAsia" w:cs="Arial" w:asciiTheme="minorEastAsia" w:hAnsiTheme="minorEastAsia" w:eastAsiaTheme="minorEastAsia"/>
                <w:color w:val="auto"/>
                <w:szCs w:val="21"/>
                <w:highlight w:val="none"/>
                <w:u w:val="single"/>
              </w:rPr>
              <w:t>三门县下湾生活垃圾填埋场渗滤液处理设施运营服务</w:t>
            </w:r>
            <w:r>
              <w:rPr>
                <w:rFonts w:hint="eastAsia" w:cs="Arial" w:asciiTheme="minorEastAsia" w:hAnsiTheme="minorEastAsia" w:eastAsiaTheme="minorEastAsia"/>
                <w:color w:val="auto"/>
                <w:szCs w:val="21"/>
                <w:highlight w:val="none"/>
              </w:rPr>
              <w:t>。</w:t>
            </w:r>
          </w:p>
          <w:p>
            <w:pPr>
              <w:pStyle w:val="2"/>
              <w:rPr>
                <w:rFonts w:hint="default" w:eastAsiaTheme="minorEastAsia"/>
                <w:u w:val="single"/>
                <w:lang w:val="en-US" w:eastAsia="zh-CN"/>
              </w:rPr>
            </w:pPr>
            <w:r>
              <w:rPr>
                <w:rFonts w:hint="eastAsia" w:cs="Arial" w:asciiTheme="minorEastAsia" w:hAnsiTheme="minorEastAsia" w:eastAsiaTheme="minorEastAsia"/>
                <w:color w:val="auto"/>
                <w:szCs w:val="21"/>
                <w:highlight w:val="none"/>
                <w:lang w:val="en-US" w:eastAsia="zh-CN"/>
              </w:rPr>
              <w:t xml:space="preserve">  </w:t>
            </w:r>
            <w:r>
              <w:rPr>
                <w:rFonts w:hint="eastAsia" w:cs="Arial" w:asciiTheme="minorEastAsia" w:hAnsiTheme="minorEastAsia" w:eastAsiaTheme="minorEastAsia"/>
                <w:color w:val="auto"/>
                <w:kern w:val="2"/>
                <w:sz w:val="21"/>
                <w:szCs w:val="21"/>
                <w:highlight w:val="none"/>
                <w:lang w:val="en-US" w:eastAsia="zh-CN" w:bidi="ar-SA"/>
              </w:rPr>
              <w:t>所属行业：</w:t>
            </w:r>
            <w:bookmarkStart w:id="67" w:name="_GoBack"/>
            <w:r>
              <w:rPr>
                <w:rFonts w:hint="eastAsia" w:cs="Arial" w:asciiTheme="minorEastAsia" w:hAnsiTheme="minorEastAsia" w:eastAsiaTheme="minorEastAsia"/>
                <w:color w:val="auto"/>
                <w:kern w:val="2"/>
                <w:sz w:val="21"/>
                <w:szCs w:val="21"/>
                <w:highlight w:val="none"/>
                <w:u w:val="single"/>
                <w:lang w:val="en-US" w:eastAsia="zh-CN" w:bidi="ar-SA"/>
              </w:rPr>
              <w:t xml:space="preserve"> 其他未列明行业 。</w:t>
            </w:r>
          </w:p>
          <w:bookmarkEnd w:id="67"/>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资格证明文件、商务与技术文件、报价文件各正本1份、副本4份。（纸质投标文件中标后提供）</w:t>
            </w:r>
          </w:p>
        </w:tc>
      </w:tr>
    </w:tbl>
    <w:p>
      <w:pPr>
        <w:pStyle w:val="15"/>
        <w:snapToGrid w:val="0"/>
        <w:spacing w:line="360" w:lineRule="auto"/>
        <w:ind w:firstLine="482" w:firstLineChars="200"/>
        <w:rPr>
          <w:rFonts w:asciiTheme="minorEastAsia" w:hAnsiTheme="minorEastAsia" w:eastAsiaTheme="minorEastAsia"/>
          <w:b/>
          <w:color w:val="auto"/>
          <w:sz w:val="24"/>
          <w:highlight w:val="none"/>
        </w:rPr>
      </w:pPr>
    </w:p>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pPr>
        <w:pStyle w:val="16"/>
        <w:numPr>
          <w:ilvl w:val="0"/>
          <w:numId w:val="6"/>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hint="eastAsia" w:asciiTheme="minorEastAsia" w:hAnsiTheme="minorEastAsia" w:eastAsiaTheme="minorEastAsia"/>
          <w:color w:val="auto"/>
          <w:sz w:val="24"/>
          <w:highlight w:val="none"/>
        </w:rPr>
        <w:t>供应商</w:t>
      </w:r>
      <w:r>
        <w:rPr>
          <w:rFonts w:hint="eastAsia"/>
          <w:color w:val="auto"/>
          <w:sz w:val="24"/>
          <w:highlight w:val="none"/>
        </w:rPr>
        <w:t>承担。</w:t>
      </w:r>
    </w:p>
    <w:p>
      <w:pPr>
        <w:numPr>
          <w:ilvl w:val="0"/>
          <w:numId w:val="6"/>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pStyle w:val="11"/>
        <w:spacing w:line="360" w:lineRule="auto"/>
        <w:ind w:firstLine="480" w:firstLineChars="200"/>
        <w:rPr>
          <w:color w:val="auto"/>
          <w:highlight w:val="none"/>
        </w:rPr>
      </w:pPr>
      <w:r>
        <w:rPr>
          <w:color w:val="auto"/>
          <w:highlight w:val="none"/>
        </w:rPr>
        <w:t>本招标文件仅适用于本次招标公告中所涉及的项目和内容。</w:t>
      </w:r>
    </w:p>
    <w:p>
      <w:pPr>
        <w:snapToGrid w:val="0"/>
        <w:spacing w:before="120"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color w:val="auto"/>
          <w:highlight w:val="none"/>
        </w:rPr>
        <w:t xml:space="preserve"> </w:t>
      </w:r>
      <w:r>
        <w:rPr>
          <w:rFonts w:hint="eastAsia" w:asciiTheme="minorEastAsia" w:hAnsiTheme="minorEastAsia" w:eastAsiaTheme="minorEastAsia"/>
          <w:color w:val="auto"/>
          <w:sz w:val="24"/>
          <w:highlight w:val="none"/>
        </w:rPr>
        <w:t>供应商：是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p>
    <w:p>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委员会推荐的中标候选人中确定的或受采购人委托直接确认的，与采购人签订合同资格的供应商。</w:t>
      </w:r>
    </w:p>
    <w:p>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两个或两个以上法人或者其他组织可以组成一个联合体，以一个供应商的身份共同投标。</w:t>
      </w:r>
    </w:p>
    <w:p>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4.联合体各方中至少应当有一方符合采购人规定的资格要求。由同一资质条件的供应商组成的联合体，应当按照资质等级较低的供应商确定联合体资质等级；</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1.投标文件以及供应商与</w:t>
      </w:r>
      <w:r>
        <w:rPr>
          <w:rFonts w:hint="eastAsia" w:ascii="宋体" w:hAnsi="宋体" w:cs="宋体"/>
          <w:color w:val="auto"/>
          <w:kern w:val="0"/>
          <w:sz w:val="24"/>
          <w:highlight w:val="none"/>
        </w:rPr>
        <w:t>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1.招标文件规定组织踏勘现场的，采购人按招标文件规定的时间、地点组织供应商踏勘项目现场。</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color w:val="auto"/>
          <w:highlight w:val="none"/>
        </w:rPr>
        <w:t xml:space="preserve"> </w:t>
      </w:r>
      <w:r>
        <w:rPr>
          <w:rFonts w:hint="eastAsia" w:asciiTheme="minorEastAsia" w:hAnsiTheme="minorEastAsia" w:eastAsiaTheme="minorEastAsia"/>
          <w:color w:val="auto"/>
          <w:sz w:val="24"/>
          <w:highlight w:val="none"/>
        </w:rPr>
        <w:t>供应商自行承担踏勘现场发生的责任、风险和自身费用。</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w:t>
      </w:r>
      <w:r>
        <w:rPr>
          <w:rFonts w:hint="eastAsia"/>
          <w:color w:val="auto"/>
          <w:sz w:val="24"/>
          <w:highlight w:val="none"/>
        </w:rPr>
        <w:t>供应商</w:t>
      </w:r>
      <w:r>
        <w:rPr>
          <w:color w:val="auto"/>
          <w:sz w:val="24"/>
          <w:highlight w:val="none"/>
        </w:rPr>
        <w:t>编制投标文件的依据。</w:t>
      </w:r>
    </w:p>
    <w:p>
      <w:pPr>
        <w:pStyle w:val="15"/>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（七）特别说明</w:t>
      </w:r>
    </w:p>
    <w:p>
      <w:pPr>
        <w:pStyle w:val="15"/>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color w:val="auto"/>
          <w:highlight w:val="none"/>
        </w:rPr>
        <w:t xml:space="preserve"> </w:t>
      </w:r>
      <w:r>
        <w:rPr>
          <w:rFonts w:hint="eastAsia" w:asciiTheme="minorEastAsia" w:hAnsiTheme="minorEastAsia" w:eastAsiaTheme="minorEastAsia"/>
          <w:color w:val="auto"/>
          <w:sz w:val="24"/>
          <w:highlight w:val="none"/>
        </w:rPr>
        <w:t>供应商投标所使用的资格、信誉、荣誉、业绩与企业认证必须为本法人或控股公司所拥有且所提供的资料都是真实有效的。供应商投标所使用的采购项目实施人员必须为本法人或控股公司员工</w:t>
      </w:r>
      <w:r>
        <w:rPr>
          <w:rFonts w:asciiTheme="minorEastAsia" w:hAnsiTheme="minorEastAsia" w:eastAsiaTheme="minorEastAsia"/>
          <w:color w:val="auto"/>
          <w:sz w:val="24"/>
          <w:highlight w:val="none"/>
        </w:rPr>
        <w:t>。</w:t>
      </w:r>
    </w:p>
    <w:p>
      <w:pPr>
        <w:pStyle w:val="32"/>
        <w:snapToGrid w:val="0"/>
        <w:spacing w:line="360" w:lineRule="auto"/>
        <w:ind w:firstLine="480"/>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本招标文件中关于招投标内容、流程如与政采云系统中最新的内容、操作不一致的，以政采云系统中的要求为准。</w:t>
      </w:r>
    </w:p>
    <w:p>
      <w:pPr>
        <w:pStyle w:val="32"/>
        <w:snapToGrid w:val="0"/>
        <w:spacing w:line="360" w:lineRule="auto"/>
        <w:ind w:firstLine="480"/>
        <w:rPr>
          <w:rFonts w:ascii="宋体" w:hAnsi="宋体" w:cs="宋体"/>
          <w:b/>
          <w:bCs/>
          <w:color w:val="auto"/>
          <w:sz w:val="24"/>
          <w:szCs w:val="24"/>
          <w:highlight w:val="none"/>
        </w:rPr>
      </w:pPr>
      <w:r>
        <w:rPr>
          <w:rFonts w:hint="eastAsia" w:ascii="宋体" w:hAnsi="宋体" w:cs="宋体"/>
          <w:b/>
          <w:bCs/>
          <w:color w:val="auto"/>
          <w:sz w:val="24"/>
          <w:szCs w:val="24"/>
          <w:highlight w:val="none"/>
        </w:rPr>
        <w:t>3.</w:t>
      </w:r>
      <w:r>
        <w:rPr>
          <w:rFonts w:hint="eastAsia" w:ascii="宋体" w:hAnsi="宋体"/>
          <w:b/>
          <w:bCs/>
          <w:color w:val="auto"/>
          <w:sz w:val="24"/>
          <w:highlight w:val="none"/>
        </w:rPr>
        <w:t>本次招标代理服务费为人民币</w:t>
      </w:r>
      <w:r>
        <w:rPr>
          <w:rFonts w:hint="eastAsia" w:ascii="宋体" w:hAnsi="宋体"/>
          <w:b/>
          <w:bCs/>
          <w:color w:val="auto"/>
          <w:sz w:val="24"/>
          <w:highlight w:val="none"/>
          <w:lang w:val="en-US" w:eastAsia="zh-CN"/>
        </w:rPr>
        <w:t>4700</w:t>
      </w:r>
      <w:r>
        <w:rPr>
          <w:rFonts w:hint="eastAsia" w:ascii="宋体" w:hAnsi="宋体"/>
          <w:b/>
          <w:bCs/>
          <w:color w:val="auto"/>
          <w:sz w:val="24"/>
          <w:highlight w:val="none"/>
        </w:rPr>
        <w:t>0元，由中标供应商承担，在领取中标通知书时一次性付清。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pPr>
        <w:pStyle w:val="32"/>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pPr>
        <w:pStyle w:val="32"/>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（二）供应商在规定的时间内未对招标文件提出疑问、质疑或要求澄清的，将视其为无异议。</w:t>
      </w:r>
    </w:p>
    <w:p>
      <w:pPr>
        <w:pStyle w:val="32"/>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（三）对招标文件中描述有歧义或前后不一致的地方，评标委员会有权进行评判，但对同一条款的评判应适用于每个供应商。</w:t>
      </w:r>
    </w:p>
    <w:p>
      <w:pPr>
        <w:pStyle w:val="32"/>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供应商；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pPr>
        <w:pStyle w:val="8"/>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供应商获取招标文件后，按照采购组织机构的要求提供：资格证明文件、商务与技术文件和报价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文件。若参与多标项投标的，则按每个标项分别独立编制投标文件。</w:t>
      </w:r>
    </w:p>
    <w:p>
      <w:pPr>
        <w:snapToGrid w:val="0"/>
        <w:spacing w:line="360" w:lineRule="auto"/>
        <w:ind w:firstLine="482" w:firstLineChars="200"/>
        <w:rPr>
          <w:rFonts w:ascii="宋体" w:hAnsi="宋体"/>
          <w:b/>
          <w:color w:val="auto"/>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（1）投标声明书（附件1）；</w:t>
      </w:r>
    </w:p>
    <w:p>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（2）授权委托书（法定代表人办理投标事宜的，则无需提交)（附件2）；</w:t>
      </w:r>
    </w:p>
    <w:p>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w:t>
      </w:r>
      <w:r>
        <w:rPr>
          <w:rFonts w:hint="eastAsia" w:asciiTheme="minorEastAsia" w:hAnsiTheme="minorEastAsia" w:eastAsiaTheme="minorEastAsia"/>
          <w:color w:val="auto"/>
          <w:kern w:val="0"/>
          <w:sz w:val="24"/>
          <w:szCs w:val="20"/>
          <w:highlight w:val="none"/>
          <w:lang w:val="en-US" w:eastAsia="zh-CN"/>
        </w:rPr>
        <w:t>3</w:t>
      </w:r>
      <w:r>
        <w:rPr>
          <w:rFonts w:hint="eastAsia" w:asciiTheme="minorEastAsia" w:hAnsiTheme="minorEastAsia" w:eastAsiaTheme="minorEastAsia"/>
          <w:color w:val="auto"/>
          <w:kern w:val="0"/>
          <w:sz w:val="24"/>
          <w:szCs w:val="20"/>
          <w:highlight w:val="none"/>
        </w:rPr>
        <w:t>）法人或者其他组织的营业执照等证明文件；</w:t>
      </w:r>
    </w:p>
    <w:p>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w:t>
      </w:r>
      <w:r>
        <w:rPr>
          <w:rFonts w:hint="eastAsia" w:asciiTheme="minorEastAsia" w:hAnsiTheme="minorEastAsia" w:eastAsiaTheme="minorEastAsia"/>
          <w:color w:val="auto"/>
          <w:kern w:val="0"/>
          <w:sz w:val="24"/>
          <w:szCs w:val="20"/>
          <w:highlight w:val="none"/>
          <w:lang w:val="en-US" w:eastAsia="zh-CN"/>
        </w:rPr>
        <w:t>4</w:t>
      </w:r>
      <w:r>
        <w:rPr>
          <w:rFonts w:hint="eastAsia" w:asciiTheme="minorEastAsia" w:hAnsiTheme="minorEastAsia" w:eastAsiaTheme="minorEastAsia"/>
          <w:color w:val="auto"/>
          <w:kern w:val="0"/>
          <w:sz w:val="24"/>
          <w:szCs w:val="20"/>
          <w:highlight w:val="none"/>
        </w:rPr>
        <w:t>）</w:t>
      </w:r>
      <w:r>
        <w:rPr>
          <w:rFonts w:hint="eastAsia"/>
          <w:color w:val="auto"/>
          <w:sz w:val="24"/>
          <w:highlight w:val="none"/>
        </w:rPr>
        <w:t>符合参加政府采购活动应当具备的一般条件的承诺函</w:t>
      </w:r>
      <w:r>
        <w:rPr>
          <w:rFonts w:hint="eastAsia"/>
          <w:color w:val="auto"/>
          <w:sz w:val="24"/>
          <w:highlight w:val="none"/>
          <w:lang w:eastAsia="zh-CN"/>
        </w:rPr>
        <w:t>（</w:t>
      </w:r>
      <w:r>
        <w:rPr>
          <w:rFonts w:hint="eastAsia" w:asciiTheme="minorEastAsia" w:hAnsiTheme="minorEastAsia" w:eastAsiaTheme="minorEastAsia"/>
          <w:color w:val="auto"/>
          <w:kern w:val="0"/>
          <w:sz w:val="24"/>
          <w:szCs w:val="20"/>
          <w:highlight w:val="none"/>
        </w:rPr>
        <w:t>附件3</w:t>
      </w:r>
      <w:r>
        <w:rPr>
          <w:rFonts w:hint="eastAsia"/>
          <w:color w:val="auto"/>
          <w:sz w:val="24"/>
          <w:highlight w:val="none"/>
          <w:lang w:eastAsia="zh-CN"/>
        </w:rPr>
        <w:t>）</w:t>
      </w:r>
      <w:r>
        <w:rPr>
          <w:rFonts w:hint="eastAsia" w:asciiTheme="minorEastAsia" w:hAnsiTheme="minorEastAsia" w:eastAsiaTheme="minorEastAsia"/>
          <w:color w:val="auto"/>
          <w:kern w:val="0"/>
          <w:sz w:val="24"/>
          <w:szCs w:val="20"/>
          <w:highlight w:val="none"/>
        </w:rPr>
        <w:t>；</w:t>
      </w:r>
    </w:p>
    <w:p>
      <w:pPr>
        <w:pStyle w:val="24"/>
        <w:ind w:left="0" w:leftChars="0" w:firstLine="480" w:firstLineChars="20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w:t>
      </w:r>
      <w:r>
        <w:rPr>
          <w:rFonts w:hint="eastAsia" w:asciiTheme="minorEastAsia" w:hAnsiTheme="minorEastAsia" w:eastAsiaTheme="minorEastAsia"/>
          <w:color w:val="auto"/>
          <w:kern w:val="0"/>
          <w:sz w:val="24"/>
          <w:szCs w:val="20"/>
          <w:highlight w:val="none"/>
          <w:lang w:val="en-US" w:eastAsia="zh-CN"/>
        </w:rPr>
        <w:t>5</w:t>
      </w:r>
      <w:r>
        <w:rPr>
          <w:rFonts w:hint="eastAsia" w:asciiTheme="minorEastAsia" w:hAnsiTheme="minorEastAsia" w:eastAsiaTheme="minorEastAsia"/>
          <w:color w:val="auto"/>
          <w:kern w:val="0"/>
          <w:sz w:val="24"/>
          <w:szCs w:val="20"/>
          <w:highlight w:val="none"/>
        </w:rPr>
        <w:t>）中小企业声明函、残疾人福利性单位声明函（附件</w:t>
      </w:r>
      <w:r>
        <w:rPr>
          <w:rFonts w:hint="eastAsia" w:asciiTheme="minorEastAsia" w:hAnsiTheme="minorEastAsia" w:eastAsiaTheme="minorEastAsia"/>
          <w:color w:val="auto"/>
          <w:kern w:val="0"/>
          <w:sz w:val="24"/>
          <w:szCs w:val="20"/>
          <w:highlight w:val="none"/>
          <w:lang w:val="en-US" w:eastAsia="zh-CN"/>
        </w:rPr>
        <w:t>4</w:t>
      </w:r>
      <w:r>
        <w:rPr>
          <w:rFonts w:hint="eastAsia" w:asciiTheme="minorEastAsia" w:hAnsiTheme="minorEastAsia" w:eastAsiaTheme="minorEastAsia"/>
          <w:color w:val="auto"/>
          <w:kern w:val="0"/>
          <w:sz w:val="24"/>
          <w:szCs w:val="20"/>
          <w:highlight w:val="none"/>
        </w:rPr>
        <w:t>）；</w:t>
      </w:r>
    </w:p>
    <w:p>
      <w:pPr>
        <w:pStyle w:val="24"/>
        <w:ind w:left="0" w:leftChars="0" w:firstLine="480" w:firstLineChars="200"/>
        <w:rPr>
          <w:rFonts w:hint="default" w:asciiTheme="minorEastAsia" w:hAnsiTheme="minorEastAsia" w:eastAsiaTheme="minorEastAsia"/>
          <w:color w:val="auto"/>
          <w:kern w:val="0"/>
          <w:sz w:val="24"/>
          <w:szCs w:val="20"/>
          <w:highlight w:val="none"/>
          <w:lang w:val="en-US" w:eastAsia="zh-CN"/>
        </w:rPr>
      </w:pP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6</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其他需要证明材料。</w:t>
      </w:r>
    </w:p>
    <w:p>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425" w:leftChars="0"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供应商基本情况表（附件</w:t>
      </w:r>
      <w:r>
        <w:rPr>
          <w:rFonts w:hint="eastAsia" w:asciiTheme="minorEastAsia" w:hAnsiTheme="minorEastAsia" w:eastAsiaTheme="minorEastAsia"/>
          <w:color w:val="auto"/>
          <w:kern w:val="0"/>
          <w:sz w:val="24"/>
          <w:highlight w:val="none"/>
          <w:lang w:val="en-US" w:eastAsia="zh-CN"/>
        </w:rPr>
        <w:t>5</w:t>
      </w:r>
      <w:r>
        <w:rPr>
          <w:rFonts w:hint="eastAsia" w:asciiTheme="minorEastAsia" w:hAnsiTheme="minorEastAsia" w:eastAsiaTheme="minorEastAsia"/>
          <w:color w:val="auto"/>
          <w:kern w:val="0"/>
          <w:sz w:val="24"/>
          <w:highlight w:val="none"/>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425" w:leftChars="0"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证书一览表（附件</w:t>
      </w:r>
      <w:r>
        <w:rPr>
          <w:rFonts w:hint="eastAsia" w:asciiTheme="minorEastAsia" w:hAnsiTheme="minorEastAsia" w:eastAsiaTheme="minorEastAsia"/>
          <w:color w:val="auto"/>
          <w:kern w:val="0"/>
          <w:sz w:val="24"/>
          <w:highlight w:val="none"/>
          <w:lang w:val="en-US" w:eastAsia="zh-CN"/>
        </w:rPr>
        <w:t>6</w:t>
      </w:r>
      <w:r>
        <w:rPr>
          <w:rFonts w:hint="eastAsia" w:asciiTheme="minorEastAsia" w:hAnsiTheme="minorEastAsia" w:eastAsiaTheme="minorEastAsia"/>
          <w:color w:val="auto"/>
          <w:kern w:val="0"/>
          <w:sz w:val="24"/>
          <w:highlight w:val="none"/>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425" w:leftChars="0" w:firstLine="480" w:firstLineChars="200"/>
        <w:textAlignment w:val="auto"/>
        <w:rPr>
          <w:rFonts w:hint="default"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kern w:val="0"/>
          <w:sz w:val="24"/>
          <w:highlight w:val="none"/>
          <w:lang w:val="en-US" w:eastAsia="zh-CN"/>
        </w:rPr>
        <w:t>项目业绩一览表（附件7）</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425" w:leftChars="0"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项目实施人员一览表（附件</w:t>
      </w:r>
      <w:r>
        <w:rPr>
          <w:rFonts w:hint="eastAsia" w:asciiTheme="minorEastAsia" w:hAnsiTheme="minorEastAsia" w:eastAsiaTheme="minorEastAsia"/>
          <w:color w:val="auto"/>
          <w:kern w:val="0"/>
          <w:sz w:val="24"/>
          <w:highlight w:val="none"/>
          <w:lang w:val="en-US" w:eastAsia="zh-CN"/>
        </w:rPr>
        <w:t>8</w:t>
      </w:r>
      <w:r>
        <w:rPr>
          <w:rFonts w:hint="eastAsia" w:asciiTheme="minorEastAsia" w:hAnsiTheme="minorEastAsia" w:eastAsiaTheme="minorEastAsia"/>
          <w:color w:val="auto"/>
          <w:kern w:val="0"/>
          <w:sz w:val="24"/>
          <w:highlight w:val="none"/>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425" w:leftChars="0" w:firstLine="480" w:firstLineChars="200"/>
        <w:textAlignment w:val="auto"/>
        <w:rPr>
          <w:rFonts w:hint="eastAsia"/>
          <w:color w:val="auto"/>
          <w:highlight w:val="none"/>
        </w:rPr>
      </w:pPr>
      <w:r>
        <w:rPr>
          <w:rFonts w:hint="eastAsia" w:asciiTheme="minorEastAsia" w:hAnsiTheme="minorEastAsia" w:eastAsiaTheme="minorEastAsia"/>
          <w:color w:val="auto"/>
          <w:kern w:val="0"/>
          <w:sz w:val="24"/>
          <w:highlight w:val="none"/>
        </w:rPr>
        <w:t>项目负责人资格情况表（附件</w:t>
      </w:r>
      <w:r>
        <w:rPr>
          <w:rFonts w:hint="eastAsia" w:asciiTheme="minorEastAsia" w:hAnsiTheme="minorEastAsia" w:eastAsiaTheme="minorEastAsia"/>
          <w:color w:val="auto"/>
          <w:kern w:val="0"/>
          <w:sz w:val="24"/>
          <w:highlight w:val="none"/>
          <w:lang w:val="en-US" w:eastAsia="zh-CN"/>
        </w:rPr>
        <w:t>9</w:t>
      </w:r>
      <w:r>
        <w:rPr>
          <w:rFonts w:hint="eastAsia" w:asciiTheme="minorEastAsia" w:hAnsiTheme="minorEastAsia" w:eastAsiaTheme="minorEastAsia"/>
          <w:color w:val="auto"/>
          <w:kern w:val="0"/>
          <w:sz w:val="24"/>
          <w:highlight w:val="none"/>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425" w:leftChars="0" w:firstLine="480" w:firstLineChars="200"/>
        <w:textAlignment w:val="auto"/>
        <w:rPr>
          <w:color w:val="auto"/>
          <w:highlight w:val="none"/>
        </w:rPr>
      </w:pPr>
      <w:r>
        <w:rPr>
          <w:rFonts w:hint="eastAsia" w:asciiTheme="minorEastAsia" w:hAnsiTheme="minorEastAsia" w:eastAsiaTheme="minorEastAsia"/>
          <w:color w:val="auto"/>
          <w:kern w:val="0"/>
          <w:sz w:val="24"/>
          <w:highlight w:val="none"/>
          <w:lang w:eastAsia="zh-CN"/>
        </w:rPr>
        <w:t>项目运营维护方案</w:t>
      </w:r>
    </w:p>
    <w:p>
      <w:pPr>
        <w:pStyle w:val="24"/>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960" w:firstLineChars="400"/>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项目运营方案</w:t>
      </w:r>
    </w:p>
    <w:p>
      <w:pPr>
        <w:pStyle w:val="24"/>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960" w:firstLineChars="400"/>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项目运营管理制度</w:t>
      </w:r>
    </w:p>
    <w:p>
      <w:pPr>
        <w:pStyle w:val="24"/>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960" w:firstLineChars="400"/>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项目岗位职责</w:t>
      </w:r>
    </w:p>
    <w:p>
      <w:pPr>
        <w:pStyle w:val="24"/>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960" w:firstLineChars="400"/>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项目日常操作</w:t>
      </w:r>
    </w:p>
    <w:p>
      <w:pPr>
        <w:pStyle w:val="24"/>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960" w:firstLineChars="400"/>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项目设备维护保养</w:t>
      </w:r>
    </w:p>
    <w:p>
      <w:pPr>
        <w:pStyle w:val="24"/>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960" w:firstLineChars="400"/>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项目日常监测</w:t>
      </w:r>
    </w:p>
    <w:p>
      <w:pPr>
        <w:pStyle w:val="24"/>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960" w:firstLineChars="400"/>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项目突发事件应急预案</w:t>
      </w:r>
    </w:p>
    <w:p>
      <w:pPr>
        <w:pStyle w:val="24"/>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960" w:firstLineChars="400"/>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项目移交方案</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425" w:leftChars="0"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供应商需要说明的其他内容（包括可能影响供应商技术性能评分项的各类证明材料）</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425" w:leftChars="0"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技术需求响应表（附件</w:t>
      </w:r>
      <w:r>
        <w:rPr>
          <w:rFonts w:hint="eastAsia" w:asciiTheme="minorEastAsia" w:hAnsiTheme="minorEastAsia" w:eastAsiaTheme="minorEastAsia"/>
          <w:color w:val="auto"/>
          <w:kern w:val="0"/>
          <w:sz w:val="24"/>
          <w:highlight w:val="none"/>
          <w:lang w:val="en-US" w:eastAsia="zh-CN"/>
        </w:rPr>
        <w:t>10</w:t>
      </w:r>
      <w:r>
        <w:rPr>
          <w:rFonts w:hint="eastAsia" w:asciiTheme="minorEastAsia" w:hAnsiTheme="minorEastAsia" w:eastAsiaTheme="minorEastAsia"/>
          <w:color w:val="auto"/>
          <w:kern w:val="0"/>
          <w:sz w:val="24"/>
          <w:highlight w:val="none"/>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425" w:leftChars="0"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商务需求响应表（附件</w:t>
      </w:r>
      <w:r>
        <w:rPr>
          <w:rFonts w:hint="eastAsia" w:asciiTheme="minorEastAsia" w:hAnsiTheme="minorEastAsia" w:eastAsiaTheme="minorEastAsia"/>
          <w:color w:val="auto"/>
          <w:kern w:val="0"/>
          <w:sz w:val="24"/>
          <w:highlight w:val="none"/>
          <w:lang w:val="en-US" w:eastAsia="zh-CN"/>
        </w:rPr>
        <w:t>11</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3、报价内容的组成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（1）开标一览表（附件</w:t>
      </w:r>
      <w:r>
        <w:rPr>
          <w:rFonts w:hint="eastAsia" w:asciiTheme="minorEastAsia" w:hAnsiTheme="minorEastAsia" w:eastAsiaTheme="minorEastAsia"/>
          <w:color w:val="auto"/>
          <w:kern w:val="0"/>
          <w:sz w:val="24"/>
          <w:highlight w:val="none"/>
          <w:lang w:val="en-US" w:eastAsia="zh-CN"/>
        </w:rPr>
        <w:t>12</w:t>
      </w:r>
      <w:r>
        <w:rPr>
          <w:rFonts w:hint="eastAsia" w:asciiTheme="minorEastAsia" w:hAnsiTheme="minorEastAsia" w:eastAsiaTheme="minorEastAsia"/>
          <w:color w:val="auto"/>
          <w:kern w:val="0"/>
          <w:sz w:val="24"/>
          <w:highlight w:val="none"/>
        </w:rPr>
        <w:t xml:space="preserve">）； </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（2）报价明细表（附件</w:t>
      </w:r>
      <w:r>
        <w:rPr>
          <w:rFonts w:hint="eastAsia" w:asciiTheme="minorEastAsia" w:hAnsiTheme="minorEastAsia" w:eastAsiaTheme="minorEastAsia"/>
          <w:color w:val="auto"/>
          <w:kern w:val="0"/>
          <w:sz w:val="24"/>
          <w:highlight w:val="none"/>
          <w:lang w:val="en-US" w:eastAsia="zh-CN"/>
        </w:rPr>
        <w:t>13</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（3）针对报价供应商认为其他需要说明的。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供应商应按照招标需求内容、责任范围以及合同条款进行报价。并按“开标一览表”和“报价明细表”规定的格式报出总价和分项价格。投标总价中不得包含招标文件要求以外的内容，否则，在评标时不予核减。</w:t>
      </w:r>
    </w:p>
    <w:p>
      <w:pPr>
        <w:pStyle w:val="8"/>
        <w:spacing w:line="360" w:lineRule="auto"/>
        <w:ind w:firstLine="480" w:firstLineChars="200"/>
        <w:rPr>
          <w:rFonts w:hint="eastAsia" w:asciiTheme="minorEastAsia" w:hAnsiTheme="minorEastAsia" w:eastAsiaTheme="minorEastAsia"/>
          <w:bCs/>
          <w:color w:val="auto"/>
          <w:kern w:val="0"/>
          <w:sz w:val="24"/>
          <w:highlight w:val="none"/>
          <w:lang w:eastAsia="zh-CN"/>
        </w:rPr>
      </w:pPr>
      <w:r>
        <w:rPr>
          <w:rFonts w:hint="eastAsia" w:asciiTheme="minorEastAsia" w:hAnsiTheme="minorEastAsia" w:eastAsiaTheme="minorEastAsia"/>
          <w:bCs/>
          <w:color w:val="auto"/>
          <w:kern w:val="0"/>
          <w:sz w:val="24"/>
          <w:highlight w:val="none"/>
        </w:rPr>
        <w:t>2.投标报价包括本项目采购需求和投入使用的所有费用，应包括处理站内管理人员和运行人员的人工成本费包括保险费、培训教育费、用餐费等；处理站内日常运营管理费，水电费用，处理药剂费，化验费，设备日常维护保养，膜、易耗件更换（不含设备大修、重置）等费用，污泥处理费（</w:t>
      </w:r>
      <w:r>
        <w:rPr>
          <w:rFonts w:hint="eastAsia" w:asciiTheme="minorEastAsia" w:hAnsiTheme="minorEastAsia" w:eastAsiaTheme="minorEastAsia"/>
          <w:b/>
          <w:bCs w:val="0"/>
          <w:color w:val="auto"/>
          <w:kern w:val="0"/>
          <w:sz w:val="24"/>
          <w:highlight w:val="none"/>
        </w:rPr>
        <w:t>要求将污泥脱水至含水率80%后，运至三门县城市污水处理厂深度脱水至含水率≤60%，然后外运并焚烧处置</w:t>
      </w:r>
      <w:r>
        <w:rPr>
          <w:rFonts w:hint="eastAsia" w:asciiTheme="minorEastAsia" w:hAnsiTheme="minorEastAsia" w:eastAsiaTheme="minorEastAsia"/>
          <w:bCs/>
          <w:color w:val="auto"/>
          <w:kern w:val="0"/>
          <w:sz w:val="24"/>
          <w:highlight w:val="none"/>
        </w:rPr>
        <w:t>）保险费用；营业税金；合理利润等一切费用。</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pPr>
        <w:pStyle w:val="8"/>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8"/>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pPr>
        <w:pStyle w:val="8"/>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在特殊情况下，采购人可与供应商协商延长投标文件的有效期。</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供应商是联合体的，联合体牵头单位应盖章，并签署联合体牵头单位法定代表人或经其正式授权的代表的全名）。授权代表须出具书面授权证明，其《法定代表人授权书》应附在投标文件中。</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如采购组织机构延长截止时间和开标时间，采购组织机构和供应商的权利和义务将受到新的截止时间和开标时间的约束。</w:t>
      </w:r>
    </w:p>
    <w:p>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pPr>
        <w:pStyle w:val="8"/>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pPr>
        <w:pStyle w:val="8"/>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pPr>
        <w:pStyle w:val="8"/>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r>
        <w:rPr>
          <w:rFonts w:hint="eastAsia"/>
          <w:color w:val="auto"/>
          <w:highlight w:val="none"/>
        </w:rPr>
        <w:t xml:space="preserve"> </w:t>
      </w:r>
      <w:r>
        <w:rPr>
          <w:rFonts w:hint="eastAsia" w:cs="宋体" w:asciiTheme="minorEastAsia" w:hAnsiTheme="minorEastAsia" w:eastAsiaTheme="minorEastAsia"/>
          <w:color w:val="auto"/>
          <w:sz w:val="24"/>
          <w:szCs w:val="24"/>
          <w:highlight w:val="none"/>
        </w:rPr>
        <w:t>供应商登录政采云平台，用“项目采购-开标评标”功能对投标文件进行在线解密，在线解密时间为开标时间起半个小时内；</w:t>
      </w:r>
    </w:p>
    <w:p>
      <w:pPr>
        <w:pStyle w:val="8"/>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工作人员当众宣布供应商名称、投标价格和招标文件规定的需要宣布的其他内容（以开标一览表要求为准）；</w:t>
      </w:r>
    </w:p>
    <w:p>
      <w:pPr>
        <w:pStyle w:val="8"/>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pPr>
        <w:pStyle w:val="8"/>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pPr>
        <w:pStyle w:val="8"/>
        <w:spacing w:line="360" w:lineRule="auto"/>
        <w:ind w:firstLine="480" w:firstLineChars="200"/>
        <w:rPr>
          <w:color w:val="auto"/>
          <w:sz w:val="24"/>
          <w:szCs w:val="22"/>
          <w:highlight w:val="none"/>
        </w:rPr>
      </w:pPr>
      <w:r>
        <w:rPr>
          <w:rFonts w:hint="eastAsia"/>
          <w:color w:val="auto"/>
          <w:sz w:val="24"/>
          <w:szCs w:val="22"/>
          <w:highlight w:val="none"/>
        </w:rPr>
        <w:t>供应商代表对开标过程和开标记录有疑义，以及认为采购人、采购组织机构相关工作人员有需要回避的情形的，应当场提出询问或者回避申请，开标会议结束后不再接受相关询问、质疑或者回避申请。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供应商不足三家，不得开标。</w:t>
      </w:r>
    </w:p>
    <w:p>
      <w:pPr>
        <w:pStyle w:val="15"/>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pPr>
        <w:pStyle w:val="23"/>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pPr>
        <w:pStyle w:val="23"/>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rFonts w:hint="eastAsia"/>
          <w:color w:val="auto"/>
          <w:highlight w:val="none"/>
        </w:rPr>
        <w:t>确定中标人。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r>
        <w:rPr>
          <w:rFonts w:asciiTheme="minorEastAsia" w:hAnsiTheme="minorEastAsia" w:eastAsiaTheme="minorEastAsia"/>
          <w:color w:val="auto"/>
          <w:highlight w:val="none"/>
        </w:rPr>
        <w:t>。</w:t>
      </w:r>
    </w:p>
    <w:p>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和三门县公共资源交易网上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 1 个工作日</w:t>
      </w:r>
      <w:r>
        <w:rPr>
          <w:rFonts w:hint="eastAsia" w:ascii="宋体" w:hAnsi="宋体"/>
          <w:color w:val="auto"/>
          <w:kern w:val="0"/>
          <w:sz w:val="24"/>
          <w:highlight w:val="none"/>
        </w:rPr>
        <w:t>。</w:t>
      </w:r>
    </w:p>
    <w:p>
      <w:pPr>
        <w:pStyle w:val="9"/>
        <w:spacing w:line="360" w:lineRule="auto"/>
        <w:ind w:firstLine="480" w:firstLineChars="200"/>
        <w:jc w:val="both"/>
        <w:rPr>
          <w:color w:val="auto"/>
          <w:highlight w:val="none"/>
        </w:rPr>
      </w:pPr>
      <w:r>
        <w:rPr>
          <w:rFonts w:hint="eastAsia" w:ascii="宋体" w:hAnsi="宋体"/>
          <w:color w:val="auto"/>
          <w:kern w:val="0"/>
          <w:sz w:val="24"/>
          <w:highlight w:val="none"/>
        </w:rPr>
        <w:t>（三）</w:t>
      </w:r>
      <w:r>
        <w:rPr>
          <w:rFonts w:hint="eastAsia"/>
          <w:color w:val="auto"/>
          <w:sz w:val="24"/>
          <w:highlight w:val="none"/>
        </w:rPr>
        <w:t>发放中标通知书</w:t>
      </w: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pPr>
        <w:pStyle w:val="23"/>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pPr>
        <w:pStyle w:val="13"/>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供应商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pPr>
        <w:pStyle w:val="9"/>
        <w:spacing w:line="420" w:lineRule="exact"/>
        <w:ind w:firstLine="480" w:firstLineChars="200"/>
        <w:jc w:val="both"/>
        <w:rPr>
          <w:rFonts w:ascii="宋体" w:hAnsi="宋体"/>
          <w:color w:val="auto"/>
          <w:sz w:val="24"/>
          <w:highlight w:val="none"/>
        </w:rPr>
      </w:pPr>
      <w:r>
        <w:rPr>
          <w:rFonts w:hint="eastAsia" w:ascii="宋体" w:hAnsi="宋体"/>
          <w:color w:val="auto"/>
          <w:sz w:val="24"/>
          <w:highlight w:val="none"/>
        </w:rPr>
        <w:t>1.报名本项目的供应商认为招标文件、采购过程和中标结果使自己的权益受到损害的，通过政采云平台的质疑系统一次性向采购人或采购组织机构提出质疑：</w:t>
      </w:r>
    </w:p>
    <w:p>
      <w:pPr>
        <w:pStyle w:val="9"/>
        <w:spacing w:line="420" w:lineRule="exact"/>
        <w:ind w:firstLine="480" w:firstLineChars="200"/>
        <w:jc w:val="both"/>
        <w:rPr>
          <w:rFonts w:ascii="宋体" w:hAnsi="宋体"/>
          <w:color w:val="auto"/>
          <w:sz w:val="24"/>
          <w:highlight w:val="none"/>
        </w:rPr>
      </w:pPr>
      <w:r>
        <w:rPr>
          <w:rFonts w:hint="eastAsia" w:ascii="宋体" w:hAnsi="宋体"/>
          <w:color w:val="auto"/>
          <w:sz w:val="24"/>
          <w:highlight w:val="none"/>
        </w:rPr>
        <w:t>（1）供应商认为招标文件的内容损害其权益的，应当自获取之日起（获取截止日之后收到招标文件的，以获取截止日为准）7个工作日内提出质疑；</w:t>
      </w:r>
    </w:p>
    <w:p>
      <w:pPr>
        <w:pStyle w:val="9"/>
        <w:spacing w:line="420" w:lineRule="exact"/>
        <w:ind w:firstLine="480" w:firstLineChars="200"/>
        <w:jc w:val="both"/>
        <w:rPr>
          <w:rFonts w:ascii="宋体" w:hAnsi="宋体"/>
          <w:color w:val="auto"/>
          <w:sz w:val="24"/>
          <w:highlight w:val="none"/>
        </w:rPr>
      </w:pPr>
      <w:r>
        <w:rPr>
          <w:rFonts w:hint="eastAsia" w:ascii="宋体" w:hAnsi="宋体"/>
          <w:color w:val="auto"/>
          <w:sz w:val="24"/>
          <w:highlight w:val="none"/>
        </w:rPr>
        <w:t>（2）供应商对采购过程提出质疑的，应当在各采购程序环节结束之日起7个工作日内提出质疑；</w:t>
      </w:r>
    </w:p>
    <w:p>
      <w:pPr>
        <w:pStyle w:val="9"/>
        <w:spacing w:line="420" w:lineRule="exact"/>
        <w:ind w:firstLine="480" w:firstLineChars="200"/>
        <w:jc w:val="both"/>
        <w:rPr>
          <w:rFonts w:ascii="宋体" w:hAnsi="宋体"/>
          <w:color w:val="auto"/>
          <w:sz w:val="24"/>
          <w:highlight w:val="none"/>
        </w:rPr>
      </w:pPr>
      <w:r>
        <w:rPr>
          <w:rFonts w:hint="eastAsia" w:ascii="宋体" w:hAnsi="宋体"/>
          <w:color w:val="auto"/>
          <w:sz w:val="24"/>
          <w:highlight w:val="none"/>
        </w:rPr>
        <w:t>（3）供应商对中标结果提出质疑的，应当在中标结果公告期限届满之日起7个工作日内提出质疑。</w:t>
      </w:r>
    </w:p>
    <w:p>
      <w:pPr>
        <w:pStyle w:val="9"/>
        <w:spacing w:line="420" w:lineRule="exact"/>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2.采购人或采购组织机构在收到供应商的书面质疑后7个工作日内作出答复，并以书面形式或政采云平台回复质疑供应商和其他有关供应商，但答复内容不涉及商业秘密。</w:t>
      </w:r>
    </w:p>
    <w:p>
      <w:pPr>
        <w:pStyle w:val="9"/>
        <w:spacing w:line="420" w:lineRule="exact"/>
        <w:ind w:firstLine="480" w:firstLineChars="200"/>
        <w:jc w:val="both"/>
        <w:rPr>
          <w:rFonts w:ascii="宋体" w:hAnsi="宋体"/>
          <w:color w:val="auto"/>
          <w:sz w:val="24"/>
          <w:highlight w:val="none"/>
        </w:rPr>
      </w:pPr>
      <w:r>
        <w:rPr>
          <w:rFonts w:hint="eastAsia" w:ascii="宋体" w:hAnsi="宋体"/>
          <w:color w:val="auto"/>
          <w:sz w:val="24"/>
          <w:highlight w:val="none"/>
        </w:rPr>
        <w:t>3.</w:t>
      </w:r>
      <w:r>
        <w:rPr>
          <w:rFonts w:hint="eastAsia"/>
          <w:color w:val="auto"/>
          <w:highlight w:val="none"/>
        </w:rPr>
        <w:t xml:space="preserve"> </w:t>
      </w:r>
      <w:r>
        <w:rPr>
          <w:rFonts w:hint="eastAsia" w:ascii="宋体" w:hAnsi="宋体"/>
          <w:color w:val="auto"/>
          <w:sz w:val="24"/>
          <w:highlight w:val="none"/>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供应商对采购人或采购组织机构的质疑答复不满意或在规定时间内未得到答复的，可以在答复期满后15个工作日内，向同级政府采购监督管理机构投诉。</w:t>
      </w:r>
    </w:p>
    <w:p>
      <w:pPr>
        <w:pStyle w:val="9"/>
        <w:adjustRightInd w:val="0"/>
        <w:snapToGrid w:val="0"/>
        <w:spacing w:line="420" w:lineRule="exact"/>
        <w:jc w:val="both"/>
        <w:rPr>
          <w:rFonts w:ascii="宋体" w:hAnsi="宋体"/>
          <w:b/>
          <w:bCs/>
          <w:color w:val="auto"/>
          <w:sz w:val="24"/>
          <w:highlight w:val="none"/>
        </w:rPr>
      </w:pPr>
      <w:r>
        <w:rPr>
          <w:rFonts w:hint="eastAsia" w:ascii="宋体" w:hAnsi="宋体"/>
          <w:b/>
          <w:bCs/>
          <w:color w:val="auto"/>
          <w:sz w:val="24"/>
          <w:highlight w:val="none"/>
        </w:rPr>
        <w:t>九、其他</w:t>
      </w:r>
    </w:p>
    <w:p>
      <w:pPr>
        <w:adjustRightInd w:val="0"/>
        <w:snapToGrid w:val="0"/>
        <w:spacing w:line="420" w:lineRule="exact"/>
        <w:ind w:firstLine="723" w:firstLineChars="300"/>
        <w:jc w:val="center"/>
        <w:rPr>
          <w:rFonts w:ascii="宋体" w:hAnsi="宋体"/>
          <w:bCs/>
          <w:color w:val="auto"/>
          <w:sz w:val="24"/>
          <w:highlight w:val="none"/>
        </w:rPr>
      </w:pPr>
      <w:r>
        <w:rPr>
          <w:rFonts w:hint="eastAsia" w:ascii="宋体" w:hAnsi="宋体"/>
          <w:b/>
          <w:color w:val="auto"/>
          <w:sz w:val="24"/>
          <w:highlight w:val="none"/>
        </w:rPr>
        <w:t>政府采购支持中小企业信用融资相关事项的通知</w:t>
      </w:r>
    </w:p>
    <w:p>
      <w:pPr>
        <w:adjustRightInd w:val="0"/>
        <w:snapToGrid w:val="0"/>
        <w:spacing w:line="420" w:lineRule="exact"/>
        <w:ind w:firstLine="480" w:firstLineChars="200"/>
        <w:rPr>
          <w:rFonts w:ascii="宋体" w:hAnsi="宋体" w:cs="宋体"/>
          <w:b/>
          <w:bCs/>
          <w:color w:val="auto"/>
          <w:kern w:val="0"/>
          <w:sz w:val="28"/>
          <w:szCs w:val="28"/>
          <w:highlight w:val="none"/>
        </w:rPr>
      </w:pPr>
      <w:r>
        <w:rPr>
          <w:rFonts w:hint="eastAsia" w:ascii="宋体" w:hAnsi="宋体"/>
          <w:bCs/>
          <w:color w:val="auto"/>
          <w:sz w:val="24"/>
          <w:highlight w:val="none"/>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widowControl/>
        <w:spacing w:line="360" w:lineRule="auto"/>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政采贷联系方式</w:t>
      </w:r>
    </w:p>
    <w:tbl>
      <w:tblPr>
        <w:tblStyle w:val="25"/>
        <w:tblW w:w="8655" w:type="dxa"/>
        <w:tblInd w:w="0" w:type="dxa"/>
        <w:tblLayout w:type="fixed"/>
        <w:tblCellMar>
          <w:top w:w="15" w:type="dxa"/>
          <w:left w:w="15" w:type="dxa"/>
          <w:bottom w:w="15" w:type="dxa"/>
          <w:right w:w="15" w:type="dxa"/>
        </w:tblCellMar>
      </w:tblPr>
      <w:tblGrid>
        <w:gridCol w:w="793"/>
        <w:gridCol w:w="1380"/>
        <w:gridCol w:w="2237"/>
        <w:gridCol w:w="1842"/>
        <w:gridCol w:w="2403"/>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 xml:space="preserve">   联系电话</w:t>
            </w:r>
          </w:p>
        </w:tc>
      </w:tr>
      <w:tr>
        <w:tblPrEx>
          <w:tblCellMar>
            <w:top w:w="15" w:type="dxa"/>
            <w:left w:w="15" w:type="dxa"/>
            <w:bottom w:w="15" w:type="dxa"/>
            <w:right w:w="15" w:type="dxa"/>
          </w:tblCellMar>
        </w:tblPrEx>
        <w:trPr>
          <w:trHeight w:val="590"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Calibri"/>
                <w:bCs/>
                <w:color w:val="auto"/>
                <w:sz w:val="24"/>
                <w:highlight w:val="none"/>
              </w:rPr>
            </w:pPr>
            <w:r>
              <w:rPr>
                <w:rFonts w:hint="eastAsia" w:ascii="宋体" w:hAnsi="宋体" w:cs="Calibri"/>
                <w:bCs/>
                <w:color w:val="auto"/>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Calibri"/>
                <w:bCs/>
                <w:color w:val="auto"/>
                <w:sz w:val="24"/>
                <w:highlight w:val="none"/>
              </w:rPr>
            </w:pPr>
            <w:r>
              <w:rPr>
                <w:rFonts w:hint="eastAsia" w:ascii="宋体" w:hAnsi="宋体" w:cs="Calibri"/>
                <w:bCs/>
                <w:color w:val="auto"/>
                <w:sz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Calibri"/>
                <w:bCs/>
                <w:color w:val="auto"/>
                <w:sz w:val="24"/>
                <w:highlight w:val="none"/>
              </w:rPr>
            </w:pPr>
            <w:r>
              <w:rPr>
                <w:rFonts w:hint="eastAsia" w:ascii="宋体" w:hAnsi="宋体" w:cs="Calibri"/>
                <w:bCs/>
                <w:color w:val="auto"/>
                <w:sz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Calibri"/>
                <w:bCs/>
                <w:color w:val="auto"/>
                <w:sz w:val="24"/>
                <w:highlight w:val="none"/>
              </w:rPr>
            </w:pPr>
            <w:r>
              <w:rPr>
                <w:rFonts w:hint="eastAsia" w:ascii="宋体" w:hAnsi="宋体" w:cs="Calibri"/>
                <w:bCs/>
                <w:color w:val="auto"/>
                <w:sz w:val="24"/>
                <w:highlight w:val="none"/>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Calibri"/>
                <w:bCs/>
                <w:color w:val="auto"/>
                <w:sz w:val="24"/>
                <w:highlight w:val="none"/>
              </w:rPr>
            </w:pPr>
            <w:r>
              <w:rPr>
                <w:rFonts w:hint="eastAsia" w:ascii="宋体" w:hAnsi="宋体" w:cs="Calibri"/>
                <w:bCs/>
                <w:color w:val="auto"/>
                <w:sz w:val="24"/>
                <w:highlight w:val="none"/>
              </w:rPr>
              <w:t>13958532211</w:t>
            </w:r>
          </w:p>
        </w:tc>
      </w:tr>
    </w:tbl>
    <w:p>
      <w:pPr>
        <w:widowControl/>
        <w:spacing w:line="360" w:lineRule="auto"/>
        <w:jc w:val="center"/>
        <w:textAlignment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政采保联系方式</w:t>
      </w:r>
    </w:p>
    <w:tbl>
      <w:tblPr>
        <w:tblStyle w:val="2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spacing w:line="360" w:lineRule="exact"/>
              <w:rPr>
                <w:rFonts w:ascii="宋体" w:hAnsi="宋体" w:cs="Calibri"/>
                <w:bCs/>
                <w:color w:val="auto"/>
                <w:sz w:val="24"/>
                <w:highlight w:val="none"/>
              </w:rPr>
            </w:pPr>
            <w:r>
              <w:rPr>
                <w:rFonts w:hint="eastAsia" w:ascii="宋体" w:hAnsi="宋体" w:cs="Calibri"/>
                <w:bCs/>
                <w:color w:val="auto"/>
                <w:sz w:val="24"/>
                <w:highlight w:val="none"/>
              </w:rPr>
              <w:t>阳光财产保险股份有限公司三门支公司</w:t>
            </w:r>
          </w:p>
        </w:tc>
        <w:tc>
          <w:tcPr>
            <w:tcW w:w="3341" w:type="dxa"/>
            <w:vAlign w:val="center"/>
          </w:tcPr>
          <w:p>
            <w:pPr>
              <w:spacing w:line="360" w:lineRule="exact"/>
              <w:rPr>
                <w:rFonts w:ascii="宋体" w:hAnsi="宋体" w:cs="Calibri"/>
                <w:bCs/>
                <w:color w:val="auto"/>
                <w:sz w:val="24"/>
                <w:highlight w:val="none"/>
              </w:rPr>
            </w:pPr>
            <w:r>
              <w:rPr>
                <w:rFonts w:hint="eastAsia" w:ascii="宋体" w:hAnsi="宋体" w:cs="Calibri"/>
                <w:bCs/>
                <w:color w:val="auto"/>
                <w:sz w:val="24"/>
                <w:highlight w:val="none"/>
              </w:rPr>
              <w:t>合同（质量）履约按履约保证金年费率1%（1.5%），每单保函最低保险费为500元(300元)。</w:t>
            </w:r>
          </w:p>
        </w:tc>
        <w:tc>
          <w:tcPr>
            <w:tcW w:w="1134" w:type="dxa"/>
            <w:vAlign w:val="center"/>
          </w:tcPr>
          <w:p>
            <w:pPr>
              <w:spacing w:line="360" w:lineRule="exact"/>
              <w:rPr>
                <w:rFonts w:ascii="宋体" w:hAnsi="宋体" w:cs="Calibri"/>
                <w:bCs/>
                <w:color w:val="auto"/>
                <w:sz w:val="24"/>
                <w:highlight w:val="none"/>
              </w:rPr>
            </w:pPr>
            <w:r>
              <w:rPr>
                <w:rFonts w:hint="eastAsia" w:ascii="宋体" w:hAnsi="宋体" w:cs="Calibri"/>
                <w:bCs/>
                <w:color w:val="auto"/>
                <w:sz w:val="24"/>
                <w:highlight w:val="none"/>
              </w:rPr>
              <w:t>李来萍</w:t>
            </w:r>
          </w:p>
        </w:tc>
        <w:tc>
          <w:tcPr>
            <w:tcW w:w="1977" w:type="dxa"/>
            <w:vAlign w:val="center"/>
          </w:tcPr>
          <w:p>
            <w:pPr>
              <w:spacing w:line="360" w:lineRule="exact"/>
              <w:rPr>
                <w:rFonts w:ascii="宋体" w:hAnsi="宋体" w:cs="Calibri"/>
                <w:bCs/>
                <w:color w:val="auto"/>
                <w:sz w:val="24"/>
                <w:highlight w:val="none"/>
              </w:rPr>
            </w:pPr>
            <w:r>
              <w:rPr>
                <w:rFonts w:hint="eastAsia" w:ascii="宋体" w:hAnsi="宋体" w:cs="Calibri"/>
                <w:bCs/>
                <w:color w:val="auto"/>
                <w:sz w:val="24"/>
                <w:highlight w:val="none"/>
              </w:rPr>
              <w:t>13958525199</w:t>
            </w:r>
          </w:p>
        </w:tc>
      </w:tr>
    </w:tbl>
    <w:p>
      <w:pPr>
        <w:rPr>
          <w:rFonts w:asciiTheme="minorEastAsia" w:hAnsiTheme="minorEastAsia" w:eastAsiaTheme="minorEastAsia"/>
          <w:b/>
          <w:color w:val="auto"/>
          <w:sz w:val="36"/>
          <w:szCs w:val="36"/>
          <w:highlight w:val="none"/>
        </w:rPr>
      </w:pPr>
      <w:bookmarkStart w:id="9" w:name="_Toc13072_WPSOffice_Level1"/>
      <w:r>
        <w:rPr>
          <w:rFonts w:hint="eastAsia" w:asciiTheme="minorEastAsia" w:hAnsiTheme="minorEastAsia" w:eastAsiaTheme="minorEastAsia"/>
          <w:b/>
          <w:color w:val="auto"/>
          <w:sz w:val="36"/>
          <w:szCs w:val="36"/>
          <w:highlight w:val="none"/>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招标需求</w:t>
      </w:r>
      <w:bookmarkEnd w:id="9"/>
    </w:p>
    <w:p>
      <w:pPr>
        <w:tabs>
          <w:tab w:val="left" w:pos="8280"/>
        </w:tabs>
        <w:autoSpaceDE w:val="0"/>
        <w:autoSpaceDN w:val="0"/>
        <w:adjustRightInd w:val="0"/>
        <w:spacing w:line="360" w:lineRule="auto"/>
        <w:ind w:right="25"/>
        <w:jc w:val="center"/>
        <w:rPr>
          <w:color w:val="auto"/>
          <w:highlight w:val="none"/>
        </w:rPr>
      </w:pPr>
      <w:r>
        <w:rPr>
          <w:rFonts w:hint="eastAsia" w:ascii="宋体" w:hAnsi="宋体"/>
          <w:b/>
          <w:color w:val="auto"/>
          <w:sz w:val="32"/>
          <w:highlight w:val="none"/>
        </w:rPr>
        <w:t>第一节  技术要求</w:t>
      </w:r>
    </w:p>
    <w:p>
      <w:pPr>
        <w:numPr>
          <w:ilvl w:val="0"/>
          <w:numId w:val="9"/>
        </w:numPr>
        <w:tabs>
          <w:tab w:val="left" w:pos="8280"/>
        </w:tabs>
        <w:autoSpaceDE w:val="0"/>
        <w:autoSpaceDN w:val="0"/>
        <w:adjustRightInd w:val="0"/>
        <w:spacing w:line="480" w:lineRule="exact"/>
        <w:ind w:left="0" w:leftChars="0" w:right="25" w:firstLine="420" w:firstLineChars="0"/>
        <w:rPr>
          <w:rFonts w:asciiTheme="minorEastAsia" w:hAnsiTheme="minorEastAsia" w:eastAsiaTheme="minorEastAsia"/>
          <w:color w:val="auto"/>
          <w:sz w:val="30"/>
          <w:szCs w:val="30"/>
          <w:highlight w:val="none"/>
        </w:rPr>
      </w:pPr>
      <w:r>
        <w:rPr>
          <w:rFonts w:hint="eastAsia" w:asciiTheme="minorEastAsia" w:hAnsiTheme="minorEastAsia" w:eastAsiaTheme="minorEastAsia"/>
          <w:b/>
          <w:color w:val="auto"/>
          <w:sz w:val="30"/>
          <w:szCs w:val="30"/>
          <w:highlight w:val="none"/>
        </w:rPr>
        <w:t>招标项目一览表</w:t>
      </w:r>
    </w:p>
    <w:p>
      <w:pPr>
        <w:keepLines w:val="0"/>
        <w:pageBreakBefore w:val="0"/>
        <w:tabs>
          <w:tab w:val="left" w:pos="8280"/>
        </w:tabs>
        <w:kinsoku/>
        <w:wordWrap/>
        <w:overflowPunct/>
        <w:topLinePunct w:val="0"/>
        <w:autoSpaceDE w:val="0"/>
        <w:autoSpaceDN w:val="0"/>
        <w:bidi w:val="0"/>
        <w:adjustRightInd w:val="0"/>
        <w:spacing w:line="360" w:lineRule="auto"/>
        <w:ind w:left="0" w:right="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本次招标共</w:t>
      </w:r>
      <w:r>
        <w:rPr>
          <w:rFonts w:hint="eastAsia"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u w:val="single"/>
        </w:rPr>
        <w:t xml:space="preserve">1 </w:t>
      </w:r>
      <w:r>
        <w:rPr>
          <w:rFonts w:hint="eastAsia" w:asciiTheme="minorEastAsia" w:hAnsiTheme="minorEastAsia" w:eastAsiaTheme="minorEastAsia"/>
          <w:color w:val="auto"/>
          <w:sz w:val="24"/>
          <w:szCs w:val="24"/>
          <w:highlight w:val="none"/>
        </w:rPr>
        <w:t>个标项，具体内容如下表：</w:t>
      </w:r>
    </w:p>
    <w:tbl>
      <w:tblPr>
        <w:tblStyle w:val="25"/>
        <w:tblpPr w:leftFromText="181" w:rightFromText="181" w:bottomFromText="170" w:vertAnchor="text" w:tblpXSpec="center" w:tblpY="1"/>
        <w:tblOverlap w:val="never"/>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3000"/>
        <w:gridCol w:w="915"/>
        <w:gridCol w:w="900"/>
        <w:gridCol w:w="14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26"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b/>
                <w:color w:val="auto"/>
                <w:sz w:val="24"/>
                <w:szCs w:val="24"/>
                <w:highlight w:val="none"/>
              </w:rPr>
            </w:pPr>
            <w:r>
              <w:rPr>
                <w:rFonts w:hint="eastAsia" w:ascii="宋体" w:hAnsi="宋体"/>
                <w:b/>
                <w:color w:val="auto"/>
                <w:sz w:val="24"/>
                <w:szCs w:val="24"/>
                <w:highlight w:val="none"/>
              </w:rPr>
              <w:t>标项号</w:t>
            </w:r>
          </w:p>
        </w:tc>
        <w:tc>
          <w:tcPr>
            <w:tcW w:w="300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b/>
                <w:color w:val="auto"/>
                <w:sz w:val="24"/>
                <w:szCs w:val="24"/>
                <w:highlight w:val="none"/>
              </w:rPr>
            </w:pPr>
            <w:r>
              <w:rPr>
                <w:rFonts w:hint="eastAsia" w:ascii="宋体" w:hAnsi="宋体"/>
                <w:b/>
                <w:color w:val="auto"/>
                <w:sz w:val="24"/>
                <w:szCs w:val="24"/>
                <w:highlight w:val="none"/>
              </w:rPr>
              <w:t>项目名称</w:t>
            </w:r>
          </w:p>
        </w:tc>
        <w:tc>
          <w:tcPr>
            <w:tcW w:w="91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b/>
                <w:color w:val="auto"/>
                <w:sz w:val="24"/>
                <w:szCs w:val="24"/>
                <w:highlight w:val="none"/>
              </w:rPr>
            </w:pPr>
            <w:r>
              <w:rPr>
                <w:rFonts w:hint="eastAsia" w:ascii="宋体" w:hAnsi="宋体"/>
                <w:b/>
                <w:color w:val="auto"/>
                <w:sz w:val="24"/>
                <w:szCs w:val="24"/>
                <w:highlight w:val="none"/>
              </w:rPr>
              <w:t>数量</w:t>
            </w:r>
          </w:p>
        </w:tc>
        <w:tc>
          <w:tcPr>
            <w:tcW w:w="90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b/>
                <w:color w:val="auto"/>
                <w:sz w:val="24"/>
                <w:szCs w:val="24"/>
                <w:highlight w:val="none"/>
              </w:rPr>
            </w:pPr>
            <w:r>
              <w:rPr>
                <w:rFonts w:hint="eastAsia" w:ascii="宋体" w:hAnsi="宋体"/>
                <w:b/>
                <w:color w:val="auto"/>
                <w:sz w:val="24"/>
                <w:szCs w:val="24"/>
                <w:highlight w:val="none"/>
              </w:rPr>
              <w:t>单位</w:t>
            </w:r>
          </w:p>
        </w:tc>
        <w:tc>
          <w:tcPr>
            <w:tcW w:w="1499"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hAnsi="宋体"/>
                <w:b/>
                <w:color w:val="auto"/>
                <w:sz w:val="24"/>
                <w:szCs w:val="24"/>
                <w:highlight w:val="none"/>
              </w:rPr>
            </w:pPr>
            <w:r>
              <w:rPr>
                <w:rFonts w:hint="eastAsia" w:ascii="宋体" w:hAnsi="宋体"/>
                <w:b/>
                <w:color w:val="auto"/>
                <w:sz w:val="24"/>
                <w:szCs w:val="24"/>
                <w:highlight w:val="none"/>
              </w:rPr>
              <w:t>预算价</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b/>
                <w:color w:val="auto"/>
                <w:sz w:val="24"/>
                <w:szCs w:val="24"/>
                <w:highlight w:val="none"/>
              </w:rPr>
            </w:pPr>
            <w:r>
              <w:rPr>
                <w:rFonts w:hint="eastAsia" w:ascii="宋体" w:hAnsi="宋体"/>
                <w:b/>
                <w:color w:val="auto"/>
                <w:sz w:val="24"/>
                <w:szCs w:val="24"/>
                <w:highlight w:val="none"/>
              </w:rPr>
              <w:t>（元）</w:t>
            </w:r>
          </w:p>
        </w:tc>
        <w:tc>
          <w:tcPr>
            <w:tcW w:w="1276"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hAnsi="宋体"/>
                <w:b/>
                <w:color w:val="auto"/>
                <w:sz w:val="24"/>
                <w:szCs w:val="24"/>
                <w:highlight w:val="none"/>
              </w:rPr>
            </w:pPr>
            <w:r>
              <w:rPr>
                <w:rFonts w:hint="eastAsia" w:ascii="宋体" w:hAnsi="宋体"/>
                <w:b/>
                <w:color w:val="auto"/>
                <w:sz w:val="24"/>
                <w:szCs w:val="24"/>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126"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00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hint="eastAsia" w:ascii="宋体" w:hAnsi="宋体" w:eastAsia="宋体" w:cs="宋体"/>
                <w:b/>
                <w:color w:val="auto"/>
                <w:sz w:val="24"/>
                <w:szCs w:val="24"/>
                <w:highlight w:val="none"/>
                <w:lang w:eastAsia="zh-CN"/>
              </w:rPr>
            </w:pPr>
            <w:r>
              <w:rPr>
                <w:rFonts w:hint="eastAsia" w:ascii="宋体" w:hAnsi="宋体"/>
                <w:color w:val="auto"/>
                <w:sz w:val="24"/>
                <w:szCs w:val="24"/>
                <w:highlight w:val="none"/>
                <w:lang w:eastAsia="zh-CN"/>
              </w:rPr>
              <w:t>2023年三门县下湾生活垃圾填埋场渗滤液处理设施运营服务项目</w:t>
            </w:r>
          </w:p>
        </w:tc>
        <w:tc>
          <w:tcPr>
            <w:tcW w:w="91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90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项</w:t>
            </w:r>
          </w:p>
        </w:tc>
        <w:tc>
          <w:tcPr>
            <w:tcW w:w="1499"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hint="default" w:ascii="宋体" w:hAnsi="宋体" w:cs="宋体"/>
                <w:b/>
                <w:bCs/>
                <w:color w:val="auto"/>
                <w:sz w:val="24"/>
                <w:szCs w:val="24"/>
                <w:highlight w:val="none"/>
                <w:lang w:val="en-US"/>
              </w:rPr>
            </w:pPr>
            <w:r>
              <w:rPr>
                <w:rFonts w:hint="eastAsia" w:ascii="宋体" w:hAnsi="宋体" w:cs="Simang"/>
                <w:color w:val="auto"/>
                <w:kern w:val="0"/>
                <w:sz w:val="24"/>
                <w:highlight w:val="none"/>
                <w:lang w:eastAsia="zh-CN"/>
              </w:rPr>
              <w:t>5018000</w:t>
            </w:r>
          </w:p>
        </w:tc>
        <w:tc>
          <w:tcPr>
            <w:tcW w:w="1276"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自合同签订后1年时间。</w:t>
            </w:r>
          </w:p>
        </w:tc>
      </w:tr>
    </w:tbl>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bookmarkStart w:id="10" w:name="_Hlk71126459"/>
      <w:r>
        <w:rPr>
          <w:rFonts w:hint="eastAsia" w:asciiTheme="minorEastAsia" w:hAnsiTheme="minorEastAsia" w:eastAsiaTheme="minorEastAsia"/>
          <w:b/>
          <w:color w:val="auto"/>
          <w:sz w:val="24"/>
          <w:szCs w:val="24"/>
          <w:highlight w:val="none"/>
        </w:rPr>
        <w:t>项目概况</w:t>
      </w:r>
    </w:p>
    <w:p>
      <w:pPr>
        <w:keepLines w:val="0"/>
        <w:pageBreakBefore w:val="0"/>
        <w:numPr>
          <w:ilvl w:val="0"/>
          <w:numId w:val="10"/>
        </w:numPr>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项目名称：</w:t>
      </w:r>
      <w:r>
        <w:rPr>
          <w:rFonts w:hint="eastAsia" w:ascii="宋体" w:hAnsi="宋体" w:cs="宋体"/>
          <w:color w:val="auto"/>
          <w:kern w:val="0"/>
          <w:sz w:val="24"/>
          <w:szCs w:val="24"/>
          <w:highlight w:val="none"/>
          <w:lang w:eastAsia="zh-CN"/>
        </w:rPr>
        <w:t>2023年三门县下湾生活垃圾填埋场渗滤液处理设施运营服务项目</w:t>
      </w:r>
    </w:p>
    <w:p>
      <w:pPr>
        <w:keepLines w:val="0"/>
        <w:pageBreakBefore w:val="0"/>
        <w:numPr>
          <w:ilvl w:val="0"/>
          <w:numId w:val="10"/>
        </w:numPr>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业主单位：</w:t>
      </w:r>
      <w:r>
        <w:rPr>
          <w:rFonts w:hint="eastAsia" w:ascii="宋体" w:hAnsi="宋体" w:cs="宋体"/>
          <w:color w:val="auto"/>
          <w:kern w:val="0"/>
          <w:sz w:val="24"/>
          <w:szCs w:val="24"/>
          <w:highlight w:val="none"/>
          <w:lang w:eastAsia="zh-CN"/>
        </w:rPr>
        <w:t xml:space="preserve">三门县环境卫生服务中心 </w:t>
      </w:r>
    </w:p>
    <w:p>
      <w:pPr>
        <w:keepLines w:val="0"/>
        <w:pageBreakBefore w:val="0"/>
        <w:numPr>
          <w:ilvl w:val="0"/>
          <w:numId w:val="10"/>
        </w:numPr>
        <w:kinsoku/>
        <w:wordWrap/>
        <w:overflowPunct/>
        <w:topLinePunct w:val="0"/>
        <w:bidi w:val="0"/>
        <w:spacing w:line="360" w:lineRule="auto"/>
        <w:ind w:left="0" w:leftChars="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项目运营及维护范围：垃圾坝出水至渗滤液处理站出水提升泵站后的第一个阀门井为止。</w:t>
      </w:r>
    </w:p>
    <w:p>
      <w:pPr>
        <w:keepLines w:val="0"/>
        <w:pageBreakBefore w:val="0"/>
        <w:numPr>
          <w:ilvl w:val="0"/>
          <w:numId w:val="10"/>
        </w:numPr>
        <w:kinsoku/>
        <w:wordWrap/>
        <w:overflowPunct/>
        <w:topLinePunct w:val="0"/>
        <w:bidi w:val="0"/>
        <w:spacing w:line="360" w:lineRule="auto"/>
        <w:ind w:left="0" w:leftChars="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生活垃圾填埋场内渗滤液处理系统工程一套，采用“调节池+MBR（二级AO+UF）+NF/RO”处理工艺，渗滤液处理后达到《生活垃圾填埋场污染控制标准》（GB16889-2008）中表2标准。</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运营概况</w:t>
      </w:r>
    </w:p>
    <w:p>
      <w:pPr>
        <w:keepLines w:val="0"/>
        <w:pageBreakBefore w:val="0"/>
        <w:numPr>
          <w:ilvl w:val="0"/>
          <w:numId w:val="11"/>
        </w:numPr>
        <w:kinsoku/>
        <w:wordWrap/>
        <w:overflowPunct/>
        <w:topLinePunct w:val="0"/>
        <w:bidi w:val="0"/>
        <w:spacing w:line="360" w:lineRule="auto"/>
        <w:ind w:left="0" w:leftChars="0" w:right="0" w:firstLine="480" w:firstLineChars="200"/>
        <w:textAlignment w:val="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运营规模：本项目</w:t>
      </w:r>
      <w:r>
        <w:rPr>
          <w:rFonts w:hint="eastAsia" w:ascii="宋体" w:hAnsi="宋体" w:cs="宋体"/>
          <w:color w:val="auto"/>
          <w:kern w:val="0"/>
          <w:sz w:val="24"/>
          <w:szCs w:val="24"/>
          <w:highlight w:val="none"/>
          <w:u w:val="single"/>
          <w:lang w:val="en-US" w:eastAsia="zh-CN"/>
        </w:rPr>
        <w:t>基本</w:t>
      </w:r>
      <w:r>
        <w:rPr>
          <w:rFonts w:hint="eastAsia" w:ascii="宋体" w:hAnsi="宋体" w:cs="宋体"/>
          <w:color w:val="auto"/>
          <w:kern w:val="0"/>
          <w:sz w:val="24"/>
          <w:szCs w:val="24"/>
          <w:highlight w:val="none"/>
          <w:u w:val="single"/>
        </w:rPr>
        <w:t>水量为210</w:t>
      </w:r>
      <w:r>
        <w:rPr>
          <w:rFonts w:hint="eastAsia" w:ascii="宋体" w:hAnsi="宋体" w:cs="宋体"/>
          <w:color w:val="auto"/>
          <w:kern w:val="0"/>
          <w:sz w:val="24"/>
          <w:szCs w:val="24"/>
          <w:highlight w:val="none"/>
          <w:u w:val="single"/>
          <w:lang w:val="en-US" w:eastAsia="zh-CN"/>
        </w:rPr>
        <w:t>立方米</w:t>
      </w:r>
      <w:r>
        <w:rPr>
          <w:rFonts w:hint="eastAsia" w:ascii="宋体" w:hAnsi="宋体" w:cs="宋体"/>
          <w:color w:val="auto"/>
          <w:kern w:val="0"/>
          <w:sz w:val="24"/>
          <w:szCs w:val="24"/>
          <w:highlight w:val="none"/>
          <w:u w:val="single"/>
        </w:rPr>
        <w:t>/天。</w:t>
      </w:r>
    </w:p>
    <w:p>
      <w:pPr>
        <w:keepLines w:val="0"/>
        <w:pageBreakBefore w:val="0"/>
        <w:numPr>
          <w:ilvl w:val="0"/>
          <w:numId w:val="11"/>
        </w:numPr>
        <w:kinsoku/>
        <w:wordWrap/>
        <w:overflowPunct/>
        <w:topLinePunct w:val="0"/>
        <w:bidi w:val="0"/>
        <w:spacing w:line="360" w:lineRule="auto"/>
        <w:ind w:left="0" w:leftChars="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运营内容：生活垃圾填埋场渗滤液处理设施运营管理。</w:t>
      </w:r>
    </w:p>
    <w:p>
      <w:pPr>
        <w:keepLines w:val="0"/>
        <w:pageBreakBefore w:val="0"/>
        <w:numPr>
          <w:ilvl w:val="0"/>
          <w:numId w:val="11"/>
        </w:numPr>
        <w:kinsoku/>
        <w:wordWrap/>
        <w:overflowPunct/>
        <w:topLinePunct w:val="0"/>
        <w:bidi w:val="0"/>
        <w:spacing w:line="360" w:lineRule="auto"/>
        <w:ind w:left="0" w:leftChars="0" w:right="0" w:firstLine="480" w:firstLineChars="200"/>
        <w:textAlignment w:val="auto"/>
        <w:rPr>
          <w:rFonts w:ascii="宋体" w:hAnsi="宋体"/>
          <w:color w:val="auto"/>
          <w:sz w:val="24"/>
          <w:szCs w:val="24"/>
          <w:highlight w:val="none"/>
        </w:rPr>
      </w:pPr>
      <w:r>
        <w:rPr>
          <w:rFonts w:hint="eastAsia" w:ascii="宋体" w:hAnsi="宋体" w:cs="宋体"/>
          <w:color w:val="auto"/>
          <w:kern w:val="0"/>
          <w:sz w:val="24"/>
          <w:szCs w:val="24"/>
          <w:highlight w:val="none"/>
        </w:rPr>
        <w:t>运营地点：三门县下湾镇</w:t>
      </w:r>
      <w:r>
        <w:rPr>
          <w:rFonts w:hint="eastAsia"/>
          <w:color w:val="auto"/>
          <w:sz w:val="24"/>
          <w:szCs w:val="24"/>
          <w:highlight w:val="none"/>
        </w:rPr>
        <w:t>。</w:t>
      </w:r>
    </w:p>
    <w:bookmarkEnd w:id="10"/>
    <w:p>
      <w:pPr>
        <w:keepLines w:val="0"/>
        <w:pageBreakBefore w:val="0"/>
        <w:numPr>
          <w:ilvl w:val="0"/>
          <w:numId w:val="11"/>
        </w:numPr>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运营接收设备：</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b w:val="0"/>
          <w:bCs w:val="0"/>
          <w:color w:val="auto"/>
          <w:sz w:val="24"/>
          <w:szCs w:val="24"/>
          <w:highlight w:val="none"/>
        </w:rPr>
      </w:pPr>
      <w:r>
        <w:rPr>
          <w:rFonts w:hint="eastAsia"/>
          <w:b w:val="0"/>
          <w:bCs w:val="0"/>
          <w:color w:val="auto"/>
          <w:sz w:val="24"/>
          <w:szCs w:val="24"/>
          <w:highlight w:val="none"/>
        </w:rPr>
        <w:t>项目设施的建筑物、构筑物及</w:t>
      </w:r>
      <w:r>
        <w:rPr>
          <w:rFonts w:hint="eastAsia"/>
          <w:b w:val="0"/>
          <w:bCs w:val="0"/>
          <w:color w:val="auto"/>
          <w:sz w:val="24"/>
          <w:szCs w:val="24"/>
          <w:highlight w:val="none"/>
          <w:lang w:val="en-US" w:eastAsia="zh-CN"/>
        </w:rPr>
        <w:t>垃圾渗滤液</w:t>
      </w:r>
      <w:r>
        <w:rPr>
          <w:rFonts w:hint="eastAsia"/>
          <w:b w:val="0"/>
          <w:bCs w:val="0"/>
          <w:color w:val="auto"/>
          <w:sz w:val="24"/>
          <w:szCs w:val="24"/>
          <w:highlight w:val="none"/>
        </w:rPr>
        <w:t>处理厂场地；</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b w:val="0"/>
          <w:bCs w:val="0"/>
          <w:color w:val="auto"/>
          <w:sz w:val="24"/>
          <w:szCs w:val="24"/>
          <w:highlight w:val="none"/>
        </w:rPr>
      </w:pPr>
      <w:r>
        <w:rPr>
          <w:rFonts w:hint="eastAsia"/>
          <w:b w:val="0"/>
          <w:bCs w:val="0"/>
          <w:color w:val="auto"/>
          <w:sz w:val="24"/>
          <w:szCs w:val="24"/>
          <w:highlight w:val="none"/>
        </w:rPr>
        <w:t>与项目设施相关的所有设备、机器、装置、零部件、备品备件、化学品以及其他动产；</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b w:val="0"/>
          <w:bCs w:val="0"/>
          <w:color w:val="auto"/>
          <w:sz w:val="24"/>
          <w:szCs w:val="24"/>
          <w:highlight w:val="none"/>
        </w:rPr>
      </w:pPr>
      <w:r>
        <w:rPr>
          <w:rFonts w:hint="eastAsia"/>
          <w:b w:val="0"/>
          <w:bCs w:val="0"/>
          <w:color w:val="auto"/>
          <w:sz w:val="24"/>
          <w:szCs w:val="24"/>
          <w:highlight w:val="none"/>
        </w:rPr>
        <w:t>与项目设施有关的所有的手册、图纸、文件和资料；</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color w:val="auto"/>
          <w:sz w:val="24"/>
          <w:szCs w:val="24"/>
          <w:highlight w:val="none"/>
        </w:rPr>
      </w:pPr>
      <w:r>
        <w:rPr>
          <w:rFonts w:hint="eastAsia"/>
          <w:b w:val="0"/>
          <w:bCs w:val="0"/>
          <w:color w:val="auto"/>
          <w:sz w:val="24"/>
          <w:szCs w:val="24"/>
          <w:highlight w:val="none"/>
          <w:lang w:eastAsia="zh-CN"/>
        </w:rPr>
        <w:t>中标人</w:t>
      </w:r>
      <w:r>
        <w:rPr>
          <w:rFonts w:hint="eastAsia"/>
          <w:b w:val="0"/>
          <w:bCs w:val="0"/>
          <w:color w:val="auto"/>
          <w:sz w:val="24"/>
          <w:szCs w:val="24"/>
          <w:highlight w:val="none"/>
        </w:rPr>
        <w:t>合理要求的其它物品与资料；</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出水水质</w:t>
      </w:r>
    </w:p>
    <w:p>
      <w:pPr>
        <w:keepLines w:val="0"/>
        <w:pageBreakBefore w:val="0"/>
        <w:kinsoku/>
        <w:wordWrap/>
        <w:overflowPunct/>
        <w:topLinePunct w:val="0"/>
        <w:bidi w:val="0"/>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▲废水处理后达到GB16889-2008《生活垃圾填埋污染控制标准》的表2标准排放，主要污染物控制指标为</w:t>
      </w:r>
    </w:p>
    <w:tbl>
      <w:tblPr>
        <w:tblStyle w:val="25"/>
        <w:tblW w:w="9547"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05"/>
        <w:gridCol w:w="1536"/>
        <w:gridCol w:w="1812"/>
        <w:gridCol w:w="1554"/>
        <w:gridCol w:w="1440"/>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olor w:val="auto"/>
                <w:sz w:val="24"/>
                <w:szCs w:val="24"/>
                <w:highlight w:val="none"/>
              </w:rPr>
              <w:t>项目</w:t>
            </w:r>
          </w:p>
        </w:tc>
        <w:tc>
          <w:tcPr>
            <w:tcW w:w="180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olor w:val="auto"/>
                <w:sz w:val="24"/>
                <w:szCs w:val="24"/>
                <w:highlight w:val="none"/>
              </w:rPr>
              <w:t>化学需氧量</w:t>
            </w:r>
          </w:p>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olor w:val="auto"/>
                <w:sz w:val="24"/>
                <w:szCs w:val="24"/>
                <w:highlight w:val="none"/>
              </w:rPr>
              <w:t>（CODcr）（mg/L）</w:t>
            </w:r>
          </w:p>
        </w:tc>
        <w:tc>
          <w:tcPr>
            <w:tcW w:w="153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生化需氧量</w:t>
            </w:r>
          </w:p>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(BOD5)(mg/L)</w:t>
            </w:r>
          </w:p>
        </w:tc>
        <w:tc>
          <w:tcPr>
            <w:tcW w:w="18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氨氮</w:t>
            </w:r>
          </w:p>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（NH3-N）(mg/l)</w:t>
            </w:r>
          </w:p>
        </w:tc>
        <w:tc>
          <w:tcPr>
            <w:tcW w:w="155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总氮   </w:t>
            </w:r>
          </w:p>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（TN）(mg/l)</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悬浮物</w:t>
            </w:r>
          </w:p>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（SS）(mg/l)</w:t>
            </w:r>
          </w:p>
        </w:tc>
        <w:tc>
          <w:tcPr>
            <w:tcW w:w="6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olor w:val="auto"/>
                <w:sz w:val="24"/>
                <w:szCs w:val="24"/>
                <w:highlight w:val="none"/>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olor w:val="auto"/>
                <w:sz w:val="24"/>
                <w:szCs w:val="24"/>
                <w:highlight w:val="none"/>
              </w:rPr>
              <w:t>出水</w:t>
            </w:r>
          </w:p>
        </w:tc>
        <w:tc>
          <w:tcPr>
            <w:tcW w:w="180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≤100</w:t>
            </w:r>
          </w:p>
        </w:tc>
        <w:tc>
          <w:tcPr>
            <w:tcW w:w="153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≤30</w:t>
            </w:r>
          </w:p>
        </w:tc>
        <w:tc>
          <w:tcPr>
            <w:tcW w:w="18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≤25</w:t>
            </w:r>
          </w:p>
        </w:tc>
        <w:tc>
          <w:tcPr>
            <w:tcW w:w="155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≤40</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≤30</w:t>
            </w:r>
          </w:p>
        </w:tc>
        <w:tc>
          <w:tcPr>
            <w:tcW w:w="6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6~9</w:t>
            </w:r>
          </w:p>
        </w:tc>
      </w:tr>
    </w:tbl>
    <w:p>
      <w:pPr>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w:t>
      </w:r>
      <w:r>
        <w:rPr>
          <w:rFonts w:hint="eastAsia" w:ascii="宋体" w:hAnsi="宋体" w:cs="宋体"/>
          <w:b/>
          <w:bCs/>
          <w:color w:val="auto"/>
          <w:kern w:val="0"/>
          <w:sz w:val="24"/>
          <w:szCs w:val="24"/>
          <w:highlight w:val="none"/>
        </w:rPr>
        <w:t>渗滤液处理达标后排入城市排水管道最终进入三门县城市污水处理厂</w:t>
      </w:r>
      <w:r>
        <w:rPr>
          <w:rFonts w:hint="eastAsia" w:ascii="宋体" w:hAnsi="宋体" w:cs="宋体"/>
          <w:color w:val="auto"/>
          <w:kern w:val="0"/>
          <w:sz w:val="24"/>
          <w:szCs w:val="24"/>
          <w:highlight w:val="none"/>
        </w:rPr>
        <w:t>。</w:t>
      </w:r>
    </w:p>
    <w:p>
      <w:pPr>
        <w:keepLines w:val="0"/>
        <w:pageBreakBefore w:val="0"/>
        <w:kinsoku/>
        <w:wordWrap/>
        <w:overflowPunct/>
        <w:topLinePunct w:val="0"/>
        <w:bidi w:val="0"/>
        <w:spacing w:line="360" w:lineRule="auto"/>
        <w:ind w:left="0" w:right="0" w:firstLine="480" w:firstLineChars="200"/>
        <w:textAlignment w:val="auto"/>
        <w:rPr>
          <w:rFonts w:hint="eastAsia" w:ascii="宋体" w:hAnsi="宋体" w:cs="宋体"/>
          <w:b/>
          <w:bCs/>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b/>
          <w:bCs/>
          <w:color w:val="auto"/>
          <w:kern w:val="0"/>
          <w:sz w:val="24"/>
          <w:szCs w:val="24"/>
          <w:highlight w:val="none"/>
        </w:rPr>
        <w:t>中标人需与三门县城市污水处理厂运营单位商定纳管条件并签署纳管协议，确保三门县城市污水厂的稳定运行。</w:t>
      </w:r>
    </w:p>
    <w:p>
      <w:pPr>
        <w:pStyle w:val="24"/>
        <w:rPr>
          <w:rFonts w:hint="eastAsia"/>
          <w:color w:val="auto"/>
          <w:highlight w:val="none"/>
        </w:rPr>
      </w:pPr>
      <w:r>
        <w:rPr>
          <w:rFonts w:hint="eastAsia"/>
          <w:color w:val="auto"/>
          <w:highlight w:val="none"/>
          <w:lang w:val="en-US" w:eastAsia="zh-CN"/>
        </w:rPr>
        <w:t>▲</w:t>
      </w:r>
      <w:r>
        <w:rPr>
          <w:rFonts w:hint="eastAsia"/>
          <w:b/>
          <w:bCs/>
          <w:color w:val="auto"/>
          <w:sz w:val="24"/>
          <w:highlight w:val="none"/>
          <w:lang w:val="en-US" w:eastAsia="zh-CN"/>
        </w:rPr>
        <w:t>本项目产生的污泥经初步脱水至含水率≤80%后，运至三门城市污水处理厂进行深度脱水至含水率≤60%，然后按合规要求进行污泥外运焚烧处置。中标人需与三门县城市污水处理厂签订污泥处置协议，承担污泥深度脱水及焚烧处置及运输费用。</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运营费用计算方法</w:t>
      </w:r>
    </w:p>
    <w:p>
      <w:pPr>
        <w:keepLines w:val="0"/>
        <w:pageBreakBefore w:val="0"/>
        <w:numPr>
          <w:ilvl w:val="0"/>
          <w:numId w:val="13"/>
        </w:numPr>
        <w:kinsoku/>
        <w:wordWrap/>
        <w:overflowPunct/>
        <w:topLinePunct w:val="0"/>
        <w:bidi w:val="0"/>
        <w:spacing w:line="360" w:lineRule="auto"/>
        <w:ind w:left="0" w:leftChars="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渗滤液处理量计算方法</w:t>
      </w:r>
    </w:p>
    <w:p>
      <w:pPr>
        <w:keepLines w:val="0"/>
        <w:pageBreakBefore w:val="0"/>
        <w:kinsoku/>
        <w:wordWrap/>
        <w:overflowPunct/>
        <w:topLinePunct w:val="0"/>
        <w:bidi w:val="0"/>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按照进入处理系统的渗滤液计量表计算渗滤液处理量。</w:t>
      </w:r>
    </w:p>
    <w:p>
      <w:pPr>
        <w:keepLines w:val="0"/>
        <w:pageBreakBefore w:val="0"/>
        <w:numPr>
          <w:ilvl w:val="0"/>
          <w:numId w:val="13"/>
        </w:numPr>
        <w:kinsoku/>
        <w:wordWrap/>
        <w:overflowPunct/>
        <w:topLinePunct w:val="0"/>
        <w:bidi w:val="0"/>
        <w:spacing w:line="360" w:lineRule="auto"/>
        <w:ind w:left="0" w:leftChars="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运营管理费价格</w:t>
      </w:r>
    </w:p>
    <w:p>
      <w:pPr>
        <w:keepNext w:val="0"/>
        <w:keepLines w:val="0"/>
        <w:pageBreakBefore w:val="0"/>
        <w:widowControl w:val="0"/>
        <w:numPr>
          <w:ilvl w:val="0"/>
          <w:numId w:val="0"/>
        </w:numPr>
        <w:tabs>
          <w:tab w:val="left" w:pos="0"/>
          <w:tab w:val="left" w:pos="8280"/>
        </w:tabs>
        <w:kinsoku/>
        <w:wordWrap/>
        <w:overflowPunct/>
        <w:topLinePunct w:val="0"/>
        <w:autoSpaceDE w:val="0"/>
        <w:autoSpaceDN w:val="0"/>
        <w:bidi w:val="0"/>
        <w:adjustRightInd w:val="0"/>
        <w:snapToGrid/>
        <w:spacing w:line="360" w:lineRule="auto"/>
        <w:ind w:leftChars="0" w:right="0" w:rightChars="0" w:firstLine="482" w:firstLineChars="200"/>
        <w:textAlignment w:val="auto"/>
        <w:rPr>
          <w:rFonts w:hint="eastAsia"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u w:val="single"/>
        </w:rPr>
        <w:t>1.运营费用每吨单价=投标总报价/基本水量/365（天）；</w:t>
      </w:r>
    </w:p>
    <w:p>
      <w:pPr>
        <w:keepNext w:val="0"/>
        <w:keepLines w:val="0"/>
        <w:pageBreakBefore w:val="0"/>
        <w:widowControl w:val="0"/>
        <w:numPr>
          <w:ilvl w:val="0"/>
          <w:numId w:val="0"/>
        </w:numPr>
        <w:tabs>
          <w:tab w:val="left" w:pos="0"/>
          <w:tab w:val="left" w:pos="8280"/>
        </w:tabs>
        <w:kinsoku/>
        <w:wordWrap/>
        <w:overflowPunct/>
        <w:topLinePunct w:val="0"/>
        <w:autoSpaceDE w:val="0"/>
        <w:autoSpaceDN w:val="0"/>
        <w:bidi w:val="0"/>
        <w:adjustRightInd w:val="0"/>
        <w:snapToGrid/>
        <w:spacing w:line="360" w:lineRule="auto"/>
        <w:ind w:leftChars="0" w:right="0" w:rightChars="0" w:firstLine="482" w:firstLineChars="200"/>
        <w:textAlignment w:val="auto"/>
        <w:rPr>
          <w:rFonts w:hint="eastAsia"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u w:val="single"/>
        </w:rPr>
        <w:t>2.渗滤液处理站运营费用=实际渗滤液处理量（不到基本水量的按基本水量计）*运营费用每吨单价（由1计算所得）；</w:t>
      </w:r>
    </w:p>
    <w:p>
      <w:pPr>
        <w:keepNext w:val="0"/>
        <w:keepLines w:val="0"/>
        <w:pageBreakBefore w:val="0"/>
        <w:widowControl w:val="0"/>
        <w:numPr>
          <w:ilvl w:val="0"/>
          <w:numId w:val="0"/>
        </w:numPr>
        <w:tabs>
          <w:tab w:val="left" w:pos="0"/>
          <w:tab w:val="left" w:pos="8280"/>
        </w:tabs>
        <w:kinsoku/>
        <w:wordWrap/>
        <w:overflowPunct/>
        <w:topLinePunct w:val="0"/>
        <w:autoSpaceDE w:val="0"/>
        <w:autoSpaceDN w:val="0"/>
        <w:bidi w:val="0"/>
        <w:adjustRightInd w:val="0"/>
        <w:snapToGrid/>
        <w:spacing w:line="360" w:lineRule="auto"/>
        <w:ind w:leftChars="0" w:right="0" w:rightChars="0" w:firstLine="482" w:firstLineChars="200"/>
        <w:textAlignment w:val="auto"/>
        <w:rPr>
          <w:rFonts w:hint="eastAsia"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u w:val="single"/>
        </w:rPr>
        <w:t>3.基本水量为210立方米/日；</w:t>
      </w:r>
    </w:p>
    <w:p>
      <w:pPr>
        <w:keepNext w:val="0"/>
        <w:keepLines w:val="0"/>
        <w:pageBreakBefore w:val="0"/>
        <w:widowControl w:val="0"/>
        <w:numPr>
          <w:ilvl w:val="0"/>
          <w:numId w:val="0"/>
        </w:numPr>
        <w:tabs>
          <w:tab w:val="left" w:pos="0"/>
          <w:tab w:val="left" w:pos="8280"/>
        </w:tabs>
        <w:kinsoku/>
        <w:wordWrap/>
        <w:overflowPunct/>
        <w:topLinePunct w:val="0"/>
        <w:autoSpaceDE w:val="0"/>
        <w:autoSpaceDN w:val="0"/>
        <w:bidi w:val="0"/>
        <w:adjustRightInd w:val="0"/>
        <w:snapToGrid/>
        <w:spacing w:line="360" w:lineRule="auto"/>
        <w:ind w:leftChars="0" w:right="0" w:rightChars="0" w:firstLine="482" w:firstLineChars="200"/>
        <w:textAlignment w:val="auto"/>
        <w:rPr>
          <w:rFonts w:hint="eastAsia" w:asciiTheme="minorEastAsia" w:hAnsiTheme="minorEastAsia" w:eastAsiaTheme="minorEastAsia"/>
          <w:b/>
          <w:bCs/>
          <w:color w:val="auto"/>
          <w:sz w:val="24"/>
          <w:szCs w:val="24"/>
          <w:highlight w:val="none"/>
        </w:rPr>
      </w:pPr>
      <w:r>
        <w:rPr>
          <w:rFonts w:hint="eastAsia" w:ascii="宋体" w:hAnsi="宋体" w:cs="宋体"/>
          <w:b/>
          <w:bCs/>
          <w:color w:val="auto"/>
          <w:kern w:val="0"/>
          <w:sz w:val="24"/>
          <w:szCs w:val="24"/>
          <w:highlight w:val="none"/>
          <w:u w:val="single"/>
        </w:rPr>
        <w:t>4.每年的总付费不得超过投标总报价金额。</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说明</w:t>
      </w:r>
    </w:p>
    <w:p>
      <w:pPr>
        <w:keepLines w:val="0"/>
        <w:pageBreakBefore w:val="0"/>
        <w:kinsoku/>
        <w:wordWrap/>
        <w:overflowPunct/>
        <w:topLinePunct w:val="0"/>
        <w:bidi w:val="0"/>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本章中的“甲方”指本项目的招标方为三门县环境卫生服务中心，“乙方”指向甲方提供渗滤液运营管理服务的投标人。</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运营责任</w:t>
      </w:r>
    </w:p>
    <w:p>
      <w:pPr>
        <w:keepLines w:val="0"/>
        <w:pageBreakBefore w:val="0"/>
        <w:numPr>
          <w:ilvl w:val="0"/>
          <w:numId w:val="14"/>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因乙方的原因导致垃圾渗滤液处理站不能正常运行、出水水质不达标以及违反本协议约定的条款，甲方有权停止支付运营费用并解除本协议，由此带来的损失由乙方承担。</w:t>
      </w:r>
    </w:p>
    <w:p>
      <w:pPr>
        <w:keepLines w:val="0"/>
        <w:pageBreakBefore w:val="0"/>
        <w:numPr>
          <w:ilvl w:val="0"/>
          <w:numId w:val="14"/>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在运行期间造成的安全生产事故，一切责任由乙方自己承担。</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乙方的权利与义务</w:t>
      </w:r>
    </w:p>
    <w:p>
      <w:pPr>
        <w:keepLines w:val="0"/>
        <w:pageBreakBefore w:val="0"/>
        <w:numPr>
          <w:ilvl w:val="0"/>
          <w:numId w:val="15"/>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w:t>
      </w:r>
      <w:r>
        <w:rPr>
          <w:rFonts w:hint="eastAsia" w:ascii="Symbol" w:hAnsi="Symbol" w:cs="宋体"/>
          <w:color w:val="auto"/>
          <w:kern w:val="0"/>
          <w:sz w:val="24"/>
          <w:szCs w:val="24"/>
          <w:highlight w:val="none"/>
        </w:rPr>
        <w:t>在委托运营期内，乙方应始终按照常规运营惯例、检验与维护手册以及项目设施的设备制造商提供的资料维护、保养项目设施，并尽量减少对项目设施运营产生不利影响，以保证项目设施处于良好的运行状态；排放的水质符合GB16889-2008《生活垃圾填控制标准》的表2排放标准。</w:t>
      </w:r>
    </w:p>
    <w:p>
      <w:pPr>
        <w:keepLines w:val="0"/>
        <w:pageBreakBefore w:val="0"/>
        <w:numPr>
          <w:ilvl w:val="0"/>
          <w:numId w:val="15"/>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乙方在每月日向甲方出具一份上月份水质检测记录台帐（自检记录）。</w:t>
      </w:r>
    </w:p>
    <w:p>
      <w:pPr>
        <w:keepLines w:val="0"/>
        <w:pageBreakBefore w:val="0"/>
        <w:numPr>
          <w:ilvl w:val="0"/>
          <w:numId w:val="15"/>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乙方应如实填报运行登记表和每天实验室的检测数据的规范台帐，接受甲方及职能部门监督检查，对甲方或职能管理部门人员进厂提出的问题，乙方如实讲解和回答，不得虚报实情。</w:t>
      </w:r>
    </w:p>
    <w:p>
      <w:pPr>
        <w:keepLines w:val="0"/>
        <w:pageBreakBefore w:val="0"/>
        <w:numPr>
          <w:ilvl w:val="0"/>
          <w:numId w:val="15"/>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乙方应向甲方提供《渗滤液处理操作规程》，相关的科室制度应上墙，做好安全生产，并做好车间及生活区的卫生。</w:t>
      </w:r>
    </w:p>
    <w:p>
      <w:pPr>
        <w:keepLines w:val="0"/>
        <w:pageBreakBefore w:val="0"/>
        <w:numPr>
          <w:ilvl w:val="0"/>
          <w:numId w:val="15"/>
        </w:numPr>
        <w:kinsoku/>
        <w:wordWrap/>
        <w:overflowPunct/>
        <w:topLinePunct w:val="0"/>
        <w:bidi w:val="0"/>
        <w:spacing w:line="360" w:lineRule="auto"/>
        <w:ind w:left="0" w:leftChars="0" w:right="0" w:firstLine="480" w:firstLineChars="200"/>
        <w:textAlignment w:val="auto"/>
        <w:rPr>
          <w:rFonts w:hint="eastAsia" w:ascii="Symbol" w:hAnsi="Symbol" w:eastAsia="宋体" w:cs="宋体"/>
          <w:color w:val="auto"/>
          <w:kern w:val="0"/>
          <w:sz w:val="24"/>
          <w:szCs w:val="24"/>
          <w:highlight w:val="none"/>
        </w:rPr>
      </w:pPr>
      <w:r>
        <w:rPr>
          <w:rFonts w:hint="eastAsia" w:ascii="Symbol" w:hAnsi="Symbol" w:eastAsia="宋体" w:cs="宋体"/>
          <w:color w:val="auto"/>
          <w:kern w:val="0"/>
          <w:sz w:val="24"/>
          <w:szCs w:val="24"/>
          <w:highlight w:val="none"/>
        </w:rPr>
        <w:t>乙方负责将污泥脱水处理后运输至甲方指定的污泥处置地点进行处置，并承担运输及处置费用。</w:t>
      </w:r>
    </w:p>
    <w:p>
      <w:pPr>
        <w:keepLines w:val="0"/>
        <w:pageBreakBefore w:val="0"/>
        <w:numPr>
          <w:ilvl w:val="0"/>
          <w:numId w:val="15"/>
        </w:numPr>
        <w:kinsoku/>
        <w:wordWrap/>
        <w:overflowPunct/>
        <w:topLinePunct w:val="0"/>
        <w:bidi w:val="0"/>
        <w:spacing w:line="360" w:lineRule="auto"/>
        <w:ind w:left="0" w:leftChars="0" w:right="0" w:firstLine="480" w:firstLineChars="200"/>
        <w:textAlignment w:val="auto"/>
        <w:rPr>
          <w:rFonts w:ascii="Symbol" w:hAnsi="Symbol" w:eastAsia="宋体" w:cs="宋体"/>
          <w:color w:val="auto"/>
          <w:kern w:val="0"/>
          <w:sz w:val="24"/>
          <w:szCs w:val="24"/>
          <w:highlight w:val="none"/>
        </w:rPr>
      </w:pPr>
      <w:r>
        <w:rPr>
          <w:rFonts w:ascii="Symbol" w:hAnsi="Symbol" w:eastAsia="宋体" w:cs="宋体"/>
          <w:color w:val="auto"/>
          <w:kern w:val="0"/>
          <w:sz w:val="24"/>
          <w:szCs w:val="24"/>
          <w:highlight w:val="none"/>
        </w:rPr>
        <w:t>在</w:t>
      </w:r>
      <w:r>
        <w:rPr>
          <w:rFonts w:hint="eastAsia" w:ascii="Symbol" w:hAnsi="Symbol" w:eastAsia="宋体" w:cs="宋体"/>
          <w:color w:val="auto"/>
          <w:kern w:val="0"/>
          <w:sz w:val="24"/>
          <w:szCs w:val="24"/>
          <w:highlight w:val="none"/>
        </w:rPr>
        <w:t>委托</w:t>
      </w:r>
      <w:r>
        <w:rPr>
          <w:rFonts w:ascii="Symbol" w:hAnsi="Symbol" w:eastAsia="宋体" w:cs="宋体"/>
          <w:color w:val="auto"/>
          <w:kern w:val="0"/>
          <w:sz w:val="24"/>
          <w:szCs w:val="24"/>
          <w:highlight w:val="none"/>
        </w:rPr>
        <w:t>运营期内，乙方应合理安排检修、维护，保证垃圾渗滤液处理站正常运行，</w:t>
      </w:r>
      <w:r>
        <w:rPr>
          <w:rFonts w:hint="eastAsia" w:ascii="Symbol" w:hAnsi="Symbol" w:eastAsia="宋体" w:cs="宋体"/>
          <w:color w:val="auto"/>
          <w:kern w:val="0"/>
          <w:sz w:val="24"/>
          <w:szCs w:val="24"/>
          <w:highlight w:val="none"/>
        </w:rPr>
        <w:t>并承担</w:t>
      </w:r>
      <w:r>
        <w:rPr>
          <w:rFonts w:ascii="Symbol" w:hAnsi="Symbol" w:eastAsia="宋体" w:cs="宋体"/>
          <w:color w:val="auto"/>
          <w:kern w:val="0"/>
          <w:sz w:val="24"/>
          <w:szCs w:val="24"/>
          <w:highlight w:val="none"/>
        </w:rPr>
        <w:t>设备设施的</w:t>
      </w:r>
      <w:r>
        <w:rPr>
          <w:rFonts w:hint="eastAsia" w:ascii="Symbol" w:hAnsi="Symbol" w:eastAsia="宋体" w:cs="宋体"/>
          <w:color w:val="auto"/>
          <w:kern w:val="0"/>
          <w:sz w:val="24"/>
          <w:szCs w:val="24"/>
          <w:highlight w:val="none"/>
        </w:rPr>
        <w:t>日常维修维护费用，</w:t>
      </w:r>
      <w:r>
        <w:rPr>
          <w:rFonts w:hint="eastAsia" w:ascii="Symbol" w:hAnsi="Symbol" w:eastAsia="宋体" w:cs="宋体"/>
          <w:b/>
          <w:bCs/>
          <w:color w:val="auto"/>
          <w:kern w:val="0"/>
          <w:sz w:val="24"/>
          <w:szCs w:val="24"/>
          <w:highlight w:val="none"/>
        </w:rPr>
        <w:t>单项金额在</w:t>
      </w:r>
      <w:r>
        <w:rPr>
          <w:rFonts w:ascii="Symbol" w:hAnsi="Symbol" w:eastAsia="宋体" w:cs="宋体"/>
          <w:b/>
          <w:bCs/>
          <w:color w:val="auto"/>
          <w:kern w:val="0"/>
          <w:sz w:val="24"/>
          <w:szCs w:val="24"/>
          <w:highlight w:val="none"/>
        </w:rPr>
        <w:t>5000</w:t>
      </w:r>
      <w:r>
        <w:rPr>
          <w:rFonts w:hint="eastAsia" w:ascii="Symbol" w:hAnsi="Symbol" w:eastAsia="宋体" w:cs="宋体"/>
          <w:b/>
          <w:bCs/>
          <w:color w:val="auto"/>
          <w:kern w:val="0"/>
          <w:sz w:val="24"/>
          <w:szCs w:val="24"/>
          <w:highlight w:val="none"/>
        </w:rPr>
        <w:t>元以下</w:t>
      </w:r>
      <w:r>
        <w:rPr>
          <w:rFonts w:hint="eastAsia" w:ascii="Symbol" w:hAnsi="Symbol" w:eastAsia="宋体" w:cs="宋体"/>
          <w:color w:val="auto"/>
          <w:kern w:val="0"/>
          <w:sz w:val="24"/>
          <w:szCs w:val="24"/>
          <w:highlight w:val="none"/>
        </w:rPr>
        <w:t>的设施设备维修费用由乙方承担。</w:t>
      </w:r>
    </w:p>
    <w:p>
      <w:pPr>
        <w:keepLines w:val="0"/>
        <w:pageBreakBefore w:val="0"/>
        <w:numPr>
          <w:ilvl w:val="0"/>
          <w:numId w:val="15"/>
        </w:numPr>
        <w:kinsoku/>
        <w:wordWrap/>
        <w:overflowPunct/>
        <w:topLinePunct w:val="0"/>
        <w:bidi w:val="0"/>
        <w:spacing w:line="360" w:lineRule="auto"/>
        <w:ind w:left="0" w:leftChars="0" w:right="0" w:firstLine="480" w:firstLineChars="200"/>
        <w:textAlignment w:val="auto"/>
        <w:rPr>
          <w:rFonts w:ascii="Symbol" w:hAnsi="Symbol" w:eastAsia="宋体" w:cs="宋体"/>
          <w:color w:val="auto"/>
          <w:kern w:val="0"/>
          <w:sz w:val="24"/>
          <w:szCs w:val="24"/>
          <w:highlight w:val="none"/>
        </w:rPr>
      </w:pPr>
      <w:r>
        <w:rPr>
          <w:rFonts w:hint="eastAsia" w:ascii="Symbol" w:hAnsi="Symbol" w:eastAsia="宋体" w:cs="宋体"/>
          <w:color w:val="auto"/>
          <w:kern w:val="0"/>
          <w:sz w:val="24"/>
          <w:szCs w:val="24"/>
          <w:highlight w:val="none"/>
        </w:rPr>
        <w:t>本项目设施设备</w:t>
      </w:r>
      <w:r>
        <w:rPr>
          <w:rFonts w:ascii="Symbol" w:hAnsi="Symbol" w:eastAsia="宋体" w:cs="宋体"/>
          <w:color w:val="auto"/>
          <w:kern w:val="0"/>
          <w:sz w:val="24"/>
          <w:szCs w:val="24"/>
          <w:highlight w:val="none"/>
        </w:rPr>
        <w:t>大修须停止运行的情况，乙方须提前一周时间书面通知甲方（如遇突发性事故而必须停止运行大修的，乙方须立即通知甲方），经甲方批准后全力展开维护、维修工作。</w:t>
      </w:r>
    </w:p>
    <w:p>
      <w:pPr>
        <w:keepLines w:val="0"/>
        <w:pageBreakBefore w:val="0"/>
        <w:numPr>
          <w:ilvl w:val="0"/>
          <w:numId w:val="15"/>
        </w:numPr>
        <w:kinsoku/>
        <w:wordWrap/>
        <w:overflowPunct/>
        <w:topLinePunct w:val="0"/>
        <w:bidi w:val="0"/>
        <w:spacing w:line="360" w:lineRule="auto"/>
        <w:ind w:left="0" w:leftChars="0" w:right="0" w:firstLine="480" w:firstLineChars="200"/>
        <w:textAlignment w:val="auto"/>
        <w:rPr>
          <w:rFonts w:ascii="Symbol" w:hAnsi="Symbol" w:eastAsia="宋体" w:cs="宋体"/>
          <w:color w:val="auto"/>
          <w:kern w:val="0"/>
          <w:sz w:val="24"/>
          <w:szCs w:val="24"/>
          <w:highlight w:val="none"/>
        </w:rPr>
      </w:pPr>
      <w:r>
        <w:rPr>
          <w:rFonts w:ascii="Symbol" w:hAnsi="Symbol" w:eastAsia="宋体" w:cs="宋体"/>
          <w:color w:val="auto"/>
          <w:kern w:val="0"/>
          <w:sz w:val="24"/>
          <w:szCs w:val="24"/>
          <w:highlight w:val="none"/>
        </w:rPr>
        <w:t>当出现出水水质不能达标时，乙方应启动应急预案（具体预案要报备），并采取适当的限制措施。</w:t>
      </w:r>
    </w:p>
    <w:p>
      <w:pPr>
        <w:keepLines w:val="0"/>
        <w:pageBreakBefore w:val="0"/>
        <w:numPr>
          <w:ilvl w:val="0"/>
          <w:numId w:val="15"/>
        </w:numPr>
        <w:kinsoku/>
        <w:wordWrap/>
        <w:overflowPunct/>
        <w:topLinePunct w:val="0"/>
        <w:bidi w:val="0"/>
        <w:spacing w:line="360" w:lineRule="auto"/>
        <w:ind w:left="0" w:leftChars="0" w:right="0" w:firstLine="480" w:firstLineChars="200"/>
        <w:textAlignment w:val="auto"/>
        <w:rPr>
          <w:color w:val="auto"/>
          <w:highlight w:val="none"/>
        </w:rPr>
      </w:pPr>
      <w:r>
        <w:rPr>
          <w:rFonts w:ascii="Symbol" w:hAnsi="Symbol" w:eastAsia="宋体" w:cs="宋体"/>
          <w:color w:val="auto"/>
          <w:kern w:val="0"/>
          <w:sz w:val="24"/>
          <w:szCs w:val="24"/>
          <w:highlight w:val="none"/>
        </w:rPr>
        <w:t>当电力供应出现异常时，乙方检查后应立即报告甲方，同时采取适当的限制措施。</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甲方的权利与义务</w:t>
      </w:r>
    </w:p>
    <w:p>
      <w:pPr>
        <w:keepLines w:val="0"/>
        <w:pageBreakBefore w:val="0"/>
        <w:numPr>
          <w:ilvl w:val="0"/>
          <w:numId w:val="16"/>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甲方协助垃圾渗滤液处理站运营与当地相关行政部门、事业单位等的协调工作。</w:t>
      </w:r>
    </w:p>
    <w:p>
      <w:pPr>
        <w:keepLines w:val="0"/>
        <w:pageBreakBefore w:val="0"/>
        <w:numPr>
          <w:ilvl w:val="0"/>
          <w:numId w:val="16"/>
        </w:numPr>
        <w:kinsoku/>
        <w:wordWrap/>
        <w:overflowPunct/>
        <w:topLinePunct w:val="0"/>
        <w:bidi w:val="0"/>
        <w:spacing w:line="360" w:lineRule="auto"/>
        <w:ind w:left="0" w:leftChars="0" w:right="0" w:firstLine="480" w:firstLineChars="200"/>
        <w:textAlignment w:val="auto"/>
        <w:rPr>
          <w:rFonts w:hint="eastAsia" w:ascii="Symbol" w:hAnsi="Symbol" w:eastAsia="宋体" w:cs="宋体"/>
          <w:color w:val="auto"/>
          <w:kern w:val="0"/>
          <w:sz w:val="24"/>
          <w:szCs w:val="24"/>
          <w:highlight w:val="none"/>
        </w:rPr>
      </w:pPr>
      <w:r>
        <w:rPr>
          <w:rFonts w:ascii="Symbol" w:hAnsi="Symbol" w:eastAsia="宋体" w:cs="宋体"/>
          <w:color w:val="auto"/>
          <w:kern w:val="0"/>
          <w:sz w:val="24"/>
          <w:szCs w:val="24"/>
          <w:highlight w:val="none"/>
        </w:rPr>
        <w:t>非甲乙双方人为原因或因电路检修致供电线路中断的，甲方负责协调电力部门</w:t>
      </w:r>
      <w:r>
        <w:rPr>
          <w:rFonts w:hint="eastAsia" w:ascii="Symbol" w:hAnsi="Symbol" w:eastAsia="宋体" w:cs="宋体"/>
          <w:color w:val="auto"/>
          <w:kern w:val="0"/>
          <w:sz w:val="24"/>
          <w:szCs w:val="24"/>
          <w:highlight w:val="none"/>
        </w:rPr>
        <w:t>抢修。</w:t>
      </w:r>
    </w:p>
    <w:p>
      <w:pPr>
        <w:keepLines w:val="0"/>
        <w:pageBreakBefore w:val="0"/>
        <w:numPr>
          <w:ilvl w:val="0"/>
          <w:numId w:val="16"/>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甲方应根据招投标文件及合同的规定及时向乙方支付运营费用。</w:t>
      </w:r>
    </w:p>
    <w:p>
      <w:pPr>
        <w:keepLines w:val="0"/>
        <w:pageBreakBefore w:val="0"/>
        <w:numPr>
          <w:ilvl w:val="0"/>
          <w:numId w:val="16"/>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在运营期间若发生改造、增项等类似情况，费用由甲方承担。</w:t>
      </w:r>
    </w:p>
    <w:p>
      <w:pPr>
        <w:keepLines w:val="0"/>
        <w:pageBreakBefore w:val="0"/>
        <w:numPr>
          <w:ilvl w:val="0"/>
          <w:numId w:val="16"/>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甲方或政府职能部门有权监督项目设施的运行和维护，有权检查生产记录、设备维护和常规检测指标的运营记录。但不得干涉、延误或干扰乙方履行合同的权利和义务。</w:t>
      </w:r>
    </w:p>
    <w:p>
      <w:pPr>
        <w:keepLines w:val="0"/>
        <w:pageBreakBefore w:val="0"/>
        <w:numPr>
          <w:ilvl w:val="0"/>
          <w:numId w:val="16"/>
        </w:numPr>
        <w:kinsoku/>
        <w:wordWrap/>
        <w:overflowPunct/>
        <w:topLinePunct w:val="0"/>
        <w:bidi w:val="0"/>
        <w:spacing w:line="360" w:lineRule="auto"/>
        <w:ind w:left="0" w:leftChars="0" w:right="0" w:firstLine="480" w:firstLineChars="200"/>
        <w:textAlignment w:val="auto"/>
        <w:rPr>
          <w:rFonts w:ascii="Symbol" w:hAnsi="Symbol" w:eastAsia="宋体" w:cs="宋体"/>
          <w:color w:val="auto"/>
          <w:kern w:val="0"/>
          <w:sz w:val="24"/>
          <w:szCs w:val="24"/>
          <w:highlight w:val="none"/>
        </w:rPr>
      </w:pPr>
      <w:r>
        <w:rPr>
          <w:rFonts w:hint="eastAsia" w:ascii="Symbol" w:hAnsi="Symbol" w:eastAsia="宋体" w:cs="宋体"/>
          <w:color w:val="auto"/>
          <w:kern w:val="0"/>
          <w:sz w:val="24"/>
          <w:szCs w:val="24"/>
          <w:highlight w:val="none"/>
        </w:rPr>
        <w:t>在乙方按照常规运营惯例、检验与维护手册以及项目设施的设备制造商提供的资料完成维护、保养项目设施的前提下，</w:t>
      </w:r>
      <w:r>
        <w:rPr>
          <w:rFonts w:hint="eastAsia" w:ascii="Symbol" w:hAnsi="Symbol" w:eastAsia="宋体" w:cs="宋体"/>
          <w:b/>
          <w:bCs/>
          <w:color w:val="auto"/>
          <w:kern w:val="0"/>
          <w:sz w:val="24"/>
          <w:szCs w:val="24"/>
          <w:highlight w:val="none"/>
        </w:rPr>
        <w:t>单项金额在</w:t>
      </w:r>
      <w:r>
        <w:rPr>
          <w:rFonts w:ascii="Symbol" w:hAnsi="Symbol" w:eastAsia="宋体" w:cs="宋体"/>
          <w:b/>
          <w:bCs/>
          <w:color w:val="auto"/>
          <w:kern w:val="0"/>
          <w:sz w:val="24"/>
          <w:szCs w:val="24"/>
          <w:highlight w:val="none"/>
        </w:rPr>
        <w:t>5000</w:t>
      </w:r>
      <w:r>
        <w:rPr>
          <w:rFonts w:hint="eastAsia" w:ascii="Symbol" w:hAnsi="Symbol" w:eastAsia="宋体" w:cs="宋体"/>
          <w:b/>
          <w:bCs/>
          <w:color w:val="auto"/>
          <w:kern w:val="0"/>
          <w:sz w:val="24"/>
          <w:szCs w:val="24"/>
          <w:highlight w:val="none"/>
        </w:rPr>
        <w:t>元及以上</w:t>
      </w:r>
      <w:r>
        <w:rPr>
          <w:rFonts w:hint="eastAsia" w:ascii="Symbol" w:hAnsi="Symbol" w:eastAsia="宋体" w:cs="宋体"/>
          <w:color w:val="auto"/>
          <w:kern w:val="0"/>
          <w:sz w:val="24"/>
          <w:szCs w:val="24"/>
          <w:highlight w:val="none"/>
        </w:rPr>
        <w:t>的设备更新购置、大修费用由甲方负责。</w:t>
      </w:r>
    </w:p>
    <w:p>
      <w:pPr>
        <w:keepLines w:val="0"/>
        <w:pageBreakBefore w:val="0"/>
        <w:numPr>
          <w:ilvl w:val="0"/>
          <w:numId w:val="16"/>
        </w:numPr>
        <w:kinsoku/>
        <w:wordWrap/>
        <w:overflowPunct/>
        <w:topLinePunct w:val="0"/>
        <w:bidi w:val="0"/>
        <w:spacing w:line="360" w:lineRule="auto"/>
        <w:ind w:left="0" w:leftChars="0" w:right="0" w:firstLine="480" w:firstLineChars="200"/>
        <w:textAlignment w:val="auto"/>
        <w:rPr>
          <w:rFonts w:ascii="Symbol" w:hAnsi="Symbol" w:eastAsia="宋体" w:cs="宋体"/>
          <w:color w:val="auto"/>
          <w:kern w:val="0"/>
          <w:sz w:val="24"/>
          <w:szCs w:val="24"/>
          <w:highlight w:val="none"/>
        </w:rPr>
      </w:pPr>
      <w:r>
        <w:rPr>
          <w:rFonts w:hint="eastAsia" w:ascii="Symbol" w:hAnsi="Symbol" w:eastAsia="宋体" w:cs="宋体"/>
          <w:color w:val="auto"/>
          <w:kern w:val="0"/>
          <w:sz w:val="24"/>
          <w:szCs w:val="24"/>
          <w:highlight w:val="none"/>
        </w:rPr>
        <w:t>甲方负责指定脱水处理后的污泥处置地点。</w:t>
      </w:r>
    </w:p>
    <w:p>
      <w:pPr>
        <w:keepLines w:val="0"/>
        <w:pageBreakBefore w:val="0"/>
        <w:numPr>
          <w:ilvl w:val="0"/>
          <w:numId w:val="16"/>
        </w:numPr>
        <w:kinsoku/>
        <w:wordWrap/>
        <w:overflowPunct/>
        <w:topLinePunct w:val="0"/>
        <w:bidi w:val="0"/>
        <w:spacing w:line="360" w:lineRule="auto"/>
        <w:ind w:left="0" w:leftChars="0" w:right="0" w:firstLine="480" w:firstLineChars="200"/>
        <w:textAlignment w:val="auto"/>
        <w:rPr>
          <w:color w:val="auto"/>
          <w:highlight w:val="none"/>
        </w:rPr>
      </w:pPr>
      <w:r>
        <w:rPr>
          <w:rFonts w:hint="eastAsia" w:ascii="Symbol" w:hAnsi="Symbol" w:eastAsia="宋体" w:cs="宋体"/>
          <w:color w:val="auto"/>
          <w:kern w:val="0"/>
          <w:sz w:val="24"/>
          <w:szCs w:val="24"/>
          <w:highlight w:val="none"/>
        </w:rPr>
        <w:t>甲方负责申报和支付项目土地使用费、土地使用税、房产税等所有因土地和房产使用产生的税（费）。</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质量标准：</w:t>
      </w:r>
    </w:p>
    <w:p>
      <w:pPr>
        <w:keepLines w:val="0"/>
        <w:pageBreakBefore w:val="0"/>
        <w:kinsoku/>
        <w:wordWrap/>
        <w:overflowPunct/>
        <w:topLinePunct w:val="0"/>
        <w:bidi w:val="0"/>
        <w:spacing w:line="360" w:lineRule="auto"/>
        <w:ind w:left="0" w:right="0" w:firstLine="480" w:firstLineChars="200"/>
        <w:textAlignment w:val="auto"/>
        <w:rPr>
          <w:rFonts w:ascii="Symbol" w:hAnsi="Symbol" w:cs="宋体"/>
          <w:color w:val="auto"/>
          <w:kern w:val="0"/>
          <w:sz w:val="24"/>
          <w:szCs w:val="24"/>
          <w:highlight w:val="none"/>
        </w:rPr>
      </w:pPr>
      <w:r>
        <w:rPr>
          <w:rFonts w:hint="eastAsia" w:ascii="仿宋" w:hAnsi="仿宋" w:eastAsia="仿宋" w:cs="仿宋"/>
          <w:color w:val="auto"/>
          <w:sz w:val="24"/>
          <w:szCs w:val="24"/>
          <w:highlight w:val="none"/>
        </w:rPr>
        <w:t xml:space="preserve">  </w:t>
      </w:r>
      <w:r>
        <w:rPr>
          <w:rFonts w:ascii="Symbol" w:hAnsi="Symbol" w:cs="宋体"/>
          <w:color w:val="auto"/>
          <w:kern w:val="0"/>
          <w:sz w:val="24"/>
          <w:szCs w:val="24"/>
          <w:highlight w:val="none"/>
        </w:rPr>
        <w:t>必须满足下列规范的要求，验收须达国家规定合格质量标准。以下标准如与现行标准相冲突，以较高标准执行：</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《中华人民共和国环境保护法》</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《中华人民共和国水污染防治法》</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《生活垃圾填埋污染控制标准》</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《恶臭污染物排放标准》</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《环境空气质量标准》</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《城市生活垃圾卫生填埋处理工程项目建设标准》</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《城市生活垃圾卫生填埋技术规范》</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《城镇垃圾产生源分类及垃圾排放》</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《生活垃圾卫生填埋场环境监测技术标准》</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《污水综合排放标准》</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其他废水处理的各种规范</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根据业主提供的有关废水资料及水污染物数据</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设备维护与应急处理</w:t>
      </w:r>
    </w:p>
    <w:p>
      <w:pPr>
        <w:keepLines w:val="0"/>
        <w:pageBreakBefore w:val="0"/>
        <w:numPr>
          <w:ilvl w:val="0"/>
          <w:numId w:val="18"/>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在运营期内，乙方应合理安排检修、维护，保证垃圾渗滤液处理站正常运行，设备设施的大修、重置由甲方负责。大修须停止运行的情况，乙方须提前一周时间书面通知甲方（如遇突发性事故而必须停止运行大修的，乙方须立即通知甲方），经甲方批准后全力展开维护、维修工作。</w:t>
      </w:r>
    </w:p>
    <w:p>
      <w:pPr>
        <w:keepLines w:val="0"/>
        <w:pageBreakBefore w:val="0"/>
        <w:numPr>
          <w:ilvl w:val="0"/>
          <w:numId w:val="18"/>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当出现出水水质不能达标时，乙方应启动应急预案（具体预案要报备），并采取适当的限制措施。</w:t>
      </w:r>
    </w:p>
    <w:p>
      <w:pPr>
        <w:keepLines w:val="0"/>
        <w:pageBreakBefore w:val="0"/>
        <w:numPr>
          <w:ilvl w:val="0"/>
          <w:numId w:val="18"/>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当电力供应出现异常时，乙方检查后应立即报告甲方，同时采取适当的限制措施。</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eastAsia="zh-CN"/>
        </w:rPr>
        <w:t>服务人员</w:t>
      </w:r>
    </w:p>
    <w:p>
      <w:pPr>
        <w:pStyle w:val="4"/>
        <w:numPr>
          <w:ilvl w:val="0"/>
          <w:numId w:val="19"/>
        </w:numPr>
        <w:adjustRightInd w:val="0"/>
        <w:snapToGrid w:val="0"/>
        <w:spacing w:before="156"/>
        <w:ind w:left="0" w:leftChars="0" w:firstLine="420" w:firstLineChars="0"/>
        <w:rPr>
          <w:b w:val="0"/>
          <w:bCs/>
          <w:color w:val="auto"/>
          <w:sz w:val="24"/>
          <w:szCs w:val="24"/>
          <w:highlight w:val="none"/>
        </w:rPr>
      </w:pPr>
      <w:r>
        <w:rPr>
          <w:rFonts w:hint="eastAsia"/>
          <w:b w:val="0"/>
          <w:bCs/>
          <w:color w:val="auto"/>
          <w:sz w:val="24"/>
          <w:szCs w:val="24"/>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pStyle w:val="4"/>
        <w:numPr>
          <w:ilvl w:val="0"/>
          <w:numId w:val="19"/>
        </w:numPr>
        <w:adjustRightInd w:val="0"/>
        <w:snapToGrid w:val="0"/>
        <w:spacing w:before="156"/>
        <w:ind w:left="0" w:leftChars="0" w:firstLine="420" w:firstLineChars="0"/>
        <w:rPr>
          <w:b w:val="0"/>
          <w:bCs/>
          <w:color w:val="auto"/>
          <w:sz w:val="24"/>
          <w:szCs w:val="24"/>
          <w:highlight w:val="none"/>
        </w:rPr>
      </w:pPr>
      <w:r>
        <w:rPr>
          <w:rFonts w:hint="eastAsia"/>
          <w:b w:val="0"/>
          <w:bCs/>
          <w:color w:val="auto"/>
          <w:sz w:val="24"/>
          <w:szCs w:val="24"/>
          <w:highlight w:val="none"/>
        </w:rPr>
        <w:t>乙方应派出投标文件中指定资历和经验的专业服务人员提供服务，甲方有权要求撤换不合格的服务人员。未经甲方书面同意，乙方不得擅自更换指定的服务人员，否则甲方有权解除合同，另行安排服务商，由此造成的损失由乙方承担。</w:t>
      </w:r>
    </w:p>
    <w:p>
      <w:pPr>
        <w:pStyle w:val="4"/>
        <w:numPr>
          <w:ilvl w:val="0"/>
          <w:numId w:val="19"/>
        </w:numPr>
        <w:ind w:left="0" w:leftChars="0" w:firstLine="420" w:firstLineChars="0"/>
        <w:rPr>
          <w:b w:val="0"/>
          <w:bCs/>
          <w:color w:val="auto"/>
          <w:sz w:val="24"/>
          <w:szCs w:val="24"/>
          <w:highlight w:val="none"/>
        </w:rPr>
      </w:pPr>
      <w:r>
        <w:rPr>
          <w:rFonts w:hint="eastAsia"/>
          <w:b w:val="0"/>
          <w:bCs/>
          <w:color w:val="auto"/>
          <w:sz w:val="24"/>
          <w:szCs w:val="24"/>
          <w:highlight w:val="none"/>
        </w:rPr>
        <w:t>乙方在投标文件中的拟派人员需全部到岗并长期在岗，到岗情况列入服务费支付考核中。考核细则如下：</w:t>
      </w:r>
    </w:p>
    <w:p>
      <w:pPr>
        <w:pStyle w:val="32"/>
        <w:keepNext w:val="0"/>
        <w:keepLines w:val="0"/>
        <w:pageBreakBefore w:val="0"/>
        <w:widowControl w:val="0"/>
        <w:numPr>
          <w:ilvl w:val="0"/>
          <w:numId w:val="20"/>
        </w:numPr>
        <w:kinsoku/>
        <w:wordWrap/>
        <w:overflowPunct/>
        <w:topLinePunct w:val="0"/>
        <w:autoSpaceDE/>
        <w:autoSpaceDN/>
        <w:bidi w:val="0"/>
        <w:adjustRightInd/>
        <w:snapToGrid/>
        <w:spacing w:before="156"/>
        <w:ind w:left="0" w:leftChars="0" w:firstLine="480" w:firstLineChars="200"/>
        <w:textAlignment w:val="auto"/>
        <w:rPr>
          <w:rFonts w:ascii="宋体" w:hAnsi="宋体" w:cs="仿宋"/>
          <w:b w:val="0"/>
          <w:bCs w:val="0"/>
          <w:color w:val="auto"/>
          <w:sz w:val="24"/>
          <w:szCs w:val="24"/>
          <w:highlight w:val="none"/>
        </w:rPr>
      </w:pPr>
      <w:r>
        <w:rPr>
          <w:rFonts w:hint="eastAsia" w:ascii="宋体" w:hAnsi="宋体" w:cs="仿宋"/>
          <w:b w:val="0"/>
          <w:bCs w:val="0"/>
          <w:color w:val="auto"/>
          <w:sz w:val="24"/>
          <w:szCs w:val="24"/>
          <w:highlight w:val="none"/>
        </w:rPr>
        <w:t>项目负责人：正常工作日未到岗，且未向甲方报备申请，扣除运维费用</w:t>
      </w:r>
      <w:r>
        <w:rPr>
          <w:rFonts w:ascii="宋体" w:hAnsi="宋体" w:cs="仿宋"/>
          <w:b w:val="0"/>
          <w:bCs w:val="0"/>
          <w:color w:val="auto"/>
          <w:sz w:val="24"/>
          <w:szCs w:val="24"/>
          <w:highlight w:val="none"/>
        </w:rPr>
        <w:t>5000</w:t>
      </w:r>
      <w:r>
        <w:rPr>
          <w:rFonts w:hint="eastAsia" w:ascii="宋体" w:hAnsi="宋体" w:cs="仿宋"/>
          <w:b w:val="0"/>
          <w:bCs w:val="0"/>
          <w:color w:val="auto"/>
          <w:sz w:val="24"/>
          <w:szCs w:val="24"/>
          <w:highlight w:val="none"/>
        </w:rPr>
        <w:t>元</w:t>
      </w:r>
      <w:r>
        <w:rPr>
          <w:rFonts w:ascii="宋体" w:hAnsi="宋体" w:cs="仿宋"/>
          <w:b w:val="0"/>
          <w:bCs w:val="0"/>
          <w:color w:val="auto"/>
          <w:sz w:val="24"/>
          <w:szCs w:val="24"/>
          <w:highlight w:val="none"/>
        </w:rPr>
        <w:t>/</w:t>
      </w:r>
      <w:r>
        <w:rPr>
          <w:rFonts w:hint="eastAsia" w:ascii="宋体" w:hAnsi="宋体" w:cs="仿宋"/>
          <w:b w:val="0"/>
          <w:bCs w:val="0"/>
          <w:color w:val="auto"/>
          <w:sz w:val="24"/>
          <w:szCs w:val="24"/>
          <w:highlight w:val="none"/>
        </w:rPr>
        <w:t>日；</w:t>
      </w:r>
    </w:p>
    <w:p>
      <w:pPr>
        <w:pStyle w:val="32"/>
        <w:keepNext w:val="0"/>
        <w:keepLines w:val="0"/>
        <w:pageBreakBefore w:val="0"/>
        <w:widowControl w:val="0"/>
        <w:numPr>
          <w:ilvl w:val="0"/>
          <w:numId w:val="20"/>
        </w:numPr>
        <w:kinsoku/>
        <w:wordWrap/>
        <w:overflowPunct/>
        <w:topLinePunct w:val="0"/>
        <w:autoSpaceDE/>
        <w:autoSpaceDN/>
        <w:bidi w:val="0"/>
        <w:adjustRightInd/>
        <w:snapToGrid/>
        <w:spacing w:before="156"/>
        <w:ind w:left="0" w:leftChars="0" w:firstLine="480" w:firstLineChars="200"/>
        <w:textAlignment w:val="auto"/>
        <w:rPr>
          <w:rFonts w:ascii="宋体" w:hAnsi="宋体" w:cs="仿宋"/>
          <w:b w:val="0"/>
          <w:bCs w:val="0"/>
          <w:color w:val="auto"/>
          <w:sz w:val="24"/>
          <w:szCs w:val="24"/>
          <w:highlight w:val="none"/>
        </w:rPr>
      </w:pPr>
      <w:r>
        <w:rPr>
          <w:rFonts w:hint="eastAsia" w:ascii="宋体" w:hAnsi="宋体" w:cs="仿宋"/>
          <w:b w:val="0"/>
          <w:bCs w:val="0"/>
          <w:color w:val="auto"/>
          <w:sz w:val="24"/>
          <w:szCs w:val="24"/>
          <w:highlight w:val="none"/>
        </w:rPr>
        <w:t>化验负责人：正常工作日未到岗，且未向甲方报备申请，扣除运维费用</w:t>
      </w:r>
      <w:r>
        <w:rPr>
          <w:rFonts w:ascii="宋体" w:hAnsi="宋体" w:cs="仿宋"/>
          <w:b w:val="0"/>
          <w:bCs w:val="0"/>
          <w:color w:val="auto"/>
          <w:sz w:val="24"/>
          <w:szCs w:val="24"/>
          <w:highlight w:val="none"/>
        </w:rPr>
        <w:t>2000</w:t>
      </w:r>
      <w:r>
        <w:rPr>
          <w:rFonts w:hint="eastAsia" w:ascii="宋体" w:hAnsi="宋体" w:cs="仿宋"/>
          <w:b w:val="0"/>
          <w:bCs w:val="0"/>
          <w:color w:val="auto"/>
          <w:sz w:val="24"/>
          <w:szCs w:val="24"/>
          <w:highlight w:val="none"/>
        </w:rPr>
        <w:t>元</w:t>
      </w:r>
      <w:r>
        <w:rPr>
          <w:rFonts w:ascii="宋体" w:hAnsi="宋体" w:cs="仿宋"/>
          <w:b w:val="0"/>
          <w:bCs w:val="0"/>
          <w:color w:val="auto"/>
          <w:sz w:val="24"/>
          <w:szCs w:val="24"/>
          <w:highlight w:val="none"/>
        </w:rPr>
        <w:t>/</w:t>
      </w:r>
      <w:r>
        <w:rPr>
          <w:rFonts w:hint="eastAsia" w:ascii="宋体" w:hAnsi="宋体" w:cs="仿宋"/>
          <w:b w:val="0"/>
          <w:bCs w:val="0"/>
          <w:color w:val="auto"/>
          <w:sz w:val="24"/>
          <w:szCs w:val="24"/>
          <w:highlight w:val="none"/>
        </w:rPr>
        <w:t>日；</w:t>
      </w:r>
    </w:p>
    <w:p>
      <w:pPr>
        <w:pStyle w:val="32"/>
        <w:keepNext w:val="0"/>
        <w:keepLines w:val="0"/>
        <w:pageBreakBefore w:val="0"/>
        <w:widowControl w:val="0"/>
        <w:numPr>
          <w:ilvl w:val="0"/>
          <w:numId w:val="20"/>
        </w:numPr>
        <w:kinsoku/>
        <w:wordWrap/>
        <w:overflowPunct/>
        <w:topLinePunct w:val="0"/>
        <w:autoSpaceDE/>
        <w:autoSpaceDN/>
        <w:bidi w:val="0"/>
        <w:adjustRightInd/>
        <w:snapToGrid/>
        <w:spacing w:before="156"/>
        <w:ind w:left="0" w:leftChars="0" w:firstLine="480" w:firstLineChars="200"/>
        <w:textAlignment w:val="auto"/>
        <w:rPr>
          <w:rFonts w:ascii="宋体" w:hAnsi="宋体" w:cs="仿宋"/>
          <w:b w:val="0"/>
          <w:bCs w:val="0"/>
          <w:color w:val="auto"/>
          <w:sz w:val="24"/>
          <w:szCs w:val="24"/>
          <w:highlight w:val="none"/>
        </w:rPr>
      </w:pPr>
      <w:r>
        <w:rPr>
          <w:rFonts w:hint="eastAsia" w:ascii="宋体" w:hAnsi="宋体" w:cs="仿宋"/>
          <w:b w:val="0"/>
          <w:bCs w:val="0"/>
          <w:color w:val="auto"/>
          <w:sz w:val="24"/>
          <w:szCs w:val="24"/>
          <w:highlight w:val="none"/>
        </w:rPr>
        <w:t>电气负责人：正常工作日未到岗，且未向甲方报备申请，扣除运维费用</w:t>
      </w:r>
      <w:r>
        <w:rPr>
          <w:rFonts w:ascii="宋体" w:hAnsi="宋体" w:cs="仿宋"/>
          <w:b w:val="0"/>
          <w:bCs w:val="0"/>
          <w:color w:val="auto"/>
          <w:sz w:val="24"/>
          <w:szCs w:val="24"/>
          <w:highlight w:val="none"/>
        </w:rPr>
        <w:t>2000</w:t>
      </w:r>
      <w:r>
        <w:rPr>
          <w:rFonts w:hint="eastAsia" w:ascii="宋体" w:hAnsi="宋体" w:cs="仿宋"/>
          <w:b w:val="0"/>
          <w:bCs w:val="0"/>
          <w:color w:val="auto"/>
          <w:sz w:val="24"/>
          <w:szCs w:val="24"/>
          <w:highlight w:val="none"/>
        </w:rPr>
        <w:t>元</w:t>
      </w:r>
      <w:r>
        <w:rPr>
          <w:rFonts w:ascii="宋体" w:hAnsi="宋体" w:cs="仿宋"/>
          <w:b w:val="0"/>
          <w:bCs w:val="0"/>
          <w:color w:val="auto"/>
          <w:sz w:val="24"/>
          <w:szCs w:val="24"/>
          <w:highlight w:val="none"/>
        </w:rPr>
        <w:t>/</w:t>
      </w:r>
      <w:r>
        <w:rPr>
          <w:rFonts w:hint="eastAsia" w:ascii="宋体" w:hAnsi="宋体" w:cs="仿宋"/>
          <w:b w:val="0"/>
          <w:bCs w:val="0"/>
          <w:color w:val="auto"/>
          <w:sz w:val="24"/>
          <w:szCs w:val="24"/>
          <w:highlight w:val="none"/>
        </w:rPr>
        <w:t>日；</w:t>
      </w:r>
    </w:p>
    <w:p>
      <w:pPr>
        <w:pStyle w:val="32"/>
        <w:keepNext w:val="0"/>
        <w:keepLines w:val="0"/>
        <w:pageBreakBefore w:val="0"/>
        <w:widowControl w:val="0"/>
        <w:numPr>
          <w:ilvl w:val="0"/>
          <w:numId w:val="20"/>
        </w:numPr>
        <w:kinsoku/>
        <w:wordWrap/>
        <w:overflowPunct/>
        <w:topLinePunct w:val="0"/>
        <w:autoSpaceDE/>
        <w:autoSpaceDN/>
        <w:bidi w:val="0"/>
        <w:adjustRightInd/>
        <w:snapToGrid/>
        <w:spacing w:before="156" w:line="360" w:lineRule="auto"/>
        <w:ind w:left="0" w:leftChars="0" w:firstLine="480" w:firstLineChars="200"/>
        <w:textAlignment w:val="auto"/>
        <w:rPr>
          <w:rFonts w:hint="eastAsia"/>
          <w:color w:val="auto"/>
          <w:sz w:val="24"/>
          <w:szCs w:val="24"/>
          <w:highlight w:val="none"/>
        </w:rPr>
      </w:pPr>
      <w:r>
        <w:rPr>
          <w:rFonts w:hint="eastAsia" w:ascii="宋体" w:hAnsi="宋体" w:cs="仿宋"/>
          <w:b w:val="0"/>
          <w:bCs w:val="0"/>
          <w:color w:val="auto"/>
          <w:sz w:val="24"/>
          <w:szCs w:val="24"/>
          <w:highlight w:val="none"/>
        </w:rPr>
        <w:t>运维人员：正常工作日未到岗，且未向甲方报备申请，扣除运维费用</w:t>
      </w:r>
      <w:r>
        <w:rPr>
          <w:rFonts w:ascii="宋体" w:hAnsi="宋体" w:cs="仿宋"/>
          <w:b w:val="0"/>
          <w:bCs w:val="0"/>
          <w:color w:val="auto"/>
          <w:sz w:val="24"/>
          <w:szCs w:val="24"/>
          <w:highlight w:val="none"/>
        </w:rPr>
        <w:t>1000</w:t>
      </w:r>
      <w:r>
        <w:rPr>
          <w:rFonts w:hint="eastAsia" w:ascii="宋体" w:hAnsi="宋体" w:cs="仿宋"/>
          <w:b w:val="0"/>
          <w:bCs w:val="0"/>
          <w:color w:val="auto"/>
          <w:sz w:val="24"/>
          <w:szCs w:val="24"/>
          <w:highlight w:val="none"/>
        </w:rPr>
        <w:t>元</w:t>
      </w:r>
      <w:r>
        <w:rPr>
          <w:rFonts w:ascii="宋体" w:hAnsi="宋体" w:cs="仿宋"/>
          <w:b w:val="0"/>
          <w:bCs w:val="0"/>
          <w:color w:val="auto"/>
          <w:sz w:val="24"/>
          <w:szCs w:val="24"/>
          <w:highlight w:val="none"/>
        </w:rPr>
        <w:t>/</w:t>
      </w:r>
      <w:r>
        <w:rPr>
          <w:rFonts w:hint="eastAsia" w:ascii="宋体" w:hAnsi="宋体" w:cs="仿宋"/>
          <w:b w:val="0"/>
          <w:bCs w:val="0"/>
          <w:color w:val="auto"/>
          <w:sz w:val="24"/>
          <w:szCs w:val="24"/>
          <w:highlight w:val="none"/>
        </w:rPr>
        <w:t>日。</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项目期满移交</w:t>
      </w:r>
    </w:p>
    <w:p>
      <w:pPr>
        <w:pStyle w:val="4"/>
        <w:pageBreakBefore w:val="0"/>
        <w:widowControl w:val="0"/>
        <w:numPr>
          <w:ilvl w:val="0"/>
          <w:numId w:val="21"/>
        </w:numPr>
        <w:kinsoku/>
        <w:wordWrap/>
        <w:overflowPunct/>
        <w:topLinePunct w:val="0"/>
        <w:bidi w:val="0"/>
        <w:snapToGrid/>
        <w:spacing w:line="360" w:lineRule="auto"/>
        <w:ind w:left="0" w:leftChars="0" w:right="0" w:firstLine="482" w:firstLineChars="200"/>
        <w:textAlignment w:val="auto"/>
        <w:rPr>
          <w:color w:val="auto"/>
          <w:sz w:val="24"/>
          <w:szCs w:val="24"/>
          <w:highlight w:val="none"/>
        </w:rPr>
      </w:pPr>
      <w:r>
        <w:rPr>
          <w:rFonts w:hint="eastAsia"/>
          <w:color w:val="auto"/>
          <w:sz w:val="24"/>
          <w:szCs w:val="24"/>
          <w:highlight w:val="none"/>
        </w:rPr>
        <w:t>移交范围</w:t>
      </w:r>
    </w:p>
    <w:p>
      <w:pPr>
        <w:pageBreakBefore w:val="0"/>
        <w:widowControl w:val="0"/>
        <w:kinsoku/>
        <w:wordWrap/>
        <w:overflowPunct/>
        <w:topLinePunct w:val="0"/>
        <w:bidi w:val="0"/>
        <w:adjustRightInd/>
        <w:snapToGri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在运营管理期结束后，乙方应将完好的项目设施移交给甲方或其指定机构，包括：</w:t>
      </w:r>
    </w:p>
    <w:p>
      <w:pPr>
        <w:pStyle w:val="32"/>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right="0"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项目设施的建筑物、构筑物及污水处理厂场地；</w:t>
      </w:r>
    </w:p>
    <w:p>
      <w:pPr>
        <w:pStyle w:val="32"/>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right="0"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与项目设施相关的所有设备、机器、装置、零部件、备品备件、化学品以及其他动产；</w:t>
      </w:r>
    </w:p>
    <w:p>
      <w:pPr>
        <w:pStyle w:val="32"/>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right="0"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运营和维护项目设施所要求的所有技术和技术诀窍，知识产权等无形资产（包括以任何许可方式取得的）；</w:t>
      </w:r>
    </w:p>
    <w:p>
      <w:pPr>
        <w:pStyle w:val="32"/>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right="0"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与项目设施有关的所有的手册、图纸、文件和资料；</w:t>
      </w:r>
    </w:p>
    <w:p>
      <w:pPr>
        <w:pStyle w:val="32"/>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right="0"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甲方或其指定机构合理要求的其它物品与资料。</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right="0" w:firstLine="480" w:firstLineChars="200"/>
        <w:textAlignment w:val="auto"/>
        <w:rPr>
          <w:color w:val="auto"/>
          <w:sz w:val="24"/>
          <w:szCs w:val="24"/>
          <w:highlight w:val="none"/>
        </w:rPr>
      </w:pPr>
      <w:r>
        <w:rPr>
          <w:rFonts w:hint="eastAsia"/>
          <w:color w:val="auto"/>
          <w:sz w:val="24"/>
          <w:szCs w:val="24"/>
          <w:highlight w:val="none"/>
        </w:rPr>
        <w:t>上述移交不应附带任何负债或违约、侵权责任。所有与移交的设施、权益、文件等有关的负债或违约、侵权责任，由乙方全部清偿或赔偿完毕。</w:t>
      </w:r>
    </w:p>
    <w:p>
      <w:pPr>
        <w:pStyle w:val="4"/>
        <w:pageBreakBefore w:val="0"/>
        <w:widowControl w:val="0"/>
        <w:numPr>
          <w:ilvl w:val="0"/>
          <w:numId w:val="21"/>
        </w:numPr>
        <w:kinsoku/>
        <w:wordWrap/>
        <w:overflowPunct/>
        <w:topLinePunct w:val="0"/>
        <w:bidi w:val="0"/>
        <w:snapToGrid/>
        <w:spacing w:line="360" w:lineRule="auto"/>
        <w:ind w:left="0" w:leftChars="0" w:right="0" w:firstLine="482" w:firstLineChars="200"/>
        <w:textAlignment w:val="auto"/>
        <w:rPr>
          <w:color w:val="auto"/>
          <w:sz w:val="24"/>
          <w:szCs w:val="24"/>
          <w:highlight w:val="none"/>
        </w:rPr>
      </w:pPr>
      <w:r>
        <w:rPr>
          <w:rFonts w:hint="eastAsia"/>
          <w:color w:val="auto"/>
          <w:sz w:val="24"/>
          <w:szCs w:val="24"/>
          <w:highlight w:val="none"/>
        </w:rPr>
        <w:t>移交程序</w:t>
      </w:r>
    </w:p>
    <w:p>
      <w:pPr>
        <w:pageBreakBefore w:val="0"/>
        <w:widowControl w:val="0"/>
        <w:kinsoku/>
        <w:wordWrap/>
        <w:overflowPunct/>
        <w:topLinePunct w:val="0"/>
        <w:bidi w:val="0"/>
        <w:adjustRightInd/>
        <w:snapToGri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运营管理期结束二个月前，甲乙双方应成立移交委员会，由乙方三名授权代表和甲方三名授权代表组成。移交委员会应在双方同意的时间举行会谈并商定项目设施移交的详尽程序。双方在运营管理期结束后按照商定的程序完成项目设施移交。</w:t>
      </w:r>
    </w:p>
    <w:p>
      <w:pPr>
        <w:pStyle w:val="4"/>
        <w:pageBreakBefore w:val="0"/>
        <w:widowControl w:val="0"/>
        <w:numPr>
          <w:ilvl w:val="0"/>
          <w:numId w:val="21"/>
        </w:numPr>
        <w:kinsoku/>
        <w:wordWrap/>
        <w:overflowPunct/>
        <w:topLinePunct w:val="0"/>
        <w:bidi w:val="0"/>
        <w:snapToGrid/>
        <w:spacing w:line="360" w:lineRule="auto"/>
        <w:ind w:left="0" w:leftChars="0" w:right="0" w:firstLine="482" w:firstLineChars="200"/>
        <w:textAlignment w:val="auto"/>
        <w:rPr>
          <w:color w:val="auto"/>
          <w:sz w:val="24"/>
          <w:szCs w:val="24"/>
          <w:highlight w:val="none"/>
        </w:rPr>
      </w:pPr>
      <w:r>
        <w:rPr>
          <w:rFonts w:hint="eastAsia"/>
          <w:color w:val="auto"/>
          <w:sz w:val="24"/>
          <w:szCs w:val="24"/>
          <w:highlight w:val="none"/>
        </w:rPr>
        <w:t>移交效力</w:t>
      </w:r>
    </w:p>
    <w:p>
      <w:pPr>
        <w:pStyle w:val="5"/>
        <w:pageBreakBefore w:val="0"/>
        <w:widowControl w:val="0"/>
        <w:kinsoku/>
        <w:wordWrap/>
        <w:overflowPunct/>
        <w:topLinePunct w:val="0"/>
        <w:bidi w:val="0"/>
        <w:snapToGrid/>
        <w:spacing w:before="0" w:after="0" w:line="360" w:lineRule="auto"/>
        <w:ind w:left="0" w:right="0" w:firstLine="480" w:firstLineChars="200"/>
        <w:textAlignment w:val="auto"/>
        <w:rPr>
          <w:color w:val="auto"/>
          <w:sz w:val="24"/>
          <w:szCs w:val="24"/>
          <w:highlight w:val="none"/>
        </w:rPr>
      </w:pPr>
      <w:r>
        <w:rPr>
          <w:rFonts w:hint="eastAsia"/>
          <w:color w:val="auto"/>
          <w:sz w:val="24"/>
          <w:szCs w:val="24"/>
          <w:highlight w:val="none"/>
        </w:rPr>
        <w:t>自移交日起，乙方在本合同项下的权利和义务即应终止，除本合同另有规定及双方之间截止移交日发生且尚未支付的债务除外。</w:t>
      </w:r>
    </w:p>
    <w:p>
      <w:pPr>
        <w:pStyle w:val="5"/>
        <w:pageBreakBefore w:val="0"/>
        <w:widowControl w:val="0"/>
        <w:kinsoku/>
        <w:wordWrap/>
        <w:overflowPunct/>
        <w:topLinePunct w:val="0"/>
        <w:bidi w:val="0"/>
        <w:snapToGrid/>
        <w:spacing w:before="0" w:after="0" w:line="360" w:lineRule="auto"/>
        <w:ind w:left="0" w:right="0" w:firstLine="480" w:firstLineChars="200"/>
        <w:textAlignment w:val="auto"/>
        <w:rPr>
          <w:rFonts w:hint="eastAsia"/>
          <w:color w:val="auto"/>
          <w:highlight w:val="none"/>
        </w:rPr>
      </w:pPr>
      <w:r>
        <w:rPr>
          <w:rFonts w:hint="eastAsia"/>
          <w:color w:val="auto"/>
          <w:sz w:val="24"/>
          <w:szCs w:val="24"/>
          <w:highlight w:val="none"/>
        </w:rPr>
        <w:t>自移交日起，甲方或其指定机构应接管项目设施的运营与维护。</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其他要求：</w:t>
      </w:r>
    </w:p>
    <w:p>
      <w:pPr>
        <w:keepLines w:val="0"/>
        <w:pageBreakBefore w:val="0"/>
        <w:numPr>
          <w:ilvl w:val="0"/>
          <w:numId w:val="23"/>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投标人承诺的运营期限、运营地点、付款方式必须完全满足招标文件要求。若投标人的承诺不满足招标文件要求将被视为未实质性响应招标文件要求，其投标文件将被拒绝。</w:t>
      </w:r>
    </w:p>
    <w:p>
      <w:pPr>
        <w:keepLines w:val="0"/>
        <w:pageBreakBefore w:val="0"/>
        <w:numPr>
          <w:ilvl w:val="0"/>
          <w:numId w:val="23"/>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投标人中标后，如果不按规定与采购人签订合同或者签订合同后不履行其投标承诺或者其它由于中标人自身原因造成无法履行合同的，均视为中标人违约，采购人将取消其中标资格，如果已经签订合同的则合同自动解除，且中标人还要承担相应的法律责任。给采购人造成损失的，还必须进行赔偿。</w:t>
      </w:r>
    </w:p>
    <w:p>
      <w:pPr>
        <w:keepLines w:val="0"/>
        <w:pageBreakBefore w:val="0"/>
        <w:numPr>
          <w:ilvl w:val="0"/>
          <w:numId w:val="23"/>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本招标文件未尽事宜以合同为准。</w:t>
      </w:r>
    </w:p>
    <w:p>
      <w:pPr>
        <w:tabs>
          <w:tab w:val="left" w:pos="8280"/>
        </w:tabs>
        <w:autoSpaceDE w:val="0"/>
        <w:autoSpaceDN w:val="0"/>
        <w:adjustRightInd w:val="0"/>
        <w:spacing w:line="360" w:lineRule="auto"/>
        <w:ind w:right="25"/>
        <w:jc w:val="center"/>
        <w:rPr>
          <w:rFonts w:hint="eastAsia" w:ascii="宋体" w:hAnsi="宋体" w:eastAsia="宋体"/>
          <w:b/>
          <w:color w:val="auto"/>
          <w:sz w:val="32"/>
          <w:highlight w:val="none"/>
        </w:rPr>
      </w:pPr>
      <w:r>
        <w:rPr>
          <w:rFonts w:hint="eastAsia" w:ascii="宋体" w:hAnsi="宋体" w:eastAsia="宋体"/>
          <w:b/>
          <w:color w:val="auto"/>
          <w:sz w:val="32"/>
          <w:highlight w:val="none"/>
        </w:rPr>
        <w:t>第二节     商务要求</w:t>
      </w:r>
    </w:p>
    <w:p>
      <w:pPr>
        <w:pStyle w:val="3"/>
        <w:keepLines w:val="0"/>
        <w:pageBreakBefore w:val="0"/>
        <w:numPr>
          <w:ilvl w:val="0"/>
          <w:numId w:val="0"/>
        </w:numPr>
        <w:kinsoku/>
        <w:wordWrap/>
        <w:overflowPunct/>
        <w:topLinePunct w:val="0"/>
        <w:bidi w:val="0"/>
        <w:spacing w:before="0" w:after="0" w:line="360" w:lineRule="auto"/>
        <w:ind w:left="0" w:right="0" w:firstLine="482" w:firstLineChars="200"/>
        <w:jc w:val="both"/>
        <w:textAlignment w:val="auto"/>
        <w:rPr>
          <w:rFonts w:ascii="宋体"/>
          <w:color w:val="auto"/>
          <w:kern w:val="0"/>
          <w:sz w:val="24"/>
          <w:szCs w:val="24"/>
          <w:highlight w:val="none"/>
        </w:rPr>
      </w:pPr>
      <w:r>
        <w:rPr>
          <w:rFonts w:hint="eastAsia" w:ascii="宋体"/>
          <w:color w:val="auto"/>
          <w:kern w:val="0"/>
          <w:sz w:val="24"/>
          <w:szCs w:val="24"/>
          <w:highlight w:val="none"/>
        </w:rPr>
        <w:t>一、项目报价要求：</w:t>
      </w:r>
    </w:p>
    <w:p>
      <w:pPr>
        <w:keepLines w:val="0"/>
        <w:pageBreakBefore w:val="0"/>
        <w:kinsoku/>
        <w:wordWrap/>
        <w:overflowPunct/>
        <w:topLinePunct w:val="0"/>
        <w:autoSpaceDE w:val="0"/>
        <w:autoSpaceDN w:val="0"/>
        <w:bidi w:val="0"/>
        <w:adjustRightInd w:val="0"/>
        <w:spacing w:line="360" w:lineRule="auto"/>
        <w:ind w:left="0" w:right="0" w:firstLine="480" w:firstLineChars="200"/>
        <w:textAlignment w:val="auto"/>
        <w:rPr>
          <w:rFonts w:ascii="宋体"/>
          <w:color w:val="auto"/>
          <w:kern w:val="0"/>
          <w:sz w:val="24"/>
          <w:szCs w:val="24"/>
          <w:highlight w:val="none"/>
        </w:rPr>
      </w:pPr>
      <w:r>
        <w:rPr>
          <w:rFonts w:hint="eastAsia" w:ascii="宋体"/>
          <w:color w:val="auto"/>
          <w:kern w:val="0"/>
          <w:sz w:val="24"/>
          <w:szCs w:val="24"/>
          <w:highlight w:val="none"/>
        </w:rPr>
        <w:t>1、投标报价以人民币为结算货币，投标报价采用</w:t>
      </w:r>
      <w:r>
        <w:rPr>
          <w:rFonts w:hint="eastAsia" w:ascii="宋体"/>
          <w:color w:val="auto"/>
          <w:kern w:val="0"/>
          <w:sz w:val="24"/>
          <w:szCs w:val="24"/>
          <w:highlight w:val="none"/>
          <w:lang w:val="en-US" w:eastAsia="zh-CN"/>
        </w:rPr>
        <w:t>总价</w:t>
      </w:r>
      <w:r>
        <w:rPr>
          <w:rFonts w:hint="eastAsia" w:ascii="宋体"/>
          <w:color w:val="auto"/>
          <w:kern w:val="0"/>
          <w:sz w:val="24"/>
          <w:szCs w:val="24"/>
          <w:highlight w:val="none"/>
        </w:rPr>
        <w:t>报价，即投标单位对采购内容进行</w:t>
      </w:r>
      <w:r>
        <w:rPr>
          <w:rFonts w:hint="eastAsia" w:ascii="宋体"/>
          <w:color w:val="auto"/>
          <w:kern w:val="0"/>
          <w:sz w:val="24"/>
          <w:szCs w:val="24"/>
          <w:highlight w:val="none"/>
          <w:lang w:val="en-US" w:eastAsia="zh-CN"/>
        </w:rPr>
        <w:t>总价</w:t>
      </w:r>
      <w:r>
        <w:rPr>
          <w:rFonts w:hint="eastAsia" w:ascii="宋体"/>
          <w:color w:val="auto"/>
          <w:kern w:val="0"/>
          <w:sz w:val="24"/>
          <w:szCs w:val="24"/>
          <w:highlight w:val="none"/>
        </w:rPr>
        <w:t>报价，最终年度总费用不超过投标总报价。</w:t>
      </w:r>
    </w:p>
    <w:p>
      <w:pPr>
        <w:keepLines w:val="0"/>
        <w:pageBreakBefore w:val="0"/>
        <w:kinsoku/>
        <w:wordWrap/>
        <w:overflowPunct/>
        <w:topLinePunct w:val="0"/>
        <w:autoSpaceDE w:val="0"/>
        <w:autoSpaceDN w:val="0"/>
        <w:bidi w:val="0"/>
        <w:adjustRightInd w:val="0"/>
        <w:spacing w:line="360" w:lineRule="auto"/>
        <w:ind w:left="0" w:right="0" w:firstLine="480" w:firstLineChars="200"/>
        <w:textAlignment w:val="auto"/>
        <w:rPr>
          <w:rFonts w:hint="eastAsia" w:asciiTheme="minorEastAsia" w:hAnsiTheme="minorEastAsia" w:eastAsiaTheme="minorEastAsia"/>
          <w:bCs/>
          <w:color w:val="auto"/>
          <w:kern w:val="0"/>
          <w:sz w:val="24"/>
          <w:highlight w:val="none"/>
          <w:lang w:eastAsia="zh-CN"/>
        </w:rPr>
      </w:pPr>
      <w:r>
        <w:rPr>
          <w:rFonts w:hint="eastAsia" w:ascii="宋体"/>
          <w:color w:val="auto"/>
          <w:kern w:val="0"/>
          <w:sz w:val="24"/>
          <w:szCs w:val="24"/>
          <w:highlight w:val="none"/>
        </w:rPr>
        <w:t>2、</w:t>
      </w:r>
      <w:r>
        <w:rPr>
          <w:rFonts w:hint="eastAsia" w:asciiTheme="minorEastAsia" w:hAnsiTheme="minorEastAsia" w:eastAsiaTheme="minorEastAsia"/>
          <w:bCs/>
          <w:color w:val="auto"/>
          <w:kern w:val="0"/>
          <w:sz w:val="24"/>
          <w:highlight w:val="none"/>
        </w:rPr>
        <w:t>投标报价包括本项目采购需求和投入使用的所有费用，应包括处理站内管理人员和运行人员的人工成本费包括保险费、培训教育费、用餐费等；处理站内日常运营管理费，水电费用，处理药剂费，化验费，设备日常维护保养，膜、易耗件更换（不含设备大修、重置）等费用，污泥处理费（</w:t>
      </w:r>
      <w:r>
        <w:rPr>
          <w:rFonts w:hint="eastAsia" w:asciiTheme="minorEastAsia" w:hAnsiTheme="minorEastAsia" w:eastAsiaTheme="minorEastAsia"/>
          <w:b/>
          <w:bCs w:val="0"/>
          <w:color w:val="auto"/>
          <w:kern w:val="0"/>
          <w:sz w:val="24"/>
          <w:highlight w:val="none"/>
        </w:rPr>
        <w:t>要求将污泥脱水至含水率80%后，运至三门县城市污水处理厂深度脱水至含水率≤60%，然后外运并焚烧处置</w:t>
      </w:r>
      <w:r>
        <w:rPr>
          <w:rFonts w:hint="eastAsia" w:asciiTheme="minorEastAsia" w:hAnsiTheme="minorEastAsia" w:eastAsiaTheme="minorEastAsia"/>
          <w:bCs/>
          <w:color w:val="auto"/>
          <w:kern w:val="0"/>
          <w:sz w:val="24"/>
          <w:highlight w:val="none"/>
        </w:rPr>
        <w:t>）保险费用；除臭系统运营费</w:t>
      </w:r>
      <w:r>
        <w:rPr>
          <w:rFonts w:hint="eastAsia" w:asciiTheme="minorEastAsia" w:hAnsiTheme="minorEastAsia" w:eastAsiaTheme="minorEastAsia"/>
          <w:bCs/>
          <w:color w:val="auto"/>
          <w:kern w:val="0"/>
          <w:sz w:val="24"/>
          <w:highlight w:val="none"/>
          <w:lang w:eastAsia="zh-CN"/>
        </w:rPr>
        <w:t>（</w:t>
      </w:r>
      <w:r>
        <w:rPr>
          <w:rFonts w:hint="eastAsia" w:asciiTheme="minorEastAsia" w:hAnsiTheme="minorEastAsia" w:eastAsiaTheme="minorEastAsia"/>
          <w:bCs/>
          <w:color w:val="auto"/>
          <w:kern w:val="0"/>
          <w:sz w:val="24"/>
          <w:highlight w:val="none"/>
        </w:rPr>
        <w:t>包含调节池、脱泥间的除臭费用</w:t>
      </w:r>
      <w:r>
        <w:rPr>
          <w:rFonts w:hint="eastAsia" w:asciiTheme="minorEastAsia" w:hAnsiTheme="minorEastAsia" w:eastAsiaTheme="minorEastAsia"/>
          <w:bCs/>
          <w:color w:val="auto"/>
          <w:kern w:val="0"/>
          <w:sz w:val="24"/>
          <w:highlight w:val="none"/>
          <w:lang w:eastAsia="zh-CN"/>
        </w:rPr>
        <w:t>）；</w:t>
      </w:r>
      <w:r>
        <w:rPr>
          <w:rFonts w:hint="eastAsia" w:asciiTheme="minorEastAsia" w:hAnsiTheme="minorEastAsia" w:eastAsiaTheme="minorEastAsia"/>
          <w:bCs/>
          <w:color w:val="auto"/>
          <w:kern w:val="0"/>
          <w:sz w:val="24"/>
          <w:highlight w:val="none"/>
        </w:rPr>
        <w:t>营业税金；合理利润等一切费用</w:t>
      </w:r>
      <w:r>
        <w:rPr>
          <w:rFonts w:hint="eastAsia" w:asciiTheme="minorEastAsia" w:hAnsiTheme="minorEastAsia" w:eastAsiaTheme="minorEastAsia"/>
          <w:bCs/>
          <w:color w:val="auto"/>
          <w:kern w:val="0"/>
          <w:sz w:val="24"/>
          <w:highlight w:val="none"/>
          <w:lang w:eastAsia="zh-CN"/>
        </w:rPr>
        <w:t>。</w:t>
      </w:r>
    </w:p>
    <w:p>
      <w:pPr>
        <w:keepLines w:val="0"/>
        <w:pageBreakBefore w:val="0"/>
        <w:tabs>
          <w:tab w:val="left" w:pos="8280"/>
        </w:tabs>
        <w:kinsoku/>
        <w:wordWrap/>
        <w:overflowPunct/>
        <w:topLinePunct w:val="0"/>
        <w:autoSpaceDE w:val="0"/>
        <w:autoSpaceDN w:val="0"/>
        <w:bidi w:val="0"/>
        <w:adjustRightInd w:val="0"/>
        <w:spacing w:line="360" w:lineRule="auto"/>
        <w:ind w:left="0" w:right="0" w:firstLine="482" w:firstLineChars="200"/>
        <w:jc w:val="left"/>
        <w:textAlignment w:val="auto"/>
        <w:rPr>
          <w:rFonts w:ascii="宋体"/>
          <w:b/>
          <w:color w:val="auto"/>
          <w:kern w:val="0"/>
          <w:sz w:val="24"/>
          <w:szCs w:val="24"/>
          <w:highlight w:val="none"/>
        </w:rPr>
      </w:pPr>
      <w:r>
        <w:rPr>
          <w:rFonts w:hint="eastAsia" w:ascii="宋体"/>
          <w:b/>
          <w:color w:val="auto"/>
          <w:kern w:val="0"/>
          <w:sz w:val="24"/>
          <w:szCs w:val="24"/>
          <w:highlight w:val="none"/>
        </w:rPr>
        <w:t>二、付款方式：</w:t>
      </w:r>
    </w:p>
    <w:p>
      <w:pPr>
        <w:keepLines w:val="0"/>
        <w:pageBreakBefore w:val="0"/>
        <w:numPr>
          <w:ilvl w:val="0"/>
          <w:numId w:val="24"/>
        </w:numPr>
        <w:kinsoku/>
        <w:wordWrap/>
        <w:overflowPunct/>
        <w:topLinePunct w:val="0"/>
        <w:bidi w:val="0"/>
        <w:spacing w:line="360" w:lineRule="auto"/>
        <w:ind w:left="0" w:leftChars="0" w:right="0" w:firstLine="420" w:firstLineChars="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支付方式</w:t>
      </w:r>
    </w:p>
    <w:p>
      <w:pPr>
        <w:keepLines w:val="0"/>
        <w:pageBreakBefore w:val="0"/>
        <w:kinsoku/>
        <w:wordWrap/>
        <w:overflowPunct/>
        <w:topLinePunct w:val="0"/>
        <w:bidi w:val="0"/>
        <w:spacing w:line="360" w:lineRule="auto"/>
        <w:ind w:left="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甲方按月向乙方支付运营管理费。</w:t>
      </w:r>
    </w:p>
    <w:p>
      <w:pPr>
        <w:keepLines w:val="0"/>
        <w:pageBreakBefore w:val="0"/>
        <w:numPr>
          <w:ilvl w:val="0"/>
          <w:numId w:val="24"/>
        </w:numPr>
        <w:kinsoku/>
        <w:wordWrap/>
        <w:overflowPunct/>
        <w:topLinePunct w:val="0"/>
        <w:bidi w:val="0"/>
        <w:spacing w:line="360" w:lineRule="auto"/>
        <w:ind w:left="0" w:leftChars="0" w:right="0" w:firstLine="420" w:firstLineChars="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支付时间</w:t>
      </w:r>
    </w:p>
    <w:p>
      <w:pPr>
        <w:keepLines w:val="0"/>
        <w:pageBreakBefore w:val="0"/>
        <w:kinsoku/>
        <w:wordWrap/>
        <w:overflowPunct/>
        <w:topLinePunct w:val="0"/>
        <w:bidi w:val="0"/>
        <w:spacing w:line="360" w:lineRule="auto"/>
        <w:ind w:left="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乙方应在每月日前向甲方提供相应的已审核通过的上个月份申报运营管理费用的相关材料、开具合法发票，并送达甲方。甲方在收到合法发票的日内支付乙方的费用，如遇节假日顺延到下一个工作日。</w:t>
      </w:r>
    </w:p>
    <w:p>
      <w:pPr>
        <w:keepLines w:val="0"/>
        <w:pageBreakBefore w:val="0"/>
        <w:numPr>
          <w:ilvl w:val="0"/>
          <w:numId w:val="25"/>
        </w:numPr>
        <w:tabs>
          <w:tab w:val="left" w:pos="8280"/>
        </w:tabs>
        <w:kinsoku/>
        <w:wordWrap/>
        <w:overflowPunct/>
        <w:topLinePunct w:val="0"/>
        <w:autoSpaceDE w:val="0"/>
        <w:autoSpaceDN w:val="0"/>
        <w:bidi w:val="0"/>
        <w:adjustRightInd w:val="0"/>
        <w:spacing w:line="360" w:lineRule="auto"/>
        <w:ind w:left="0" w:right="0" w:firstLine="482" w:firstLineChars="200"/>
        <w:jc w:val="left"/>
        <w:textAlignment w:val="auto"/>
        <w:rPr>
          <w:rFonts w:ascii="宋体"/>
          <w:b/>
          <w:color w:val="auto"/>
          <w:kern w:val="0"/>
          <w:sz w:val="24"/>
          <w:szCs w:val="24"/>
          <w:highlight w:val="none"/>
        </w:rPr>
      </w:pPr>
      <w:r>
        <w:rPr>
          <w:rFonts w:hint="eastAsia" w:ascii="宋体"/>
          <w:b/>
          <w:color w:val="auto"/>
          <w:kern w:val="0"/>
          <w:sz w:val="24"/>
          <w:szCs w:val="24"/>
          <w:highlight w:val="none"/>
        </w:rPr>
        <w:t>合同履约期限：</w:t>
      </w:r>
    </w:p>
    <w:p>
      <w:pPr>
        <w:keepLines w:val="0"/>
        <w:pageBreakBefore w:val="0"/>
        <w:kinsoku/>
        <w:wordWrap/>
        <w:overflowPunct/>
        <w:topLinePunct w:val="0"/>
        <w:bidi w:val="0"/>
        <w:spacing w:line="360" w:lineRule="auto"/>
        <w:ind w:left="0" w:right="0" w:firstLine="480" w:firstLineChars="200"/>
        <w:textAlignment w:val="auto"/>
        <w:rPr>
          <w:rFonts w:hint="eastAsia" w:cs="宋体" w:asciiTheme="minorEastAsia" w:hAnsiTheme="minorEastAsia" w:eastAsiaTheme="minorEastAsia"/>
          <w:bCs/>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eastAsia="zh-CN"/>
        </w:rPr>
        <w:t>在自合同签订后1年时间。第一年合同履行完毕后，采购人对中标人服务质量进行客观评估，</w:t>
      </w:r>
      <w:r>
        <w:rPr>
          <w:rFonts w:hint="eastAsia" w:cs="宋体" w:asciiTheme="minorEastAsia" w:hAnsiTheme="minorEastAsia" w:eastAsiaTheme="minorEastAsia"/>
          <w:b/>
          <w:bCs/>
          <w:color w:val="auto"/>
          <w:sz w:val="24"/>
          <w:szCs w:val="24"/>
          <w:highlight w:val="none"/>
          <w:lang w:eastAsia="zh-CN"/>
        </w:rPr>
        <w:t>年度满意度测评达到要求且采购人年度预算能够保障的前提下，续签下一年度合同，最多续签</w:t>
      </w:r>
      <w:r>
        <w:rPr>
          <w:rFonts w:hint="eastAsia" w:cs="宋体" w:asciiTheme="minorEastAsia" w:hAnsiTheme="minorEastAsia" w:eastAsiaTheme="minorEastAsia"/>
          <w:b/>
          <w:bCs/>
          <w:color w:val="auto"/>
          <w:sz w:val="24"/>
          <w:szCs w:val="24"/>
          <w:highlight w:val="none"/>
          <w:lang w:val="en-US" w:eastAsia="zh-CN"/>
        </w:rPr>
        <w:t>2次合同</w:t>
      </w:r>
      <w:r>
        <w:rPr>
          <w:rFonts w:hint="eastAsia" w:cs="宋体" w:asciiTheme="minorEastAsia" w:hAnsiTheme="minorEastAsia" w:eastAsiaTheme="minorEastAsia"/>
          <w:b/>
          <w:bCs/>
          <w:color w:val="auto"/>
          <w:sz w:val="24"/>
          <w:szCs w:val="24"/>
          <w:highlight w:val="none"/>
          <w:lang w:eastAsia="zh-CN"/>
        </w:rPr>
        <w:t>。</w:t>
      </w:r>
    </w:p>
    <w:p>
      <w:pPr>
        <w:keepLines w:val="0"/>
        <w:pageBreakBefore w:val="0"/>
        <w:tabs>
          <w:tab w:val="left" w:pos="574"/>
        </w:tabs>
        <w:kinsoku/>
        <w:wordWrap/>
        <w:overflowPunct/>
        <w:topLinePunct w:val="0"/>
        <w:bidi w:val="0"/>
        <w:spacing w:line="360" w:lineRule="auto"/>
        <w:ind w:left="0" w:right="0" w:firstLine="482" w:firstLineChars="200"/>
        <w:textAlignment w:val="auto"/>
        <w:rPr>
          <w:rFonts w:ascii="宋体"/>
          <w:color w:val="auto"/>
          <w:kern w:val="0"/>
          <w:sz w:val="24"/>
          <w:szCs w:val="24"/>
          <w:highlight w:val="none"/>
        </w:rPr>
      </w:pPr>
      <w:r>
        <w:rPr>
          <w:rFonts w:hint="eastAsia" w:ascii="宋体"/>
          <w:b/>
          <w:color w:val="auto"/>
          <w:kern w:val="0"/>
          <w:sz w:val="24"/>
          <w:szCs w:val="24"/>
          <w:highlight w:val="none"/>
        </w:rPr>
        <w:t>四、履约保证金：/</w:t>
      </w:r>
    </w:p>
    <w:p>
      <w:pPr>
        <w:keepLines w:val="0"/>
        <w:pageBreakBefore w:val="0"/>
        <w:tabs>
          <w:tab w:val="left" w:pos="8280"/>
        </w:tabs>
        <w:kinsoku/>
        <w:wordWrap/>
        <w:overflowPunct/>
        <w:topLinePunct w:val="0"/>
        <w:autoSpaceDE w:val="0"/>
        <w:autoSpaceDN w:val="0"/>
        <w:bidi w:val="0"/>
        <w:adjustRightInd w:val="0"/>
        <w:spacing w:line="360" w:lineRule="auto"/>
        <w:ind w:left="0" w:right="0" w:firstLine="482" w:firstLineChars="200"/>
        <w:jc w:val="left"/>
        <w:textAlignment w:val="auto"/>
        <w:rPr>
          <w:rFonts w:ascii="宋体"/>
          <w:color w:val="auto"/>
          <w:kern w:val="0"/>
          <w:sz w:val="24"/>
          <w:szCs w:val="24"/>
          <w:highlight w:val="none"/>
        </w:rPr>
      </w:pPr>
      <w:r>
        <w:rPr>
          <w:rFonts w:hint="eastAsia" w:ascii="宋体"/>
          <w:b/>
          <w:color w:val="auto"/>
          <w:kern w:val="0"/>
          <w:sz w:val="24"/>
          <w:szCs w:val="24"/>
          <w:highlight w:val="none"/>
        </w:rPr>
        <w:t>五、项目分包：</w:t>
      </w:r>
      <w:r>
        <w:rPr>
          <w:rFonts w:hint="eastAsia" w:ascii="宋体"/>
          <w:color w:val="auto"/>
          <w:kern w:val="0"/>
          <w:sz w:val="24"/>
          <w:szCs w:val="24"/>
          <w:highlight w:val="none"/>
        </w:rPr>
        <w:t>本项目不允许分包。</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Bidi"/>
          <w:color w:val="auto"/>
          <w:kern w:val="0"/>
          <w:sz w:val="24"/>
          <w:highlight w:val="none"/>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bookmarkStart w:id="11" w:name="_Toc31173_WPSOffice_Level1"/>
      <w:r>
        <w:rPr>
          <w:rFonts w:hint="eastAsia" w:asciiTheme="minorEastAsia" w:hAnsiTheme="minorEastAsia" w:eastAsiaTheme="minorEastAsia"/>
          <w:b/>
          <w:color w:val="auto"/>
          <w:sz w:val="36"/>
          <w:szCs w:val="36"/>
          <w:highlight w:val="none"/>
        </w:rPr>
        <w:t>评标</w:t>
      </w:r>
      <w:bookmarkEnd w:id="11"/>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（二）任何单位和个人不得干扰、影响评标的正常进行；评标委员会及有关工作人员应不带任何倾向性和启发性，不得向外界透露任何与评标有关的内容，不得私下与投供应商接触。</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综合评分法,是指投标文件满足招标文件全部实质性要求，且按照评审因素的量化指标评审得分最高的供应商为中标候选人的评标方法。</w:t>
      </w:r>
    </w:p>
    <w:p>
      <w:pPr>
        <w:pStyle w:val="24"/>
        <w:spacing w:after="0"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pPr>
        <w:pStyle w:val="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pPr>
        <w:pStyle w:val="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2.要求供应商对投标文件有关事项作出澄清或者说明；</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pPr>
        <w:pStyle w:val="23"/>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（一）在资格证明文件或商务与技术文件中出现投标报价的，或者报价文件中报价的服务跟商务与技术文件中的投标服务出现重大偏差的；</w:t>
      </w:r>
    </w:p>
    <w:p>
      <w:pPr>
        <w:pStyle w:val="23"/>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pPr>
        <w:pStyle w:val="23"/>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pPr>
        <w:pStyle w:val="9"/>
        <w:spacing w:line="360" w:lineRule="auto"/>
        <w:ind w:firstLine="480" w:firstLineChars="20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供应商的报价明显低于其他通过符合性审查供应商的报价，有可能影响服务质量或者不能诚信履约的，供应商在限定的时间内不能证明其报价合理性的，评标委员会应当将其作为无效投标处理；</w:t>
      </w:r>
    </w:p>
    <w:p>
      <w:pPr>
        <w:pStyle w:val="23"/>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（五）报价超过招标文件中规定的预算金额和最高限价或未填写投标报价的； </w:t>
      </w:r>
    </w:p>
    <w:p>
      <w:pPr>
        <w:pStyle w:val="9"/>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（八）有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w:t>
      </w:r>
      <w:r>
        <w:rPr>
          <w:rFonts w:hint="eastAsia" w:asciiTheme="minorEastAsia" w:hAnsiTheme="minorEastAsia" w:eastAsiaTheme="minorEastAsia"/>
          <w:color w:val="auto"/>
          <w:kern w:val="0"/>
          <w:sz w:val="24"/>
          <w:highlight w:val="none"/>
        </w:rPr>
        <w:t>供应商</w:t>
      </w:r>
      <w:r>
        <w:rPr>
          <w:rFonts w:asciiTheme="minorEastAsia" w:hAnsiTheme="minorEastAsia" w:eastAsiaTheme="minorEastAsia"/>
          <w:color w:val="auto"/>
          <w:kern w:val="0"/>
          <w:sz w:val="24"/>
          <w:highlight w:val="none"/>
        </w:rPr>
        <w:t>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的投标文件由同一单位或者个人编制；</w:t>
      </w:r>
    </w:p>
    <w:p>
      <w:pPr>
        <w:pStyle w:val="23"/>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2.不同供应商委托同一单位或者个人办理投标事宜；</w:t>
      </w:r>
    </w:p>
    <w:p>
      <w:pPr>
        <w:pStyle w:val="23"/>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3.不同供应商的投标文件载明的项目管理成员或者联系人员为同一人；</w:t>
      </w:r>
    </w:p>
    <w:p>
      <w:pPr>
        <w:pStyle w:val="23"/>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4.不同供应商的投标文件异常一致或者投标报价呈规律性差异；</w:t>
      </w:r>
    </w:p>
    <w:p>
      <w:pPr>
        <w:pStyle w:val="23"/>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5.不同供应商的投标文件相互混装。</w:t>
      </w:r>
    </w:p>
    <w:p>
      <w:pPr>
        <w:pStyle w:val="23"/>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（九）</w:t>
      </w:r>
      <w:r>
        <w:rPr>
          <w:rFonts w:cs="宋体"/>
          <w:color w:val="auto"/>
          <w:highlight w:val="none"/>
        </w:rPr>
        <w:t>实质性要求（招标文件中打“▲”内容）不响应的；</w:t>
      </w:r>
    </w:p>
    <w:p>
      <w:pPr>
        <w:pStyle w:val="8"/>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（十）商务条款不响应的；</w:t>
      </w:r>
    </w:p>
    <w:p>
      <w:pPr>
        <w:pStyle w:val="8"/>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（十一）投标文件有效期不足的；</w:t>
      </w:r>
    </w:p>
    <w:p>
      <w:pPr>
        <w:pStyle w:val="8"/>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（十二）逾期或未按要求提交投标文件的；</w:t>
      </w:r>
    </w:p>
    <w:p>
      <w:pPr>
        <w:pStyle w:val="8"/>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pPr>
        <w:pStyle w:val="23"/>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pPr>
        <w:pStyle w:val="23"/>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pPr>
        <w:pStyle w:val="23"/>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pPr>
        <w:pStyle w:val="23"/>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pPr>
        <w:pStyle w:val="15"/>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本项目评标过程实行全程录音、录像监控，政府采购监管部门视情进行现场监督，供应商在评标过程中所进行的试图影响评标结果的不公正活动，可能导致其投标被拒绝。</w:t>
      </w:r>
    </w:p>
    <w:p>
      <w:pPr>
        <w:pStyle w:val="15"/>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供应商，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见附件3</w:t>
      </w:r>
      <w:r>
        <w:rPr>
          <w:rFonts w:hint="eastAsia" w:ascii="宋体"/>
          <w:color w:val="auto"/>
          <w:sz w:val="24"/>
          <w:highlight w:val="none"/>
          <w:lang w:val="zh-CN"/>
        </w:rPr>
        <w:t>），</w:t>
      </w:r>
      <w:r>
        <w:rPr>
          <w:rFonts w:hint="eastAsia" w:ascii="宋体"/>
          <w:color w:val="auto"/>
          <w:sz w:val="24"/>
          <w:highlight w:val="none"/>
        </w:rPr>
        <w:t>供应商未提供以上资料或者经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rPr>
        <w:t>3</w:t>
      </w:r>
      <w:r>
        <w:rPr>
          <w:rFonts w:hint="eastAsia" w:ascii="宋体"/>
          <w:color w:val="auto"/>
          <w:sz w:val="24"/>
          <w:highlight w:val="none"/>
          <w:lang w:val="zh-CN"/>
        </w:rPr>
        <w:t>），视同小型、微型企业，享受小微企业政府采购优惠政策。</w:t>
      </w:r>
    </w:p>
    <w:p>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pPr>
        <w:autoSpaceDE w:val="0"/>
        <w:autoSpaceDN w:val="0"/>
        <w:adjustRightInd w:val="0"/>
        <w:spacing w:line="360" w:lineRule="auto"/>
        <w:ind w:firstLine="480" w:firstLineChars="200"/>
        <w:rPr>
          <w:color w:val="auto"/>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经主管预算单位统筹后未预留份额专门面向中小企业采购的采购项目，以及预留份额项目中的非预留部分采购包，采购单位、采购代理机构应当对符合规定的小微企业报价按最高优惠幅度（货物和服务项目为20%) 给予扣除，用扣除后的价格参加评审。对于联合协议或者分包意向协议约定小微企业的合同份额占到合同总金额 30%以上的，采购单位、采购代 理机构应当对联合体或者大中型企业的报价按最高优惠幅度（货物和服务项目为6%) 给予扣除，用扣除后的价格参加评审。同一供应商（包括联合体），小微企业、监狱企业、残疾人福利性单位价格扣除优惠只享受一次，不得重复享受。</w:t>
      </w:r>
    </w:p>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八、</w:t>
      </w:r>
      <w:r>
        <w:rPr>
          <w:rFonts w:asciiTheme="minorEastAsia" w:hAnsiTheme="minorEastAsia" w:eastAsiaTheme="minorEastAsia"/>
          <w:b/>
          <w:bCs/>
          <w:color w:val="auto"/>
          <w:sz w:val="24"/>
          <w:highlight w:val="none"/>
        </w:rPr>
        <w:t>评标程序</w:t>
      </w:r>
    </w:p>
    <w:p>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pPr>
        <w:pStyle w:val="9"/>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名单、投标无效的原因。</w:t>
      </w:r>
    </w:p>
    <w:tbl>
      <w:tblPr>
        <w:tblStyle w:val="2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shd w:val="clear" w:color="auto" w:fill="auto"/>
            <w:tcMar>
              <w:top w:w="57" w:type="dxa"/>
              <w:left w:w="108" w:type="dxa"/>
              <w:bottom w:w="0" w:type="dxa"/>
              <w:right w:w="108" w:type="dxa"/>
            </w:tcMar>
            <w:vAlign w:val="center"/>
          </w:tcPr>
          <w:p>
            <w:pPr>
              <w:pStyle w:val="51"/>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shd w:val="clear" w:color="auto" w:fill="auto"/>
            <w:tcMar>
              <w:top w:w="57" w:type="dxa"/>
              <w:left w:w="108" w:type="dxa"/>
              <w:bottom w:w="0" w:type="dxa"/>
              <w:right w:w="108" w:type="dxa"/>
            </w:tcMar>
            <w:vAlign w:val="center"/>
          </w:tcPr>
          <w:p>
            <w:pPr>
              <w:pStyle w:val="51"/>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auto"/>
            <w:tcMar>
              <w:top w:w="57" w:type="dxa"/>
              <w:left w:w="108" w:type="dxa"/>
              <w:bottom w:w="0" w:type="dxa"/>
              <w:right w:w="108" w:type="dxa"/>
            </w:tcMar>
            <w:vAlign w:val="center"/>
          </w:tcPr>
          <w:p>
            <w:pPr>
              <w:pStyle w:val="51"/>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auto"/>
            <w:tcMar>
              <w:top w:w="57" w:type="dxa"/>
              <w:left w:w="108" w:type="dxa"/>
              <w:bottom w:w="0" w:type="dxa"/>
              <w:right w:w="108" w:type="dxa"/>
            </w:tcMar>
            <w:vAlign w:val="center"/>
          </w:tcPr>
          <w:p>
            <w:pPr>
              <w:pStyle w:val="51"/>
              <w:spacing w:line="300" w:lineRule="auto"/>
              <w:ind w:left="15" w:leftChars="7" w:right="-17" w:rightChars="-8" w:firstLine="460" w:firstLineChars="192"/>
              <w:rPr>
                <w:color w:val="auto"/>
                <w:szCs w:val="21"/>
                <w:highlight w:val="none"/>
              </w:rPr>
            </w:pPr>
            <w:r>
              <w:rPr>
                <w:rFonts w:hint="eastAsia"/>
                <w:color w:val="auto"/>
                <w:sz w:val="24"/>
                <w:highlight w:val="none"/>
              </w:rPr>
              <w:t>符合参加政府采购活动应当具备的一般条件的承诺函</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auto"/>
            <w:tcMar>
              <w:top w:w="57" w:type="dxa"/>
              <w:left w:w="108" w:type="dxa"/>
              <w:bottom w:w="0" w:type="dxa"/>
              <w:right w:w="108" w:type="dxa"/>
            </w:tcMar>
            <w:vAlign w:val="center"/>
          </w:tcPr>
          <w:p>
            <w:pPr>
              <w:pStyle w:val="51"/>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shd w:val="clear" w:color="auto" w:fill="auto"/>
            <w:tcMar>
              <w:top w:w="57" w:type="dxa"/>
              <w:left w:w="108" w:type="dxa"/>
              <w:bottom w:w="0" w:type="dxa"/>
              <w:right w:w="108" w:type="dxa"/>
            </w:tcMar>
            <w:vAlign w:val="center"/>
          </w:tcPr>
          <w:p>
            <w:pPr>
              <w:pStyle w:val="51"/>
              <w:spacing w:before="117" w:line="300" w:lineRule="auto"/>
              <w:ind w:left="15" w:leftChars="7" w:right="-17" w:rightChars="-8" w:firstLine="460" w:firstLineChars="192"/>
              <w:rPr>
                <w:color w:val="auto"/>
                <w:szCs w:val="21"/>
                <w:highlight w:val="none"/>
              </w:rPr>
            </w:pPr>
            <w:r>
              <w:rPr>
                <w:rFonts w:hint="eastAsia"/>
                <w:color w:val="auto"/>
                <w:sz w:val="24"/>
                <w:highlight w:val="none"/>
              </w:rPr>
              <w:t>符合参加政府采购活动应当具备的一般条件的承诺函</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auto"/>
            <w:tcMar>
              <w:top w:w="57" w:type="dxa"/>
              <w:left w:w="108" w:type="dxa"/>
              <w:bottom w:w="0" w:type="dxa"/>
              <w:right w:w="108" w:type="dxa"/>
            </w:tcMar>
            <w:vAlign w:val="center"/>
          </w:tcPr>
          <w:p>
            <w:pPr>
              <w:pStyle w:val="51"/>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auto"/>
            <w:tcMar>
              <w:top w:w="57" w:type="dxa"/>
              <w:left w:w="108" w:type="dxa"/>
              <w:bottom w:w="0" w:type="dxa"/>
              <w:right w:w="108" w:type="dxa"/>
            </w:tcMar>
            <w:vAlign w:val="center"/>
          </w:tcPr>
          <w:p>
            <w:pPr>
              <w:pStyle w:val="51"/>
              <w:spacing w:before="1" w:line="300" w:lineRule="auto"/>
              <w:ind w:left="15" w:leftChars="7" w:right="-17" w:rightChars="-8" w:firstLine="460" w:firstLineChars="192"/>
              <w:rPr>
                <w:color w:val="auto"/>
                <w:szCs w:val="21"/>
                <w:highlight w:val="none"/>
              </w:rPr>
            </w:pPr>
            <w:r>
              <w:rPr>
                <w:rFonts w:hint="eastAsia"/>
                <w:color w:val="auto"/>
                <w:sz w:val="24"/>
                <w:highlight w:val="none"/>
              </w:rPr>
              <w:t>符合参加政府采购活动应当具备的一般条件的承诺函</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913"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shd w:val="clear" w:color="auto" w:fill="auto"/>
            <w:tcMar>
              <w:top w:w="57" w:type="dxa"/>
              <w:left w:w="108" w:type="dxa"/>
              <w:bottom w:w="0" w:type="dxa"/>
              <w:right w:w="108" w:type="dxa"/>
            </w:tcMar>
            <w:vAlign w:val="center"/>
          </w:tcPr>
          <w:p>
            <w:pPr>
              <w:pStyle w:val="51"/>
              <w:spacing w:before="48" w:line="300" w:lineRule="auto"/>
              <w:ind w:left="15" w:leftChars="7" w:right="-17" w:rightChars="-8" w:firstLine="403" w:firstLineChars="192"/>
              <w:rPr>
                <w:color w:val="auto"/>
                <w:szCs w:val="21"/>
                <w:highlight w:val="none"/>
              </w:rPr>
            </w:pPr>
            <w:r>
              <w:rPr>
                <w:rFonts w:hint="eastAsia"/>
                <w:color w:val="auto"/>
                <w:szCs w:val="21"/>
                <w:highlight w:val="none"/>
              </w:rPr>
              <w:t>参照投标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1913"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auto"/>
            <w:tcMar>
              <w:top w:w="57" w:type="dxa"/>
              <w:left w:w="108" w:type="dxa"/>
              <w:bottom w:w="0" w:type="dxa"/>
              <w:right w:w="108" w:type="dxa"/>
            </w:tcMar>
            <w:vAlign w:val="center"/>
          </w:tcPr>
          <w:p>
            <w:pPr>
              <w:spacing w:line="300" w:lineRule="auto"/>
              <w:ind w:right="-17" w:rightChars="-8"/>
              <w:rPr>
                <w:rFonts w:ascii="宋体" w:hAnsi="宋体" w:cs="宋体"/>
                <w:color w:val="auto"/>
                <w:szCs w:val="21"/>
                <w:highlight w:val="none"/>
              </w:rPr>
            </w:pPr>
            <w:r>
              <w:rPr>
                <w:rFonts w:hint="eastAsia"/>
                <w:color w:val="auto"/>
                <w:highlight w:val="none"/>
              </w:rPr>
              <w:t>1.</w:t>
            </w:r>
            <w:r>
              <w:rPr>
                <w:color w:val="auto"/>
                <w:highlight w:val="none"/>
              </w:rPr>
              <w:t>截止时点：</w:t>
            </w:r>
            <w:r>
              <w:rPr>
                <w:rFonts w:hint="eastAsia"/>
                <w:color w:val="auto"/>
                <w:highlight w:val="none"/>
              </w:rPr>
              <w:t>开标后评标前</w:t>
            </w:r>
            <w:r>
              <w:rPr>
                <w:color w:val="auto"/>
                <w:highlight w:val="none"/>
              </w:rPr>
              <w:t>。</w:t>
            </w:r>
          </w:p>
          <w:p>
            <w:pPr>
              <w:spacing w:line="300" w:lineRule="auto"/>
              <w:ind w:right="-17" w:rightChars="-8"/>
              <w:rPr>
                <w:color w:val="auto"/>
                <w:highlight w:val="none"/>
              </w:rPr>
            </w:pPr>
            <w:r>
              <w:rPr>
                <w:rFonts w:hint="eastAsia"/>
                <w:color w:val="auto"/>
                <w:highlight w:val="none"/>
              </w:rPr>
              <w:t>2.</w:t>
            </w:r>
            <w:r>
              <w:rPr>
                <w:color w:val="auto"/>
                <w:highlight w:val="none"/>
              </w:rPr>
              <w:t>信用信息查询记录和证据留存的具体方式：由采购组织机构在规定查询时间内打印信用信息查询记录并归入项目档案。</w:t>
            </w:r>
          </w:p>
          <w:p>
            <w:pPr>
              <w:spacing w:line="300" w:lineRule="auto"/>
              <w:ind w:right="-17" w:rightChars="-8"/>
              <w:rPr>
                <w:rFonts w:ascii="宋体" w:hAnsi="宋体" w:cs="宋体"/>
                <w:color w:val="auto"/>
                <w:szCs w:val="21"/>
                <w:highlight w:val="none"/>
              </w:rPr>
            </w:pPr>
            <w:r>
              <w:rPr>
                <w:rFonts w:hint="eastAsia"/>
                <w:color w:val="auto"/>
                <w:highlight w:val="none"/>
              </w:rPr>
              <w:t xml:space="preserve"> 3.</w:t>
            </w:r>
            <w:r>
              <w:rPr>
                <w:color w:val="auto"/>
                <w:highlight w:val="none"/>
              </w:rPr>
              <w:t>使用规则</w:t>
            </w:r>
            <w:r>
              <w:rPr>
                <w:rFonts w:hint="eastAsia"/>
                <w:color w:val="auto"/>
                <w:highlight w:val="none"/>
              </w:rPr>
              <w:t>：供应商</w:t>
            </w:r>
            <w:r>
              <w:rPr>
                <w:color w:val="auto"/>
                <w:highlight w:val="none"/>
              </w:rPr>
              <w:t>未被列入“信用中国”失信被执行人或重大税收违法案件当事人名单；</w:t>
            </w:r>
            <w:r>
              <w:rPr>
                <w:rFonts w:hint="eastAsia"/>
                <w:color w:val="auto"/>
                <w:highlight w:val="none"/>
              </w:rPr>
              <w:t>未</w:t>
            </w:r>
            <w:r>
              <w:rPr>
                <w:color w:val="auto"/>
                <w:highlight w:val="none"/>
              </w:rPr>
              <w:t>处于“中国政府采购网”政府采购严重违法失信行为信息记录中的禁止参加政府采购活动期间（以联合体形式投标时，联合体各方均须满足该条款）</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shd w:val="clear" w:color="auto" w:fill="auto"/>
            <w:tcMar>
              <w:top w:w="57" w:type="dxa"/>
              <w:left w:w="108" w:type="dxa"/>
              <w:bottom w:w="0" w:type="dxa"/>
              <w:right w:w="108" w:type="dxa"/>
            </w:tcMar>
            <w:vAlign w:val="center"/>
          </w:tcPr>
          <w:p>
            <w:pPr>
              <w:pStyle w:val="51"/>
              <w:spacing w:before="48" w:line="300" w:lineRule="auto"/>
              <w:ind w:right="-17" w:rightChars="-8"/>
              <w:rPr>
                <w:color w:val="auto"/>
                <w:szCs w:val="21"/>
                <w:highlight w:val="none"/>
              </w:rPr>
            </w:pPr>
            <w:r>
              <w:rPr>
                <w:rFonts w:hint="eastAsia"/>
                <w:color w:val="auto"/>
                <w:szCs w:val="21"/>
                <w:highlight w:val="none"/>
              </w:rPr>
              <w:t>1.单位负责人为同一人或者存在直接控股、管理关系的不同供应商，不得同时参加本项目投标。</w:t>
            </w:r>
          </w:p>
          <w:p>
            <w:pPr>
              <w:pStyle w:val="51"/>
              <w:spacing w:before="48" w:line="300" w:lineRule="auto"/>
              <w:ind w:right="-17" w:rightChars="-8"/>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pPr>
              <w:pStyle w:val="51"/>
              <w:spacing w:before="48" w:line="300" w:lineRule="auto"/>
              <w:ind w:right="-17" w:rightChars="-8"/>
              <w:rPr>
                <w:color w:val="auto"/>
                <w:szCs w:val="21"/>
                <w:highlight w:val="none"/>
              </w:rPr>
            </w:pPr>
            <w:r>
              <w:rPr>
                <w:rFonts w:hint="eastAsia"/>
                <w:color w:val="auto"/>
                <w:szCs w:val="21"/>
                <w:highlight w:val="none"/>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913" w:type="dxa"/>
            <w:shd w:val="clear" w:color="auto" w:fill="auto"/>
            <w:tcMar>
              <w:top w:w="57" w:type="dxa"/>
              <w:left w:w="108" w:type="dxa"/>
              <w:bottom w:w="0" w:type="dxa"/>
              <w:right w:w="108" w:type="dxa"/>
            </w:tcMar>
            <w:vAlign w:val="center"/>
          </w:tcPr>
          <w:p>
            <w:pPr>
              <w:pStyle w:val="51"/>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auto"/>
            <w:tcMar>
              <w:top w:w="57" w:type="dxa"/>
              <w:left w:w="108" w:type="dxa"/>
              <w:bottom w:w="0" w:type="dxa"/>
              <w:right w:w="108" w:type="dxa"/>
            </w:tcMar>
            <w:vAlign w:val="center"/>
          </w:tcPr>
          <w:p>
            <w:pPr>
              <w:pStyle w:val="51"/>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913"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特定资格要求</w:t>
            </w:r>
          </w:p>
        </w:tc>
        <w:tc>
          <w:tcPr>
            <w:tcW w:w="7092" w:type="dxa"/>
            <w:shd w:val="clear" w:color="auto" w:fill="auto"/>
            <w:tcMar>
              <w:top w:w="57" w:type="dxa"/>
              <w:left w:w="108" w:type="dxa"/>
              <w:bottom w:w="0" w:type="dxa"/>
              <w:right w:w="108" w:type="dxa"/>
            </w:tcMar>
            <w:vAlign w:val="center"/>
          </w:tcPr>
          <w:p>
            <w:pPr>
              <w:pStyle w:val="51"/>
              <w:spacing w:before="48" w:line="300" w:lineRule="auto"/>
              <w:ind w:left="15" w:leftChars="7" w:right="-17" w:rightChars="-8" w:firstLine="403" w:firstLineChars="192"/>
              <w:rPr>
                <w:color w:val="auto"/>
                <w:szCs w:val="21"/>
                <w:highlight w:val="none"/>
              </w:rPr>
            </w:pPr>
            <w:r>
              <w:rPr>
                <w:rFonts w:hint="eastAsia"/>
                <w:color w:val="auto"/>
                <w:szCs w:val="21"/>
                <w:highlight w:val="none"/>
              </w:rPr>
              <w:t>具有与本采购项目相适应的商品经营或服务能力的供应商；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913"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7092" w:type="dxa"/>
            <w:shd w:val="clear" w:color="auto" w:fill="auto"/>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szCs w:val="21"/>
                <w:highlight w:val="none"/>
              </w:rPr>
            </w:pPr>
            <w:r>
              <w:rPr>
                <w:rFonts w:hint="eastAsia" w:asciiTheme="minorEastAsia" w:hAnsiTheme="minorEastAsia" w:eastAsiaTheme="minorEastAsia"/>
                <w:color w:val="auto"/>
                <w:kern w:val="0"/>
                <w:szCs w:val="21"/>
                <w:highlight w:val="none"/>
              </w:rPr>
              <w:t>中小企业声明函、残疾人福利性单位声明函（附件</w:t>
            </w:r>
            <w:r>
              <w:rPr>
                <w:rFonts w:hint="eastAsia" w:asciiTheme="minorEastAsia" w:hAnsiTheme="minorEastAsia" w:eastAsiaTheme="minorEastAsia"/>
                <w:color w:val="auto"/>
                <w:kern w:val="0"/>
                <w:szCs w:val="21"/>
                <w:highlight w:val="none"/>
                <w:lang w:val="en-US" w:eastAsia="zh-CN"/>
              </w:rPr>
              <w:t>4</w:t>
            </w:r>
            <w:r>
              <w:rPr>
                <w:rFonts w:hint="eastAsia" w:asciiTheme="minorEastAsia" w:hAnsiTheme="minorEastAsia" w:eastAsiaTheme="minorEastAsia"/>
                <w:color w:val="auto"/>
                <w:kern w:val="0"/>
                <w:szCs w:val="21"/>
                <w:highlight w:val="none"/>
              </w:rPr>
              <w:t>）</w:t>
            </w:r>
          </w:p>
        </w:tc>
      </w:tr>
    </w:tbl>
    <w:p>
      <w:pPr>
        <w:pStyle w:val="9"/>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pPr>
        <w:pStyle w:val="9"/>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在政采云平台公布无效投标的供应商名单、投标无效的原因</w:t>
      </w:r>
      <w:r>
        <w:rPr>
          <w:rFonts w:hint="eastAsia" w:asciiTheme="minorEastAsia" w:hAnsiTheme="minorEastAsia" w:eastAsiaTheme="minorEastAsia"/>
          <w:color w:val="auto"/>
          <w:sz w:val="24"/>
          <w:highlight w:val="none"/>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投标文件</w:t>
            </w:r>
          </w:p>
        </w:tc>
        <w:tc>
          <w:tcPr>
            <w:tcW w:w="7183" w:type="dxa"/>
            <w:shd w:val="clear" w:color="auto" w:fill="auto"/>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auto"/>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shd w:val="clear" w:color="auto" w:fill="auto"/>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auto"/>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附加条件</w:t>
            </w:r>
          </w:p>
        </w:tc>
        <w:tc>
          <w:tcPr>
            <w:tcW w:w="7183" w:type="dxa"/>
            <w:shd w:val="clear" w:color="auto" w:fill="auto"/>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pPr>
        <w:pStyle w:val="23"/>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pPr>
        <w:pStyle w:val="15"/>
        <w:snapToGrid w:val="0"/>
        <w:spacing w:line="360" w:lineRule="auto"/>
        <w:ind w:firstLine="480" w:firstLineChars="200"/>
        <w:rPr>
          <w:rFonts w:asciiTheme="minorEastAsia" w:hAnsiTheme="minorEastAsia" w:eastAsiaTheme="minorEastAsia"/>
          <w:b/>
          <w:color w:val="auto"/>
          <w:sz w:val="24"/>
          <w:highlight w:val="none"/>
        </w:rPr>
      </w:pPr>
      <w:r>
        <w:rPr>
          <w:rFonts w:hint="eastAsia" w:hAnsi="宋体" w:cs="宋体" w:eastAsiaTheme="minorEastAsia"/>
          <w:color w:val="auto"/>
          <w:sz w:val="24"/>
          <w:highlight w:val="none"/>
          <w:lang w:eastAsia="zh-CN"/>
        </w:rPr>
        <w:t>2023年三门县下湾生活垃圾填埋场渗滤液处理设施运营服务项目</w:t>
      </w:r>
      <w:r>
        <w:rPr>
          <w:rFonts w:hint="eastAsia" w:asciiTheme="minorEastAsia" w:hAnsiTheme="minorEastAsia" w:eastAsiaTheme="minorEastAsia"/>
          <w:color w:val="auto"/>
          <w:kern w:val="0"/>
          <w:sz w:val="24"/>
          <w:highlight w:val="none"/>
        </w:rPr>
        <w:t>评标方法为综合评分法，总计100分，评标按以下标准及要求进行：</w:t>
      </w:r>
    </w:p>
    <w:p>
      <w:pPr>
        <w:pStyle w:val="15"/>
        <w:numPr>
          <w:ilvl w:val="0"/>
          <w:numId w:val="26"/>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详细的</w:t>
      </w:r>
      <w:r>
        <w:rPr>
          <w:rFonts w:hint="eastAsia" w:asciiTheme="minorEastAsia" w:hAnsiTheme="minorEastAsia" w:eastAsiaTheme="minorEastAsia"/>
          <w:b/>
          <w:color w:val="auto"/>
          <w:sz w:val="24"/>
          <w:highlight w:val="none"/>
          <w:lang w:val="zh-CN"/>
        </w:rPr>
        <w:t>评审内容及分值</w:t>
      </w:r>
      <w:r>
        <w:rPr>
          <w:rFonts w:hint="eastAsia" w:asciiTheme="minorEastAsia" w:hAnsiTheme="minorEastAsia" w:eastAsiaTheme="minorEastAsia"/>
          <w:b/>
          <w:color w:val="auto"/>
          <w:sz w:val="24"/>
          <w:highlight w:val="none"/>
        </w:rPr>
        <w:t>：</w:t>
      </w:r>
    </w:p>
    <w:tbl>
      <w:tblPr>
        <w:tblStyle w:val="25"/>
        <w:tblW w:w="10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42"/>
        <w:gridCol w:w="609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noWrap w:val="0"/>
            <w:vAlign w:val="center"/>
          </w:tcPr>
          <w:p>
            <w:pPr>
              <w:adjustRightInd w:val="0"/>
              <w:snapToGrid w:val="0"/>
              <w:spacing w:line="360" w:lineRule="auto"/>
              <w:jc w:val="center"/>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序号</w:t>
            </w:r>
          </w:p>
        </w:tc>
        <w:tc>
          <w:tcPr>
            <w:tcW w:w="1242" w:type="dxa"/>
            <w:noWrap w:val="0"/>
            <w:vAlign w:val="center"/>
          </w:tcPr>
          <w:p>
            <w:pPr>
              <w:adjustRightInd w:val="0"/>
              <w:snapToGrid w:val="0"/>
              <w:spacing w:line="360" w:lineRule="auto"/>
              <w:jc w:val="center"/>
              <w:rPr>
                <w:rFonts w:hint="eastAsia" w:ascii="宋体" w:hAnsi="宋体" w:cs="仿宋"/>
                <w:color w:val="auto"/>
                <w:sz w:val="21"/>
                <w:szCs w:val="21"/>
                <w:highlight w:val="none"/>
              </w:rPr>
            </w:pPr>
            <w:r>
              <w:rPr>
                <w:rFonts w:hint="eastAsia" w:ascii="宋体" w:hAnsi="宋体" w:cs="仿宋"/>
                <w:color w:val="auto"/>
                <w:sz w:val="21"/>
                <w:szCs w:val="21"/>
                <w:highlight w:val="none"/>
              </w:rPr>
              <w:t>评分内容</w:t>
            </w:r>
          </w:p>
        </w:tc>
        <w:tc>
          <w:tcPr>
            <w:tcW w:w="6096" w:type="dxa"/>
            <w:noWrap w:val="0"/>
            <w:vAlign w:val="center"/>
          </w:tcPr>
          <w:p>
            <w:pPr>
              <w:adjustRightInd w:val="0"/>
              <w:snapToGrid w:val="0"/>
              <w:spacing w:line="360" w:lineRule="auto"/>
              <w:ind w:firstLine="420" w:firstLineChars="200"/>
              <w:jc w:val="center"/>
              <w:rPr>
                <w:rFonts w:hint="eastAsia" w:ascii="宋体" w:hAnsi="宋体" w:cs="仿宋"/>
                <w:color w:val="auto"/>
                <w:sz w:val="21"/>
                <w:szCs w:val="21"/>
                <w:highlight w:val="none"/>
              </w:rPr>
            </w:pPr>
            <w:r>
              <w:rPr>
                <w:rFonts w:hint="eastAsia" w:ascii="宋体" w:hAnsi="宋体" w:cs="仿宋"/>
                <w:color w:val="auto"/>
                <w:sz w:val="21"/>
                <w:szCs w:val="21"/>
                <w:highlight w:val="none"/>
              </w:rPr>
              <w:t>评分办法</w:t>
            </w:r>
          </w:p>
        </w:tc>
        <w:tc>
          <w:tcPr>
            <w:tcW w:w="1559" w:type="dxa"/>
            <w:noWrap w:val="0"/>
            <w:vAlign w:val="center"/>
          </w:tcPr>
          <w:p>
            <w:pPr>
              <w:adjustRightInd w:val="0"/>
              <w:snapToGrid w:val="0"/>
              <w:spacing w:line="360" w:lineRule="auto"/>
              <w:jc w:val="center"/>
              <w:rPr>
                <w:rFonts w:hint="eastAsia" w:ascii="宋体" w:hAnsi="宋体" w:cs="仿宋"/>
                <w:color w:val="auto"/>
                <w:sz w:val="21"/>
                <w:szCs w:val="21"/>
                <w:highlight w:val="none"/>
              </w:rPr>
            </w:pPr>
            <w:r>
              <w:rPr>
                <w:rFonts w:hint="eastAsia" w:ascii="宋体" w:hAnsi="宋体" w:cs="仿宋"/>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4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1</w:t>
            </w:r>
          </w:p>
        </w:tc>
        <w:tc>
          <w:tcPr>
            <w:tcW w:w="1242" w:type="dxa"/>
            <w:vMerge w:val="restart"/>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荣誉及证书(</w:t>
            </w:r>
            <w:r>
              <w:rPr>
                <w:rFonts w:hint="eastAsia" w:ascii="宋体" w:hAnsi="宋体" w:cs="仿宋"/>
                <w:color w:val="auto"/>
                <w:sz w:val="21"/>
                <w:szCs w:val="21"/>
                <w:highlight w:val="none"/>
                <w:lang w:val="en-US" w:eastAsia="zh-CN"/>
              </w:rPr>
              <w:t>6</w:t>
            </w:r>
            <w:r>
              <w:rPr>
                <w:rFonts w:hint="eastAsia" w:ascii="宋体" w:hAnsi="宋体" w:cs="仿宋"/>
                <w:color w:val="auto"/>
                <w:sz w:val="21"/>
                <w:szCs w:val="21"/>
                <w:highlight w:val="none"/>
              </w:rPr>
              <w:t>分)</w:t>
            </w:r>
          </w:p>
        </w:tc>
        <w:tc>
          <w:tcPr>
            <w:tcW w:w="6096"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投标人具有有效期内的中国环境服务认证证书（生活垃圾渗滤液处理设施运营服务），服务等级为二级及以上的得 3 分，服务等级为三级的得1分。</w:t>
            </w:r>
          </w:p>
          <w:p>
            <w:pPr>
              <w:adjustRightInd w:val="0"/>
              <w:snapToGrid w:val="0"/>
              <w:spacing w:line="360" w:lineRule="auto"/>
              <w:ind w:firstLine="422" w:firstLineChars="200"/>
              <w:rPr>
                <w:rFonts w:hint="eastAsia" w:ascii="宋体" w:hAnsi="宋体" w:cs="仿宋"/>
                <w:color w:val="auto"/>
                <w:sz w:val="21"/>
                <w:szCs w:val="21"/>
                <w:highlight w:val="none"/>
              </w:rPr>
            </w:pPr>
            <w:r>
              <w:rPr>
                <w:rFonts w:hint="eastAsia" w:ascii="宋体" w:hAnsi="宋体" w:cs="仿宋"/>
                <w:b/>
                <w:bCs/>
                <w:color w:val="auto"/>
                <w:sz w:val="21"/>
                <w:szCs w:val="21"/>
                <w:highlight w:val="none"/>
                <w:lang w:eastAsia="zh-CN"/>
              </w:rPr>
              <w:t>注：</w:t>
            </w:r>
            <w:r>
              <w:rPr>
                <w:rFonts w:hint="eastAsia" w:ascii="宋体" w:hAnsi="宋体" w:cs="仿宋"/>
                <w:b/>
                <w:bCs/>
                <w:color w:val="auto"/>
                <w:sz w:val="21"/>
                <w:szCs w:val="21"/>
                <w:highlight w:val="none"/>
              </w:rPr>
              <w:t>需提供</w:t>
            </w:r>
            <w:r>
              <w:rPr>
                <w:rFonts w:hint="eastAsia" w:ascii="宋体" w:hAnsi="宋体" w:cs="仿宋"/>
                <w:b/>
                <w:bCs/>
                <w:color w:val="auto"/>
                <w:sz w:val="21"/>
                <w:szCs w:val="21"/>
                <w:highlight w:val="none"/>
                <w:lang w:eastAsia="zh-CN"/>
              </w:rPr>
              <w:t>相关</w:t>
            </w:r>
            <w:r>
              <w:rPr>
                <w:rFonts w:hint="eastAsia" w:ascii="宋体" w:hAnsi="宋体" w:cs="仿宋"/>
                <w:b/>
                <w:bCs/>
                <w:color w:val="auto"/>
                <w:sz w:val="21"/>
                <w:szCs w:val="21"/>
                <w:highlight w:val="none"/>
              </w:rPr>
              <w:t>证明</w:t>
            </w:r>
            <w:r>
              <w:rPr>
                <w:rFonts w:hint="eastAsia" w:ascii="宋体" w:hAnsi="宋体" w:cs="仿宋"/>
                <w:b/>
                <w:bCs/>
                <w:color w:val="auto"/>
                <w:sz w:val="21"/>
                <w:szCs w:val="21"/>
                <w:highlight w:val="none"/>
                <w:lang w:eastAsia="zh-CN"/>
              </w:rPr>
              <w:t>材料</w:t>
            </w:r>
            <w:r>
              <w:rPr>
                <w:rFonts w:hint="eastAsia" w:ascii="宋体" w:hAnsi="宋体" w:cs="仿宋"/>
                <w:b/>
                <w:bCs/>
                <w:color w:val="auto"/>
                <w:sz w:val="21"/>
                <w:szCs w:val="21"/>
                <w:highlight w:val="none"/>
              </w:rPr>
              <w:t>原件</w:t>
            </w:r>
            <w:r>
              <w:rPr>
                <w:rFonts w:hint="eastAsia" w:ascii="宋体" w:hAnsi="宋体" w:cs="仿宋"/>
                <w:b/>
                <w:bCs/>
                <w:color w:val="auto"/>
                <w:sz w:val="21"/>
                <w:szCs w:val="21"/>
                <w:highlight w:val="none"/>
                <w:lang w:eastAsia="zh-CN"/>
              </w:rPr>
              <w:t>扫描件并加盖公章。</w:t>
            </w:r>
          </w:p>
        </w:tc>
        <w:tc>
          <w:tcPr>
            <w:tcW w:w="1559" w:type="dxa"/>
            <w:noWrap w:val="0"/>
            <w:vAlign w:val="center"/>
          </w:tcPr>
          <w:p>
            <w:pPr>
              <w:spacing w:line="360" w:lineRule="auto"/>
              <w:ind w:firstLine="420" w:firstLineChars="200"/>
              <w:jc w:val="center"/>
              <w:rPr>
                <w:rFonts w:hint="eastAsia" w:ascii="宋体" w:hAnsi="宋体" w:cs="仿宋"/>
                <w:color w:val="auto"/>
                <w:sz w:val="21"/>
                <w:szCs w:val="21"/>
                <w:highlight w:val="none"/>
              </w:rPr>
            </w:pPr>
            <w:r>
              <w:rPr>
                <w:rFonts w:hint="eastAsia" w:ascii="宋体" w:hAnsi="宋体" w:cs="仿宋"/>
                <w:color w:val="auto"/>
                <w:sz w:val="21"/>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4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cs="仿宋"/>
                <w:color w:val="auto"/>
                <w:sz w:val="21"/>
                <w:szCs w:val="21"/>
                <w:highlight w:val="none"/>
                <w:lang w:val="en-US" w:eastAsia="zh-CN"/>
              </w:rPr>
            </w:pPr>
          </w:p>
        </w:tc>
        <w:tc>
          <w:tcPr>
            <w:tcW w:w="1242" w:type="dxa"/>
            <w:vMerge w:val="continue"/>
            <w:noWrap w:val="0"/>
            <w:vAlign w:val="center"/>
          </w:tcPr>
          <w:p>
            <w:pPr>
              <w:adjustRightInd w:val="0"/>
              <w:snapToGrid w:val="0"/>
              <w:spacing w:line="360" w:lineRule="auto"/>
              <w:rPr>
                <w:rFonts w:hint="eastAsia" w:ascii="宋体" w:hAnsi="宋体" w:cs="仿宋"/>
                <w:color w:val="auto"/>
                <w:sz w:val="21"/>
                <w:szCs w:val="21"/>
                <w:highlight w:val="none"/>
              </w:rPr>
            </w:pPr>
          </w:p>
        </w:tc>
        <w:tc>
          <w:tcPr>
            <w:tcW w:w="6096" w:type="dxa"/>
            <w:noWrap w:val="0"/>
            <w:vAlign w:val="center"/>
          </w:tcPr>
          <w:p>
            <w:pPr>
              <w:adjustRightInd w:val="0"/>
              <w:snapToGrid w:val="0"/>
              <w:spacing w:line="360" w:lineRule="auto"/>
              <w:ind w:firstLine="420" w:firstLineChars="200"/>
              <w:rPr>
                <w:rFonts w:hint="eastAsia"/>
                <w:color w:val="auto"/>
                <w:highlight w:val="none"/>
                <w:lang w:eastAsia="zh-CN"/>
              </w:rPr>
            </w:pPr>
            <w:r>
              <w:rPr>
                <w:rFonts w:hint="eastAsia"/>
                <w:color w:val="auto"/>
                <w:highlight w:val="none"/>
                <w:lang w:eastAsia="zh-CN"/>
              </w:rPr>
              <w:t>投标人</w:t>
            </w:r>
            <w:r>
              <w:rPr>
                <w:rFonts w:hint="eastAsia"/>
                <w:color w:val="auto"/>
                <w:highlight w:val="none"/>
                <w:lang w:val="en-US" w:eastAsia="zh-CN"/>
              </w:rPr>
              <w:t>或控股子公司</w:t>
            </w:r>
            <w:r>
              <w:rPr>
                <w:rFonts w:hint="eastAsia"/>
                <w:color w:val="auto"/>
                <w:highlight w:val="none"/>
                <w:lang w:eastAsia="zh-CN"/>
              </w:rPr>
              <w:t>具有省级</w:t>
            </w:r>
            <w:r>
              <w:rPr>
                <w:rFonts w:hint="eastAsia"/>
                <w:color w:val="auto"/>
                <w:highlight w:val="none"/>
                <w:lang w:val="en-US" w:eastAsia="zh-CN"/>
              </w:rPr>
              <w:t>人民政府授予的污染</w:t>
            </w:r>
            <w:r>
              <w:rPr>
                <w:rFonts w:hint="eastAsia"/>
                <w:color w:val="auto"/>
                <w:highlight w:val="none"/>
                <w:lang w:eastAsia="zh-CN"/>
              </w:rPr>
              <w:t>减排</w:t>
            </w:r>
            <w:r>
              <w:rPr>
                <w:rFonts w:hint="eastAsia"/>
                <w:color w:val="auto"/>
                <w:highlight w:val="none"/>
                <w:lang w:val="en-US" w:eastAsia="zh-CN"/>
              </w:rPr>
              <w:t>荣誉奖项</w:t>
            </w:r>
            <w:r>
              <w:rPr>
                <w:rFonts w:hint="eastAsia"/>
                <w:color w:val="auto"/>
                <w:highlight w:val="none"/>
                <w:lang w:eastAsia="zh-CN"/>
              </w:rPr>
              <w:t>的，每项1.5分，最高得3分。</w:t>
            </w:r>
          </w:p>
          <w:p>
            <w:pPr>
              <w:pStyle w:val="24"/>
              <w:ind w:left="0" w:leftChars="0" w:firstLine="422" w:firstLineChars="200"/>
              <w:rPr>
                <w:rFonts w:hint="eastAsia"/>
                <w:color w:val="auto"/>
                <w:highlight w:val="none"/>
                <w:lang w:eastAsia="zh-CN"/>
              </w:rPr>
            </w:pPr>
            <w:r>
              <w:rPr>
                <w:rFonts w:hint="eastAsia" w:ascii="宋体" w:hAnsi="宋体" w:cs="仿宋"/>
                <w:b/>
                <w:bCs/>
                <w:color w:val="auto"/>
                <w:sz w:val="21"/>
                <w:szCs w:val="21"/>
                <w:highlight w:val="none"/>
                <w:lang w:eastAsia="zh-CN"/>
              </w:rPr>
              <w:t>注：</w:t>
            </w:r>
            <w:r>
              <w:rPr>
                <w:rFonts w:hint="eastAsia" w:ascii="宋体" w:hAnsi="宋体" w:cs="仿宋"/>
                <w:b/>
                <w:bCs/>
                <w:color w:val="auto"/>
                <w:sz w:val="21"/>
                <w:szCs w:val="21"/>
                <w:highlight w:val="none"/>
              </w:rPr>
              <w:t>需提供</w:t>
            </w:r>
            <w:r>
              <w:rPr>
                <w:rFonts w:hint="eastAsia" w:ascii="宋体" w:hAnsi="宋体" w:cs="仿宋"/>
                <w:b/>
                <w:bCs/>
                <w:color w:val="auto"/>
                <w:sz w:val="21"/>
                <w:szCs w:val="21"/>
                <w:highlight w:val="none"/>
                <w:lang w:eastAsia="zh-CN"/>
              </w:rPr>
              <w:t>相关</w:t>
            </w:r>
            <w:r>
              <w:rPr>
                <w:rFonts w:hint="eastAsia" w:ascii="宋体" w:hAnsi="宋体" w:cs="仿宋"/>
                <w:b/>
                <w:bCs/>
                <w:color w:val="auto"/>
                <w:sz w:val="21"/>
                <w:szCs w:val="21"/>
                <w:highlight w:val="none"/>
              </w:rPr>
              <w:t>证明</w:t>
            </w:r>
            <w:r>
              <w:rPr>
                <w:rFonts w:hint="eastAsia" w:ascii="宋体" w:hAnsi="宋体" w:cs="仿宋"/>
                <w:b/>
                <w:bCs/>
                <w:color w:val="auto"/>
                <w:sz w:val="21"/>
                <w:szCs w:val="21"/>
                <w:highlight w:val="none"/>
                <w:lang w:eastAsia="zh-CN"/>
              </w:rPr>
              <w:t>材料</w:t>
            </w:r>
            <w:r>
              <w:rPr>
                <w:rFonts w:hint="eastAsia" w:ascii="宋体" w:hAnsi="宋体" w:cs="仿宋"/>
                <w:b/>
                <w:bCs/>
                <w:color w:val="auto"/>
                <w:sz w:val="21"/>
                <w:szCs w:val="21"/>
                <w:highlight w:val="none"/>
              </w:rPr>
              <w:t>原件</w:t>
            </w:r>
            <w:r>
              <w:rPr>
                <w:rFonts w:hint="eastAsia" w:ascii="宋体" w:hAnsi="宋体" w:cs="仿宋"/>
                <w:b/>
                <w:bCs/>
                <w:color w:val="auto"/>
                <w:sz w:val="21"/>
                <w:szCs w:val="21"/>
                <w:highlight w:val="none"/>
                <w:lang w:eastAsia="zh-CN"/>
              </w:rPr>
              <w:t>扫描件并加盖公章。</w:t>
            </w:r>
          </w:p>
        </w:tc>
        <w:tc>
          <w:tcPr>
            <w:tcW w:w="1559" w:type="dxa"/>
            <w:noWrap w:val="0"/>
            <w:vAlign w:val="center"/>
          </w:tcPr>
          <w:p>
            <w:pPr>
              <w:spacing w:line="360" w:lineRule="auto"/>
              <w:ind w:firstLine="420" w:firstLineChars="200"/>
              <w:jc w:val="center"/>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2</w:t>
            </w:r>
          </w:p>
        </w:tc>
        <w:tc>
          <w:tcPr>
            <w:tcW w:w="1242"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业绩    （</w:t>
            </w:r>
            <w:r>
              <w:rPr>
                <w:rFonts w:hint="eastAsia" w:ascii="宋体" w:hAnsi="宋体" w:cs="仿宋"/>
                <w:color w:val="auto"/>
                <w:sz w:val="21"/>
                <w:szCs w:val="21"/>
                <w:highlight w:val="none"/>
                <w:lang w:val="en-US" w:eastAsia="zh-CN"/>
              </w:rPr>
              <w:t>1</w:t>
            </w:r>
            <w:r>
              <w:rPr>
                <w:rFonts w:hint="eastAsia" w:ascii="宋体" w:hAnsi="宋体" w:cs="仿宋"/>
                <w:color w:val="auto"/>
                <w:sz w:val="21"/>
                <w:szCs w:val="21"/>
                <w:highlight w:val="none"/>
              </w:rPr>
              <w:t>分）</w:t>
            </w:r>
          </w:p>
        </w:tc>
        <w:tc>
          <w:tcPr>
            <w:tcW w:w="6096"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投标人或控股子公司自20</w:t>
            </w:r>
            <w:r>
              <w:rPr>
                <w:rFonts w:hint="eastAsia" w:ascii="宋体" w:hAnsi="宋体" w:cs="仿宋"/>
                <w:color w:val="auto"/>
                <w:sz w:val="21"/>
                <w:szCs w:val="21"/>
                <w:highlight w:val="none"/>
                <w:lang w:val="en-US" w:eastAsia="zh-CN"/>
              </w:rPr>
              <w:t>1</w:t>
            </w:r>
            <w:r>
              <w:rPr>
                <w:rFonts w:hint="default" w:ascii="宋体" w:hAnsi="宋体" w:cs="仿宋"/>
                <w:color w:val="auto"/>
                <w:sz w:val="21"/>
                <w:szCs w:val="21"/>
                <w:highlight w:val="none"/>
                <w:lang w:val="en-US" w:eastAsia="zh-CN"/>
              </w:rPr>
              <w:t>9</w:t>
            </w:r>
            <w:r>
              <w:rPr>
                <w:rFonts w:hint="eastAsia" w:ascii="宋体" w:hAnsi="宋体" w:cs="仿宋"/>
                <w:color w:val="auto"/>
                <w:sz w:val="21"/>
                <w:szCs w:val="21"/>
                <w:highlight w:val="none"/>
              </w:rPr>
              <w:t>年1月1日以来</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lang w:val="en-US" w:eastAsia="zh-CN"/>
              </w:rPr>
              <w:t>以合同签署日为准）</w:t>
            </w:r>
            <w:r>
              <w:rPr>
                <w:rFonts w:hint="eastAsia" w:ascii="宋体" w:hAnsi="宋体" w:cs="仿宋"/>
                <w:color w:val="auto"/>
                <w:sz w:val="21"/>
                <w:szCs w:val="21"/>
                <w:highlight w:val="none"/>
              </w:rPr>
              <w:t>具有垃圾渗滤液处理设施运维业绩</w:t>
            </w:r>
            <w:r>
              <w:rPr>
                <w:rFonts w:hint="eastAsia" w:ascii="宋体" w:hAnsi="宋体" w:cs="仿宋"/>
                <w:color w:val="auto"/>
                <w:sz w:val="21"/>
                <w:szCs w:val="21"/>
                <w:highlight w:val="none"/>
                <w:lang w:eastAsia="zh-CN"/>
              </w:rPr>
              <w:t>具有</w:t>
            </w:r>
            <w:r>
              <w:rPr>
                <w:rFonts w:hint="eastAsia" w:ascii="宋体" w:hAnsi="宋体" w:cs="仿宋"/>
                <w:color w:val="auto"/>
                <w:sz w:val="21"/>
                <w:szCs w:val="21"/>
                <w:highlight w:val="none"/>
                <w:lang w:val="en-US" w:eastAsia="zh-CN"/>
              </w:rPr>
              <w:t>2个及以上合同得1</w:t>
            </w:r>
            <w:r>
              <w:rPr>
                <w:rFonts w:hint="eastAsia" w:ascii="宋体" w:hAnsi="宋体" w:cs="仿宋"/>
                <w:color w:val="auto"/>
                <w:sz w:val="21"/>
                <w:szCs w:val="21"/>
                <w:highlight w:val="none"/>
              </w:rPr>
              <w:t>分，最高</w:t>
            </w:r>
            <w:r>
              <w:rPr>
                <w:rFonts w:hint="eastAsia" w:ascii="宋体" w:hAnsi="宋体" w:cs="仿宋"/>
                <w:color w:val="auto"/>
                <w:sz w:val="21"/>
                <w:szCs w:val="21"/>
                <w:highlight w:val="none"/>
                <w:lang w:val="en-US" w:eastAsia="zh-CN"/>
              </w:rPr>
              <w:t>1</w:t>
            </w:r>
            <w:r>
              <w:rPr>
                <w:rFonts w:hint="eastAsia" w:ascii="宋体" w:hAnsi="宋体" w:cs="仿宋"/>
                <w:color w:val="auto"/>
                <w:sz w:val="21"/>
                <w:szCs w:val="21"/>
                <w:highlight w:val="none"/>
              </w:rPr>
              <w:t>分。</w:t>
            </w:r>
          </w:p>
          <w:p>
            <w:pPr>
              <w:adjustRightInd w:val="0"/>
              <w:snapToGrid w:val="0"/>
              <w:spacing w:line="360" w:lineRule="auto"/>
              <w:ind w:firstLine="422" w:firstLineChars="200"/>
              <w:rPr>
                <w:rFonts w:hint="eastAsia" w:ascii="宋体" w:hAnsi="宋体" w:cs="仿宋"/>
                <w:color w:val="auto"/>
                <w:sz w:val="21"/>
                <w:szCs w:val="21"/>
                <w:highlight w:val="none"/>
              </w:rPr>
            </w:pPr>
            <w:r>
              <w:rPr>
                <w:rFonts w:hint="eastAsia" w:ascii="宋体" w:hAnsi="宋体" w:cs="仿宋"/>
                <w:b/>
                <w:bCs/>
                <w:color w:val="auto"/>
                <w:sz w:val="21"/>
                <w:szCs w:val="21"/>
                <w:highlight w:val="none"/>
                <w:lang w:eastAsia="zh-CN"/>
              </w:rPr>
              <w:t>注：</w:t>
            </w:r>
            <w:r>
              <w:rPr>
                <w:rFonts w:hint="eastAsia" w:ascii="宋体" w:hAnsi="宋体" w:cs="仿宋"/>
                <w:b/>
                <w:bCs/>
                <w:color w:val="auto"/>
                <w:sz w:val="21"/>
                <w:szCs w:val="21"/>
                <w:highlight w:val="none"/>
              </w:rPr>
              <w:t>需提供</w:t>
            </w:r>
            <w:r>
              <w:rPr>
                <w:rFonts w:hint="eastAsia" w:ascii="宋体" w:hAnsi="宋体" w:cs="仿宋"/>
                <w:b/>
                <w:bCs/>
                <w:color w:val="auto"/>
                <w:sz w:val="21"/>
                <w:szCs w:val="21"/>
                <w:highlight w:val="none"/>
                <w:lang w:val="en-US" w:eastAsia="zh-CN"/>
              </w:rPr>
              <w:t>控股子公司的股权关系证明和合同扫描件</w:t>
            </w:r>
            <w:r>
              <w:rPr>
                <w:rFonts w:hint="eastAsia" w:ascii="宋体" w:hAnsi="宋体" w:cs="仿宋"/>
                <w:b/>
                <w:bCs/>
                <w:color w:val="auto"/>
                <w:sz w:val="21"/>
                <w:szCs w:val="21"/>
                <w:highlight w:val="none"/>
              </w:rPr>
              <w:t>并加盖公章</w:t>
            </w:r>
            <w:r>
              <w:rPr>
                <w:rFonts w:hint="eastAsia" w:ascii="宋体" w:hAnsi="宋体" w:cs="仿宋"/>
                <w:b/>
                <w:bCs/>
                <w:color w:val="auto"/>
                <w:sz w:val="21"/>
                <w:szCs w:val="21"/>
                <w:highlight w:val="none"/>
                <w:lang w:eastAsia="zh-CN"/>
              </w:rPr>
              <w:t>。</w:t>
            </w:r>
          </w:p>
        </w:tc>
        <w:tc>
          <w:tcPr>
            <w:tcW w:w="1559" w:type="dxa"/>
            <w:noWrap w:val="0"/>
            <w:vAlign w:val="center"/>
          </w:tcPr>
          <w:p>
            <w:pPr>
              <w:adjustRightInd w:val="0"/>
              <w:snapToGrid w:val="0"/>
              <w:spacing w:line="360" w:lineRule="auto"/>
              <w:ind w:firstLine="420" w:firstLineChars="200"/>
              <w:jc w:val="center"/>
              <w:rPr>
                <w:rFonts w:hint="eastAsia" w:ascii="宋体" w:hAnsi="宋体" w:cs="仿宋"/>
                <w:color w:val="auto"/>
                <w:sz w:val="21"/>
                <w:szCs w:val="21"/>
                <w:highlight w:val="none"/>
              </w:rPr>
            </w:pPr>
            <w:r>
              <w:rPr>
                <w:rFonts w:hint="eastAsia" w:ascii="宋体" w:hAnsi="宋体" w:cs="仿宋"/>
                <w:color w:val="auto"/>
                <w:sz w:val="21"/>
                <w:szCs w:val="21"/>
                <w:highlight w:val="none"/>
              </w:rPr>
              <w:t>0-</w:t>
            </w:r>
            <w:r>
              <w:rPr>
                <w:rFonts w:hint="eastAsia" w:ascii="宋体" w:hAnsi="宋体" w:cs="仿宋"/>
                <w:color w:val="auto"/>
                <w:sz w:val="21"/>
                <w:szCs w:val="21"/>
                <w:highlight w:val="none"/>
                <w:lang w:val="en-US" w:eastAsia="zh-CN"/>
              </w:rPr>
              <w:t>1</w:t>
            </w:r>
            <w:r>
              <w:rPr>
                <w:rFonts w:hint="eastAsia" w:ascii="宋体" w:hAnsi="宋体"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cs="仿宋"/>
                <w:color w:val="auto"/>
                <w:sz w:val="21"/>
                <w:szCs w:val="21"/>
                <w:highlight w:val="none"/>
                <w:lang w:val="en-US" w:eastAsia="zh-CN"/>
              </w:rPr>
            </w:pPr>
            <w:r>
              <w:rPr>
                <w:rFonts w:hint="eastAsia" w:ascii="宋体" w:hAnsi="宋体" w:cs="仿宋"/>
                <w:color w:val="auto"/>
                <w:sz w:val="21"/>
                <w:szCs w:val="21"/>
                <w:highlight w:val="none"/>
                <w:lang w:val="en-US" w:eastAsia="zh-CN"/>
              </w:rPr>
              <w:t>3</w:t>
            </w:r>
          </w:p>
        </w:tc>
        <w:tc>
          <w:tcPr>
            <w:tcW w:w="1242"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4"/>
                <w:highlight w:val="none"/>
                <w:lang w:val="en-US" w:eastAsia="zh-CN"/>
              </w:rPr>
              <w:t>技术实力（12分）</w:t>
            </w:r>
          </w:p>
        </w:tc>
        <w:tc>
          <w:tcPr>
            <w:tcW w:w="6096" w:type="dxa"/>
            <w:noWrap w:val="0"/>
            <w:vAlign w:val="center"/>
          </w:tcPr>
          <w:p>
            <w:pPr>
              <w:adjustRightInd w:val="0"/>
              <w:snapToGrid w:val="0"/>
              <w:spacing w:line="360" w:lineRule="auto"/>
              <w:ind w:firstLine="420" w:firstLineChars="200"/>
              <w:rPr>
                <w:rFonts w:hint="eastAsia" w:ascii="宋体" w:hAnsi="宋体" w:cs="仿宋"/>
                <w:b w:val="0"/>
                <w:bCs w:val="0"/>
                <w:color w:val="auto"/>
                <w:sz w:val="21"/>
                <w:szCs w:val="21"/>
                <w:highlight w:val="none"/>
                <w:lang w:eastAsia="zh-CN"/>
              </w:rPr>
            </w:pPr>
            <w:r>
              <w:rPr>
                <w:rFonts w:hint="eastAsia" w:ascii="宋体" w:hAnsi="宋体" w:cs="仿宋"/>
                <w:b w:val="0"/>
                <w:bCs w:val="0"/>
                <w:color w:val="auto"/>
                <w:sz w:val="21"/>
                <w:szCs w:val="21"/>
                <w:highlight w:val="none"/>
                <w:lang w:eastAsia="zh-CN"/>
              </w:rPr>
              <w:t>1.具有省级科技厅颁发的省级科技型中小企业的证书，得3 分。</w:t>
            </w:r>
          </w:p>
          <w:p>
            <w:pPr>
              <w:adjustRightInd w:val="0"/>
              <w:snapToGrid w:val="0"/>
              <w:spacing w:line="360" w:lineRule="auto"/>
              <w:ind w:firstLine="420" w:firstLineChars="200"/>
              <w:rPr>
                <w:rFonts w:hint="eastAsia" w:ascii="宋体" w:hAnsi="宋体" w:cs="仿宋"/>
                <w:b w:val="0"/>
                <w:bCs w:val="0"/>
                <w:color w:val="auto"/>
                <w:sz w:val="21"/>
                <w:szCs w:val="21"/>
                <w:highlight w:val="none"/>
                <w:lang w:eastAsia="zh-CN"/>
              </w:rPr>
            </w:pPr>
            <w:r>
              <w:rPr>
                <w:rFonts w:hint="eastAsia" w:ascii="宋体" w:hAnsi="宋体" w:cs="仿宋"/>
                <w:b w:val="0"/>
                <w:bCs w:val="0"/>
                <w:color w:val="auto"/>
                <w:sz w:val="21"/>
                <w:szCs w:val="21"/>
                <w:highlight w:val="none"/>
                <w:lang w:eastAsia="zh-CN"/>
              </w:rPr>
              <w:t>2.获得国家知识产权局颁发的与污水处理相关专利证书情况，获得发明专利的每项得 1.5 分，最高得3 分，</w:t>
            </w:r>
          </w:p>
          <w:p>
            <w:pPr>
              <w:adjustRightInd w:val="0"/>
              <w:snapToGrid w:val="0"/>
              <w:spacing w:line="360" w:lineRule="auto"/>
              <w:ind w:firstLine="420" w:firstLineChars="200"/>
              <w:rPr>
                <w:rFonts w:hint="eastAsia" w:ascii="宋体" w:hAnsi="宋体" w:cs="仿宋"/>
                <w:b w:val="0"/>
                <w:bCs w:val="0"/>
                <w:color w:val="auto"/>
                <w:sz w:val="21"/>
                <w:szCs w:val="21"/>
                <w:highlight w:val="none"/>
                <w:lang w:eastAsia="zh-CN"/>
              </w:rPr>
            </w:pPr>
            <w:r>
              <w:rPr>
                <w:rFonts w:hint="eastAsia" w:ascii="宋体" w:hAnsi="宋体" w:cs="仿宋"/>
                <w:b w:val="0"/>
                <w:bCs w:val="0"/>
                <w:color w:val="auto"/>
                <w:sz w:val="21"/>
                <w:szCs w:val="21"/>
                <w:highlight w:val="none"/>
                <w:lang w:eastAsia="zh-CN"/>
              </w:rPr>
              <w:t>3.投标人具有数字化管理能力，拥有能对多个水务环保项目进行统一管理的平台，且平台拥有生产监测、对标分析、成本分 析、运行评估、设备分析、报表管理功能的，得 3 分。</w:t>
            </w:r>
          </w:p>
          <w:p>
            <w:pPr>
              <w:adjustRightInd w:val="0"/>
              <w:snapToGrid w:val="0"/>
              <w:spacing w:line="360" w:lineRule="auto"/>
              <w:ind w:firstLine="420" w:firstLineChars="200"/>
              <w:rPr>
                <w:rFonts w:hint="eastAsia" w:ascii="宋体" w:hAnsi="宋体" w:cs="仿宋"/>
                <w:b w:val="0"/>
                <w:bCs w:val="0"/>
                <w:color w:val="auto"/>
                <w:sz w:val="21"/>
                <w:szCs w:val="21"/>
                <w:highlight w:val="none"/>
                <w:lang w:eastAsia="zh-CN"/>
              </w:rPr>
            </w:pPr>
            <w:r>
              <w:rPr>
                <w:rFonts w:hint="eastAsia" w:ascii="宋体" w:hAnsi="宋体" w:cs="仿宋"/>
                <w:b w:val="0"/>
                <w:bCs w:val="0"/>
                <w:color w:val="auto"/>
                <w:sz w:val="21"/>
                <w:szCs w:val="21"/>
                <w:highlight w:val="none"/>
                <w:lang w:eastAsia="zh-CN"/>
              </w:rPr>
              <w:t>4、投标人具有有效期内中国环境服务认证证书（城镇集中式污水处理设施），服务等级一级的得1分，服务等级为2级的得0.5分。（备注：本项目下游是城市污水处理厂，上下游系统运营，有协同保障关系）</w:t>
            </w:r>
          </w:p>
          <w:p>
            <w:pPr>
              <w:adjustRightInd w:val="0"/>
              <w:snapToGrid w:val="0"/>
              <w:spacing w:line="360" w:lineRule="auto"/>
              <w:ind w:firstLine="420" w:firstLineChars="200"/>
              <w:rPr>
                <w:rFonts w:hint="eastAsia" w:ascii="宋体" w:hAnsi="宋体" w:cs="仿宋"/>
                <w:b w:val="0"/>
                <w:bCs w:val="0"/>
                <w:color w:val="auto"/>
                <w:sz w:val="21"/>
                <w:szCs w:val="21"/>
                <w:highlight w:val="none"/>
                <w:lang w:eastAsia="zh-CN"/>
              </w:rPr>
            </w:pPr>
            <w:r>
              <w:rPr>
                <w:rFonts w:hint="eastAsia" w:ascii="宋体" w:hAnsi="宋体" w:cs="仿宋"/>
                <w:b w:val="0"/>
                <w:bCs w:val="0"/>
                <w:color w:val="auto"/>
                <w:sz w:val="21"/>
                <w:szCs w:val="21"/>
                <w:highlight w:val="none"/>
                <w:lang w:eastAsia="zh-CN"/>
              </w:rPr>
              <w:t>5、投标人具有高新技术企业证书的得2分</w:t>
            </w:r>
          </w:p>
          <w:p>
            <w:pPr>
              <w:adjustRightInd w:val="0"/>
              <w:snapToGrid w:val="0"/>
              <w:spacing w:line="360" w:lineRule="auto"/>
              <w:ind w:firstLine="420" w:firstLineChars="200"/>
              <w:rPr>
                <w:rFonts w:hint="eastAsia" w:ascii="宋体" w:hAnsi="宋体" w:cs="仿宋"/>
                <w:b/>
                <w:bCs/>
                <w:color w:val="auto"/>
                <w:sz w:val="21"/>
                <w:szCs w:val="21"/>
                <w:highlight w:val="none"/>
                <w:lang w:eastAsia="zh-CN"/>
              </w:rPr>
            </w:pPr>
            <w:r>
              <w:rPr>
                <w:rFonts w:hint="eastAsia" w:ascii="宋体" w:hAnsi="宋体" w:cs="仿宋"/>
                <w:b w:val="0"/>
                <w:bCs w:val="0"/>
                <w:color w:val="auto"/>
                <w:sz w:val="21"/>
                <w:szCs w:val="21"/>
                <w:highlight w:val="none"/>
                <w:lang w:eastAsia="zh-CN"/>
              </w:rPr>
              <w:t>注：提供相关证书复印件，数字化管理平台合同复印件，付款凭证，数字化管理平台实地照片并加盖公章。</w:t>
            </w:r>
          </w:p>
        </w:tc>
        <w:tc>
          <w:tcPr>
            <w:tcW w:w="1559" w:type="dxa"/>
            <w:noWrap w:val="0"/>
            <w:vAlign w:val="center"/>
          </w:tcPr>
          <w:p>
            <w:pPr>
              <w:adjustRightInd w:val="0"/>
              <w:snapToGrid w:val="0"/>
              <w:spacing w:line="360" w:lineRule="auto"/>
              <w:ind w:firstLine="420" w:firstLineChars="200"/>
              <w:jc w:val="both"/>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4</w:t>
            </w:r>
          </w:p>
        </w:tc>
        <w:tc>
          <w:tcPr>
            <w:tcW w:w="1242" w:type="dxa"/>
            <w:vMerge w:val="restart"/>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人员技术力量   （8分）</w:t>
            </w:r>
          </w:p>
        </w:tc>
        <w:tc>
          <w:tcPr>
            <w:tcW w:w="6096"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拟派驻项目运维人员专业齐全的得4分，有欠缺不得分。</w:t>
            </w:r>
          </w:p>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1、项目负责人1名：近三年内具备垃圾渗滤液处理设施运维管理经验；具有环保类（包括环境工程、环境保护）</w:t>
            </w:r>
            <w:r>
              <w:rPr>
                <w:rFonts w:hint="eastAsia" w:ascii="宋体" w:hAnsi="宋体" w:cs="仿宋"/>
                <w:color w:val="auto"/>
                <w:sz w:val="21"/>
                <w:szCs w:val="21"/>
                <w:highlight w:val="none"/>
                <w:lang w:val="en-US" w:eastAsia="zh-CN"/>
              </w:rPr>
              <w:t>助理工程师</w:t>
            </w:r>
            <w:r>
              <w:rPr>
                <w:rFonts w:hint="eastAsia" w:ascii="宋体" w:hAnsi="宋体" w:cs="仿宋"/>
                <w:color w:val="auto"/>
                <w:sz w:val="21"/>
                <w:szCs w:val="21"/>
                <w:highlight w:val="none"/>
              </w:rPr>
              <w:t>职称</w:t>
            </w:r>
          </w:p>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2、化验负责人1名：具备水环境监测工三级资质，具有环保类</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lang w:val="en-US" w:eastAsia="zh-CN"/>
              </w:rPr>
              <w:t>包括环境工程、环境保护）</w:t>
            </w:r>
            <w:r>
              <w:rPr>
                <w:rFonts w:hint="eastAsia" w:ascii="宋体" w:hAnsi="宋体" w:cs="仿宋"/>
                <w:color w:val="auto"/>
                <w:sz w:val="21"/>
                <w:szCs w:val="21"/>
                <w:highlight w:val="none"/>
              </w:rPr>
              <w:t>中级职称；</w:t>
            </w:r>
          </w:p>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3、电气负责人1名：具备高压或低压电工作业证；</w:t>
            </w:r>
          </w:p>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4、运维人员至少4名：均需具备工业废水处理工证书。</w:t>
            </w:r>
          </w:p>
          <w:p>
            <w:pPr>
              <w:adjustRightInd w:val="0"/>
              <w:snapToGrid w:val="0"/>
              <w:spacing w:line="360" w:lineRule="auto"/>
              <w:ind w:firstLine="422" w:firstLineChars="200"/>
              <w:rPr>
                <w:rFonts w:hint="eastAsia" w:ascii="宋体" w:hAnsi="宋体" w:cs="仿宋"/>
                <w:color w:val="auto"/>
                <w:sz w:val="21"/>
                <w:szCs w:val="21"/>
                <w:highlight w:val="none"/>
              </w:rPr>
            </w:pPr>
            <w:r>
              <w:rPr>
                <w:rFonts w:hint="eastAsia" w:ascii="宋体" w:hAnsi="宋体" w:cs="仿宋"/>
                <w:b/>
                <w:bCs/>
                <w:color w:val="auto"/>
                <w:sz w:val="21"/>
                <w:szCs w:val="21"/>
                <w:highlight w:val="none"/>
                <w:lang w:eastAsia="zh-CN"/>
              </w:rPr>
              <w:t>注：</w:t>
            </w:r>
            <w:r>
              <w:rPr>
                <w:rFonts w:hint="eastAsia" w:ascii="宋体" w:hAnsi="宋体" w:cs="仿宋"/>
                <w:b/>
                <w:bCs/>
                <w:color w:val="auto"/>
                <w:szCs w:val="21"/>
                <w:highlight w:val="none"/>
              </w:rPr>
              <w:t>拟派人员必须为投标人或其</w:t>
            </w:r>
            <w:r>
              <w:rPr>
                <w:rFonts w:hint="eastAsia" w:ascii="宋体" w:hAnsi="宋体" w:cs="仿宋"/>
                <w:b/>
                <w:bCs/>
                <w:color w:val="auto"/>
                <w:szCs w:val="21"/>
                <w:highlight w:val="none"/>
                <w:lang w:val="en-US" w:eastAsia="zh-CN"/>
              </w:rPr>
              <w:t>控股</w:t>
            </w:r>
            <w:r>
              <w:rPr>
                <w:rFonts w:hint="eastAsia" w:ascii="宋体" w:hAnsi="宋体" w:cs="仿宋"/>
                <w:b/>
                <w:bCs/>
                <w:color w:val="auto"/>
                <w:szCs w:val="21"/>
                <w:highlight w:val="none"/>
              </w:rPr>
              <w:t>子公司人员</w:t>
            </w:r>
            <w:r>
              <w:rPr>
                <w:rFonts w:hint="eastAsia" w:ascii="宋体" w:hAnsi="宋体" w:cs="仿宋"/>
                <w:b/>
                <w:bCs/>
                <w:color w:val="auto"/>
                <w:sz w:val="21"/>
                <w:szCs w:val="21"/>
                <w:highlight w:val="none"/>
              </w:rPr>
              <w:t>，</w:t>
            </w:r>
            <w:r>
              <w:rPr>
                <w:rFonts w:hint="eastAsia" w:ascii="宋体" w:hAnsi="宋体" w:cs="仿宋"/>
                <w:b/>
                <w:bCs/>
                <w:color w:val="auto"/>
                <w:sz w:val="21"/>
                <w:szCs w:val="21"/>
                <w:highlight w:val="none"/>
                <w:lang w:eastAsia="zh-CN"/>
              </w:rPr>
              <w:t>提供相关证明材料和</w:t>
            </w:r>
            <w:r>
              <w:rPr>
                <w:rFonts w:hint="eastAsia" w:ascii="宋体" w:hAnsi="宋体" w:cs="仿宋"/>
                <w:b/>
                <w:bCs/>
                <w:color w:val="auto"/>
                <w:sz w:val="21"/>
                <w:szCs w:val="21"/>
                <w:highlight w:val="none"/>
              </w:rPr>
              <w:t>社保部门出具的社保证明</w:t>
            </w:r>
            <w:r>
              <w:rPr>
                <w:rFonts w:hint="eastAsia" w:ascii="宋体" w:hAnsi="宋体" w:cs="仿宋"/>
                <w:b/>
                <w:bCs/>
                <w:color w:val="auto"/>
                <w:sz w:val="21"/>
                <w:szCs w:val="21"/>
                <w:highlight w:val="none"/>
                <w:lang w:eastAsia="zh-CN"/>
              </w:rPr>
              <w:t>（</w:t>
            </w:r>
            <w:r>
              <w:rPr>
                <w:rFonts w:hint="eastAsia" w:ascii="宋体" w:hAnsi="宋体" w:cs="仿宋"/>
                <w:b/>
                <w:bCs/>
                <w:color w:val="auto"/>
                <w:sz w:val="21"/>
                <w:szCs w:val="21"/>
                <w:highlight w:val="none"/>
              </w:rPr>
              <w:t>提供人员参保时间不低于6个月</w:t>
            </w:r>
            <w:r>
              <w:rPr>
                <w:rFonts w:hint="eastAsia" w:ascii="宋体" w:hAnsi="宋体" w:cs="仿宋"/>
                <w:b/>
                <w:bCs/>
                <w:color w:val="auto"/>
                <w:sz w:val="21"/>
                <w:szCs w:val="21"/>
                <w:highlight w:val="none"/>
                <w:lang w:eastAsia="zh-CN"/>
              </w:rPr>
              <w:t>）原件扫描件并加盖公章</w:t>
            </w:r>
            <w:r>
              <w:rPr>
                <w:rFonts w:hint="eastAsia" w:ascii="宋体" w:hAnsi="宋体" w:cs="仿宋"/>
                <w:b/>
                <w:bCs/>
                <w:color w:val="auto"/>
                <w:sz w:val="21"/>
                <w:szCs w:val="21"/>
                <w:highlight w:val="none"/>
              </w:rPr>
              <w:t>。投标人须承诺拟派技术人员必须到岗，到岗情况列入运维费用支付考核依据。</w:t>
            </w:r>
          </w:p>
        </w:tc>
        <w:tc>
          <w:tcPr>
            <w:tcW w:w="1559" w:type="dxa"/>
            <w:noWrap w:val="0"/>
            <w:vAlign w:val="center"/>
          </w:tcPr>
          <w:p>
            <w:pPr>
              <w:adjustRightInd w:val="0"/>
              <w:snapToGrid w:val="0"/>
              <w:spacing w:line="360" w:lineRule="auto"/>
              <w:ind w:firstLine="420" w:firstLineChars="200"/>
              <w:jc w:val="center"/>
              <w:rPr>
                <w:rFonts w:hint="eastAsia" w:ascii="宋体" w:hAnsi="宋体" w:cs="仿宋"/>
                <w:color w:val="auto"/>
                <w:sz w:val="21"/>
                <w:szCs w:val="21"/>
                <w:highlight w:val="none"/>
              </w:rPr>
            </w:pPr>
            <w:r>
              <w:rPr>
                <w:rFonts w:hint="eastAsia" w:ascii="宋体" w:hAnsi="宋体" w:cs="仿宋"/>
                <w:color w:val="auto"/>
                <w:sz w:val="21"/>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5</w:t>
            </w:r>
          </w:p>
        </w:tc>
        <w:tc>
          <w:tcPr>
            <w:tcW w:w="1242" w:type="dxa"/>
            <w:vMerge w:val="continue"/>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p>
        </w:tc>
        <w:tc>
          <w:tcPr>
            <w:tcW w:w="6096"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投标人</w:t>
            </w:r>
            <w:r>
              <w:rPr>
                <w:rFonts w:hint="eastAsia" w:ascii="宋体" w:hAnsi="宋体" w:cs="仿宋"/>
                <w:color w:val="auto"/>
                <w:sz w:val="21"/>
                <w:szCs w:val="21"/>
                <w:highlight w:val="none"/>
                <w:lang w:val="en-US" w:eastAsia="zh-CN"/>
              </w:rPr>
              <w:t>技术力量强、</w:t>
            </w:r>
            <w:r>
              <w:rPr>
                <w:rFonts w:hint="eastAsia" w:ascii="宋体" w:hAnsi="宋体" w:cs="仿宋"/>
                <w:color w:val="auto"/>
                <w:sz w:val="21"/>
                <w:szCs w:val="21"/>
                <w:highlight w:val="none"/>
              </w:rPr>
              <w:t>技术人员专业齐全的得4分，有欠缺不得分。</w:t>
            </w:r>
          </w:p>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投标人同时具备</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名及以上注册环保工程师、</w:t>
            </w:r>
            <w:r>
              <w:rPr>
                <w:rFonts w:hint="default" w:ascii="宋体" w:hAnsi="宋体" w:cs="仿宋"/>
                <w:color w:val="auto"/>
                <w:sz w:val="21"/>
                <w:szCs w:val="21"/>
                <w:highlight w:val="none"/>
                <w:lang w:val="en-US"/>
              </w:rPr>
              <w:t>2</w:t>
            </w:r>
            <w:r>
              <w:rPr>
                <w:rFonts w:hint="eastAsia" w:ascii="宋体" w:hAnsi="宋体" w:cs="仿宋"/>
                <w:color w:val="auto"/>
                <w:sz w:val="21"/>
                <w:szCs w:val="21"/>
                <w:highlight w:val="none"/>
              </w:rPr>
              <w:t>名及以上环保类（仅包括环境保护、环境工程、给排水）高级工程师、1名及以上机械电气类（仅包括机械技术、机械工程、电气技术）高级工程师。</w:t>
            </w:r>
          </w:p>
          <w:p>
            <w:pPr>
              <w:adjustRightInd w:val="0"/>
              <w:snapToGrid w:val="0"/>
              <w:spacing w:line="360" w:lineRule="auto"/>
              <w:ind w:firstLine="422" w:firstLineChars="200"/>
              <w:rPr>
                <w:rFonts w:hint="eastAsia" w:ascii="宋体" w:hAnsi="宋体" w:cs="仿宋"/>
                <w:color w:val="auto"/>
                <w:sz w:val="21"/>
                <w:szCs w:val="21"/>
                <w:highlight w:val="none"/>
              </w:rPr>
            </w:pPr>
            <w:r>
              <w:rPr>
                <w:rFonts w:hint="eastAsia" w:ascii="宋体" w:hAnsi="宋体" w:cs="仿宋"/>
                <w:b/>
                <w:bCs/>
                <w:color w:val="auto"/>
                <w:sz w:val="21"/>
                <w:szCs w:val="21"/>
                <w:highlight w:val="none"/>
                <w:lang w:eastAsia="zh-CN"/>
              </w:rPr>
              <w:t>注：</w:t>
            </w:r>
            <w:r>
              <w:rPr>
                <w:rFonts w:hint="eastAsia" w:ascii="宋体" w:hAnsi="宋体" w:cs="仿宋"/>
                <w:b/>
                <w:bCs/>
                <w:color w:val="auto"/>
                <w:szCs w:val="21"/>
                <w:highlight w:val="none"/>
              </w:rPr>
              <w:t>拟派人员必须为投标人或其</w:t>
            </w:r>
            <w:r>
              <w:rPr>
                <w:rFonts w:hint="eastAsia" w:ascii="宋体" w:hAnsi="宋体" w:cs="仿宋"/>
                <w:b/>
                <w:bCs/>
                <w:color w:val="auto"/>
                <w:szCs w:val="21"/>
                <w:highlight w:val="none"/>
                <w:lang w:val="en-US" w:eastAsia="zh-CN"/>
              </w:rPr>
              <w:t>控股</w:t>
            </w:r>
            <w:r>
              <w:rPr>
                <w:rFonts w:hint="eastAsia" w:ascii="宋体" w:hAnsi="宋体" w:cs="仿宋"/>
                <w:b/>
                <w:bCs/>
                <w:color w:val="auto"/>
                <w:szCs w:val="21"/>
                <w:highlight w:val="none"/>
              </w:rPr>
              <w:t>子公司人员</w:t>
            </w:r>
            <w:r>
              <w:rPr>
                <w:rFonts w:hint="eastAsia" w:ascii="宋体" w:hAnsi="宋体" w:cs="仿宋"/>
                <w:b/>
                <w:bCs/>
                <w:color w:val="auto"/>
                <w:sz w:val="21"/>
                <w:szCs w:val="21"/>
                <w:highlight w:val="none"/>
              </w:rPr>
              <w:t>，</w:t>
            </w:r>
            <w:r>
              <w:rPr>
                <w:rFonts w:hint="eastAsia" w:ascii="宋体" w:hAnsi="宋体" w:cs="仿宋"/>
                <w:b/>
                <w:bCs/>
                <w:color w:val="auto"/>
                <w:sz w:val="21"/>
                <w:szCs w:val="21"/>
                <w:highlight w:val="none"/>
                <w:lang w:eastAsia="zh-CN"/>
              </w:rPr>
              <w:t>提供相关证明材料（技术职称证书如专业不明的，必须提供大专院校的毕业证书。）和</w:t>
            </w:r>
            <w:r>
              <w:rPr>
                <w:rFonts w:hint="eastAsia" w:ascii="宋体" w:hAnsi="宋体" w:cs="仿宋"/>
                <w:b/>
                <w:bCs/>
                <w:color w:val="auto"/>
                <w:sz w:val="21"/>
                <w:szCs w:val="21"/>
                <w:highlight w:val="none"/>
              </w:rPr>
              <w:t>社保部门出具的社保证明</w:t>
            </w:r>
            <w:r>
              <w:rPr>
                <w:rFonts w:hint="eastAsia" w:ascii="宋体" w:hAnsi="宋体" w:cs="仿宋"/>
                <w:b/>
                <w:bCs/>
                <w:color w:val="auto"/>
                <w:sz w:val="21"/>
                <w:szCs w:val="21"/>
                <w:highlight w:val="none"/>
                <w:lang w:eastAsia="zh-CN"/>
              </w:rPr>
              <w:t>（</w:t>
            </w:r>
            <w:r>
              <w:rPr>
                <w:rFonts w:hint="eastAsia" w:ascii="宋体" w:hAnsi="宋体" w:cs="仿宋"/>
                <w:b/>
                <w:bCs/>
                <w:color w:val="auto"/>
                <w:sz w:val="21"/>
                <w:szCs w:val="21"/>
                <w:highlight w:val="none"/>
              </w:rPr>
              <w:t>提供人员参保时间不低于6个月</w:t>
            </w:r>
            <w:r>
              <w:rPr>
                <w:rFonts w:hint="eastAsia" w:ascii="宋体" w:hAnsi="宋体" w:cs="仿宋"/>
                <w:b/>
                <w:bCs/>
                <w:color w:val="auto"/>
                <w:sz w:val="21"/>
                <w:szCs w:val="21"/>
                <w:highlight w:val="none"/>
                <w:lang w:eastAsia="zh-CN"/>
              </w:rPr>
              <w:t>）原件扫描件并加盖公章</w:t>
            </w:r>
            <w:r>
              <w:rPr>
                <w:rFonts w:hint="eastAsia" w:ascii="宋体" w:hAnsi="宋体" w:cs="仿宋"/>
                <w:b/>
                <w:bCs/>
                <w:color w:val="auto"/>
                <w:sz w:val="21"/>
                <w:szCs w:val="21"/>
                <w:highlight w:val="none"/>
              </w:rPr>
              <w:t>。投标人须承诺拟派技术人员必须到岗，到岗情况列入运维费用支付考核依据。</w:t>
            </w:r>
          </w:p>
        </w:tc>
        <w:tc>
          <w:tcPr>
            <w:tcW w:w="1559"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6</w:t>
            </w:r>
          </w:p>
        </w:tc>
        <w:tc>
          <w:tcPr>
            <w:tcW w:w="1242" w:type="dxa"/>
            <w:vMerge w:val="restart"/>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运营维护方案   （</w:t>
            </w:r>
            <w:r>
              <w:rPr>
                <w:rFonts w:hint="eastAsia" w:ascii="宋体" w:hAnsi="宋体" w:cs="仿宋"/>
                <w:color w:val="auto"/>
                <w:sz w:val="21"/>
                <w:szCs w:val="21"/>
                <w:highlight w:val="none"/>
                <w:lang w:val="en-US" w:eastAsia="zh-CN"/>
              </w:rPr>
              <w:t>58</w:t>
            </w:r>
            <w:r>
              <w:rPr>
                <w:rFonts w:hint="eastAsia" w:ascii="宋体" w:hAnsi="宋体" w:cs="仿宋"/>
                <w:color w:val="auto"/>
                <w:sz w:val="21"/>
                <w:szCs w:val="21"/>
                <w:highlight w:val="none"/>
              </w:rPr>
              <w:t>分）</w:t>
            </w:r>
          </w:p>
        </w:tc>
        <w:tc>
          <w:tcPr>
            <w:tcW w:w="6096"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运营方案：</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对渗滤液处理站工艺描述准确的得</w:t>
            </w:r>
            <w:r>
              <w:rPr>
                <w:rFonts w:hint="eastAsia" w:ascii="宋体" w:hAnsi="宋体" w:cs="仿宋"/>
                <w:color w:val="auto"/>
                <w:sz w:val="21"/>
                <w:szCs w:val="21"/>
                <w:highlight w:val="none"/>
                <w:lang w:val="en-US" w:eastAsia="zh-CN"/>
              </w:rPr>
              <w:t>10-7</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pPr>
              <w:adjustRightInd w:val="0"/>
              <w:snapToGrid w:val="0"/>
              <w:spacing w:line="360" w:lineRule="auto"/>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对渗滤液处理站工艺描述</w:t>
            </w:r>
            <w:r>
              <w:rPr>
                <w:rFonts w:hint="eastAsia" w:ascii="宋体" w:hAnsi="宋体" w:cs="仿宋"/>
                <w:color w:val="auto"/>
                <w:sz w:val="21"/>
                <w:szCs w:val="21"/>
                <w:highlight w:val="none"/>
                <w:lang w:eastAsia="zh-CN"/>
              </w:rPr>
              <w:t>较</w:t>
            </w:r>
            <w:r>
              <w:rPr>
                <w:rFonts w:hint="eastAsia" w:ascii="宋体" w:hAnsi="宋体" w:cs="仿宋"/>
                <w:color w:val="auto"/>
                <w:sz w:val="21"/>
                <w:szCs w:val="21"/>
                <w:highlight w:val="none"/>
              </w:rPr>
              <w:t>准确的得</w:t>
            </w:r>
            <w:r>
              <w:rPr>
                <w:rFonts w:hint="eastAsia" w:ascii="宋体" w:hAnsi="宋体" w:cs="仿宋"/>
                <w:color w:val="auto"/>
                <w:sz w:val="21"/>
                <w:szCs w:val="21"/>
                <w:highlight w:val="none"/>
                <w:lang w:val="en-US" w:eastAsia="zh-CN"/>
              </w:rPr>
              <w:t>6.9-3分；</w:t>
            </w:r>
          </w:p>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对渗滤液处理站工艺描述</w:t>
            </w:r>
            <w:r>
              <w:rPr>
                <w:rFonts w:hint="eastAsia" w:ascii="宋体" w:hAnsi="宋体" w:cs="仿宋"/>
                <w:color w:val="auto"/>
                <w:sz w:val="21"/>
                <w:szCs w:val="21"/>
                <w:highlight w:val="none"/>
                <w:lang w:eastAsia="zh-CN"/>
              </w:rPr>
              <w:t>不精确</w:t>
            </w:r>
            <w:r>
              <w:rPr>
                <w:rFonts w:hint="eastAsia" w:ascii="宋体" w:hAnsi="宋体" w:cs="仿宋"/>
                <w:color w:val="auto"/>
                <w:sz w:val="21"/>
                <w:szCs w:val="21"/>
                <w:highlight w:val="none"/>
              </w:rPr>
              <w:t>的得</w:t>
            </w:r>
            <w:r>
              <w:rPr>
                <w:rFonts w:hint="eastAsia" w:ascii="宋体" w:hAnsi="宋体" w:cs="仿宋"/>
                <w:color w:val="auto"/>
                <w:sz w:val="21"/>
                <w:szCs w:val="21"/>
                <w:highlight w:val="none"/>
                <w:lang w:val="en-US" w:eastAsia="zh-CN"/>
              </w:rPr>
              <w:t>2.9-0分；</w:t>
            </w:r>
          </w:p>
        </w:tc>
        <w:tc>
          <w:tcPr>
            <w:tcW w:w="1559" w:type="dxa"/>
            <w:noWrap w:val="0"/>
            <w:vAlign w:val="center"/>
          </w:tcPr>
          <w:p>
            <w:pPr>
              <w:adjustRightInd w:val="0"/>
              <w:snapToGrid w:val="0"/>
              <w:spacing w:line="360" w:lineRule="auto"/>
              <w:ind w:firstLine="420" w:firstLineChars="200"/>
              <w:jc w:val="center"/>
              <w:rPr>
                <w:rFonts w:hint="eastAsia" w:ascii="宋体" w:hAnsi="宋体" w:cs="仿宋"/>
                <w:color w:val="auto"/>
                <w:sz w:val="21"/>
                <w:szCs w:val="21"/>
                <w:highlight w:val="none"/>
              </w:rPr>
            </w:pPr>
            <w:r>
              <w:rPr>
                <w:rFonts w:hint="eastAsia" w:ascii="宋体" w:hAnsi="宋体" w:cs="仿宋"/>
                <w:color w:val="auto"/>
                <w:sz w:val="21"/>
                <w:szCs w:val="21"/>
                <w:highlight w:val="none"/>
              </w:rPr>
              <w:t>0-</w:t>
            </w:r>
            <w:r>
              <w:rPr>
                <w:rFonts w:hint="eastAsia" w:ascii="宋体" w:hAnsi="宋体" w:cs="仿宋"/>
                <w:color w:val="auto"/>
                <w:sz w:val="21"/>
                <w:szCs w:val="21"/>
                <w:highlight w:val="none"/>
                <w:lang w:val="en-US" w:eastAsia="zh-CN"/>
              </w:rPr>
              <w:t>10</w:t>
            </w:r>
            <w:r>
              <w:rPr>
                <w:rFonts w:hint="eastAsia" w:ascii="宋体" w:hAnsi="宋体"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7</w:t>
            </w:r>
          </w:p>
        </w:tc>
        <w:tc>
          <w:tcPr>
            <w:tcW w:w="1242" w:type="dxa"/>
            <w:vMerge w:val="continue"/>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p>
        </w:tc>
        <w:tc>
          <w:tcPr>
            <w:tcW w:w="6096"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运营管理制度：</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对垃圾渗滤液处理运营管理制度情况健全得</w:t>
            </w:r>
            <w:r>
              <w:rPr>
                <w:rFonts w:hint="eastAsia" w:ascii="宋体" w:hAnsi="宋体" w:cs="仿宋"/>
                <w:color w:val="auto"/>
                <w:sz w:val="21"/>
                <w:szCs w:val="21"/>
                <w:highlight w:val="none"/>
                <w:lang w:val="en-US" w:eastAsia="zh-CN"/>
              </w:rPr>
              <w:t>8-6</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对垃圾渗滤液处理运营管理制度情况</w:t>
            </w:r>
            <w:r>
              <w:rPr>
                <w:rFonts w:hint="eastAsia" w:ascii="宋体" w:hAnsi="宋体" w:cs="仿宋"/>
                <w:color w:val="auto"/>
                <w:sz w:val="21"/>
                <w:szCs w:val="21"/>
                <w:highlight w:val="none"/>
                <w:lang w:eastAsia="zh-CN"/>
              </w:rPr>
              <w:t>较</w:t>
            </w:r>
            <w:r>
              <w:rPr>
                <w:rFonts w:hint="eastAsia" w:ascii="宋体" w:hAnsi="宋体" w:cs="仿宋"/>
                <w:color w:val="auto"/>
                <w:sz w:val="21"/>
                <w:szCs w:val="21"/>
                <w:highlight w:val="none"/>
              </w:rPr>
              <w:t>健全得</w:t>
            </w:r>
            <w:r>
              <w:rPr>
                <w:rFonts w:hint="eastAsia" w:ascii="宋体" w:hAnsi="宋体" w:cs="仿宋"/>
                <w:color w:val="auto"/>
                <w:sz w:val="21"/>
                <w:szCs w:val="21"/>
                <w:highlight w:val="none"/>
                <w:lang w:val="en-US" w:eastAsia="zh-CN"/>
              </w:rPr>
              <w:t>5.9-3</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对垃圾渗滤液处理运营管理制度情况</w:t>
            </w:r>
            <w:r>
              <w:rPr>
                <w:rFonts w:hint="eastAsia" w:ascii="宋体" w:hAnsi="宋体" w:cs="仿宋"/>
                <w:color w:val="auto"/>
                <w:sz w:val="21"/>
                <w:szCs w:val="21"/>
                <w:highlight w:val="none"/>
                <w:lang w:eastAsia="zh-CN"/>
              </w:rPr>
              <w:t>不</w:t>
            </w:r>
            <w:r>
              <w:rPr>
                <w:rFonts w:hint="eastAsia" w:ascii="宋体" w:hAnsi="宋体" w:cs="仿宋"/>
                <w:color w:val="auto"/>
                <w:sz w:val="21"/>
                <w:szCs w:val="21"/>
                <w:highlight w:val="none"/>
              </w:rPr>
              <w:t>健全得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.9-0分。</w:t>
            </w:r>
          </w:p>
        </w:tc>
        <w:tc>
          <w:tcPr>
            <w:tcW w:w="1559"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0-</w:t>
            </w:r>
            <w:r>
              <w:rPr>
                <w:rFonts w:hint="eastAsia" w:ascii="宋体" w:hAnsi="宋体" w:cs="仿宋"/>
                <w:color w:val="auto"/>
                <w:sz w:val="21"/>
                <w:szCs w:val="21"/>
                <w:highlight w:val="none"/>
                <w:lang w:val="en-US" w:eastAsia="zh-CN"/>
              </w:rPr>
              <w:t>8</w:t>
            </w:r>
            <w:r>
              <w:rPr>
                <w:rFonts w:hint="eastAsia" w:ascii="宋体" w:hAnsi="宋体"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8</w:t>
            </w:r>
          </w:p>
        </w:tc>
        <w:tc>
          <w:tcPr>
            <w:tcW w:w="1242" w:type="dxa"/>
            <w:vMerge w:val="continue"/>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p>
        </w:tc>
        <w:tc>
          <w:tcPr>
            <w:tcW w:w="6096"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岗位职责：</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对岗位职责</w:t>
            </w:r>
            <w:r>
              <w:rPr>
                <w:rFonts w:hint="eastAsia" w:ascii="宋体" w:hAnsi="宋体" w:cs="仿宋"/>
                <w:color w:val="auto"/>
                <w:sz w:val="21"/>
                <w:szCs w:val="21"/>
                <w:highlight w:val="none"/>
                <w:lang w:eastAsia="zh-CN"/>
              </w:rPr>
              <w:t>安排</w:t>
            </w:r>
            <w:r>
              <w:rPr>
                <w:rFonts w:hint="eastAsia" w:ascii="宋体" w:hAnsi="宋体" w:cs="仿宋"/>
                <w:color w:val="auto"/>
                <w:sz w:val="21"/>
                <w:szCs w:val="21"/>
                <w:highlight w:val="none"/>
              </w:rPr>
              <w:t>合理</w:t>
            </w:r>
            <w:r>
              <w:rPr>
                <w:rFonts w:hint="eastAsia" w:ascii="宋体" w:hAnsi="宋体" w:cs="仿宋"/>
                <w:color w:val="auto"/>
                <w:sz w:val="21"/>
                <w:szCs w:val="21"/>
                <w:highlight w:val="none"/>
                <w:lang w:eastAsia="zh-CN"/>
              </w:rPr>
              <w:t>，人员制度</w:t>
            </w:r>
            <w:r>
              <w:rPr>
                <w:rFonts w:hint="eastAsia" w:ascii="宋体" w:hAnsi="宋体" w:cs="仿宋"/>
                <w:color w:val="auto"/>
                <w:sz w:val="21"/>
                <w:szCs w:val="21"/>
                <w:highlight w:val="none"/>
              </w:rPr>
              <w:t>健全得</w:t>
            </w:r>
            <w:r>
              <w:rPr>
                <w:rFonts w:hint="eastAsia" w:ascii="宋体" w:hAnsi="宋体" w:cs="仿宋"/>
                <w:color w:val="auto"/>
                <w:sz w:val="21"/>
                <w:szCs w:val="21"/>
                <w:highlight w:val="none"/>
                <w:lang w:val="en-US" w:eastAsia="zh-CN"/>
              </w:rPr>
              <w:t>8-6</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pPr>
              <w:adjustRightInd w:val="0"/>
              <w:snapToGrid w:val="0"/>
              <w:spacing w:line="360" w:lineRule="auto"/>
              <w:rPr>
                <w:rFonts w:hint="eastAsia" w:ascii="宋体" w:hAnsi="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对岗位职责</w:t>
            </w:r>
            <w:r>
              <w:rPr>
                <w:rFonts w:hint="eastAsia" w:ascii="宋体" w:hAnsi="宋体" w:cs="仿宋"/>
                <w:color w:val="auto"/>
                <w:sz w:val="21"/>
                <w:szCs w:val="21"/>
                <w:highlight w:val="none"/>
                <w:lang w:eastAsia="zh-CN"/>
              </w:rPr>
              <w:t>安排较</w:t>
            </w:r>
            <w:r>
              <w:rPr>
                <w:rFonts w:hint="eastAsia" w:ascii="宋体" w:hAnsi="宋体" w:cs="仿宋"/>
                <w:color w:val="auto"/>
                <w:sz w:val="21"/>
                <w:szCs w:val="21"/>
                <w:highlight w:val="none"/>
              </w:rPr>
              <w:t>合理</w:t>
            </w:r>
            <w:r>
              <w:rPr>
                <w:rFonts w:hint="eastAsia" w:ascii="宋体" w:hAnsi="宋体" w:cs="仿宋"/>
                <w:color w:val="auto"/>
                <w:sz w:val="21"/>
                <w:szCs w:val="21"/>
                <w:highlight w:val="none"/>
                <w:lang w:eastAsia="zh-CN"/>
              </w:rPr>
              <w:t>，人员制度较</w:t>
            </w:r>
            <w:r>
              <w:rPr>
                <w:rFonts w:hint="eastAsia" w:ascii="宋体" w:hAnsi="宋体" w:cs="仿宋"/>
                <w:color w:val="auto"/>
                <w:sz w:val="21"/>
                <w:szCs w:val="21"/>
                <w:highlight w:val="none"/>
              </w:rPr>
              <w:t>健全得</w:t>
            </w:r>
            <w:r>
              <w:rPr>
                <w:rFonts w:hint="eastAsia" w:ascii="宋体" w:hAnsi="宋体" w:cs="仿宋"/>
                <w:color w:val="auto"/>
                <w:sz w:val="21"/>
                <w:szCs w:val="21"/>
                <w:highlight w:val="none"/>
                <w:lang w:val="en-US" w:eastAsia="zh-CN"/>
              </w:rPr>
              <w:t>5</w:t>
            </w:r>
            <w:r>
              <w:rPr>
                <w:rFonts w:hint="eastAsia" w:ascii="宋体" w:hAnsi="宋体" w:cs="仿宋"/>
                <w:color w:val="auto"/>
                <w:sz w:val="21"/>
                <w:szCs w:val="21"/>
                <w:highlight w:val="none"/>
              </w:rPr>
              <w:t>.9-</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对岗位职责</w:t>
            </w:r>
            <w:r>
              <w:rPr>
                <w:rFonts w:hint="eastAsia" w:ascii="宋体" w:hAnsi="宋体" w:cs="仿宋"/>
                <w:color w:val="auto"/>
                <w:sz w:val="21"/>
                <w:szCs w:val="21"/>
                <w:highlight w:val="none"/>
                <w:lang w:eastAsia="zh-CN"/>
              </w:rPr>
              <w:t>安排不</w:t>
            </w:r>
            <w:r>
              <w:rPr>
                <w:rFonts w:hint="eastAsia" w:ascii="宋体" w:hAnsi="宋体" w:cs="仿宋"/>
                <w:color w:val="auto"/>
                <w:sz w:val="21"/>
                <w:szCs w:val="21"/>
                <w:highlight w:val="none"/>
              </w:rPr>
              <w:t>合理</w:t>
            </w:r>
            <w:r>
              <w:rPr>
                <w:rFonts w:hint="eastAsia" w:ascii="宋体" w:hAnsi="宋体" w:cs="仿宋"/>
                <w:color w:val="auto"/>
                <w:sz w:val="21"/>
                <w:szCs w:val="21"/>
                <w:highlight w:val="none"/>
                <w:lang w:eastAsia="zh-CN"/>
              </w:rPr>
              <w:t>，人员制度不</w:t>
            </w:r>
            <w:r>
              <w:rPr>
                <w:rFonts w:hint="eastAsia" w:ascii="宋体" w:hAnsi="宋体" w:cs="仿宋"/>
                <w:color w:val="auto"/>
                <w:sz w:val="21"/>
                <w:szCs w:val="21"/>
                <w:highlight w:val="none"/>
              </w:rPr>
              <w:t>健全得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.9-0分。</w:t>
            </w:r>
          </w:p>
        </w:tc>
        <w:tc>
          <w:tcPr>
            <w:tcW w:w="1559"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0-</w:t>
            </w:r>
            <w:r>
              <w:rPr>
                <w:rFonts w:hint="eastAsia" w:ascii="宋体" w:hAnsi="宋体" w:cs="仿宋"/>
                <w:color w:val="auto"/>
                <w:sz w:val="21"/>
                <w:szCs w:val="21"/>
                <w:highlight w:val="none"/>
                <w:lang w:val="en-US" w:eastAsia="zh-CN"/>
              </w:rPr>
              <w:t>8</w:t>
            </w:r>
            <w:r>
              <w:rPr>
                <w:rFonts w:hint="eastAsia" w:ascii="宋体" w:hAnsi="宋体"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9</w:t>
            </w:r>
          </w:p>
        </w:tc>
        <w:tc>
          <w:tcPr>
            <w:tcW w:w="1242" w:type="dxa"/>
            <w:vMerge w:val="continue"/>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p>
        </w:tc>
        <w:tc>
          <w:tcPr>
            <w:tcW w:w="6096"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日常操作：</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对日常操作方法</w:t>
            </w:r>
            <w:r>
              <w:rPr>
                <w:rFonts w:hint="eastAsia" w:ascii="宋体" w:hAnsi="宋体" w:cs="仿宋"/>
                <w:color w:val="auto"/>
                <w:sz w:val="21"/>
                <w:szCs w:val="21"/>
                <w:highlight w:val="none"/>
                <w:lang w:eastAsia="zh-CN"/>
              </w:rPr>
              <w:t>描述</w:t>
            </w:r>
            <w:r>
              <w:rPr>
                <w:rFonts w:hint="eastAsia" w:ascii="宋体" w:hAnsi="宋体" w:cs="仿宋"/>
                <w:color w:val="auto"/>
                <w:sz w:val="21"/>
                <w:szCs w:val="21"/>
                <w:highlight w:val="none"/>
              </w:rPr>
              <w:t>合理</w:t>
            </w:r>
            <w:r>
              <w:rPr>
                <w:rFonts w:hint="eastAsia" w:ascii="宋体" w:hAnsi="宋体" w:cs="仿宋"/>
                <w:color w:val="auto"/>
                <w:sz w:val="21"/>
                <w:szCs w:val="21"/>
                <w:highlight w:val="none"/>
                <w:lang w:eastAsia="zh-CN"/>
              </w:rPr>
              <w:t>的</w:t>
            </w:r>
            <w:r>
              <w:rPr>
                <w:rFonts w:hint="eastAsia" w:ascii="宋体" w:hAnsi="宋体" w:cs="仿宋"/>
                <w:color w:val="auto"/>
                <w:sz w:val="21"/>
                <w:szCs w:val="21"/>
                <w:highlight w:val="none"/>
              </w:rPr>
              <w:t>得</w:t>
            </w:r>
            <w:r>
              <w:rPr>
                <w:rFonts w:hint="eastAsia" w:ascii="宋体" w:hAnsi="宋体" w:cs="仿宋"/>
                <w:color w:val="auto"/>
                <w:sz w:val="21"/>
                <w:szCs w:val="21"/>
                <w:highlight w:val="none"/>
                <w:lang w:val="en-US" w:eastAsia="zh-CN"/>
              </w:rPr>
              <w:t>8-6</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pPr>
              <w:adjustRightInd w:val="0"/>
              <w:snapToGrid w:val="0"/>
              <w:spacing w:line="360" w:lineRule="auto"/>
              <w:rPr>
                <w:rFonts w:hint="eastAsia" w:ascii="宋体" w:hAnsi="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对日常操作方法</w:t>
            </w:r>
            <w:r>
              <w:rPr>
                <w:rFonts w:hint="eastAsia" w:ascii="宋体" w:hAnsi="宋体" w:cs="仿宋"/>
                <w:color w:val="auto"/>
                <w:sz w:val="21"/>
                <w:szCs w:val="21"/>
                <w:highlight w:val="none"/>
                <w:lang w:eastAsia="zh-CN"/>
              </w:rPr>
              <w:t>描述</w:t>
            </w:r>
            <w:r>
              <w:rPr>
                <w:rFonts w:hint="eastAsia" w:ascii="宋体" w:hAnsi="宋体" w:cs="仿宋"/>
                <w:color w:val="auto"/>
                <w:sz w:val="21"/>
                <w:szCs w:val="21"/>
                <w:highlight w:val="none"/>
              </w:rPr>
              <w:t>较合理的得</w:t>
            </w:r>
            <w:r>
              <w:rPr>
                <w:rFonts w:hint="eastAsia" w:ascii="宋体" w:hAnsi="宋体" w:cs="仿宋"/>
                <w:color w:val="auto"/>
                <w:sz w:val="21"/>
                <w:szCs w:val="21"/>
                <w:highlight w:val="none"/>
                <w:lang w:val="en-US" w:eastAsia="zh-CN"/>
              </w:rPr>
              <w:t>5</w:t>
            </w:r>
            <w:r>
              <w:rPr>
                <w:rFonts w:hint="eastAsia" w:ascii="宋体" w:hAnsi="宋体" w:cs="仿宋"/>
                <w:color w:val="auto"/>
                <w:sz w:val="21"/>
                <w:szCs w:val="21"/>
                <w:highlight w:val="none"/>
              </w:rPr>
              <w:t>.9-</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对日常操作方法</w:t>
            </w:r>
            <w:r>
              <w:rPr>
                <w:rFonts w:hint="eastAsia" w:ascii="宋体" w:hAnsi="宋体" w:cs="仿宋"/>
                <w:color w:val="auto"/>
                <w:sz w:val="21"/>
                <w:szCs w:val="21"/>
                <w:highlight w:val="none"/>
                <w:lang w:eastAsia="zh-CN"/>
              </w:rPr>
              <w:t>描述不</w:t>
            </w:r>
            <w:r>
              <w:rPr>
                <w:rFonts w:hint="eastAsia" w:ascii="宋体" w:hAnsi="宋体" w:cs="仿宋"/>
                <w:color w:val="auto"/>
                <w:sz w:val="21"/>
                <w:szCs w:val="21"/>
                <w:highlight w:val="none"/>
              </w:rPr>
              <w:t>合理的得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.9-0分</w:t>
            </w:r>
            <w:r>
              <w:rPr>
                <w:rFonts w:hint="eastAsia" w:ascii="宋体" w:hAnsi="宋体" w:cs="仿宋"/>
                <w:color w:val="auto"/>
                <w:sz w:val="21"/>
                <w:szCs w:val="21"/>
                <w:highlight w:val="none"/>
                <w:lang w:eastAsia="zh-CN"/>
              </w:rPr>
              <w:t>。</w:t>
            </w:r>
          </w:p>
        </w:tc>
        <w:tc>
          <w:tcPr>
            <w:tcW w:w="1559"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lang w:val="en-US" w:eastAsia="zh-CN"/>
              </w:rPr>
              <w:t>0-8</w:t>
            </w:r>
            <w:r>
              <w:rPr>
                <w:rFonts w:hint="eastAsia" w:ascii="宋体" w:hAnsi="宋体"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10</w:t>
            </w:r>
          </w:p>
        </w:tc>
        <w:tc>
          <w:tcPr>
            <w:tcW w:w="1242" w:type="dxa"/>
            <w:vMerge w:val="continue"/>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p>
        </w:tc>
        <w:tc>
          <w:tcPr>
            <w:tcW w:w="6096"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设备维护保养：</w:t>
            </w:r>
          </w:p>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对设备维护保养方案</w:t>
            </w:r>
            <w:r>
              <w:rPr>
                <w:rFonts w:hint="eastAsia" w:ascii="宋体" w:hAnsi="宋体" w:cs="仿宋"/>
                <w:color w:val="auto"/>
                <w:sz w:val="21"/>
                <w:szCs w:val="21"/>
                <w:highlight w:val="none"/>
                <w:lang w:eastAsia="zh-CN"/>
              </w:rPr>
              <w:t>描述</w:t>
            </w:r>
            <w:r>
              <w:rPr>
                <w:rFonts w:hint="eastAsia" w:ascii="宋体" w:hAnsi="宋体" w:cs="仿宋"/>
                <w:color w:val="auto"/>
                <w:sz w:val="21"/>
                <w:szCs w:val="21"/>
                <w:highlight w:val="none"/>
              </w:rPr>
              <w:t>合理的得6-4分，</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对设备维护保养方案</w:t>
            </w:r>
            <w:r>
              <w:rPr>
                <w:rFonts w:hint="eastAsia" w:ascii="宋体" w:hAnsi="宋体" w:cs="仿宋"/>
                <w:color w:val="auto"/>
                <w:sz w:val="21"/>
                <w:szCs w:val="21"/>
                <w:highlight w:val="none"/>
                <w:lang w:eastAsia="zh-CN"/>
              </w:rPr>
              <w:t>描述较</w:t>
            </w:r>
            <w:r>
              <w:rPr>
                <w:rFonts w:hint="eastAsia" w:ascii="宋体" w:hAnsi="宋体" w:cs="仿宋"/>
                <w:color w:val="auto"/>
                <w:sz w:val="21"/>
                <w:szCs w:val="21"/>
                <w:highlight w:val="none"/>
              </w:rPr>
              <w:t>合理的得3.9-2分，</w:t>
            </w:r>
            <w:r>
              <w:rPr>
                <w:rFonts w:hint="eastAsia" w:ascii="宋体" w:hAnsi="宋体" w:cs="仿宋"/>
                <w:color w:val="auto"/>
                <w:sz w:val="21"/>
                <w:szCs w:val="21"/>
                <w:highlight w:val="none"/>
              </w:rPr>
              <w:br w:type="textWrapping"/>
            </w: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对设备维护保养方案</w:t>
            </w:r>
            <w:r>
              <w:rPr>
                <w:rFonts w:hint="eastAsia" w:ascii="宋体" w:hAnsi="宋体" w:cs="仿宋"/>
                <w:color w:val="auto"/>
                <w:sz w:val="21"/>
                <w:szCs w:val="21"/>
                <w:highlight w:val="none"/>
                <w:lang w:eastAsia="zh-CN"/>
              </w:rPr>
              <w:t>描述不</w:t>
            </w:r>
            <w:r>
              <w:rPr>
                <w:rFonts w:hint="eastAsia" w:ascii="宋体" w:hAnsi="宋体" w:cs="仿宋"/>
                <w:color w:val="auto"/>
                <w:sz w:val="21"/>
                <w:szCs w:val="21"/>
                <w:highlight w:val="none"/>
              </w:rPr>
              <w:t>合理的得1.9-0分</w:t>
            </w:r>
            <w:r>
              <w:rPr>
                <w:rFonts w:hint="eastAsia" w:ascii="宋体" w:hAnsi="宋体" w:cs="仿宋"/>
                <w:color w:val="auto"/>
                <w:sz w:val="21"/>
                <w:szCs w:val="21"/>
                <w:highlight w:val="none"/>
                <w:lang w:eastAsia="zh-CN"/>
              </w:rPr>
              <w:t>。</w:t>
            </w:r>
          </w:p>
        </w:tc>
        <w:tc>
          <w:tcPr>
            <w:tcW w:w="1559"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11</w:t>
            </w:r>
          </w:p>
        </w:tc>
        <w:tc>
          <w:tcPr>
            <w:tcW w:w="1242" w:type="dxa"/>
            <w:vMerge w:val="continue"/>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p>
        </w:tc>
        <w:tc>
          <w:tcPr>
            <w:tcW w:w="6096"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日常监测管理：</w:t>
            </w:r>
          </w:p>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对日常监测管理情况</w:t>
            </w:r>
            <w:r>
              <w:rPr>
                <w:rFonts w:hint="eastAsia" w:ascii="宋体" w:hAnsi="宋体" w:cs="仿宋"/>
                <w:color w:val="auto"/>
                <w:sz w:val="21"/>
                <w:szCs w:val="21"/>
                <w:highlight w:val="none"/>
                <w:lang w:eastAsia="zh-CN"/>
              </w:rPr>
              <w:t>描述</w:t>
            </w:r>
            <w:r>
              <w:rPr>
                <w:rFonts w:hint="eastAsia" w:ascii="宋体" w:hAnsi="宋体" w:cs="仿宋"/>
                <w:color w:val="auto"/>
                <w:sz w:val="21"/>
                <w:szCs w:val="21"/>
                <w:highlight w:val="none"/>
              </w:rPr>
              <w:t>完善的得</w:t>
            </w:r>
            <w:r>
              <w:rPr>
                <w:rFonts w:hint="eastAsia" w:ascii="宋体" w:hAnsi="宋体" w:cs="仿宋"/>
                <w:color w:val="auto"/>
                <w:sz w:val="21"/>
                <w:szCs w:val="21"/>
                <w:highlight w:val="none"/>
                <w:lang w:val="en-US" w:eastAsia="zh-CN"/>
              </w:rPr>
              <w:t>6-4</w:t>
            </w:r>
            <w:r>
              <w:rPr>
                <w:rFonts w:hint="eastAsia" w:ascii="宋体" w:hAnsi="宋体" w:cs="仿宋"/>
                <w:color w:val="auto"/>
                <w:sz w:val="21"/>
                <w:szCs w:val="21"/>
                <w:highlight w:val="none"/>
              </w:rPr>
              <w:t>分；</w:t>
            </w:r>
          </w:p>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对日常监测管理情况</w:t>
            </w:r>
            <w:r>
              <w:rPr>
                <w:rFonts w:hint="eastAsia" w:ascii="宋体" w:hAnsi="宋体" w:cs="仿宋"/>
                <w:color w:val="auto"/>
                <w:sz w:val="21"/>
                <w:szCs w:val="21"/>
                <w:highlight w:val="none"/>
                <w:lang w:eastAsia="zh-CN"/>
              </w:rPr>
              <w:t>描述较</w:t>
            </w:r>
            <w:r>
              <w:rPr>
                <w:rFonts w:hint="eastAsia" w:ascii="宋体" w:hAnsi="宋体" w:cs="仿宋"/>
                <w:color w:val="auto"/>
                <w:sz w:val="21"/>
                <w:szCs w:val="21"/>
                <w:highlight w:val="none"/>
              </w:rPr>
              <w:t>完善的得</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.9-2分，</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对日常监测管理情况</w:t>
            </w:r>
            <w:r>
              <w:rPr>
                <w:rFonts w:hint="eastAsia" w:ascii="宋体" w:hAnsi="宋体" w:cs="仿宋"/>
                <w:color w:val="auto"/>
                <w:sz w:val="21"/>
                <w:szCs w:val="21"/>
                <w:highlight w:val="none"/>
                <w:lang w:eastAsia="zh-CN"/>
              </w:rPr>
              <w:t>描述不</w:t>
            </w:r>
            <w:r>
              <w:rPr>
                <w:rFonts w:hint="eastAsia" w:ascii="宋体" w:hAnsi="宋体" w:cs="仿宋"/>
                <w:color w:val="auto"/>
                <w:sz w:val="21"/>
                <w:szCs w:val="21"/>
                <w:highlight w:val="none"/>
              </w:rPr>
              <w:t>完善的得</w:t>
            </w:r>
            <w:r>
              <w:rPr>
                <w:rFonts w:hint="eastAsia" w:ascii="宋体" w:hAnsi="宋体" w:cs="仿宋"/>
                <w:color w:val="auto"/>
                <w:sz w:val="21"/>
                <w:szCs w:val="21"/>
                <w:highlight w:val="none"/>
                <w:lang w:val="en-US" w:eastAsia="zh-CN"/>
              </w:rPr>
              <w:t>1.9</w:t>
            </w:r>
            <w:r>
              <w:rPr>
                <w:rFonts w:hint="eastAsia" w:ascii="宋体" w:hAnsi="宋体" w:cs="仿宋"/>
                <w:color w:val="auto"/>
                <w:sz w:val="21"/>
                <w:szCs w:val="21"/>
                <w:highlight w:val="none"/>
              </w:rPr>
              <w:t>-0分</w:t>
            </w:r>
            <w:r>
              <w:rPr>
                <w:rFonts w:hint="eastAsia" w:ascii="宋体" w:hAnsi="宋体" w:cs="仿宋"/>
                <w:color w:val="auto"/>
                <w:sz w:val="21"/>
                <w:szCs w:val="21"/>
                <w:highlight w:val="none"/>
                <w:lang w:eastAsia="zh-CN"/>
              </w:rPr>
              <w:t>。</w:t>
            </w:r>
          </w:p>
        </w:tc>
        <w:tc>
          <w:tcPr>
            <w:tcW w:w="1559"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0-</w:t>
            </w:r>
            <w:r>
              <w:rPr>
                <w:rFonts w:hint="eastAsia" w:ascii="宋体" w:hAnsi="宋体" w:cs="仿宋"/>
                <w:color w:val="auto"/>
                <w:sz w:val="21"/>
                <w:szCs w:val="21"/>
                <w:highlight w:val="none"/>
                <w:lang w:val="en-US" w:eastAsia="zh-CN"/>
              </w:rPr>
              <w:t>6</w:t>
            </w:r>
            <w:r>
              <w:rPr>
                <w:rFonts w:hint="eastAsia" w:ascii="宋体" w:hAnsi="宋体"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12</w:t>
            </w:r>
          </w:p>
        </w:tc>
        <w:tc>
          <w:tcPr>
            <w:tcW w:w="1242" w:type="dxa"/>
            <w:vMerge w:val="continue"/>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p>
        </w:tc>
        <w:tc>
          <w:tcPr>
            <w:tcW w:w="6096"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突发事件应急预案：</w:t>
            </w:r>
          </w:p>
          <w:p>
            <w:pPr>
              <w:adjustRightInd w:val="0"/>
              <w:snapToGrid w:val="0"/>
              <w:spacing w:line="360" w:lineRule="auto"/>
              <w:rPr>
                <w:rFonts w:hint="eastAsia" w:ascii="宋体" w:hAnsi="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对应急预案编制的科学、合理</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健全</w:t>
            </w:r>
            <w:r>
              <w:rPr>
                <w:rFonts w:hint="eastAsia" w:ascii="宋体" w:hAnsi="宋体" w:cs="仿宋"/>
                <w:color w:val="auto"/>
                <w:sz w:val="21"/>
                <w:szCs w:val="21"/>
                <w:highlight w:val="none"/>
                <w:lang w:eastAsia="zh-CN"/>
              </w:rPr>
              <w:t>的</w:t>
            </w:r>
            <w:r>
              <w:rPr>
                <w:rFonts w:hint="eastAsia" w:ascii="宋体" w:hAnsi="宋体" w:cs="仿宋"/>
                <w:color w:val="auto"/>
                <w:sz w:val="21"/>
                <w:szCs w:val="21"/>
                <w:highlight w:val="none"/>
              </w:rPr>
              <w:t>得6-4分</w:t>
            </w:r>
            <w:r>
              <w:rPr>
                <w:rFonts w:hint="eastAsia" w:ascii="宋体" w:hAnsi="宋体" w:cs="仿宋"/>
                <w:color w:val="auto"/>
                <w:sz w:val="21"/>
                <w:szCs w:val="21"/>
                <w:highlight w:val="none"/>
                <w:lang w:eastAsia="zh-CN"/>
              </w:rPr>
              <w:t>；</w:t>
            </w:r>
          </w:p>
          <w:p>
            <w:pPr>
              <w:adjustRightInd w:val="0"/>
              <w:snapToGrid w:val="0"/>
              <w:spacing w:line="360" w:lineRule="auto"/>
              <w:rPr>
                <w:rFonts w:hint="eastAsia" w:ascii="宋体" w:hAnsi="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对应急预案编制的</w:t>
            </w:r>
            <w:r>
              <w:rPr>
                <w:rFonts w:hint="eastAsia" w:ascii="宋体" w:hAnsi="宋体" w:cs="仿宋"/>
                <w:color w:val="auto"/>
                <w:sz w:val="21"/>
                <w:szCs w:val="21"/>
                <w:highlight w:val="none"/>
                <w:lang w:eastAsia="zh-CN"/>
              </w:rPr>
              <w:t>较</w:t>
            </w:r>
            <w:r>
              <w:rPr>
                <w:rFonts w:hint="eastAsia" w:ascii="宋体" w:hAnsi="宋体" w:cs="仿宋"/>
                <w:color w:val="auto"/>
                <w:sz w:val="21"/>
                <w:szCs w:val="21"/>
                <w:highlight w:val="none"/>
              </w:rPr>
              <w:t>科学、</w:t>
            </w:r>
            <w:r>
              <w:rPr>
                <w:rFonts w:hint="eastAsia" w:ascii="宋体" w:hAnsi="宋体" w:cs="仿宋"/>
                <w:color w:val="auto"/>
                <w:sz w:val="21"/>
                <w:szCs w:val="21"/>
                <w:highlight w:val="none"/>
                <w:lang w:eastAsia="zh-CN"/>
              </w:rPr>
              <w:t>较</w:t>
            </w:r>
            <w:r>
              <w:rPr>
                <w:rFonts w:hint="eastAsia" w:ascii="宋体" w:hAnsi="宋体" w:cs="仿宋"/>
                <w:color w:val="auto"/>
                <w:sz w:val="21"/>
                <w:szCs w:val="21"/>
                <w:highlight w:val="none"/>
              </w:rPr>
              <w:t>合理</w:t>
            </w:r>
            <w:r>
              <w:rPr>
                <w:rFonts w:hint="eastAsia" w:ascii="宋体" w:hAnsi="宋体" w:cs="仿宋"/>
                <w:color w:val="auto"/>
                <w:sz w:val="21"/>
                <w:szCs w:val="21"/>
                <w:highlight w:val="none"/>
                <w:lang w:eastAsia="zh-CN"/>
              </w:rPr>
              <w:t>、较</w:t>
            </w:r>
            <w:r>
              <w:rPr>
                <w:rFonts w:hint="eastAsia" w:ascii="宋体" w:hAnsi="宋体" w:cs="仿宋"/>
                <w:color w:val="auto"/>
                <w:sz w:val="21"/>
                <w:szCs w:val="21"/>
                <w:highlight w:val="none"/>
              </w:rPr>
              <w:t>健全的得</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.9-2分</w:t>
            </w:r>
            <w:r>
              <w:rPr>
                <w:rFonts w:hint="eastAsia" w:ascii="宋体" w:hAnsi="宋体" w:cs="仿宋"/>
                <w:color w:val="auto"/>
                <w:sz w:val="21"/>
                <w:szCs w:val="21"/>
                <w:highlight w:val="none"/>
                <w:lang w:eastAsia="zh-CN"/>
              </w:rPr>
              <w:t>；</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对应急预案编制的</w:t>
            </w:r>
            <w:r>
              <w:rPr>
                <w:rFonts w:hint="eastAsia" w:ascii="宋体" w:hAnsi="宋体" w:cs="仿宋"/>
                <w:color w:val="auto"/>
                <w:sz w:val="21"/>
                <w:szCs w:val="21"/>
                <w:highlight w:val="none"/>
                <w:lang w:eastAsia="zh-CN"/>
              </w:rPr>
              <w:t>不</w:t>
            </w:r>
            <w:r>
              <w:rPr>
                <w:rFonts w:hint="eastAsia" w:ascii="宋体" w:hAnsi="宋体" w:cs="仿宋"/>
                <w:color w:val="auto"/>
                <w:sz w:val="21"/>
                <w:szCs w:val="21"/>
                <w:highlight w:val="none"/>
              </w:rPr>
              <w:t>科学、</w:t>
            </w:r>
            <w:r>
              <w:rPr>
                <w:rFonts w:hint="eastAsia" w:ascii="宋体" w:hAnsi="宋体" w:cs="仿宋"/>
                <w:color w:val="auto"/>
                <w:sz w:val="21"/>
                <w:szCs w:val="21"/>
                <w:highlight w:val="none"/>
                <w:lang w:eastAsia="zh-CN"/>
              </w:rPr>
              <w:t>不</w:t>
            </w:r>
            <w:r>
              <w:rPr>
                <w:rFonts w:hint="eastAsia" w:ascii="宋体" w:hAnsi="宋体" w:cs="仿宋"/>
                <w:color w:val="auto"/>
                <w:sz w:val="21"/>
                <w:szCs w:val="21"/>
                <w:highlight w:val="none"/>
              </w:rPr>
              <w:t>合理</w:t>
            </w:r>
            <w:r>
              <w:rPr>
                <w:rFonts w:hint="eastAsia" w:ascii="宋体" w:hAnsi="宋体" w:cs="仿宋"/>
                <w:color w:val="auto"/>
                <w:sz w:val="21"/>
                <w:szCs w:val="21"/>
                <w:highlight w:val="none"/>
                <w:lang w:eastAsia="zh-CN"/>
              </w:rPr>
              <w:t>、不</w:t>
            </w:r>
            <w:r>
              <w:rPr>
                <w:rFonts w:hint="eastAsia" w:ascii="宋体" w:hAnsi="宋体" w:cs="仿宋"/>
                <w:color w:val="auto"/>
                <w:sz w:val="21"/>
                <w:szCs w:val="21"/>
                <w:highlight w:val="none"/>
              </w:rPr>
              <w:t>健全的得</w:t>
            </w:r>
            <w:r>
              <w:rPr>
                <w:rFonts w:hint="eastAsia" w:ascii="宋体" w:hAnsi="宋体" w:cs="仿宋"/>
                <w:color w:val="auto"/>
                <w:sz w:val="21"/>
                <w:szCs w:val="21"/>
                <w:highlight w:val="none"/>
                <w:lang w:val="en-US" w:eastAsia="zh-CN"/>
              </w:rPr>
              <w:t>1.9</w:t>
            </w:r>
            <w:r>
              <w:rPr>
                <w:rFonts w:hint="eastAsia" w:ascii="宋体" w:hAnsi="宋体" w:cs="仿宋"/>
                <w:color w:val="auto"/>
                <w:sz w:val="21"/>
                <w:szCs w:val="21"/>
                <w:highlight w:val="none"/>
              </w:rPr>
              <w:t>-0分</w:t>
            </w:r>
            <w:r>
              <w:rPr>
                <w:rFonts w:hint="eastAsia" w:ascii="宋体" w:hAnsi="宋体" w:cs="仿宋"/>
                <w:color w:val="auto"/>
                <w:sz w:val="21"/>
                <w:szCs w:val="21"/>
                <w:highlight w:val="none"/>
                <w:lang w:eastAsia="zh-CN"/>
              </w:rPr>
              <w:t>。</w:t>
            </w:r>
          </w:p>
        </w:tc>
        <w:tc>
          <w:tcPr>
            <w:tcW w:w="1559"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0-</w:t>
            </w:r>
            <w:r>
              <w:rPr>
                <w:rFonts w:hint="eastAsia" w:ascii="宋体" w:hAnsi="宋体" w:cs="仿宋"/>
                <w:color w:val="auto"/>
                <w:sz w:val="21"/>
                <w:szCs w:val="21"/>
                <w:highlight w:val="none"/>
                <w:lang w:val="en-US" w:eastAsia="zh-CN"/>
              </w:rPr>
              <w:t>6</w:t>
            </w:r>
            <w:r>
              <w:rPr>
                <w:rFonts w:hint="eastAsia" w:ascii="宋体" w:hAnsi="宋体"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13</w:t>
            </w:r>
          </w:p>
        </w:tc>
        <w:tc>
          <w:tcPr>
            <w:tcW w:w="1242" w:type="dxa"/>
            <w:vMerge w:val="continue"/>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p>
        </w:tc>
        <w:tc>
          <w:tcPr>
            <w:tcW w:w="6096"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移交方案：</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对移交方案</w:t>
            </w:r>
            <w:r>
              <w:rPr>
                <w:rFonts w:hint="eastAsia" w:ascii="宋体" w:hAnsi="宋体" w:cs="仿宋"/>
                <w:color w:val="auto"/>
                <w:sz w:val="21"/>
                <w:szCs w:val="21"/>
                <w:highlight w:val="none"/>
                <w:lang w:eastAsia="zh-CN"/>
              </w:rPr>
              <w:t>描述</w:t>
            </w:r>
            <w:r>
              <w:rPr>
                <w:rFonts w:hint="eastAsia" w:ascii="宋体" w:hAnsi="宋体" w:cs="仿宋"/>
                <w:color w:val="auto"/>
                <w:sz w:val="21"/>
                <w:szCs w:val="21"/>
                <w:highlight w:val="none"/>
              </w:rPr>
              <w:t>完整</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可行</w:t>
            </w:r>
            <w:r>
              <w:rPr>
                <w:rFonts w:hint="eastAsia" w:ascii="宋体" w:hAnsi="宋体" w:cs="仿宋"/>
                <w:color w:val="auto"/>
                <w:sz w:val="21"/>
                <w:szCs w:val="21"/>
                <w:highlight w:val="none"/>
                <w:lang w:eastAsia="zh-CN"/>
              </w:rPr>
              <w:t>的</w:t>
            </w:r>
            <w:r>
              <w:rPr>
                <w:rFonts w:hint="eastAsia" w:ascii="宋体" w:hAnsi="宋体" w:cs="仿宋"/>
                <w:color w:val="auto"/>
                <w:sz w:val="21"/>
                <w:szCs w:val="21"/>
                <w:highlight w:val="none"/>
              </w:rPr>
              <w:t>得</w:t>
            </w:r>
            <w:r>
              <w:rPr>
                <w:rFonts w:hint="eastAsia" w:ascii="宋体" w:hAnsi="宋体" w:cs="仿宋"/>
                <w:color w:val="auto"/>
                <w:sz w:val="21"/>
                <w:szCs w:val="21"/>
                <w:highlight w:val="none"/>
                <w:lang w:val="en-US" w:eastAsia="zh-CN"/>
              </w:rPr>
              <w:t>6-4</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对移交方案</w:t>
            </w:r>
            <w:r>
              <w:rPr>
                <w:rFonts w:hint="eastAsia" w:ascii="宋体" w:hAnsi="宋体" w:cs="仿宋"/>
                <w:color w:val="auto"/>
                <w:sz w:val="21"/>
                <w:szCs w:val="21"/>
                <w:highlight w:val="none"/>
                <w:lang w:eastAsia="zh-CN"/>
              </w:rPr>
              <w:t>描述较</w:t>
            </w:r>
            <w:r>
              <w:rPr>
                <w:rFonts w:hint="eastAsia" w:ascii="宋体" w:hAnsi="宋体" w:cs="仿宋"/>
                <w:color w:val="auto"/>
                <w:sz w:val="21"/>
                <w:szCs w:val="21"/>
                <w:highlight w:val="none"/>
              </w:rPr>
              <w:t>完整</w:t>
            </w:r>
            <w:r>
              <w:rPr>
                <w:rFonts w:hint="eastAsia" w:ascii="宋体" w:hAnsi="宋体" w:cs="仿宋"/>
                <w:color w:val="auto"/>
                <w:sz w:val="21"/>
                <w:szCs w:val="21"/>
                <w:highlight w:val="none"/>
                <w:lang w:eastAsia="zh-CN"/>
              </w:rPr>
              <w:t>、较</w:t>
            </w:r>
            <w:r>
              <w:rPr>
                <w:rFonts w:hint="eastAsia" w:ascii="宋体" w:hAnsi="宋体" w:cs="仿宋"/>
                <w:color w:val="auto"/>
                <w:sz w:val="21"/>
                <w:szCs w:val="21"/>
                <w:highlight w:val="none"/>
              </w:rPr>
              <w:t>可行</w:t>
            </w:r>
            <w:r>
              <w:rPr>
                <w:rFonts w:hint="eastAsia" w:ascii="宋体" w:hAnsi="宋体" w:cs="仿宋"/>
                <w:color w:val="auto"/>
                <w:sz w:val="21"/>
                <w:szCs w:val="21"/>
                <w:highlight w:val="none"/>
                <w:lang w:eastAsia="zh-CN"/>
              </w:rPr>
              <w:t>的</w:t>
            </w:r>
            <w:r>
              <w:rPr>
                <w:rFonts w:hint="eastAsia" w:ascii="宋体" w:hAnsi="宋体" w:cs="仿宋"/>
                <w:color w:val="auto"/>
                <w:sz w:val="21"/>
                <w:szCs w:val="21"/>
                <w:highlight w:val="none"/>
              </w:rPr>
              <w:t>得</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.9-2分，</w:t>
            </w:r>
          </w:p>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对移交方案</w:t>
            </w:r>
            <w:r>
              <w:rPr>
                <w:rFonts w:hint="eastAsia" w:ascii="宋体" w:hAnsi="宋体" w:cs="仿宋"/>
                <w:color w:val="auto"/>
                <w:sz w:val="21"/>
                <w:szCs w:val="21"/>
                <w:highlight w:val="none"/>
                <w:lang w:eastAsia="zh-CN"/>
              </w:rPr>
              <w:t>描述不</w:t>
            </w:r>
            <w:r>
              <w:rPr>
                <w:rFonts w:hint="eastAsia" w:ascii="宋体" w:hAnsi="宋体" w:cs="仿宋"/>
                <w:color w:val="auto"/>
                <w:sz w:val="21"/>
                <w:szCs w:val="21"/>
                <w:highlight w:val="none"/>
              </w:rPr>
              <w:t>完整</w:t>
            </w:r>
            <w:r>
              <w:rPr>
                <w:rFonts w:hint="eastAsia" w:ascii="宋体" w:hAnsi="宋体" w:cs="仿宋"/>
                <w:color w:val="auto"/>
                <w:sz w:val="21"/>
                <w:szCs w:val="21"/>
                <w:highlight w:val="none"/>
                <w:lang w:eastAsia="zh-CN"/>
              </w:rPr>
              <w:t>、不</w:t>
            </w:r>
            <w:r>
              <w:rPr>
                <w:rFonts w:hint="eastAsia" w:ascii="宋体" w:hAnsi="宋体" w:cs="仿宋"/>
                <w:color w:val="auto"/>
                <w:sz w:val="21"/>
                <w:szCs w:val="21"/>
                <w:highlight w:val="none"/>
              </w:rPr>
              <w:t>可行的得1.9-0分</w:t>
            </w:r>
          </w:p>
        </w:tc>
        <w:tc>
          <w:tcPr>
            <w:tcW w:w="1559"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0-</w:t>
            </w:r>
            <w:r>
              <w:rPr>
                <w:rFonts w:hint="eastAsia" w:ascii="宋体" w:hAnsi="宋体" w:cs="仿宋"/>
                <w:color w:val="auto"/>
                <w:sz w:val="21"/>
                <w:szCs w:val="21"/>
                <w:highlight w:val="none"/>
                <w:lang w:val="en-US" w:eastAsia="zh-CN"/>
              </w:rPr>
              <w:t>6</w:t>
            </w:r>
            <w:r>
              <w:rPr>
                <w:rFonts w:hint="eastAsia" w:ascii="宋体" w:hAnsi="宋体"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42" w:type="dxa"/>
            <w:noWrap w:val="0"/>
            <w:vAlign w:val="center"/>
          </w:tcPr>
          <w:p>
            <w:pPr>
              <w:adjustRightInd w:val="0"/>
              <w:snapToGrid w:val="0"/>
              <w:spacing w:line="360" w:lineRule="auto"/>
              <w:ind w:firstLine="420" w:firstLineChars="200"/>
              <w:rPr>
                <w:rFonts w:hint="default" w:ascii="宋体" w:hAnsi="宋体" w:cs="仿宋"/>
                <w:color w:val="auto"/>
                <w:sz w:val="21"/>
                <w:szCs w:val="21"/>
                <w:highlight w:val="none"/>
                <w:lang w:val="en-US" w:eastAsia="zh-CN"/>
              </w:rPr>
            </w:pPr>
            <w:r>
              <w:rPr>
                <w:rFonts w:hint="eastAsia" w:ascii="宋体" w:hAnsi="宋体" w:cs="仿宋"/>
                <w:color w:val="auto"/>
                <w:sz w:val="21"/>
                <w:szCs w:val="21"/>
                <w:highlight w:val="none"/>
                <w:lang w:val="en-US" w:eastAsia="zh-CN"/>
              </w:rPr>
              <w:t>14</w:t>
            </w:r>
          </w:p>
        </w:tc>
        <w:tc>
          <w:tcPr>
            <w:tcW w:w="1242"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eastAsia="宋体" w:cs="仿宋"/>
                <w:color w:val="auto"/>
                <w:sz w:val="21"/>
                <w:szCs w:val="21"/>
                <w:highlight w:val="none"/>
              </w:rPr>
              <w:t>价格</w:t>
            </w:r>
            <w:r>
              <w:rPr>
                <w:rFonts w:hint="eastAsia" w:ascii="宋体" w:hAnsi="宋体" w:eastAsia="宋体" w:cs="仿宋"/>
                <w:color w:val="auto"/>
                <w:sz w:val="21"/>
                <w:szCs w:val="21"/>
                <w:highlight w:val="none"/>
                <w:lang w:eastAsia="zh-CN"/>
              </w:rPr>
              <w:t>（</w:t>
            </w:r>
            <w:r>
              <w:rPr>
                <w:rFonts w:hint="eastAsia" w:ascii="宋体" w:hAnsi="宋体" w:eastAsia="宋体" w:cs="仿宋"/>
                <w:color w:val="auto"/>
                <w:sz w:val="21"/>
                <w:szCs w:val="21"/>
                <w:highlight w:val="none"/>
                <w:lang w:val="en-US" w:eastAsia="zh-CN"/>
              </w:rPr>
              <w:t>15分</w:t>
            </w:r>
            <w:r>
              <w:rPr>
                <w:rFonts w:hint="eastAsia" w:ascii="宋体" w:hAnsi="宋体" w:eastAsia="宋体" w:cs="仿宋"/>
                <w:color w:val="auto"/>
                <w:sz w:val="21"/>
                <w:szCs w:val="21"/>
                <w:highlight w:val="none"/>
                <w:lang w:eastAsia="zh-CN"/>
              </w:rPr>
              <w:t>）</w:t>
            </w:r>
          </w:p>
        </w:tc>
        <w:tc>
          <w:tcPr>
            <w:tcW w:w="6096" w:type="dxa"/>
            <w:noWrap w:val="0"/>
            <w:vAlign w:val="center"/>
          </w:tcPr>
          <w:p>
            <w:pPr>
              <w:adjustRightInd w:val="0"/>
              <w:snapToGrid w:val="0"/>
              <w:spacing w:line="360" w:lineRule="auto"/>
              <w:rPr>
                <w:rFonts w:hint="eastAsia" w:ascii="宋体" w:hAnsi="宋体" w:cs="仿宋"/>
                <w:color w:val="auto"/>
                <w:sz w:val="21"/>
                <w:szCs w:val="21"/>
                <w:highlight w:val="none"/>
                <w:lang w:eastAsia="zh-CN"/>
              </w:rPr>
            </w:pPr>
            <w:r>
              <w:rPr>
                <w:rFonts w:hint="eastAsia" w:ascii="宋体" w:hAnsi="宋体" w:cs="宋体"/>
                <w:color w:val="auto"/>
                <w:szCs w:val="21"/>
                <w:highlight w:val="none"/>
              </w:rPr>
              <w:t>以合格投标人有效投标总报价中的最低价为基准价，基准价为</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分。投标报价得分＝（评标基准价/投标报价）×</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kern w:val="0"/>
                <w:szCs w:val="21"/>
                <w:highlight w:val="none"/>
              </w:rPr>
              <w:t>100</w:t>
            </w:r>
            <w:r>
              <w:rPr>
                <w:rFonts w:hint="eastAsia" w:asciiTheme="minorEastAsia" w:hAnsiTheme="minorEastAsia" w:eastAsiaTheme="minorEastAsia" w:cstheme="minorEastAsia"/>
                <w:color w:val="auto"/>
                <w:szCs w:val="21"/>
                <w:highlight w:val="none"/>
              </w:rPr>
              <w:t>（小数点后保留2位小数）。</w:t>
            </w:r>
            <w:r>
              <w:rPr>
                <w:rFonts w:hint="eastAsia" w:asciiTheme="minorEastAsia" w:hAnsiTheme="minorEastAsia" w:eastAsiaTheme="minorEastAsia"/>
                <w:color w:val="auto"/>
                <w:szCs w:val="21"/>
                <w:highlight w:val="none"/>
              </w:rPr>
              <w:t>注：</w:t>
            </w:r>
            <w:r>
              <w:rPr>
                <w:rFonts w:hint="eastAsia"/>
                <w:color w:val="auto"/>
                <w:highlight w:val="none"/>
              </w:rPr>
              <w:t>符合本章第七点政府采购政策的，对报价给予</w:t>
            </w:r>
            <w:r>
              <w:rPr>
                <w:rFonts w:hint="eastAsia"/>
                <w:color w:val="auto"/>
                <w:highlight w:val="none"/>
                <w:u w:val="single"/>
              </w:rPr>
              <w:t xml:space="preserve"> </w:t>
            </w:r>
            <w:r>
              <w:rPr>
                <w:rFonts w:hint="eastAsia"/>
                <w:color w:val="auto"/>
                <w:highlight w:val="none"/>
                <w:u w:val="single"/>
                <w:lang w:val="en-US" w:eastAsia="zh-CN"/>
              </w:rPr>
              <w:t>20%</w:t>
            </w:r>
            <w:r>
              <w:rPr>
                <w:rFonts w:hint="eastAsia"/>
                <w:color w:val="auto"/>
                <w:highlight w:val="none"/>
                <w:u w:val="single"/>
              </w:rPr>
              <w:t xml:space="preserve">  </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价格</w:t>
            </w:r>
            <w:r>
              <w:rPr>
                <w:rFonts w:asciiTheme="minorEastAsia" w:hAnsiTheme="minorEastAsia" w:eastAsiaTheme="minorEastAsia"/>
                <w:color w:val="auto"/>
                <w:szCs w:val="21"/>
                <w:highlight w:val="none"/>
              </w:rPr>
              <w:t>扣除，用扣除后的价</w:t>
            </w:r>
            <w:r>
              <w:rPr>
                <w:rFonts w:hint="eastAsia" w:asciiTheme="minorEastAsia" w:hAnsiTheme="minorEastAsia" w:eastAsiaTheme="minorEastAsia"/>
                <w:color w:val="auto"/>
                <w:szCs w:val="21"/>
                <w:highlight w:val="none"/>
              </w:rPr>
              <w:t>格</w:t>
            </w:r>
            <w:r>
              <w:rPr>
                <w:rFonts w:asciiTheme="minorEastAsia" w:hAnsiTheme="minorEastAsia" w:eastAsiaTheme="minorEastAsia"/>
                <w:color w:val="auto"/>
                <w:szCs w:val="21"/>
                <w:highlight w:val="none"/>
              </w:rPr>
              <w:t>参与评审</w:t>
            </w:r>
            <w:r>
              <w:rPr>
                <w:rFonts w:hint="eastAsia" w:asciiTheme="minorEastAsia" w:hAnsiTheme="minorEastAsia" w:eastAsiaTheme="minorEastAsia"/>
                <w:color w:val="auto"/>
                <w:szCs w:val="21"/>
                <w:highlight w:val="none"/>
              </w:rPr>
              <w:t>。</w:t>
            </w:r>
          </w:p>
        </w:tc>
        <w:tc>
          <w:tcPr>
            <w:tcW w:w="1559" w:type="dxa"/>
            <w:noWrap w:val="0"/>
            <w:vAlign w:val="center"/>
          </w:tcPr>
          <w:p>
            <w:pPr>
              <w:adjustRightInd w:val="0"/>
              <w:snapToGrid w:val="0"/>
              <w:spacing w:line="360" w:lineRule="auto"/>
              <w:ind w:firstLine="420" w:firstLineChars="200"/>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0-15分</w:t>
            </w:r>
          </w:p>
        </w:tc>
      </w:tr>
    </w:tbl>
    <w:p>
      <w:pPr>
        <w:pStyle w:val="16"/>
        <w:rPr>
          <w:color w:val="auto"/>
          <w:highlight w:val="none"/>
        </w:rPr>
      </w:pPr>
    </w:p>
    <w:p>
      <w:pPr>
        <w:pStyle w:val="24"/>
        <w:rPr>
          <w:rFonts w:hint="eastAsia"/>
          <w:color w:val="auto"/>
          <w:highlight w:val="none"/>
        </w:rPr>
      </w:pPr>
    </w:p>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pPr>
        <w:spacing w:line="360" w:lineRule="auto"/>
        <w:ind w:firstLine="480" w:firstLineChars="200"/>
        <w:rPr>
          <w:color w:val="auto"/>
          <w:sz w:val="24"/>
          <w:highlight w:val="none"/>
        </w:rPr>
      </w:pPr>
      <w:r>
        <w:rPr>
          <w:rFonts w:hint="eastAsia"/>
          <w:color w:val="auto"/>
          <w:sz w:val="24"/>
          <w:highlight w:val="none"/>
        </w:rPr>
        <w:t>(1)评标委员会应当按照招标文件中规定的评标方法和标准，对符合性审查合格的投标文件的商务部分和技术部分进行综合比较与评价，其中客观评分项的分值应当一致。</w:t>
      </w:r>
    </w:p>
    <w:p>
      <w:pPr>
        <w:spacing w:line="360" w:lineRule="auto"/>
        <w:ind w:firstLine="480" w:firstLineChars="200"/>
        <w:rPr>
          <w:color w:val="auto"/>
          <w:highlight w:val="none"/>
        </w:rPr>
      </w:pPr>
      <w:r>
        <w:rPr>
          <w:rFonts w:hint="eastAsia"/>
          <w:color w:val="auto"/>
          <w:sz w:val="24"/>
          <w:highlight w:val="none"/>
        </w:rPr>
        <w:t>(2)对于投标文件报价出现前后不一致的，除招标文件另有规定外，按照下列规定修正：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②投标文件中开标一览表（报价表）内容与投标文件中相应内容不一致的，以开标一览表（报价表）为准；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③大写金额和小写金额不一致的，以大写金额为准；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④单价金额小数点或者百分比有明显错位的，以开标一览表的总价为准，并修改单价；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fldChar w:fldCharType="begin"/>
      </w:r>
      <w:r>
        <w:rPr>
          <w:rFonts w:hint="eastAsia" w:asciiTheme="minorEastAsia" w:hAnsiTheme="minorEastAsia" w:eastAsiaTheme="minorEastAsia"/>
          <w:color w:val="auto"/>
          <w:sz w:val="24"/>
          <w:highlight w:val="none"/>
        </w:rPr>
        <w:instrText xml:space="preserve"> = 5 \* GB3 \* MERGEFORMAT </w:instrText>
      </w:r>
      <w:r>
        <w:rPr>
          <w:rFonts w:hint="eastAsia" w:asciiTheme="minorEastAsia" w:hAnsiTheme="minorEastAsia" w:eastAsiaTheme="minorEastAsia"/>
          <w:color w:val="auto"/>
          <w:sz w:val="24"/>
          <w:highlight w:val="none"/>
        </w:rPr>
        <w:fldChar w:fldCharType="separate"/>
      </w:r>
      <w:r>
        <w:rPr>
          <w:rFonts w:asciiTheme="minorEastAsia" w:hAnsiTheme="minorEastAsia" w:eastAsiaTheme="minorEastAsia"/>
          <w:color w:val="auto"/>
          <w:sz w:val="24"/>
          <w:highlight w:val="none"/>
        </w:rPr>
        <w:t>⑤</w:t>
      </w:r>
      <w:r>
        <w:rPr>
          <w:rFonts w:hint="eastAsia" w:asciiTheme="minorEastAsia" w:hAnsiTheme="minorEastAsia" w:eastAsiaTheme="minorEastAsia"/>
          <w:color w:val="auto"/>
          <w:sz w:val="24"/>
          <w:highlight w:val="none"/>
        </w:rPr>
        <w:fldChar w:fldCharType="end"/>
      </w:r>
      <w:r>
        <w:rPr>
          <w:rFonts w:hint="eastAsia" w:asciiTheme="minorEastAsia" w:hAnsiTheme="minorEastAsia" w:eastAsiaTheme="minorEastAsia"/>
          <w:color w:val="auto"/>
          <w:sz w:val="24"/>
          <w:highlight w:val="none"/>
        </w:rPr>
        <w:t>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同时出现两种以上不一致的，按照前款规定的顺序修正。修正应当采用询标的形式，并加盖公章。</w:t>
      </w:r>
    </w:p>
    <w:p>
      <w:pPr>
        <w:spacing w:line="360" w:lineRule="auto"/>
        <w:ind w:firstLine="480" w:firstLineChars="200"/>
        <w:rPr>
          <w:color w:val="auto"/>
          <w:sz w:val="24"/>
          <w:highlight w:val="none"/>
        </w:rPr>
      </w:pPr>
      <w:r>
        <w:rPr>
          <w:rFonts w:hint="eastAsia"/>
          <w:color w:val="auto"/>
          <w:sz w:val="24"/>
          <w:highlight w:val="none"/>
        </w:rPr>
        <w:t>（3）对于投标文件中含义不明确、同类问题表述不一致或者有明显文字和计算错误的内容，评标委员会应当要求供应商作出必要的澄清、说明或者补正。</w:t>
      </w:r>
    </w:p>
    <w:p>
      <w:pPr>
        <w:spacing w:line="360" w:lineRule="auto"/>
        <w:ind w:firstLine="480" w:firstLineChars="200"/>
        <w:rPr>
          <w:color w:val="auto"/>
          <w:highlight w:val="none"/>
        </w:rPr>
      </w:pPr>
      <w:r>
        <w:rPr>
          <w:rFonts w:hint="eastAsia"/>
          <w:color w:val="auto"/>
          <w:sz w:val="24"/>
          <w:highlight w:val="none"/>
        </w:rPr>
        <w:t>（4）供应商的澄清、说明或者补正采用书面形式，并加盖公章或者由法定代表人或授权代表签字，且不得超出投标文件的范围或者改变投标文件的实质性内容。</w:t>
      </w:r>
    </w:p>
    <w:p>
      <w:pPr>
        <w:pStyle w:val="23"/>
        <w:spacing w:before="0" w:beforeAutospacing="0" w:after="0" w:afterAutospacing="0" w:line="360" w:lineRule="auto"/>
        <w:ind w:firstLine="482" w:firstLineChars="200"/>
        <w:jc w:val="both"/>
        <w:rPr>
          <w:rFonts w:hint="default" w:ascii="Times New Roman"/>
          <w:color w:val="auto"/>
          <w:sz w:val="21"/>
          <w:highlight w:val="none"/>
        </w:rPr>
      </w:pPr>
      <w:r>
        <w:rPr>
          <w:rFonts w:asciiTheme="minorEastAsia" w:hAnsiTheme="minorEastAsia" w:eastAsiaTheme="minorEastAsia"/>
          <w:b/>
          <w:bCs/>
          <w:color w:val="auto"/>
          <w:highlight w:val="none"/>
        </w:rPr>
        <w:t>（四）结果汇总及排序</w:t>
      </w:r>
    </w:p>
    <w:p>
      <w:pPr>
        <w:pStyle w:val="23"/>
        <w:spacing w:before="0" w:beforeAutospacing="0" w:after="0" w:afterAutospacing="0" w:line="360" w:lineRule="auto"/>
        <w:ind w:firstLine="480" w:firstLineChars="200"/>
        <w:jc w:val="both"/>
        <w:rPr>
          <w:rFonts w:hint="default"/>
          <w:color w:val="auto"/>
          <w:highlight w:val="none"/>
        </w:rPr>
      </w:pPr>
      <w:r>
        <w:rPr>
          <w:color w:val="auto"/>
          <w:highlight w:val="none"/>
        </w:rPr>
        <w:t>评标结果按评审后综合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23"/>
        <w:spacing w:before="0" w:beforeAutospacing="0" w:after="0" w:afterAutospacing="0" w:line="360" w:lineRule="auto"/>
        <w:ind w:firstLine="482" w:firstLineChars="200"/>
        <w:jc w:val="both"/>
        <w:rPr>
          <w:rFonts w:hint="default" w:ascii="Times New Roman" w:hAnsi="Times New Roman"/>
          <w:color w:val="auto"/>
          <w:sz w:val="21"/>
          <w:highlight w:val="none"/>
        </w:rPr>
      </w:pPr>
      <w:r>
        <w:rPr>
          <w:rFonts w:asciiTheme="minorEastAsia" w:hAnsiTheme="minorEastAsia" w:eastAsiaTheme="minorEastAsia"/>
          <w:b/>
          <w:bCs/>
          <w:color w:val="auto"/>
          <w:highlight w:val="none"/>
        </w:rPr>
        <w:t>（五）评标报告撰写</w:t>
      </w:r>
    </w:p>
    <w:p>
      <w:pPr>
        <w:spacing w:line="360" w:lineRule="auto"/>
        <w:ind w:firstLine="480" w:firstLineChars="200"/>
        <w:rPr>
          <w:rFonts w:ascii="宋体" w:hAnsi="宋体" w:cs="宋体"/>
          <w:color w:val="auto"/>
          <w:sz w:val="24"/>
          <w:highlight w:val="none"/>
        </w:rPr>
      </w:pPr>
      <w:r>
        <w:rPr>
          <w:rFonts w:hint="eastAsia"/>
          <w:color w:val="auto"/>
          <w:sz w:val="24"/>
          <w:highlight w:val="none"/>
        </w:rPr>
        <w:t>评标委员会根据全体评标成员签字的原始评标记录和评标结果编写评标报告。</w:t>
      </w:r>
    </w:p>
    <w:p>
      <w:pPr>
        <w:rPr>
          <w:rFonts w:asciiTheme="minorEastAsia" w:hAnsiTheme="minorEastAsia" w:eastAsiaTheme="minorEastAsia"/>
          <w:b/>
          <w:color w:val="auto"/>
          <w:sz w:val="36"/>
          <w:szCs w:val="36"/>
          <w:highlight w:val="none"/>
        </w:rPr>
      </w:pPr>
      <w:bookmarkStart w:id="12" w:name="_Toc27944_WPSOffice_Level1"/>
    </w:p>
    <w:p>
      <w:pP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第五章 </w:t>
      </w:r>
      <w:bookmarkEnd w:id="12"/>
      <w:r>
        <w:rPr>
          <w:rFonts w:hint="eastAsia" w:asciiTheme="minorEastAsia" w:hAnsiTheme="minorEastAsia" w:eastAsiaTheme="minorEastAsia"/>
          <w:b/>
          <w:color w:val="auto"/>
          <w:sz w:val="36"/>
          <w:szCs w:val="36"/>
          <w:highlight w:val="none"/>
        </w:rPr>
        <w:t>政府采购合同主要条款指引</w:t>
      </w:r>
    </w:p>
    <w:p>
      <w:pPr>
        <w:snapToGrid w:val="0"/>
        <w:spacing w:before="120" w:beforeLines="50" w:after="120" w:afterLines="50"/>
        <w:jc w:val="center"/>
        <w:rPr>
          <w:rFonts w:ascii="宋体" w:hAnsi="宋体"/>
          <w:color w:val="auto"/>
          <w:sz w:val="24"/>
          <w:highlight w:val="none"/>
        </w:rPr>
      </w:pPr>
      <w:bookmarkStart w:id="13" w:name="_Toc5481_WPSOffice_Level1"/>
      <w:r>
        <w:rPr>
          <w:rFonts w:hint="eastAsia" w:ascii="宋体" w:hAnsi="宋体"/>
          <w:b/>
          <w:color w:val="auto"/>
          <w:sz w:val="36"/>
          <w:szCs w:val="36"/>
          <w:highlight w:val="none"/>
        </w:rPr>
        <w:t>服务类</w:t>
      </w:r>
    </w:p>
    <w:p>
      <w:pPr>
        <w:widowControl/>
        <w:shd w:val="clear" w:color="auto" w:fill="FFFFFF"/>
        <w:spacing w:line="360" w:lineRule="auto"/>
        <w:ind w:firstLine="480" w:firstLineChars="200"/>
        <w:rPr>
          <w:rFonts w:ascii="宋体" w:hAnsi="宋体"/>
          <w:color w:val="auto"/>
          <w:sz w:val="24"/>
          <w:highlight w:val="none"/>
        </w:rPr>
      </w:pPr>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rPr>
        <w:t>中标人</w:t>
      </w:r>
      <w:r>
        <w:rPr>
          <w:rFonts w:ascii="宋体" w:hAnsi="宋体"/>
          <w:color w:val="auto"/>
          <w:sz w:val="24"/>
          <w:highlight w:val="none"/>
        </w:rPr>
        <w:t>不得提出实质性的修改，关于专用条款将由采购人与</w:t>
      </w:r>
      <w:r>
        <w:rPr>
          <w:rFonts w:hint="eastAsia" w:ascii="宋体" w:hAnsi="宋体"/>
          <w:color w:val="auto"/>
          <w:sz w:val="24"/>
          <w:highlight w:val="none"/>
        </w:rPr>
        <w:t>中标人</w:t>
      </w:r>
      <w:r>
        <w:rPr>
          <w:rFonts w:ascii="宋体" w:hAnsi="宋体"/>
          <w:color w:val="auto"/>
          <w:sz w:val="24"/>
          <w:highlight w:val="none"/>
        </w:rPr>
        <w:t>结合本项目具体情况协商后签订。</w:t>
      </w:r>
    </w:p>
    <w:p>
      <w:pPr>
        <w:pStyle w:val="15"/>
        <w:snapToGrid w:val="0"/>
        <w:spacing w:line="360" w:lineRule="auto"/>
        <w:rPr>
          <w:rFonts w:hAnsi="宋体"/>
          <w:color w:val="auto"/>
          <w:sz w:val="24"/>
          <w:highlight w:val="none"/>
        </w:rPr>
      </w:pPr>
      <w:r>
        <w:rPr>
          <w:rFonts w:hAnsi="宋体"/>
          <w:color w:val="auto"/>
          <w:sz w:val="24"/>
          <w:highlight w:val="none"/>
        </w:rPr>
        <w:t>项目名称：                                项目编号：</w:t>
      </w:r>
    </w:p>
    <w:p>
      <w:pPr>
        <w:pStyle w:val="15"/>
        <w:snapToGrid w:val="0"/>
        <w:spacing w:line="360" w:lineRule="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pPr>
        <w:pStyle w:val="15"/>
        <w:snapToGrid w:val="0"/>
        <w:spacing w:line="360" w:lineRule="auto"/>
        <w:rPr>
          <w:rFonts w:hAnsi="宋体"/>
          <w:color w:val="auto"/>
          <w:sz w:val="24"/>
          <w:highlight w:val="none"/>
        </w:rPr>
      </w:pPr>
      <w:r>
        <w:rPr>
          <w:rFonts w:hAnsi="宋体"/>
          <w:color w:val="auto"/>
          <w:sz w:val="24"/>
          <w:highlight w:val="none"/>
        </w:rPr>
        <w:t>乙方：（</w:t>
      </w:r>
      <w:r>
        <w:rPr>
          <w:rFonts w:hint="eastAsia" w:hAnsi="宋体"/>
          <w:color w:val="auto"/>
          <w:sz w:val="24"/>
          <w:highlight w:val="none"/>
        </w:rPr>
        <w:t>中标人</w:t>
      </w:r>
      <w:r>
        <w:rPr>
          <w:rFonts w:hAnsi="宋体"/>
          <w:color w:val="auto"/>
          <w:sz w:val="24"/>
          <w:highlight w:val="none"/>
        </w:rPr>
        <w:t>）</w:t>
      </w:r>
      <w:r>
        <w:rPr>
          <w:rFonts w:hint="eastAsia" w:hAnsi="宋体"/>
          <w:color w:val="auto"/>
          <w:sz w:val="24"/>
          <w:highlight w:val="none"/>
        </w:rPr>
        <w:t xml:space="preserve">                          所在地：</w:t>
      </w:r>
    </w:p>
    <w:p>
      <w:pPr>
        <w:widowControl/>
        <w:shd w:val="clear" w:color="auto" w:fill="FFFFFF"/>
        <w:spacing w:line="360" w:lineRule="auto"/>
        <w:ind w:firstLine="480" w:firstLineChars="200"/>
        <w:rPr>
          <w:rFonts w:ascii="宋体" w:hAnsi="宋体"/>
          <w:color w:val="auto"/>
          <w:sz w:val="24"/>
          <w:highlight w:val="none"/>
        </w:rPr>
      </w:pPr>
      <w:r>
        <w:rPr>
          <w:rFonts w:ascii="宋体" w:hAnsi="宋体"/>
          <w:color w:val="auto"/>
          <w:sz w:val="24"/>
          <w:highlight w:val="none"/>
        </w:rPr>
        <w:t>甲、乙双方根据</w:t>
      </w:r>
      <w:r>
        <w:rPr>
          <w:rFonts w:hint="eastAsia" w:cs="Arial"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(采购组织机构名称）</w:t>
      </w:r>
      <w:r>
        <w:rPr>
          <w:rFonts w:ascii="宋体" w:hAnsi="宋体"/>
          <w:color w:val="auto"/>
          <w:sz w:val="24"/>
          <w:highlight w:val="none"/>
        </w:rPr>
        <w:t>关于</w:t>
      </w:r>
      <w:r>
        <w:rPr>
          <w:rFonts w:hint="eastAsia" w:cs="Arial" w:asciiTheme="minorEastAsia" w:hAnsiTheme="minorEastAsia" w:eastAsiaTheme="minorEastAsia"/>
          <w:color w:val="auto"/>
          <w:sz w:val="24"/>
          <w:highlight w:val="none"/>
        </w:rPr>
        <w:t>××</w:t>
      </w:r>
      <w:r>
        <w:rPr>
          <w:rFonts w:ascii="宋体" w:hAnsi="宋体"/>
          <w:color w:val="auto"/>
          <w:sz w:val="24"/>
          <w:highlight w:val="none"/>
        </w:rPr>
        <w:t>项目</w:t>
      </w:r>
      <w:r>
        <w:rPr>
          <w:rFonts w:hint="eastAsia" w:ascii="宋体" w:hAnsi="宋体"/>
          <w:color w:val="auto"/>
          <w:sz w:val="24"/>
          <w:highlight w:val="none"/>
        </w:rPr>
        <w:t>公开招标</w:t>
      </w:r>
      <w:r>
        <w:rPr>
          <w:rFonts w:ascii="宋体" w:hAnsi="宋体"/>
          <w:color w:val="auto"/>
          <w:sz w:val="24"/>
          <w:highlight w:val="none"/>
        </w:rPr>
        <w:t>的结果，签署本合同。</w:t>
      </w:r>
    </w:p>
    <w:p>
      <w:pPr>
        <w:spacing w:line="360" w:lineRule="auto"/>
        <w:ind w:firstLine="482" w:firstLineChars="200"/>
        <w:rPr>
          <w:rFonts w:ascii="宋体"/>
          <w:color w:val="auto"/>
          <w:sz w:val="24"/>
          <w:highlight w:val="none"/>
          <w:lang w:val="zh-CN"/>
        </w:rPr>
      </w:pPr>
      <w:r>
        <w:rPr>
          <w:rFonts w:hint="eastAsia" w:ascii="宋体"/>
          <w:b/>
          <w:bCs/>
          <w:color w:val="auto"/>
          <w:sz w:val="24"/>
          <w:highlight w:val="none"/>
          <w:lang w:val="zh-CN"/>
        </w:rPr>
        <w:t>一、合同文件：</w:t>
      </w:r>
      <w:r>
        <w:rPr>
          <w:rFonts w:hint="eastAsia" w:ascii="宋体"/>
          <w:color w:val="auto"/>
          <w:sz w:val="24"/>
          <w:highlight w:val="none"/>
          <w:lang w:val="zh-CN"/>
        </w:rPr>
        <w:t xml:space="preserve"> </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一</w:t>
      </w:r>
      <w:r>
        <w:rPr>
          <w:rFonts w:hint="eastAsia" w:ascii="宋体"/>
          <w:color w:val="auto"/>
          <w:sz w:val="24"/>
          <w:highlight w:val="none"/>
          <w:lang w:val="zh-CN"/>
        </w:rPr>
        <w:t>）合同条款。</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二</w:t>
      </w:r>
      <w:r>
        <w:rPr>
          <w:rFonts w:hint="eastAsia" w:ascii="宋体"/>
          <w:color w:val="auto"/>
          <w:sz w:val="24"/>
          <w:highlight w:val="none"/>
          <w:lang w:val="zh-CN"/>
        </w:rPr>
        <w:t>）中标通知书。</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三</w:t>
      </w:r>
      <w:r>
        <w:rPr>
          <w:rFonts w:hint="eastAsia" w:ascii="宋体"/>
          <w:color w:val="auto"/>
          <w:sz w:val="24"/>
          <w:highlight w:val="none"/>
          <w:lang w:val="zh-CN"/>
        </w:rPr>
        <w:t>）更正补充文件。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四</w:t>
      </w:r>
      <w:r>
        <w:rPr>
          <w:rFonts w:hint="eastAsia" w:ascii="宋体"/>
          <w:color w:val="auto"/>
          <w:sz w:val="24"/>
          <w:highlight w:val="none"/>
          <w:lang w:val="zh-CN"/>
        </w:rPr>
        <w:t>）招标文件。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五</w:t>
      </w:r>
      <w:r>
        <w:rPr>
          <w:rFonts w:hint="eastAsia" w:ascii="宋体"/>
          <w:color w:val="auto"/>
          <w:sz w:val="24"/>
          <w:highlight w:val="none"/>
          <w:lang w:val="zh-CN"/>
        </w:rPr>
        <w:t>）中标</w:t>
      </w:r>
      <w:r>
        <w:rPr>
          <w:rFonts w:hint="eastAsia" w:ascii="宋体"/>
          <w:color w:val="auto"/>
          <w:sz w:val="24"/>
          <w:highlight w:val="none"/>
        </w:rPr>
        <w:t>人</w:t>
      </w:r>
      <w:r>
        <w:rPr>
          <w:rFonts w:hint="eastAsia" w:ascii="宋体"/>
          <w:color w:val="auto"/>
          <w:sz w:val="24"/>
          <w:highlight w:val="none"/>
          <w:lang w:val="zh-CN"/>
        </w:rPr>
        <w:t>投标文件。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六</w:t>
      </w:r>
      <w:r>
        <w:rPr>
          <w:rFonts w:hint="eastAsia" w:ascii="宋体"/>
          <w:color w:val="auto"/>
          <w:sz w:val="24"/>
          <w:highlight w:val="none"/>
          <w:lang w:val="zh-CN"/>
        </w:rPr>
        <w:t>）其他。</w:t>
      </w:r>
    </w:p>
    <w:p>
      <w:pPr>
        <w:pStyle w:val="15"/>
        <w:snapToGrid w:val="0"/>
        <w:spacing w:line="360" w:lineRule="auto"/>
        <w:ind w:firstLine="480" w:firstLineChars="200"/>
        <w:rPr>
          <w:rFonts w:hAnsi="宋体"/>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ascii="宋体" w:hAnsi="宋体" w:cs="Arial"/>
          <w:b/>
          <w:color w:val="auto"/>
          <w:kern w:val="0"/>
          <w:sz w:val="24"/>
          <w:highlight w:val="none"/>
        </w:rPr>
        <w:t>合同内容及服务标准</w:t>
      </w:r>
    </w:p>
    <w:p>
      <w:pPr>
        <w:widowControl/>
        <w:shd w:val="clear" w:color="auto" w:fill="FFFFFF"/>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（具体见项目需求）</w:t>
      </w:r>
    </w:p>
    <w:p>
      <w:pPr>
        <w:pStyle w:val="15"/>
        <w:snapToGrid w:val="0"/>
        <w:spacing w:line="360" w:lineRule="auto"/>
        <w:ind w:firstLine="482" w:firstLineChars="200"/>
        <w:rPr>
          <w:rFonts w:hAnsi="宋体"/>
          <w:b/>
          <w:color w:val="auto"/>
          <w:sz w:val="24"/>
          <w:highlight w:val="none"/>
        </w:rPr>
      </w:pPr>
      <w:r>
        <w:rPr>
          <w:rFonts w:hint="eastAsia" w:hAnsi="宋体"/>
          <w:b/>
          <w:color w:val="auto"/>
          <w:sz w:val="24"/>
          <w:highlight w:val="none"/>
        </w:rPr>
        <w:t>三</w:t>
      </w:r>
      <w:r>
        <w:rPr>
          <w:rFonts w:hAnsi="宋体"/>
          <w:b/>
          <w:color w:val="auto"/>
          <w:sz w:val="24"/>
          <w:highlight w:val="none"/>
        </w:rPr>
        <w:t>、合同金额</w:t>
      </w:r>
    </w:p>
    <w:p>
      <w:pPr>
        <w:pStyle w:val="15"/>
        <w:numPr>
          <w:ilvl w:val="0"/>
          <w:numId w:val="27"/>
        </w:numPr>
        <w:snapToGrid w:val="0"/>
        <w:spacing w:line="360" w:lineRule="auto"/>
        <w:ind w:left="0" w:leftChars="0" w:firstLine="420" w:firstLineChars="0"/>
        <w:rPr>
          <w:rFonts w:hint="eastAsia" w:hAnsi="宋体"/>
          <w:color w:val="auto"/>
          <w:sz w:val="24"/>
          <w:highlight w:val="none"/>
        </w:rPr>
      </w:pPr>
      <w:r>
        <w:rPr>
          <w:rFonts w:hint="eastAsia" w:hAnsi="宋体"/>
          <w:color w:val="auto"/>
          <w:sz w:val="24"/>
          <w:highlight w:val="none"/>
        </w:rPr>
        <w:t>本合同为单价合同，垃圾渗滤液处理服务单价：</w:t>
      </w:r>
      <w:r>
        <w:rPr>
          <w:rFonts w:hint="eastAsia" w:hAnsi="宋体"/>
          <w:color w:val="auto"/>
          <w:sz w:val="24"/>
          <w:highlight w:val="none"/>
          <w:u w:val="single"/>
        </w:rPr>
        <w:t xml:space="preserve">          元</w:t>
      </w:r>
      <w:r>
        <w:rPr>
          <w:rFonts w:hint="eastAsia" w:hAnsi="宋体"/>
          <w:color w:val="auto"/>
          <w:sz w:val="24"/>
          <w:highlight w:val="none"/>
        </w:rPr>
        <w:t>/立方米。</w:t>
      </w:r>
    </w:p>
    <w:p>
      <w:pPr>
        <w:pStyle w:val="15"/>
        <w:numPr>
          <w:ilvl w:val="0"/>
          <w:numId w:val="27"/>
        </w:numPr>
        <w:snapToGrid w:val="0"/>
        <w:spacing w:line="360" w:lineRule="auto"/>
        <w:ind w:left="0" w:leftChars="0" w:firstLine="420" w:firstLineChars="0"/>
        <w:rPr>
          <w:rFonts w:hint="eastAsia" w:hAnsi="宋体"/>
          <w:color w:val="auto"/>
          <w:sz w:val="24"/>
          <w:highlight w:val="none"/>
        </w:rPr>
      </w:pPr>
      <w:r>
        <w:rPr>
          <w:rFonts w:hint="eastAsia" w:hAnsi="宋体"/>
          <w:color w:val="auto"/>
          <w:sz w:val="24"/>
          <w:highlight w:val="none"/>
        </w:rPr>
        <w:t>收费基本水量为：210 立方米/天。</w:t>
      </w:r>
    </w:p>
    <w:p>
      <w:pPr>
        <w:pStyle w:val="15"/>
        <w:numPr>
          <w:ilvl w:val="0"/>
          <w:numId w:val="27"/>
        </w:numPr>
        <w:snapToGrid w:val="0"/>
        <w:spacing w:line="360" w:lineRule="auto"/>
        <w:ind w:left="0" w:leftChars="0" w:firstLine="420" w:firstLineChars="0"/>
        <w:rPr>
          <w:rFonts w:hint="eastAsia" w:hAnsi="宋体"/>
          <w:color w:val="auto"/>
          <w:sz w:val="24"/>
          <w:highlight w:val="none"/>
        </w:rPr>
      </w:pPr>
      <w:r>
        <w:rPr>
          <w:rFonts w:hint="eastAsia" w:hAnsi="宋体"/>
          <w:color w:val="auto"/>
          <w:sz w:val="24"/>
          <w:highlight w:val="none"/>
        </w:rPr>
        <w:t>渗滤液处理量计算方法：按照进入渗滤液处理系统的渗滤液装表计算渗滤液处理量。（不到基本水量的按基本水量计）</w:t>
      </w:r>
    </w:p>
    <w:p>
      <w:pPr>
        <w:pStyle w:val="15"/>
        <w:numPr>
          <w:ilvl w:val="0"/>
          <w:numId w:val="27"/>
        </w:numPr>
        <w:snapToGrid w:val="0"/>
        <w:spacing w:line="360" w:lineRule="auto"/>
        <w:ind w:left="0" w:leftChars="0" w:firstLine="420" w:firstLineChars="0"/>
        <w:rPr>
          <w:rFonts w:hint="eastAsia" w:hAnsi="宋体"/>
          <w:color w:val="auto"/>
          <w:sz w:val="24"/>
          <w:highlight w:val="none"/>
        </w:rPr>
      </w:pPr>
      <w:r>
        <w:rPr>
          <w:rFonts w:hint="eastAsia" w:hAnsi="宋体"/>
          <w:color w:val="auto"/>
          <w:sz w:val="24"/>
          <w:highlight w:val="none"/>
        </w:rPr>
        <w:t>垃圾渗滤液处理服务费的计算</w:t>
      </w:r>
    </w:p>
    <w:p>
      <w:pPr>
        <w:pStyle w:val="15"/>
        <w:keepNext w:val="0"/>
        <w:keepLines w:val="0"/>
        <w:pageBreakBefore w:val="0"/>
        <w:widowControl w:val="0"/>
        <w:numPr>
          <w:ilvl w:val="0"/>
          <w:numId w:val="28"/>
        </w:numPr>
        <w:kinsoku/>
        <w:wordWrap/>
        <w:overflowPunct/>
        <w:topLinePunct w:val="0"/>
        <w:autoSpaceDE/>
        <w:autoSpaceDN/>
        <w:bidi w:val="0"/>
        <w:adjustRightInd/>
        <w:snapToGrid w:val="0"/>
        <w:spacing w:line="360" w:lineRule="auto"/>
        <w:ind w:left="0" w:leftChars="0" w:firstLine="480" w:firstLineChars="200"/>
        <w:textAlignment w:val="auto"/>
        <w:rPr>
          <w:rFonts w:hint="eastAsia" w:hAnsi="宋体"/>
          <w:color w:val="auto"/>
          <w:sz w:val="24"/>
          <w:highlight w:val="none"/>
        </w:rPr>
      </w:pPr>
      <w:r>
        <w:rPr>
          <w:rFonts w:hint="eastAsia" w:hAnsi="宋体"/>
          <w:color w:val="auto"/>
          <w:sz w:val="24"/>
          <w:highlight w:val="none"/>
        </w:rPr>
        <w:t>垃圾渗滤液处理服务费=垃圾渗滤液处理量*垃圾渗滤液处理单价；</w:t>
      </w:r>
    </w:p>
    <w:p>
      <w:pPr>
        <w:pStyle w:val="15"/>
        <w:keepNext w:val="0"/>
        <w:keepLines w:val="0"/>
        <w:pageBreakBefore w:val="0"/>
        <w:widowControl w:val="0"/>
        <w:numPr>
          <w:ilvl w:val="0"/>
          <w:numId w:val="28"/>
        </w:numPr>
        <w:kinsoku/>
        <w:wordWrap/>
        <w:overflowPunct/>
        <w:topLinePunct w:val="0"/>
        <w:autoSpaceDE/>
        <w:autoSpaceDN/>
        <w:bidi w:val="0"/>
        <w:adjustRightInd/>
        <w:snapToGrid w:val="0"/>
        <w:spacing w:line="360" w:lineRule="auto"/>
        <w:ind w:left="0" w:leftChars="0" w:firstLine="480" w:firstLineChars="200"/>
        <w:textAlignment w:val="auto"/>
        <w:rPr>
          <w:rFonts w:hAnsi="宋体"/>
          <w:color w:val="auto"/>
          <w:sz w:val="24"/>
          <w:highlight w:val="none"/>
        </w:rPr>
      </w:pPr>
      <w:r>
        <w:rPr>
          <w:rFonts w:hint="eastAsia" w:hAnsi="宋体"/>
          <w:color w:val="auto"/>
          <w:sz w:val="24"/>
          <w:highlight w:val="none"/>
        </w:rPr>
        <w:t>当实际日均渗滤液处理量不到收费基本水量210立方米的按基本水量计，实际渗滤液处理量超过210立方米/日，按210立方米/日计，每年的垃圾渗滤液处理费总付费不超过投标总报价金额</w:t>
      </w:r>
      <w:r>
        <w:rPr>
          <w:rFonts w:hint="eastAsia" w:hAnsi="宋体"/>
          <w:color w:val="auto"/>
          <w:sz w:val="24"/>
          <w:highlight w:val="none"/>
          <w:u w:val="single"/>
        </w:rPr>
        <w:t xml:space="preserve">          元</w:t>
      </w:r>
      <w:r>
        <w:rPr>
          <w:rFonts w:hint="eastAsia" w:hAnsi="宋体"/>
          <w:color w:val="auto"/>
          <w:sz w:val="24"/>
          <w:highlight w:val="none"/>
        </w:rPr>
        <w:t>/年。</w:t>
      </w:r>
    </w:p>
    <w:p>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四</w:t>
      </w:r>
      <w:r>
        <w:rPr>
          <w:rFonts w:ascii="宋体" w:hAnsi="宋体" w:cs="Arial"/>
          <w:b/>
          <w:color w:val="auto"/>
          <w:kern w:val="0"/>
          <w:sz w:val="24"/>
          <w:highlight w:val="none"/>
        </w:rPr>
        <w:t>、甲乙双方责任</w:t>
      </w:r>
    </w:p>
    <w:p>
      <w:pPr>
        <w:pStyle w:val="23"/>
        <w:shd w:val="clear" w:color="auto" w:fill="FFFFFF"/>
        <w:spacing w:before="0" w:beforeAutospacing="0" w:after="0" w:afterAutospacing="0" w:line="360" w:lineRule="auto"/>
        <w:ind w:firstLine="480" w:firstLineChars="200"/>
        <w:jc w:val="both"/>
        <w:rPr>
          <w:rFonts w:hint="default" w:cs="Arial"/>
          <w:color w:val="auto"/>
          <w:highlight w:val="none"/>
        </w:rPr>
      </w:pPr>
      <w:r>
        <w:rPr>
          <w:rFonts w:cs="Arial"/>
          <w:color w:val="auto"/>
          <w:highlight w:val="none"/>
        </w:rPr>
        <w:t>（一）甲方责任</w:t>
      </w:r>
    </w:p>
    <w:p>
      <w:pPr>
        <w:pStyle w:val="23"/>
        <w:shd w:val="clear" w:color="auto" w:fill="FFFFFF"/>
        <w:spacing w:before="0" w:beforeAutospacing="0" w:after="0" w:afterAutospacing="0" w:line="360" w:lineRule="auto"/>
        <w:ind w:firstLine="480" w:firstLineChars="200"/>
        <w:jc w:val="both"/>
        <w:rPr>
          <w:rFonts w:hint="default" w:cs="Arial"/>
          <w:color w:val="auto"/>
          <w:highlight w:val="none"/>
        </w:rPr>
      </w:pPr>
      <w:r>
        <w:rPr>
          <w:rFonts w:cs="Arial"/>
          <w:color w:val="auto"/>
          <w:highlight w:val="none"/>
        </w:rPr>
        <w:t>（根据招标结果确定）</w:t>
      </w:r>
    </w:p>
    <w:p>
      <w:pPr>
        <w:pStyle w:val="23"/>
        <w:shd w:val="clear" w:color="auto" w:fill="FFFFFF"/>
        <w:spacing w:before="0" w:beforeAutospacing="0" w:after="0" w:afterAutospacing="0" w:line="360" w:lineRule="auto"/>
        <w:ind w:firstLine="480" w:firstLineChars="200"/>
        <w:jc w:val="both"/>
        <w:rPr>
          <w:rFonts w:hint="default" w:cs="Arial"/>
          <w:color w:val="auto"/>
          <w:highlight w:val="none"/>
        </w:rPr>
      </w:pPr>
      <w:r>
        <w:rPr>
          <w:rFonts w:cs="Arial"/>
          <w:color w:val="auto"/>
          <w:highlight w:val="none"/>
        </w:rPr>
        <w:t>（二）乙方责任</w:t>
      </w:r>
    </w:p>
    <w:p>
      <w:pPr>
        <w:pStyle w:val="23"/>
        <w:shd w:val="clear" w:color="auto" w:fill="FFFFFF"/>
        <w:spacing w:before="0" w:beforeAutospacing="0" w:after="0" w:afterAutospacing="0" w:line="360" w:lineRule="auto"/>
        <w:ind w:firstLine="480" w:firstLineChars="200"/>
        <w:jc w:val="both"/>
        <w:rPr>
          <w:rFonts w:hint="default" w:cs="Arial"/>
          <w:color w:val="auto"/>
          <w:highlight w:val="none"/>
        </w:rPr>
      </w:pPr>
      <w:r>
        <w:rPr>
          <w:color w:val="auto"/>
          <w:highlight w:val="none"/>
        </w:rPr>
        <w:t>（根据招标结果确定）</w:t>
      </w:r>
    </w:p>
    <w:p>
      <w:pPr>
        <w:pStyle w:val="15"/>
        <w:snapToGrid w:val="0"/>
        <w:spacing w:line="360" w:lineRule="auto"/>
        <w:ind w:firstLine="482" w:firstLineChars="200"/>
        <w:rPr>
          <w:rFonts w:hint="eastAsia" w:hAnsi="宋体" w:eastAsia="宋体"/>
          <w:b/>
          <w:color w:val="auto"/>
          <w:sz w:val="24"/>
          <w:highlight w:val="none"/>
          <w:lang w:eastAsia="zh-CN"/>
        </w:rPr>
      </w:pPr>
      <w:r>
        <w:rPr>
          <w:rFonts w:hint="eastAsia" w:hAnsi="宋体"/>
          <w:b/>
          <w:color w:val="auto"/>
          <w:sz w:val="24"/>
          <w:highlight w:val="none"/>
        </w:rPr>
        <w:t>五</w:t>
      </w:r>
      <w:r>
        <w:rPr>
          <w:rFonts w:hAnsi="宋体"/>
          <w:b/>
          <w:color w:val="auto"/>
          <w:sz w:val="24"/>
          <w:highlight w:val="none"/>
        </w:rPr>
        <w:t>、技术资料</w:t>
      </w:r>
      <w:r>
        <w:rPr>
          <w:rFonts w:hint="eastAsia" w:hAnsi="宋体"/>
          <w:b/>
          <w:color w:val="auto"/>
          <w:sz w:val="24"/>
          <w:highlight w:val="none"/>
          <w:lang w:eastAsia="zh-CN"/>
        </w:rPr>
        <w:t>（</w:t>
      </w:r>
      <w:r>
        <w:rPr>
          <w:rFonts w:hint="eastAsia" w:hAnsi="宋体"/>
          <w:b/>
          <w:color w:val="auto"/>
          <w:sz w:val="24"/>
          <w:highlight w:val="none"/>
          <w:lang w:val="en-US" w:eastAsia="zh-CN"/>
        </w:rPr>
        <w:t>根据项目实际情况提供</w:t>
      </w:r>
      <w:r>
        <w:rPr>
          <w:rFonts w:hint="eastAsia" w:hAnsi="宋体"/>
          <w:b/>
          <w:color w:val="auto"/>
          <w:sz w:val="24"/>
          <w:highlight w:val="none"/>
          <w:lang w:eastAsia="zh-CN"/>
        </w:rPr>
        <w:t>）</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乙方应按招标文件规定的时间向甲方提供有关技术资料。</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snapToGrid w:val="0"/>
        <w:spacing w:line="360" w:lineRule="auto"/>
        <w:ind w:firstLine="482" w:firstLineChars="200"/>
        <w:rPr>
          <w:rFonts w:hAnsi="宋体"/>
          <w:b/>
          <w:color w:val="auto"/>
          <w:sz w:val="24"/>
          <w:highlight w:val="none"/>
        </w:rPr>
      </w:pPr>
      <w:r>
        <w:rPr>
          <w:rFonts w:hint="eastAsia" w:hAnsi="宋体"/>
          <w:b/>
          <w:color w:val="auto"/>
          <w:sz w:val="24"/>
          <w:highlight w:val="none"/>
        </w:rPr>
        <w:t>六</w:t>
      </w:r>
      <w:r>
        <w:rPr>
          <w:rFonts w:hAnsi="宋体"/>
          <w:b/>
          <w:color w:val="auto"/>
          <w:sz w:val="24"/>
          <w:highlight w:val="none"/>
        </w:rPr>
        <w:t>、知识产权</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乙方应保证提供服务过程中不会侵犯任何第三方的知识产权。</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（二）若侵犯,由乙方赔偿甲方因此遭受的损失（包括但不限于应对及追偿过程中所支付的律师费、差旅费、诉讼费、保全费、鉴定费、评估费等）。</w:t>
      </w:r>
    </w:p>
    <w:p>
      <w:pPr>
        <w:pStyle w:val="15"/>
        <w:snapToGrid w:val="0"/>
        <w:spacing w:line="360" w:lineRule="auto"/>
        <w:ind w:firstLine="482" w:firstLineChars="200"/>
        <w:rPr>
          <w:rFonts w:hAnsi="宋体"/>
          <w:color w:val="auto"/>
          <w:sz w:val="24"/>
          <w:highlight w:val="none"/>
        </w:rPr>
      </w:pPr>
      <w:r>
        <w:rPr>
          <w:rFonts w:hint="eastAsia" w:hAnsi="宋体"/>
          <w:b/>
          <w:color w:val="auto"/>
          <w:sz w:val="24"/>
          <w:highlight w:val="none"/>
        </w:rPr>
        <w:t>七</w:t>
      </w:r>
      <w:r>
        <w:rPr>
          <w:rFonts w:hAnsi="宋体"/>
          <w:b/>
          <w:color w:val="auto"/>
          <w:sz w:val="24"/>
          <w:highlight w:val="none"/>
        </w:rPr>
        <w:t>、履约保证金</w:t>
      </w:r>
      <w:r>
        <w:rPr>
          <w:rFonts w:hint="eastAsia" w:hAnsi="宋体"/>
          <w:b/>
          <w:color w:val="auto"/>
          <w:sz w:val="24"/>
          <w:highlight w:val="none"/>
        </w:rPr>
        <w:t>：/</w:t>
      </w:r>
      <w:r>
        <w:rPr>
          <w:rFonts w:hint="eastAsia" w:asciiTheme="minorEastAsia" w:hAnsiTheme="minorEastAsia" w:eastAsiaTheme="minorEastAsia"/>
          <w:color w:val="auto"/>
          <w:sz w:val="24"/>
          <w:highlight w:val="none"/>
          <w:lang w:val="zh-CN"/>
        </w:rPr>
        <w:t>。</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八、转包或分包</w:t>
      </w:r>
    </w:p>
    <w:p>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（一）</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（二）</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（三）</w:t>
      </w:r>
      <w:r>
        <w:rPr>
          <w:rFonts w:hint="eastAsia" w:ascii="宋体" w:hAnsi="宋体"/>
          <w:color w:val="auto"/>
          <w:sz w:val="24"/>
          <w:highlight w:val="none"/>
        </w:rPr>
        <w:t>如有转让和未经甲方同意的分包行为，甲方有权解除合同，没收履约保证金并追究乙方的违约责任。</w:t>
      </w:r>
    </w:p>
    <w:p>
      <w:pPr>
        <w:pStyle w:val="15"/>
        <w:snapToGrid w:val="0"/>
        <w:spacing w:line="360" w:lineRule="auto"/>
        <w:ind w:firstLine="482" w:firstLineChars="200"/>
        <w:rPr>
          <w:rFonts w:hAnsi="宋体"/>
          <w:color w:val="auto"/>
          <w:sz w:val="24"/>
          <w:highlight w:val="none"/>
        </w:rPr>
      </w:pPr>
      <w:r>
        <w:rPr>
          <w:rFonts w:hint="eastAsia" w:hAnsi="宋体"/>
          <w:b/>
          <w:color w:val="auto"/>
          <w:sz w:val="24"/>
          <w:highlight w:val="none"/>
        </w:rPr>
        <w:t>九</w:t>
      </w:r>
      <w:r>
        <w:rPr>
          <w:rFonts w:hAnsi="宋体"/>
          <w:b/>
          <w:color w:val="auto"/>
          <w:sz w:val="24"/>
          <w:highlight w:val="none"/>
        </w:rPr>
        <w:t>、服务期 (选用)</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服务期</w:t>
      </w:r>
      <w:r>
        <w:rPr>
          <w:rFonts w:hAnsi="宋体"/>
          <w:color w:val="auto"/>
          <w:sz w:val="24"/>
          <w:highlight w:val="none"/>
          <w:u w:val="single"/>
        </w:rPr>
        <w:t xml:space="preserve">      </w:t>
      </w:r>
      <w:r>
        <w:rPr>
          <w:rFonts w:hAnsi="宋体"/>
          <w:color w:val="auto"/>
          <w:sz w:val="24"/>
          <w:highlight w:val="none"/>
        </w:rPr>
        <w:t>。（自</w:t>
      </w:r>
      <w:r>
        <w:rPr>
          <w:rFonts w:hint="eastAsia" w:hAnsi="宋体"/>
          <w:color w:val="auto"/>
          <w:sz w:val="24"/>
          <w:highlight w:val="none"/>
        </w:rPr>
        <w:t>合同签订之日</w:t>
      </w:r>
      <w:r>
        <w:rPr>
          <w:rFonts w:hAnsi="宋体"/>
          <w:color w:val="auto"/>
          <w:sz w:val="24"/>
          <w:highlight w:val="none"/>
        </w:rPr>
        <w:t>起计）</w:t>
      </w:r>
    </w:p>
    <w:p>
      <w:pPr>
        <w:pStyle w:val="15"/>
        <w:snapToGrid w:val="0"/>
        <w:spacing w:line="360" w:lineRule="auto"/>
        <w:ind w:firstLine="482" w:firstLineChars="200"/>
        <w:rPr>
          <w:rFonts w:hAnsi="宋体"/>
          <w:b/>
          <w:color w:val="auto"/>
          <w:sz w:val="24"/>
          <w:highlight w:val="none"/>
        </w:rPr>
      </w:pPr>
      <w:r>
        <w:rPr>
          <w:rFonts w:hint="eastAsia" w:hAnsi="宋体"/>
          <w:b/>
          <w:color w:val="auto"/>
          <w:sz w:val="24"/>
          <w:highlight w:val="none"/>
        </w:rPr>
        <w:t>十</w:t>
      </w:r>
      <w:r>
        <w:rPr>
          <w:rFonts w:hAnsi="宋体"/>
          <w:b/>
          <w:color w:val="auto"/>
          <w:sz w:val="24"/>
          <w:highlight w:val="none"/>
        </w:rPr>
        <w:t>、合同履行时间、履行方式及履行地点</w:t>
      </w:r>
    </w:p>
    <w:p>
      <w:pPr>
        <w:pStyle w:val="15"/>
        <w:snapToGrid w:val="0"/>
        <w:spacing w:line="360" w:lineRule="auto"/>
        <w:ind w:firstLine="480" w:firstLineChars="200"/>
        <w:rPr>
          <w:rFonts w:hAnsi="宋体"/>
          <w:bCs/>
          <w:color w:val="auto"/>
          <w:sz w:val="24"/>
          <w:highlight w:val="none"/>
        </w:rPr>
      </w:pPr>
      <w:r>
        <w:rPr>
          <w:rFonts w:hint="eastAsia" w:hAnsi="宋体"/>
          <w:color w:val="auto"/>
          <w:sz w:val="24"/>
          <w:highlight w:val="none"/>
        </w:rPr>
        <w:t>（一）</w:t>
      </w:r>
      <w:r>
        <w:rPr>
          <w:rFonts w:hAnsi="宋体"/>
          <w:color w:val="auto"/>
          <w:sz w:val="24"/>
          <w:highlight w:val="none"/>
        </w:rPr>
        <w:t>履行时间</w:t>
      </w:r>
      <w:r>
        <w:rPr>
          <w:rFonts w:hAnsi="宋体"/>
          <w:bCs/>
          <w:color w:val="auto"/>
          <w:sz w:val="24"/>
          <w:highlight w:val="none"/>
        </w:rPr>
        <w:t>：</w:t>
      </w:r>
    </w:p>
    <w:p>
      <w:pPr>
        <w:pStyle w:val="15"/>
        <w:snapToGrid w:val="0"/>
        <w:spacing w:line="360" w:lineRule="auto"/>
        <w:ind w:firstLine="480" w:firstLineChars="200"/>
        <w:rPr>
          <w:rFonts w:hAnsi="宋体"/>
          <w:bCs/>
          <w:color w:val="auto"/>
          <w:sz w:val="24"/>
          <w:highlight w:val="none"/>
        </w:rPr>
      </w:pPr>
      <w:r>
        <w:rPr>
          <w:rFonts w:hint="eastAsia" w:hAnsi="宋体"/>
          <w:color w:val="auto"/>
          <w:sz w:val="24"/>
          <w:highlight w:val="none"/>
        </w:rPr>
        <w:t>（二）</w:t>
      </w:r>
      <w:r>
        <w:rPr>
          <w:rFonts w:hAnsi="宋体"/>
          <w:color w:val="auto"/>
          <w:sz w:val="24"/>
          <w:highlight w:val="none"/>
        </w:rPr>
        <w:t>履行方式</w:t>
      </w:r>
      <w:r>
        <w:rPr>
          <w:rFonts w:hAnsi="宋体"/>
          <w:bCs/>
          <w:color w:val="auto"/>
          <w:sz w:val="24"/>
          <w:highlight w:val="none"/>
        </w:rPr>
        <w:t>：</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履行地点</w:t>
      </w:r>
      <w:r>
        <w:rPr>
          <w:rFonts w:hAnsi="宋体"/>
          <w:bCs/>
          <w:color w:val="auto"/>
          <w:sz w:val="24"/>
          <w:highlight w:val="none"/>
        </w:rPr>
        <w:t>：</w:t>
      </w:r>
    </w:p>
    <w:p>
      <w:pPr>
        <w:pStyle w:val="15"/>
        <w:snapToGrid w:val="0"/>
        <w:spacing w:line="360" w:lineRule="auto"/>
        <w:ind w:firstLine="482" w:firstLineChars="200"/>
        <w:rPr>
          <w:rFonts w:hAnsi="宋体"/>
          <w:b/>
          <w:color w:val="auto"/>
          <w:sz w:val="24"/>
          <w:highlight w:val="none"/>
        </w:rPr>
      </w:pPr>
      <w:r>
        <w:rPr>
          <w:rFonts w:hint="eastAsia" w:hAnsi="宋体"/>
          <w:b/>
          <w:color w:val="auto"/>
          <w:sz w:val="24"/>
          <w:highlight w:val="none"/>
        </w:rPr>
        <w:t>十一</w:t>
      </w:r>
      <w:r>
        <w:rPr>
          <w:rFonts w:hAnsi="宋体"/>
          <w:b/>
          <w:color w:val="auto"/>
          <w:sz w:val="24"/>
          <w:highlight w:val="none"/>
        </w:rPr>
        <w:t>、款项支付</w:t>
      </w:r>
    </w:p>
    <w:p>
      <w:pPr>
        <w:pStyle w:val="15"/>
        <w:snapToGrid w:val="0"/>
        <w:spacing w:line="360" w:lineRule="auto"/>
        <w:ind w:firstLine="480" w:firstLineChars="200"/>
        <w:rPr>
          <w:rFonts w:hAnsi="宋体"/>
          <w:bCs/>
          <w:color w:val="auto"/>
          <w:sz w:val="24"/>
          <w:highlight w:val="none"/>
        </w:rPr>
      </w:pPr>
      <w:r>
        <w:rPr>
          <w:rFonts w:hAnsi="宋体"/>
          <w:bCs/>
          <w:color w:val="auto"/>
          <w:sz w:val="24"/>
          <w:highlight w:val="none"/>
        </w:rPr>
        <w:t xml:space="preserve"> 付款方式：</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十二、税费</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w:t>
      </w:r>
      <w:r>
        <w:rPr>
          <w:rFonts w:ascii="宋体" w:hAnsi="宋体"/>
          <w:color w:val="auto"/>
          <w:sz w:val="24"/>
          <w:highlight w:val="none"/>
        </w:rPr>
        <w:t>乙</w:t>
      </w:r>
      <w:r>
        <w:rPr>
          <w:rFonts w:hint="eastAsia" w:ascii="宋体" w:hAnsi="宋体"/>
          <w:color w:val="auto"/>
          <w:sz w:val="24"/>
          <w:highlight w:val="none"/>
        </w:rPr>
        <w:t>方负担。</w:t>
      </w:r>
    </w:p>
    <w:p>
      <w:pPr>
        <w:pStyle w:val="15"/>
        <w:snapToGrid w:val="0"/>
        <w:spacing w:line="360" w:lineRule="auto"/>
        <w:ind w:firstLine="482" w:firstLineChars="200"/>
        <w:rPr>
          <w:rFonts w:hAnsi="宋体"/>
          <w:color w:val="auto"/>
          <w:sz w:val="24"/>
          <w:highlight w:val="none"/>
        </w:rPr>
      </w:pPr>
      <w:r>
        <w:rPr>
          <w:rFonts w:hAnsi="宋体"/>
          <w:b/>
          <w:color w:val="auto"/>
          <w:sz w:val="24"/>
          <w:highlight w:val="none"/>
        </w:rPr>
        <w:t>十</w:t>
      </w:r>
      <w:r>
        <w:rPr>
          <w:rFonts w:hint="eastAsia" w:hAnsi="宋体"/>
          <w:b/>
          <w:color w:val="auto"/>
          <w:sz w:val="24"/>
          <w:highlight w:val="none"/>
        </w:rPr>
        <w:t>三</w:t>
      </w:r>
      <w:r>
        <w:rPr>
          <w:rFonts w:hAnsi="宋体"/>
          <w:b/>
          <w:color w:val="auto"/>
          <w:sz w:val="24"/>
          <w:highlight w:val="none"/>
        </w:rPr>
        <w:t>、质量保证及后续服务</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乙方应按招标文件规定向甲方提供服务。</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乙方提供的服务达不到</w:t>
      </w:r>
      <w:r>
        <w:rPr>
          <w:rFonts w:hint="eastAsia" w:hAnsi="宋体"/>
          <w:color w:val="auto"/>
          <w:sz w:val="24"/>
          <w:highlight w:val="none"/>
        </w:rPr>
        <w:t>合同文件</w:t>
      </w:r>
      <w:r>
        <w:rPr>
          <w:rFonts w:hAnsi="宋体"/>
          <w:color w:val="auto"/>
          <w:sz w:val="24"/>
          <w:highlight w:val="none"/>
        </w:rPr>
        <w:t>要求</w:t>
      </w:r>
      <w:r>
        <w:rPr>
          <w:rFonts w:hint="eastAsia" w:hAnsi="宋体"/>
          <w:color w:val="auto"/>
          <w:sz w:val="24"/>
          <w:highlight w:val="none"/>
        </w:rPr>
        <w:t>的</w:t>
      </w:r>
      <w:r>
        <w:rPr>
          <w:rFonts w:hAnsi="宋体"/>
          <w:color w:val="auto"/>
          <w:sz w:val="24"/>
          <w:highlight w:val="none"/>
        </w:rPr>
        <w:t>，根据实际情况，经双方协商，可按以下办法处理：</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1.赔偿</w:t>
      </w:r>
      <w:r>
        <w:rPr>
          <w:rFonts w:hAnsi="宋体"/>
          <w:color w:val="auto"/>
          <w:sz w:val="24"/>
          <w:highlight w:val="none"/>
        </w:rPr>
        <w:t>处理</w:t>
      </w:r>
      <w:r>
        <w:rPr>
          <w:rFonts w:hint="eastAsia" w:hAnsi="宋体"/>
          <w:color w:val="auto"/>
          <w:sz w:val="24"/>
          <w:highlight w:val="none"/>
        </w:rPr>
        <w:t>；</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解除合同。</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如在使用过程中发生问题，乙方在接到甲方通知后在</w:t>
      </w:r>
      <w:r>
        <w:rPr>
          <w:rFonts w:hint="eastAsia" w:hAnsi="宋体"/>
          <w:color w:val="auto"/>
          <w:sz w:val="24"/>
          <w:highlight w:val="none"/>
          <w:u w:val="single"/>
        </w:rPr>
        <w:t xml:space="preserve">   </w:t>
      </w:r>
      <w:r>
        <w:rPr>
          <w:rFonts w:hAnsi="宋体"/>
          <w:color w:val="auto"/>
          <w:sz w:val="24"/>
          <w:highlight w:val="none"/>
        </w:rPr>
        <w:t>小时内到达甲方现场。</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（四）</w:t>
      </w:r>
      <w:r>
        <w:rPr>
          <w:rFonts w:hAnsi="宋体"/>
          <w:color w:val="auto"/>
          <w:sz w:val="24"/>
          <w:highlight w:val="none"/>
        </w:rPr>
        <w:t>在服务期内，乙方应对出现的质量及安全问题负责处理解决并承担一切费用。</w:t>
      </w:r>
    </w:p>
    <w:p>
      <w:pPr>
        <w:pStyle w:val="15"/>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四</w:t>
      </w:r>
      <w:r>
        <w:rPr>
          <w:rFonts w:hAnsi="宋体"/>
          <w:b/>
          <w:color w:val="auto"/>
          <w:sz w:val="24"/>
          <w:highlight w:val="none"/>
        </w:rPr>
        <w:t>、违约责任</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甲方无正当理由拒收接受服务的，甲方向乙方偿付合同款项</w:t>
      </w:r>
      <w:r>
        <w:rPr>
          <w:rFonts w:hAnsi="宋体"/>
          <w:color w:val="auto"/>
          <w:sz w:val="24"/>
          <w:highlight w:val="none"/>
          <w:u w:val="single"/>
        </w:rPr>
        <w:t>百分之五</w:t>
      </w:r>
      <w:r>
        <w:rPr>
          <w:rFonts w:hAnsi="宋体"/>
          <w:color w:val="auto"/>
          <w:sz w:val="24"/>
          <w:highlight w:val="none"/>
        </w:rPr>
        <w:t>作为违约金。</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甲方无故逾期验收和办理款项支付手续的,甲方应按逾期付款总额</w:t>
      </w:r>
      <w:r>
        <w:rPr>
          <w:rFonts w:hAnsi="宋体"/>
          <w:color w:val="auto"/>
          <w:sz w:val="24"/>
          <w:highlight w:val="none"/>
          <w:u w:val="single"/>
        </w:rPr>
        <w:t>每日万分之五</w:t>
      </w:r>
      <w:r>
        <w:rPr>
          <w:rFonts w:hAnsi="宋体"/>
          <w:color w:val="auto"/>
          <w:sz w:val="24"/>
          <w:highlight w:val="none"/>
        </w:rPr>
        <w:t>向乙方支付违约金。</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乙方</w:t>
      </w:r>
      <w:r>
        <w:rPr>
          <w:rFonts w:hint="eastAsia" w:hAnsi="宋体"/>
          <w:color w:val="auto"/>
          <w:sz w:val="24"/>
          <w:highlight w:val="none"/>
        </w:rPr>
        <w:t>未能如</w:t>
      </w:r>
      <w:r>
        <w:rPr>
          <w:rFonts w:hAnsi="宋体"/>
          <w:color w:val="auto"/>
          <w:sz w:val="24"/>
          <w:highlight w:val="none"/>
        </w:rPr>
        <w:t>期提供服务的，每日向甲方支付</w:t>
      </w:r>
      <w:r>
        <w:rPr>
          <w:rFonts w:hint="eastAsia" w:hAnsi="宋体"/>
          <w:color w:val="auto"/>
          <w:sz w:val="24"/>
          <w:highlight w:val="none"/>
        </w:rPr>
        <w:t>合同款项的</w:t>
      </w:r>
      <w:r>
        <w:rPr>
          <w:rFonts w:hAnsi="宋体"/>
          <w:color w:val="auto"/>
          <w:sz w:val="24"/>
          <w:highlight w:val="none"/>
          <w:u w:val="single"/>
        </w:rPr>
        <w:t>千分之六</w:t>
      </w:r>
      <w:r>
        <w:rPr>
          <w:rFonts w:hint="eastAsia" w:hAnsi="宋体"/>
          <w:color w:val="auto"/>
          <w:sz w:val="24"/>
          <w:highlight w:val="none"/>
        </w:rPr>
        <w:t>作为</w:t>
      </w:r>
      <w:r>
        <w:rPr>
          <w:rFonts w:hAnsi="宋体"/>
          <w:color w:val="auto"/>
          <w:sz w:val="24"/>
          <w:highlight w:val="none"/>
        </w:rPr>
        <w:t>违约金。乙方超过约定日期____个工作日</w:t>
      </w:r>
      <w:r>
        <w:rPr>
          <w:rFonts w:hint="eastAsia" w:hAnsi="宋体"/>
          <w:color w:val="auto"/>
          <w:sz w:val="24"/>
          <w:highlight w:val="none"/>
        </w:rPr>
        <w:t>仍</w:t>
      </w:r>
      <w:r>
        <w:rPr>
          <w:rFonts w:hAnsi="宋体"/>
          <w:color w:val="auto"/>
          <w:sz w:val="24"/>
          <w:highlight w:val="none"/>
        </w:rPr>
        <w:t>不能</w:t>
      </w:r>
      <w:r>
        <w:rPr>
          <w:rFonts w:hint="eastAsia" w:hAnsi="宋体"/>
          <w:color w:val="auto"/>
          <w:sz w:val="24"/>
          <w:highlight w:val="none"/>
        </w:rPr>
        <w:t>提供服务</w:t>
      </w:r>
      <w:r>
        <w:rPr>
          <w:rFonts w:hAnsi="宋体"/>
          <w:color w:val="auto"/>
          <w:sz w:val="24"/>
          <w:highlight w:val="none"/>
        </w:rPr>
        <w:t>的，甲方可解除本合同。乙方因</w:t>
      </w:r>
      <w:r>
        <w:rPr>
          <w:rFonts w:hint="eastAsia" w:hAnsi="宋体"/>
          <w:color w:val="auto"/>
          <w:sz w:val="24"/>
          <w:highlight w:val="none"/>
        </w:rPr>
        <w:t>未能如</w:t>
      </w:r>
      <w:r>
        <w:rPr>
          <w:rFonts w:hAnsi="宋体"/>
          <w:color w:val="auto"/>
          <w:sz w:val="24"/>
          <w:highlight w:val="none"/>
        </w:rPr>
        <w:t>期提供服务或因其他违约行为导致甲方解除合同的，乙方应向甲方支付合同总值</w:t>
      </w:r>
      <w:r>
        <w:rPr>
          <w:rFonts w:hAnsi="宋体"/>
          <w:color w:val="auto"/>
          <w:sz w:val="24"/>
          <w:highlight w:val="none"/>
          <w:u w:val="single"/>
        </w:rPr>
        <w:t>5%</w:t>
      </w:r>
      <w:r>
        <w:rPr>
          <w:rFonts w:hAnsi="宋体"/>
          <w:color w:val="auto"/>
          <w:sz w:val="24"/>
          <w:highlight w:val="none"/>
        </w:rPr>
        <w:t xml:space="preserve">的违约金，如造成甲方损失超过违约金的，超出部分由乙方继续承担赔偿责任。 </w:t>
      </w:r>
    </w:p>
    <w:p>
      <w:pPr>
        <w:pStyle w:val="15"/>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五</w:t>
      </w:r>
      <w:r>
        <w:rPr>
          <w:rFonts w:hAnsi="宋体"/>
          <w:b/>
          <w:color w:val="auto"/>
          <w:sz w:val="24"/>
          <w:highlight w:val="none"/>
        </w:rPr>
        <w:t>、不可抗力事件处理</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在合同有效期内，任何一方因不可抗力事件导致不能履行合同，则合同履行期可延长，其延长期与不可抗力影响期相同。</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不可抗力事件发生后，应立即通知对方，并寄送有关权威机构出具的证明。</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不可抗力事件延续120天以上，双方应通过友好协商，确定是否继续履行合同。</w:t>
      </w:r>
    </w:p>
    <w:p>
      <w:pPr>
        <w:pStyle w:val="15"/>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六</w:t>
      </w:r>
      <w:r>
        <w:rPr>
          <w:rFonts w:hAnsi="宋体"/>
          <w:b/>
          <w:color w:val="auto"/>
          <w:sz w:val="24"/>
          <w:highlight w:val="none"/>
        </w:rPr>
        <w:t>、</w:t>
      </w:r>
      <w:r>
        <w:rPr>
          <w:rFonts w:hint="eastAsia" w:asciiTheme="minorEastAsia" w:hAnsiTheme="minorEastAsia" w:eastAsiaTheme="minorEastAsia"/>
          <w:b/>
          <w:color w:val="auto"/>
          <w:sz w:val="24"/>
          <w:highlight w:val="none"/>
        </w:rPr>
        <w:t>解决争议的方法</w:t>
      </w:r>
    </w:p>
    <w:p>
      <w:pPr>
        <w:pStyle w:val="15"/>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如双方在履行合同时发生纠纷，应协商解决；协商不成时，可提请政府采购管理部门调解；调解不成的通过</w:t>
      </w:r>
      <w:r>
        <w:rPr>
          <w:rFonts w:hint="eastAsia" w:asciiTheme="minorEastAsia" w:hAnsiTheme="minorEastAsia" w:eastAsiaTheme="minorEastAsia"/>
          <w:color w:val="auto"/>
          <w:sz w:val="24"/>
          <w:highlight w:val="none"/>
        </w:rPr>
        <w:t>以下第（ 二）方式解决</w:t>
      </w:r>
      <w:r>
        <w:rPr>
          <w:rFonts w:asciiTheme="minorEastAsia" w:hAnsiTheme="minorEastAsia" w:eastAsiaTheme="minorEastAsia"/>
          <w:color w:val="auto"/>
          <w:sz w:val="24"/>
          <w:highlight w:val="none"/>
        </w:rPr>
        <w:t>：</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w:t>
      </w:r>
      <w:r>
        <w:rPr>
          <w:rFonts w:ascii="宋体" w:hAnsi="宋体" w:cs="宋体"/>
          <w:color w:val="auto"/>
          <w:kern w:val="0"/>
          <w:sz w:val="24"/>
          <w:highlight w:val="none"/>
        </w:rPr>
        <w:t>提交</w:t>
      </w:r>
      <w:r>
        <w:rPr>
          <w:rFonts w:hAnsi="宋体"/>
          <w:color w:val="auto"/>
          <w:sz w:val="24"/>
          <w:highlight w:val="none"/>
          <w:u w:val="single"/>
        </w:rPr>
        <w:t>台州</w:t>
      </w:r>
      <w:r>
        <w:rPr>
          <w:rFonts w:ascii="宋体" w:hAnsi="宋体" w:cs="宋体"/>
          <w:color w:val="auto"/>
          <w:kern w:val="0"/>
          <w:sz w:val="24"/>
          <w:highlight w:val="none"/>
        </w:rPr>
        <w:t>仲裁委员会仲裁。</w:t>
      </w:r>
    </w:p>
    <w:p>
      <w:pPr>
        <w:widowControl/>
        <w:spacing w:line="360" w:lineRule="auto"/>
        <w:ind w:firstLine="480" w:firstLineChars="200"/>
        <w:rPr>
          <w:rFonts w:hAnsi="宋体" w:cs="宋体"/>
          <w:color w:val="auto"/>
          <w:kern w:val="0"/>
          <w:sz w:val="24"/>
          <w:highlight w:val="none"/>
        </w:rPr>
      </w:pPr>
      <w:r>
        <w:rPr>
          <w:rFonts w:hint="eastAsia" w:ascii="宋体" w:hAnsi="宋体" w:cs="宋体"/>
          <w:color w:val="auto"/>
          <w:kern w:val="0"/>
          <w:sz w:val="24"/>
          <w:highlight w:val="none"/>
        </w:rPr>
        <w:t>（二）</w:t>
      </w:r>
      <w:r>
        <w:rPr>
          <w:rFonts w:ascii="宋体" w:hAnsi="宋体" w:cs="宋体"/>
          <w:color w:val="auto"/>
          <w:kern w:val="0"/>
          <w:sz w:val="24"/>
          <w:highlight w:val="none"/>
        </w:rPr>
        <w:t>依法向</w:t>
      </w:r>
      <w:r>
        <w:rPr>
          <w:rFonts w:hint="eastAsia" w:ascii="宋体" w:hAnsi="宋体" w:cs="宋体"/>
          <w:color w:val="auto"/>
          <w:kern w:val="0"/>
          <w:sz w:val="24"/>
          <w:highlight w:val="none"/>
        </w:rPr>
        <w:t>三门县</w:t>
      </w:r>
      <w:r>
        <w:rPr>
          <w:rFonts w:ascii="宋体" w:hAnsi="宋体" w:cs="宋体"/>
          <w:color w:val="auto"/>
          <w:kern w:val="0"/>
          <w:sz w:val="24"/>
          <w:highlight w:val="none"/>
        </w:rPr>
        <w:t xml:space="preserve">人民法院提起诉讼。 </w:t>
      </w:r>
    </w:p>
    <w:p>
      <w:pPr>
        <w:pStyle w:val="15"/>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七</w:t>
      </w:r>
      <w:r>
        <w:rPr>
          <w:rFonts w:hAnsi="宋体"/>
          <w:b/>
          <w:color w:val="auto"/>
          <w:sz w:val="24"/>
          <w:highlight w:val="none"/>
        </w:rPr>
        <w:t>、合同生效及其它</w:t>
      </w:r>
    </w:p>
    <w:p>
      <w:pPr>
        <w:pStyle w:val="15"/>
        <w:snapToGrid w:val="0"/>
        <w:spacing w:line="360" w:lineRule="auto"/>
        <w:ind w:firstLine="480" w:firstLineChars="200"/>
        <w:rPr>
          <w:rFonts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一</w:t>
      </w:r>
      <w:r>
        <w:rPr>
          <w:rFonts w:hAnsi="宋体" w:cs="宋体"/>
          <w:color w:val="auto"/>
          <w:kern w:val="0"/>
          <w:sz w:val="24"/>
          <w:highlight w:val="none"/>
        </w:rPr>
        <w:t>）</w:t>
      </w:r>
      <w:r>
        <w:rPr>
          <w:rFonts w:hAnsi="宋体"/>
          <w:color w:val="auto"/>
          <w:sz w:val="24"/>
          <w:highlight w:val="none"/>
        </w:rPr>
        <w:t>合同经双方法定代表人或授权代表</w:t>
      </w:r>
      <w:r>
        <w:rPr>
          <w:rFonts w:hint="eastAsia" w:hAnsi="宋体"/>
          <w:color w:val="auto"/>
          <w:sz w:val="24"/>
          <w:highlight w:val="none"/>
        </w:rPr>
        <w:t>签字</w:t>
      </w:r>
      <w:r>
        <w:rPr>
          <w:rFonts w:hAnsi="宋体"/>
          <w:color w:val="auto"/>
          <w:sz w:val="24"/>
          <w:highlight w:val="none"/>
        </w:rPr>
        <w:t>并加盖单位公章后生效。</w:t>
      </w:r>
    </w:p>
    <w:p>
      <w:pPr>
        <w:pStyle w:val="15"/>
        <w:snapToGrid w:val="0"/>
        <w:spacing w:line="360" w:lineRule="auto"/>
        <w:ind w:firstLine="480" w:firstLineChars="200"/>
        <w:rPr>
          <w:rFonts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二</w:t>
      </w:r>
      <w:r>
        <w:rPr>
          <w:rFonts w:hAnsi="宋体" w:cs="宋体"/>
          <w:color w:val="auto"/>
          <w:kern w:val="0"/>
          <w:sz w:val="24"/>
          <w:highlight w:val="none"/>
        </w:rPr>
        <w:t>）</w:t>
      </w:r>
      <w:r>
        <w:rPr>
          <w:rFonts w:hAnsi="宋体"/>
          <w:color w:val="auto"/>
          <w:sz w:val="24"/>
          <w:highlight w:val="none"/>
        </w:rPr>
        <w:t>本合同未尽事宜，遵照《</w:t>
      </w:r>
      <w:r>
        <w:rPr>
          <w:rFonts w:hint="eastAsia" w:hAnsi="宋体"/>
          <w:color w:val="auto"/>
          <w:sz w:val="24"/>
          <w:highlight w:val="none"/>
        </w:rPr>
        <w:t>中华人民共和国民法典</w:t>
      </w:r>
      <w:r>
        <w:rPr>
          <w:rFonts w:hAnsi="宋体"/>
          <w:color w:val="auto"/>
          <w:sz w:val="24"/>
          <w:highlight w:val="none"/>
        </w:rPr>
        <w:t>》有关条文执行。</w:t>
      </w:r>
    </w:p>
    <w:p>
      <w:pPr>
        <w:widowControl/>
        <w:spacing w:line="360" w:lineRule="auto"/>
        <w:ind w:firstLine="480" w:firstLineChars="200"/>
        <w:rPr>
          <w:rFonts w:ascii="宋体" w:hAnsi="宋体" w:cstheme="minorBidi"/>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三</w:t>
      </w:r>
      <w:r>
        <w:rPr>
          <w:rFonts w:hAnsi="宋体" w:cs="宋体"/>
          <w:color w:val="auto"/>
          <w:kern w:val="0"/>
          <w:sz w:val="24"/>
          <w:highlight w:val="none"/>
        </w:rPr>
        <w:t>）</w:t>
      </w:r>
      <w:r>
        <w:rPr>
          <w:rFonts w:hint="eastAsia" w:ascii="宋体" w:hAnsi="宋体" w:cstheme="minorBidi"/>
          <w:color w:val="auto"/>
          <w:sz w:val="24"/>
          <w:highlight w:val="none"/>
        </w:rPr>
        <w:t>本合同一式肆份。甲、乙双方各执贰份。本项目未尽事宜以招标文件、投标文件及澄清文件等为准。</w:t>
      </w:r>
    </w:p>
    <w:p>
      <w:pPr>
        <w:widowControl/>
        <w:spacing w:line="360" w:lineRule="auto"/>
        <w:rPr>
          <w:rFonts w:ascii="宋体" w:hAnsi="宋体"/>
          <w:color w:val="auto"/>
          <w:kern w:val="0"/>
          <w:sz w:val="24"/>
          <w:highlight w:val="none"/>
        </w:rPr>
      </w:pPr>
    </w:p>
    <w:p>
      <w:pPr>
        <w:widowControl/>
        <w:spacing w:line="360" w:lineRule="auto"/>
        <w:rPr>
          <w:rFonts w:ascii="宋体" w:hAnsi="宋体"/>
          <w:b/>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甲方（盖章）                                     乙方（盖章）</w:t>
      </w:r>
    </w:p>
    <w:p>
      <w:pPr>
        <w:spacing w:line="360" w:lineRule="auto"/>
        <w:rPr>
          <w:rFonts w:ascii="宋体" w:hAnsi="宋体"/>
          <w:color w:val="auto"/>
          <w:sz w:val="24"/>
          <w:highlight w:val="none"/>
        </w:rPr>
      </w:pPr>
      <w:r>
        <w:rPr>
          <w:rFonts w:hint="eastAsia" w:ascii="宋体" w:hAnsi="宋体"/>
          <w:color w:val="auto"/>
          <w:sz w:val="24"/>
          <w:highlight w:val="none"/>
        </w:rPr>
        <w:t>法定代表人：                                     法定代表人：</w:t>
      </w:r>
    </w:p>
    <w:p>
      <w:pPr>
        <w:spacing w:line="360" w:lineRule="auto"/>
        <w:rPr>
          <w:rFonts w:ascii="宋体" w:hAnsi="宋体"/>
          <w:color w:val="auto"/>
          <w:sz w:val="24"/>
          <w:highlight w:val="none"/>
        </w:rPr>
      </w:pPr>
      <w:r>
        <w:rPr>
          <w:rFonts w:hint="eastAsia" w:ascii="宋体" w:hAnsi="宋体"/>
          <w:color w:val="auto"/>
          <w:sz w:val="24"/>
          <w:highlight w:val="none"/>
        </w:rPr>
        <w:t>委托代理人：                                     委托代理人：</w:t>
      </w:r>
    </w:p>
    <w:p>
      <w:pPr>
        <w:spacing w:line="360" w:lineRule="auto"/>
        <w:rPr>
          <w:rFonts w:ascii="宋体" w:hAnsi="宋体"/>
          <w:color w:val="auto"/>
          <w:sz w:val="24"/>
          <w:highlight w:val="none"/>
        </w:rPr>
      </w:pPr>
      <w:r>
        <w:rPr>
          <w:rFonts w:hint="eastAsia" w:ascii="宋体" w:hAnsi="宋体"/>
          <w:color w:val="auto"/>
          <w:sz w:val="24"/>
          <w:highlight w:val="none"/>
        </w:rPr>
        <w:t>联系电话：                                       联系电话：</w:t>
      </w:r>
    </w:p>
    <w:p>
      <w:pPr>
        <w:spacing w:line="360" w:lineRule="auto"/>
        <w:rPr>
          <w:rFonts w:ascii="宋体" w:hAnsi="宋体"/>
          <w:color w:val="auto"/>
          <w:sz w:val="24"/>
          <w:highlight w:val="none"/>
        </w:rPr>
      </w:pPr>
      <w:r>
        <w:rPr>
          <w:rFonts w:hint="eastAsia" w:ascii="宋体" w:hAnsi="宋体"/>
          <w:color w:val="auto"/>
          <w:sz w:val="24"/>
          <w:highlight w:val="none"/>
        </w:rPr>
        <w:t>开户银行：                                       开户银行：</w:t>
      </w:r>
    </w:p>
    <w:p>
      <w:pPr>
        <w:spacing w:line="360" w:lineRule="auto"/>
        <w:rPr>
          <w:rFonts w:ascii="宋体" w:hAnsi="宋体"/>
          <w:color w:val="auto"/>
          <w:sz w:val="24"/>
          <w:highlight w:val="none"/>
        </w:rPr>
      </w:pPr>
      <w:r>
        <w:rPr>
          <w:rFonts w:hint="eastAsia" w:ascii="宋体" w:hAnsi="宋体"/>
          <w:color w:val="auto"/>
          <w:sz w:val="24"/>
          <w:highlight w:val="none"/>
        </w:rPr>
        <w:t>账号：                                           账号：</w:t>
      </w:r>
    </w:p>
    <w:p>
      <w:pPr>
        <w:spacing w:line="360" w:lineRule="auto"/>
        <w:rPr>
          <w:rFonts w:ascii="宋体" w:hAnsi="宋体"/>
          <w:color w:val="auto"/>
          <w:sz w:val="24"/>
          <w:highlight w:val="none"/>
        </w:rPr>
      </w:pPr>
      <w:r>
        <w:rPr>
          <w:rFonts w:hint="eastAsia" w:ascii="宋体" w:hAnsi="宋体"/>
          <w:color w:val="auto"/>
          <w:sz w:val="24"/>
          <w:highlight w:val="none"/>
        </w:rPr>
        <w:t>地址及邮编：                                     地址及邮编：</w:t>
      </w:r>
    </w:p>
    <w:p>
      <w:pPr>
        <w:spacing w:line="360" w:lineRule="auto"/>
        <w:rPr>
          <w:rFonts w:ascii="宋体" w:hAnsi="宋体"/>
          <w:color w:val="auto"/>
          <w:sz w:val="24"/>
          <w:highlight w:val="none"/>
        </w:rPr>
      </w:pPr>
    </w:p>
    <w:p>
      <w:pPr>
        <w:spacing w:line="360" w:lineRule="auto"/>
        <w:ind w:firstLine="4920" w:firstLineChars="2050"/>
        <w:rPr>
          <w:rFonts w:ascii="宋体" w:hAnsi="宋体"/>
          <w:color w:val="auto"/>
          <w:sz w:val="24"/>
          <w:highlight w:val="none"/>
        </w:rPr>
      </w:pPr>
      <w:r>
        <w:rPr>
          <w:rFonts w:hint="eastAsia" w:ascii="宋体" w:hAnsi="宋体"/>
          <w:color w:val="auto"/>
          <w:sz w:val="24"/>
          <w:highlight w:val="none"/>
        </w:rPr>
        <w:t>签订时间：    年   月    日</w:t>
      </w:r>
    </w:p>
    <w:p>
      <w:pPr>
        <w:spacing w:line="360" w:lineRule="auto"/>
        <w:jc w:val="center"/>
        <w:rPr>
          <w:rFonts w:asciiTheme="minorEastAsia" w:hAnsiTheme="minorEastAsia" w:eastAsiaTheme="minorEastAsia"/>
          <w:b/>
          <w:color w:val="auto"/>
          <w:sz w:val="36"/>
          <w:szCs w:val="36"/>
          <w:highlight w:val="none"/>
        </w:rPr>
      </w:pPr>
    </w:p>
    <w:p>
      <w:pPr>
        <w:spacing w:line="360" w:lineRule="auto"/>
        <w:jc w:val="center"/>
        <w:rPr>
          <w:rFonts w:asciiTheme="minorEastAsia" w:hAnsiTheme="minorEastAsia" w:eastAsiaTheme="minorEastAsia"/>
          <w:b/>
          <w:color w:val="auto"/>
          <w:sz w:val="36"/>
          <w:szCs w:val="36"/>
          <w:highlight w:val="none"/>
        </w:rPr>
      </w:pPr>
    </w:p>
    <w:p>
      <w:pPr>
        <w:spacing w:line="360" w:lineRule="auto"/>
        <w:jc w:val="center"/>
        <w:rPr>
          <w:rFonts w:asciiTheme="minorEastAsia" w:hAnsiTheme="minorEastAsia" w:eastAsiaTheme="minorEastAsia"/>
          <w:b/>
          <w:color w:val="auto"/>
          <w:sz w:val="36"/>
          <w:szCs w:val="36"/>
          <w:highlight w:val="none"/>
        </w:rPr>
      </w:pPr>
    </w:p>
    <w:p>
      <w:pPr>
        <w:pStyle w:val="24"/>
        <w:rPr>
          <w:color w:val="auto"/>
          <w:highlight w:val="none"/>
        </w:rPr>
      </w:pPr>
    </w:p>
    <w:p>
      <w:pPr>
        <w:pStyle w:val="24"/>
        <w:rPr>
          <w:color w:val="auto"/>
          <w:highlight w:val="none"/>
        </w:rPr>
      </w:pPr>
    </w:p>
    <w:p>
      <w:pPr>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第六章 投标文件格式</w:t>
      </w:r>
      <w:bookmarkEnd w:id="13"/>
    </w:p>
    <w:p>
      <w:pPr>
        <w:rPr>
          <w:rFonts w:ascii="宋体" w:hAnsi="宋体"/>
          <w:b/>
          <w:color w:val="auto"/>
          <w:sz w:val="30"/>
          <w:szCs w:val="30"/>
          <w:highlight w:val="none"/>
        </w:rPr>
      </w:pPr>
    </w:p>
    <w:p>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pPr>
        <w:spacing w:line="360" w:lineRule="auto"/>
        <w:rPr>
          <w:rFonts w:asciiTheme="minorEastAsia" w:hAnsiTheme="minorEastAsia" w:eastAsiaTheme="minorEastAsia"/>
          <w:b/>
          <w:color w:val="auto"/>
          <w:sz w:val="30"/>
          <w:szCs w:val="30"/>
          <w:highlight w:val="none"/>
        </w:rPr>
      </w:pPr>
    </w:p>
    <w:p>
      <w:pPr>
        <w:jc w:val="center"/>
        <w:rPr>
          <w:color w:val="auto"/>
          <w:sz w:val="52"/>
          <w:szCs w:val="52"/>
          <w:highlight w:val="none"/>
        </w:rPr>
      </w:pPr>
      <w:bookmarkStart w:id="14" w:name="_Toc32372_WPSOffice_Level1"/>
      <w:bookmarkStart w:id="15" w:name="_Toc4956_WPSOffice_Level1"/>
      <w:bookmarkStart w:id="16" w:name="_Toc19093_WPSOffice_Level1"/>
      <w:r>
        <w:rPr>
          <w:rFonts w:hint="eastAsia"/>
          <w:color w:val="auto"/>
          <w:sz w:val="52"/>
          <w:szCs w:val="52"/>
          <w:highlight w:val="none"/>
        </w:rPr>
        <w:t>项目名称</w:t>
      </w:r>
      <w:bookmarkEnd w:id="14"/>
      <w:bookmarkEnd w:id="15"/>
      <w:bookmarkEnd w:id="16"/>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pStyle w:val="24"/>
        <w:rPr>
          <w:color w:val="auto"/>
          <w:highlight w:val="none"/>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pPr>
        <w:pStyle w:val="24"/>
        <w:rPr>
          <w:color w:val="auto"/>
          <w:highlight w:val="none"/>
        </w:rPr>
      </w:pP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供应商全称（公章）：</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8"/>
        <w:rPr>
          <w:rFonts w:ascii="仿宋_GB2312" w:hAnsi="宋体" w:eastAsia="仿宋_GB2312"/>
          <w:b/>
          <w:color w:val="auto"/>
          <w:sz w:val="36"/>
          <w:szCs w:val="36"/>
          <w:highlight w:val="none"/>
        </w:rPr>
      </w:pPr>
    </w:p>
    <w:p>
      <w:pPr>
        <w:pStyle w:val="8"/>
        <w:rPr>
          <w:rFonts w:ascii="仿宋_GB2312" w:hAnsi="宋体" w:eastAsia="仿宋_GB2312"/>
          <w:b/>
          <w:color w:val="auto"/>
          <w:sz w:val="36"/>
          <w:szCs w:val="36"/>
          <w:highlight w:val="none"/>
        </w:rPr>
      </w:pPr>
    </w:p>
    <w:p>
      <w:pPr>
        <w:spacing w:line="360" w:lineRule="auto"/>
        <w:rPr>
          <w:b/>
          <w:bCs/>
          <w:color w:val="auto"/>
          <w:sz w:val="32"/>
          <w:szCs w:val="40"/>
          <w:highlight w:val="none"/>
        </w:rPr>
      </w:pPr>
    </w:p>
    <w:p>
      <w:pPr>
        <w:spacing w:line="360" w:lineRule="auto"/>
        <w:jc w:val="center"/>
        <w:rPr>
          <w:b/>
          <w:bCs/>
          <w:color w:val="auto"/>
          <w:sz w:val="36"/>
          <w:szCs w:val="36"/>
          <w:highlight w:val="none"/>
        </w:rPr>
      </w:pPr>
      <w:r>
        <w:rPr>
          <w:rFonts w:hint="eastAsia"/>
          <w:b/>
          <w:bCs/>
          <w:color w:val="auto"/>
          <w:sz w:val="36"/>
          <w:szCs w:val="36"/>
          <w:highlight w:val="none"/>
        </w:rPr>
        <w:t>资格证明文件目录</w:t>
      </w:r>
    </w:p>
    <w:p>
      <w:pPr>
        <w:spacing w:line="360" w:lineRule="auto"/>
        <w:ind w:firstLine="560" w:firstLineChars="200"/>
        <w:rPr>
          <w:color w:val="auto"/>
          <w:sz w:val="28"/>
          <w:szCs w:val="36"/>
          <w:highlight w:val="none"/>
        </w:rPr>
      </w:pPr>
    </w:p>
    <w:p>
      <w:pPr>
        <w:pStyle w:val="24"/>
        <w:rPr>
          <w:rFonts w:hint="eastAsia"/>
          <w:color w:val="auto"/>
          <w:sz w:val="28"/>
          <w:szCs w:val="36"/>
          <w:highlight w:val="none"/>
        </w:rPr>
      </w:pPr>
      <w:bookmarkStart w:id="17" w:name="_Toc4587_WPSOffice_Level1"/>
      <w:bookmarkStart w:id="18" w:name="_Toc14150_WPSOffice_Level1"/>
      <w:r>
        <w:rPr>
          <w:rFonts w:hint="eastAsia"/>
          <w:color w:val="auto"/>
          <w:sz w:val="28"/>
          <w:szCs w:val="36"/>
          <w:highlight w:val="none"/>
        </w:rPr>
        <w:t>（1）投标声明书（附件1）；</w:t>
      </w:r>
    </w:p>
    <w:p>
      <w:pPr>
        <w:pStyle w:val="24"/>
        <w:rPr>
          <w:rFonts w:hint="eastAsia"/>
          <w:color w:val="auto"/>
          <w:sz w:val="28"/>
          <w:szCs w:val="36"/>
          <w:highlight w:val="none"/>
        </w:rPr>
      </w:pPr>
      <w:r>
        <w:rPr>
          <w:rFonts w:hint="eastAsia"/>
          <w:color w:val="auto"/>
          <w:sz w:val="28"/>
          <w:szCs w:val="36"/>
          <w:highlight w:val="none"/>
        </w:rPr>
        <w:t>（2）授权委托书（法定代表人办理投标事宜的，则无需提交)（附件2）；</w:t>
      </w:r>
    </w:p>
    <w:p>
      <w:pPr>
        <w:pStyle w:val="24"/>
        <w:rPr>
          <w:rFonts w:hint="eastAsia"/>
          <w:color w:val="auto"/>
          <w:sz w:val="28"/>
          <w:szCs w:val="36"/>
          <w:highlight w:val="none"/>
        </w:rPr>
      </w:pPr>
      <w:r>
        <w:rPr>
          <w:rFonts w:hint="eastAsia"/>
          <w:color w:val="auto"/>
          <w:sz w:val="28"/>
          <w:szCs w:val="36"/>
          <w:highlight w:val="none"/>
        </w:rPr>
        <w:t>（3）法人或者其他组织的营业执照等证明文件；</w:t>
      </w:r>
    </w:p>
    <w:p>
      <w:pPr>
        <w:pStyle w:val="24"/>
        <w:rPr>
          <w:rFonts w:hint="eastAsia"/>
          <w:color w:val="auto"/>
          <w:sz w:val="28"/>
          <w:szCs w:val="36"/>
          <w:highlight w:val="none"/>
        </w:rPr>
      </w:pPr>
      <w:r>
        <w:rPr>
          <w:rFonts w:hint="eastAsia"/>
          <w:color w:val="auto"/>
          <w:sz w:val="28"/>
          <w:szCs w:val="36"/>
          <w:highlight w:val="none"/>
        </w:rPr>
        <w:t>（4）符合参加政府采购活动应当具备的一般条件的承诺函（附件3）；</w:t>
      </w:r>
    </w:p>
    <w:p>
      <w:pPr>
        <w:pStyle w:val="24"/>
        <w:rPr>
          <w:rFonts w:hint="eastAsia"/>
          <w:color w:val="auto"/>
          <w:sz w:val="28"/>
          <w:szCs w:val="36"/>
          <w:highlight w:val="none"/>
        </w:rPr>
      </w:pPr>
      <w:r>
        <w:rPr>
          <w:rFonts w:hint="eastAsia"/>
          <w:color w:val="auto"/>
          <w:sz w:val="28"/>
          <w:szCs w:val="36"/>
          <w:highlight w:val="none"/>
        </w:rPr>
        <w:t>（5）中小企业声明函、残疾人福利性单位声明函（附件4）；</w:t>
      </w:r>
    </w:p>
    <w:p>
      <w:pPr>
        <w:pStyle w:val="24"/>
        <w:rPr>
          <w:color w:val="auto"/>
          <w:highlight w:val="none"/>
        </w:rPr>
      </w:pPr>
      <w:r>
        <w:rPr>
          <w:rFonts w:hint="eastAsia"/>
          <w:color w:val="auto"/>
          <w:sz w:val="28"/>
          <w:szCs w:val="36"/>
          <w:highlight w:val="none"/>
        </w:rPr>
        <w:t>（6）其他需要证明材料。</w:t>
      </w:r>
    </w:p>
    <w:bookmarkEnd w:id="17"/>
    <w:bookmarkEnd w:id="18"/>
    <w:p>
      <w:pPr>
        <w:spacing w:line="360" w:lineRule="auto"/>
        <w:ind w:left="420"/>
        <w:rPr>
          <w:rFonts w:ascii="宋体" w:hAnsi="宋体"/>
          <w:b/>
          <w:color w:val="auto"/>
          <w:sz w:val="28"/>
          <w:highlight w:val="none"/>
        </w:rPr>
      </w:pPr>
    </w:p>
    <w:p>
      <w:pPr>
        <w:pStyle w:val="31"/>
        <w:rPr>
          <w:rFonts w:ascii="宋体" w:hAnsi="宋体"/>
          <w:b/>
          <w:color w:val="auto"/>
          <w:sz w:val="28"/>
          <w:highlight w:val="none"/>
        </w:rPr>
      </w:pPr>
    </w:p>
    <w:p>
      <w:pPr>
        <w:pStyle w:val="31"/>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pStyle w:val="24"/>
        <w:rPr>
          <w:color w:val="auto"/>
          <w:highlight w:val="none"/>
        </w:rPr>
      </w:pPr>
    </w:p>
    <w:p>
      <w:pPr>
        <w:pStyle w:val="8"/>
        <w:ind w:firstLine="0"/>
        <w:rPr>
          <w:rFonts w:ascii="宋体" w:hAnsi="宋体"/>
          <w:b/>
          <w:color w:val="auto"/>
          <w:sz w:val="28"/>
          <w:highlight w:val="none"/>
        </w:rPr>
      </w:pPr>
    </w:p>
    <w:p>
      <w:pPr>
        <w:pStyle w:val="8"/>
        <w:ind w:firstLine="0"/>
        <w:rPr>
          <w:rFonts w:ascii="宋体" w:hAnsi="宋体"/>
          <w:b/>
          <w:color w:val="auto"/>
          <w:sz w:val="28"/>
          <w:highlight w:val="none"/>
        </w:rPr>
      </w:pPr>
    </w:p>
    <w:p>
      <w:pPr>
        <w:pStyle w:val="8"/>
        <w:ind w:firstLine="0"/>
        <w:rPr>
          <w:rFonts w:ascii="宋体" w:hAnsi="宋体"/>
          <w:b/>
          <w:color w:val="auto"/>
          <w:sz w:val="28"/>
          <w:highlight w:val="none"/>
        </w:rPr>
      </w:pPr>
    </w:p>
    <w:p>
      <w:pPr>
        <w:pStyle w:val="8"/>
        <w:ind w:firstLine="0"/>
        <w:rPr>
          <w:rFonts w:ascii="宋体" w:hAnsi="宋体"/>
          <w:b/>
          <w:color w:val="auto"/>
          <w:sz w:val="28"/>
          <w:highlight w:val="none"/>
        </w:rPr>
      </w:pPr>
    </w:p>
    <w:p>
      <w:pPr>
        <w:pStyle w:val="8"/>
        <w:ind w:firstLine="0"/>
        <w:rPr>
          <w:rFonts w:ascii="宋体" w:hAnsi="宋体"/>
          <w:b/>
          <w:color w:val="auto"/>
          <w:sz w:val="28"/>
          <w:highlight w:val="none"/>
        </w:rPr>
      </w:pPr>
    </w:p>
    <w:p>
      <w:pPr>
        <w:pStyle w:val="8"/>
        <w:ind w:firstLine="0"/>
        <w:rPr>
          <w:rFonts w:ascii="宋体" w:hAnsi="宋体"/>
          <w:b/>
          <w:color w:val="auto"/>
          <w:sz w:val="28"/>
          <w:highlight w:val="none"/>
        </w:rPr>
      </w:pPr>
    </w:p>
    <w:p>
      <w:pPr>
        <w:pStyle w:val="8"/>
        <w:ind w:firstLine="0"/>
        <w:rPr>
          <w:rFonts w:ascii="宋体" w:hAnsi="宋体"/>
          <w:b/>
          <w:color w:val="auto"/>
          <w:sz w:val="28"/>
          <w:highlight w:val="non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12" w:lineRule="auto"/>
        <w:rPr>
          <w:rFonts w:ascii="宋体" w:hAnsi="宋体"/>
          <w:b/>
          <w:color w:val="auto"/>
          <w:sz w:val="28"/>
          <w:highlight w:val="none"/>
        </w:rPr>
      </w:pPr>
      <w:r>
        <w:rPr>
          <w:rFonts w:hint="eastAsia" w:ascii="宋体" w:hAnsi="宋体"/>
          <w:b/>
          <w:color w:val="auto"/>
          <w:sz w:val="28"/>
          <w:highlight w:val="none"/>
        </w:rPr>
        <w:t>附件1</w:t>
      </w:r>
    </w:p>
    <w:p>
      <w:pPr>
        <w:adjustRightInd w:val="0"/>
        <w:snapToGrid w:val="0"/>
        <w:spacing w:line="312" w:lineRule="auto"/>
        <w:ind w:right="480"/>
        <w:jc w:val="center"/>
        <w:rPr>
          <w:rFonts w:ascii="宋体" w:hAnsi="宋体"/>
          <w:b/>
          <w:color w:val="auto"/>
          <w:kern w:val="0"/>
          <w:sz w:val="32"/>
          <w:szCs w:val="32"/>
          <w:highlight w:val="none"/>
          <w:lang w:val="zh-CN"/>
        </w:rPr>
      </w:pPr>
      <w:bookmarkStart w:id="19" w:name="_Toc30723_WPSOffice_Level1"/>
      <w:bookmarkStart w:id="20" w:name="_Toc31708_WPSOffice_Level1"/>
      <w:r>
        <w:rPr>
          <w:rFonts w:hint="eastAsia" w:ascii="宋体" w:hAnsi="宋体"/>
          <w:b/>
          <w:color w:val="auto"/>
          <w:kern w:val="0"/>
          <w:sz w:val="32"/>
          <w:szCs w:val="32"/>
          <w:highlight w:val="none"/>
          <w:lang w:val="zh-CN"/>
        </w:rPr>
        <w:t>投标声明书</w:t>
      </w:r>
      <w:bookmarkEnd w:id="19"/>
      <w:bookmarkEnd w:id="20"/>
    </w:p>
    <w:p>
      <w:pPr>
        <w:snapToGrid w:val="0"/>
        <w:spacing w:before="120"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（供应商名称）系中华人民共和国合法企业，经营地址。</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pPr>
        <w:numPr>
          <w:ilvl w:val="0"/>
          <w:numId w:val="29"/>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供应商在截止投标时间近三年以来，如有上述所列情形，但限制期届满的，可按实陈述，并提供相应证明文件】。</w:t>
      </w:r>
    </w:p>
    <w:p>
      <w:pPr>
        <w:numPr>
          <w:ilvl w:val="0"/>
          <w:numId w:val="29"/>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我公司在参与投标前已详细审查了招标文件和所有相关资料，我方完全知悉并认为此招标文件没有倾向性，也没有存在排斥潜在供应商的内容，我方对招标文件的所有内容没有任何异议，不申请澄清和质疑。</w:t>
      </w:r>
    </w:p>
    <w:p>
      <w:pPr>
        <w:numPr>
          <w:ilvl w:val="0"/>
          <w:numId w:val="29"/>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pPr>
        <w:numPr>
          <w:ilvl w:val="0"/>
          <w:numId w:val="29"/>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numPr>
          <w:ilvl w:val="0"/>
          <w:numId w:val="29"/>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numPr>
          <w:ilvl w:val="0"/>
          <w:numId w:val="29"/>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pStyle w:val="24"/>
        <w:ind w:left="0" w:leftChars="0" w:firstLine="0"/>
        <w:rPr>
          <w:color w:val="auto"/>
          <w:highlight w:val="none"/>
        </w:rPr>
      </w:pPr>
    </w:p>
    <w:p>
      <w:pPr>
        <w:pStyle w:val="24"/>
        <w:ind w:left="0" w:leftChars="0" w:firstLine="0"/>
        <w:rPr>
          <w:color w:val="auto"/>
          <w:highlight w:val="none"/>
        </w:rPr>
      </w:pP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日</w:t>
      </w:r>
    </w:p>
    <w:p>
      <w:pPr>
        <w:rPr>
          <w:rFonts w:hint="eastAsia" w:ascii="宋体" w:hAnsi="宋体"/>
          <w:b/>
          <w:color w:val="auto"/>
          <w:sz w:val="28"/>
          <w:highlight w:val="none"/>
        </w:rPr>
      </w:pPr>
      <w:r>
        <w:rPr>
          <w:rFonts w:hint="eastAsia" w:ascii="宋体" w:hAnsi="宋体"/>
          <w:b/>
          <w:color w:val="auto"/>
          <w:sz w:val="28"/>
          <w:highlight w:val="none"/>
        </w:rPr>
        <w:br w:type="page"/>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pPr>
        <w:spacing w:line="360" w:lineRule="auto"/>
        <w:ind w:firstLine="321" w:firstLineChars="100"/>
        <w:jc w:val="center"/>
        <w:rPr>
          <w:rFonts w:hAnsi="宋体"/>
          <w:b/>
          <w:color w:val="auto"/>
          <w:sz w:val="32"/>
          <w:szCs w:val="32"/>
          <w:highlight w:val="none"/>
          <w:u w:val="single"/>
        </w:rPr>
      </w:pPr>
      <w:bookmarkStart w:id="21" w:name="_Toc24373_WPSOffice_Level1"/>
      <w:bookmarkStart w:id="22"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21"/>
      <w:bookmarkEnd w:id="22"/>
    </w:p>
    <w:p>
      <w:pPr>
        <w:snapToGrid w:val="0"/>
        <w:spacing w:before="120"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p>
    <w:p>
      <w:pPr>
        <w:pStyle w:val="15"/>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5"/>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5"/>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r>
        <w:rPr>
          <w:rFonts w:hint="eastAsia" w:ascii="宋体"/>
          <w:color w:val="auto"/>
          <w:sz w:val="24"/>
          <w:highlight w:val="none"/>
        </w:rPr>
        <w:t>供应商全称（公章）：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pStyle w:val="24"/>
        <w:rPr>
          <w:color w:val="auto"/>
          <w:highlight w:val="none"/>
        </w:rPr>
      </w:pPr>
    </w:p>
    <w:p>
      <w:pPr>
        <w:pStyle w:val="24"/>
        <w:rPr>
          <w:color w:val="auto"/>
          <w:highlight w:val="none"/>
        </w:rPr>
      </w:pPr>
    </w:p>
    <w:p>
      <w:pPr>
        <w:snapToGrid w:val="0"/>
        <w:spacing w:before="120" w:beforeLines="50" w:after="50" w:line="360" w:lineRule="auto"/>
        <w:rPr>
          <w:rFonts w:hint="eastAsia" w:ascii="宋体" w:hAnsi="宋体"/>
          <w:b/>
          <w:color w:val="auto"/>
          <w:sz w:val="28"/>
          <w:highlight w:val="none"/>
        </w:rPr>
      </w:pPr>
      <w:r>
        <w:rPr>
          <w:rFonts w:hint="eastAsia" w:ascii="宋体" w:hAnsi="宋体"/>
          <w:b/>
          <w:color w:val="auto"/>
          <w:sz w:val="28"/>
          <w:highlight w:val="none"/>
        </w:rPr>
        <w:t>附件3</w:t>
      </w:r>
    </w:p>
    <w:p>
      <w:pPr>
        <w:snapToGrid w:val="0"/>
        <w:spacing w:before="120" w:beforeLines="50" w:after="50" w:line="360" w:lineRule="auto"/>
        <w:jc w:val="center"/>
        <w:rPr>
          <w:b/>
          <w:bCs/>
          <w:color w:val="auto"/>
          <w:sz w:val="28"/>
          <w:szCs w:val="28"/>
          <w:highlight w:val="none"/>
          <w:shd w:val="clear" w:color="auto" w:fill="FFFFFF"/>
        </w:rPr>
      </w:pPr>
      <w:r>
        <w:rPr>
          <w:rFonts w:hint="eastAsia"/>
          <w:b/>
          <w:bCs/>
          <w:color w:val="auto"/>
          <w:sz w:val="28"/>
          <w:szCs w:val="28"/>
          <w:highlight w:val="none"/>
        </w:rPr>
        <w:t>符合参加政府采购活动应当具备的一般条件的承诺函</w:t>
      </w:r>
    </w:p>
    <w:p>
      <w:pPr>
        <w:adjustRightInd w:val="0"/>
        <w:snapToGrid w:val="0"/>
        <w:spacing w:line="288" w:lineRule="auto"/>
        <w:rPr>
          <w:color w:val="auto"/>
          <w:szCs w:val="21"/>
          <w:highlight w:val="none"/>
          <w:shd w:val="clear" w:color="auto" w:fill="FFFFFF"/>
        </w:rPr>
      </w:pPr>
    </w:p>
    <w:p>
      <w:pPr>
        <w:keepNext w:val="0"/>
        <w:keepLines w:val="0"/>
        <w:pageBreakBefore w:val="0"/>
        <w:widowControl w:val="0"/>
        <w:kinsoku/>
        <w:wordWrap/>
        <w:overflowPunct/>
        <w:topLinePunct w:val="0"/>
        <w:autoSpaceDE/>
        <w:autoSpaceDN/>
        <w:bidi w:val="0"/>
        <w:snapToGrid w:val="0"/>
        <w:spacing w:before="120" w:beforeLines="50" w:after="50" w:line="360" w:lineRule="auto"/>
        <w:ind w:firstLine="480" w:firstLineChars="200"/>
        <w:textAlignment w:val="auto"/>
        <w:rPr>
          <w:rFonts w:ascii="宋体" w:hAnsi="宋体" w:cs="宋体"/>
          <w:b/>
          <w:bCs/>
          <w:color w:val="auto"/>
          <w:spacing w:val="-6"/>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rPr>
        <w:t>参加项目的采购活动并承诺如下：</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一、我方满足《中华人民共和国政府采购法》第二十二条规定：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（五）参加本项目政府采购活动前三年内，在经营活动中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2、为采购项目提供整体设计、规范编制或者项目管理、监理、检测等服务后再参加该采购项目的其他采购活动的。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80" w:firstLineChars="2200"/>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080" w:firstLineChars="1700"/>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6720" w:firstLineChars="2800"/>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日</w:t>
      </w:r>
    </w:p>
    <w:p>
      <w:pPr>
        <w:rPr>
          <w:rFonts w:hint="eastAsia" w:ascii="宋体" w:hAnsi="宋体"/>
          <w:b/>
          <w:color w:val="auto"/>
          <w:sz w:val="32"/>
          <w:szCs w:val="32"/>
          <w:highlight w:val="none"/>
          <w:lang w:val="en-GB"/>
        </w:rPr>
      </w:pPr>
    </w:p>
    <w:p>
      <w:pPr>
        <w:rPr>
          <w:rFonts w:hint="eastAsia" w:ascii="宋体" w:hAnsi="宋体"/>
          <w:b/>
          <w:color w:val="auto"/>
          <w:sz w:val="28"/>
          <w:highlight w:val="none"/>
          <w:lang w:val="en-US" w:eastAsia="zh-CN"/>
        </w:rPr>
      </w:pPr>
      <w:r>
        <w:rPr>
          <w:rFonts w:hint="eastAsia" w:ascii="宋体" w:hAnsi="宋体"/>
          <w:b/>
          <w:color w:val="auto"/>
          <w:sz w:val="28"/>
          <w:highlight w:val="none"/>
          <w:lang w:val="en-US" w:eastAsia="zh-CN"/>
        </w:rPr>
        <w:br w:type="page"/>
      </w:r>
    </w:p>
    <w:p>
      <w:pPr>
        <w:snapToGrid w:val="0"/>
        <w:spacing w:before="120" w:beforeLines="50" w:after="50" w:line="360" w:lineRule="auto"/>
        <w:rPr>
          <w:rFonts w:hint="default" w:ascii="宋体" w:hAnsi="宋体"/>
          <w:b/>
          <w:color w:val="auto"/>
          <w:sz w:val="28"/>
          <w:highlight w:val="none"/>
          <w:lang w:val="en-US" w:eastAsia="zh-CN"/>
        </w:rPr>
      </w:pPr>
      <w:r>
        <w:rPr>
          <w:rFonts w:hint="eastAsia" w:ascii="宋体" w:hAnsi="宋体"/>
          <w:b/>
          <w:color w:val="auto"/>
          <w:sz w:val="28"/>
          <w:highlight w:val="none"/>
          <w:lang w:val="en-US" w:eastAsia="zh-CN"/>
        </w:rPr>
        <w:t>附件4</w:t>
      </w:r>
    </w:p>
    <w:p>
      <w:pPr>
        <w:pStyle w:val="45"/>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pPr>
        <w:pStyle w:val="45"/>
        <w:spacing w:line="360" w:lineRule="auto"/>
        <w:jc w:val="center"/>
        <w:rPr>
          <w:rFonts w:ascii="宋体" w:hAnsi="宋体"/>
          <w:b/>
          <w:color w:val="auto"/>
          <w:sz w:val="24"/>
          <w:highlight w:val="none"/>
          <w:lang w:val="en-GB"/>
        </w:rPr>
      </w:pPr>
    </w:p>
    <w:p>
      <w:pPr>
        <w:pStyle w:val="45"/>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5"/>
        <w:numPr>
          <w:ilvl w:val="0"/>
          <w:numId w:val="30"/>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pPr>
        <w:pStyle w:val="45"/>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万元，属于（中型企业、小型企业、微型企业）；</w:t>
      </w:r>
    </w:p>
    <w:p>
      <w:pPr>
        <w:pStyle w:val="45"/>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pStyle w:val="45"/>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pPr>
        <w:spacing w:line="360" w:lineRule="auto"/>
        <w:rPr>
          <w:rFonts w:ascii="宋体" w:hAnsi="宋体"/>
          <w:color w:val="auto"/>
          <w:spacing w:val="6"/>
          <w:sz w:val="24"/>
          <w:highlight w:val="none"/>
        </w:rPr>
      </w:pPr>
    </w:p>
    <w:p>
      <w:pPr>
        <w:pStyle w:val="45"/>
        <w:spacing w:line="360" w:lineRule="auto"/>
        <w:ind w:firstLine="480" w:firstLineChars="200"/>
        <w:rPr>
          <w:rFonts w:ascii="宋体" w:hAnsi="宋体" w:cs="Arial"/>
          <w:bCs/>
          <w:color w:val="auto"/>
          <w:sz w:val="24"/>
          <w:highlight w:val="none"/>
        </w:rPr>
      </w:pPr>
    </w:p>
    <w:p>
      <w:pPr>
        <w:pStyle w:val="45"/>
        <w:spacing w:line="360" w:lineRule="auto"/>
        <w:rPr>
          <w:rFonts w:ascii="宋体" w:hAnsi="宋体"/>
          <w:color w:val="auto"/>
          <w:sz w:val="24"/>
          <w:highlight w:val="none"/>
        </w:rPr>
      </w:pPr>
    </w:p>
    <w:p>
      <w:pPr>
        <w:pStyle w:val="45"/>
        <w:spacing w:line="360" w:lineRule="auto"/>
        <w:ind w:firstLine="4800" w:firstLineChars="2000"/>
        <w:rPr>
          <w:rFonts w:ascii="宋体" w:hAnsi="宋体"/>
          <w:color w:val="auto"/>
          <w:sz w:val="24"/>
          <w:highlight w:val="none"/>
        </w:rPr>
      </w:pPr>
      <w:r>
        <w:rPr>
          <w:rFonts w:hint="eastAsia" w:ascii="宋体" w:hAnsi="宋体"/>
          <w:color w:val="auto"/>
          <w:sz w:val="24"/>
          <w:highlight w:val="none"/>
        </w:rPr>
        <w:t xml:space="preserve">企业名称（盖章）：              </w:t>
      </w:r>
    </w:p>
    <w:p>
      <w:pPr>
        <w:pStyle w:val="45"/>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pPr>
        <w:pStyle w:val="8"/>
        <w:rPr>
          <w:rFonts w:ascii="宋体" w:hAnsi="宋体" w:cs="宋体"/>
          <w:color w:val="auto"/>
          <w:sz w:val="24"/>
          <w:szCs w:val="24"/>
          <w:highlight w:val="none"/>
        </w:rPr>
      </w:pPr>
    </w:p>
    <w:p>
      <w:pPr>
        <w:pStyle w:val="8"/>
        <w:rPr>
          <w:rFonts w:ascii="宋体" w:hAnsi="宋体" w:cs="宋体"/>
          <w:color w:val="auto"/>
          <w:sz w:val="24"/>
          <w:szCs w:val="24"/>
          <w:highlight w:val="none"/>
        </w:rPr>
      </w:pPr>
    </w:p>
    <w:p>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5847715" cy="635"/>
                <wp:effectExtent l="0" t="0" r="0" b="0"/>
                <wp:wrapNone/>
                <wp:docPr id="1" name="直线 5"/>
                <wp:cNvGraphicFramePr/>
                <a:graphic xmlns:a="http://schemas.openxmlformats.org/drawingml/2006/main">
                  <a:graphicData uri="http://schemas.microsoft.com/office/word/2010/wordprocessingShape">
                    <wps:wsp>
                      <wps:cNvCnPr/>
                      <wps:spPr>
                        <a:xfrm>
                          <a:off x="0" y="0"/>
                          <a:ext cx="584771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4pt;margin-top:16.5pt;height:0.05pt;width:460.45pt;z-index:251660288;mso-width-relative:page;mso-height-relative:page;" filled="f" stroked="t" coordsize="21600,21600" o:gfxdata="UEsDBAoAAAAAAIdO4kAAAAAAAAAAAAAAAAAEAAAAZHJzL1BLAwQUAAAACACHTuJA7Ge2odQAAAAG&#10;AQAADwAAAGRycy9kb3ducmV2LnhtbE2PO0/EMBCEeyT+g7VINCfOTiLxCHGuANLRcIBo9+IliYjX&#10;udj3gF/PXgXlzoxmvq1WRz+qPc1xCGwhWxpQxG1wA3cW3l6bq1tQMSE7HAOThW+KsKrPzyosXTjw&#10;C+3XqVNSwrFEC31KU6l1bHvyGJdhIhbvM8wek5xzp92MByn3o86NudYeB5aFHid66Kn9Wu+8hdi8&#10;07b5WbQL81F0gfLt4/MTWnt5kZl7UImO6S8MJ3xBh1qYNmHHLqrRgnAnC0UhD4l7l2c3oDYnIQNd&#10;V/o/fv0LUEsDBBQAAAAIAIdO4kA6oGHX4gEAANEDAAAOAAAAZHJzL2Uyb0RvYy54bWytU0uOEzEQ&#10;3SNxB8t70kkgM0MrnVlMGDYIIgEHqPiTtuSfXJ50chauwYoNx5lrUHaHDAybLOiFu1yuelXvuby8&#10;PTjL9iqhCb7js8mUM+VFkMbvOv71y/2rG84wg5dgg1cdPyrkt6uXL5ZDbNU89MFKlRiBeGyH2PE+&#10;59g2DYpeOcBJiMrToQ7JQaZt2jUywUDozjbz6fSqGUKSMQWhEMm7Hg/5CTFdAhi0NkKtg3hwyucR&#10;NSkLmShhbyLyVe1WayXyJ61RZWY7TkxzXakI2duyNqsltLsEsTfi1AJc0sIzTg6Mp6JnqDVkYA/J&#10;/APljEgBg84TEVwzEqmKEIvZ9Jk2n3uIqnIhqTGeRcf/Bys+7jeJGUmTwJkHRxf++O3744+fbFG0&#10;GSK2FHLnN+m0w7hJhehBJ1f+RIEdqp7Hs57qkJkg5+LmzfX1bMGZoLOr1xWxeUqNCfN7FRwrRset&#10;8YUstLD/gJnKUejvkOK2ng0df7uYF0CgydN042S6SN2j39VcDNbIe2NtycC0297ZxPZQbr9+hRTh&#10;/hVWiqwB+zGuHo1z0SuQ77xk+RhJF0/PgZcWnJKcWUWvp1gECG0GYy+JpNLWUwdF11HJYm2DPFaB&#10;q59uuvZ4msoySn/ua/bTS1z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xntqHUAAAABgEAAA8A&#10;AAAAAAAAAQAgAAAAIgAAAGRycy9kb3ducmV2LnhtbFBLAQIUABQAAAAIAIdO4kA6oGHX4gEAANED&#10;AAAOAAAAAAAAAAEAIAAAACMBAABkcnMvZTJvRG9jLnhtbFBLBQYAAAAABgAGAFkBAAB3BQAAAAA=&#10;">
                <v:fill on="f" focussize="0,0"/>
                <v:stroke color="#000000" joinstyle="round"/>
                <v:imagedata o:title=""/>
                <o:lock v:ext="edit" aspectratio="f"/>
              </v:line>
            </w:pict>
          </mc:Fallback>
        </mc:AlternateConten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pPr>
        <w:rPr>
          <w:color w:val="auto"/>
          <w:highlight w:val="none"/>
        </w:rPr>
        <w:sectPr>
          <w:headerReference r:id="rId3" w:type="default"/>
          <w:footerReference r:id="rId4" w:type="default"/>
          <w:pgSz w:w="11906" w:h="16838"/>
          <w:pgMar w:top="1531" w:right="1028" w:bottom="1531" w:left="1418" w:header="851" w:footer="851" w:gutter="0"/>
          <w:pgNumType w:start="1"/>
          <w:cols w:space="720" w:num="1"/>
          <w:docGrid w:linePitch="312" w:charSpace="0"/>
        </w:sectPr>
      </w:pPr>
      <w:r>
        <w:rPr>
          <w:rFonts w:hint="eastAsia" w:ascii="宋体" w:hAnsi="宋体" w:cs="宋体"/>
          <w:color w:val="auto"/>
          <w:sz w:val="24"/>
          <w:highlight w:val="none"/>
        </w:rPr>
        <w:t>②本声明函将随中标结果公开，接受社会监督。</w:t>
      </w:r>
    </w:p>
    <w:p>
      <w:pPr>
        <w:rPr>
          <w:rFonts w:ascii="宋体" w:hAnsi="宋体" w:cs="宋体"/>
          <w:color w:val="auto"/>
          <w:sz w:val="24"/>
          <w:highlight w:val="none"/>
        </w:rPr>
      </w:pPr>
    </w:p>
    <w:p>
      <w:pPr>
        <w:pStyle w:val="15"/>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pStyle w:val="24"/>
        <w:rPr>
          <w:color w:val="auto"/>
          <w:highlight w:val="none"/>
        </w:rPr>
      </w:pPr>
    </w:p>
    <w:p>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pPr>
        <w:pStyle w:val="45"/>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pPr>
        <w:pStyle w:val="45"/>
        <w:spacing w:line="360" w:lineRule="auto"/>
        <w:ind w:firstLine="3720" w:firstLineChars="1550"/>
        <w:rPr>
          <w:rFonts w:ascii="宋体" w:hAnsi="宋体"/>
          <w:color w:val="auto"/>
          <w:sz w:val="24"/>
          <w:highlight w:val="none"/>
        </w:rPr>
      </w:pPr>
      <w:r>
        <w:rPr>
          <w:rFonts w:hint="eastAsia" w:ascii="宋体" w:hAnsi="宋体"/>
          <w:color w:val="auto"/>
          <w:sz w:val="24"/>
          <w:highlight w:val="none"/>
        </w:rPr>
        <w:t>单位名称（盖章）：</w:t>
      </w:r>
    </w:p>
    <w:p>
      <w:pPr>
        <w:pStyle w:val="24"/>
        <w:ind w:left="0" w:leftChars="0" w:firstLine="0"/>
        <w:jc w:val="right"/>
        <w:rPr>
          <w:rFonts w:ascii="宋体" w:hAnsi="宋体"/>
          <w:color w:val="auto"/>
          <w:sz w:val="24"/>
          <w:highlight w:val="none"/>
        </w:rPr>
      </w:pPr>
    </w:p>
    <w:p>
      <w:pPr>
        <w:pStyle w:val="24"/>
        <w:ind w:left="0" w:leftChars="0" w:firstLine="0"/>
        <w:jc w:val="center"/>
        <w:rPr>
          <w:rFonts w:ascii="宋体" w:hAnsi="宋体"/>
          <w:color w:val="auto"/>
          <w:sz w:val="24"/>
          <w:highlight w:val="none"/>
        </w:rPr>
      </w:pPr>
      <w:r>
        <w:rPr>
          <w:rFonts w:hint="eastAsia" w:ascii="宋体" w:hAnsi="宋体"/>
          <w:color w:val="auto"/>
          <w:sz w:val="24"/>
          <w:highlight w:val="none"/>
        </w:rPr>
        <w:t>日   期  ：</w:t>
      </w:r>
    </w:p>
    <w:p>
      <w:pPr>
        <w:pStyle w:val="24"/>
        <w:ind w:left="0" w:leftChars="0" w:firstLine="0"/>
        <w:jc w:val="center"/>
        <w:rPr>
          <w:rFonts w:ascii="宋体" w:hAnsi="宋体"/>
          <w:color w:val="auto"/>
          <w:sz w:val="24"/>
          <w:highlight w:val="none"/>
        </w:rPr>
      </w:pPr>
    </w:p>
    <w:p>
      <w:pPr>
        <w:pStyle w:val="24"/>
        <w:ind w:left="0" w:leftChars="0" w:firstLine="0"/>
        <w:jc w:val="center"/>
        <w:rPr>
          <w:rFonts w:ascii="宋体" w:hAnsi="宋体"/>
          <w:color w:val="auto"/>
          <w:sz w:val="24"/>
          <w:highlight w:val="none"/>
        </w:rPr>
      </w:pPr>
    </w:p>
    <w:p>
      <w:pPr>
        <w:pStyle w:val="24"/>
        <w:ind w:left="0" w:leftChars="0" w:firstLine="0"/>
        <w:jc w:val="center"/>
        <w:rPr>
          <w:rFonts w:ascii="宋体" w:hAnsi="宋体"/>
          <w:color w:val="auto"/>
          <w:sz w:val="24"/>
          <w:highlight w:val="none"/>
        </w:rPr>
      </w:pPr>
    </w:p>
    <w:p>
      <w:pPr>
        <w:pStyle w:val="24"/>
        <w:ind w:left="0" w:leftChars="0" w:firstLine="0"/>
        <w:jc w:val="center"/>
        <w:rPr>
          <w:rFonts w:ascii="宋体" w:hAnsi="宋体"/>
          <w:color w:val="auto"/>
          <w:sz w:val="24"/>
          <w:highlight w:val="none"/>
        </w:rPr>
      </w:pPr>
    </w:p>
    <w:p>
      <w:pPr>
        <w:rPr>
          <w:rFonts w:ascii="宋体" w:hAnsi="宋体"/>
          <w:b/>
          <w:color w:val="auto"/>
          <w:sz w:val="28"/>
          <w:highlight w:val="none"/>
        </w:rPr>
      </w:pPr>
    </w:p>
    <w:p>
      <w:pPr>
        <w:jc w:val="center"/>
        <w:rPr>
          <w:color w:val="auto"/>
          <w:sz w:val="52"/>
          <w:szCs w:val="52"/>
          <w:highlight w:val="none"/>
        </w:rPr>
      </w:pPr>
      <w:bookmarkStart w:id="23" w:name="_Toc16825_WPSOffice_Level1"/>
      <w:bookmarkStart w:id="24" w:name="_Toc26389_WPSOffice_Level1"/>
      <w:bookmarkStart w:id="25" w:name="_Toc12331_WPSOffice_Level1"/>
    </w:p>
    <w:p>
      <w:pPr>
        <w:rPr>
          <w:color w:val="auto"/>
          <w:sz w:val="52"/>
          <w:szCs w:val="52"/>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rPr>
          <w:rFonts w:hint="eastAsia"/>
          <w:color w:val="auto"/>
          <w:sz w:val="52"/>
          <w:szCs w:val="52"/>
          <w:highlight w:val="none"/>
        </w:rPr>
      </w:pPr>
      <w:r>
        <w:rPr>
          <w:rFonts w:hint="eastAsia"/>
          <w:color w:val="auto"/>
          <w:sz w:val="52"/>
          <w:szCs w:val="52"/>
          <w:highlight w:val="none"/>
        </w:rPr>
        <w:br w:type="page"/>
      </w:r>
    </w:p>
    <w:p>
      <w:pPr>
        <w:jc w:val="center"/>
        <w:rPr>
          <w:color w:val="auto"/>
          <w:sz w:val="52"/>
          <w:szCs w:val="52"/>
          <w:highlight w:val="none"/>
        </w:rPr>
      </w:pPr>
      <w:r>
        <w:rPr>
          <w:rFonts w:hint="eastAsia"/>
          <w:color w:val="auto"/>
          <w:sz w:val="52"/>
          <w:szCs w:val="52"/>
          <w:highlight w:val="none"/>
        </w:rPr>
        <w:t>项目名称</w:t>
      </w:r>
      <w:bookmarkEnd w:id="23"/>
      <w:bookmarkEnd w:id="24"/>
      <w:bookmarkEnd w:id="25"/>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autoSpaceDE w:val="0"/>
        <w:autoSpaceDN w:val="0"/>
        <w:adjustRightInd w:val="0"/>
        <w:spacing w:line="360" w:lineRule="auto"/>
        <w:jc w:val="center"/>
        <w:rPr>
          <w:rFonts w:ascii="宋体" w:hAnsi="宋体" w:cs="宋体"/>
          <w:color w:val="auto"/>
          <w:sz w:val="24"/>
          <w:highlight w:val="none"/>
          <w:lang w:val="zh-CN"/>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pPr>
        <w:pStyle w:val="24"/>
        <w:rPr>
          <w:color w:val="auto"/>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供应商全称（公章）：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8"/>
        <w:rPr>
          <w:rFonts w:ascii="仿宋_GB2312" w:hAnsi="宋体" w:eastAsia="仿宋_GB2312"/>
          <w:b/>
          <w:color w:val="auto"/>
          <w:sz w:val="36"/>
          <w:szCs w:val="36"/>
          <w:highlight w:val="none"/>
        </w:rPr>
      </w:pPr>
    </w:p>
    <w:p>
      <w:pPr>
        <w:pStyle w:val="8"/>
        <w:ind w:firstLine="0"/>
        <w:rPr>
          <w:rFonts w:ascii="仿宋_GB2312" w:hAnsi="宋体" w:eastAsia="仿宋_GB2312"/>
          <w:b/>
          <w:color w:val="auto"/>
          <w:sz w:val="36"/>
          <w:szCs w:val="36"/>
          <w:highlight w:val="none"/>
        </w:rPr>
      </w:pPr>
    </w:p>
    <w:p>
      <w:pPr>
        <w:jc w:val="center"/>
        <w:rPr>
          <w:b/>
          <w:bCs/>
          <w:color w:val="auto"/>
          <w:sz w:val="32"/>
          <w:szCs w:val="32"/>
          <w:highlight w:val="none"/>
          <w:lang w:val="zh-CN"/>
        </w:rPr>
      </w:pPr>
      <w:bookmarkStart w:id="26" w:name="_Toc5889_WPSOffice_Level1"/>
      <w:bookmarkStart w:id="27" w:name="_Toc11308_WPSOffice_Level1"/>
    </w:p>
    <w:p>
      <w:pPr>
        <w:jc w:val="center"/>
        <w:rPr>
          <w:b/>
          <w:bCs/>
          <w:color w:val="auto"/>
          <w:sz w:val="36"/>
          <w:szCs w:val="36"/>
          <w:highlight w:val="none"/>
          <w:lang w:val="zh-CN"/>
        </w:rPr>
      </w:pPr>
    </w:p>
    <w:p>
      <w:pPr>
        <w:jc w:val="center"/>
        <w:rPr>
          <w:b/>
          <w:bCs/>
          <w:color w:val="auto"/>
          <w:sz w:val="36"/>
          <w:szCs w:val="36"/>
          <w:highlight w:val="none"/>
          <w:lang w:val="zh-CN"/>
        </w:rPr>
      </w:pPr>
    </w:p>
    <w:p>
      <w:pPr>
        <w:jc w:val="center"/>
        <w:rPr>
          <w:b/>
          <w:bCs/>
          <w:color w:val="auto"/>
          <w:sz w:val="36"/>
          <w:szCs w:val="36"/>
          <w:highlight w:val="none"/>
          <w:lang w:val="zh-CN"/>
        </w:rPr>
      </w:pPr>
    </w:p>
    <w:p>
      <w:pPr>
        <w:jc w:val="center"/>
        <w:rPr>
          <w:b/>
          <w:bCs/>
          <w:color w:val="auto"/>
          <w:sz w:val="36"/>
          <w:szCs w:val="36"/>
          <w:highlight w:val="none"/>
          <w:lang w:val="zh-CN"/>
        </w:rPr>
      </w:pPr>
    </w:p>
    <w:p>
      <w:pPr>
        <w:jc w:val="center"/>
        <w:rPr>
          <w:b/>
          <w:bCs/>
          <w:color w:val="auto"/>
          <w:sz w:val="36"/>
          <w:szCs w:val="36"/>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26"/>
      <w:bookmarkEnd w:id="27"/>
    </w:p>
    <w:p>
      <w:pPr>
        <w:spacing w:line="360" w:lineRule="auto"/>
        <w:rPr>
          <w:color w:val="auto"/>
          <w:sz w:val="24"/>
          <w:highlight w:val="none"/>
        </w:rPr>
      </w:pP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(1)供应商基本情况表（附件5）</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(2)证书一览表（附件6）</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(3)项目业绩一览表（附件7）</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(4)项目实施人员一览表（附件8）</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(5)项目负责人资格情况表（附件9）</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(6)项目运营维护方案</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①　项目运营方案</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②　项目运营管理制度</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③　项目岗位职责</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④　项目日常操作</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⑤　项目设备维护保养</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⑥　项目日常监测</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⑦　项目突发事件应急预案</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⑧　项目移交方案</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(7)供应商需要说明的其他内容（包括可能影响供应商技术性能评分项的各类证明材料）</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(8)技术需求响应表（附件10）</w:t>
      </w:r>
    </w:p>
    <w:p>
      <w:pPr>
        <w:pStyle w:val="8"/>
        <w:spacing w:line="360" w:lineRule="auto"/>
        <w:ind w:firstLine="560" w:firstLineChars="200"/>
        <w:rPr>
          <w:color w:val="auto"/>
          <w:sz w:val="24"/>
          <w:szCs w:val="24"/>
          <w:highlight w:val="none"/>
        </w:rPr>
      </w:pPr>
      <w:r>
        <w:rPr>
          <w:rFonts w:hint="eastAsia" w:asciiTheme="minorEastAsia" w:hAnsiTheme="minorEastAsia" w:eastAsiaTheme="minorEastAsia"/>
          <w:color w:val="auto"/>
          <w:kern w:val="0"/>
          <w:sz w:val="28"/>
          <w:szCs w:val="28"/>
          <w:highlight w:val="none"/>
        </w:rPr>
        <w:t>(9)商务需求响应表（附件11）</w:t>
      </w:r>
    </w:p>
    <w:p>
      <w:pPr>
        <w:pStyle w:val="8"/>
        <w:spacing w:line="360" w:lineRule="auto"/>
        <w:ind w:firstLine="480" w:firstLineChars="200"/>
        <w:rPr>
          <w:color w:val="auto"/>
          <w:sz w:val="24"/>
          <w:szCs w:val="24"/>
          <w:highlight w:val="none"/>
        </w:rPr>
      </w:pPr>
    </w:p>
    <w:p>
      <w:pPr>
        <w:pStyle w:val="8"/>
        <w:spacing w:line="360" w:lineRule="auto"/>
        <w:ind w:firstLine="480" w:firstLineChars="200"/>
        <w:rPr>
          <w:color w:val="auto"/>
          <w:sz w:val="24"/>
          <w:szCs w:val="24"/>
          <w:highlight w:val="none"/>
        </w:rPr>
      </w:pPr>
    </w:p>
    <w:p>
      <w:pPr>
        <w:pStyle w:val="8"/>
        <w:spacing w:line="360" w:lineRule="auto"/>
        <w:ind w:firstLine="480" w:firstLineChars="200"/>
        <w:rPr>
          <w:color w:val="auto"/>
          <w:sz w:val="24"/>
          <w:szCs w:val="24"/>
          <w:highlight w:val="none"/>
        </w:rPr>
      </w:pPr>
    </w:p>
    <w:p>
      <w:pPr>
        <w:pStyle w:val="8"/>
        <w:spacing w:line="360" w:lineRule="auto"/>
        <w:ind w:firstLine="480" w:firstLineChars="200"/>
        <w:rPr>
          <w:color w:val="auto"/>
          <w:sz w:val="24"/>
          <w:szCs w:val="24"/>
          <w:highlight w:val="none"/>
        </w:rPr>
      </w:pPr>
    </w:p>
    <w:p>
      <w:pPr>
        <w:pStyle w:val="35"/>
        <w:spacing w:before="0" w:beforeAutospacing="0" w:after="0" w:afterAutospacing="0" w:line="360" w:lineRule="auto"/>
        <w:rPr>
          <w:rFonts w:hint="eastAsia" w:eastAsia="宋体"/>
          <w:b/>
          <w:color w:val="auto"/>
          <w:sz w:val="28"/>
          <w:highlight w:val="none"/>
          <w:lang w:eastAsia="zh-CN"/>
        </w:rPr>
      </w:pPr>
      <w:r>
        <w:rPr>
          <w:rFonts w:hint="eastAsia"/>
          <w:b/>
          <w:color w:val="auto"/>
          <w:sz w:val="28"/>
          <w:highlight w:val="none"/>
        </w:rPr>
        <w:br w:type="column"/>
      </w:r>
      <w:r>
        <w:rPr>
          <w:rFonts w:hint="eastAsia"/>
          <w:b/>
          <w:color w:val="auto"/>
          <w:sz w:val="28"/>
          <w:highlight w:val="none"/>
        </w:rPr>
        <w:t>附件</w:t>
      </w:r>
      <w:r>
        <w:rPr>
          <w:rFonts w:hint="eastAsia"/>
          <w:b/>
          <w:color w:val="auto"/>
          <w:sz w:val="28"/>
          <w:highlight w:val="none"/>
          <w:lang w:val="en-US" w:eastAsia="zh-CN"/>
        </w:rPr>
        <w:t>5</w:t>
      </w:r>
    </w:p>
    <w:p>
      <w:pPr>
        <w:pStyle w:val="35"/>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28" w:name="_Toc14261_WPSOffice_Level1"/>
      <w:bookmarkStart w:id="29" w:name="_Toc13307_WPSOffice_Level1"/>
      <w:r>
        <w:rPr>
          <w:rFonts w:hint="eastAsia"/>
          <w:b/>
          <w:color w:val="auto"/>
          <w:sz w:val="32"/>
          <w:szCs w:val="32"/>
          <w:highlight w:val="none"/>
        </w:rPr>
        <w:t>供应商</w:t>
      </w:r>
      <w:r>
        <w:rPr>
          <w:rFonts w:hint="eastAsia"/>
          <w:b/>
          <w:bCs/>
          <w:color w:val="auto"/>
          <w:sz w:val="32"/>
          <w:szCs w:val="32"/>
          <w:highlight w:val="none"/>
        </w:rPr>
        <w:t>基本情况表</w:t>
      </w:r>
      <w:bookmarkEnd w:id="28"/>
      <w:bookmarkEnd w:id="29"/>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932"/>
        <w:gridCol w:w="1141"/>
        <w:gridCol w:w="112"/>
        <w:gridCol w:w="1093"/>
        <w:gridCol w:w="325"/>
        <w:gridCol w:w="1276"/>
        <w:gridCol w:w="493"/>
        <w:gridCol w:w="112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23"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5"/>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2094" w:type="dxa"/>
            <w:gridSpan w:val="3"/>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法人代表</w:t>
            </w:r>
          </w:p>
        </w:tc>
        <w:tc>
          <w:tcPr>
            <w:tcW w:w="2058"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3"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地址</w:t>
            </w:r>
          </w:p>
        </w:tc>
        <w:tc>
          <w:tcPr>
            <w:tcW w:w="3979" w:type="dxa"/>
            <w:gridSpan w:val="5"/>
            <w:tcBorders>
              <w:bottom w:val="single" w:color="auto" w:sz="4" w:space="0"/>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2094" w:type="dxa"/>
            <w:gridSpan w:val="3"/>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企业性质</w:t>
            </w:r>
          </w:p>
        </w:tc>
        <w:tc>
          <w:tcPr>
            <w:tcW w:w="2058"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23" w:type="dxa"/>
            <w:tcBorders>
              <w:bottom w:val="single" w:color="auto" w:sz="4" w:space="0"/>
            </w:tcBorders>
            <w:tcMar>
              <w:top w:w="57" w:type="dxa"/>
              <w:left w:w="85" w:type="dxa"/>
              <w:bottom w:w="0" w:type="dxa"/>
              <w:right w:w="85" w:type="dxa"/>
            </w:tcMar>
            <w:vAlign w:val="center"/>
          </w:tcPr>
          <w:p>
            <w:pPr>
              <w:pStyle w:val="35"/>
              <w:spacing w:before="0" w:beforeAutospacing="0" w:after="0" w:afterAutospacing="0"/>
              <w:jc w:val="center"/>
              <w:rPr>
                <w:rFonts w:hint="eastAsia" w:eastAsia="宋体"/>
                <w:bCs/>
                <w:color w:val="auto"/>
                <w:highlight w:val="none"/>
                <w:lang w:val="en-US" w:eastAsia="zh-CN"/>
              </w:rPr>
            </w:pPr>
            <w:r>
              <w:rPr>
                <w:rFonts w:hint="eastAsia"/>
                <w:bCs/>
                <w:color w:val="auto"/>
                <w:highlight w:val="none"/>
              </w:rPr>
              <w:t>股东</w:t>
            </w:r>
            <w:r>
              <w:rPr>
                <w:rFonts w:hint="eastAsia"/>
                <w:bCs/>
                <w:color w:val="auto"/>
                <w:highlight w:val="none"/>
                <w:lang w:val="en-US" w:eastAsia="zh-CN"/>
              </w:rPr>
              <w:t>名称</w:t>
            </w:r>
          </w:p>
        </w:tc>
        <w:tc>
          <w:tcPr>
            <w:tcW w:w="701" w:type="dxa"/>
            <w:tcBorders>
              <w:bottom w:val="single" w:color="auto" w:sz="4" w:space="0"/>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932" w:type="dxa"/>
            <w:tcBorders>
              <w:bottom w:val="single" w:color="auto" w:sz="4" w:space="0"/>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股权结构（%）</w:t>
            </w:r>
          </w:p>
        </w:tc>
        <w:tc>
          <w:tcPr>
            <w:tcW w:w="2346"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35"/>
              <w:spacing w:before="0" w:beforeAutospacing="0" w:after="0" w:afterAutospacing="0"/>
              <w:jc w:val="center"/>
              <w:rPr>
                <w:bCs/>
                <w:color w:val="auto"/>
                <w:highlight w:val="none"/>
              </w:rPr>
            </w:pPr>
          </w:p>
        </w:tc>
        <w:tc>
          <w:tcPr>
            <w:tcW w:w="2094" w:type="dxa"/>
            <w:gridSpan w:val="3"/>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股东关系</w:t>
            </w:r>
          </w:p>
        </w:tc>
        <w:tc>
          <w:tcPr>
            <w:tcW w:w="2058"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3" w:type="dxa"/>
            <w:vMerge w:val="restart"/>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932" w:type="dxa"/>
            <w:tcBorders>
              <w:top w:val="nil"/>
              <w:bottom w:val="single" w:color="auto" w:sz="4" w:space="0"/>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固定电话</w:t>
            </w:r>
          </w:p>
        </w:tc>
        <w:tc>
          <w:tcPr>
            <w:tcW w:w="2346"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35"/>
              <w:spacing w:before="0" w:beforeAutospacing="0" w:after="0" w:afterAutospacing="0"/>
              <w:jc w:val="center"/>
              <w:rPr>
                <w:bCs/>
                <w:color w:val="auto"/>
                <w:highlight w:val="none"/>
              </w:rPr>
            </w:pPr>
          </w:p>
        </w:tc>
        <w:tc>
          <w:tcPr>
            <w:tcW w:w="2094" w:type="dxa"/>
            <w:gridSpan w:val="3"/>
            <w:vMerge w:val="restart"/>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传真</w:t>
            </w:r>
          </w:p>
        </w:tc>
        <w:tc>
          <w:tcPr>
            <w:tcW w:w="2058" w:type="dxa"/>
            <w:gridSpan w:val="2"/>
            <w:vMerge w:val="restart"/>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932" w:type="dxa"/>
            <w:tcBorders>
              <w:bottom w:val="single" w:color="auto" w:sz="4" w:space="0"/>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手机</w:t>
            </w:r>
          </w:p>
        </w:tc>
        <w:tc>
          <w:tcPr>
            <w:tcW w:w="2346" w:type="dxa"/>
            <w:gridSpan w:val="3"/>
            <w:tcBorders>
              <w:bottom w:val="single" w:color="auto" w:sz="4" w:space="0"/>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2094" w:type="dxa"/>
            <w:gridSpan w:val="3"/>
            <w:vMerge w:val="continue"/>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2058" w:type="dxa"/>
            <w:gridSpan w:val="2"/>
            <w:vMerge w:val="continue"/>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23" w:type="dxa"/>
            <w:vMerge w:val="restart"/>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pPr>
              <w:pStyle w:val="35"/>
              <w:spacing w:before="0" w:beforeAutospacing="0" w:after="0" w:afterAutospacing="0"/>
              <w:jc w:val="center"/>
              <w:rPr>
                <w:bCs/>
                <w:color w:val="auto"/>
                <w:highlight w:val="none"/>
              </w:rPr>
            </w:pPr>
            <w:r>
              <w:rPr>
                <w:rFonts w:hint="eastAsia"/>
                <w:bCs/>
                <w:color w:val="auto"/>
                <w:highlight w:val="none"/>
              </w:rPr>
              <w:t>企</w:t>
            </w:r>
          </w:p>
          <w:p>
            <w:pPr>
              <w:pStyle w:val="35"/>
              <w:spacing w:before="0" w:beforeAutospacing="0" w:after="0" w:afterAutospacing="0"/>
              <w:jc w:val="center"/>
              <w:rPr>
                <w:bCs/>
                <w:color w:val="auto"/>
                <w:highlight w:val="none"/>
              </w:rPr>
            </w:pPr>
            <w:r>
              <w:rPr>
                <w:rFonts w:hint="eastAsia"/>
                <w:bCs/>
                <w:color w:val="auto"/>
                <w:highlight w:val="none"/>
              </w:rPr>
              <w:t>业</w:t>
            </w:r>
          </w:p>
          <w:p>
            <w:pPr>
              <w:pStyle w:val="35"/>
              <w:spacing w:before="0" w:beforeAutospacing="0" w:after="0" w:afterAutospacing="0"/>
              <w:jc w:val="center"/>
              <w:rPr>
                <w:bCs/>
                <w:color w:val="auto"/>
                <w:highlight w:val="none"/>
              </w:rPr>
            </w:pPr>
            <w:r>
              <w:rPr>
                <w:rFonts w:hint="eastAsia"/>
                <w:bCs/>
                <w:color w:val="auto"/>
                <w:highlight w:val="none"/>
              </w:rPr>
              <w:t>概</w:t>
            </w:r>
          </w:p>
          <w:p>
            <w:pPr>
              <w:pStyle w:val="35"/>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职工人数</w:t>
            </w:r>
          </w:p>
        </w:tc>
        <w:tc>
          <w:tcPr>
            <w:tcW w:w="932" w:type="dxa"/>
            <w:tcBorders>
              <w:top w:val="nil"/>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1141" w:type="dxa"/>
            <w:tcBorders>
              <w:top w:val="nil"/>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widowControl/>
              <w:jc w:val="center"/>
              <w:rPr>
                <w:rFonts w:ascii="宋体" w:hAnsi="宋体" w:cs="宋体"/>
                <w:bCs/>
                <w:color w:val="auto"/>
                <w:kern w:val="0"/>
                <w:sz w:val="24"/>
                <w:highlight w:val="none"/>
              </w:rPr>
            </w:pPr>
          </w:p>
          <w:p>
            <w:pPr>
              <w:pStyle w:val="35"/>
              <w:spacing w:before="0" w:beforeAutospacing="0" w:after="0" w:afterAutospacing="0"/>
              <w:jc w:val="center"/>
              <w:rPr>
                <w:bCs/>
                <w:color w:val="auto"/>
                <w:highlight w:val="none"/>
              </w:rPr>
            </w:pPr>
          </w:p>
        </w:tc>
        <w:tc>
          <w:tcPr>
            <w:tcW w:w="2094" w:type="dxa"/>
            <w:gridSpan w:val="3"/>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国家授予技术职称人数</w:t>
            </w:r>
          </w:p>
        </w:tc>
        <w:tc>
          <w:tcPr>
            <w:tcW w:w="2058" w:type="dxa"/>
            <w:gridSpan w:val="2"/>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35"/>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23" w:type="dxa"/>
            <w:vMerge w:val="continue"/>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占地面积</w:t>
            </w:r>
          </w:p>
        </w:tc>
        <w:tc>
          <w:tcPr>
            <w:tcW w:w="932"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1141"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平方米</w:t>
            </w:r>
          </w:p>
          <w:p>
            <w:pPr>
              <w:pStyle w:val="35"/>
              <w:spacing w:before="0" w:beforeAutospacing="0" w:after="0" w:afterAutospacing="0"/>
              <w:jc w:val="center"/>
              <w:rPr>
                <w:bCs/>
                <w:color w:val="auto"/>
                <w:highlight w:val="none"/>
              </w:rPr>
            </w:pPr>
            <w:r>
              <w:rPr>
                <w:rFonts w:hint="eastAsia"/>
                <w:bCs/>
                <w:color w:val="auto"/>
                <w:highlight w:val="none"/>
              </w:rPr>
              <w:t>□自有</w:t>
            </w:r>
          </w:p>
          <w:p>
            <w:pPr>
              <w:pStyle w:val="35"/>
              <w:spacing w:before="0" w:beforeAutospacing="0" w:after="0" w:afterAutospacing="0"/>
              <w:jc w:val="center"/>
              <w:rPr>
                <w:bCs/>
                <w:color w:val="auto"/>
                <w:highlight w:val="none"/>
              </w:rPr>
            </w:pPr>
            <w:r>
              <w:rPr>
                <w:rFonts w:hint="eastAsia"/>
                <w:bCs/>
                <w:color w:val="auto"/>
                <w:highlight w:val="none"/>
              </w:rPr>
              <w:t>□租赁</w:t>
            </w:r>
          </w:p>
        </w:tc>
        <w:tc>
          <w:tcPr>
            <w:tcW w:w="2094" w:type="dxa"/>
            <w:gridSpan w:val="3"/>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058"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23" w:type="dxa"/>
            <w:vMerge w:val="continue"/>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注册资金</w:t>
            </w:r>
          </w:p>
        </w:tc>
        <w:tc>
          <w:tcPr>
            <w:tcW w:w="932"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1141"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注册发证机关</w:t>
            </w:r>
          </w:p>
        </w:tc>
        <w:tc>
          <w:tcPr>
            <w:tcW w:w="3299" w:type="dxa"/>
            <w:gridSpan w:val="5"/>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35"/>
              <w:spacing w:before="0" w:beforeAutospacing="0" w:after="0" w:afterAutospacing="0"/>
              <w:jc w:val="center"/>
              <w:rPr>
                <w:bCs/>
                <w:color w:val="auto"/>
                <w:highlight w:val="none"/>
              </w:rPr>
            </w:pPr>
          </w:p>
        </w:tc>
        <w:tc>
          <w:tcPr>
            <w:tcW w:w="1125"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23" w:type="dxa"/>
            <w:vMerge w:val="continue"/>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9"/>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3" w:type="dxa"/>
            <w:vMerge w:val="continue"/>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8131" w:type="dxa"/>
            <w:gridSpan w:val="10"/>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3" w:type="dxa"/>
            <w:vMerge w:val="restart"/>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pPr>
              <w:pStyle w:val="35"/>
              <w:spacing w:before="0" w:beforeAutospacing="0" w:after="0" w:afterAutospacing="0"/>
              <w:jc w:val="center"/>
              <w:rPr>
                <w:bCs/>
                <w:color w:val="auto"/>
                <w:highlight w:val="none"/>
              </w:rPr>
            </w:pPr>
            <w:r>
              <w:rPr>
                <w:rFonts w:hint="eastAsia"/>
                <w:bCs/>
                <w:color w:val="auto"/>
                <w:highlight w:val="none"/>
              </w:rPr>
              <w:t>企业有关资质获证情况</w:t>
            </w:r>
          </w:p>
        </w:tc>
        <w:tc>
          <w:tcPr>
            <w:tcW w:w="1633" w:type="dxa"/>
            <w:gridSpan w:val="2"/>
            <w:vMerge w:val="restart"/>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253"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23" w:type="dxa"/>
            <w:vMerge w:val="continue"/>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1633" w:type="dxa"/>
            <w:gridSpan w:val="2"/>
            <w:vMerge w:val="continue"/>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1253"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pPr>
              <w:pStyle w:val="35"/>
              <w:spacing w:before="0" w:beforeAutospacing="0" w:after="0" w:afterAutospacing="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3" w:type="dxa"/>
            <w:vMerge w:val="continue"/>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1633"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企业获得专利情况</w:t>
            </w:r>
          </w:p>
        </w:tc>
        <w:tc>
          <w:tcPr>
            <w:tcW w:w="6498" w:type="dxa"/>
            <w:gridSpan w:val="8"/>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r>
    </w:tbl>
    <w:p>
      <w:pPr>
        <w:pStyle w:val="35"/>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35"/>
        <w:spacing w:before="0" w:beforeAutospacing="0" w:after="0" w:afterAutospacing="0" w:line="360" w:lineRule="auto"/>
        <w:ind w:firstLine="424" w:firstLineChars="202"/>
        <w:rPr>
          <w:color w:val="auto"/>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供应商名称（公章）：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供应商代表签字：</w:t>
      </w:r>
    </w:p>
    <w:p>
      <w:pPr>
        <w:pStyle w:val="35"/>
        <w:spacing w:before="0" w:beforeAutospacing="0" w:after="0" w:afterAutospacing="0" w:line="360" w:lineRule="auto"/>
        <w:ind w:firstLine="424" w:firstLineChars="177"/>
        <w:rPr>
          <w:color w:val="auto"/>
          <w:highlight w:val="none"/>
        </w:rPr>
      </w:pPr>
      <w:r>
        <w:rPr>
          <w:rFonts w:hint="eastAsia"/>
          <w:color w:val="auto"/>
          <w:highlight w:val="none"/>
        </w:rPr>
        <w:t>日        期：</w:t>
      </w:r>
    </w:p>
    <w:p>
      <w:pPr>
        <w:snapToGrid w:val="0"/>
        <w:spacing w:before="50" w:after="50" w:line="360" w:lineRule="auto"/>
        <w:rPr>
          <w:rFonts w:hint="eastAsia" w:hAnsi="宋体" w:eastAsia="宋体"/>
          <w:b/>
          <w:color w:val="auto"/>
          <w:sz w:val="36"/>
          <w:szCs w:val="36"/>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pPr>
        <w:pStyle w:val="39"/>
        <w:spacing w:line="360" w:lineRule="auto"/>
        <w:jc w:val="center"/>
        <w:rPr>
          <w:rFonts w:ascii="宋体" w:hAnsi="宋体" w:cs="Arial"/>
          <w:color w:val="auto"/>
          <w:sz w:val="28"/>
          <w:szCs w:val="28"/>
          <w:highlight w:val="none"/>
        </w:rPr>
      </w:pPr>
      <w:bookmarkStart w:id="30" w:name="_Toc11030_WPSOffice_Level1"/>
      <w:bookmarkStart w:id="31" w:name="_Toc17604_WPSOffice_Level1"/>
      <w:r>
        <w:rPr>
          <w:rFonts w:hint="eastAsia" w:ascii="宋体" w:hAnsi="宋体"/>
          <w:b/>
          <w:color w:val="auto"/>
          <w:sz w:val="32"/>
          <w:szCs w:val="32"/>
          <w:highlight w:val="none"/>
        </w:rPr>
        <w:t>证书一览表</w:t>
      </w:r>
      <w:bookmarkEnd w:id="30"/>
      <w:bookmarkEnd w:id="31"/>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39"/>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39"/>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39"/>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39"/>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r>
    </w:tbl>
    <w:p>
      <w:pPr>
        <w:pStyle w:val="39"/>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39"/>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1.填写供应商获得资质、认证或企业信誉证书。</w:t>
      </w:r>
    </w:p>
    <w:p>
      <w:pPr>
        <w:pStyle w:val="39"/>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pPr>
        <w:pStyle w:val="39"/>
        <w:tabs>
          <w:tab w:val="left" w:pos="1050"/>
        </w:tabs>
        <w:spacing w:line="360" w:lineRule="auto"/>
        <w:rPr>
          <w:rFonts w:ascii="仿宋_GB2312" w:hAnsi="宋体" w:eastAsia="仿宋_GB2312"/>
          <w:color w:val="auto"/>
          <w:sz w:val="24"/>
          <w:highlight w:val="none"/>
        </w:rPr>
      </w:pPr>
    </w:p>
    <w:p>
      <w:pPr>
        <w:pStyle w:val="39"/>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供应商名称（公章）：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35"/>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pPr>
        <w:rPr>
          <w:rFonts w:hint="eastAsia" w:ascii="宋体" w:hAnsi="宋体"/>
          <w:b/>
          <w:color w:val="auto"/>
          <w:sz w:val="28"/>
          <w:highlight w:val="none"/>
        </w:rPr>
      </w:pPr>
      <w:bookmarkStart w:id="32" w:name="_Toc29307"/>
      <w:bookmarkStart w:id="33" w:name="_Toc25814"/>
      <w:r>
        <w:rPr>
          <w:rFonts w:hint="eastAsia" w:ascii="宋体" w:hAnsi="宋体"/>
          <w:b/>
          <w:color w:val="auto"/>
          <w:sz w:val="28"/>
          <w:highlight w:val="none"/>
        </w:rPr>
        <w:br w:type="page"/>
      </w:r>
    </w:p>
    <w:p>
      <w:pPr>
        <w:spacing w:line="360" w:lineRule="auto"/>
        <w:ind w:firstLine="435"/>
        <w:outlineLvl w:val="0"/>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bookmarkEnd w:id="32"/>
      <w:bookmarkEnd w:id="33"/>
      <w:r>
        <w:rPr>
          <w:rFonts w:hint="eastAsia" w:ascii="宋体" w:hAnsi="宋体"/>
          <w:b/>
          <w:color w:val="auto"/>
          <w:sz w:val="28"/>
          <w:highlight w:val="none"/>
          <w:lang w:val="en-US" w:eastAsia="zh-CN"/>
        </w:rPr>
        <w:t>7</w:t>
      </w:r>
    </w:p>
    <w:p>
      <w:pPr>
        <w:spacing w:line="360" w:lineRule="auto"/>
        <w:jc w:val="center"/>
        <w:rPr>
          <w:rFonts w:hint="eastAsia" w:ascii="宋体" w:hAnsi="宋体"/>
          <w:b/>
          <w:bCs/>
          <w:color w:val="auto"/>
          <w:kern w:val="0"/>
          <w:sz w:val="32"/>
          <w:szCs w:val="32"/>
          <w:highlight w:val="none"/>
        </w:rPr>
      </w:pPr>
      <w:bookmarkStart w:id="34" w:name="_Toc19231_WPSOffice_Level1"/>
      <w:bookmarkStart w:id="35" w:name="_Toc7134_WPSOffice_Level1"/>
      <w:r>
        <w:rPr>
          <w:rFonts w:hint="eastAsia" w:ascii="宋体" w:hAnsi="宋体"/>
          <w:b/>
          <w:bCs/>
          <w:color w:val="auto"/>
          <w:kern w:val="0"/>
          <w:sz w:val="32"/>
          <w:szCs w:val="32"/>
          <w:highlight w:val="none"/>
        </w:rPr>
        <w:t>投标人项目业绩一览表</w:t>
      </w:r>
      <w:bookmarkEnd w:id="34"/>
      <w:bookmarkEnd w:id="35"/>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261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8"/>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8"/>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8"/>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项目地址</w:t>
            </w: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8"/>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合同总价</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8"/>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实施时间</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8"/>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r>
    </w:tbl>
    <w:p>
      <w:pPr>
        <w:autoSpaceDE w:val="0"/>
        <w:autoSpaceDN w:val="0"/>
        <w:adjustRightInd w:val="0"/>
        <w:spacing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lang w:val="en-US" w:eastAsia="zh-CN"/>
        </w:rPr>
        <w:t>复印件</w:t>
      </w:r>
      <w:r>
        <w:rPr>
          <w:rFonts w:hint="eastAsia" w:ascii="宋体" w:hAnsi="宋体" w:cs="Arial"/>
          <w:color w:val="auto"/>
          <w:szCs w:val="21"/>
          <w:highlight w:val="none"/>
        </w:rPr>
        <w:t>加盖投标人公章</w:t>
      </w:r>
      <w:r>
        <w:rPr>
          <w:rFonts w:ascii="宋体" w:hAnsi="宋体" w:cs="Arial"/>
          <w:color w:val="auto"/>
          <w:szCs w:val="21"/>
          <w:highlight w:val="none"/>
        </w:rPr>
        <w:t>）</w:t>
      </w:r>
      <w:r>
        <w:rPr>
          <w:rFonts w:hint="eastAsia" w:ascii="宋体" w:hAnsi="宋体" w:cs="Arial"/>
          <w:color w:val="auto"/>
          <w:szCs w:val="21"/>
          <w:highlight w:val="none"/>
        </w:rPr>
        <w:t>。</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pStyle w:val="24"/>
        <w:rPr>
          <w:color w:val="auto"/>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供应商名称（公章）：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rPr>
          <w:rFonts w:hint="eastAsia" w:hAnsi="宋体"/>
          <w:b/>
          <w:color w:val="auto"/>
          <w:sz w:val="28"/>
          <w:highlight w:val="none"/>
        </w:rPr>
      </w:pPr>
      <w:r>
        <w:rPr>
          <w:rFonts w:hint="eastAsia" w:hAnsi="宋体"/>
          <w:b/>
          <w:color w:val="auto"/>
          <w:sz w:val="28"/>
          <w:highlight w:val="none"/>
        </w:rPr>
        <w:br w:type="page"/>
      </w:r>
    </w:p>
    <w:p>
      <w:pPr>
        <w:rPr>
          <w:rFonts w:hint="eastAsia" w:ascii="宋体" w:hAnsi="宋体"/>
          <w:b/>
          <w:color w:val="auto"/>
          <w:sz w:val="28"/>
          <w:highlight w:val="none"/>
        </w:rPr>
      </w:pPr>
    </w:p>
    <w:p>
      <w:pPr>
        <w:spacing w:line="360" w:lineRule="auto"/>
        <w:rPr>
          <w:rFonts w:hint="eastAsia" w:ascii="宋体" w:hAnsi="宋体" w:eastAsia="宋体"/>
          <w:color w:val="auto"/>
          <w:sz w:val="24"/>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pPr>
        <w:snapToGrid w:val="0"/>
        <w:spacing w:line="360" w:lineRule="auto"/>
        <w:jc w:val="center"/>
        <w:rPr>
          <w:rFonts w:ascii="宋体" w:hAnsi="宋体"/>
          <w:b/>
          <w:color w:val="auto"/>
          <w:sz w:val="32"/>
          <w:szCs w:val="32"/>
          <w:highlight w:val="none"/>
        </w:rPr>
      </w:pPr>
      <w:bookmarkStart w:id="36" w:name="_Toc23671_WPSOffice_Level1"/>
      <w:bookmarkStart w:id="37" w:name="_Toc20569_WPSOffice_Level1"/>
      <w:r>
        <w:rPr>
          <w:rFonts w:hint="eastAsia" w:ascii="宋体" w:hAnsi="宋体"/>
          <w:b/>
          <w:color w:val="auto"/>
          <w:sz w:val="32"/>
          <w:szCs w:val="32"/>
          <w:highlight w:val="none"/>
        </w:rPr>
        <w:t>项目实施人员一览表</w:t>
      </w:r>
      <w:bookmarkEnd w:id="36"/>
      <w:bookmarkEnd w:id="37"/>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5"/>
        <w:tblpPr w:leftFromText="181" w:rightFromText="181" w:bottomFromText="170" w:vertAnchor="text" w:tblpXSpec="center" w:tblpY="1"/>
        <w:tblOverlap w:val="never"/>
        <w:tblW w:w="83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910"/>
        <w:gridCol w:w="1004"/>
        <w:gridCol w:w="795"/>
        <w:gridCol w:w="1276"/>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职责</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专业</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hint="eastAsia" w:ascii="宋体" w:hAnsi="宋体" w:eastAsia="宋体"/>
                <w:b/>
                <w:bCs/>
                <w:color w:val="auto"/>
                <w:szCs w:val="21"/>
                <w:highlight w:val="none"/>
                <w:lang w:eastAsia="zh-CN"/>
              </w:rPr>
            </w:pPr>
            <w:r>
              <w:rPr>
                <w:rFonts w:hint="eastAsia" w:ascii="宋体" w:hAnsi="宋体"/>
                <w:b/>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6"/>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6"/>
              <w:snapToGrid w:val="0"/>
              <w:spacing w:before="120" w:beforeLines="50" w:after="50" w:line="360" w:lineRule="auto"/>
              <w:ind w:left="5250"/>
              <w:rPr>
                <w:rFonts w:ascii="宋体" w:hAnsi="宋体" w:eastAsia="宋体"/>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bl>
    <w:p>
      <w:pPr>
        <w:spacing w:line="360" w:lineRule="auto"/>
        <w:rPr>
          <w:rFonts w:hint="eastAsia"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pPr>
        <w:snapToGrid w:val="0"/>
        <w:spacing w:before="50" w:after="120" w:afterLines="50" w:line="360" w:lineRule="auto"/>
        <w:jc w:val="left"/>
        <w:rPr>
          <w:rFonts w:ascii="宋体" w:hAnsi="宋体"/>
          <w:color w:val="auto"/>
          <w:sz w:val="24"/>
          <w:szCs w:val="20"/>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供应商名称（公章）：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pStyle w:val="24"/>
        <w:rPr>
          <w:color w:val="auto"/>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rPr>
          <w:rFonts w:hint="eastAsia" w:ascii="宋体" w:hAnsi="宋体" w:eastAsia="宋体"/>
          <w:color w:val="auto"/>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pPr>
        <w:spacing w:line="5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项目负责人资格情况表</w:t>
      </w:r>
    </w:p>
    <w:p>
      <w:pPr>
        <w:spacing w:line="500" w:lineRule="exact"/>
        <w:ind w:firstLine="720" w:firstLineChars="300"/>
        <w:jc w:val="left"/>
        <w:rPr>
          <w:rFonts w:ascii="宋体" w:hAnsi="宋体" w:cs="宋体"/>
          <w:bCs/>
          <w:color w:val="auto"/>
          <w:sz w:val="24"/>
          <w:highlight w:val="none"/>
        </w:rPr>
      </w:pPr>
      <w:r>
        <w:rPr>
          <w:rFonts w:hint="eastAsia" w:ascii="宋体" w:hAnsi="宋体" w:cs="宋体"/>
          <w:bCs/>
          <w:color w:val="auto"/>
          <w:sz w:val="24"/>
          <w:highlight w:val="none"/>
        </w:rPr>
        <w:t xml:space="preserve">项目名称：                   项目编号：    </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500" w:lineRule="exact"/>
        <w:ind w:firstLine="720" w:firstLineChars="300"/>
        <w:jc w:val="left"/>
        <w:rPr>
          <w:rFonts w:ascii="宋体" w:hAnsi="宋体" w:cs="宋体"/>
          <w:snapToGrid w:val="0"/>
          <w:color w:val="auto"/>
          <w:kern w:val="0"/>
          <w:sz w:val="24"/>
          <w:highlight w:val="none"/>
          <w:u w:val="single"/>
        </w:rPr>
      </w:pPr>
      <w:r>
        <w:rPr>
          <w:rFonts w:hint="eastAsia" w:ascii="宋体" w:hAnsi="宋体" w:cs="宋体"/>
          <w:bCs/>
          <w:color w:val="auto"/>
          <w:sz w:val="24"/>
          <w:highlight w:val="none"/>
        </w:rPr>
        <w:t xml:space="preserve">            </w:t>
      </w:r>
    </w:p>
    <w:p>
      <w:pPr>
        <w:spacing w:line="500" w:lineRule="exact"/>
        <w:ind w:firstLine="360" w:firstLineChars="150"/>
        <w:rPr>
          <w:rFonts w:ascii="宋体" w:hAnsi="宋体" w:cs="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供应商名称（公章）：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rPr>
          <w:rFonts w:hint="default" w:ascii="宋体" w:hAnsi="宋体" w:eastAsia="宋体"/>
          <w:b/>
          <w:color w:val="auto"/>
          <w:sz w:val="28"/>
          <w:highlight w:val="none"/>
          <w:lang w:val="en-US" w:eastAsia="zh-CN"/>
        </w:rPr>
      </w:pPr>
      <w:bookmarkStart w:id="38" w:name="_Toc12856_WPSOffice_Level1"/>
      <w:bookmarkStart w:id="39" w:name="_Toc26601_WPSOffice_Level1"/>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pPr>
        <w:spacing w:line="360" w:lineRule="auto"/>
        <w:jc w:val="center"/>
        <w:rPr>
          <w:color w:val="auto"/>
          <w:highlight w:val="none"/>
        </w:rPr>
      </w:pPr>
    </w:p>
    <w:p>
      <w:pPr>
        <w:spacing w:line="360" w:lineRule="auto"/>
        <w:jc w:val="center"/>
        <w:rPr>
          <w:rFonts w:ascii="宋体" w:hAnsi="宋体"/>
          <w:color w:val="auto"/>
          <w:sz w:val="24"/>
          <w:highlight w:val="none"/>
        </w:rPr>
      </w:pPr>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p>
    <w:tbl>
      <w:tblPr>
        <w:tblStyle w:val="25"/>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1560" w:type="dxa"/>
            <w:tcMar>
              <w:top w:w="57" w:type="dxa"/>
              <w:left w:w="108" w:type="dxa"/>
              <w:bottom w:w="0" w:type="dxa"/>
              <w:right w:w="108" w:type="dxa"/>
            </w:tcMar>
            <w:vAlign w:val="center"/>
          </w:tcPr>
          <w:p>
            <w:pPr>
              <w:ind w:left="15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r>
    </w:tbl>
    <w:p>
      <w:pPr>
        <w:pStyle w:val="37"/>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pPr>
        <w:pStyle w:val="37"/>
        <w:spacing w:line="360" w:lineRule="auto"/>
        <w:ind w:right="84" w:rightChars="40" w:firstLine="420" w:firstLineChars="200"/>
        <w:rPr>
          <w:rFonts w:ascii="宋体"/>
          <w:color w:val="auto"/>
          <w:szCs w:val="21"/>
          <w:highlight w:val="none"/>
        </w:rPr>
      </w:pPr>
      <w:r>
        <w:rPr>
          <w:rFonts w:hint="eastAsia" w:ascii="宋体"/>
          <w:color w:val="auto"/>
          <w:szCs w:val="21"/>
          <w:highlight w:val="none"/>
        </w:rPr>
        <w:t>1.本表参照本招标文件第三部分“招标需求”内第一条“具体技术需求”填制，供应商应根据投标设备的性能指标、服务指标，对照招标文件要求在“偏离情况”栏注明“正偏离”、“负偏离”或“无偏离”。</w:t>
      </w:r>
    </w:p>
    <w:p>
      <w:pPr>
        <w:pStyle w:val="37"/>
        <w:spacing w:line="360" w:lineRule="auto"/>
        <w:ind w:right="84" w:rightChars="40" w:firstLine="420" w:firstLineChars="200"/>
        <w:rPr>
          <w:rFonts w:ascii="宋体"/>
          <w:color w:val="auto"/>
          <w:szCs w:val="21"/>
          <w:highlight w:val="none"/>
        </w:rPr>
      </w:pPr>
      <w:r>
        <w:rPr>
          <w:rFonts w:hint="eastAsia" w:ascii="宋体"/>
          <w:color w:val="auto"/>
          <w:szCs w:val="21"/>
          <w:highlight w:val="none"/>
        </w:rPr>
        <w:t>2.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pStyle w:val="37"/>
        <w:spacing w:line="360" w:lineRule="auto"/>
        <w:ind w:right="84" w:rightChars="40"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w:t>
      </w:r>
      <w:r>
        <w:rPr>
          <w:rFonts w:hint="eastAsia" w:ascii="宋体" w:hAnsi="宋体"/>
          <w:color w:val="auto"/>
          <w:sz w:val="24"/>
          <w:highlight w:val="none"/>
        </w:rPr>
        <w:t xml:space="preserve"> </w:t>
      </w:r>
      <w:r>
        <w:rPr>
          <w:rFonts w:hint="eastAsia" w:ascii="宋体" w:hAnsi="宋体" w:cs="宋体"/>
          <w:color w:val="auto"/>
          <w:szCs w:val="21"/>
          <w:highlight w:val="none"/>
        </w:rPr>
        <w:t>供应商未填写，则视为全部响应。</w:t>
      </w:r>
    </w:p>
    <w:p>
      <w:pPr>
        <w:spacing w:line="360" w:lineRule="auto"/>
        <w:rPr>
          <w:rFonts w:ascii="宋体" w:hAnsi="宋体"/>
          <w:color w:val="auto"/>
          <w:sz w:val="24"/>
          <w:highlight w:val="none"/>
        </w:rPr>
      </w:pPr>
    </w:p>
    <w:p>
      <w:pPr>
        <w:pStyle w:val="24"/>
        <w:rPr>
          <w:color w:val="auto"/>
          <w:highlight w:val="none"/>
        </w:rPr>
      </w:pPr>
    </w:p>
    <w:bookmarkEnd w:id="38"/>
    <w:bookmarkEnd w:id="39"/>
    <w:p>
      <w:pPr>
        <w:spacing w:line="360" w:lineRule="auto"/>
        <w:ind w:left="420"/>
        <w:rPr>
          <w:rFonts w:ascii="宋体" w:hAnsi="宋体"/>
          <w:color w:val="auto"/>
          <w:sz w:val="24"/>
          <w:highlight w:val="none"/>
          <w:u w:val="single"/>
        </w:rPr>
      </w:pPr>
      <w:r>
        <w:rPr>
          <w:rFonts w:hint="eastAsia" w:ascii="宋体" w:hAnsi="宋体"/>
          <w:color w:val="auto"/>
          <w:sz w:val="24"/>
          <w:highlight w:val="none"/>
        </w:rPr>
        <w:t>供应商名称（公章）：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color w:val="auto"/>
          <w:highlight w:val="none"/>
        </w:rPr>
      </w:pPr>
      <w:r>
        <w:rPr>
          <w:rFonts w:hint="eastAsia" w:ascii="宋体" w:hAnsi="宋体"/>
          <w:color w:val="auto"/>
          <w:sz w:val="24"/>
          <w:highlight w:val="none"/>
        </w:rPr>
        <w:t>日        期：</w:t>
      </w:r>
    </w:p>
    <w:p>
      <w:pPr>
        <w:rPr>
          <w:rFonts w:ascii="宋体" w:hAnsi="宋体"/>
          <w:b/>
          <w:color w:val="auto"/>
          <w:sz w:val="28"/>
          <w:highlight w:val="none"/>
        </w:rPr>
      </w:pPr>
      <w:r>
        <w:rPr>
          <w:rFonts w:hint="eastAsia" w:ascii="宋体" w:hAnsi="宋体"/>
          <w:b/>
          <w:color w:val="auto"/>
          <w:sz w:val="28"/>
          <w:highlight w:val="none"/>
        </w:rPr>
        <w:br w:type="page"/>
      </w:r>
    </w:p>
    <w:p>
      <w:pPr>
        <w:pStyle w:val="38"/>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p>
    <w:p>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商务需求响应表</w:t>
      </w:r>
    </w:p>
    <w:p>
      <w:pPr>
        <w:pStyle w:val="24"/>
        <w:rPr>
          <w:rFonts w:ascii="宋体" w:hAnsi="宋体"/>
          <w:b/>
          <w:color w:val="auto"/>
          <w:sz w:val="32"/>
          <w:szCs w:val="32"/>
          <w:highlight w:val="none"/>
        </w:rPr>
      </w:pPr>
    </w:p>
    <w:tbl>
      <w:tblPr>
        <w:tblStyle w:val="25"/>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color w:val="auto"/>
                <w:szCs w:val="21"/>
                <w:highlight w:val="none"/>
              </w:rPr>
            </w:pPr>
            <w:r>
              <w:rPr>
                <w:rFonts w:hint="eastAsia" w:ascii="宋体" w:hAnsi="宋体"/>
                <w:b/>
                <w:color w:val="auto"/>
                <w:szCs w:val="21"/>
                <w:highlight w:val="none"/>
              </w:rPr>
              <w:t>序号</w:t>
            </w:r>
          </w:p>
        </w:tc>
        <w:tc>
          <w:tcPr>
            <w:tcW w:w="2534" w:type="dxa"/>
            <w:tcMar>
              <w:top w:w="57" w:type="dxa"/>
              <w:left w:w="108" w:type="dxa"/>
              <w:bottom w:w="0" w:type="dxa"/>
              <w:right w:w="108" w:type="dxa"/>
            </w:tcMar>
            <w:vAlign w:val="center"/>
          </w:tcPr>
          <w:p>
            <w:pPr>
              <w:rPr>
                <w:rFonts w:ascii="宋体" w:hAnsi="宋体"/>
                <w:b/>
                <w:color w:val="auto"/>
                <w:szCs w:val="21"/>
                <w:highlight w:val="none"/>
              </w:rPr>
            </w:pPr>
            <w:r>
              <w:rPr>
                <w:rFonts w:hint="eastAsia" w:ascii="宋体" w:hAnsi="宋体"/>
                <w:b/>
                <w:color w:val="auto"/>
                <w:szCs w:val="21"/>
                <w:highlight w:val="none"/>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color w:val="auto"/>
                <w:szCs w:val="21"/>
                <w:highlight w:val="none"/>
              </w:rPr>
            </w:pPr>
            <w:r>
              <w:rPr>
                <w:rFonts w:hint="eastAsia" w:ascii="宋体" w:hAnsi="宋体"/>
                <w:b/>
                <w:color w:val="auto"/>
                <w:szCs w:val="21"/>
                <w:highlight w:val="none"/>
              </w:rPr>
              <w:t>招标需求</w:t>
            </w:r>
          </w:p>
        </w:tc>
        <w:tc>
          <w:tcPr>
            <w:tcW w:w="1365" w:type="dxa"/>
            <w:tcMar>
              <w:top w:w="57" w:type="dxa"/>
              <w:left w:w="108" w:type="dxa"/>
              <w:bottom w:w="0" w:type="dxa"/>
              <w:right w:w="108" w:type="dxa"/>
            </w:tcMar>
            <w:vAlign w:val="center"/>
          </w:tcPr>
          <w:p>
            <w:pPr>
              <w:ind w:left="152"/>
              <w:rPr>
                <w:rFonts w:ascii="宋体" w:hAnsi="宋体"/>
                <w:b/>
                <w:color w:val="auto"/>
                <w:szCs w:val="21"/>
                <w:highlight w:val="none"/>
              </w:rPr>
            </w:pPr>
            <w:r>
              <w:rPr>
                <w:rFonts w:hint="eastAsia" w:ascii="宋体" w:hAnsi="宋体"/>
                <w:b/>
                <w:color w:val="auto"/>
                <w:szCs w:val="21"/>
                <w:highlight w:val="none"/>
              </w:rPr>
              <w:t>是否响应</w:t>
            </w:r>
          </w:p>
        </w:tc>
        <w:tc>
          <w:tcPr>
            <w:tcW w:w="2625" w:type="dxa"/>
            <w:tcMar>
              <w:top w:w="57" w:type="dxa"/>
              <w:left w:w="108" w:type="dxa"/>
              <w:bottom w:w="0" w:type="dxa"/>
              <w:right w:w="108" w:type="dxa"/>
            </w:tcMar>
            <w:vAlign w:val="center"/>
          </w:tcPr>
          <w:p>
            <w:pPr>
              <w:jc w:val="center"/>
              <w:rPr>
                <w:rFonts w:ascii="宋体" w:hAnsi="宋体"/>
                <w:b/>
                <w:color w:val="auto"/>
                <w:szCs w:val="21"/>
                <w:highlight w:val="none"/>
              </w:rPr>
            </w:pPr>
            <w:r>
              <w:rPr>
                <w:rFonts w:hint="eastAsia" w:ascii="宋体" w:hAnsi="宋体"/>
                <w:b/>
                <w:color w:val="auto"/>
                <w:szCs w:val="21"/>
                <w:highlight w:val="none"/>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r>
              <w:rPr>
                <w:rFonts w:hint="eastAsia" w:ascii="宋体" w:hAnsi="宋体"/>
                <w:color w:val="auto"/>
                <w:szCs w:val="21"/>
                <w:highlight w:val="none"/>
              </w:rPr>
              <w:t>1</w:t>
            </w:r>
          </w:p>
        </w:tc>
        <w:tc>
          <w:tcPr>
            <w:tcW w:w="2534" w:type="dxa"/>
            <w:tcMar>
              <w:top w:w="57" w:type="dxa"/>
              <w:left w:w="108" w:type="dxa"/>
              <w:bottom w:w="0" w:type="dxa"/>
              <w:right w:w="108" w:type="dxa"/>
            </w:tcMar>
          </w:tcPr>
          <w:p>
            <w:pPr>
              <w:snapToGrid w:val="0"/>
              <w:rPr>
                <w:rFonts w:ascii="宋体" w:hAnsi="宋体"/>
                <w:color w:val="auto"/>
                <w:szCs w:val="21"/>
                <w:highlight w:val="none"/>
              </w:rPr>
            </w:pPr>
            <w:r>
              <w:rPr>
                <w:rFonts w:hint="eastAsia" w:ascii="宋体" w:hAnsi="宋体"/>
                <w:color w:val="auto"/>
                <w:szCs w:val="21"/>
                <w:highlight w:val="none"/>
              </w:rPr>
              <w:t>合同履行期限</w:t>
            </w: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r>
              <w:rPr>
                <w:rFonts w:hint="eastAsia" w:ascii="宋体" w:hAnsi="宋体"/>
                <w:color w:val="auto"/>
                <w:szCs w:val="21"/>
                <w:highlight w:val="none"/>
              </w:rPr>
              <w:t>2</w:t>
            </w:r>
          </w:p>
        </w:tc>
        <w:tc>
          <w:tcPr>
            <w:tcW w:w="2534" w:type="dxa"/>
            <w:tcMar>
              <w:top w:w="57" w:type="dxa"/>
              <w:left w:w="108" w:type="dxa"/>
              <w:bottom w:w="0" w:type="dxa"/>
              <w:right w:w="108" w:type="dxa"/>
            </w:tcMar>
          </w:tcPr>
          <w:p>
            <w:pPr>
              <w:snapToGrid w:val="0"/>
              <w:rPr>
                <w:rFonts w:ascii="宋体" w:hAnsi="宋体"/>
                <w:color w:val="auto"/>
                <w:szCs w:val="21"/>
                <w:highlight w:val="none"/>
              </w:rPr>
            </w:pPr>
            <w:r>
              <w:rPr>
                <w:rFonts w:hint="eastAsia" w:ascii="宋体" w:hAnsi="宋体"/>
                <w:color w:val="auto"/>
                <w:szCs w:val="21"/>
                <w:highlight w:val="none"/>
              </w:rPr>
              <w:t>付款条件</w:t>
            </w: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p>
        </w:tc>
        <w:tc>
          <w:tcPr>
            <w:tcW w:w="2534" w:type="dxa"/>
            <w:tcMar>
              <w:top w:w="57" w:type="dxa"/>
              <w:left w:w="108" w:type="dxa"/>
              <w:bottom w:w="0" w:type="dxa"/>
              <w:right w:w="108" w:type="dxa"/>
            </w:tcMar>
          </w:tcPr>
          <w:p>
            <w:pPr>
              <w:snapToGrid w:val="0"/>
              <w:rPr>
                <w:rFonts w:ascii="宋体" w:hAnsi="宋体"/>
                <w:color w:val="auto"/>
                <w:szCs w:val="21"/>
                <w:highlight w:val="none"/>
              </w:rPr>
            </w:pPr>
            <w:r>
              <w:rPr>
                <w:rFonts w:hint="eastAsia" w:ascii="宋体" w:hAnsi="宋体"/>
                <w:color w:val="auto"/>
                <w:szCs w:val="21"/>
                <w:highlight w:val="none"/>
              </w:rPr>
              <w:t>……</w:t>
            </w: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p>
        </w:tc>
        <w:tc>
          <w:tcPr>
            <w:tcW w:w="2534" w:type="dxa"/>
            <w:tcMar>
              <w:top w:w="57" w:type="dxa"/>
              <w:left w:w="108" w:type="dxa"/>
              <w:bottom w:w="0" w:type="dxa"/>
              <w:right w:w="108" w:type="dxa"/>
            </w:tcMar>
          </w:tcPr>
          <w:p>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p>
        </w:tc>
        <w:tc>
          <w:tcPr>
            <w:tcW w:w="2534" w:type="dxa"/>
            <w:tcMar>
              <w:top w:w="57" w:type="dxa"/>
              <w:left w:w="108" w:type="dxa"/>
              <w:bottom w:w="0" w:type="dxa"/>
              <w:right w:w="108" w:type="dxa"/>
            </w:tcMar>
          </w:tcPr>
          <w:p>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p>
        </w:tc>
        <w:tc>
          <w:tcPr>
            <w:tcW w:w="2534" w:type="dxa"/>
            <w:tcMar>
              <w:top w:w="57" w:type="dxa"/>
              <w:left w:w="108" w:type="dxa"/>
              <w:bottom w:w="0" w:type="dxa"/>
              <w:right w:w="108" w:type="dxa"/>
            </w:tcMar>
          </w:tcPr>
          <w:p>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p>
        </w:tc>
        <w:tc>
          <w:tcPr>
            <w:tcW w:w="2534" w:type="dxa"/>
            <w:tcMar>
              <w:top w:w="57" w:type="dxa"/>
              <w:left w:w="108" w:type="dxa"/>
              <w:bottom w:w="0" w:type="dxa"/>
              <w:right w:w="108" w:type="dxa"/>
            </w:tcMar>
          </w:tcPr>
          <w:p>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bl>
    <w:p>
      <w:pPr>
        <w:pStyle w:val="24"/>
        <w:rPr>
          <w:rFonts w:ascii="宋体" w:hAnsi="宋体"/>
          <w:b/>
          <w:color w:val="auto"/>
          <w:sz w:val="32"/>
          <w:szCs w:val="32"/>
          <w:highlight w:val="none"/>
        </w:rPr>
      </w:pPr>
    </w:p>
    <w:p>
      <w:pPr>
        <w:pStyle w:val="37"/>
        <w:spacing w:line="360" w:lineRule="auto"/>
        <w:ind w:right="84" w:rightChars="4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注：</w:t>
      </w:r>
    </w:p>
    <w:p>
      <w:pPr>
        <w:pStyle w:val="37"/>
        <w:spacing w:line="360" w:lineRule="auto"/>
        <w:ind w:right="84" w:rightChars="40" w:firstLine="480" w:firstLineChars="200"/>
        <w:rPr>
          <w:rFonts w:asciiTheme="minorEastAsia" w:hAnsiTheme="minorEastAsia" w:eastAsiaTheme="minorEastAsia" w:cstheme="minorEastAsia"/>
          <w:color w:val="auto"/>
          <w:szCs w:val="21"/>
          <w:highlight w:val="none"/>
        </w:rPr>
      </w:pPr>
      <w:r>
        <w:rPr>
          <w:rFonts w:hint="eastAsia" w:ascii="宋体" w:hAnsi="宋体"/>
          <w:color w:val="auto"/>
          <w:sz w:val="24"/>
          <w:highlight w:val="none"/>
        </w:rPr>
        <w:t xml:space="preserve"> </w:t>
      </w:r>
      <w:r>
        <w:rPr>
          <w:rFonts w:hint="eastAsia" w:ascii="宋体" w:hAnsi="宋体" w:cs="宋体"/>
          <w:color w:val="auto"/>
          <w:szCs w:val="21"/>
          <w:highlight w:val="none"/>
        </w:rPr>
        <w:t>供应商未填写，则视为全部响应。</w:t>
      </w:r>
    </w:p>
    <w:p>
      <w:pPr>
        <w:spacing w:line="360" w:lineRule="auto"/>
        <w:ind w:left="481" w:leftChars="229" w:firstLine="813" w:firstLineChars="450"/>
        <w:rPr>
          <w:rFonts w:ascii="宋体" w:hAnsi="宋体"/>
          <w:b/>
          <w:color w:val="auto"/>
          <w:sz w:val="18"/>
          <w:szCs w:val="18"/>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供应商名称（公章）：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jc w:val="center"/>
        <w:rPr>
          <w:color w:val="auto"/>
          <w:sz w:val="52"/>
          <w:szCs w:val="52"/>
          <w:highlight w:val="none"/>
        </w:rPr>
      </w:pPr>
      <w:bookmarkStart w:id="40" w:name="_Toc21322_WPSOffice_Level1"/>
      <w:bookmarkStart w:id="41" w:name="_Toc30468_WPSOffice_Level1"/>
      <w:bookmarkStart w:id="42" w:name="_Toc4615_WPSOffice_Level1"/>
    </w:p>
    <w:p>
      <w:pPr>
        <w:jc w:val="center"/>
        <w:rPr>
          <w:color w:val="auto"/>
          <w:sz w:val="52"/>
          <w:szCs w:val="52"/>
          <w:highlight w:val="none"/>
        </w:rPr>
      </w:pPr>
      <w:r>
        <w:rPr>
          <w:rFonts w:hint="eastAsia"/>
          <w:color w:val="auto"/>
          <w:sz w:val="52"/>
          <w:szCs w:val="52"/>
          <w:highlight w:val="none"/>
        </w:rPr>
        <w:t>项目名称</w:t>
      </w:r>
      <w:bookmarkEnd w:id="40"/>
      <w:bookmarkEnd w:id="41"/>
      <w:bookmarkEnd w:id="42"/>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pStyle w:val="24"/>
        <w:rPr>
          <w:color w:val="auto"/>
          <w:highlight w:val="none"/>
        </w:rPr>
      </w:pPr>
    </w:p>
    <w:p>
      <w:pPr>
        <w:jc w:val="center"/>
        <w:rPr>
          <w:color w:val="auto"/>
          <w:sz w:val="84"/>
          <w:szCs w:val="84"/>
          <w:highlight w:val="none"/>
        </w:rPr>
      </w:pPr>
      <w:bookmarkStart w:id="43" w:name="_Toc9453_WPSOffice_Level1"/>
      <w:bookmarkStart w:id="44" w:name="_Toc8885_WPSOffice_Level1"/>
      <w:r>
        <w:rPr>
          <w:rFonts w:hint="eastAsia"/>
          <w:color w:val="auto"/>
          <w:sz w:val="84"/>
          <w:szCs w:val="84"/>
          <w:highlight w:val="none"/>
        </w:rPr>
        <w:t>报</w:t>
      </w:r>
      <w:bookmarkEnd w:id="43"/>
      <w:bookmarkEnd w:id="44"/>
    </w:p>
    <w:p>
      <w:pPr>
        <w:jc w:val="center"/>
        <w:rPr>
          <w:color w:val="auto"/>
          <w:sz w:val="84"/>
          <w:szCs w:val="84"/>
          <w:highlight w:val="none"/>
        </w:rPr>
      </w:pPr>
      <w:bookmarkStart w:id="45" w:name="_Toc10910_WPSOffice_Level1"/>
      <w:bookmarkStart w:id="46" w:name="_Toc7485_WPSOffice_Level1"/>
      <w:r>
        <w:rPr>
          <w:rFonts w:hint="eastAsia"/>
          <w:color w:val="auto"/>
          <w:sz w:val="84"/>
          <w:szCs w:val="84"/>
          <w:highlight w:val="none"/>
        </w:rPr>
        <w:t>价</w:t>
      </w:r>
      <w:bookmarkEnd w:id="45"/>
      <w:bookmarkEnd w:id="46"/>
    </w:p>
    <w:p>
      <w:pPr>
        <w:jc w:val="center"/>
        <w:rPr>
          <w:color w:val="auto"/>
          <w:sz w:val="84"/>
          <w:szCs w:val="84"/>
          <w:highlight w:val="none"/>
        </w:rPr>
      </w:pPr>
      <w:bookmarkStart w:id="47" w:name="_Toc3932_WPSOffice_Level1"/>
      <w:bookmarkStart w:id="48" w:name="_Toc14572_WPSOffice_Level1"/>
      <w:r>
        <w:rPr>
          <w:rFonts w:hint="eastAsia"/>
          <w:color w:val="auto"/>
          <w:sz w:val="84"/>
          <w:szCs w:val="84"/>
          <w:highlight w:val="none"/>
        </w:rPr>
        <w:t>文</w:t>
      </w:r>
      <w:bookmarkEnd w:id="47"/>
      <w:bookmarkEnd w:id="48"/>
    </w:p>
    <w:p>
      <w:pPr>
        <w:jc w:val="center"/>
        <w:rPr>
          <w:color w:val="auto"/>
          <w:sz w:val="84"/>
          <w:szCs w:val="84"/>
          <w:highlight w:val="none"/>
        </w:rPr>
      </w:pPr>
      <w:bookmarkStart w:id="49" w:name="_Toc16973_WPSOffice_Level1"/>
      <w:bookmarkStart w:id="50" w:name="_Toc7562_WPSOffice_Level1"/>
      <w:r>
        <w:rPr>
          <w:rFonts w:hint="eastAsia"/>
          <w:color w:val="auto"/>
          <w:sz w:val="84"/>
          <w:szCs w:val="84"/>
          <w:highlight w:val="none"/>
        </w:rPr>
        <w:t>件</w:t>
      </w:r>
      <w:bookmarkEnd w:id="49"/>
      <w:bookmarkEnd w:id="50"/>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bookmarkStart w:id="51" w:name="_Toc4603_WPSOffice_Level1"/>
      <w:bookmarkStart w:id="52" w:name="_Toc26700_WPSOffice_Level1"/>
      <w:r>
        <w:rPr>
          <w:rFonts w:hint="eastAsia" w:ascii="宋体" w:hAnsi="宋体"/>
          <w:color w:val="auto"/>
          <w:sz w:val="36"/>
          <w:szCs w:val="36"/>
          <w:highlight w:val="none"/>
        </w:rPr>
        <w:t>供应商全称（公章）：</w:t>
      </w:r>
      <w:bookmarkEnd w:id="51"/>
      <w:bookmarkEnd w:id="52"/>
    </w:p>
    <w:p>
      <w:pPr>
        <w:spacing w:line="360" w:lineRule="auto"/>
        <w:ind w:right="-108" w:firstLine="720" w:firstLineChars="200"/>
        <w:rPr>
          <w:rFonts w:ascii="宋体" w:hAnsi="宋体"/>
          <w:color w:val="auto"/>
          <w:sz w:val="36"/>
          <w:szCs w:val="36"/>
          <w:highlight w:val="none"/>
        </w:rPr>
      </w:pPr>
      <w:bookmarkStart w:id="53" w:name="_Toc32593_WPSOffice_Level1"/>
      <w:bookmarkStart w:id="54" w:name="_Toc1391_WPSOffice_Level1"/>
      <w:r>
        <w:rPr>
          <w:rFonts w:hint="eastAsia" w:ascii="宋体" w:hAnsi="宋体"/>
          <w:color w:val="auto"/>
          <w:sz w:val="36"/>
          <w:szCs w:val="36"/>
          <w:highlight w:val="none"/>
        </w:rPr>
        <w:t>地    址：</w:t>
      </w:r>
      <w:bookmarkEnd w:id="53"/>
      <w:bookmarkEnd w:id="54"/>
    </w:p>
    <w:p>
      <w:pPr>
        <w:spacing w:line="360" w:lineRule="auto"/>
        <w:ind w:right="-108" w:firstLine="720" w:firstLineChars="200"/>
        <w:rPr>
          <w:rFonts w:ascii="宋体" w:hAnsi="宋体"/>
          <w:color w:val="auto"/>
          <w:sz w:val="36"/>
          <w:szCs w:val="36"/>
          <w:highlight w:val="none"/>
        </w:rPr>
      </w:pPr>
      <w:bookmarkStart w:id="55" w:name="_Toc20938_WPSOffice_Level1"/>
      <w:bookmarkStart w:id="56" w:name="_Toc3791_WPSOffice_Level1"/>
      <w:r>
        <w:rPr>
          <w:rFonts w:hint="eastAsia" w:ascii="宋体" w:hAnsi="宋体"/>
          <w:color w:val="auto"/>
          <w:sz w:val="36"/>
          <w:szCs w:val="36"/>
          <w:highlight w:val="none"/>
        </w:rPr>
        <w:t>时    间：</w:t>
      </w:r>
      <w:bookmarkEnd w:id="55"/>
      <w:bookmarkEnd w:id="56"/>
    </w:p>
    <w:p>
      <w:pPr>
        <w:spacing w:line="360" w:lineRule="auto"/>
        <w:ind w:right="-108"/>
        <w:jc w:val="center"/>
        <w:rPr>
          <w:rFonts w:ascii="仿宋_GB2312" w:hAnsi="宋体" w:eastAsia="仿宋_GB2312"/>
          <w:b/>
          <w:color w:val="auto"/>
          <w:sz w:val="36"/>
          <w:szCs w:val="36"/>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8"/>
        <w:rPr>
          <w:rFonts w:ascii="仿宋_GB2312" w:hAnsi="宋体" w:eastAsia="仿宋_GB2312"/>
          <w:b/>
          <w:color w:val="auto"/>
          <w:sz w:val="36"/>
          <w:szCs w:val="36"/>
          <w:highlight w:val="none"/>
        </w:rPr>
      </w:pPr>
    </w:p>
    <w:p>
      <w:pPr>
        <w:spacing w:line="480" w:lineRule="auto"/>
        <w:jc w:val="center"/>
        <w:rPr>
          <w:rFonts w:ascii="宋体" w:hAnsi="宋体"/>
          <w:b/>
          <w:bCs/>
          <w:color w:val="auto"/>
          <w:sz w:val="36"/>
          <w:szCs w:val="36"/>
          <w:highlight w:val="none"/>
        </w:rPr>
      </w:pPr>
      <w:bookmarkStart w:id="57" w:name="_Toc29537_WPSOffice_Level1"/>
      <w:bookmarkStart w:id="58" w:name="_Toc19972_WPSOffice_Level1"/>
      <w:r>
        <w:rPr>
          <w:rFonts w:hint="eastAsia" w:ascii="宋体" w:hAnsi="宋体"/>
          <w:b/>
          <w:bCs/>
          <w:color w:val="auto"/>
          <w:sz w:val="36"/>
          <w:szCs w:val="36"/>
          <w:highlight w:val="none"/>
        </w:rPr>
        <w:t>报价文件目录</w:t>
      </w:r>
      <w:bookmarkEnd w:id="57"/>
      <w:bookmarkEnd w:id="58"/>
    </w:p>
    <w:p>
      <w:pPr>
        <w:pStyle w:val="24"/>
        <w:rPr>
          <w:color w:val="auto"/>
          <w:highlight w:val="none"/>
        </w:rPr>
      </w:pPr>
    </w:p>
    <w:p>
      <w:pPr>
        <w:rPr>
          <w:rFonts w:asciiTheme="minorEastAsia" w:hAnsiTheme="minorEastAsia" w:eastAsiaTheme="minorEastAsia" w:cstheme="minorEastAsia"/>
          <w:color w:val="auto"/>
          <w:sz w:val="28"/>
          <w:szCs w:val="28"/>
          <w:highlight w:val="none"/>
        </w:rPr>
      </w:pPr>
    </w:p>
    <w:p>
      <w:pPr>
        <w:spacing w:line="360" w:lineRule="auto"/>
        <w:rPr>
          <w:rFonts w:asciiTheme="minorEastAsia" w:hAnsiTheme="minorEastAsia" w:eastAsiaTheme="minorEastAsia" w:cstheme="minorEastAsia"/>
          <w:color w:val="auto"/>
          <w:sz w:val="28"/>
          <w:szCs w:val="28"/>
          <w:highlight w:val="none"/>
        </w:rPr>
      </w:pPr>
      <w:bookmarkStart w:id="59" w:name="_Toc29988_WPSOffice_Level1"/>
      <w:bookmarkStart w:id="60" w:name="_Toc6778_WPSOffice_Level1"/>
      <w:r>
        <w:rPr>
          <w:rFonts w:hint="eastAsia" w:asciiTheme="minorEastAsia" w:hAnsiTheme="minorEastAsia" w:eastAsiaTheme="minorEastAsia" w:cstheme="minorEastAsia"/>
          <w:color w:val="auto"/>
          <w:sz w:val="28"/>
          <w:szCs w:val="28"/>
          <w:highlight w:val="none"/>
        </w:rPr>
        <w:t>1.</w:t>
      </w:r>
      <w:bookmarkEnd w:id="59"/>
      <w:bookmarkEnd w:id="60"/>
      <w:r>
        <w:rPr>
          <w:rFonts w:hint="eastAsia" w:asciiTheme="minorEastAsia" w:hAnsiTheme="minorEastAsia" w:eastAsiaTheme="minorEastAsia" w:cstheme="minorEastAsia"/>
          <w:color w:val="auto"/>
          <w:sz w:val="28"/>
          <w:szCs w:val="28"/>
          <w:highlight w:val="none"/>
        </w:rPr>
        <w:t>开标一览表（附件</w:t>
      </w:r>
      <w:r>
        <w:rPr>
          <w:rFonts w:hint="eastAsia" w:asciiTheme="minorEastAsia" w:hAnsiTheme="minorEastAsia" w:eastAsiaTheme="minorEastAsia" w:cstheme="minorEastAsia"/>
          <w:color w:val="auto"/>
          <w:sz w:val="28"/>
          <w:szCs w:val="28"/>
          <w:highlight w:val="none"/>
          <w:lang w:val="en-US" w:eastAsia="zh-CN"/>
        </w:rPr>
        <w:t>12</w:t>
      </w:r>
      <w:r>
        <w:rPr>
          <w:rFonts w:hint="eastAsia" w:asciiTheme="minorEastAsia" w:hAnsiTheme="minorEastAsia" w:eastAsiaTheme="minorEastAsia" w:cstheme="minorEastAsia"/>
          <w:color w:val="auto"/>
          <w:sz w:val="28"/>
          <w:szCs w:val="28"/>
          <w:highlight w:val="none"/>
        </w:rPr>
        <w:t>）</w:t>
      </w:r>
    </w:p>
    <w:p>
      <w:pPr>
        <w:spacing w:line="360" w:lineRule="auto"/>
        <w:rPr>
          <w:rFonts w:asciiTheme="minorEastAsia" w:hAnsiTheme="minorEastAsia" w:eastAsiaTheme="minorEastAsia" w:cstheme="minorEastAsia"/>
          <w:color w:val="auto"/>
          <w:sz w:val="28"/>
          <w:szCs w:val="28"/>
          <w:highlight w:val="none"/>
        </w:rPr>
      </w:pPr>
      <w:bookmarkStart w:id="61" w:name="_Toc11601_WPSOffice_Level1"/>
      <w:bookmarkStart w:id="62" w:name="_Toc15601_WPSOffice_Level1"/>
      <w:r>
        <w:rPr>
          <w:rFonts w:hint="eastAsia" w:asciiTheme="minorEastAsia" w:hAnsiTheme="minorEastAsia" w:eastAsiaTheme="minorEastAsia" w:cstheme="minorEastAsia"/>
          <w:color w:val="auto"/>
          <w:sz w:val="28"/>
          <w:szCs w:val="28"/>
          <w:highlight w:val="none"/>
        </w:rPr>
        <w:t>2.报价明细表（附件1</w:t>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w:t>
      </w:r>
      <w:bookmarkEnd w:id="61"/>
      <w:bookmarkEnd w:id="62"/>
    </w:p>
    <w:p>
      <w:pPr>
        <w:spacing w:line="360" w:lineRule="auto"/>
        <w:rPr>
          <w:rFonts w:asciiTheme="minorEastAsia" w:hAnsiTheme="minorEastAsia" w:eastAsiaTheme="minorEastAsia" w:cstheme="minorEastAsia"/>
          <w:color w:val="auto"/>
          <w:sz w:val="28"/>
          <w:szCs w:val="28"/>
          <w:highlight w:val="none"/>
        </w:rPr>
      </w:pPr>
      <w:bookmarkStart w:id="63" w:name="_Toc14672_WPSOffice_Level1"/>
      <w:bookmarkStart w:id="64" w:name="_Toc3001_WPSOffice_Level1"/>
      <w:r>
        <w:rPr>
          <w:rFonts w:hint="eastAsia" w:asciiTheme="minorEastAsia" w:hAnsiTheme="minorEastAsia" w:eastAsiaTheme="minorEastAsia" w:cstheme="minorEastAsia"/>
          <w:color w:val="auto"/>
          <w:sz w:val="28"/>
          <w:szCs w:val="28"/>
          <w:highlight w:val="none"/>
        </w:rPr>
        <w:t>3.针对报价供应商认为其他需要说明的</w:t>
      </w:r>
      <w:bookmarkEnd w:id="63"/>
      <w:bookmarkEnd w:id="64"/>
    </w:p>
    <w:p>
      <w:pPr>
        <w:spacing w:line="360" w:lineRule="auto"/>
        <w:ind w:firstLine="480" w:firstLineChars="200"/>
        <w:rPr>
          <w:color w:val="auto"/>
          <w:sz w:val="24"/>
          <w:highlight w:val="none"/>
        </w:rPr>
      </w:pPr>
    </w:p>
    <w:p>
      <w:pPr>
        <w:spacing w:line="360" w:lineRule="auto"/>
        <w:ind w:firstLine="482" w:firstLineChars="200"/>
        <w:rPr>
          <w:rFonts w:ascii="宋体" w:hAnsi="宋体"/>
          <w:b/>
          <w:color w:val="auto"/>
          <w:sz w:val="24"/>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2</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 xml:space="preserve">开标一览表 </w:t>
      </w:r>
    </w:p>
    <w:p>
      <w:pPr>
        <w:spacing w:line="360" w:lineRule="auto"/>
        <w:ind w:left="-2" w:hanging="2"/>
        <w:jc w:val="center"/>
        <w:rPr>
          <w:rFonts w:ascii="宋体" w:hAnsi="宋体"/>
          <w:b/>
          <w:color w:val="auto"/>
          <w:sz w:val="32"/>
          <w:szCs w:val="32"/>
          <w:highlight w:val="none"/>
        </w:rPr>
      </w:pPr>
    </w:p>
    <w:p>
      <w:pPr>
        <w:pStyle w:val="15"/>
        <w:spacing w:line="320" w:lineRule="exact"/>
        <w:rPr>
          <w:rFonts w:hAnsi="宋体"/>
          <w:b/>
          <w:color w:val="auto"/>
          <w:sz w:val="24"/>
          <w:highlight w:val="none"/>
        </w:rPr>
      </w:pPr>
      <w:r>
        <w:rPr>
          <w:rFonts w:hAnsi="宋体"/>
          <w:b/>
          <w:color w:val="auto"/>
          <w:sz w:val="24"/>
          <w:highlight w:val="none"/>
        </w:rPr>
        <w:t>项目编号：</w:t>
      </w:r>
    </w:p>
    <w:p>
      <w:pPr>
        <w:pStyle w:val="44"/>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5"/>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0"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r>
              <w:rPr>
                <w:rFonts w:hint="eastAsia" w:ascii="宋体" w:hAnsi="宋体"/>
                <w:color w:val="auto"/>
                <w:sz w:val="24"/>
                <w:highlight w:val="none"/>
                <w:lang w:val="en-US" w:eastAsia="zh-CN"/>
              </w:rPr>
              <w:t>/年</w:t>
            </w:r>
            <w:r>
              <w:rPr>
                <w:rFonts w:hint="eastAsia" w:ascii="宋体" w:hAnsi="宋体"/>
                <w:color w:val="auto"/>
                <w:sz w:val="24"/>
                <w:highlight w:val="none"/>
              </w:rPr>
              <w:t>)</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0"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0" w:hRule="atLeast"/>
          <w:jc w:val="center"/>
        </w:trPr>
        <w:tc>
          <w:tcPr>
            <w:tcW w:w="2694" w:type="dxa"/>
            <w:vMerge w:val="restart"/>
            <w:tcBorders>
              <w:top w:val="single" w:color="auto" w:sz="12" w:space="0"/>
              <w:left w:val="single" w:color="auto" w:sz="12" w:space="0"/>
              <w:bottom w:val="single" w:color="auto" w:sz="12"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投标单价（元/吨）</w:t>
            </w: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bl>
    <w:p>
      <w:pPr>
        <w:pStyle w:val="16"/>
        <w:spacing w:line="360" w:lineRule="auto"/>
        <w:ind w:left="5250"/>
        <w:jc w:val="right"/>
        <w:rPr>
          <w:rFonts w:ascii="宋体" w:hAnsi="宋体" w:eastAsia="宋体" w:cs="宋体"/>
          <w:color w:val="auto"/>
          <w:sz w:val="24"/>
          <w:szCs w:val="24"/>
          <w:highlight w:val="none"/>
        </w:rPr>
      </w:pPr>
    </w:p>
    <w:p>
      <w:pPr>
        <w:spacing w:line="360" w:lineRule="auto"/>
        <w:rPr>
          <w:rFonts w:ascii="宋体" w:hAnsi="宋体"/>
          <w:color w:val="auto"/>
          <w:sz w:val="24"/>
          <w:highlight w:val="none"/>
        </w:rPr>
      </w:pPr>
      <w:r>
        <w:rPr>
          <w:rFonts w:hint="eastAsia" w:ascii="宋体" w:hAnsi="宋体"/>
          <w:b/>
          <w:color w:val="auto"/>
          <w:szCs w:val="21"/>
          <w:highlight w:val="none"/>
        </w:rPr>
        <w:t>填报要求：</w:t>
      </w:r>
    </w:p>
    <w:p>
      <w:pPr>
        <w:pStyle w:val="8"/>
        <w:numPr>
          <w:ilvl w:val="0"/>
          <w:numId w:val="31"/>
        </w:numPr>
        <w:spacing w:line="360" w:lineRule="auto"/>
        <w:ind w:firstLineChars="200"/>
        <w:rPr>
          <w:rFonts w:hint="eastAsia" w:ascii="宋体" w:hAnsi="宋体"/>
          <w:color w:val="auto"/>
          <w:kern w:val="0"/>
          <w:szCs w:val="21"/>
          <w:highlight w:val="none"/>
          <w:lang w:eastAsia="zh-CN"/>
        </w:rPr>
      </w:pPr>
      <w:r>
        <w:rPr>
          <w:rFonts w:hint="eastAsia" w:ascii="宋体" w:hAnsi="宋体"/>
          <w:color w:val="auto"/>
          <w:kern w:val="0"/>
          <w:szCs w:val="21"/>
          <w:highlight w:val="none"/>
        </w:rPr>
        <w:t>投标报价包括本项目采购需求和投入使用的所有费用，应包括处理站内管理人员和运行人员的人工成本费包括保险费、培训教育费、用餐费等；处理站内日常运营管理费，水电费用，处理药剂费，化验费，设备日常维护保养，膜、易耗件更换（不含设备大修、重置）等费用，污泥处理费（要求将污泥脱水至含水率80%后，运至三门县城市污水处理厂深度脱水至含水率≤60%，然后外运并焚烧处置）保险费用；除臭系统运营费</w:t>
      </w:r>
      <w:r>
        <w:rPr>
          <w:rFonts w:hint="eastAsia" w:ascii="宋体" w:hAnsi="宋体"/>
          <w:color w:val="auto"/>
          <w:kern w:val="0"/>
          <w:szCs w:val="21"/>
          <w:highlight w:val="none"/>
          <w:lang w:eastAsia="zh-CN"/>
        </w:rPr>
        <w:t>（</w:t>
      </w:r>
      <w:r>
        <w:rPr>
          <w:rFonts w:hint="eastAsia"/>
          <w:color w:val="auto"/>
          <w:highlight w:val="none"/>
        </w:rPr>
        <w:t>包含调节池、脱泥间的除臭费用</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营业税金；合理利润等一切费</w:t>
      </w:r>
      <w:r>
        <w:rPr>
          <w:rFonts w:hint="eastAsia" w:ascii="宋体" w:hAnsi="宋体"/>
          <w:color w:val="auto"/>
          <w:kern w:val="0"/>
          <w:szCs w:val="21"/>
          <w:highlight w:val="none"/>
          <w:lang w:eastAsia="zh-CN"/>
        </w:rPr>
        <w:t>用。</w:t>
      </w:r>
    </w:p>
    <w:p>
      <w:pPr>
        <w:pStyle w:val="8"/>
        <w:numPr>
          <w:ilvl w:val="0"/>
          <w:numId w:val="31"/>
        </w:numPr>
        <w:spacing w:line="360" w:lineRule="auto"/>
        <w:ind w:firstLineChars="200"/>
        <w:rPr>
          <w:rFonts w:hint="eastAsia" w:ascii="宋体" w:hAnsi="宋体"/>
          <w:color w:val="auto"/>
          <w:kern w:val="0"/>
          <w:szCs w:val="21"/>
          <w:highlight w:val="none"/>
          <w:lang w:eastAsia="zh-CN"/>
        </w:rPr>
      </w:pPr>
      <w:r>
        <w:rPr>
          <w:rFonts w:hint="eastAsia" w:ascii="宋体" w:hAnsi="宋体"/>
          <w:color w:val="auto"/>
          <w:kern w:val="0"/>
          <w:szCs w:val="21"/>
          <w:highlight w:val="none"/>
          <w:lang w:eastAsia="zh-CN"/>
        </w:rPr>
        <w:t>投标单价=投标总报价/基本水量/365（天）所得。</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供应商名称（盖章）：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供应商代表签字或盖章：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rPr>
          <w:rFonts w:hint="eastAsia" w:ascii="宋体" w:hAnsi="宋体"/>
          <w:b/>
          <w:color w:val="auto"/>
          <w:sz w:val="28"/>
          <w:highlight w:val="none"/>
        </w:rPr>
      </w:pPr>
      <w:bookmarkStart w:id="65" w:name="_Toc3563"/>
      <w:bookmarkStart w:id="66" w:name="_Toc19297"/>
      <w:r>
        <w:rPr>
          <w:rFonts w:hint="eastAsia" w:ascii="宋体" w:hAnsi="宋体"/>
          <w:b/>
          <w:color w:val="auto"/>
          <w:sz w:val="28"/>
          <w:highlight w:val="none"/>
        </w:rPr>
        <w:br w:type="page"/>
      </w:r>
    </w:p>
    <w:p>
      <w:pPr>
        <w:spacing w:line="360" w:lineRule="auto"/>
        <w:outlineLvl w:val="0"/>
        <w:rPr>
          <w:rFonts w:hint="eastAsia" w:ascii="宋体" w:hAnsi="宋体" w:eastAsia="宋体"/>
          <w:b/>
          <w:color w:val="auto"/>
          <w:sz w:val="28"/>
          <w:highlight w:val="none"/>
          <w:lang w:eastAsia="zh-CN"/>
        </w:rPr>
      </w:pPr>
      <w:r>
        <w:rPr>
          <w:rFonts w:hint="eastAsia" w:ascii="宋体" w:hAnsi="宋体"/>
          <w:b/>
          <w:color w:val="auto"/>
          <w:sz w:val="28"/>
          <w:highlight w:val="none"/>
        </w:rPr>
        <w:t>附件1</w:t>
      </w:r>
      <w:bookmarkEnd w:id="65"/>
      <w:bookmarkEnd w:id="66"/>
      <w:r>
        <w:rPr>
          <w:rFonts w:hint="eastAsia" w:ascii="宋体" w:hAnsi="宋体"/>
          <w:b/>
          <w:color w:val="auto"/>
          <w:sz w:val="28"/>
          <w:highlight w:val="none"/>
          <w:lang w:val="en-US" w:eastAsia="zh-CN"/>
        </w:rPr>
        <w:t>3</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报价明细表</w:t>
      </w:r>
    </w:p>
    <w:p>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项目名称：</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项目编号：                                    [货币单位：人民币元]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3035"/>
        <w:gridCol w:w="890"/>
        <w:gridCol w:w="720"/>
        <w:gridCol w:w="1440"/>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5" w:type="dxa"/>
            <w:vAlign w:val="center"/>
          </w:tcPr>
          <w:p>
            <w:pPr>
              <w:adjustRightInd w:val="0"/>
              <w:snapToGrid w:val="0"/>
              <w:spacing w:line="360" w:lineRule="auto"/>
              <w:jc w:val="center"/>
              <w:rPr>
                <w:rFonts w:ascii="宋体" w:hAnsi="宋体" w:cs="仿宋"/>
                <w:color w:val="auto"/>
                <w:kern w:val="0"/>
                <w:sz w:val="24"/>
                <w:highlight w:val="none"/>
              </w:rPr>
            </w:pPr>
          </w:p>
        </w:tc>
        <w:tc>
          <w:tcPr>
            <w:tcW w:w="3035" w:type="dxa"/>
            <w:vAlign w:val="center"/>
          </w:tcPr>
          <w:p>
            <w:pPr>
              <w:adjustRightInd w:val="0"/>
              <w:snapToGrid w:val="0"/>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构成服务费名称</w:t>
            </w:r>
          </w:p>
        </w:tc>
        <w:tc>
          <w:tcPr>
            <w:tcW w:w="890" w:type="dxa"/>
            <w:vAlign w:val="center"/>
          </w:tcPr>
          <w:p>
            <w:pPr>
              <w:adjustRightInd w:val="0"/>
              <w:snapToGrid w:val="0"/>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数量</w:t>
            </w:r>
          </w:p>
        </w:tc>
        <w:tc>
          <w:tcPr>
            <w:tcW w:w="720" w:type="dxa"/>
            <w:vAlign w:val="center"/>
          </w:tcPr>
          <w:p>
            <w:pPr>
              <w:adjustRightInd w:val="0"/>
              <w:snapToGrid w:val="0"/>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单位</w:t>
            </w: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单价</w:t>
            </w: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1</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电费</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2</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自来水费</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3</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药剂费</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4</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人工费</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5</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膜更换费</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6</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设施维护保养费</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7</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污泥运输处置费</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hint="eastAsia" w:ascii="宋体" w:hAnsi="宋体" w:eastAsia="宋体" w:cs="仿宋"/>
                <w:color w:val="auto"/>
                <w:kern w:val="0"/>
                <w:sz w:val="24"/>
                <w:highlight w:val="none"/>
                <w:lang w:val="en-US" w:eastAsia="zh-CN"/>
              </w:rPr>
            </w:pPr>
            <w:r>
              <w:rPr>
                <w:rFonts w:hint="eastAsia" w:ascii="宋体" w:hAnsi="宋体" w:cs="仿宋"/>
                <w:color w:val="auto"/>
                <w:kern w:val="0"/>
                <w:sz w:val="24"/>
                <w:highlight w:val="none"/>
                <w:lang w:val="en-US" w:eastAsia="zh-CN"/>
              </w:rPr>
              <w:t>8</w:t>
            </w:r>
          </w:p>
        </w:tc>
        <w:tc>
          <w:tcPr>
            <w:tcW w:w="3035" w:type="dxa"/>
            <w:vAlign w:val="center"/>
          </w:tcPr>
          <w:p>
            <w:pPr>
              <w:adjustRightInd w:val="0"/>
              <w:snapToGrid w:val="0"/>
              <w:spacing w:line="360" w:lineRule="auto"/>
              <w:ind w:firstLine="480" w:firstLineChars="200"/>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除臭系统运营费</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hint="eastAsia" w:ascii="宋体" w:hAnsi="宋体" w:eastAsia="宋体" w:cs="仿宋"/>
                <w:color w:val="auto"/>
                <w:kern w:val="0"/>
                <w:sz w:val="24"/>
                <w:highlight w:val="none"/>
                <w:lang w:val="en-US" w:eastAsia="zh-CN"/>
              </w:rPr>
            </w:pPr>
            <w:r>
              <w:rPr>
                <w:rFonts w:hint="eastAsia" w:ascii="宋体" w:hAnsi="宋体" w:cs="仿宋"/>
                <w:color w:val="auto"/>
                <w:kern w:val="0"/>
                <w:sz w:val="24"/>
                <w:highlight w:val="none"/>
                <w:lang w:val="en-US" w:eastAsia="zh-CN"/>
              </w:rPr>
              <w:t>9</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其他费用</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hint="default" w:ascii="宋体" w:hAnsi="宋体" w:eastAsia="宋体" w:cs="仿宋"/>
                <w:color w:val="auto"/>
                <w:kern w:val="0"/>
                <w:sz w:val="24"/>
                <w:highlight w:val="none"/>
                <w:lang w:val="en-US" w:eastAsia="zh-CN"/>
              </w:rPr>
            </w:pPr>
            <w:r>
              <w:rPr>
                <w:rFonts w:hint="eastAsia" w:ascii="宋体" w:hAnsi="宋体" w:cs="仿宋"/>
                <w:color w:val="auto"/>
                <w:kern w:val="0"/>
                <w:sz w:val="24"/>
                <w:highlight w:val="none"/>
                <w:lang w:val="en-US" w:eastAsia="zh-CN"/>
              </w:rPr>
              <w:t>10</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管理费、税费、利润等</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hint="default" w:ascii="宋体" w:hAnsi="宋体" w:eastAsia="宋体" w:cs="仿宋"/>
                <w:color w:val="auto"/>
                <w:kern w:val="0"/>
                <w:sz w:val="24"/>
                <w:highlight w:val="none"/>
                <w:lang w:val="en-US" w:eastAsia="zh-CN"/>
              </w:rPr>
            </w:pPr>
            <w:r>
              <w:rPr>
                <w:rFonts w:hint="eastAsia" w:ascii="宋体" w:hAnsi="宋体" w:cs="仿宋"/>
                <w:color w:val="auto"/>
                <w:kern w:val="0"/>
                <w:sz w:val="24"/>
                <w:highlight w:val="none"/>
                <w:lang w:val="en-US" w:eastAsia="zh-CN"/>
              </w:rPr>
              <w:t>...</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4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合计</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bl>
    <w:p>
      <w:pPr>
        <w:pStyle w:val="24"/>
        <w:ind w:left="0" w:leftChars="0" w:firstLine="0" w:firstLineChars="0"/>
        <w:rPr>
          <w:color w:val="auto"/>
          <w:highlight w:val="none"/>
        </w:rPr>
      </w:pPr>
      <w:r>
        <w:rPr>
          <w:rFonts w:hint="eastAsia"/>
          <w:color w:val="auto"/>
          <w:highlight w:val="none"/>
        </w:rPr>
        <w:t>备注：包括但不限于以上明细，其中除臭系统运营费包含调节池、脱泥间的除臭费用。</w:t>
      </w:r>
    </w:p>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pPr>
        <w:spacing w:line="360" w:lineRule="auto"/>
        <w:ind w:left="435"/>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pPr>
        <w:spacing w:line="336" w:lineRule="auto"/>
        <w:ind w:left="420"/>
        <w:rPr>
          <w:rFonts w:ascii="宋体" w:hAnsi="宋体"/>
          <w:color w:val="auto"/>
          <w:sz w:val="24"/>
          <w:highlight w:val="none"/>
          <w:u w:val="single"/>
        </w:rPr>
      </w:pPr>
      <w:r>
        <w:rPr>
          <w:rFonts w:hint="eastAsia" w:ascii="宋体" w:hAnsi="宋体"/>
          <w:color w:val="auto"/>
          <w:sz w:val="24"/>
          <w:highlight w:val="none"/>
        </w:rPr>
        <w:t>供应商名称（盖章）：</w:t>
      </w:r>
    </w:p>
    <w:p>
      <w:pPr>
        <w:spacing w:line="336" w:lineRule="auto"/>
        <w:ind w:left="420"/>
        <w:rPr>
          <w:rFonts w:ascii="宋体" w:hAnsi="宋体"/>
          <w:color w:val="auto"/>
          <w:sz w:val="24"/>
          <w:highlight w:val="none"/>
        </w:rPr>
      </w:pPr>
    </w:p>
    <w:p>
      <w:pPr>
        <w:spacing w:line="336" w:lineRule="auto"/>
        <w:ind w:firstLine="435"/>
        <w:rPr>
          <w:rFonts w:ascii="宋体" w:hAnsi="宋体"/>
          <w:color w:val="auto"/>
          <w:sz w:val="24"/>
          <w:highlight w:val="none"/>
        </w:rPr>
      </w:pPr>
      <w:r>
        <w:rPr>
          <w:rFonts w:hint="eastAsia" w:ascii="宋体" w:hAnsi="宋体"/>
          <w:color w:val="auto"/>
          <w:sz w:val="24"/>
          <w:highlight w:val="none"/>
        </w:rPr>
        <w:t>供应商代表签字或盖章：</w:t>
      </w:r>
    </w:p>
    <w:p>
      <w:pPr>
        <w:spacing w:line="336" w:lineRule="auto"/>
        <w:ind w:firstLine="435"/>
        <w:rPr>
          <w:rFonts w:ascii="宋体" w:hAnsi="宋体"/>
          <w:color w:val="auto"/>
          <w:sz w:val="24"/>
          <w:highlight w:val="none"/>
        </w:rPr>
      </w:pPr>
    </w:p>
    <w:p>
      <w:pPr>
        <w:spacing w:line="336" w:lineRule="auto"/>
        <w:ind w:firstLine="435"/>
        <w:rPr>
          <w:rFonts w:ascii="宋体" w:hAnsi="宋体"/>
          <w:color w:val="auto"/>
          <w:sz w:val="24"/>
          <w:highlight w:val="none"/>
        </w:rPr>
      </w:pPr>
      <w:r>
        <w:rPr>
          <w:rFonts w:hint="eastAsia" w:ascii="宋体" w:hAnsi="宋体"/>
          <w:color w:val="auto"/>
          <w:sz w:val="24"/>
          <w:highlight w:val="none"/>
        </w:rPr>
        <w:t>职        务：</w:t>
      </w:r>
    </w:p>
    <w:p>
      <w:pPr>
        <w:spacing w:line="336" w:lineRule="auto"/>
        <w:ind w:firstLine="435"/>
        <w:rPr>
          <w:rFonts w:ascii="宋体" w:hAnsi="宋体"/>
          <w:color w:val="auto"/>
          <w:sz w:val="24"/>
          <w:highlight w:val="none"/>
        </w:rPr>
      </w:pPr>
    </w:p>
    <w:p>
      <w:pPr>
        <w:spacing w:line="336" w:lineRule="auto"/>
        <w:ind w:firstLine="435"/>
        <w:rPr>
          <w:color w:val="auto"/>
          <w:highlight w:val="none"/>
        </w:rPr>
      </w:pPr>
      <w:r>
        <w:rPr>
          <w:rFonts w:hint="eastAsia" w:ascii="宋体" w:hAnsi="宋体"/>
          <w:color w:val="auto"/>
          <w:sz w:val="24"/>
          <w:highlight w:val="none"/>
        </w:rPr>
        <w:t>日        期：</w:t>
      </w:r>
    </w:p>
    <w:sectPr>
      <w:headerReference r:id="rId5" w:type="default"/>
      <w:footerReference r:id="rId6" w:type="default"/>
      <w:pgSz w:w="11906" w:h="16838"/>
      <w:pgMar w:top="1531" w:right="1417" w:bottom="1531"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Simang">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源淏窪极潠极2.">
    <w:altName w:val="MingLiU-ExtB"/>
    <w:panose1 w:val="00000000000000000000"/>
    <w:charset w:val="88"/>
    <w:family w:val="swiss"/>
    <w:pitch w:val="default"/>
    <w:sig w:usb0="00000000" w:usb1="00000000" w:usb2="00000010" w:usb3="00000000" w:csb0="001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o3Zs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6N2bIAQAAmQMAAA4AAAAAAAAAAQAgAAAAHgEAAGRycy9lMm9Eb2Mu&#10;eG1sUEsFBgAAAAAGAAYAWQEAAFg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asciiTheme="minorEastAsia" w:hAnsiTheme="minorEastAsia" w:eastAsiaTheme="minorEastAsia"/>
        <w:b/>
        <w:color w:val="000000"/>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color w:val="000000" w:themeColor="text1"/>
        <w:sz w:val="10"/>
        <w:u w:val="single"/>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70D17"/>
    <w:multiLevelType w:val="singleLevel"/>
    <w:tmpl w:val="97A70D17"/>
    <w:lvl w:ilvl="0" w:tentative="0">
      <w:start w:val="1"/>
      <w:numFmt w:val="chineseCounting"/>
      <w:suff w:val="nothing"/>
      <w:lvlText w:val="（%1）"/>
      <w:lvlJc w:val="left"/>
      <w:pPr>
        <w:ind w:left="0" w:firstLine="420"/>
      </w:pPr>
      <w:rPr>
        <w:rFonts w:hint="eastAsia"/>
      </w:rPr>
    </w:lvl>
  </w:abstractNum>
  <w:abstractNum w:abstractNumId="1">
    <w:nsid w:val="C52C4CFB"/>
    <w:multiLevelType w:val="singleLevel"/>
    <w:tmpl w:val="C52C4CFB"/>
    <w:lvl w:ilvl="0" w:tentative="0">
      <w:start w:val="1"/>
      <w:numFmt w:val="decimal"/>
      <w:lvlText w:val="%1."/>
      <w:lvlJc w:val="left"/>
      <w:pPr>
        <w:ind w:left="425" w:hanging="425"/>
      </w:pPr>
      <w:rPr>
        <w:rFonts w:hint="default"/>
      </w:rPr>
    </w:lvl>
  </w:abstractNum>
  <w:abstractNum w:abstractNumId="2">
    <w:nsid w:val="CFDC9A1D"/>
    <w:multiLevelType w:val="singleLevel"/>
    <w:tmpl w:val="CFDC9A1D"/>
    <w:lvl w:ilvl="0" w:tentative="0">
      <w:start w:val="1"/>
      <w:numFmt w:val="chineseCounting"/>
      <w:suff w:val="nothing"/>
      <w:lvlText w:val="（%1）"/>
      <w:lvlJc w:val="left"/>
      <w:pPr>
        <w:ind w:left="0" w:firstLine="420"/>
      </w:pPr>
      <w:rPr>
        <w:rFonts w:hint="eastAsia"/>
      </w:rPr>
    </w:lvl>
  </w:abstractNum>
  <w:abstractNum w:abstractNumId="3">
    <w:nsid w:val="D5221D4A"/>
    <w:multiLevelType w:val="singleLevel"/>
    <w:tmpl w:val="D5221D4A"/>
    <w:lvl w:ilvl="0" w:tentative="0">
      <w:start w:val="1"/>
      <w:numFmt w:val="chineseCounting"/>
      <w:suff w:val="nothing"/>
      <w:lvlText w:val="%1、"/>
      <w:lvlJc w:val="left"/>
      <w:pPr>
        <w:ind w:left="0" w:firstLine="420"/>
      </w:pPr>
      <w:rPr>
        <w:rFonts w:hint="eastAsia"/>
      </w:rPr>
    </w:lvl>
  </w:abstractNum>
  <w:abstractNum w:abstractNumId="4">
    <w:nsid w:val="DF48CB86"/>
    <w:multiLevelType w:val="singleLevel"/>
    <w:tmpl w:val="DF48CB86"/>
    <w:lvl w:ilvl="0" w:tentative="0">
      <w:start w:val="1"/>
      <w:numFmt w:val="chineseCounting"/>
      <w:suff w:val="nothing"/>
      <w:lvlText w:val="（%1）"/>
      <w:lvlJc w:val="left"/>
      <w:rPr>
        <w:rFonts w:hint="eastAsia"/>
      </w:rPr>
    </w:lvl>
  </w:abstractNum>
  <w:abstractNum w:abstractNumId="5">
    <w:nsid w:val="E7D4FAC2"/>
    <w:multiLevelType w:val="singleLevel"/>
    <w:tmpl w:val="E7D4FAC2"/>
    <w:lvl w:ilvl="0" w:tentative="0">
      <w:start w:val="1"/>
      <w:numFmt w:val="chineseCounting"/>
      <w:suff w:val="nothing"/>
      <w:lvlText w:val="（%1）"/>
      <w:lvlJc w:val="left"/>
      <w:pPr>
        <w:ind w:left="0" w:firstLine="420"/>
      </w:pPr>
      <w:rPr>
        <w:rFonts w:hint="eastAsia"/>
      </w:rPr>
    </w:lvl>
  </w:abstractNum>
  <w:abstractNum w:abstractNumId="6">
    <w:nsid w:val="EA3F11E5"/>
    <w:multiLevelType w:val="singleLevel"/>
    <w:tmpl w:val="EA3F11E5"/>
    <w:lvl w:ilvl="0" w:tentative="0">
      <w:start w:val="1"/>
      <w:numFmt w:val="chineseCounting"/>
      <w:suff w:val="nothing"/>
      <w:lvlText w:val="（%1）"/>
      <w:lvlJc w:val="left"/>
      <w:pPr>
        <w:ind w:left="0" w:firstLine="420"/>
      </w:pPr>
      <w:rPr>
        <w:rFonts w:hint="eastAsia"/>
      </w:rPr>
    </w:lvl>
  </w:abstractNum>
  <w:abstractNum w:abstractNumId="7">
    <w:nsid w:val="EDD76BB4"/>
    <w:multiLevelType w:val="singleLevel"/>
    <w:tmpl w:val="EDD76BB4"/>
    <w:lvl w:ilvl="0" w:tentative="0">
      <w:start w:val="1"/>
      <w:numFmt w:val="chineseCounting"/>
      <w:suff w:val="nothing"/>
      <w:lvlText w:val="（%1）"/>
      <w:lvlJc w:val="left"/>
      <w:pPr>
        <w:ind w:left="0" w:firstLine="420"/>
      </w:pPr>
      <w:rPr>
        <w:rFonts w:hint="eastAsia"/>
      </w:rPr>
    </w:lvl>
  </w:abstractNum>
  <w:abstractNum w:abstractNumId="8">
    <w:nsid w:val="F28500EE"/>
    <w:multiLevelType w:val="singleLevel"/>
    <w:tmpl w:val="F28500EE"/>
    <w:lvl w:ilvl="0" w:tentative="0">
      <w:start w:val="1"/>
      <w:numFmt w:val="decimal"/>
      <w:lvlText w:val="%1."/>
      <w:lvlJc w:val="left"/>
      <w:pPr>
        <w:ind w:left="425" w:hanging="425"/>
      </w:pPr>
      <w:rPr>
        <w:rFonts w:hint="default"/>
      </w:rPr>
    </w:lvl>
  </w:abstractNum>
  <w:abstractNum w:abstractNumId="9">
    <w:nsid w:val="F8245EE4"/>
    <w:multiLevelType w:val="singleLevel"/>
    <w:tmpl w:val="F8245EE4"/>
    <w:lvl w:ilvl="0" w:tentative="0">
      <w:start w:val="3"/>
      <w:numFmt w:val="chineseCounting"/>
      <w:suff w:val="nothing"/>
      <w:lvlText w:val="%1、"/>
      <w:lvlJc w:val="left"/>
      <w:rPr>
        <w:rFonts w:hint="eastAsia"/>
      </w:rPr>
    </w:lvl>
  </w:abstractNum>
  <w:abstractNum w:abstractNumId="10">
    <w:nsid w:val="FFFFFF7F"/>
    <w:multiLevelType w:val="singleLevel"/>
    <w:tmpl w:val="FFFFFF7F"/>
    <w:lvl w:ilvl="0" w:tentative="0">
      <w:start w:val="1"/>
      <w:numFmt w:val="decimal"/>
      <w:pStyle w:val="6"/>
      <w:lvlText w:val="%1."/>
      <w:lvlJc w:val="left"/>
      <w:pPr>
        <w:tabs>
          <w:tab w:val="left" w:pos="780"/>
        </w:tabs>
        <w:ind w:left="780" w:leftChars="200" w:hanging="360" w:hangingChars="200"/>
      </w:pPr>
    </w:lvl>
  </w:abstractNum>
  <w:abstractNum w:abstractNumId="11">
    <w:nsid w:val="07149F99"/>
    <w:multiLevelType w:val="singleLevel"/>
    <w:tmpl w:val="07149F99"/>
    <w:lvl w:ilvl="0" w:tentative="0">
      <w:start w:val="1"/>
      <w:numFmt w:val="decimalEnclosedCircleChinese"/>
      <w:suff w:val="nothing"/>
      <w:lvlText w:val="%1　"/>
      <w:lvlJc w:val="left"/>
      <w:pPr>
        <w:ind w:left="0" w:firstLine="400"/>
      </w:pPr>
      <w:rPr>
        <w:rFonts w:hint="eastAsia"/>
      </w:rPr>
    </w:lvl>
  </w:abstractNum>
  <w:abstractNum w:abstractNumId="12">
    <w:nsid w:val="0AA22A27"/>
    <w:multiLevelType w:val="singleLevel"/>
    <w:tmpl w:val="0AA22A27"/>
    <w:lvl w:ilvl="0" w:tentative="0">
      <w:start w:val="1"/>
      <w:numFmt w:val="chineseCounting"/>
      <w:suff w:val="nothing"/>
      <w:lvlText w:val="（%1）"/>
      <w:lvlJc w:val="left"/>
      <w:pPr>
        <w:ind w:left="0" w:firstLine="420"/>
      </w:pPr>
      <w:rPr>
        <w:rFonts w:hint="eastAsia"/>
      </w:rPr>
    </w:lvl>
  </w:abstractNum>
  <w:abstractNum w:abstractNumId="13">
    <w:nsid w:val="0DFE0450"/>
    <w:multiLevelType w:val="singleLevel"/>
    <w:tmpl w:val="0DFE0450"/>
    <w:lvl w:ilvl="0" w:tentative="0">
      <w:start w:val="1"/>
      <w:numFmt w:val="chineseCounting"/>
      <w:suff w:val="nothing"/>
      <w:lvlText w:val="（%1）"/>
      <w:lvlJc w:val="left"/>
      <w:pPr>
        <w:ind w:left="0" w:firstLine="420"/>
      </w:pPr>
      <w:rPr>
        <w:rFonts w:hint="eastAsia"/>
      </w:rPr>
    </w:lvl>
  </w:abstractNum>
  <w:abstractNum w:abstractNumId="14">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15">
    <w:nsid w:val="13CF813E"/>
    <w:multiLevelType w:val="singleLevel"/>
    <w:tmpl w:val="13CF813E"/>
    <w:lvl w:ilvl="0" w:tentative="0">
      <w:start w:val="1"/>
      <w:numFmt w:val="decimal"/>
      <w:lvlText w:val="%1."/>
      <w:lvlJc w:val="left"/>
      <w:pPr>
        <w:ind w:left="425" w:hanging="425"/>
      </w:pPr>
      <w:rPr>
        <w:rFonts w:hint="default"/>
      </w:rPr>
    </w:lvl>
  </w:abstractNum>
  <w:abstractNum w:abstractNumId="16">
    <w:nsid w:val="1E5148BB"/>
    <w:multiLevelType w:val="singleLevel"/>
    <w:tmpl w:val="1E5148BB"/>
    <w:lvl w:ilvl="0" w:tentative="0">
      <w:start w:val="1"/>
      <w:numFmt w:val="decimal"/>
      <w:lvlText w:val="%1."/>
      <w:lvlJc w:val="left"/>
      <w:pPr>
        <w:tabs>
          <w:tab w:val="left" w:pos="312"/>
        </w:tabs>
      </w:pPr>
    </w:lvl>
  </w:abstractNum>
  <w:abstractNum w:abstractNumId="17">
    <w:nsid w:val="298A66A3"/>
    <w:multiLevelType w:val="singleLevel"/>
    <w:tmpl w:val="298A66A3"/>
    <w:lvl w:ilvl="0" w:tentative="0">
      <w:start w:val="1"/>
      <w:numFmt w:val="chineseCounting"/>
      <w:suff w:val="nothing"/>
      <w:lvlText w:val="（%1）"/>
      <w:lvlJc w:val="left"/>
      <w:pPr>
        <w:ind w:left="0" w:firstLine="420"/>
      </w:pPr>
      <w:rPr>
        <w:rFonts w:hint="eastAsia"/>
      </w:rPr>
    </w:lvl>
  </w:abstractNum>
  <w:abstractNum w:abstractNumId="18">
    <w:nsid w:val="45E926C7"/>
    <w:multiLevelType w:val="singleLevel"/>
    <w:tmpl w:val="45E926C7"/>
    <w:lvl w:ilvl="0" w:tentative="0">
      <w:start w:val="1"/>
      <w:numFmt w:val="chineseCounting"/>
      <w:suff w:val="nothing"/>
      <w:lvlText w:val="（%1）"/>
      <w:lvlJc w:val="left"/>
      <w:pPr>
        <w:ind w:left="0" w:firstLine="420"/>
      </w:pPr>
      <w:rPr>
        <w:rFonts w:hint="eastAsia"/>
      </w:rPr>
    </w:lvl>
  </w:abstractNum>
  <w:abstractNum w:abstractNumId="19">
    <w:nsid w:val="461E5E94"/>
    <w:multiLevelType w:val="singleLevel"/>
    <w:tmpl w:val="461E5E94"/>
    <w:lvl w:ilvl="0" w:tentative="0">
      <w:start w:val="2"/>
      <w:numFmt w:val="chineseCounting"/>
      <w:suff w:val="space"/>
      <w:lvlText w:val="第%1章"/>
      <w:lvlJc w:val="left"/>
      <w:rPr>
        <w:rFonts w:hint="eastAsia"/>
      </w:rPr>
    </w:lvl>
  </w:abstractNum>
  <w:abstractNum w:abstractNumId="20">
    <w:nsid w:val="48B72DE4"/>
    <w:multiLevelType w:val="singleLevel"/>
    <w:tmpl w:val="48B72DE4"/>
    <w:lvl w:ilvl="0" w:tentative="0">
      <w:start w:val="1"/>
      <w:numFmt w:val="decimal"/>
      <w:lvlText w:val="(%1)"/>
      <w:lvlJc w:val="left"/>
      <w:pPr>
        <w:ind w:left="425" w:hanging="425"/>
      </w:pPr>
      <w:rPr>
        <w:rFonts w:hint="default"/>
      </w:rPr>
    </w:lvl>
  </w:abstractNum>
  <w:abstractNum w:abstractNumId="21">
    <w:nsid w:val="5236D8E1"/>
    <w:multiLevelType w:val="singleLevel"/>
    <w:tmpl w:val="5236D8E1"/>
    <w:lvl w:ilvl="0" w:tentative="0">
      <w:start w:val="1"/>
      <w:numFmt w:val="chineseCounting"/>
      <w:suff w:val="nothing"/>
      <w:lvlText w:val="（%1）"/>
      <w:lvlJc w:val="left"/>
      <w:pPr>
        <w:ind w:left="0" w:firstLine="420"/>
      </w:pPr>
      <w:rPr>
        <w:rFonts w:hint="eastAsia"/>
      </w:rPr>
    </w:lvl>
  </w:abstractNum>
  <w:abstractNum w:abstractNumId="22">
    <w:nsid w:val="53F985B4"/>
    <w:multiLevelType w:val="singleLevel"/>
    <w:tmpl w:val="53F985B4"/>
    <w:lvl w:ilvl="0" w:tentative="0">
      <w:start w:val="1"/>
      <w:numFmt w:val="decimal"/>
      <w:lvlText w:val="%1."/>
      <w:lvlJc w:val="left"/>
      <w:pPr>
        <w:tabs>
          <w:tab w:val="left" w:pos="312"/>
        </w:tabs>
      </w:pPr>
    </w:lvl>
  </w:abstractNum>
  <w:abstractNum w:abstractNumId="23">
    <w:nsid w:val="5BE338C7"/>
    <w:multiLevelType w:val="singleLevel"/>
    <w:tmpl w:val="5BE338C7"/>
    <w:lvl w:ilvl="0" w:tentative="0">
      <w:start w:val="1"/>
      <w:numFmt w:val="decimal"/>
      <w:lvlText w:val="%1."/>
      <w:lvlJc w:val="left"/>
      <w:pPr>
        <w:ind w:left="425" w:hanging="425"/>
      </w:pPr>
      <w:rPr>
        <w:rFonts w:hint="default"/>
      </w:rPr>
    </w:lvl>
  </w:abstractNum>
  <w:abstractNum w:abstractNumId="24">
    <w:nsid w:val="625B1EA2"/>
    <w:multiLevelType w:val="singleLevel"/>
    <w:tmpl w:val="625B1EA2"/>
    <w:lvl w:ilvl="0" w:tentative="0">
      <w:start w:val="1"/>
      <w:numFmt w:val="chineseCounting"/>
      <w:suff w:val="nothing"/>
      <w:lvlText w:val="（%1）"/>
      <w:lvlJc w:val="left"/>
      <w:pPr>
        <w:ind w:left="0" w:firstLine="420"/>
      </w:pPr>
      <w:rPr>
        <w:rFonts w:hint="eastAsia"/>
      </w:rPr>
    </w:lvl>
  </w:abstractNum>
  <w:abstractNum w:abstractNumId="25">
    <w:nsid w:val="6350C14D"/>
    <w:multiLevelType w:val="singleLevel"/>
    <w:tmpl w:val="6350C14D"/>
    <w:lvl w:ilvl="0" w:tentative="0">
      <w:start w:val="1"/>
      <w:numFmt w:val="decimal"/>
      <w:lvlText w:val="%1."/>
      <w:lvlJc w:val="left"/>
      <w:pPr>
        <w:ind w:left="425" w:hanging="425"/>
      </w:pPr>
      <w:rPr>
        <w:rFonts w:hint="default"/>
      </w:rPr>
    </w:lvl>
  </w:abstractNum>
  <w:abstractNum w:abstractNumId="26">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7">
    <w:nsid w:val="64B5B11F"/>
    <w:multiLevelType w:val="singleLevel"/>
    <w:tmpl w:val="64B5B11F"/>
    <w:lvl w:ilvl="0" w:tentative="0">
      <w:start w:val="1"/>
      <w:numFmt w:val="decimal"/>
      <w:lvlText w:val="%1."/>
      <w:lvlJc w:val="left"/>
      <w:pPr>
        <w:tabs>
          <w:tab w:val="left" w:pos="312"/>
        </w:tabs>
      </w:pPr>
    </w:lvl>
  </w:abstractNum>
  <w:abstractNum w:abstractNumId="28">
    <w:nsid w:val="678CFB24"/>
    <w:multiLevelType w:val="singleLevel"/>
    <w:tmpl w:val="678CFB24"/>
    <w:lvl w:ilvl="0" w:tentative="0">
      <w:start w:val="1"/>
      <w:numFmt w:val="chineseCounting"/>
      <w:suff w:val="nothing"/>
      <w:lvlText w:val="%1、"/>
      <w:lvlJc w:val="left"/>
      <w:rPr>
        <w:rFonts w:hint="eastAsia"/>
      </w:rPr>
    </w:lvl>
  </w:abstractNum>
  <w:abstractNum w:abstractNumId="29">
    <w:nsid w:val="709A5928"/>
    <w:multiLevelType w:val="singleLevel"/>
    <w:tmpl w:val="709A5928"/>
    <w:lvl w:ilvl="0" w:tentative="0">
      <w:start w:val="1"/>
      <w:numFmt w:val="chineseCounting"/>
      <w:suff w:val="nothing"/>
      <w:lvlText w:val="（%1）"/>
      <w:lvlJc w:val="left"/>
      <w:pPr>
        <w:ind w:left="0" w:firstLine="420"/>
      </w:pPr>
      <w:rPr>
        <w:rFonts w:hint="eastAsia"/>
      </w:rPr>
    </w:lvl>
  </w:abstractNum>
  <w:abstractNum w:abstractNumId="30">
    <w:nsid w:val="74CEF347"/>
    <w:multiLevelType w:val="singleLevel"/>
    <w:tmpl w:val="74CEF347"/>
    <w:lvl w:ilvl="0" w:tentative="0">
      <w:start w:val="1"/>
      <w:numFmt w:val="chineseCounting"/>
      <w:suff w:val="nothing"/>
      <w:lvlText w:val="（%1）"/>
      <w:lvlJc w:val="left"/>
      <w:pPr>
        <w:ind w:left="0" w:firstLine="420"/>
      </w:pPr>
      <w:rPr>
        <w:rFonts w:hint="eastAsia"/>
      </w:rPr>
    </w:lvl>
  </w:abstractNum>
  <w:num w:numId="1">
    <w:abstractNumId w:val="26"/>
  </w:num>
  <w:num w:numId="2">
    <w:abstractNumId w:val="10"/>
  </w:num>
  <w:num w:numId="3">
    <w:abstractNumId w:val="14"/>
  </w:num>
  <w:num w:numId="4">
    <w:abstractNumId w:val="19"/>
  </w:num>
  <w:num w:numId="5">
    <w:abstractNumId w:val="28"/>
  </w:num>
  <w:num w:numId="6">
    <w:abstractNumId w:val="4"/>
  </w:num>
  <w:num w:numId="7">
    <w:abstractNumId w:val="20"/>
  </w:num>
  <w:num w:numId="8">
    <w:abstractNumId w:val="11"/>
  </w:num>
  <w:num w:numId="9">
    <w:abstractNumId w:val="3"/>
  </w:num>
  <w:num w:numId="10">
    <w:abstractNumId w:val="0"/>
  </w:num>
  <w:num w:numId="11">
    <w:abstractNumId w:val="12"/>
  </w:num>
  <w:num w:numId="12">
    <w:abstractNumId w:val="1"/>
  </w:num>
  <w:num w:numId="13">
    <w:abstractNumId w:val="24"/>
  </w:num>
  <w:num w:numId="14">
    <w:abstractNumId w:val="18"/>
  </w:num>
  <w:num w:numId="15">
    <w:abstractNumId w:val="30"/>
  </w:num>
  <w:num w:numId="16">
    <w:abstractNumId w:val="6"/>
  </w:num>
  <w:num w:numId="17">
    <w:abstractNumId w:val="29"/>
  </w:num>
  <w:num w:numId="18">
    <w:abstractNumId w:val="13"/>
  </w:num>
  <w:num w:numId="19">
    <w:abstractNumId w:val="17"/>
  </w:num>
  <w:num w:numId="20">
    <w:abstractNumId w:val="8"/>
  </w:num>
  <w:num w:numId="21">
    <w:abstractNumId w:val="2"/>
  </w:num>
  <w:num w:numId="22">
    <w:abstractNumId w:val="15"/>
  </w:num>
  <w:num w:numId="23">
    <w:abstractNumId w:val="21"/>
  </w:num>
  <w:num w:numId="24">
    <w:abstractNumId w:val="7"/>
  </w:num>
  <w:num w:numId="25">
    <w:abstractNumId w:val="9"/>
  </w:num>
  <w:num w:numId="26">
    <w:abstractNumId w:val="16"/>
  </w:num>
  <w:num w:numId="27">
    <w:abstractNumId w:val="5"/>
  </w:num>
  <w:num w:numId="28">
    <w:abstractNumId w:val="25"/>
  </w:num>
  <w:num w:numId="29">
    <w:abstractNumId w:val="23"/>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2E1ZDMxMjc4YzY0NDk3NjQ3N2JiODIwNmU3ODUifQ=="/>
  </w:docVars>
  <w:rsids>
    <w:rsidRoot w:val="685F2B0C"/>
    <w:rsid w:val="00000B46"/>
    <w:rsid w:val="0000224C"/>
    <w:rsid w:val="00006082"/>
    <w:rsid w:val="00006686"/>
    <w:rsid w:val="00006EDD"/>
    <w:rsid w:val="00016670"/>
    <w:rsid w:val="000273EB"/>
    <w:rsid w:val="00030D77"/>
    <w:rsid w:val="00071BA1"/>
    <w:rsid w:val="00077AF4"/>
    <w:rsid w:val="00081EE9"/>
    <w:rsid w:val="00086AFA"/>
    <w:rsid w:val="000A2B60"/>
    <w:rsid w:val="00100AE0"/>
    <w:rsid w:val="00107CC0"/>
    <w:rsid w:val="001146EF"/>
    <w:rsid w:val="001369D3"/>
    <w:rsid w:val="00141359"/>
    <w:rsid w:val="00142047"/>
    <w:rsid w:val="00154000"/>
    <w:rsid w:val="00165D26"/>
    <w:rsid w:val="00165EE9"/>
    <w:rsid w:val="00171EDE"/>
    <w:rsid w:val="00184D6C"/>
    <w:rsid w:val="00186236"/>
    <w:rsid w:val="001938D0"/>
    <w:rsid w:val="001A49B4"/>
    <w:rsid w:val="001C7870"/>
    <w:rsid w:val="001D3B38"/>
    <w:rsid w:val="001E1EE7"/>
    <w:rsid w:val="001E6ACF"/>
    <w:rsid w:val="001F0925"/>
    <w:rsid w:val="001F19BB"/>
    <w:rsid w:val="00203DE8"/>
    <w:rsid w:val="002123F5"/>
    <w:rsid w:val="00212C64"/>
    <w:rsid w:val="00227513"/>
    <w:rsid w:val="00241D35"/>
    <w:rsid w:val="00256D6B"/>
    <w:rsid w:val="00257B60"/>
    <w:rsid w:val="00263004"/>
    <w:rsid w:val="00277282"/>
    <w:rsid w:val="00291503"/>
    <w:rsid w:val="0029348D"/>
    <w:rsid w:val="002A61E9"/>
    <w:rsid w:val="002B4608"/>
    <w:rsid w:val="002D197F"/>
    <w:rsid w:val="002D3EAE"/>
    <w:rsid w:val="002E50D7"/>
    <w:rsid w:val="002F12E4"/>
    <w:rsid w:val="002F5E7D"/>
    <w:rsid w:val="00304B26"/>
    <w:rsid w:val="003051A2"/>
    <w:rsid w:val="00315916"/>
    <w:rsid w:val="0033104D"/>
    <w:rsid w:val="00347436"/>
    <w:rsid w:val="003576FC"/>
    <w:rsid w:val="0037401A"/>
    <w:rsid w:val="00391CE2"/>
    <w:rsid w:val="003941BF"/>
    <w:rsid w:val="003B567D"/>
    <w:rsid w:val="003B66F5"/>
    <w:rsid w:val="003C03CA"/>
    <w:rsid w:val="003C4ADB"/>
    <w:rsid w:val="003C72EB"/>
    <w:rsid w:val="003D2553"/>
    <w:rsid w:val="003D508B"/>
    <w:rsid w:val="003D50AF"/>
    <w:rsid w:val="004025BE"/>
    <w:rsid w:val="00410970"/>
    <w:rsid w:val="00450653"/>
    <w:rsid w:val="00457D49"/>
    <w:rsid w:val="004625EB"/>
    <w:rsid w:val="004657AE"/>
    <w:rsid w:val="00472417"/>
    <w:rsid w:val="00486684"/>
    <w:rsid w:val="004868F8"/>
    <w:rsid w:val="00486FB8"/>
    <w:rsid w:val="0049168B"/>
    <w:rsid w:val="0049548B"/>
    <w:rsid w:val="004A5A27"/>
    <w:rsid w:val="004A5C9D"/>
    <w:rsid w:val="004B4319"/>
    <w:rsid w:val="004B5F05"/>
    <w:rsid w:val="004B7429"/>
    <w:rsid w:val="004C60D5"/>
    <w:rsid w:val="004D01C6"/>
    <w:rsid w:val="004E7AF0"/>
    <w:rsid w:val="00501127"/>
    <w:rsid w:val="00540F5E"/>
    <w:rsid w:val="0054284C"/>
    <w:rsid w:val="0054546F"/>
    <w:rsid w:val="005626DE"/>
    <w:rsid w:val="00566F70"/>
    <w:rsid w:val="00597D49"/>
    <w:rsid w:val="005B1479"/>
    <w:rsid w:val="005B74B3"/>
    <w:rsid w:val="005D0DD1"/>
    <w:rsid w:val="005D5AF0"/>
    <w:rsid w:val="006259F0"/>
    <w:rsid w:val="006314DB"/>
    <w:rsid w:val="006361BF"/>
    <w:rsid w:val="00667357"/>
    <w:rsid w:val="00686FFE"/>
    <w:rsid w:val="00690B95"/>
    <w:rsid w:val="00697AE9"/>
    <w:rsid w:val="006B2530"/>
    <w:rsid w:val="006B6DC5"/>
    <w:rsid w:val="006C3266"/>
    <w:rsid w:val="006D1E24"/>
    <w:rsid w:val="006D5253"/>
    <w:rsid w:val="006D5C96"/>
    <w:rsid w:val="006E3863"/>
    <w:rsid w:val="006E67CE"/>
    <w:rsid w:val="006E7A26"/>
    <w:rsid w:val="006F472B"/>
    <w:rsid w:val="007229E3"/>
    <w:rsid w:val="00737C95"/>
    <w:rsid w:val="00747375"/>
    <w:rsid w:val="007477AD"/>
    <w:rsid w:val="007640E7"/>
    <w:rsid w:val="00766016"/>
    <w:rsid w:val="00773E3F"/>
    <w:rsid w:val="00793E83"/>
    <w:rsid w:val="00797F45"/>
    <w:rsid w:val="007A7311"/>
    <w:rsid w:val="007C7C9A"/>
    <w:rsid w:val="00812F43"/>
    <w:rsid w:val="008248FA"/>
    <w:rsid w:val="008325DA"/>
    <w:rsid w:val="00835B53"/>
    <w:rsid w:val="00852557"/>
    <w:rsid w:val="00871C4B"/>
    <w:rsid w:val="008809C6"/>
    <w:rsid w:val="00887B05"/>
    <w:rsid w:val="00887EEB"/>
    <w:rsid w:val="008A07E7"/>
    <w:rsid w:val="008D377D"/>
    <w:rsid w:val="008D4B1D"/>
    <w:rsid w:val="008D57EB"/>
    <w:rsid w:val="008E0395"/>
    <w:rsid w:val="008F34A1"/>
    <w:rsid w:val="00905DA1"/>
    <w:rsid w:val="00930339"/>
    <w:rsid w:val="0093201D"/>
    <w:rsid w:val="00941A5E"/>
    <w:rsid w:val="00956FEA"/>
    <w:rsid w:val="00970F09"/>
    <w:rsid w:val="00977C43"/>
    <w:rsid w:val="009867EF"/>
    <w:rsid w:val="00987EDA"/>
    <w:rsid w:val="0099709B"/>
    <w:rsid w:val="009C3A7F"/>
    <w:rsid w:val="009C7AB7"/>
    <w:rsid w:val="009D213B"/>
    <w:rsid w:val="009D456B"/>
    <w:rsid w:val="009D46C4"/>
    <w:rsid w:val="009D6A9E"/>
    <w:rsid w:val="009D7533"/>
    <w:rsid w:val="009D7569"/>
    <w:rsid w:val="00A02861"/>
    <w:rsid w:val="00A0770D"/>
    <w:rsid w:val="00A10B10"/>
    <w:rsid w:val="00A23A59"/>
    <w:rsid w:val="00A24A46"/>
    <w:rsid w:val="00A24B62"/>
    <w:rsid w:val="00A37EC4"/>
    <w:rsid w:val="00A532AC"/>
    <w:rsid w:val="00A80AF4"/>
    <w:rsid w:val="00A823C5"/>
    <w:rsid w:val="00A85AC9"/>
    <w:rsid w:val="00A877C8"/>
    <w:rsid w:val="00A918AA"/>
    <w:rsid w:val="00A921FD"/>
    <w:rsid w:val="00AB072A"/>
    <w:rsid w:val="00AB49B7"/>
    <w:rsid w:val="00AC06EC"/>
    <w:rsid w:val="00AC0825"/>
    <w:rsid w:val="00AC24C2"/>
    <w:rsid w:val="00AE52E2"/>
    <w:rsid w:val="00B05E1F"/>
    <w:rsid w:val="00B22786"/>
    <w:rsid w:val="00B37F89"/>
    <w:rsid w:val="00B56935"/>
    <w:rsid w:val="00B66467"/>
    <w:rsid w:val="00B87FA4"/>
    <w:rsid w:val="00B9440F"/>
    <w:rsid w:val="00B9606C"/>
    <w:rsid w:val="00B971D1"/>
    <w:rsid w:val="00BA4E58"/>
    <w:rsid w:val="00BA6965"/>
    <w:rsid w:val="00BB1233"/>
    <w:rsid w:val="00BB53D7"/>
    <w:rsid w:val="00BC228C"/>
    <w:rsid w:val="00BD58A3"/>
    <w:rsid w:val="00BE71F5"/>
    <w:rsid w:val="00BF1FCF"/>
    <w:rsid w:val="00BF41E7"/>
    <w:rsid w:val="00BF42DC"/>
    <w:rsid w:val="00BF5049"/>
    <w:rsid w:val="00C036BE"/>
    <w:rsid w:val="00C061A0"/>
    <w:rsid w:val="00C14A7F"/>
    <w:rsid w:val="00C24412"/>
    <w:rsid w:val="00C2574A"/>
    <w:rsid w:val="00C27D26"/>
    <w:rsid w:val="00C31FC3"/>
    <w:rsid w:val="00C3443C"/>
    <w:rsid w:val="00C43BCA"/>
    <w:rsid w:val="00C50B60"/>
    <w:rsid w:val="00C52A0D"/>
    <w:rsid w:val="00C53B04"/>
    <w:rsid w:val="00C54840"/>
    <w:rsid w:val="00C553B2"/>
    <w:rsid w:val="00C57C3F"/>
    <w:rsid w:val="00C66689"/>
    <w:rsid w:val="00C720CD"/>
    <w:rsid w:val="00C74D77"/>
    <w:rsid w:val="00C86F79"/>
    <w:rsid w:val="00C9361C"/>
    <w:rsid w:val="00CA2C6C"/>
    <w:rsid w:val="00CA77F1"/>
    <w:rsid w:val="00CB331D"/>
    <w:rsid w:val="00CB3592"/>
    <w:rsid w:val="00CB3C62"/>
    <w:rsid w:val="00CB66BD"/>
    <w:rsid w:val="00CC7705"/>
    <w:rsid w:val="00CD44A1"/>
    <w:rsid w:val="00CE6225"/>
    <w:rsid w:val="00D0009A"/>
    <w:rsid w:val="00D11B3A"/>
    <w:rsid w:val="00D1341A"/>
    <w:rsid w:val="00D1343B"/>
    <w:rsid w:val="00D14AD5"/>
    <w:rsid w:val="00D226DE"/>
    <w:rsid w:val="00D325EC"/>
    <w:rsid w:val="00D35E0C"/>
    <w:rsid w:val="00D40771"/>
    <w:rsid w:val="00D41191"/>
    <w:rsid w:val="00D42C71"/>
    <w:rsid w:val="00D5376D"/>
    <w:rsid w:val="00D81728"/>
    <w:rsid w:val="00D8574B"/>
    <w:rsid w:val="00D87809"/>
    <w:rsid w:val="00D92D8E"/>
    <w:rsid w:val="00DA3F5F"/>
    <w:rsid w:val="00DB1553"/>
    <w:rsid w:val="00DC007A"/>
    <w:rsid w:val="00DC6D2A"/>
    <w:rsid w:val="00DC7D1C"/>
    <w:rsid w:val="00DD19C6"/>
    <w:rsid w:val="00DE2C1C"/>
    <w:rsid w:val="00DE533B"/>
    <w:rsid w:val="00DF18DB"/>
    <w:rsid w:val="00DF5028"/>
    <w:rsid w:val="00E008C2"/>
    <w:rsid w:val="00E077A1"/>
    <w:rsid w:val="00E2468D"/>
    <w:rsid w:val="00E42018"/>
    <w:rsid w:val="00E54D03"/>
    <w:rsid w:val="00E54FC1"/>
    <w:rsid w:val="00E63FB4"/>
    <w:rsid w:val="00EA0A55"/>
    <w:rsid w:val="00ED6C4B"/>
    <w:rsid w:val="00F06929"/>
    <w:rsid w:val="00F15EF8"/>
    <w:rsid w:val="00F2626F"/>
    <w:rsid w:val="00F37BD7"/>
    <w:rsid w:val="00F61A45"/>
    <w:rsid w:val="00F87963"/>
    <w:rsid w:val="00FA4E07"/>
    <w:rsid w:val="00FB0AFE"/>
    <w:rsid w:val="00FB271D"/>
    <w:rsid w:val="00FC1E7F"/>
    <w:rsid w:val="00FD2DD7"/>
    <w:rsid w:val="00FD4327"/>
    <w:rsid w:val="00FE500F"/>
    <w:rsid w:val="00FF5372"/>
    <w:rsid w:val="00FF7A94"/>
    <w:rsid w:val="010742D5"/>
    <w:rsid w:val="010F7B98"/>
    <w:rsid w:val="01270A4D"/>
    <w:rsid w:val="01851778"/>
    <w:rsid w:val="01A729ED"/>
    <w:rsid w:val="01AE11E6"/>
    <w:rsid w:val="01B729F0"/>
    <w:rsid w:val="01E96BCD"/>
    <w:rsid w:val="01F53A09"/>
    <w:rsid w:val="0201446C"/>
    <w:rsid w:val="02222883"/>
    <w:rsid w:val="02275BA4"/>
    <w:rsid w:val="024912E2"/>
    <w:rsid w:val="02A01370"/>
    <w:rsid w:val="02C62BA9"/>
    <w:rsid w:val="030A7540"/>
    <w:rsid w:val="034C79A8"/>
    <w:rsid w:val="035E327D"/>
    <w:rsid w:val="03624C71"/>
    <w:rsid w:val="037171B2"/>
    <w:rsid w:val="03723D7D"/>
    <w:rsid w:val="03A55E37"/>
    <w:rsid w:val="04071573"/>
    <w:rsid w:val="0414147C"/>
    <w:rsid w:val="04357EE7"/>
    <w:rsid w:val="043E0AAC"/>
    <w:rsid w:val="044004C3"/>
    <w:rsid w:val="044F2C90"/>
    <w:rsid w:val="04604D98"/>
    <w:rsid w:val="04762FE4"/>
    <w:rsid w:val="048361AE"/>
    <w:rsid w:val="048962DE"/>
    <w:rsid w:val="04C403D8"/>
    <w:rsid w:val="04DA625A"/>
    <w:rsid w:val="04E672BC"/>
    <w:rsid w:val="04EF476C"/>
    <w:rsid w:val="051536FE"/>
    <w:rsid w:val="0528054A"/>
    <w:rsid w:val="05287815"/>
    <w:rsid w:val="052D2D41"/>
    <w:rsid w:val="0538232A"/>
    <w:rsid w:val="0552233D"/>
    <w:rsid w:val="05782C43"/>
    <w:rsid w:val="05903056"/>
    <w:rsid w:val="05B01B1D"/>
    <w:rsid w:val="05E17C80"/>
    <w:rsid w:val="05E55725"/>
    <w:rsid w:val="05E5760D"/>
    <w:rsid w:val="06066F04"/>
    <w:rsid w:val="06312B5A"/>
    <w:rsid w:val="0639353C"/>
    <w:rsid w:val="06474E34"/>
    <w:rsid w:val="06484055"/>
    <w:rsid w:val="065949DD"/>
    <w:rsid w:val="06653EC4"/>
    <w:rsid w:val="0699402C"/>
    <w:rsid w:val="069C64C8"/>
    <w:rsid w:val="06A0112C"/>
    <w:rsid w:val="06A81BEC"/>
    <w:rsid w:val="06AE1C73"/>
    <w:rsid w:val="06DC60DB"/>
    <w:rsid w:val="06F44F8B"/>
    <w:rsid w:val="06F84851"/>
    <w:rsid w:val="06FB0045"/>
    <w:rsid w:val="077B362D"/>
    <w:rsid w:val="079A6E72"/>
    <w:rsid w:val="079F3EE7"/>
    <w:rsid w:val="07AA1AB7"/>
    <w:rsid w:val="07DF5164"/>
    <w:rsid w:val="07E50580"/>
    <w:rsid w:val="07EE133F"/>
    <w:rsid w:val="07FD4528"/>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756EBC"/>
    <w:rsid w:val="0A8528D5"/>
    <w:rsid w:val="0A8A0A3A"/>
    <w:rsid w:val="0AB52BD8"/>
    <w:rsid w:val="0AD56F1F"/>
    <w:rsid w:val="0AEA3C8C"/>
    <w:rsid w:val="0B0C36F5"/>
    <w:rsid w:val="0B1E0CF0"/>
    <w:rsid w:val="0B1E2894"/>
    <w:rsid w:val="0B3A637F"/>
    <w:rsid w:val="0B534F80"/>
    <w:rsid w:val="0BAA1044"/>
    <w:rsid w:val="0BCE1370"/>
    <w:rsid w:val="0BCF240A"/>
    <w:rsid w:val="0BD84E5C"/>
    <w:rsid w:val="0BE34CD8"/>
    <w:rsid w:val="0BE83010"/>
    <w:rsid w:val="0BF47D4E"/>
    <w:rsid w:val="0BF86799"/>
    <w:rsid w:val="0C210FC9"/>
    <w:rsid w:val="0C377F1F"/>
    <w:rsid w:val="0C516743"/>
    <w:rsid w:val="0C5D1BDB"/>
    <w:rsid w:val="0C7E2237"/>
    <w:rsid w:val="0CA34118"/>
    <w:rsid w:val="0CA758F8"/>
    <w:rsid w:val="0CCD457A"/>
    <w:rsid w:val="0CED2959"/>
    <w:rsid w:val="0CEF3BF8"/>
    <w:rsid w:val="0D000761"/>
    <w:rsid w:val="0D3F7F2E"/>
    <w:rsid w:val="0D6344EC"/>
    <w:rsid w:val="0D705EC6"/>
    <w:rsid w:val="0D7446FA"/>
    <w:rsid w:val="0DB14507"/>
    <w:rsid w:val="0DB757B9"/>
    <w:rsid w:val="0DE545F3"/>
    <w:rsid w:val="0DE7555E"/>
    <w:rsid w:val="0E0316BF"/>
    <w:rsid w:val="0E072513"/>
    <w:rsid w:val="0E0F1632"/>
    <w:rsid w:val="0EE4486D"/>
    <w:rsid w:val="0F0D0D2C"/>
    <w:rsid w:val="0F385060"/>
    <w:rsid w:val="0F58781F"/>
    <w:rsid w:val="0F5D7625"/>
    <w:rsid w:val="0F6147A2"/>
    <w:rsid w:val="0F86061B"/>
    <w:rsid w:val="0FC226D4"/>
    <w:rsid w:val="0FC27645"/>
    <w:rsid w:val="0FD4645C"/>
    <w:rsid w:val="1007199F"/>
    <w:rsid w:val="101A3630"/>
    <w:rsid w:val="102C199B"/>
    <w:rsid w:val="105576A8"/>
    <w:rsid w:val="10BE1B05"/>
    <w:rsid w:val="10C64B9C"/>
    <w:rsid w:val="10CB7C05"/>
    <w:rsid w:val="10CF3933"/>
    <w:rsid w:val="10FD1FE7"/>
    <w:rsid w:val="11344EBE"/>
    <w:rsid w:val="113E2CEA"/>
    <w:rsid w:val="115B5C4F"/>
    <w:rsid w:val="117C20D6"/>
    <w:rsid w:val="118A244C"/>
    <w:rsid w:val="11967974"/>
    <w:rsid w:val="11A2124C"/>
    <w:rsid w:val="11C20C82"/>
    <w:rsid w:val="11C8536C"/>
    <w:rsid w:val="11D0460B"/>
    <w:rsid w:val="11DE5C79"/>
    <w:rsid w:val="11FB1708"/>
    <w:rsid w:val="12077EB3"/>
    <w:rsid w:val="12101447"/>
    <w:rsid w:val="12215961"/>
    <w:rsid w:val="1237430D"/>
    <w:rsid w:val="125F1817"/>
    <w:rsid w:val="126B7C4E"/>
    <w:rsid w:val="128924DC"/>
    <w:rsid w:val="128D04EC"/>
    <w:rsid w:val="12AA2320"/>
    <w:rsid w:val="12DB53B1"/>
    <w:rsid w:val="12E81B94"/>
    <w:rsid w:val="13257C63"/>
    <w:rsid w:val="133707C2"/>
    <w:rsid w:val="13441C72"/>
    <w:rsid w:val="134C77A5"/>
    <w:rsid w:val="13731B39"/>
    <w:rsid w:val="13732205"/>
    <w:rsid w:val="137F0CE3"/>
    <w:rsid w:val="13B011C1"/>
    <w:rsid w:val="13C30E6E"/>
    <w:rsid w:val="141B13D5"/>
    <w:rsid w:val="141C741E"/>
    <w:rsid w:val="14234B06"/>
    <w:rsid w:val="143771ED"/>
    <w:rsid w:val="149D3DC9"/>
    <w:rsid w:val="149E1778"/>
    <w:rsid w:val="14AD4839"/>
    <w:rsid w:val="14EA3450"/>
    <w:rsid w:val="14F767B6"/>
    <w:rsid w:val="14F905C9"/>
    <w:rsid w:val="150436F1"/>
    <w:rsid w:val="15287486"/>
    <w:rsid w:val="15840A84"/>
    <w:rsid w:val="15AF033B"/>
    <w:rsid w:val="16031113"/>
    <w:rsid w:val="160C1329"/>
    <w:rsid w:val="16332D75"/>
    <w:rsid w:val="16502A53"/>
    <w:rsid w:val="16725D01"/>
    <w:rsid w:val="16777B9F"/>
    <w:rsid w:val="168E3310"/>
    <w:rsid w:val="168F227C"/>
    <w:rsid w:val="169A575C"/>
    <w:rsid w:val="169F376F"/>
    <w:rsid w:val="16AD5C51"/>
    <w:rsid w:val="16C11894"/>
    <w:rsid w:val="16C377D3"/>
    <w:rsid w:val="17033CFE"/>
    <w:rsid w:val="171F0861"/>
    <w:rsid w:val="1731374B"/>
    <w:rsid w:val="173B1F0E"/>
    <w:rsid w:val="173D243C"/>
    <w:rsid w:val="17534ECF"/>
    <w:rsid w:val="17DC7BF0"/>
    <w:rsid w:val="17F91611"/>
    <w:rsid w:val="180053F0"/>
    <w:rsid w:val="181011F1"/>
    <w:rsid w:val="185F5F75"/>
    <w:rsid w:val="188227EF"/>
    <w:rsid w:val="189220EE"/>
    <w:rsid w:val="18954E2A"/>
    <w:rsid w:val="189E4B47"/>
    <w:rsid w:val="189F33C8"/>
    <w:rsid w:val="18CC7C0C"/>
    <w:rsid w:val="18E36CFC"/>
    <w:rsid w:val="19000C71"/>
    <w:rsid w:val="192A06DB"/>
    <w:rsid w:val="193028F8"/>
    <w:rsid w:val="195822E9"/>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216501"/>
    <w:rsid w:val="1B3B15AA"/>
    <w:rsid w:val="1B6A3FBF"/>
    <w:rsid w:val="1B8C6B7B"/>
    <w:rsid w:val="1B9E29B4"/>
    <w:rsid w:val="1BBF65FB"/>
    <w:rsid w:val="1BC2281C"/>
    <w:rsid w:val="1BF657FB"/>
    <w:rsid w:val="1C374515"/>
    <w:rsid w:val="1C4235A6"/>
    <w:rsid w:val="1C4F222F"/>
    <w:rsid w:val="1CA86A15"/>
    <w:rsid w:val="1CB7108C"/>
    <w:rsid w:val="1CBB4247"/>
    <w:rsid w:val="1CF03609"/>
    <w:rsid w:val="1CFA7EEF"/>
    <w:rsid w:val="1CFB1146"/>
    <w:rsid w:val="1CFD05F9"/>
    <w:rsid w:val="1D085BCA"/>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EF4279C"/>
    <w:rsid w:val="1EFD773D"/>
    <w:rsid w:val="1F0E3240"/>
    <w:rsid w:val="1F2E5690"/>
    <w:rsid w:val="1F2F246F"/>
    <w:rsid w:val="1F3E1D5D"/>
    <w:rsid w:val="1F6E3177"/>
    <w:rsid w:val="1F6F04BA"/>
    <w:rsid w:val="1F7315FD"/>
    <w:rsid w:val="1F8129BD"/>
    <w:rsid w:val="1F8C2B0F"/>
    <w:rsid w:val="1FC97167"/>
    <w:rsid w:val="20027E74"/>
    <w:rsid w:val="2024650C"/>
    <w:rsid w:val="203E5DA7"/>
    <w:rsid w:val="204663FA"/>
    <w:rsid w:val="20624FA2"/>
    <w:rsid w:val="206A1137"/>
    <w:rsid w:val="20744A7A"/>
    <w:rsid w:val="20835E3C"/>
    <w:rsid w:val="208F4012"/>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01962"/>
    <w:rsid w:val="224449F5"/>
    <w:rsid w:val="225D16C1"/>
    <w:rsid w:val="2266010D"/>
    <w:rsid w:val="226E674C"/>
    <w:rsid w:val="22712A0D"/>
    <w:rsid w:val="22734646"/>
    <w:rsid w:val="22AF6AE8"/>
    <w:rsid w:val="22B609EC"/>
    <w:rsid w:val="22C23296"/>
    <w:rsid w:val="22CF4727"/>
    <w:rsid w:val="22E35CB6"/>
    <w:rsid w:val="23280561"/>
    <w:rsid w:val="2330019D"/>
    <w:rsid w:val="235E2799"/>
    <w:rsid w:val="23666663"/>
    <w:rsid w:val="23693289"/>
    <w:rsid w:val="23795972"/>
    <w:rsid w:val="239147E1"/>
    <w:rsid w:val="23BB34F7"/>
    <w:rsid w:val="23CB1CA8"/>
    <w:rsid w:val="23CB333E"/>
    <w:rsid w:val="23F91B39"/>
    <w:rsid w:val="240B2444"/>
    <w:rsid w:val="241E015F"/>
    <w:rsid w:val="242E5E97"/>
    <w:rsid w:val="243A5F83"/>
    <w:rsid w:val="244702BD"/>
    <w:rsid w:val="247E0687"/>
    <w:rsid w:val="24A20628"/>
    <w:rsid w:val="24B45D14"/>
    <w:rsid w:val="24E0742D"/>
    <w:rsid w:val="24FE0E05"/>
    <w:rsid w:val="25021151"/>
    <w:rsid w:val="25171BA0"/>
    <w:rsid w:val="251B18C1"/>
    <w:rsid w:val="25222461"/>
    <w:rsid w:val="25501E67"/>
    <w:rsid w:val="25524FA6"/>
    <w:rsid w:val="25532EC3"/>
    <w:rsid w:val="25925077"/>
    <w:rsid w:val="25AF3989"/>
    <w:rsid w:val="25B24E51"/>
    <w:rsid w:val="25C73339"/>
    <w:rsid w:val="25C86149"/>
    <w:rsid w:val="25D62822"/>
    <w:rsid w:val="25F16B68"/>
    <w:rsid w:val="260663DB"/>
    <w:rsid w:val="26302948"/>
    <w:rsid w:val="26546373"/>
    <w:rsid w:val="26841C6E"/>
    <w:rsid w:val="26934343"/>
    <w:rsid w:val="269F0C21"/>
    <w:rsid w:val="26B424FB"/>
    <w:rsid w:val="26B73D93"/>
    <w:rsid w:val="26E62133"/>
    <w:rsid w:val="270F7BF6"/>
    <w:rsid w:val="27605E06"/>
    <w:rsid w:val="277F68D2"/>
    <w:rsid w:val="27870FB2"/>
    <w:rsid w:val="278F0AAA"/>
    <w:rsid w:val="27B84345"/>
    <w:rsid w:val="27CB7A47"/>
    <w:rsid w:val="27CF31D6"/>
    <w:rsid w:val="27E53B63"/>
    <w:rsid w:val="27F52A10"/>
    <w:rsid w:val="280E4470"/>
    <w:rsid w:val="283E405F"/>
    <w:rsid w:val="28D9203E"/>
    <w:rsid w:val="29313B8A"/>
    <w:rsid w:val="295E1181"/>
    <w:rsid w:val="298330BD"/>
    <w:rsid w:val="29B00B02"/>
    <w:rsid w:val="29B661A7"/>
    <w:rsid w:val="29DB1483"/>
    <w:rsid w:val="29DC3277"/>
    <w:rsid w:val="29F32451"/>
    <w:rsid w:val="29FA460F"/>
    <w:rsid w:val="2A0B6D48"/>
    <w:rsid w:val="2A397DF9"/>
    <w:rsid w:val="2A7C5019"/>
    <w:rsid w:val="2A8E3410"/>
    <w:rsid w:val="2AC017A8"/>
    <w:rsid w:val="2B127E2F"/>
    <w:rsid w:val="2B3002E1"/>
    <w:rsid w:val="2B3677A4"/>
    <w:rsid w:val="2B7F5D7B"/>
    <w:rsid w:val="2B9073EB"/>
    <w:rsid w:val="2BAD682D"/>
    <w:rsid w:val="2BC37160"/>
    <w:rsid w:val="2BC41873"/>
    <w:rsid w:val="2BEE5A9C"/>
    <w:rsid w:val="2C13325F"/>
    <w:rsid w:val="2C2E4C6F"/>
    <w:rsid w:val="2C6B41B7"/>
    <w:rsid w:val="2C9046B7"/>
    <w:rsid w:val="2C9A4365"/>
    <w:rsid w:val="2CAF7AE9"/>
    <w:rsid w:val="2CB550EC"/>
    <w:rsid w:val="2CD0422B"/>
    <w:rsid w:val="2CF947D9"/>
    <w:rsid w:val="2CFA06CC"/>
    <w:rsid w:val="2D1050E9"/>
    <w:rsid w:val="2D3622E0"/>
    <w:rsid w:val="2D3F090C"/>
    <w:rsid w:val="2D473273"/>
    <w:rsid w:val="2D8167C0"/>
    <w:rsid w:val="2D9C1D44"/>
    <w:rsid w:val="2DAB174B"/>
    <w:rsid w:val="2DAC3053"/>
    <w:rsid w:val="2DB40F04"/>
    <w:rsid w:val="2DB55317"/>
    <w:rsid w:val="2DD04A2C"/>
    <w:rsid w:val="2E073EDF"/>
    <w:rsid w:val="2E1A2D69"/>
    <w:rsid w:val="2E1C2312"/>
    <w:rsid w:val="2E617376"/>
    <w:rsid w:val="2ED13170"/>
    <w:rsid w:val="2F011E82"/>
    <w:rsid w:val="2F415E64"/>
    <w:rsid w:val="2F60404A"/>
    <w:rsid w:val="2F6858EF"/>
    <w:rsid w:val="2F7674B4"/>
    <w:rsid w:val="2FB867A5"/>
    <w:rsid w:val="2FC51659"/>
    <w:rsid w:val="2FCB2DE8"/>
    <w:rsid w:val="2FDC6A42"/>
    <w:rsid w:val="2FE37DD1"/>
    <w:rsid w:val="30082C17"/>
    <w:rsid w:val="301A6B35"/>
    <w:rsid w:val="30385048"/>
    <w:rsid w:val="30400DE6"/>
    <w:rsid w:val="3046030C"/>
    <w:rsid w:val="30577166"/>
    <w:rsid w:val="30A6777C"/>
    <w:rsid w:val="30A8450A"/>
    <w:rsid w:val="30B147B2"/>
    <w:rsid w:val="30FE64F4"/>
    <w:rsid w:val="310D00D7"/>
    <w:rsid w:val="313E5C07"/>
    <w:rsid w:val="314A5A0E"/>
    <w:rsid w:val="31682139"/>
    <w:rsid w:val="319957F6"/>
    <w:rsid w:val="31C036D0"/>
    <w:rsid w:val="31C81974"/>
    <w:rsid w:val="31C90302"/>
    <w:rsid w:val="31D953B1"/>
    <w:rsid w:val="31EC1741"/>
    <w:rsid w:val="31EF6CF0"/>
    <w:rsid w:val="31F7619B"/>
    <w:rsid w:val="32132BEF"/>
    <w:rsid w:val="321F0CAE"/>
    <w:rsid w:val="321F3505"/>
    <w:rsid w:val="322B0318"/>
    <w:rsid w:val="32494369"/>
    <w:rsid w:val="324C0B81"/>
    <w:rsid w:val="32517D1E"/>
    <w:rsid w:val="329B0438"/>
    <w:rsid w:val="32B63AAA"/>
    <w:rsid w:val="33091096"/>
    <w:rsid w:val="33232830"/>
    <w:rsid w:val="3341533E"/>
    <w:rsid w:val="33843CA1"/>
    <w:rsid w:val="33D635E7"/>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5F6862"/>
    <w:rsid w:val="366E5884"/>
    <w:rsid w:val="367134DE"/>
    <w:rsid w:val="36787E34"/>
    <w:rsid w:val="36914A2B"/>
    <w:rsid w:val="3692435D"/>
    <w:rsid w:val="36B771DA"/>
    <w:rsid w:val="36BC3397"/>
    <w:rsid w:val="36FC06E4"/>
    <w:rsid w:val="370B0055"/>
    <w:rsid w:val="374976F8"/>
    <w:rsid w:val="37533A9C"/>
    <w:rsid w:val="37821544"/>
    <w:rsid w:val="3787676D"/>
    <w:rsid w:val="37953793"/>
    <w:rsid w:val="37A53093"/>
    <w:rsid w:val="37C80ACF"/>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E4A11"/>
    <w:rsid w:val="39C12F31"/>
    <w:rsid w:val="3A1219DE"/>
    <w:rsid w:val="3A2133F1"/>
    <w:rsid w:val="3A27520A"/>
    <w:rsid w:val="3A3A0DA5"/>
    <w:rsid w:val="3A3F6C87"/>
    <w:rsid w:val="3A465FD4"/>
    <w:rsid w:val="3A956A72"/>
    <w:rsid w:val="3AD70862"/>
    <w:rsid w:val="3AE76311"/>
    <w:rsid w:val="3B1109C9"/>
    <w:rsid w:val="3B2552D7"/>
    <w:rsid w:val="3B3F7D03"/>
    <w:rsid w:val="3B5357B9"/>
    <w:rsid w:val="3B936123"/>
    <w:rsid w:val="3B970D6B"/>
    <w:rsid w:val="3BE51125"/>
    <w:rsid w:val="3BE7471F"/>
    <w:rsid w:val="3BE90506"/>
    <w:rsid w:val="3BEB6832"/>
    <w:rsid w:val="3BED2703"/>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3C1720"/>
    <w:rsid w:val="3E402A5F"/>
    <w:rsid w:val="3E5D5F3B"/>
    <w:rsid w:val="3E615282"/>
    <w:rsid w:val="3E7B3779"/>
    <w:rsid w:val="3E8429B9"/>
    <w:rsid w:val="3E886F46"/>
    <w:rsid w:val="3EBE7D18"/>
    <w:rsid w:val="3ECC547A"/>
    <w:rsid w:val="3EE01AD6"/>
    <w:rsid w:val="3F1A1718"/>
    <w:rsid w:val="3F4E5041"/>
    <w:rsid w:val="3F506818"/>
    <w:rsid w:val="3F7D393A"/>
    <w:rsid w:val="3FE36C1C"/>
    <w:rsid w:val="3FEB19D5"/>
    <w:rsid w:val="3FF15ABF"/>
    <w:rsid w:val="40340044"/>
    <w:rsid w:val="40661E5E"/>
    <w:rsid w:val="406E45AD"/>
    <w:rsid w:val="407C0CAD"/>
    <w:rsid w:val="40924D64"/>
    <w:rsid w:val="40963A57"/>
    <w:rsid w:val="40D16C5D"/>
    <w:rsid w:val="410A3110"/>
    <w:rsid w:val="41310CA2"/>
    <w:rsid w:val="417E2272"/>
    <w:rsid w:val="41893506"/>
    <w:rsid w:val="419915A4"/>
    <w:rsid w:val="41A82FD1"/>
    <w:rsid w:val="41C35995"/>
    <w:rsid w:val="41CF7D38"/>
    <w:rsid w:val="41D13F2D"/>
    <w:rsid w:val="41FC4A89"/>
    <w:rsid w:val="420F1D94"/>
    <w:rsid w:val="420F4A55"/>
    <w:rsid w:val="422C362E"/>
    <w:rsid w:val="423E5ED2"/>
    <w:rsid w:val="424441F1"/>
    <w:rsid w:val="425E0F00"/>
    <w:rsid w:val="426D5149"/>
    <w:rsid w:val="427E3E3A"/>
    <w:rsid w:val="428917B7"/>
    <w:rsid w:val="42F1595A"/>
    <w:rsid w:val="42F733EB"/>
    <w:rsid w:val="430B7DA4"/>
    <w:rsid w:val="430D4AC0"/>
    <w:rsid w:val="431E047F"/>
    <w:rsid w:val="431E65EF"/>
    <w:rsid w:val="435A4BBF"/>
    <w:rsid w:val="436A6565"/>
    <w:rsid w:val="437A019F"/>
    <w:rsid w:val="43891F34"/>
    <w:rsid w:val="43B21221"/>
    <w:rsid w:val="43C63987"/>
    <w:rsid w:val="43D877F5"/>
    <w:rsid w:val="43FB7AE7"/>
    <w:rsid w:val="4400649E"/>
    <w:rsid w:val="440F53C7"/>
    <w:rsid w:val="441426C6"/>
    <w:rsid w:val="441466E5"/>
    <w:rsid w:val="4421734C"/>
    <w:rsid w:val="44437D45"/>
    <w:rsid w:val="44460A9F"/>
    <w:rsid w:val="4478624B"/>
    <w:rsid w:val="4493367B"/>
    <w:rsid w:val="44A72843"/>
    <w:rsid w:val="44AB74B4"/>
    <w:rsid w:val="44B2771E"/>
    <w:rsid w:val="44B8368E"/>
    <w:rsid w:val="451E56DB"/>
    <w:rsid w:val="452905F3"/>
    <w:rsid w:val="4531085A"/>
    <w:rsid w:val="456A35B3"/>
    <w:rsid w:val="45A45439"/>
    <w:rsid w:val="45C95510"/>
    <w:rsid w:val="45CA7348"/>
    <w:rsid w:val="45CB72CE"/>
    <w:rsid w:val="461F4864"/>
    <w:rsid w:val="462B6DAB"/>
    <w:rsid w:val="46977D08"/>
    <w:rsid w:val="469B5592"/>
    <w:rsid w:val="46A5400A"/>
    <w:rsid w:val="46C67C71"/>
    <w:rsid w:val="46DB6342"/>
    <w:rsid w:val="46F207EA"/>
    <w:rsid w:val="46F40267"/>
    <w:rsid w:val="46F87058"/>
    <w:rsid w:val="47077EC0"/>
    <w:rsid w:val="47283388"/>
    <w:rsid w:val="4750618B"/>
    <w:rsid w:val="475C74D6"/>
    <w:rsid w:val="477737C9"/>
    <w:rsid w:val="477A20CD"/>
    <w:rsid w:val="47C35102"/>
    <w:rsid w:val="47C90408"/>
    <w:rsid w:val="47CA3491"/>
    <w:rsid w:val="47DE0285"/>
    <w:rsid w:val="47EA0372"/>
    <w:rsid w:val="47F02873"/>
    <w:rsid w:val="47F77566"/>
    <w:rsid w:val="48131737"/>
    <w:rsid w:val="481C1F20"/>
    <w:rsid w:val="482932B2"/>
    <w:rsid w:val="48353471"/>
    <w:rsid w:val="48452D6C"/>
    <w:rsid w:val="48490177"/>
    <w:rsid w:val="48734131"/>
    <w:rsid w:val="48801F0A"/>
    <w:rsid w:val="489C4879"/>
    <w:rsid w:val="489C7EA5"/>
    <w:rsid w:val="48D03190"/>
    <w:rsid w:val="49276E58"/>
    <w:rsid w:val="494B4338"/>
    <w:rsid w:val="497C5511"/>
    <w:rsid w:val="49B65DC9"/>
    <w:rsid w:val="49CB0547"/>
    <w:rsid w:val="4A131AB1"/>
    <w:rsid w:val="4A34760C"/>
    <w:rsid w:val="4A64259A"/>
    <w:rsid w:val="4A6C513B"/>
    <w:rsid w:val="4AA4128B"/>
    <w:rsid w:val="4AAA7028"/>
    <w:rsid w:val="4AD50D4A"/>
    <w:rsid w:val="4ADC75C4"/>
    <w:rsid w:val="4AE04064"/>
    <w:rsid w:val="4AF33291"/>
    <w:rsid w:val="4B2977E3"/>
    <w:rsid w:val="4B3A3263"/>
    <w:rsid w:val="4B404F96"/>
    <w:rsid w:val="4B5F395F"/>
    <w:rsid w:val="4BB73A13"/>
    <w:rsid w:val="4BE22955"/>
    <w:rsid w:val="4BFA0524"/>
    <w:rsid w:val="4C082C41"/>
    <w:rsid w:val="4C382EC4"/>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527CB0"/>
    <w:rsid w:val="4E6F1EF6"/>
    <w:rsid w:val="4E7B029B"/>
    <w:rsid w:val="4E7C269B"/>
    <w:rsid w:val="4E8974AF"/>
    <w:rsid w:val="4E9C2A45"/>
    <w:rsid w:val="4E9E5ADF"/>
    <w:rsid w:val="4EAC1FAA"/>
    <w:rsid w:val="4ECB07EA"/>
    <w:rsid w:val="4EDA18B9"/>
    <w:rsid w:val="4F216F20"/>
    <w:rsid w:val="4F573543"/>
    <w:rsid w:val="4F6D467A"/>
    <w:rsid w:val="4FED507D"/>
    <w:rsid w:val="4FFB62E9"/>
    <w:rsid w:val="501C4E89"/>
    <w:rsid w:val="502B325D"/>
    <w:rsid w:val="505D795E"/>
    <w:rsid w:val="50630959"/>
    <w:rsid w:val="509B0528"/>
    <w:rsid w:val="509B4084"/>
    <w:rsid w:val="50D457E8"/>
    <w:rsid w:val="50DD3BA3"/>
    <w:rsid w:val="50E61CAB"/>
    <w:rsid w:val="50E8074E"/>
    <w:rsid w:val="5132754D"/>
    <w:rsid w:val="513564CC"/>
    <w:rsid w:val="51426BF5"/>
    <w:rsid w:val="514E3A09"/>
    <w:rsid w:val="517C3AF1"/>
    <w:rsid w:val="51915B3D"/>
    <w:rsid w:val="519F5121"/>
    <w:rsid w:val="5229273F"/>
    <w:rsid w:val="52547228"/>
    <w:rsid w:val="529432E6"/>
    <w:rsid w:val="529A65BD"/>
    <w:rsid w:val="52A8026E"/>
    <w:rsid w:val="52A92DBD"/>
    <w:rsid w:val="52EC7710"/>
    <w:rsid w:val="532C197B"/>
    <w:rsid w:val="534C6115"/>
    <w:rsid w:val="53561F88"/>
    <w:rsid w:val="535A6478"/>
    <w:rsid w:val="536B5C40"/>
    <w:rsid w:val="53BC34C4"/>
    <w:rsid w:val="53CE29B7"/>
    <w:rsid w:val="53E93F16"/>
    <w:rsid w:val="53F04BF7"/>
    <w:rsid w:val="540337E7"/>
    <w:rsid w:val="54102FDB"/>
    <w:rsid w:val="54142032"/>
    <w:rsid w:val="54143B82"/>
    <w:rsid w:val="54451376"/>
    <w:rsid w:val="54776BE8"/>
    <w:rsid w:val="547B2C44"/>
    <w:rsid w:val="547F7066"/>
    <w:rsid w:val="548C0083"/>
    <w:rsid w:val="54BC10AE"/>
    <w:rsid w:val="54DE257B"/>
    <w:rsid w:val="54F82DE2"/>
    <w:rsid w:val="55091415"/>
    <w:rsid w:val="5533415E"/>
    <w:rsid w:val="553C395C"/>
    <w:rsid w:val="553D5A1E"/>
    <w:rsid w:val="555B4C1C"/>
    <w:rsid w:val="55665E4B"/>
    <w:rsid w:val="557564F8"/>
    <w:rsid w:val="55760BA5"/>
    <w:rsid w:val="557C6AE7"/>
    <w:rsid w:val="55A0704C"/>
    <w:rsid w:val="55A923B9"/>
    <w:rsid w:val="55DD38ED"/>
    <w:rsid w:val="55E72D6A"/>
    <w:rsid w:val="561A3EA2"/>
    <w:rsid w:val="56434C8D"/>
    <w:rsid w:val="566B274A"/>
    <w:rsid w:val="568A68D9"/>
    <w:rsid w:val="56A438D4"/>
    <w:rsid w:val="56BA5C7F"/>
    <w:rsid w:val="56D50ABF"/>
    <w:rsid w:val="56EA1F97"/>
    <w:rsid w:val="56F50266"/>
    <w:rsid w:val="570F0FFB"/>
    <w:rsid w:val="574E065D"/>
    <w:rsid w:val="575B7C13"/>
    <w:rsid w:val="576E7E03"/>
    <w:rsid w:val="578A5B09"/>
    <w:rsid w:val="579655A5"/>
    <w:rsid w:val="57AA49F3"/>
    <w:rsid w:val="57AA5D1A"/>
    <w:rsid w:val="57BE32DB"/>
    <w:rsid w:val="57D631F8"/>
    <w:rsid w:val="58082218"/>
    <w:rsid w:val="581028EA"/>
    <w:rsid w:val="58344161"/>
    <w:rsid w:val="58450688"/>
    <w:rsid w:val="585D0DF7"/>
    <w:rsid w:val="587316C8"/>
    <w:rsid w:val="58816255"/>
    <w:rsid w:val="58AD641D"/>
    <w:rsid w:val="58B420E4"/>
    <w:rsid w:val="58CB5722"/>
    <w:rsid w:val="58F92391"/>
    <w:rsid w:val="59135C67"/>
    <w:rsid w:val="593C1329"/>
    <w:rsid w:val="595751EC"/>
    <w:rsid w:val="595A34E9"/>
    <w:rsid w:val="595B7937"/>
    <w:rsid w:val="597C7365"/>
    <w:rsid w:val="597F7369"/>
    <w:rsid w:val="59814033"/>
    <w:rsid w:val="59997155"/>
    <w:rsid w:val="59A2414B"/>
    <w:rsid w:val="59FE08FA"/>
    <w:rsid w:val="5A060D86"/>
    <w:rsid w:val="5A886394"/>
    <w:rsid w:val="5A9F6060"/>
    <w:rsid w:val="5ACF7403"/>
    <w:rsid w:val="5B46719F"/>
    <w:rsid w:val="5B737DCF"/>
    <w:rsid w:val="5BA42A14"/>
    <w:rsid w:val="5BB47CCC"/>
    <w:rsid w:val="5BC866AC"/>
    <w:rsid w:val="5BD05B9D"/>
    <w:rsid w:val="5BD343E6"/>
    <w:rsid w:val="5BE00F61"/>
    <w:rsid w:val="5BFB5206"/>
    <w:rsid w:val="5C390BF5"/>
    <w:rsid w:val="5CB65A64"/>
    <w:rsid w:val="5CD26BB3"/>
    <w:rsid w:val="5CEB063E"/>
    <w:rsid w:val="5D0336DD"/>
    <w:rsid w:val="5D0B0214"/>
    <w:rsid w:val="5D1A0A42"/>
    <w:rsid w:val="5D4F1710"/>
    <w:rsid w:val="5D71045F"/>
    <w:rsid w:val="5D740167"/>
    <w:rsid w:val="5D7B7702"/>
    <w:rsid w:val="5DA55EAC"/>
    <w:rsid w:val="5DAC626B"/>
    <w:rsid w:val="5E146811"/>
    <w:rsid w:val="5E3F1ED0"/>
    <w:rsid w:val="5E472F67"/>
    <w:rsid w:val="5E4A015A"/>
    <w:rsid w:val="5E4E1E2F"/>
    <w:rsid w:val="5E7E280E"/>
    <w:rsid w:val="5EA343F9"/>
    <w:rsid w:val="5F1514A5"/>
    <w:rsid w:val="5F164D5E"/>
    <w:rsid w:val="5F2D2E3D"/>
    <w:rsid w:val="5F36141C"/>
    <w:rsid w:val="5F473629"/>
    <w:rsid w:val="5F511649"/>
    <w:rsid w:val="5F741C71"/>
    <w:rsid w:val="5F8605F5"/>
    <w:rsid w:val="5F884475"/>
    <w:rsid w:val="5F940261"/>
    <w:rsid w:val="5FA80328"/>
    <w:rsid w:val="5FAC17B4"/>
    <w:rsid w:val="5FBE713C"/>
    <w:rsid w:val="5FDA399F"/>
    <w:rsid w:val="5FFA79ED"/>
    <w:rsid w:val="60350249"/>
    <w:rsid w:val="606D0EF6"/>
    <w:rsid w:val="60806A99"/>
    <w:rsid w:val="60B442A8"/>
    <w:rsid w:val="60FD7810"/>
    <w:rsid w:val="61013040"/>
    <w:rsid w:val="610E310A"/>
    <w:rsid w:val="611C35B8"/>
    <w:rsid w:val="611D1C0E"/>
    <w:rsid w:val="61377DF9"/>
    <w:rsid w:val="61A25580"/>
    <w:rsid w:val="61AE7556"/>
    <w:rsid w:val="61C55F7F"/>
    <w:rsid w:val="61CA3612"/>
    <w:rsid w:val="61D41854"/>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30237"/>
    <w:rsid w:val="64963CFA"/>
    <w:rsid w:val="64A77044"/>
    <w:rsid w:val="64B31A3E"/>
    <w:rsid w:val="64BB7086"/>
    <w:rsid w:val="64DB0E4D"/>
    <w:rsid w:val="64DF720B"/>
    <w:rsid w:val="64FB2F8F"/>
    <w:rsid w:val="6502750F"/>
    <w:rsid w:val="6511270F"/>
    <w:rsid w:val="655769D7"/>
    <w:rsid w:val="658630FD"/>
    <w:rsid w:val="658C66C4"/>
    <w:rsid w:val="65A41C8F"/>
    <w:rsid w:val="65B17A4E"/>
    <w:rsid w:val="65B76CC0"/>
    <w:rsid w:val="65C86337"/>
    <w:rsid w:val="65DC6542"/>
    <w:rsid w:val="65F53DDF"/>
    <w:rsid w:val="65FE3124"/>
    <w:rsid w:val="66356D23"/>
    <w:rsid w:val="66475BEE"/>
    <w:rsid w:val="66921396"/>
    <w:rsid w:val="669A00A1"/>
    <w:rsid w:val="669A0A1D"/>
    <w:rsid w:val="66C77EC3"/>
    <w:rsid w:val="66CD32EE"/>
    <w:rsid w:val="66EF31C1"/>
    <w:rsid w:val="67286643"/>
    <w:rsid w:val="67340A1D"/>
    <w:rsid w:val="67415D12"/>
    <w:rsid w:val="67645CC5"/>
    <w:rsid w:val="679D0438"/>
    <w:rsid w:val="679F14A6"/>
    <w:rsid w:val="67A7594A"/>
    <w:rsid w:val="67EB425D"/>
    <w:rsid w:val="67F71CAA"/>
    <w:rsid w:val="6833136E"/>
    <w:rsid w:val="68374646"/>
    <w:rsid w:val="6851003F"/>
    <w:rsid w:val="68532F31"/>
    <w:rsid w:val="685F2B0C"/>
    <w:rsid w:val="686A5890"/>
    <w:rsid w:val="686E4CA0"/>
    <w:rsid w:val="6870598D"/>
    <w:rsid w:val="68907DEF"/>
    <w:rsid w:val="68CD56D6"/>
    <w:rsid w:val="68CE0878"/>
    <w:rsid w:val="68DF3F07"/>
    <w:rsid w:val="68E14DD2"/>
    <w:rsid w:val="68FF17F8"/>
    <w:rsid w:val="691F6273"/>
    <w:rsid w:val="6938799E"/>
    <w:rsid w:val="693E784B"/>
    <w:rsid w:val="697221B5"/>
    <w:rsid w:val="69875626"/>
    <w:rsid w:val="69A773FE"/>
    <w:rsid w:val="69AB1384"/>
    <w:rsid w:val="69AC4EE2"/>
    <w:rsid w:val="69B15060"/>
    <w:rsid w:val="69B72806"/>
    <w:rsid w:val="69C21FC2"/>
    <w:rsid w:val="69CB7528"/>
    <w:rsid w:val="69CC031D"/>
    <w:rsid w:val="69CC5602"/>
    <w:rsid w:val="69DE1C53"/>
    <w:rsid w:val="69DF0F70"/>
    <w:rsid w:val="69F431E5"/>
    <w:rsid w:val="69FB05D9"/>
    <w:rsid w:val="6A21429B"/>
    <w:rsid w:val="6A276531"/>
    <w:rsid w:val="6A317FEC"/>
    <w:rsid w:val="6A395739"/>
    <w:rsid w:val="6A5D1615"/>
    <w:rsid w:val="6A6447F4"/>
    <w:rsid w:val="6A667351"/>
    <w:rsid w:val="6A690452"/>
    <w:rsid w:val="6A88354F"/>
    <w:rsid w:val="6AC86B5F"/>
    <w:rsid w:val="6AD5470C"/>
    <w:rsid w:val="6AF1512E"/>
    <w:rsid w:val="6B372870"/>
    <w:rsid w:val="6B4C78DC"/>
    <w:rsid w:val="6B6D4BD4"/>
    <w:rsid w:val="6B736C65"/>
    <w:rsid w:val="6B884223"/>
    <w:rsid w:val="6BA51E03"/>
    <w:rsid w:val="6BB077F2"/>
    <w:rsid w:val="6BCC6A33"/>
    <w:rsid w:val="6BE94680"/>
    <w:rsid w:val="6C1648A2"/>
    <w:rsid w:val="6C2B5B56"/>
    <w:rsid w:val="6C405A24"/>
    <w:rsid w:val="6C4C1DDE"/>
    <w:rsid w:val="6C5A2BED"/>
    <w:rsid w:val="6C7360A2"/>
    <w:rsid w:val="6C837F96"/>
    <w:rsid w:val="6C98271E"/>
    <w:rsid w:val="6CB357D4"/>
    <w:rsid w:val="6CB70040"/>
    <w:rsid w:val="6CD6095A"/>
    <w:rsid w:val="6D09664F"/>
    <w:rsid w:val="6D1A3ED2"/>
    <w:rsid w:val="6D1C5D45"/>
    <w:rsid w:val="6D2052F1"/>
    <w:rsid w:val="6D2A1AE4"/>
    <w:rsid w:val="6D2C0363"/>
    <w:rsid w:val="6D420584"/>
    <w:rsid w:val="6D4556BC"/>
    <w:rsid w:val="6D7C6B86"/>
    <w:rsid w:val="6D886D51"/>
    <w:rsid w:val="6D8A5754"/>
    <w:rsid w:val="6D98425A"/>
    <w:rsid w:val="6D9C4CB2"/>
    <w:rsid w:val="6DAC52D8"/>
    <w:rsid w:val="6DCC4C0D"/>
    <w:rsid w:val="6DE52F24"/>
    <w:rsid w:val="6E0D5193"/>
    <w:rsid w:val="6E2B38B7"/>
    <w:rsid w:val="6E42100A"/>
    <w:rsid w:val="6E4341AC"/>
    <w:rsid w:val="6E9D5BDB"/>
    <w:rsid w:val="6F436F8F"/>
    <w:rsid w:val="6F4D5562"/>
    <w:rsid w:val="6F663712"/>
    <w:rsid w:val="6F6D69E8"/>
    <w:rsid w:val="6F8B29B5"/>
    <w:rsid w:val="6F9B0752"/>
    <w:rsid w:val="6FD156E3"/>
    <w:rsid w:val="6FED75FB"/>
    <w:rsid w:val="70041560"/>
    <w:rsid w:val="703467FC"/>
    <w:rsid w:val="7040732E"/>
    <w:rsid w:val="7086364B"/>
    <w:rsid w:val="70A408DB"/>
    <w:rsid w:val="70A42103"/>
    <w:rsid w:val="70BC5C25"/>
    <w:rsid w:val="710B27AB"/>
    <w:rsid w:val="71126C39"/>
    <w:rsid w:val="71257C6E"/>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743CA6"/>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61A6F"/>
    <w:rsid w:val="740A7F35"/>
    <w:rsid w:val="742D4CA1"/>
    <w:rsid w:val="74336AF3"/>
    <w:rsid w:val="74613585"/>
    <w:rsid w:val="747D3462"/>
    <w:rsid w:val="74812030"/>
    <w:rsid w:val="74886161"/>
    <w:rsid w:val="74A039B1"/>
    <w:rsid w:val="74E66F49"/>
    <w:rsid w:val="74EB245C"/>
    <w:rsid w:val="753C15BB"/>
    <w:rsid w:val="7548217D"/>
    <w:rsid w:val="75585493"/>
    <w:rsid w:val="755E6626"/>
    <w:rsid w:val="75841DF5"/>
    <w:rsid w:val="758C4CA2"/>
    <w:rsid w:val="75D40046"/>
    <w:rsid w:val="75D96E3B"/>
    <w:rsid w:val="762F29E5"/>
    <w:rsid w:val="764374F1"/>
    <w:rsid w:val="76944E76"/>
    <w:rsid w:val="769A26CA"/>
    <w:rsid w:val="76B80C3C"/>
    <w:rsid w:val="76C05D43"/>
    <w:rsid w:val="76C34928"/>
    <w:rsid w:val="76D17FE1"/>
    <w:rsid w:val="76DF15B8"/>
    <w:rsid w:val="76FB601C"/>
    <w:rsid w:val="7708778F"/>
    <w:rsid w:val="770B7BD2"/>
    <w:rsid w:val="775D7A36"/>
    <w:rsid w:val="778364BE"/>
    <w:rsid w:val="7799548D"/>
    <w:rsid w:val="77E81F36"/>
    <w:rsid w:val="77ED1FBE"/>
    <w:rsid w:val="77F64995"/>
    <w:rsid w:val="787764A6"/>
    <w:rsid w:val="78867CFB"/>
    <w:rsid w:val="78AE1EE3"/>
    <w:rsid w:val="78D06FA5"/>
    <w:rsid w:val="78F044C0"/>
    <w:rsid w:val="792C03A8"/>
    <w:rsid w:val="793D3D59"/>
    <w:rsid w:val="795F47C4"/>
    <w:rsid w:val="795F4B87"/>
    <w:rsid w:val="7964594B"/>
    <w:rsid w:val="799447B2"/>
    <w:rsid w:val="79993DEC"/>
    <w:rsid w:val="79CD1CC3"/>
    <w:rsid w:val="79D33A4B"/>
    <w:rsid w:val="79EA1578"/>
    <w:rsid w:val="79F9227E"/>
    <w:rsid w:val="7A03141B"/>
    <w:rsid w:val="7A2F68CB"/>
    <w:rsid w:val="7A532F6D"/>
    <w:rsid w:val="7A9E603E"/>
    <w:rsid w:val="7AA163B3"/>
    <w:rsid w:val="7AB01F3D"/>
    <w:rsid w:val="7ACE4950"/>
    <w:rsid w:val="7ADB04CF"/>
    <w:rsid w:val="7ADD1DF2"/>
    <w:rsid w:val="7AEC35AA"/>
    <w:rsid w:val="7AFE0D18"/>
    <w:rsid w:val="7B4B5341"/>
    <w:rsid w:val="7B5B1A0B"/>
    <w:rsid w:val="7B70050C"/>
    <w:rsid w:val="7B856E03"/>
    <w:rsid w:val="7BB31608"/>
    <w:rsid w:val="7BD95DD9"/>
    <w:rsid w:val="7BE266BF"/>
    <w:rsid w:val="7BE50BC8"/>
    <w:rsid w:val="7BF9716D"/>
    <w:rsid w:val="7C077508"/>
    <w:rsid w:val="7C176405"/>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B91EB5"/>
    <w:rsid w:val="7DC205F3"/>
    <w:rsid w:val="7DC85A4E"/>
    <w:rsid w:val="7DEE3196"/>
    <w:rsid w:val="7DF369FE"/>
    <w:rsid w:val="7DF550BA"/>
    <w:rsid w:val="7E531FFF"/>
    <w:rsid w:val="7E5E764B"/>
    <w:rsid w:val="7E7F1C3B"/>
    <w:rsid w:val="7ECB55B8"/>
    <w:rsid w:val="7EE626A2"/>
    <w:rsid w:val="7EEC63E7"/>
    <w:rsid w:val="7EF54C4F"/>
    <w:rsid w:val="7EFB3937"/>
    <w:rsid w:val="7F020EC4"/>
    <w:rsid w:val="7F381A2F"/>
    <w:rsid w:val="7F5957B0"/>
    <w:rsid w:val="7F9846AE"/>
    <w:rsid w:val="7F9A7F46"/>
    <w:rsid w:val="7FAD0277"/>
    <w:rsid w:val="7FBD28C5"/>
    <w:rsid w:val="7FC50214"/>
    <w:rsid w:val="7FE5681A"/>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6">
    <w:name w:val="List Number 2"/>
    <w:basedOn w:val="1"/>
    <w:qFormat/>
    <w:uiPriority w:val="0"/>
    <w:pPr>
      <w:numPr>
        <w:ilvl w:val="0"/>
        <w:numId w:val="2"/>
      </w:numPr>
      <w:contextualSpacing/>
    </w:pPr>
  </w:style>
  <w:style w:type="paragraph" w:styleId="7">
    <w:name w:val="List Number"/>
    <w:basedOn w:val="1"/>
    <w:qFormat/>
    <w:uiPriority w:val="0"/>
    <w:pPr>
      <w:numPr>
        <w:ilvl w:val="0"/>
        <w:numId w:val="3"/>
      </w:numPr>
    </w:pPr>
  </w:style>
  <w:style w:type="paragraph" w:styleId="8">
    <w:name w:val="Normal Indent"/>
    <w:basedOn w:val="1"/>
    <w:link w:val="59"/>
    <w:qFormat/>
    <w:uiPriority w:val="0"/>
    <w:pPr>
      <w:ind w:firstLine="420"/>
    </w:pPr>
    <w:rPr>
      <w:szCs w:val="20"/>
    </w:rPr>
  </w:style>
  <w:style w:type="paragraph" w:styleId="9">
    <w:name w:val="annotation text"/>
    <w:basedOn w:val="1"/>
    <w:link w:val="69"/>
    <w:qFormat/>
    <w:uiPriority w:val="99"/>
    <w:pPr>
      <w:jc w:val="left"/>
    </w:pPr>
  </w:style>
  <w:style w:type="paragraph" w:styleId="10">
    <w:name w:val="Salutation"/>
    <w:basedOn w:val="1"/>
    <w:next w:val="1"/>
    <w:link w:val="73"/>
    <w:qFormat/>
    <w:uiPriority w:val="99"/>
    <w:pPr>
      <w:widowControl/>
      <w:jc w:val="left"/>
    </w:pPr>
    <w:rPr>
      <w:rFonts w:eastAsia="Simang"/>
      <w:kern w:val="0"/>
      <w:sz w:val="16"/>
      <w:szCs w:val="16"/>
    </w:rPr>
  </w:style>
  <w:style w:type="paragraph" w:styleId="11">
    <w:name w:val="Body Text"/>
    <w:basedOn w:val="1"/>
    <w:next w:val="12"/>
    <w:qFormat/>
    <w:uiPriority w:val="0"/>
    <w:pPr>
      <w:spacing w:line="360" w:lineRule="exact"/>
    </w:pPr>
    <w:rPr>
      <w:sz w:val="24"/>
    </w:rPr>
  </w:style>
  <w:style w:type="paragraph" w:styleId="12">
    <w:name w:val="Body Text First Indent"/>
    <w:basedOn w:val="11"/>
    <w:next w:val="1"/>
    <w:qFormat/>
    <w:uiPriority w:val="0"/>
    <w:pPr>
      <w:ind w:firstLine="200" w:firstLineChars="200"/>
    </w:pPr>
  </w:style>
  <w:style w:type="paragraph" w:styleId="13">
    <w:name w:val="Body Text Indent"/>
    <w:basedOn w:val="1"/>
    <w:next w:val="1"/>
    <w:link w:val="60"/>
    <w:qFormat/>
    <w:uiPriority w:val="0"/>
    <w:pPr>
      <w:spacing w:after="120"/>
      <w:ind w:left="420" w:leftChars="200"/>
    </w:pPr>
  </w:style>
  <w:style w:type="paragraph" w:styleId="14">
    <w:name w:val="List Bullet 2"/>
    <w:basedOn w:val="1"/>
    <w:qFormat/>
    <w:uiPriority w:val="99"/>
    <w:pPr>
      <w:tabs>
        <w:tab w:val="left" w:pos="780"/>
        <w:tab w:val="left" w:pos="960"/>
      </w:tabs>
      <w:ind w:left="960" w:hanging="600"/>
    </w:pPr>
    <w:rPr>
      <w:rFonts w:eastAsia="Simang"/>
    </w:rPr>
  </w:style>
  <w:style w:type="paragraph" w:styleId="15">
    <w:name w:val="Plain Text"/>
    <w:basedOn w:val="1"/>
    <w:next w:val="16"/>
    <w:link w:val="68"/>
    <w:qFormat/>
    <w:uiPriority w:val="99"/>
    <w:rPr>
      <w:rFonts w:ascii="宋体" w:hAnsi="Courier New" w:cstheme="minorBidi"/>
    </w:rPr>
  </w:style>
  <w:style w:type="paragraph" w:styleId="16">
    <w:name w:val="Date"/>
    <w:basedOn w:val="1"/>
    <w:next w:val="1"/>
    <w:link w:val="76"/>
    <w:qFormat/>
    <w:uiPriority w:val="0"/>
    <w:pPr>
      <w:ind w:left="2500" w:leftChars="2500"/>
    </w:pPr>
    <w:rPr>
      <w:rFonts w:eastAsia="楷体_GB2312" w:asciiTheme="minorHAnsi" w:hAnsiTheme="minorHAnsi" w:cstheme="minorBidi"/>
      <w:sz w:val="32"/>
      <w:szCs w:val="22"/>
    </w:rPr>
  </w:style>
  <w:style w:type="paragraph" w:styleId="17">
    <w:name w:val="Balloon Text"/>
    <w:basedOn w:val="1"/>
    <w:link w:val="54"/>
    <w:qFormat/>
    <w:uiPriority w:val="0"/>
    <w:rPr>
      <w:sz w:val="18"/>
      <w:szCs w:val="18"/>
    </w:rPr>
  </w:style>
  <w:style w:type="paragraph" w:styleId="18">
    <w:name w:val="footer"/>
    <w:basedOn w:val="1"/>
    <w:link w:val="64"/>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1">
    <w:name w:val="Body Text Indent 3"/>
    <w:basedOn w:val="1"/>
    <w:link w:val="61"/>
    <w:qFormat/>
    <w:uiPriority w:val="0"/>
    <w:pPr>
      <w:spacing w:after="120"/>
      <w:ind w:left="420" w:leftChars="200"/>
    </w:pPr>
    <w:rPr>
      <w:sz w:val="16"/>
      <w:szCs w:val="16"/>
    </w:rPr>
  </w:style>
  <w:style w:type="paragraph" w:styleId="22">
    <w:name w:val="HTML Preformatted"/>
    <w:basedOn w:val="1"/>
    <w:link w:val="6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3">
    <w:name w:val="Normal (Web)"/>
    <w:basedOn w:val="1"/>
    <w:next w:val="1"/>
    <w:qFormat/>
    <w:uiPriority w:val="99"/>
    <w:pPr>
      <w:widowControl/>
      <w:spacing w:before="100" w:beforeAutospacing="1" w:after="100" w:afterAutospacing="1"/>
      <w:jc w:val="left"/>
    </w:pPr>
    <w:rPr>
      <w:rFonts w:hint="eastAsia" w:ascii="宋体" w:hAnsi="宋体"/>
      <w:kern w:val="0"/>
      <w:sz w:val="24"/>
    </w:rPr>
  </w:style>
  <w:style w:type="paragraph" w:styleId="24">
    <w:name w:val="Body Text First Indent 2"/>
    <w:basedOn w:val="13"/>
    <w:link w:val="67"/>
    <w:qFormat/>
    <w:uiPriority w:val="99"/>
    <w:pPr>
      <w:ind w:firstLine="420"/>
    </w:p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FollowedHyperlink"/>
    <w:basedOn w:val="27"/>
    <w:qFormat/>
    <w:uiPriority w:val="0"/>
    <w:rPr>
      <w:color w:val="800080"/>
      <w:u w:val="none"/>
    </w:rPr>
  </w:style>
  <w:style w:type="character" w:styleId="29">
    <w:name w:val="Hyperlink"/>
    <w:qFormat/>
    <w:uiPriority w:val="99"/>
    <w:rPr>
      <w:color w:val="0000FF"/>
      <w:u w:val="single"/>
    </w:rPr>
  </w:style>
  <w:style w:type="character" w:styleId="30">
    <w:name w:val="annotation reference"/>
    <w:basedOn w:val="27"/>
    <w:qFormat/>
    <w:uiPriority w:val="0"/>
    <w:rPr>
      <w:sz w:val="21"/>
      <w:szCs w:val="21"/>
    </w:rPr>
  </w:style>
  <w:style w:type="paragraph" w:customStyle="1" w:styleId="31">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2">
    <w:name w:val="List Paragraph"/>
    <w:basedOn w:val="1"/>
    <w:qFormat/>
    <w:uiPriority w:val="1"/>
    <w:pPr>
      <w:ind w:firstLine="420" w:firstLineChars="200"/>
    </w:pPr>
    <w:rPr>
      <w:rFonts w:ascii="Calibri" w:hAnsi="Calibri"/>
      <w:szCs w:val="22"/>
    </w:rPr>
  </w:style>
  <w:style w:type="paragraph" w:customStyle="1" w:styleId="33">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21"/>
    <w:basedOn w:val="27"/>
    <w:qFormat/>
    <w:uiPriority w:val="0"/>
    <w:rPr>
      <w:rFonts w:hint="default" w:ascii="Arial" w:hAnsi="Arial" w:cs="Arial"/>
      <w:color w:val="000000"/>
      <w:sz w:val="20"/>
      <w:szCs w:val="20"/>
      <w:u w:val="none"/>
    </w:rPr>
  </w:style>
  <w:style w:type="character" w:customStyle="1" w:styleId="48">
    <w:name w:val="font01"/>
    <w:basedOn w:val="27"/>
    <w:qFormat/>
    <w:uiPriority w:val="0"/>
    <w:rPr>
      <w:rFonts w:hint="eastAsia" w:ascii="宋体" w:hAnsi="宋体" w:eastAsia="宋体" w:cs="宋体"/>
      <w:color w:val="000000"/>
      <w:sz w:val="20"/>
      <w:szCs w:val="20"/>
      <w:u w:val="none"/>
    </w:rPr>
  </w:style>
  <w:style w:type="paragraph" w:customStyle="1" w:styleId="49">
    <w:name w:val="纯文本1"/>
    <w:basedOn w:val="50"/>
    <w:qFormat/>
    <w:uiPriority w:val="0"/>
    <w:pPr>
      <w:widowControl/>
      <w:jc w:val="left"/>
    </w:pPr>
    <w:rPr>
      <w:rFonts w:ascii="宋体" w:hAnsi="Courier New"/>
    </w:rPr>
  </w:style>
  <w:style w:type="paragraph" w:customStyle="1" w:styleId="5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1">
    <w:name w:val="Table Paragraph"/>
    <w:basedOn w:val="1"/>
    <w:qFormat/>
    <w:uiPriority w:val="1"/>
    <w:rPr>
      <w:rFonts w:ascii="宋体" w:hAnsi="宋体" w:cs="宋体"/>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默认段落字体 Para Char Char Char Char Char Char Char Char Char1 Char Char Char Char"/>
    <w:basedOn w:val="1"/>
    <w:qFormat/>
    <w:uiPriority w:val="0"/>
    <w:rPr>
      <w:rFonts w:ascii="Tahoma" w:hAnsi="Tahoma"/>
      <w:sz w:val="24"/>
      <w:szCs w:val="20"/>
    </w:rPr>
  </w:style>
  <w:style w:type="character" w:customStyle="1" w:styleId="54">
    <w:name w:val="批注框文本 字符"/>
    <w:basedOn w:val="27"/>
    <w:link w:val="17"/>
    <w:qFormat/>
    <w:uiPriority w:val="0"/>
    <w:rPr>
      <w:kern w:val="2"/>
      <w:sz w:val="18"/>
      <w:szCs w:val="18"/>
    </w:rPr>
  </w:style>
  <w:style w:type="paragraph" w:customStyle="1" w:styleId="55">
    <w:name w:val="英文"/>
    <w:basedOn w:val="1"/>
    <w:link w:val="57"/>
    <w:qFormat/>
    <w:uiPriority w:val="0"/>
    <w:pPr>
      <w:adjustRightInd w:val="0"/>
      <w:snapToGrid w:val="0"/>
      <w:spacing w:line="360" w:lineRule="auto"/>
      <w:ind w:firstLine="480" w:firstLineChars="200"/>
    </w:pPr>
    <w:rPr>
      <w:rFonts w:ascii="Arial" w:hAnsi="Arial" w:cs="Arial"/>
      <w:sz w:val="24"/>
    </w:rPr>
  </w:style>
  <w:style w:type="paragraph" w:customStyle="1" w:styleId="56">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7">
    <w:name w:val="英文 Char"/>
    <w:link w:val="55"/>
    <w:qFormat/>
    <w:uiPriority w:val="0"/>
    <w:rPr>
      <w:rFonts w:ascii="Arial" w:hAnsi="Arial" w:cs="Arial"/>
      <w:sz w:val="24"/>
    </w:rPr>
  </w:style>
  <w:style w:type="paragraph" w:customStyle="1" w:styleId="58">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59">
    <w:name w:val="正文缩进 字符"/>
    <w:link w:val="8"/>
    <w:qFormat/>
    <w:uiPriority w:val="0"/>
    <w:rPr>
      <w:kern w:val="2"/>
      <w:sz w:val="21"/>
    </w:rPr>
  </w:style>
  <w:style w:type="character" w:customStyle="1" w:styleId="60">
    <w:name w:val="正文文本缩进 字符"/>
    <w:basedOn w:val="27"/>
    <w:link w:val="13"/>
    <w:qFormat/>
    <w:uiPriority w:val="0"/>
    <w:rPr>
      <w:kern w:val="2"/>
      <w:sz w:val="21"/>
      <w:szCs w:val="24"/>
    </w:rPr>
  </w:style>
  <w:style w:type="character" w:customStyle="1" w:styleId="61">
    <w:name w:val="正文文本缩进 3 字符"/>
    <w:basedOn w:val="27"/>
    <w:link w:val="21"/>
    <w:qFormat/>
    <w:uiPriority w:val="0"/>
    <w:rPr>
      <w:kern w:val="2"/>
      <w:sz w:val="16"/>
      <w:szCs w:val="16"/>
    </w:rPr>
  </w:style>
  <w:style w:type="character" w:customStyle="1" w:styleId="62">
    <w:name w:val="正文文本缩进 3 Char2"/>
    <w:qFormat/>
    <w:uiPriority w:val="0"/>
    <w:rPr>
      <w:kern w:val="2"/>
      <w:sz w:val="16"/>
      <w:szCs w:val="16"/>
    </w:rPr>
  </w:style>
  <w:style w:type="character" w:customStyle="1" w:styleId="63">
    <w:name w:val="qowt-font4"/>
    <w:basedOn w:val="27"/>
    <w:qFormat/>
    <w:uiPriority w:val="0"/>
  </w:style>
  <w:style w:type="character" w:customStyle="1" w:styleId="64">
    <w:name w:val="页脚 字符"/>
    <w:link w:val="18"/>
    <w:qFormat/>
    <w:uiPriority w:val="0"/>
    <w:rPr>
      <w:kern w:val="2"/>
      <w:sz w:val="18"/>
      <w:szCs w:val="24"/>
    </w:rPr>
  </w:style>
  <w:style w:type="character" w:customStyle="1" w:styleId="65">
    <w:name w:val="HTML 预设格式 字符"/>
    <w:basedOn w:val="27"/>
    <w:link w:val="22"/>
    <w:qFormat/>
    <w:uiPriority w:val="0"/>
    <w:rPr>
      <w:rFonts w:ascii="宋体" w:hAnsi="宋体"/>
      <w:sz w:val="24"/>
      <w:szCs w:val="24"/>
    </w:rPr>
  </w:style>
  <w:style w:type="paragraph" w:customStyle="1" w:styleId="66">
    <w:name w:val="列出段落1"/>
    <w:basedOn w:val="1"/>
    <w:qFormat/>
    <w:uiPriority w:val="0"/>
    <w:pPr>
      <w:ind w:firstLine="420" w:firstLineChars="200"/>
    </w:pPr>
    <w:rPr>
      <w:rFonts w:ascii="Calibri" w:hAnsi="Calibri"/>
      <w:kern w:val="0"/>
      <w:szCs w:val="20"/>
    </w:rPr>
  </w:style>
  <w:style w:type="character" w:customStyle="1" w:styleId="67">
    <w:name w:val="正文文本首行缩进 2 字符"/>
    <w:basedOn w:val="60"/>
    <w:link w:val="24"/>
    <w:qFormat/>
    <w:uiPriority w:val="99"/>
    <w:rPr>
      <w:kern w:val="2"/>
      <w:sz w:val="21"/>
      <w:szCs w:val="24"/>
    </w:rPr>
  </w:style>
  <w:style w:type="character" w:customStyle="1" w:styleId="68">
    <w:name w:val="纯文本 字符"/>
    <w:basedOn w:val="27"/>
    <w:link w:val="15"/>
    <w:qFormat/>
    <w:locked/>
    <w:uiPriority w:val="99"/>
    <w:rPr>
      <w:rFonts w:ascii="宋体" w:hAnsi="Courier New" w:cstheme="minorBidi"/>
      <w:kern w:val="2"/>
      <w:sz w:val="21"/>
      <w:szCs w:val="24"/>
    </w:rPr>
  </w:style>
  <w:style w:type="character" w:customStyle="1" w:styleId="69">
    <w:name w:val="批注文字 字符"/>
    <w:link w:val="9"/>
    <w:qFormat/>
    <w:uiPriority w:val="99"/>
    <w:rPr>
      <w:kern w:val="2"/>
      <w:sz w:val="21"/>
      <w:szCs w:val="24"/>
    </w:rPr>
  </w:style>
  <w:style w:type="paragraph" w:customStyle="1" w:styleId="70">
    <w:name w:val="Default"/>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character" w:customStyle="1" w:styleId="71">
    <w:name w:val="纯文本 Char1"/>
    <w:basedOn w:val="27"/>
    <w:qFormat/>
    <w:locked/>
    <w:uiPriority w:val="99"/>
    <w:rPr>
      <w:rFonts w:ascii="Simang" w:hAnsi="Courier New" w:eastAsia="Simang" w:cs="Times New Roman"/>
      <w:sz w:val="24"/>
      <w:szCs w:val="24"/>
    </w:rPr>
  </w:style>
  <w:style w:type="character" w:customStyle="1" w:styleId="72">
    <w:name w:val="称呼 Char"/>
    <w:basedOn w:val="27"/>
    <w:qFormat/>
    <w:uiPriority w:val="0"/>
    <w:rPr>
      <w:kern w:val="2"/>
      <w:sz w:val="21"/>
      <w:szCs w:val="24"/>
    </w:rPr>
  </w:style>
  <w:style w:type="character" w:customStyle="1" w:styleId="73">
    <w:name w:val="称呼 字符"/>
    <w:basedOn w:val="27"/>
    <w:link w:val="10"/>
    <w:qFormat/>
    <w:locked/>
    <w:uiPriority w:val="99"/>
    <w:rPr>
      <w:rFonts w:eastAsia="Simang"/>
      <w:sz w:val="16"/>
      <w:szCs w:val="16"/>
    </w:rPr>
  </w:style>
  <w:style w:type="paragraph" w:customStyle="1" w:styleId="74">
    <w:name w:val="正文首行缩进 21"/>
    <w:basedOn w:val="1"/>
    <w:qFormat/>
    <w:uiPriority w:val="0"/>
    <w:pPr>
      <w:spacing w:after="120"/>
      <w:ind w:left="420" w:leftChars="200" w:firstLine="420"/>
    </w:pPr>
  </w:style>
  <w:style w:type="paragraph" w:customStyle="1" w:styleId="75">
    <w:name w:val="普通(网站)1"/>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76">
    <w:name w:val="日期 字符"/>
    <w:basedOn w:val="27"/>
    <w:link w:val="16"/>
    <w:qFormat/>
    <w:uiPriority w:val="0"/>
    <w:rPr>
      <w:rFonts w:eastAsia="楷体_GB2312" w:asciiTheme="minorHAnsi" w:hAnsiTheme="minorHAnsi" w:cstheme="minorBidi"/>
      <w:kern w:val="2"/>
      <w:sz w:val="32"/>
      <w:szCs w:val="22"/>
    </w:rPr>
  </w:style>
  <w:style w:type="paragraph" w:customStyle="1" w:styleId="77">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78">
    <w:name w:val="默认段落字体 Para Char"/>
    <w:basedOn w:val="1"/>
    <w:qFormat/>
    <w:uiPriority w:val="0"/>
    <w:rPr>
      <w:szCs w:val="20"/>
    </w:rPr>
  </w:style>
  <w:style w:type="character" w:customStyle="1" w:styleId="79">
    <w:name w:val="selectleft"/>
    <w:basedOn w:val="27"/>
    <w:qFormat/>
    <w:uiPriority w:val="0"/>
  </w:style>
  <w:style w:type="character" w:customStyle="1" w:styleId="80">
    <w:name w:val="l-btn-text"/>
    <w:basedOn w:val="27"/>
    <w:qFormat/>
    <w:uiPriority w:val="0"/>
    <w:rPr>
      <w:sz w:val="18"/>
      <w:szCs w:val="18"/>
      <w:vertAlign w:val="baseline"/>
    </w:rPr>
  </w:style>
  <w:style w:type="character" w:customStyle="1" w:styleId="81">
    <w:name w:val="l-btn-left"/>
    <w:basedOn w:val="27"/>
    <w:qFormat/>
    <w:uiPriority w:val="0"/>
  </w:style>
  <w:style w:type="character" w:customStyle="1" w:styleId="82">
    <w:name w:val="l-btn-left1"/>
    <w:basedOn w:val="27"/>
    <w:qFormat/>
    <w:uiPriority w:val="0"/>
  </w:style>
  <w:style w:type="character" w:customStyle="1" w:styleId="83">
    <w:name w:val="l-btn-left2"/>
    <w:basedOn w:val="27"/>
    <w:qFormat/>
    <w:uiPriority w:val="0"/>
  </w:style>
  <w:style w:type="character" w:customStyle="1" w:styleId="84">
    <w:name w:val="l-btn-left3"/>
    <w:basedOn w:val="27"/>
    <w:qFormat/>
    <w:uiPriority w:val="0"/>
  </w:style>
  <w:style w:type="character" w:customStyle="1" w:styleId="85">
    <w:name w:val="l-btn-empty"/>
    <w:basedOn w:val="27"/>
    <w:qFormat/>
    <w:uiPriority w:val="0"/>
  </w:style>
  <w:style w:type="character" w:customStyle="1" w:styleId="86">
    <w:name w:val="l-btn-icon-left"/>
    <w:basedOn w:val="27"/>
    <w:qFormat/>
    <w:uiPriority w:val="0"/>
  </w:style>
  <w:style w:type="character" w:customStyle="1" w:styleId="87">
    <w:name w:val="l-btn-icon-right"/>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A6435-AA0D-4A83-9AD6-740138EFA5EE}">
  <ds:schemaRefs/>
</ds:datastoreItem>
</file>

<file path=docProps/app.xml><?xml version="1.0" encoding="utf-8"?>
<Properties xmlns="http://schemas.openxmlformats.org/officeDocument/2006/extended-properties" xmlns:vt="http://schemas.openxmlformats.org/officeDocument/2006/docPropsVTypes">
  <Template>Normal</Template>
  <Pages>55</Pages>
  <Words>24772</Words>
  <Characters>26120</Characters>
  <Lines>189</Lines>
  <Paragraphs>53</Paragraphs>
  <TotalTime>0</TotalTime>
  <ScaleCrop>false</ScaleCrop>
  <LinksUpToDate>false</LinksUpToDate>
  <CharactersWithSpaces>27523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小小小氓</cp:lastModifiedBy>
  <cp:lastPrinted>2022-07-14T00:32:00Z</cp:lastPrinted>
  <dcterms:modified xsi:type="dcterms:W3CDTF">2023-03-08T07:26:47Z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9C7364E717834449A88E2D98EF87386F</vt:lpwstr>
  </property>
</Properties>
</file>