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BADA5">
      <w:pPr>
        <w:spacing w:line="360" w:lineRule="auto"/>
        <w:jc w:val="center"/>
        <w:rPr>
          <w:rFonts w:hint="eastAsia" w:ascii="宋体" w:hAnsi="宋体"/>
          <w:b/>
          <w:sz w:val="32"/>
          <w:szCs w:val="32"/>
        </w:rPr>
      </w:pPr>
      <w:r>
        <w:rPr>
          <w:rFonts w:hint="eastAsia" w:ascii="宋体" w:hAnsi="宋体"/>
          <w:b/>
          <w:sz w:val="32"/>
          <w:szCs w:val="32"/>
          <w:lang w:val="en-US" w:eastAsia="zh-CN"/>
        </w:rPr>
        <w:t>工程量清单</w:t>
      </w:r>
      <w:r>
        <w:rPr>
          <w:rFonts w:hint="eastAsia" w:ascii="宋体" w:hAnsi="宋体"/>
          <w:b/>
          <w:sz w:val="32"/>
          <w:szCs w:val="32"/>
        </w:rPr>
        <w:t>编制说明</w:t>
      </w:r>
    </w:p>
    <w:p w14:paraId="2C7AF412">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工程概况：</w:t>
      </w:r>
    </w:p>
    <w:p w14:paraId="775BD5F2">
      <w:pPr>
        <w:pStyle w:val="2"/>
        <w:keepNext w:val="0"/>
        <w:keepLines w:val="0"/>
        <w:widowControl/>
        <w:suppressLineNumbers w:val="0"/>
        <w:spacing w:before="0" w:beforeAutospacing="0" w:after="0" w:afterAutospacing="0" w:line="360" w:lineRule="auto"/>
        <w:ind w:right="0"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本工程为温州园博会”舟山园“项目。建设地点位于浙江省温州市，包含但不限于红线范围内景观绿化（景观道路、园林小品、景观池、景石堆砌、绿地、景观照明电气、景观给排水、景观弱电、灌溉给水、造浪设备、雾森系统、水净化设备等）、建筑（含灯塔）及室内外装修（含精装修、室内电气、室内给排水、室内弱电等）、造浪系统机房、配套设施、室外综合管线等以及为完成本工程所需的所有措施项目、竣工验收及保修服务。</w:t>
      </w:r>
    </w:p>
    <w:p w14:paraId="5DDF083F">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招标范围：</w:t>
      </w:r>
    </w:p>
    <w:p w14:paraId="2FAFD9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sz w:val="21"/>
          <w:szCs w:val="21"/>
          <w:lang w:val="en-US" w:eastAsia="zh-CN"/>
        </w:rPr>
      </w:pPr>
      <w:r>
        <w:rPr>
          <w:rFonts w:hint="eastAsia" w:ascii="宋体" w:hAnsi="宋体" w:eastAsia="宋体" w:cs="宋体"/>
          <w:sz w:val="21"/>
          <w:szCs w:val="21"/>
        </w:rPr>
        <w:t>本工程</w:t>
      </w:r>
      <w:r>
        <w:rPr>
          <w:rFonts w:hint="eastAsia" w:ascii="宋体" w:hAnsi="宋体" w:eastAsia="宋体" w:cs="宋体"/>
          <w:sz w:val="21"/>
          <w:szCs w:val="21"/>
          <w:lang w:val="en-US" w:eastAsia="zh-CN"/>
        </w:rPr>
        <w:t>施工范围主要</w:t>
      </w:r>
      <w:r>
        <w:rPr>
          <w:rFonts w:hint="eastAsia" w:ascii="宋体" w:hAnsi="宋体" w:eastAsia="宋体" w:cs="宋体"/>
          <w:sz w:val="21"/>
          <w:szCs w:val="21"/>
        </w:rPr>
        <w:t>包括：</w:t>
      </w:r>
      <w:r>
        <w:rPr>
          <w:rFonts w:hint="eastAsia" w:ascii="宋体" w:hAnsi="宋体" w:eastAsia="宋体" w:cs="宋体"/>
          <w:kern w:val="2"/>
          <w:sz w:val="21"/>
          <w:szCs w:val="21"/>
          <w:lang w:val="en-US" w:eastAsia="zh-CN" w:bidi="ar-SA"/>
        </w:rPr>
        <w:t>景观道路、园林小品</w:t>
      </w:r>
      <w:r>
        <w:rPr>
          <w:rFonts w:hint="eastAsia" w:ascii="宋体" w:hAnsi="宋体" w:cs="宋体"/>
          <w:kern w:val="2"/>
          <w:sz w:val="21"/>
          <w:szCs w:val="21"/>
          <w:lang w:val="en-US" w:eastAsia="zh-CN" w:bidi="ar-SA"/>
        </w:rPr>
        <w:t>、景观池、景石堆砌、展厅</w:t>
      </w:r>
      <w:r>
        <w:rPr>
          <w:rFonts w:hint="eastAsia" w:ascii="宋体" w:hAnsi="宋体" w:eastAsia="宋体" w:cs="宋体"/>
          <w:kern w:val="2"/>
          <w:sz w:val="21"/>
          <w:szCs w:val="21"/>
          <w:lang w:val="en-US" w:eastAsia="zh-CN" w:bidi="ar-SA"/>
        </w:rPr>
        <w:t>、绿地</w:t>
      </w:r>
      <w:r>
        <w:rPr>
          <w:rFonts w:hint="eastAsia" w:ascii="宋体" w:hAnsi="宋体" w:cs="宋体"/>
          <w:kern w:val="2"/>
          <w:sz w:val="21"/>
          <w:szCs w:val="21"/>
          <w:lang w:val="en-US" w:eastAsia="zh-CN" w:bidi="ar-SA"/>
        </w:rPr>
        <w:t>、室内电气、室内给排水、室内弱电</w:t>
      </w:r>
      <w:r>
        <w:rPr>
          <w:rFonts w:hint="eastAsia" w:ascii="宋体" w:hAnsi="宋体" w:eastAsia="宋体" w:cs="宋体"/>
          <w:kern w:val="2"/>
          <w:sz w:val="21"/>
          <w:szCs w:val="21"/>
          <w:lang w:val="en-US" w:eastAsia="zh-CN" w:bidi="ar-SA"/>
        </w:rPr>
        <w:t>、景观照明电气</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景观给排水</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景观</w:t>
      </w:r>
      <w:r>
        <w:rPr>
          <w:rFonts w:hint="eastAsia" w:ascii="宋体" w:hAnsi="宋体" w:cs="宋体"/>
          <w:kern w:val="2"/>
          <w:sz w:val="21"/>
          <w:szCs w:val="21"/>
          <w:lang w:val="en-US" w:eastAsia="zh-CN" w:bidi="ar-SA"/>
        </w:rPr>
        <w:t>弱电、灌溉给水及设备</w:t>
      </w:r>
      <w:r>
        <w:rPr>
          <w:rFonts w:hint="eastAsia" w:ascii="宋体" w:hAnsi="宋体" w:eastAsia="宋体" w:cs="宋体"/>
          <w:kern w:val="2"/>
          <w:sz w:val="21"/>
          <w:szCs w:val="21"/>
          <w:lang w:val="en-US" w:eastAsia="zh-CN" w:bidi="ar-SA"/>
        </w:rPr>
        <w:t>等</w:t>
      </w:r>
      <w:r>
        <w:rPr>
          <w:rFonts w:hint="eastAsia" w:ascii="宋体" w:hAnsi="宋体" w:cs="宋体"/>
          <w:sz w:val="21"/>
          <w:szCs w:val="21"/>
          <w:lang w:eastAsia="zh-CN"/>
        </w:rPr>
        <w:t>。</w:t>
      </w:r>
    </w:p>
    <w:p w14:paraId="15159FDE">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编制依据：</w:t>
      </w:r>
    </w:p>
    <w:p w14:paraId="1B90911E">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cs="宋体"/>
          <w:kern w:val="2"/>
          <w:sz w:val="21"/>
          <w:szCs w:val="21"/>
          <w:lang w:val="en-US" w:eastAsia="zh-CN" w:bidi="ar-SA"/>
        </w:rPr>
        <w:t>温州园博会”舟山园“项目</w:t>
      </w:r>
      <w:r>
        <w:rPr>
          <w:rFonts w:hint="eastAsia" w:ascii="宋体" w:hAnsi="宋体" w:eastAsia="宋体" w:cs="宋体"/>
          <w:sz w:val="21"/>
          <w:szCs w:val="21"/>
        </w:rPr>
        <w:t>施工图</w:t>
      </w:r>
      <w:r>
        <w:rPr>
          <w:rFonts w:hint="eastAsia" w:ascii="宋体" w:hAnsi="宋体" w:eastAsia="宋体" w:cs="宋体"/>
          <w:sz w:val="21"/>
          <w:szCs w:val="21"/>
          <w:lang w:eastAsia="zh-CN"/>
        </w:rPr>
        <w:t>；</w:t>
      </w:r>
    </w:p>
    <w:p w14:paraId="61852612">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2、《建设工程工程量清单计价规范》GB50500-2013、《房屋建筑与装饰工程工程量计算规范》GB50854-2013、《通用安装工程工程量计算规范》GB50856-2013、《市政工程工程量计算规范》GB50857-2013、《园林绿化工程工程量计算规范》GB50858-2013、《仿古建筑工程工程量计算规范》GB50855-2013、浙建站计[2013]63号《关于印发&lt;建设工程工程量清单计算规范（2013）浙江省补充规定&gt;的通知》、浙建站计[2014]31号《关于印发&lt;建设工程工程量清单计算规范（2013）浙江省补充规定（二）&gt;的通知》、《浙江省建设工程计价规则》（2018版）、《浙江省房屋建筑与装饰工程预算定额》（2018版）、《浙江省通用安装工程预算定额》（2018版）、《浙江省市政工程预算定额》（2018版）、《浙江省园林绿化及仿古建筑工程预算定额》（2018版）、《浙江省建设工程施工机械台班费用定额》（2018版）、《浙江省建筑安装材料基期价格》（2018版）、浙建建［2018］61号《关于颁发&lt;浙江省建设工程计价依据&gt;（2018版）的通知》、舟建发[2018]265号《关于贯彻执行&lt;浙江省建设工程计价依据&gt;（2018版）的通知》、浙建站信[2018]52号《关于发布浙江省房屋建筑人工综合价格指数的通知》、浙建建发［2019］92号《关于增值税调整后我省建设工程计价依据增值税税率及有关计价调整的通知》、浙建站定［2019］77号《关于印发&lt;浙江省建设工程计价依据&gt;（2018版）综合解释的通知》、建设发[2015]479号文件、舟建发[2014]197号、浙建建发[2022]37号等相关文件的规定</w:t>
      </w:r>
      <w:r>
        <w:rPr>
          <w:rFonts w:hint="eastAsia" w:ascii="宋体" w:hAnsi="宋体" w:eastAsia="宋体" w:cs="宋体"/>
          <w:sz w:val="21"/>
          <w:szCs w:val="21"/>
          <w:lang w:eastAsia="zh-CN"/>
        </w:rPr>
        <w:t>；</w:t>
      </w:r>
    </w:p>
    <w:p w14:paraId="06967A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3、主要材料价格参考《</w:t>
      </w:r>
      <w:r>
        <w:rPr>
          <w:rFonts w:hint="eastAsia" w:ascii="宋体" w:hAnsi="宋体" w:cs="宋体"/>
          <w:sz w:val="21"/>
          <w:szCs w:val="21"/>
          <w:lang w:val="en-US" w:eastAsia="zh-CN"/>
        </w:rPr>
        <w:t>温州</w:t>
      </w:r>
      <w:r>
        <w:rPr>
          <w:rFonts w:hint="eastAsia" w:ascii="宋体" w:hAnsi="宋体" w:eastAsia="宋体" w:cs="宋体"/>
          <w:sz w:val="21"/>
          <w:szCs w:val="21"/>
        </w:rPr>
        <w:t>市建设工程信息价简报》202</w:t>
      </w:r>
      <w:r>
        <w:rPr>
          <w:rFonts w:hint="eastAsia" w:ascii="宋体" w:hAnsi="宋体" w:cs="宋体"/>
          <w:sz w:val="21"/>
          <w:szCs w:val="21"/>
          <w:lang w:val="en-US" w:eastAsia="zh-CN"/>
        </w:rPr>
        <w:t>5</w:t>
      </w:r>
      <w:r>
        <w:rPr>
          <w:rFonts w:hint="eastAsia" w:ascii="宋体" w:hAnsi="宋体" w:eastAsia="宋体" w:cs="宋体"/>
          <w:sz w:val="21"/>
          <w:szCs w:val="21"/>
        </w:rPr>
        <w:t>年第</w:t>
      </w:r>
      <w:r>
        <w:rPr>
          <w:rFonts w:hint="eastAsia" w:ascii="宋体" w:hAnsi="宋体" w:cs="宋体"/>
          <w:sz w:val="21"/>
          <w:szCs w:val="21"/>
          <w:lang w:val="en-US" w:eastAsia="zh-CN"/>
        </w:rPr>
        <w:t>5</w:t>
      </w:r>
      <w:r>
        <w:rPr>
          <w:rFonts w:hint="eastAsia" w:ascii="宋体" w:hAnsi="宋体" w:eastAsia="宋体" w:cs="宋体"/>
          <w:sz w:val="21"/>
          <w:szCs w:val="21"/>
        </w:rPr>
        <w:t>期（</w:t>
      </w:r>
      <w:r>
        <w:rPr>
          <w:rFonts w:hint="eastAsia" w:ascii="宋体" w:hAnsi="宋体" w:cs="宋体"/>
          <w:sz w:val="21"/>
          <w:szCs w:val="21"/>
          <w:lang w:val="en-US" w:eastAsia="zh-CN"/>
        </w:rPr>
        <w:t>温州</w:t>
      </w:r>
      <w:r>
        <w:rPr>
          <w:rFonts w:hint="eastAsia" w:ascii="宋体" w:hAnsi="宋体" w:eastAsia="宋体" w:cs="宋体"/>
          <w:sz w:val="21"/>
          <w:szCs w:val="21"/>
        </w:rPr>
        <w:t>市区），《浙江造价信息》20</w:t>
      </w:r>
      <w:r>
        <w:rPr>
          <w:rFonts w:hint="eastAsia" w:ascii="宋体" w:hAnsi="宋体" w:cs="宋体"/>
          <w:sz w:val="21"/>
          <w:szCs w:val="21"/>
          <w:lang w:val="en-US" w:eastAsia="zh-CN"/>
        </w:rPr>
        <w:t>25</w:t>
      </w:r>
      <w:r>
        <w:rPr>
          <w:rFonts w:hint="eastAsia" w:ascii="宋体" w:hAnsi="宋体" w:eastAsia="宋体" w:cs="宋体"/>
          <w:sz w:val="21"/>
          <w:szCs w:val="21"/>
        </w:rPr>
        <w:t>年第</w:t>
      </w:r>
      <w:r>
        <w:rPr>
          <w:rFonts w:hint="eastAsia" w:ascii="宋体" w:hAnsi="宋体" w:cs="宋体"/>
          <w:sz w:val="21"/>
          <w:szCs w:val="21"/>
          <w:lang w:val="en-US" w:eastAsia="zh-CN"/>
        </w:rPr>
        <w:t>5</w:t>
      </w:r>
      <w:r>
        <w:rPr>
          <w:rFonts w:hint="eastAsia" w:ascii="宋体" w:hAnsi="宋体" w:eastAsia="宋体" w:cs="宋体"/>
          <w:sz w:val="21"/>
          <w:szCs w:val="21"/>
        </w:rPr>
        <w:t>期，《</w:t>
      </w:r>
      <w:r>
        <w:rPr>
          <w:rFonts w:hint="eastAsia" w:ascii="宋体" w:hAnsi="宋体" w:cs="宋体"/>
          <w:sz w:val="21"/>
          <w:szCs w:val="21"/>
          <w:lang w:val="en-US" w:eastAsia="zh-CN"/>
        </w:rPr>
        <w:t>温州</w:t>
      </w:r>
      <w:r>
        <w:rPr>
          <w:rFonts w:hint="eastAsia" w:ascii="宋体" w:hAnsi="宋体" w:eastAsia="宋体" w:cs="宋体"/>
          <w:sz w:val="21"/>
          <w:szCs w:val="21"/>
        </w:rPr>
        <w:t>信息简报园林苗木专刊》202</w:t>
      </w:r>
      <w:r>
        <w:rPr>
          <w:rFonts w:hint="eastAsia" w:ascii="宋体" w:hAnsi="宋体" w:cs="宋体"/>
          <w:sz w:val="21"/>
          <w:szCs w:val="21"/>
          <w:lang w:val="en-US" w:eastAsia="zh-CN"/>
        </w:rPr>
        <w:t>5</w:t>
      </w:r>
      <w:r>
        <w:rPr>
          <w:rFonts w:hint="eastAsia" w:ascii="宋体" w:hAnsi="宋体" w:eastAsia="宋体" w:cs="宋体"/>
          <w:sz w:val="21"/>
          <w:szCs w:val="21"/>
        </w:rPr>
        <w:t>年</w:t>
      </w:r>
      <w:r>
        <w:rPr>
          <w:rFonts w:hint="eastAsia" w:ascii="宋体" w:hAnsi="宋体" w:cs="宋体"/>
          <w:sz w:val="21"/>
          <w:szCs w:val="21"/>
          <w:lang w:val="en-US" w:eastAsia="zh-CN"/>
        </w:rPr>
        <w:t>2</w:t>
      </w:r>
      <w:r>
        <w:rPr>
          <w:rFonts w:hint="eastAsia" w:ascii="宋体" w:hAnsi="宋体" w:eastAsia="宋体" w:cs="宋体"/>
          <w:sz w:val="21"/>
          <w:szCs w:val="21"/>
        </w:rPr>
        <w:t>月刊，无价材料询市场价；</w:t>
      </w:r>
    </w:p>
    <w:p w14:paraId="72336724">
      <w:pPr>
        <w:keepNext w:val="0"/>
        <w:keepLines w:val="0"/>
        <w:pageBreakBefore w:val="0"/>
        <w:widowControl w:val="0"/>
        <w:kinsoku/>
        <w:wordWrap/>
        <w:overflowPunct/>
        <w:topLinePunct w:val="0"/>
        <w:autoSpaceDE w:val="0"/>
        <w:autoSpaceDN w:val="0"/>
        <w:bidi w:val="0"/>
        <w:adjustRightInd w:val="0"/>
        <w:snapToGrid/>
        <w:spacing w:line="360" w:lineRule="auto"/>
        <w:ind w:firstLine="405"/>
        <w:textAlignment w:val="auto"/>
        <w:rPr>
          <w:rFonts w:hint="eastAsia" w:ascii="宋体" w:hAnsi="宋体" w:eastAsia="宋体" w:cs="宋体"/>
          <w:sz w:val="21"/>
          <w:szCs w:val="21"/>
        </w:rPr>
      </w:pPr>
      <w:r>
        <w:rPr>
          <w:rFonts w:hint="eastAsia" w:ascii="宋体" w:hAnsi="宋体" w:eastAsia="宋体" w:cs="宋体"/>
          <w:sz w:val="21"/>
          <w:szCs w:val="21"/>
        </w:rPr>
        <w:t>4、人工工资按《</w:t>
      </w:r>
      <w:r>
        <w:rPr>
          <w:rFonts w:hint="eastAsia" w:ascii="宋体" w:hAnsi="宋体" w:cs="宋体"/>
          <w:sz w:val="21"/>
          <w:szCs w:val="21"/>
          <w:lang w:val="en-US" w:eastAsia="zh-CN"/>
        </w:rPr>
        <w:t>温州</w:t>
      </w:r>
      <w:r>
        <w:rPr>
          <w:rFonts w:hint="eastAsia" w:ascii="宋体" w:hAnsi="宋体" w:eastAsia="宋体" w:cs="宋体"/>
          <w:sz w:val="21"/>
          <w:szCs w:val="21"/>
        </w:rPr>
        <w:t>市建设工程价格信息简报》人工市场信息价202</w:t>
      </w:r>
      <w:r>
        <w:rPr>
          <w:rFonts w:hint="eastAsia" w:ascii="宋体" w:hAnsi="宋体" w:cs="宋体"/>
          <w:sz w:val="21"/>
          <w:szCs w:val="21"/>
          <w:lang w:val="en-US" w:eastAsia="zh-CN"/>
        </w:rPr>
        <w:t>5</w:t>
      </w:r>
      <w:r>
        <w:rPr>
          <w:rFonts w:hint="eastAsia" w:ascii="宋体" w:hAnsi="宋体" w:eastAsia="宋体" w:cs="宋体"/>
          <w:sz w:val="21"/>
          <w:szCs w:val="21"/>
        </w:rPr>
        <w:t>年</w:t>
      </w:r>
      <w:r>
        <w:rPr>
          <w:rFonts w:hint="eastAsia" w:ascii="宋体" w:hAnsi="宋体" w:eastAsia="宋体" w:cs="宋体"/>
          <w:color w:val="auto"/>
          <w:sz w:val="21"/>
          <w:szCs w:val="21"/>
        </w:rPr>
        <w:t>第</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期</w:t>
      </w:r>
      <w:r>
        <w:rPr>
          <w:rFonts w:hint="eastAsia" w:ascii="宋体" w:hAnsi="宋体" w:eastAsia="宋体" w:cs="宋体"/>
          <w:sz w:val="21"/>
          <w:szCs w:val="21"/>
        </w:rPr>
        <w:t>参考计取。</w:t>
      </w:r>
    </w:p>
    <w:p w14:paraId="04944073">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工程类别及费率设置：</w:t>
      </w:r>
    </w:p>
    <w:p w14:paraId="15BE985D">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工程类别：景观、绿化工程按“园林绿化及景观工程”费率计取；</w:t>
      </w:r>
      <w:r>
        <w:rPr>
          <w:rFonts w:hint="eastAsia" w:ascii="宋体" w:hAnsi="宋体" w:cs="宋体"/>
          <w:sz w:val="21"/>
          <w:szCs w:val="21"/>
          <w:lang w:eastAsia="zh-CN"/>
        </w:rPr>
        <w:t>排水</w:t>
      </w:r>
      <w:r>
        <w:rPr>
          <w:rFonts w:hint="eastAsia" w:ascii="宋体" w:hAnsi="宋体" w:eastAsia="宋体" w:cs="宋体"/>
          <w:sz w:val="21"/>
          <w:szCs w:val="21"/>
        </w:rPr>
        <w:t>按道路、排水、河道护岸、水处理构筑物及城市综合管廊、生活垃圾处理工程中值取费，</w:t>
      </w:r>
      <w:r>
        <w:rPr>
          <w:rFonts w:hint="eastAsia" w:ascii="宋体" w:hAnsi="宋体" w:eastAsia="宋体" w:cs="宋体"/>
          <w:sz w:val="21"/>
          <w:szCs w:val="21"/>
          <w:highlight w:val="none"/>
        </w:rPr>
        <w:t>安</w:t>
      </w:r>
      <w:r>
        <w:rPr>
          <w:rFonts w:hint="eastAsia" w:ascii="宋体" w:hAnsi="宋体" w:cs="宋体"/>
          <w:sz w:val="21"/>
          <w:szCs w:val="21"/>
          <w:highlight w:val="none"/>
          <w:lang w:eastAsia="zh-CN"/>
        </w:rPr>
        <w:t>单体安装按水、电、暖通、消防、智能、自控及通信安装工程，室外</w:t>
      </w:r>
      <w:r>
        <w:rPr>
          <w:rFonts w:hint="eastAsia" w:ascii="宋体" w:hAnsi="宋体" w:eastAsia="宋体" w:cs="宋体"/>
          <w:sz w:val="21"/>
          <w:szCs w:val="21"/>
          <w:highlight w:val="none"/>
          <w:lang w:val="en-US" w:eastAsia="zh-CN"/>
        </w:rPr>
        <w:t>安装工程按</w:t>
      </w:r>
      <w:r>
        <w:rPr>
          <w:rFonts w:hint="eastAsia" w:ascii="宋体" w:hAnsi="宋体" w:cs="宋体"/>
          <w:sz w:val="21"/>
          <w:szCs w:val="21"/>
          <w:highlight w:val="none"/>
          <w:lang w:val="en-US" w:eastAsia="zh-CN"/>
        </w:rPr>
        <w:t>市政</w:t>
      </w:r>
      <w:r>
        <w:rPr>
          <w:rFonts w:hint="eastAsia" w:ascii="宋体" w:hAnsi="宋体" w:eastAsia="宋体" w:cs="宋体"/>
          <w:sz w:val="21"/>
          <w:szCs w:val="21"/>
          <w:highlight w:val="none"/>
          <w:lang w:val="en-US" w:eastAsia="zh-CN"/>
        </w:rPr>
        <w:t>安装工程</w:t>
      </w:r>
      <w:r>
        <w:rPr>
          <w:rFonts w:hint="eastAsia" w:ascii="宋体" w:hAnsi="宋体" w:cs="宋体"/>
          <w:sz w:val="21"/>
          <w:szCs w:val="21"/>
          <w:highlight w:val="none"/>
          <w:lang w:val="en-US" w:eastAsia="zh-CN"/>
        </w:rPr>
        <w:t>，建筑按房屋建筑及构筑物工程取费，</w:t>
      </w:r>
      <w:r>
        <w:rPr>
          <w:rFonts w:hint="eastAsia" w:ascii="宋体" w:hAnsi="宋体" w:eastAsia="宋体" w:cs="宋体"/>
          <w:bCs/>
          <w:sz w:val="21"/>
          <w:szCs w:val="21"/>
        </w:rPr>
        <w:t>全文明施工费按“市区工程”考虑。</w:t>
      </w:r>
    </w:p>
    <w:p w14:paraId="27D7DED0">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非竞争性费率：</w:t>
      </w:r>
    </w:p>
    <w:tbl>
      <w:tblPr>
        <w:tblStyle w:val="3"/>
        <w:tblW w:w="8700" w:type="dxa"/>
        <w:jc w:val="center"/>
        <w:tblLayout w:type="fixed"/>
        <w:tblCellMar>
          <w:top w:w="0" w:type="dxa"/>
          <w:left w:w="108" w:type="dxa"/>
          <w:bottom w:w="0" w:type="dxa"/>
          <w:right w:w="108" w:type="dxa"/>
        </w:tblCellMar>
      </w:tblPr>
      <w:tblGrid>
        <w:gridCol w:w="1885"/>
        <w:gridCol w:w="2126"/>
        <w:gridCol w:w="1809"/>
        <w:gridCol w:w="2880"/>
      </w:tblGrid>
      <w:tr w14:paraId="667C4035">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01D54F99">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sz w:val="21"/>
                <w:szCs w:val="21"/>
              </w:rPr>
              <w:t>名称</w:t>
            </w:r>
          </w:p>
        </w:tc>
        <w:tc>
          <w:tcPr>
            <w:tcW w:w="2126" w:type="dxa"/>
            <w:tcBorders>
              <w:top w:val="single" w:color="000000" w:sz="4" w:space="0"/>
              <w:left w:val="single" w:color="000000" w:sz="4" w:space="0"/>
              <w:bottom w:val="single" w:color="000000" w:sz="4" w:space="0"/>
              <w:right w:val="single" w:color="000000" w:sz="4" w:space="0"/>
            </w:tcBorders>
            <w:noWrap w:val="0"/>
            <w:vAlign w:val="center"/>
          </w:tcPr>
          <w:p w14:paraId="3C99F600">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bCs/>
                <w:sz w:val="21"/>
                <w:szCs w:val="21"/>
              </w:rPr>
              <w:t>规费（%）区间</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A82699">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sz w:val="21"/>
                <w:szCs w:val="21"/>
              </w:rPr>
              <w:t>税金</w:t>
            </w:r>
            <w:r>
              <w:rPr>
                <w:rFonts w:hint="eastAsia" w:ascii="宋体" w:hAnsi="宋体" w:eastAsia="宋体" w:cs="宋体"/>
                <w:bCs/>
                <w:sz w:val="21"/>
                <w:szCs w:val="21"/>
              </w:rPr>
              <w:t>（%）</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0ED89246">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bCs/>
                <w:szCs w:val="21"/>
              </w:rPr>
              <w:t>安全文明施工基本费（</w:t>
            </w:r>
            <w:r>
              <w:rPr>
                <w:rFonts w:hint="eastAsia" w:ascii="宋体" w:hAnsi="宋体"/>
                <w:bCs/>
                <w:szCs w:val="21"/>
                <w:lang w:val="en-US" w:eastAsia="zh-CN"/>
              </w:rPr>
              <w:t>区间</w:t>
            </w:r>
            <w:r>
              <w:rPr>
                <w:rFonts w:hint="eastAsia" w:ascii="宋体" w:hAnsi="宋体"/>
                <w:bCs/>
                <w:szCs w:val="21"/>
              </w:rPr>
              <w:t>）（%）</w:t>
            </w:r>
          </w:p>
        </w:tc>
      </w:tr>
      <w:tr w14:paraId="5A557403">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D3A7E8A">
            <w:pPr>
              <w:autoSpaceDE w:val="0"/>
              <w:autoSpaceDN w:val="0"/>
              <w:adjustRightInd w:val="0"/>
              <w:spacing w:line="360" w:lineRule="auto"/>
              <w:jc w:val="center"/>
              <w:rPr>
                <w:rFonts w:hint="eastAsia" w:ascii="宋体" w:hAnsi="宋体" w:eastAsia="宋体" w:cs="宋体"/>
                <w:bCs/>
                <w:sz w:val="21"/>
                <w:szCs w:val="21"/>
              </w:rPr>
            </w:pPr>
            <w:r>
              <w:rPr>
                <w:rFonts w:hint="eastAsia" w:ascii="宋体" w:hAnsi="宋体" w:cs="宋体"/>
                <w:bCs/>
                <w:sz w:val="21"/>
                <w:szCs w:val="21"/>
                <w:lang w:eastAsia="zh-CN"/>
              </w:rPr>
              <w:t>园林景观</w:t>
            </w:r>
            <w:r>
              <w:rPr>
                <w:rFonts w:hint="eastAsia" w:ascii="宋体" w:hAnsi="宋体" w:eastAsia="宋体" w:cs="宋体"/>
                <w:bCs/>
                <w:sz w:val="21"/>
                <w:szCs w:val="21"/>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AE0F2B2">
            <w:pPr>
              <w:autoSpaceDE w:val="0"/>
              <w:autoSpaceDN w:val="0"/>
              <w:adjustRightInd w:val="0"/>
              <w:spacing w:line="276" w:lineRule="auto"/>
              <w:jc w:val="center"/>
              <w:rPr>
                <w:rFonts w:hint="eastAsia" w:ascii="宋体" w:hAnsi="宋体" w:eastAsia="宋体" w:cs="宋体"/>
                <w:bCs/>
                <w:sz w:val="21"/>
                <w:szCs w:val="21"/>
              </w:rPr>
            </w:pPr>
            <w:r>
              <w:rPr>
                <w:rFonts w:hint="eastAsia" w:ascii="宋体" w:hAnsi="宋体" w:cs="仿宋_GB2312"/>
                <w:lang w:val="en-US" w:eastAsia="zh-CN"/>
              </w:rPr>
              <w:t>9.29~30.97</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C205000">
            <w:pPr>
              <w:autoSpaceDE w:val="0"/>
              <w:autoSpaceDN w:val="0"/>
              <w:adjustRightInd w:val="0"/>
              <w:spacing w:line="276" w:lineRule="auto"/>
              <w:jc w:val="center"/>
              <w:rPr>
                <w:rFonts w:hint="eastAsia" w:ascii="宋体" w:hAnsi="宋体" w:eastAsia="宋体" w:cs="宋体"/>
                <w:bCs/>
                <w:sz w:val="21"/>
                <w:szCs w:val="21"/>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7707CB39">
            <w:pPr>
              <w:autoSpaceDE w:val="0"/>
              <w:autoSpaceDN w:val="0"/>
              <w:adjustRightInd w:val="0"/>
              <w:spacing w:line="276" w:lineRule="auto"/>
              <w:jc w:val="center"/>
              <w:rPr>
                <w:rFonts w:hint="default" w:ascii="宋体" w:hAnsi="宋体" w:eastAsia="宋体" w:cs="宋体"/>
                <w:bCs/>
                <w:sz w:val="21"/>
                <w:szCs w:val="21"/>
                <w:lang w:val="en-US"/>
              </w:rPr>
            </w:pPr>
            <w:r>
              <w:rPr>
                <w:rFonts w:hint="eastAsia" w:ascii="宋体" w:hAnsi="宋体" w:cs="仿宋_GB2312"/>
                <w:lang w:val="en-US" w:eastAsia="zh-CN"/>
              </w:rPr>
              <w:t>6.64~7.37</w:t>
            </w:r>
          </w:p>
        </w:tc>
      </w:tr>
      <w:tr w14:paraId="022CAA15">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2E51BE6">
            <w:pPr>
              <w:autoSpaceDE w:val="0"/>
              <w:autoSpaceDN w:val="0"/>
              <w:adjustRightInd w:val="0"/>
              <w:spacing w:line="360" w:lineRule="auto"/>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建筑</w:t>
            </w:r>
            <w:r>
              <w:rPr>
                <w:rFonts w:hint="eastAsia" w:ascii="宋体" w:hAnsi="宋体" w:eastAsia="宋体" w:cs="宋体"/>
                <w:bCs/>
                <w:sz w:val="21"/>
                <w:szCs w:val="21"/>
                <w:lang w:val="en-US" w:eastAsia="zh-CN"/>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2202A7C">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7.73~25.78</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730223">
            <w:pPr>
              <w:autoSpaceDE w:val="0"/>
              <w:autoSpaceDN w:val="0"/>
              <w:adjustRightInd w:val="0"/>
              <w:spacing w:line="276" w:lineRule="auto"/>
              <w:jc w:val="center"/>
              <w:rPr>
                <w:rFonts w:hint="eastAsia"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26417C1D">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8.21~9.12</w:t>
            </w:r>
          </w:p>
        </w:tc>
      </w:tr>
      <w:tr w14:paraId="432E182A">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DBC9DE3">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排水工程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4F708A64">
            <w:pPr>
              <w:autoSpaceDE w:val="0"/>
              <w:autoSpaceDN w:val="0"/>
              <w:adjustRightInd w:val="0"/>
              <w:spacing w:line="276" w:lineRule="auto"/>
              <w:jc w:val="center"/>
              <w:rPr>
                <w:rFonts w:hint="eastAsia" w:ascii="宋体" w:hAnsi="宋体" w:eastAsia="宋体" w:cs="宋体"/>
                <w:bCs/>
                <w:sz w:val="21"/>
                <w:szCs w:val="21"/>
                <w:lang w:val="en-US" w:eastAsia="zh-CN"/>
              </w:rPr>
            </w:pPr>
            <w:r>
              <w:rPr>
                <w:rFonts w:hint="eastAsia" w:ascii="宋体" w:hAnsi="宋体" w:cs="仿宋_GB2312"/>
                <w:lang w:val="en-US" w:eastAsia="zh-CN"/>
              </w:rPr>
              <w:t>5.63~18.75</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283E822">
            <w:pPr>
              <w:autoSpaceDE w:val="0"/>
              <w:autoSpaceDN w:val="0"/>
              <w:adjustRightInd w:val="0"/>
              <w:spacing w:line="276" w:lineRule="auto"/>
              <w:jc w:val="center"/>
              <w:rPr>
                <w:rFonts w:hint="eastAsia" w:ascii="宋体" w:hAnsi="宋体" w:eastAsia="宋体" w:cs="宋体"/>
                <w:bCs/>
                <w:sz w:val="21"/>
                <w:szCs w:val="21"/>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59EA2945">
            <w:pPr>
              <w:autoSpaceDE w:val="0"/>
              <w:autoSpaceDN w:val="0"/>
              <w:adjustRightInd w:val="0"/>
              <w:spacing w:line="276" w:lineRule="auto"/>
              <w:jc w:val="center"/>
              <w:rPr>
                <w:rFonts w:hint="default" w:ascii="宋体" w:hAnsi="宋体" w:eastAsia="宋体" w:cs="宋体"/>
                <w:bCs/>
                <w:sz w:val="21"/>
                <w:szCs w:val="21"/>
                <w:lang w:val="en-US" w:eastAsia="zh-CN"/>
              </w:rPr>
            </w:pPr>
            <w:r>
              <w:rPr>
                <w:rFonts w:hint="eastAsia" w:ascii="宋体" w:hAnsi="宋体" w:eastAsia="宋体" w:cs="仿宋_GB2312"/>
                <w:lang w:val="en-US" w:eastAsia="zh-CN"/>
              </w:rPr>
              <w:t>8.81</w:t>
            </w:r>
            <w:r>
              <w:rPr>
                <w:rFonts w:hint="eastAsia" w:ascii="宋体" w:hAnsi="宋体" w:cs="仿宋_GB2312"/>
                <w:lang w:val="en-US" w:eastAsia="zh-CN"/>
              </w:rPr>
              <w:t>~9.79</w:t>
            </w:r>
          </w:p>
        </w:tc>
      </w:tr>
      <w:tr w14:paraId="63C7DE3D">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47430DA">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highlight w:val="none"/>
                <w:lang w:eastAsia="zh-CN"/>
              </w:rPr>
              <w:t>单体安装</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897191E">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9.19~30.63</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59F3C9">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0C296B8E">
            <w:pPr>
              <w:autoSpaceDE w:val="0"/>
              <w:autoSpaceDN w:val="0"/>
              <w:adjustRightInd w:val="0"/>
              <w:spacing w:line="276" w:lineRule="auto"/>
              <w:jc w:val="center"/>
              <w:rPr>
                <w:rFonts w:hint="default" w:ascii="宋体" w:hAnsi="宋体" w:eastAsia="宋体" w:cs="仿宋_GB2312"/>
                <w:lang w:val="en-US" w:eastAsia="zh-CN"/>
              </w:rPr>
            </w:pPr>
            <w:r>
              <w:rPr>
                <w:rFonts w:hint="eastAsia" w:ascii="宋体" w:hAnsi="宋体" w:cs="仿宋_GB2312"/>
                <w:lang w:val="en-US" w:eastAsia="zh-CN"/>
              </w:rPr>
              <w:t>7.35~8.17</w:t>
            </w:r>
          </w:p>
        </w:tc>
      </w:tr>
      <w:tr w14:paraId="6ECD6077">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4A7057E8">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highlight w:val="none"/>
                <w:lang w:eastAsia="zh-CN"/>
              </w:rPr>
              <w:t>室外安装</w:t>
            </w:r>
            <w:r>
              <w:rPr>
                <w:rFonts w:hint="eastAsia" w:ascii="宋体" w:hAnsi="宋体" w:eastAsia="宋体" w:cs="宋体"/>
                <w:bCs/>
                <w:sz w:val="21"/>
                <w:szCs w:val="21"/>
                <w:highlight w:val="none"/>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74DA919F">
            <w:pPr>
              <w:autoSpaceDE w:val="0"/>
              <w:autoSpaceDN w:val="0"/>
              <w:adjustRightInd w:val="0"/>
              <w:spacing w:line="276" w:lineRule="auto"/>
              <w:jc w:val="center"/>
              <w:rPr>
                <w:rFonts w:hint="eastAsia" w:ascii="宋体" w:hAnsi="宋体" w:cs="仿宋_GB2312"/>
                <w:lang w:val="en-US" w:eastAsia="zh-CN"/>
              </w:rPr>
            </w:pPr>
            <w:r>
              <w:rPr>
                <w:rFonts w:hint="eastAsia" w:ascii="宋体" w:hAnsi="宋体" w:cs="仿宋_GB2312"/>
                <w:lang w:val="en-US" w:eastAsia="zh-CN"/>
              </w:rPr>
              <w:t>9.19~30.63</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6BC90F">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35AC1A22">
            <w:pPr>
              <w:autoSpaceDE w:val="0"/>
              <w:autoSpaceDN w:val="0"/>
              <w:adjustRightInd w:val="0"/>
              <w:spacing w:line="276" w:lineRule="auto"/>
              <w:jc w:val="center"/>
              <w:rPr>
                <w:rFonts w:hint="default" w:ascii="宋体" w:hAnsi="宋体" w:eastAsia="宋体" w:cs="仿宋_GB2312"/>
                <w:lang w:val="en-US" w:eastAsia="zh-CN"/>
              </w:rPr>
            </w:pPr>
            <w:r>
              <w:rPr>
                <w:rFonts w:hint="eastAsia" w:ascii="宋体" w:hAnsi="宋体" w:cs="仿宋_GB2312"/>
                <w:lang w:val="en-US" w:eastAsia="zh-CN"/>
              </w:rPr>
              <w:t>6.47~7.19</w:t>
            </w:r>
          </w:p>
        </w:tc>
      </w:tr>
    </w:tbl>
    <w:p w14:paraId="5389DA74">
      <w:pPr>
        <w:keepNext w:val="0"/>
        <w:keepLines w:val="0"/>
        <w:pageBreakBefore w:val="0"/>
        <w:widowControl w:val="0"/>
        <w:tabs>
          <w:tab w:val="left" w:pos="3060"/>
          <w:tab w:val="left" w:pos="9180"/>
          <w:tab w:val="left" w:pos="9360"/>
        </w:tabs>
        <w:kinsoku/>
        <w:wordWrap/>
        <w:overflowPunct/>
        <w:topLinePunct w:val="0"/>
        <w:autoSpaceDE/>
        <w:autoSpaceDN/>
        <w:bidi w:val="0"/>
        <w:adjustRightInd/>
        <w:snapToGrid/>
        <w:spacing w:line="360" w:lineRule="auto"/>
        <w:ind w:right="359" w:rightChars="171" w:firstLine="420" w:firstLineChars="200"/>
        <w:textAlignment w:val="auto"/>
        <w:rPr>
          <w:rFonts w:hint="eastAsia" w:ascii="宋体" w:cs="宋体"/>
          <w:bCs/>
          <w:color w:val="auto"/>
          <w:szCs w:val="21"/>
        </w:rPr>
      </w:pPr>
      <w:r>
        <w:rPr>
          <w:rFonts w:hint="eastAsia" w:ascii="宋体" w:cs="宋体"/>
          <w:bCs/>
          <w:color w:val="auto"/>
          <w:szCs w:val="21"/>
        </w:rPr>
        <w:t>备注：按</w:t>
      </w:r>
      <w:r>
        <w:rPr>
          <w:rFonts w:hint="eastAsia" w:ascii="宋体" w:hAnsi="宋体"/>
          <w:color w:val="auto"/>
          <w:szCs w:val="21"/>
        </w:rPr>
        <w:t>浙建建发</w:t>
      </w:r>
      <w:r>
        <w:rPr>
          <w:rFonts w:ascii="宋体" w:hAnsi="宋体"/>
          <w:color w:val="auto"/>
          <w:szCs w:val="21"/>
        </w:rPr>
        <w:t>[20</w:t>
      </w:r>
      <w:r>
        <w:rPr>
          <w:rFonts w:hint="eastAsia" w:ascii="宋体" w:hAnsi="宋体"/>
          <w:color w:val="auto"/>
          <w:szCs w:val="21"/>
        </w:rPr>
        <w:t>22</w:t>
      </w:r>
      <w:r>
        <w:rPr>
          <w:rFonts w:ascii="宋体" w:hAnsi="宋体"/>
          <w:color w:val="auto"/>
          <w:szCs w:val="21"/>
        </w:rPr>
        <w:t>]</w:t>
      </w:r>
      <w:r>
        <w:rPr>
          <w:rFonts w:hint="eastAsia" w:ascii="宋体" w:hAnsi="宋体"/>
          <w:color w:val="auto"/>
          <w:szCs w:val="21"/>
        </w:rPr>
        <w:t>37</w:t>
      </w:r>
      <w:r>
        <w:rPr>
          <w:rFonts w:ascii="宋体" w:hAnsi="宋体"/>
          <w:color w:val="auto"/>
          <w:szCs w:val="21"/>
        </w:rPr>
        <w:t>号</w:t>
      </w:r>
      <w:r>
        <w:rPr>
          <w:rFonts w:hint="eastAsia" w:ascii="宋体" w:hAnsi="宋体"/>
          <w:color w:val="auto"/>
          <w:szCs w:val="21"/>
        </w:rPr>
        <w:t>文件，以上</w:t>
      </w:r>
      <w:r>
        <w:rPr>
          <w:rFonts w:hint="eastAsia" w:ascii="宋体" w:cs="宋体"/>
          <w:bCs/>
          <w:color w:val="auto"/>
          <w:szCs w:val="21"/>
        </w:rPr>
        <w:t>安全文明施工基本费中含增加疫情常态化防控、“智慧工地”增加费，即已按照《浙江省建设工程计价规则（2018版）》的费率乘以1.15系数。</w:t>
      </w:r>
    </w:p>
    <w:p w14:paraId="6D2EA0CF">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竞争性费率下限：</w:t>
      </w:r>
    </w:p>
    <w:tbl>
      <w:tblPr>
        <w:tblStyle w:val="3"/>
        <w:tblpPr w:leftFromText="180" w:rightFromText="180" w:vertAnchor="text" w:horzAnchor="page" w:tblpXSpec="center" w:tblpY="119"/>
        <w:tblOverlap w:val="never"/>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1582"/>
        <w:gridCol w:w="1582"/>
        <w:gridCol w:w="1582"/>
        <w:gridCol w:w="1582"/>
        <w:gridCol w:w="1584"/>
      </w:tblGrid>
      <w:tr w14:paraId="514F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noWrap w:val="0"/>
            <w:vAlign w:val="center"/>
          </w:tcPr>
          <w:p w14:paraId="1BE0A510">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名称</w:t>
            </w:r>
          </w:p>
        </w:tc>
        <w:tc>
          <w:tcPr>
            <w:tcW w:w="1582" w:type="dxa"/>
            <w:noWrap w:val="0"/>
            <w:vAlign w:val="center"/>
          </w:tcPr>
          <w:p w14:paraId="08316C50">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cs="宋体"/>
                <w:bCs/>
                <w:sz w:val="21"/>
                <w:szCs w:val="21"/>
                <w:lang w:eastAsia="zh-CN"/>
              </w:rPr>
              <w:t>园林景观</w:t>
            </w:r>
            <w:r>
              <w:rPr>
                <w:rFonts w:hint="eastAsia" w:ascii="宋体" w:hAnsi="宋体" w:cs="宋体"/>
                <w:bCs/>
                <w:sz w:val="21"/>
                <w:szCs w:val="21"/>
                <w:lang w:val="en-US" w:eastAsia="zh-CN"/>
              </w:rPr>
              <w:t xml:space="preserve"> </w:t>
            </w:r>
            <w:r>
              <w:rPr>
                <w:rFonts w:hint="eastAsia" w:ascii="宋体" w:hAnsi="宋体" w:eastAsia="宋体" w:cs="宋体"/>
                <w:kern w:val="1"/>
                <w:sz w:val="21"/>
                <w:szCs w:val="21"/>
              </w:rPr>
              <w:t>工程（%）</w:t>
            </w:r>
          </w:p>
        </w:tc>
        <w:tc>
          <w:tcPr>
            <w:tcW w:w="1582" w:type="dxa"/>
            <w:shd w:val="clear" w:color="auto" w:fill="auto"/>
            <w:noWrap w:val="0"/>
            <w:vAlign w:val="center"/>
          </w:tcPr>
          <w:p w14:paraId="20086BE3">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lang w:val="en-US" w:eastAsia="zh-CN" w:bidi="ar-SA"/>
              </w:rPr>
            </w:pPr>
            <w:r>
              <w:rPr>
                <w:rFonts w:hint="eastAsia" w:ascii="宋体" w:hAnsi="宋体" w:cs="宋体"/>
                <w:bCs/>
                <w:sz w:val="21"/>
                <w:szCs w:val="21"/>
                <w:lang w:val="en-US" w:eastAsia="zh-CN"/>
              </w:rPr>
              <w:t>建筑</w:t>
            </w:r>
            <w:r>
              <w:rPr>
                <w:rFonts w:hint="eastAsia" w:ascii="宋体" w:hAnsi="宋体" w:eastAsia="宋体" w:cs="宋体"/>
                <w:bCs/>
                <w:sz w:val="21"/>
                <w:szCs w:val="21"/>
                <w:lang w:val="en-US" w:eastAsia="zh-CN"/>
              </w:rPr>
              <w:t>工程</w:t>
            </w:r>
            <w:r>
              <w:rPr>
                <w:rFonts w:hint="eastAsia" w:ascii="宋体" w:hAnsi="宋体" w:eastAsia="宋体" w:cs="宋体"/>
                <w:kern w:val="1"/>
                <w:sz w:val="21"/>
                <w:szCs w:val="21"/>
              </w:rPr>
              <w:t>（%）</w:t>
            </w:r>
          </w:p>
        </w:tc>
        <w:tc>
          <w:tcPr>
            <w:tcW w:w="1582" w:type="dxa"/>
            <w:shd w:val="clear" w:color="auto" w:fill="auto"/>
            <w:noWrap w:val="0"/>
            <w:vAlign w:val="center"/>
          </w:tcPr>
          <w:p w14:paraId="3257E70B">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highlight w:val="none"/>
                <w:lang w:val="en-US" w:eastAsia="zh-CN" w:bidi="ar-SA"/>
              </w:rPr>
            </w:pPr>
            <w:r>
              <w:rPr>
                <w:rFonts w:hint="eastAsia" w:ascii="宋体" w:hAnsi="宋体" w:eastAsia="宋体" w:cs="宋体"/>
                <w:bCs/>
                <w:sz w:val="21"/>
                <w:szCs w:val="21"/>
                <w:lang w:val="en-US" w:eastAsia="zh-CN"/>
              </w:rPr>
              <w:t>排水工程</w:t>
            </w:r>
            <w:r>
              <w:rPr>
                <w:rFonts w:hint="eastAsia" w:ascii="宋体" w:hAnsi="宋体" w:eastAsia="宋体" w:cs="宋体"/>
                <w:kern w:val="1"/>
                <w:sz w:val="21"/>
                <w:szCs w:val="21"/>
              </w:rPr>
              <w:t>（%）</w:t>
            </w:r>
          </w:p>
        </w:tc>
        <w:tc>
          <w:tcPr>
            <w:tcW w:w="1582" w:type="dxa"/>
            <w:shd w:val="clear" w:color="auto" w:fill="auto"/>
            <w:noWrap w:val="0"/>
            <w:vAlign w:val="center"/>
          </w:tcPr>
          <w:p w14:paraId="3325148C">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bCs/>
                <w:sz w:val="21"/>
                <w:szCs w:val="21"/>
                <w:highlight w:val="none"/>
                <w:lang w:eastAsia="zh-CN"/>
              </w:rPr>
              <w:t>单体安装</w:t>
            </w:r>
            <w:r>
              <w:rPr>
                <w:rFonts w:hint="eastAsia" w:ascii="宋体" w:hAnsi="宋体" w:eastAsia="宋体" w:cs="宋体"/>
                <w:kern w:val="1"/>
                <w:sz w:val="21"/>
                <w:szCs w:val="21"/>
                <w:highlight w:val="none"/>
              </w:rPr>
              <w:t>（%）</w:t>
            </w:r>
          </w:p>
        </w:tc>
        <w:tc>
          <w:tcPr>
            <w:tcW w:w="1584" w:type="dxa"/>
            <w:shd w:val="clear" w:color="auto" w:fill="auto"/>
            <w:noWrap w:val="0"/>
            <w:vAlign w:val="center"/>
          </w:tcPr>
          <w:p w14:paraId="7B1C9887">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cs="宋体"/>
                <w:bCs/>
                <w:sz w:val="21"/>
                <w:szCs w:val="21"/>
                <w:highlight w:val="none"/>
                <w:lang w:eastAsia="zh-CN"/>
              </w:rPr>
            </w:pPr>
            <w:r>
              <w:rPr>
                <w:rFonts w:hint="eastAsia" w:ascii="宋体" w:hAnsi="宋体" w:cs="宋体"/>
                <w:bCs/>
                <w:sz w:val="21"/>
                <w:szCs w:val="21"/>
                <w:highlight w:val="none"/>
                <w:lang w:eastAsia="zh-CN"/>
              </w:rPr>
              <w:t>室外安装</w:t>
            </w:r>
            <w:r>
              <w:rPr>
                <w:rFonts w:hint="eastAsia" w:ascii="宋体" w:hAnsi="宋体" w:eastAsia="宋体" w:cs="宋体"/>
                <w:bCs/>
                <w:sz w:val="21"/>
                <w:szCs w:val="21"/>
                <w:highlight w:val="none"/>
              </w:rPr>
              <w:t>工程</w:t>
            </w:r>
            <w:r>
              <w:rPr>
                <w:rFonts w:hint="eastAsia" w:ascii="宋体" w:hAnsi="宋体" w:eastAsia="宋体" w:cs="宋体"/>
                <w:kern w:val="1"/>
                <w:sz w:val="21"/>
                <w:szCs w:val="21"/>
                <w:highlight w:val="none"/>
              </w:rPr>
              <w:t>（%）</w:t>
            </w:r>
          </w:p>
        </w:tc>
      </w:tr>
      <w:tr w14:paraId="7856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085" w:type="dxa"/>
            <w:noWrap w:val="0"/>
            <w:vAlign w:val="center"/>
          </w:tcPr>
          <w:p w14:paraId="7D426CC2">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企业管理费</w:t>
            </w:r>
          </w:p>
        </w:tc>
        <w:tc>
          <w:tcPr>
            <w:tcW w:w="1582" w:type="dxa"/>
            <w:noWrap w:val="0"/>
            <w:vAlign w:val="center"/>
          </w:tcPr>
          <w:p w14:paraId="2ACB00DE">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13.88</w:t>
            </w:r>
          </w:p>
        </w:tc>
        <w:tc>
          <w:tcPr>
            <w:tcW w:w="1582" w:type="dxa"/>
            <w:shd w:val="clear" w:color="auto" w:fill="auto"/>
            <w:noWrap w:val="0"/>
            <w:vAlign w:val="center"/>
          </w:tcPr>
          <w:p w14:paraId="069C24CC">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12.78</w:t>
            </w:r>
          </w:p>
        </w:tc>
        <w:tc>
          <w:tcPr>
            <w:tcW w:w="1582" w:type="dxa"/>
            <w:shd w:val="clear" w:color="auto" w:fill="auto"/>
            <w:noWrap w:val="0"/>
            <w:vAlign w:val="center"/>
          </w:tcPr>
          <w:p w14:paraId="68A4E423">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12.78</w:t>
            </w:r>
          </w:p>
        </w:tc>
        <w:tc>
          <w:tcPr>
            <w:tcW w:w="1582" w:type="dxa"/>
            <w:shd w:val="clear" w:color="auto" w:fill="auto"/>
            <w:noWrap w:val="0"/>
            <w:vAlign w:val="center"/>
          </w:tcPr>
          <w:p w14:paraId="3BDDA802">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16.29</w:t>
            </w:r>
          </w:p>
        </w:tc>
        <w:tc>
          <w:tcPr>
            <w:tcW w:w="1584" w:type="dxa"/>
            <w:noWrap w:val="0"/>
            <w:vAlign w:val="center"/>
          </w:tcPr>
          <w:p w14:paraId="0BE3263A">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12.59</w:t>
            </w:r>
          </w:p>
        </w:tc>
      </w:tr>
      <w:tr w14:paraId="7A18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085" w:type="dxa"/>
            <w:noWrap w:val="0"/>
            <w:vAlign w:val="center"/>
          </w:tcPr>
          <w:p w14:paraId="51245C0B">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利润</w:t>
            </w:r>
          </w:p>
        </w:tc>
        <w:tc>
          <w:tcPr>
            <w:tcW w:w="1582" w:type="dxa"/>
            <w:noWrap w:val="0"/>
            <w:vAlign w:val="center"/>
          </w:tcPr>
          <w:p w14:paraId="26BE0440">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0</w:t>
            </w:r>
          </w:p>
        </w:tc>
        <w:tc>
          <w:tcPr>
            <w:tcW w:w="1582" w:type="dxa"/>
            <w:shd w:val="clear" w:color="auto" w:fill="auto"/>
            <w:noWrap w:val="0"/>
            <w:vAlign w:val="center"/>
          </w:tcPr>
          <w:p w14:paraId="4D939DD8">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0</w:t>
            </w:r>
          </w:p>
        </w:tc>
        <w:tc>
          <w:tcPr>
            <w:tcW w:w="1582" w:type="dxa"/>
            <w:shd w:val="clear" w:color="auto" w:fill="auto"/>
            <w:noWrap w:val="0"/>
            <w:vAlign w:val="center"/>
          </w:tcPr>
          <w:p w14:paraId="0698D7EC">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w:t>
            </w:r>
          </w:p>
        </w:tc>
        <w:tc>
          <w:tcPr>
            <w:tcW w:w="1582" w:type="dxa"/>
            <w:shd w:val="clear" w:color="auto" w:fill="auto"/>
            <w:noWrap w:val="0"/>
            <w:vAlign w:val="center"/>
          </w:tcPr>
          <w:p w14:paraId="0D1B0B59">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w:t>
            </w:r>
          </w:p>
        </w:tc>
        <w:tc>
          <w:tcPr>
            <w:tcW w:w="1584" w:type="dxa"/>
            <w:noWrap w:val="0"/>
            <w:vAlign w:val="center"/>
          </w:tcPr>
          <w:p w14:paraId="1B7B1666">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0</w:t>
            </w:r>
          </w:p>
        </w:tc>
      </w:tr>
      <w:tr w14:paraId="72D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noWrap w:val="0"/>
            <w:vAlign w:val="center"/>
          </w:tcPr>
          <w:p w14:paraId="3242ADE8">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冬雨季施工增费</w:t>
            </w:r>
          </w:p>
        </w:tc>
        <w:tc>
          <w:tcPr>
            <w:tcW w:w="1582" w:type="dxa"/>
            <w:noWrap w:val="0"/>
            <w:vAlign w:val="center"/>
          </w:tcPr>
          <w:p w14:paraId="691A5C27">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0.07</w:t>
            </w:r>
          </w:p>
        </w:tc>
        <w:tc>
          <w:tcPr>
            <w:tcW w:w="1582" w:type="dxa"/>
            <w:shd w:val="clear" w:color="auto" w:fill="auto"/>
            <w:noWrap w:val="0"/>
            <w:vAlign w:val="center"/>
          </w:tcPr>
          <w:p w14:paraId="0E662C78">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0.07</w:t>
            </w:r>
          </w:p>
        </w:tc>
        <w:tc>
          <w:tcPr>
            <w:tcW w:w="1582" w:type="dxa"/>
            <w:shd w:val="clear" w:color="auto" w:fill="auto"/>
            <w:noWrap w:val="0"/>
            <w:vAlign w:val="center"/>
          </w:tcPr>
          <w:p w14:paraId="7BA9B5AE">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0.07</w:t>
            </w:r>
          </w:p>
        </w:tc>
        <w:tc>
          <w:tcPr>
            <w:tcW w:w="1582" w:type="dxa"/>
            <w:shd w:val="clear" w:color="auto" w:fill="auto"/>
            <w:noWrap w:val="0"/>
            <w:vAlign w:val="center"/>
          </w:tcPr>
          <w:p w14:paraId="3C78C80E">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0.06</w:t>
            </w:r>
          </w:p>
        </w:tc>
        <w:tc>
          <w:tcPr>
            <w:tcW w:w="1584" w:type="dxa"/>
            <w:noWrap w:val="0"/>
            <w:vAlign w:val="center"/>
          </w:tcPr>
          <w:p w14:paraId="128D82E5">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0.07</w:t>
            </w:r>
          </w:p>
        </w:tc>
      </w:tr>
    </w:tbl>
    <w:p w14:paraId="1648729B">
      <w:pPr>
        <w:widowControl w:val="0"/>
        <w:numPr>
          <w:ilvl w:val="0"/>
          <w:numId w:val="0"/>
        </w:numPr>
        <w:jc w:val="both"/>
        <w:rPr>
          <w:rFonts w:hint="eastAsia" w:ascii="宋体" w:hAnsi="宋体" w:eastAsia="宋体" w:cs="宋体"/>
          <w:b/>
          <w:sz w:val="21"/>
          <w:szCs w:val="21"/>
        </w:rPr>
      </w:pPr>
    </w:p>
    <w:tbl>
      <w:tblPr>
        <w:tblStyle w:val="3"/>
        <w:tblpPr w:leftFromText="180" w:rightFromText="180" w:vertAnchor="text" w:horzAnchor="page" w:tblpXSpec="center" w:tblpY="763"/>
        <w:tblOverlap w:val="never"/>
        <w:tblW w:w="586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9"/>
        <w:gridCol w:w="1852"/>
        <w:gridCol w:w="677"/>
        <w:gridCol w:w="1203"/>
        <w:gridCol w:w="1975"/>
        <w:gridCol w:w="2081"/>
        <w:gridCol w:w="1422"/>
      </w:tblGrid>
      <w:tr w14:paraId="2657B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389" w:type="pct"/>
            <w:tcBorders>
              <w:top w:val="single" w:color="auto" w:sz="4" w:space="0"/>
              <w:bottom w:val="single" w:color="auto" w:sz="4" w:space="0"/>
              <w:right w:val="single" w:color="auto" w:sz="4" w:space="0"/>
            </w:tcBorders>
            <w:noWrap w:val="0"/>
            <w:vAlign w:val="center"/>
          </w:tcPr>
          <w:p w14:paraId="3D5ACCBC">
            <w:pPr>
              <w:autoSpaceDE w:val="0"/>
              <w:autoSpaceDN w:val="0"/>
              <w:adjustRightInd w:val="0"/>
              <w:spacing w:line="360" w:lineRule="auto"/>
              <w:ind w:left="-288" w:leftChars="-137" w:firstLine="352" w:firstLineChars="168"/>
              <w:jc w:val="center"/>
              <w:rPr>
                <w:rFonts w:hint="eastAsia" w:ascii="宋体" w:hAnsi="宋体" w:eastAsia="宋体" w:cs="宋体"/>
                <w:b w:val="0"/>
                <w:bCs w:val="0"/>
                <w:color w:val="auto"/>
                <w:spacing w:val="-20"/>
                <w:sz w:val="21"/>
                <w:szCs w:val="21"/>
                <w:highlight w:val="none"/>
              </w:rPr>
            </w:pPr>
            <w:r>
              <w:rPr>
                <w:rFonts w:hint="eastAsia" w:ascii="宋体" w:hAnsi="宋体" w:eastAsia="宋体" w:cs="宋体"/>
                <w:b w:val="0"/>
                <w:bCs w:val="0"/>
                <w:color w:val="auto"/>
                <w:sz w:val="21"/>
                <w:szCs w:val="21"/>
                <w:highlight w:val="none"/>
              </w:rPr>
              <w:t>序号</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7651CFE7">
            <w:pPr>
              <w:autoSpaceDE w:val="0"/>
              <w:autoSpaceDN w:val="0"/>
              <w:adjustRightInd w:val="0"/>
              <w:spacing w:line="360" w:lineRule="auto"/>
              <w:jc w:val="center"/>
              <w:rPr>
                <w:rFonts w:hint="eastAsia" w:ascii="宋体" w:hAnsi="宋体" w:eastAsia="宋体" w:cs="宋体"/>
                <w:b w:val="0"/>
                <w:bCs w:val="0"/>
                <w:color w:val="auto"/>
                <w:spacing w:val="-20"/>
                <w:sz w:val="21"/>
                <w:szCs w:val="21"/>
                <w:highlight w:val="none"/>
              </w:rPr>
            </w:pPr>
            <w:r>
              <w:rPr>
                <w:rFonts w:hint="eastAsia" w:ascii="宋体" w:hAnsi="宋体" w:eastAsia="宋体" w:cs="宋体"/>
                <w:b w:val="0"/>
                <w:bCs w:val="0"/>
                <w:color w:val="auto"/>
                <w:sz w:val="21"/>
                <w:szCs w:val="21"/>
                <w:highlight w:val="none"/>
              </w:rPr>
              <w:t>材料名称</w:t>
            </w:r>
          </w:p>
        </w:tc>
        <w:tc>
          <w:tcPr>
            <w:tcW w:w="338" w:type="pct"/>
            <w:tcBorders>
              <w:top w:val="single" w:color="auto" w:sz="4" w:space="0"/>
              <w:left w:val="single" w:color="auto" w:sz="4" w:space="0"/>
              <w:bottom w:val="single" w:color="auto" w:sz="4" w:space="0"/>
              <w:right w:val="single" w:color="auto" w:sz="4" w:space="0"/>
            </w:tcBorders>
            <w:noWrap w:val="0"/>
            <w:vAlign w:val="center"/>
          </w:tcPr>
          <w:p w14:paraId="53BDBD51">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单位</w:t>
            </w:r>
          </w:p>
        </w:tc>
        <w:tc>
          <w:tcPr>
            <w:tcW w:w="602" w:type="pct"/>
            <w:tcBorders>
              <w:top w:val="single" w:color="auto" w:sz="4" w:space="0"/>
              <w:left w:val="single" w:color="auto" w:sz="4" w:space="0"/>
              <w:bottom w:val="single" w:color="auto" w:sz="4" w:space="0"/>
              <w:right w:val="single" w:color="auto" w:sz="4" w:space="0"/>
            </w:tcBorders>
            <w:noWrap w:val="0"/>
            <w:vAlign w:val="center"/>
          </w:tcPr>
          <w:p w14:paraId="4825B8AC">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工程数量</w:t>
            </w:r>
          </w:p>
        </w:tc>
        <w:tc>
          <w:tcPr>
            <w:tcW w:w="988" w:type="pct"/>
            <w:tcBorders>
              <w:top w:val="single" w:color="auto" w:sz="4" w:space="0"/>
              <w:left w:val="single" w:color="auto" w:sz="4" w:space="0"/>
              <w:bottom w:val="single" w:color="auto" w:sz="4" w:space="0"/>
              <w:right w:val="single" w:color="auto" w:sz="4" w:space="0"/>
            </w:tcBorders>
            <w:noWrap w:val="0"/>
            <w:vAlign w:val="center"/>
          </w:tcPr>
          <w:p w14:paraId="14285CB7">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除税单价(元)</w:t>
            </w:r>
          </w:p>
        </w:tc>
        <w:tc>
          <w:tcPr>
            <w:tcW w:w="1041" w:type="pct"/>
            <w:tcBorders>
              <w:top w:val="single" w:color="auto" w:sz="4" w:space="0"/>
              <w:left w:val="single" w:color="auto" w:sz="4" w:space="0"/>
              <w:bottom w:val="single" w:color="auto" w:sz="4" w:space="0"/>
            </w:tcBorders>
            <w:noWrap w:val="0"/>
            <w:vAlign w:val="center"/>
          </w:tcPr>
          <w:p w14:paraId="082097D7">
            <w:pPr>
              <w:autoSpaceDE w:val="0"/>
              <w:autoSpaceDN w:val="0"/>
              <w:adjustRightInd w:val="0"/>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合价（元）</w:t>
            </w:r>
          </w:p>
        </w:tc>
        <w:tc>
          <w:tcPr>
            <w:tcW w:w="711" w:type="pct"/>
            <w:tcBorders>
              <w:top w:val="single" w:color="auto" w:sz="4" w:space="0"/>
              <w:left w:val="single" w:color="auto" w:sz="4" w:space="0"/>
              <w:bottom w:val="single" w:color="auto" w:sz="4" w:space="0"/>
            </w:tcBorders>
            <w:noWrap w:val="0"/>
            <w:vAlign w:val="center"/>
          </w:tcPr>
          <w:p w14:paraId="344EB956">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14:paraId="67762F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389" w:type="pct"/>
            <w:tcBorders>
              <w:top w:val="single" w:color="auto" w:sz="4" w:space="0"/>
              <w:bottom w:val="single" w:color="auto" w:sz="4" w:space="0"/>
              <w:right w:val="single" w:color="auto" w:sz="4" w:space="0"/>
            </w:tcBorders>
            <w:noWrap w:val="0"/>
            <w:vAlign w:val="center"/>
          </w:tcPr>
          <w:p w14:paraId="0032C5EC">
            <w:pPr>
              <w:autoSpaceDE w:val="0"/>
              <w:autoSpaceDN w:val="0"/>
              <w:adjustRightInd w:val="0"/>
              <w:spacing w:line="360" w:lineRule="auto"/>
              <w:ind w:left="-288" w:leftChars="-137" w:firstLine="352" w:firstLineChars="168"/>
              <w:jc w:val="center"/>
              <w:rPr>
                <w:rFonts w:hint="eastAsia" w:ascii="宋体" w:hAnsi="宋体" w:eastAsia="宋体" w:cs="宋体"/>
                <w:b w:val="0"/>
                <w:bCs w:val="0"/>
                <w:color w:val="auto"/>
                <w:sz w:val="21"/>
                <w:szCs w:val="21"/>
                <w:highlight w:val="none"/>
                <w:lang w:val="en-US" w:eastAsia="zh-CN"/>
              </w:rPr>
            </w:pPr>
            <w:r>
              <w:rPr>
                <w:rFonts w:hint="eastAsia" w:ascii="宋体" w:hAnsi="宋体" w:cs="宋体"/>
                <w:szCs w:val="21"/>
                <w:highlight w:val="none"/>
                <w:lang w:val="en-US" w:eastAsia="zh-CN"/>
              </w:rPr>
              <w:t>1</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A5DDBB3">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rPr>
              <w:t>会展及室内装修</w:t>
            </w:r>
          </w:p>
        </w:tc>
        <w:tc>
          <w:tcPr>
            <w:tcW w:w="33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2C23DB3">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eastAsia="zh-CN"/>
              </w:rPr>
              <w:t>平米</w:t>
            </w:r>
          </w:p>
        </w:tc>
        <w:tc>
          <w:tcPr>
            <w:tcW w:w="60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BFF43C0">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84.7</w:t>
            </w:r>
          </w:p>
        </w:tc>
        <w:tc>
          <w:tcPr>
            <w:tcW w:w="98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D02DFD9">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2000</w:t>
            </w:r>
          </w:p>
        </w:tc>
        <w:tc>
          <w:tcPr>
            <w:tcW w:w="1041" w:type="pct"/>
            <w:tcBorders>
              <w:top w:val="single" w:color="auto" w:sz="4" w:space="0"/>
              <w:left w:val="single" w:color="auto" w:sz="4" w:space="0"/>
              <w:bottom w:val="single" w:color="auto" w:sz="4" w:space="0"/>
            </w:tcBorders>
            <w:shd w:val="clear" w:color="auto" w:fill="auto"/>
            <w:noWrap w:val="0"/>
            <w:vAlign w:val="center"/>
          </w:tcPr>
          <w:p w14:paraId="34C0D5F4">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169400</w:t>
            </w:r>
          </w:p>
        </w:tc>
        <w:tc>
          <w:tcPr>
            <w:tcW w:w="711" w:type="pct"/>
            <w:tcBorders>
              <w:top w:val="single" w:color="auto" w:sz="4" w:space="0"/>
              <w:left w:val="single" w:color="auto" w:sz="4" w:space="0"/>
              <w:bottom w:val="single" w:color="auto" w:sz="4" w:space="0"/>
            </w:tcBorders>
            <w:noWrap w:val="0"/>
            <w:vAlign w:val="center"/>
          </w:tcPr>
          <w:p w14:paraId="48D726D1">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p>
        </w:tc>
      </w:tr>
    </w:tbl>
    <w:p w14:paraId="6B4EE1DC">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材料暂定价</w:t>
      </w:r>
      <w:r>
        <w:rPr>
          <w:rFonts w:hint="eastAsia" w:ascii="宋体" w:hAnsi="宋体" w:eastAsia="宋体" w:cs="宋体"/>
          <w:b/>
          <w:sz w:val="21"/>
          <w:szCs w:val="21"/>
          <w:lang w:eastAsia="zh-CN"/>
        </w:rPr>
        <w:t>：</w:t>
      </w:r>
    </w:p>
    <w:p w14:paraId="4ADF0AB6">
      <w:pPr>
        <w:keepNext w:val="0"/>
        <w:keepLines w:val="0"/>
        <w:pageBreakBefore w:val="0"/>
        <w:widowControl w:val="0"/>
        <w:tabs>
          <w:tab w:val="left" w:pos="3060"/>
          <w:tab w:val="left" w:pos="9180"/>
          <w:tab w:val="left" w:pos="9360"/>
        </w:tabs>
        <w:kinsoku/>
        <w:wordWrap/>
        <w:overflowPunct/>
        <w:topLinePunct w:val="0"/>
        <w:autoSpaceDE/>
        <w:autoSpaceDN/>
        <w:bidi w:val="0"/>
        <w:adjustRightInd/>
        <w:snapToGrid/>
        <w:spacing w:line="360" w:lineRule="auto"/>
        <w:ind w:right="359" w:rightChars="171" w:firstLine="420" w:firstLineChars="200"/>
        <w:textAlignment w:val="auto"/>
        <w:rPr>
          <w:rFonts w:hint="eastAsia" w:ascii="宋体" w:cs="宋体"/>
          <w:bCs/>
          <w:color w:val="auto"/>
          <w:szCs w:val="21"/>
        </w:rPr>
      </w:pPr>
      <w:r>
        <w:rPr>
          <w:rFonts w:hint="eastAsia" w:ascii="宋体" w:cs="宋体"/>
          <w:bCs/>
          <w:color w:val="auto"/>
          <w:szCs w:val="21"/>
        </w:rPr>
        <w:t>注：由发包人与承包人按有关计价依据计价，按合同约定执行。</w:t>
      </w:r>
    </w:p>
    <w:p w14:paraId="05311D5A">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材料</w:t>
      </w:r>
      <w:r>
        <w:rPr>
          <w:rFonts w:hint="eastAsia" w:ascii="宋体" w:hAnsi="宋体" w:eastAsia="宋体" w:cs="宋体"/>
          <w:b/>
          <w:sz w:val="21"/>
          <w:szCs w:val="21"/>
          <w:lang w:eastAsia="zh-CN"/>
        </w:rPr>
        <w:t>暂定</w:t>
      </w:r>
      <w:r>
        <w:rPr>
          <w:rFonts w:hint="eastAsia" w:ascii="宋体" w:hAnsi="宋体" w:eastAsia="宋体" w:cs="宋体"/>
          <w:b/>
          <w:sz w:val="21"/>
          <w:szCs w:val="21"/>
        </w:rPr>
        <w:t>品牌、型号</w:t>
      </w:r>
      <w:r>
        <w:rPr>
          <w:rFonts w:hint="eastAsia" w:ascii="宋体" w:hAnsi="宋体" w:cs="宋体"/>
          <w:b/>
          <w:sz w:val="21"/>
          <w:szCs w:val="21"/>
          <w:lang w:eastAsia="zh-CN"/>
        </w:rPr>
        <w:t>（</w:t>
      </w:r>
      <w:r>
        <w:rPr>
          <w:rFonts w:hint="eastAsia" w:ascii="宋体" w:hAnsi="宋体" w:cs="宋体"/>
          <w:b/>
          <w:sz w:val="21"/>
          <w:szCs w:val="21"/>
          <w:lang w:val="en-US" w:eastAsia="zh-CN"/>
        </w:rPr>
        <w:t>或相当于</w:t>
      </w:r>
      <w:r>
        <w:rPr>
          <w:rFonts w:hint="eastAsia" w:ascii="宋体" w:hAnsi="宋体" w:cs="宋体"/>
          <w:b/>
          <w:sz w:val="21"/>
          <w:szCs w:val="21"/>
          <w:lang w:eastAsia="zh-CN"/>
        </w:rPr>
        <w:t>）</w:t>
      </w:r>
    </w:p>
    <w:tbl>
      <w:tblPr>
        <w:tblStyle w:val="3"/>
        <w:tblW w:w="9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2594"/>
        <w:gridCol w:w="657"/>
        <w:gridCol w:w="2752"/>
        <w:gridCol w:w="2461"/>
      </w:tblGrid>
      <w:tr w14:paraId="5B24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658" w:type="dxa"/>
            <w:noWrap w:val="0"/>
            <w:vAlign w:val="center"/>
          </w:tcPr>
          <w:p w14:paraId="2016F40E">
            <w:pPr>
              <w:widowControl/>
              <w:jc w:val="center"/>
              <w:rPr>
                <w:rFonts w:hint="eastAsia" w:ascii="宋体" w:hAnsi="宋体" w:eastAsia="宋体" w:cs="宋体"/>
                <w:sz w:val="21"/>
                <w:szCs w:val="21"/>
                <w:lang w:val="en-US" w:eastAsia="zh-CN"/>
              </w:rPr>
            </w:pPr>
            <w:r>
              <w:rPr>
                <w:rFonts w:hint="eastAsia" w:ascii="宋体" w:hAnsi="宋体" w:cs="宋体"/>
                <w:b/>
                <w:sz w:val="21"/>
                <w:szCs w:val="21"/>
                <w:lang w:val="en-US" w:eastAsia="zh-CN"/>
              </w:rPr>
              <w:t xml:space="preserve"> </w:t>
            </w:r>
            <w:r>
              <w:rPr>
                <w:rFonts w:hint="eastAsia" w:ascii="宋体" w:hAnsi="宋体" w:eastAsia="宋体" w:cs="宋体"/>
                <w:sz w:val="21"/>
                <w:szCs w:val="21"/>
                <w:lang w:val="en-US" w:eastAsia="zh-CN"/>
              </w:rPr>
              <w:t>序号</w:t>
            </w:r>
          </w:p>
        </w:tc>
        <w:tc>
          <w:tcPr>
            <w:tcW w:w="2594" w:type="dxa"/>
            <w:noWrap w:val="0"/>
            <w:vAlign w:val="center"/>
          </w:tcPr>
          <w:p w14:paraId="43C9A754">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w:t>
            </w:r>
          </w:p>
        </w:tc>
        <w:tc>
          <w:tcPr>
            <w:tcW w:w="657" w:type="dxa"/>
            <w:noWrap w:val="0"/>
            <w:vAlign w:val="center"/>
          </w:tcPr>
          <w:p w14:paraId="7D319864">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单位</w:t>
            </w:r>
          </w:p>
        </w:tc>
        <w:tc>
          <w:tcPr>
            <w:tcW w:w="2752" w:type="dxa"/>
            <w:noWrap w:val="0"/>
            <w:vAlign w:val="center"/>
          </w:tcPr>
          <w:p w14:paraId="12811206">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参考</w:t>
            </w:r>
            <w:r>
              <w:rPr>
                <w:rFonts w:hint="eastAsia" w:ascii="宋体" w:hAnsi="宋体" w:eastAsia="宋体" w:cs="宋体"/>
                <w:sz w:val="21"/>
                <w:szCs w:val="21"/>
                <w:lang w:val="en-US" w:eastAsia="zh-CN"/>
              </w:rPr>
              <w:t>品牌</w:t>
            </w:r>
            <w:r>
              <w:rPr>
                <w:rFonts w:hint="eastAsia" w:ascii="宋体" w:hAnsi="宋体" w:cs="宋体"/>
                <w:sz w:val="21"/>
                <w:szCs w:val="21"/>
                <w:lang w:val="en-US" w:eastAsia="zh-CN"/>
              </w:rPr>
              <w:t>或相当于</w:t>
            </w:r>
          </w:p>
        </w:tc>
        <w:tc>
          <w:tcPr>
            <w:tcW w:w="2461" w:type="dxa"/>
            <w:noWrap w:val="0"/>
            <w:vAlign w:val="center"/>
          </w:tcPr>
          <w:p w14:paraId="2AF289F2">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0E32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58" w:type="dxa"/>
            <w:noWrap w:val="0"/>
            <w:vAlign w:val="center"/>
          </w:tcPr>
          <w:p w14:paraId="426A3718">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2594" w:type="dxa"/>
            <w:noWrap w:val="0"/>
            <w:vAlign w:val="center"/>
          </w:tcPr>
          <w:p w14:paraId="75F03DD6">
            <w:pPr>
              <w:widowControl/>
              <w:jc w:val="center"/>
              <w:rPr>
                <w:rFonts w:hint="eastAsia" w:ascii="宋体" w:hAnsi="宋体" w:eastAsia="宋体" w:cs="宋体"/>
                <w:sz w:val="21"/>
                <w:szCs w:val="21"/>
                <w:lang w:val="en-US" w:eastAsia="zh-CN"/>
              </w:rPr>
            </w:pPr>
            <w:r>
              <w:rPr>
                <w:rFonts w:hint="eastAsia"/>
              </w:rPr>
              <w:t>HDPE双壁波纹管</w:t>
            </w:r>
          </w:p>
        </w:tc>
        <w:tc>
          <w:tcPr>
            <w:tcW w:w="657" w:type="dxa"/>
            <w:noWrap w:val="0"/>
            <w:vAlign w:val="center"/>
          </w:tcPr>
          <w:p w14:paraId="26C4515C">
            <w:pPr>
              <w:widowControl/>
              <w:jc w:val="center"/>
              <w:rPr>
                <w:rFonts w:hint="eastAsia" w:ascii="宋体" w:hAnsi="宋体" w:eastAsia="宋体" w:cs="宋体"/>
                <w:sz w:val="21"/>
                <w:szCs w:val="21"/>
                <w:lang w:eastAsia="zh-CN"/>
              </w:rPr>
            </w:pPr>
            <w:r>
              <w:rPr>
                <w:rFonts w:hint="eastAsia"/>
                <w:lang w:val="en-US" w:eastAsia="zh-CN"/>
              </w:rPr>
              <w:t>m</w:t>
            </w:r>
          </w:p>
        </w:tc>
        <w:tc>
          <w:tcPr>
            <w:tcW w:w="2752" w:type="dxa"/>
            <w:noWrap w:val="0"/>
            <w:vAlign w:val="center"/>
          </w:tcPr>
          <w:p w14:paraId="591E8327">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中财、公元、伟星</w:t>
            </w:r>
          </w:p>
        </w:tc>
        <w:tc>
          <w:tcPr>
            <w:tcW w:w="2461" w:type="dxa"/>
            <w:noWrap w:val="0"/>
            <w:vAlign w:val="center"/>
          </w:tcPr>
          <w:p w14:paraId="3261C614">
            <w:pPr>
              <w:widowControl/>
              <w:jc w:val="center"/>
              <w:rPr>
                <w:rFonts w:hint="default" w:ascii="宋体" w:hAnsi="宋体" w:eastAsia="宋体" w:cs="宋体"/>
                <w:sz w:val="21"/>
                <w:szCs w:val="21"/>
                <w:highlight w:val="darkCyan"/>
                <w:lang w:val="en-US"/>
              </w:rPr>
            </w:pPr>
            <w:r>
              <w:rPr>
                <w:rFonts w:hint="eastAsia" w:ascii="宋体" w:hAnsi="宋体" w:cs="宋体"/>
                <w:sz w:val="21"/>
                <w:szCs w:val="21"/>
                <w:highlight w:val="none"/>
                <w:lang w:val="en-US" w:eastAsia="zh-CN"/>
              </w:rPr>
              <w:t>DN160、DN200</w:t>
            </w:r>
          </w:p>
        </w:tc>
      </w:tr>
      <w:tr w14:paraId="310D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74BE216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594" w:type="dxa"/>
            <w:noWrap w:val="0"/>
            <w:vAlign w:val="center"/>
          </w:tcPr>
          <w:p w14:paraId="1711C3A3">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钢筋</w:t>
            </w:r>
          </w:p>
        </w:tc>
        <w:tc>
          <w:tcPr>
            <w:tcW w:w="657" w:type="dxa"/>
            <w:noWrap w:val="0"/>
            <w:vAlign w:val="center"/>
          </w:tcPr>
          <w:p w14:paraId="45456E82">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t</w:t>
            </w:r>
          </w:p>
        </w:tc>
        <w:tc>
          <w:tcPr>
            <w:tcW w:w="2752" w:type="dxa"/>
            <w:noWrap w:val="0"/>
            <w:vAlign w:val="center"/>
          </w:tcPr>
          <w:p w14:paraId="3A10DA62">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highlight w:val="none"/>
                <w:lang w:val="en-US" w:eastAsia="zh-CN"/>
              </w:rPr>
              <w:t>永钢、沙钢、中新、万泰</w:t>
            </w:r>
          </w:p>
        </w:tc>
        <w:tc>
          <w:tcPr>
            <w:tcW w:w="2461" w:type="dxa"/>
            <w:noWrap w:val="0"/>
            <w:vAlign w:val="center"/>
          </w:tcPr>
          <w:p w14:paraId="6BE84FA2">
            <w:pPr>
              <w:widowControl/>
              <w:jc w:val="center"/>
              <w:rPr>
                <w:rFonts w:hint="default" w:ascii="宋体" w:hAnsi="宋体" w:eastAsia="宋体" w:cs="宋体"/>
                <w:color w:val="auto"/>
                <w:sz w:val="21"/>
                <w:szCs w:val="21"/>
                <w:highlight w:val="darkCyan"/>
                <w:lang w:val="en-US" w:eastAsia="zh-CN"/>
              </w:rPr>
            </w:pPr>
          </w:p>
        </w:tc>
      </w:tr>
      <w:tr w14:paraId="717B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658" w:type="dxa"/>
            <w:noWrap w:val="0"/>
            <w:vAlign w:val="center"/>
          </w:tcPr>
          <w:p w14:paraId="0F51289E">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3</w:t>
            </w:r>
          </w:p>
        </w:tc>
        <w:tc>
          <w:tcPr>
            <w:tcW w:w="2594" w:type="dxa"/>
            <w:noWrap w:val="0"/>
            <w:vAlign w:val="center"/>
          </w:tcPr>
          <w:p w14:paraId="73C2A7DF">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配电箱</w:t>
            </w:r>
          </w:p>
        </w:tc>
        <w:tc>
          <w:tcPr>
            <w:tcW w:w="657" w:type="dxa"/>
            <w:noWrap w:val="0"/>
            <w:vAlign w:val="center"/>
          </w:tcPr>
          <w:p w14:paraId="7A2B327E">
            <w:pPr>
              <w:widowControl/>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台</w:t>
            </w:r>
          </w:p>
        </w:tc>
        <w:tc>
          <w:tcPr>
            <w:tcW w:w="2752" w:type="dxa"/>
            <w:noWrap w:val="0"/>
            <w:vAlign w:val="center"/>
          </w:tcPr>
          <w:p w14:paraId="08989D8E">
            <w:pPr>
              <w:widowControl/>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安柯、森昌、华刚</w:t>
            </w:r>
          </w:p>
        </w:tc>
        <w:tc>
          <w:tcPr>
            <w:tcW w:w="2461" w:type="dxa"/>
            <w:noWrap w:val="0"/>
            <w:vAlign w:val="center"/>
          </w:tcPr>
          <w:p w14:paraId="33B85893">
            <w:pPr>
              <w:widowControl/>
              <w:jc w:val="center"/>
              <w:rPr>
                <w:rFonts w:hint="eastAsia" w:ascii="宋体" w:hAnsi="宋体" w:eastAsia="宋体" w:cs="宋体"/>
                <w:color w:val="auto"/>
                <w:sz w:val="21"/>
                <w:szCs w:val="21"/>
                <w:highlight w:val="darkCyan"/>
              </w:rPr>
            </w:pPr>
            <w:r>
              <w:rPr>
                <w:rFonts w:hint="eastAsia" w:ascii="宋体" w:hAnsi="宋体" w:cs="宋体"/>
                <w:color w:val="auto"/>
                <w:sz w:val="21"/>
                <w:szCs w:val="21"/>
                <w:highlight w:val="none"/>
                <w:lang w:val="en-US" w:eastAsia="zh-CN"/>
              </w:rPr>
              <w:t>元器件：正泰、德力西、</w:t>
            </w:r>
          </w:p>
        </w:tc>
      </w:tr>
      <w:tr w14:paraId="5647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658" w:type="dxa"/>
            <w:noWrap w:val="0"/>
            <w:vAlign w:val="center"/>
          </w:tcPr>
          <w:p w14:paraId="20ACEE27">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2594" w:type="dxa"/>
            <w:noWrap w:val="0"/>
            <w:vAlign w:val="center"/>
          </w:tcPr>
          <w:p w14:paraId="1233B437">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灯具</w:t>
            </w:r>
          </w:p>
        </w:tc>
        <w:tc>
          <w:tcPr>
            <w:tcW w:w="657" w:type="dxa"/>
            <w:noWrap w:val="0"/>
            <w:vAlign w:val="center"/>
          </w:tcPr>
          <w:p w14:paraId="0700E0B2">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套</w:t>
            </w:r>
          </w:p>
        </w:tc>
        <w:tc>
          <w:tcPr>
            <w:tcW w:w="2752" w:type="dxa"/>
            <w:noWrap w:val="0"/>
            <w:vAlign w:val="center"/>
          </w:tcPr>
          <w:p w14:paraId="10509275">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雷士、三雄极光、雅科莱</w:t>
            </w:r>
          </w:p>
        </w:tc>
        <w:tc>
          <w:tcPr>
            <w:tcW w:w="2461" w:type="dxa"/>
            <w:noWrap w:val="0"/>
            <w:vAlign w:val="center"/>
          </w:tcPr>
          <w:p w14:paraId="4341A30B">
            <w:pPr>
              <w:widowControl/>
              <w:jc w:val="center"/>
              <w:rPr>
                <w:rFonts w:hint="eastAsia" w:ascii="宋体" w:hAnsi="宋体" w:cs="宋体"/>
                <w:color w:val="auto"/>
                <w:sz w:val="21"/>
                <w:szCs w:val="21"/>
                <w:lang w:val="en-US" w:eastAsia="zh-CN"/>
              </w:rPr>
            </w:pPr>
          </w:p>
        </w:tc>
      </w:tr>
      <w:tr w14:paraId="48F6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06EC6C94">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594" w:type="dxa"/>
            <w:noWrap w:val="0"/>
            <w:vAlign w:val="center"/>
          </w:tcPr>
          <w:p w14:paraId="7E57D6FD">
            <w:pPr>
              <w:widowControl/>
              <w:jc w:val="center"/>
              <w:rPr>
                <w:rFonts w:hint="eastAsia" w:ascii="宋体" w:hAnsi="宋体" w:cs="宋体"/>
                <w:sz w:val="21"/>
                <w:szCs w:val="21"/>
                <w:lang w:eastAsia="zh-CN"/>
              </w:rPr>
            </w:pPr>
            <w:r>
              <w:rPr>
                <w:rFonts w:hint="eastAsia" w:ascii="宋体" w:hAnsi="宋体" w:cs="宋体"/>
                <w:sz w:val="21"/>
                <w:szCs w:val="21"/>
                <w:lang w:eastAsia="zh-CN"/>
              </w:rPr>
              <w:t>交换机</w:t>
            </w:r>
          </w:p>
        </w:tc>
        <w:tc>
          <w:tcPr>
            <w:tcW w:w="657" w:type="dxa"/>
            <w:noWrap w:val="0"/>
            <w:vAlign w:val="center"/>
          </w:tcPr>
          <w:p w14:paraId="0C9FE9F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台</w:t>
            </w:r>
          </w:p>
        </w:tc>
        <w:tc>
          <w:tcPr>
            <w:tcW w:w="2752" w:type="dxa"/>
            <w:noWrap w:val="0"/>
            <w:vAlign w:val="center"/>
          </w:tcPr>
          <w:p w14:paraId="2D2FFB6D">
            <w:pPr>
              <w:widowControl/>
              <w:jc w:val="center"/>
              <w:rPr>
                <w:rFonts w:hint="eastAsia" w:ascii="宋体" w:hAnsi="宋体" w:cs="宋体"/>
                <w:sz w:val="21"/>
                <w:szCs w:val="21"/>
                <w:lang w:val="en-US" w:eastAsia="zh-CN"/>
              </w:rPr>
            </w:pPr>
            <w:r>
              <w:rPr>
                <w:rFonts w:hint="eastAsia" w:ascii="宋体" w:hAnsi="宋体" w:cs="宋体"/>
                <w:sz w:val="21"/>
                <w:szCs w:val="21"/>
                <w:highlight w:val="none"/>
                <w:lang w:val="en-US" w:eastAsia="zh-CN"/>
              </w:rPr>
              <w:t>博达、大华、华为、H3C</w:t>
            </w:r>
          </w:p>
        </w:tc>
        <w:tc>
          <w:tcPr>
            <w:tcW w:w="2461" w:type="dxa"/>
            <w:noWrap w:val="0"/>
            <w:vAlign w:val="center"/>
          </w:tcPr>
          <w:p w14:paraId="7EC2FAA9">
            <w:pPr>
              <w:widowControl/>
              <w:jc w:val="center"/>
              <w:rPr>
                <w:rFonts w:hint="eastAsia" w:ascii="宋体" w:hAnsi="宋体" w:eastAsia="宋体" w:cs="宋体"/>
                <w:sz w:val="21"/>
                <w:szCs w:val="21"/>
                <w:highlight w:val="darkCyan"/>
              </w:rPr>
            </w:pPr>
          </w:p>
        </w:tc>
      </w:tr>
      <w:tr w14:paraId="075E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ign w:val="center"/>
          </w:tcPr>
          <w:p w14:paraId="461CD0A0">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6</w:t>
            </w:r>
          </w:p>
        </w:tc>
        <w:tc>
          <w:tcPr>
            <w:tcW w:w="2594" w:type="dxa"/>
            <w:noWrap/>
            <w:vAlign w:val="center"/>
          </w:tcPr>
          <w:p w14:paraId="34601998">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监控设备</w:t>
            </w:r>
          </w:p>
        </w:tc>
        <w:tc>
          <w:tcPr>
            <w:tcW w:w="657" w:type="dxa"/>
            <w:noWrap/>
            <w:vAlign w:val="center"/>
          </w:tcPr>
          <w:p w14:paraId="2A57EF2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套</w:t>
            </w:r>
          </w:p>
        </w:tc>
        <w:tc>
          <w:tcPr>
            <w:tcW w:w="2752" w:type="dxa"/>
            <w:noWrap/>
            <w:vAlign w:val="center"/>
          </w:tcPr>
          <w:p w14:paraId="56BA849B">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海康、大华</w:t>
            </w:r>
          </w:p>
        </w:tc>
        <w:tc>
          <w:tcPr>
            <w:tcW w:w="2461" w:type="dxa"/>
            <w:noWrap/>
            <w:vAlign w:val="center"/>
          </w:tcPr>
          <w:p w14:paraId="3541CA4F">
            <w:pPr>
              <w:widowControl/>
              <w:jc w:val="center"/>
              <w:rPr>
                <w:rFonts w:hint="eastAsia" w:ascii="宋体" w:hAnsi="宋体" w:cs="宋体"/>
                <w:sz w:val="21"/>
                <w:szCs w:val="21"/>
                <w:lang w:val="en-US" w:eastAsia="zh-CN"/>
              </w:rPr>
            </w:pPr>
          </w:p>
        </w:tc>
      </w:tr>
      <w:tr w14:paraId="1293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C1BAEF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7</w:t>
            </w:r>
          </w:p>
        </w:tc>
        <w:tc>
          <w:tcPr>
            <w:tcW w:w="2594" w:type="dxa"/>
            <w:vAlign w:val="center"/>
          </w:tcPr>
          <w:p w14:paraId="2F6D4A3D">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音响设备</w:t>
            </w:r>
          </w:p>
        </w:tc>
        <w:tc>
          <w:tcPr>
            <w:tcW w:w="657" w:type="dxa"/>
            <w:vAlign w:val="center"/>
          </w:tcPr>
          <w:p w14:paraId="16E5F0D3">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套</w:t>
            </w:r>
          </w:p>
        </w:tc>
        <w:tc>
          <w:tcPr>
            <w:tcW w:w="2752" w:type="dxa"/>
            <w:vAlign w:val="center"/>
          </w:tcPr>
          <w:p w14:paraId="22239B16">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HARMAN、艾索、ITC</w:t>
            </w:r>
          </w:p>
        </w:tc>
        <w:tc>
          <w:tcPr>
            <w:tcW w:w="2461" w:type="dxa"/>
            <w:vAlign w:val="top"/>
          </w:tcPr>
          <w:p w14:paraId="5341DB3C">
            <w:pPr>
              <w:widowControl/>
              <w:jc w:val="center"/>
              <w:rPr>
                <w:rFonts w:hint="eastAsia" w:ascii="宋体" w:hAnsi="宋体" w:cs="宋体"/>
                <w:sz w:val="21"/>
                <w:szCs w:val="21"/>
                <w:lang w:val="en-US" w:eastAsia="zh-CN"/>
              </w:rPr>
            </w:pPr>
          </w:p>
        </w:tc>
      </w:tr>
      <w:tr w14:paraId="7FF6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3AEA5307">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594" w:type="dxa"/>
            <w:shd w:val="clear" w:color="auto" w:fill="auto"/>
            <w:vAlign w:val="center"/>
          </w:tcPr>
          <w:p w14:paraId="48C2D2C3">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雾森设备</w:t>
            </w:r>
          </w:p>
        </w:tc>
        <w:tc>
          <w:tcPr>
            <w:tcW w:w="657" w:type="dxa"/>
            <w:shd w:val="clear" w:color="auto" w:fill="auto"/>
            <w:vAlign w:val="center"/>
          </w:tcPr>
          <w:p w14:paraId="00875DA4">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套</w:t>
            </w:r>
          </w:p>
        </w:tc>
        <w:tc>
          <w:tcPr>
            <w:tcW w:w="2752" w:type="dxa"/>
            <w:shd w:val="clear" w:color="auto" w:fill="auto"/>
            <w:vAlign w:val="center"/>
          </w:tcPr>
          <w:p w14:paraId="4D40C1AA">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杭州翰翔、杭州天雷、广州彩悦</w:t>
            </w:r>
          </w:p>
        </w:tc>
        <w:tc>
          <w:tcPr>
            <w:tcW w:w="2461" w:type="dxa"/>
            <w:vAlign w:val="top"/>
          </w:tcPr>
          <w:p w14:paraId="327F407D">
            <w:pPr>
              <w:widowControl/>
              <w:jc w:val="center"/>
              <w:rPr>
                <w:rFonts w:hint="eastAsia" w:ascii="宋体" w:hAnsi="宋体" w:cs="宋体"/>
                <w:sz w:val="21"/>
                <w:szCs w:val="21"/>
                <w:lang w:val="en-US" w:eastAsia="zh-CN"/>
              </w:rPr>
            </w:pPr>
          </w:p>
        </w:tc>
      </w:tr>
      <w:tr w14:paraId="6155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0978BB7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594" w:type="dxa"/>
            <w:shd w:val="clear" w:color="auto" w:fill="auto"/>
            <w:vAlign w:val="center"/>
          </w:tcPr>
          <w:p w14:paraId="41B3031E">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造浪设备</w:t>
            </w:r>
          </w:p>
        </w:tc>
        <w:tc>
          <w:tcPr>
            <w:tcW w:w="657" w:type="dxa"/>
            <w:shd w:val="clear" w:color="auto" w:fill="auto"/>
            <w:vAlign w:val="center"/>
          </w:tcPr>
          <w:p w14:paraId="2F4DEF57">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套</w:t>
            </w:r>
          </w:p>
        </w:tc>
        <w:tc>
          <w:tcPr>
            <w:tcW w:w="2752" w:type="dxa"/>
            <w:shd w:val="clear" w:color="auto" w:fill="auto"/>
            <w:vAlign w:val="center"/>
          </w:tcPr>
          <w:p w14:paraId="5BD77A53">
            <w:pPr>
              <w:keepNext w:val="0"/>
              <w:keepLines w:val="0"/>
              <w:widowControl/>
              <w:suppressLineNumbers w:val="0"/>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广州华创、</w:t>
            </w:r>
            <w:r>
              <w:rPr>
                <w:rFonts w:hint="eastAsia" w:ascii="宋体" w:hAnsi="宋体" w:eastAsia="宋体" w:cs="宋体"/>
                <w:kern w:val="2"/>
                <w:sz w:val="21"/>
                <w:szCs w:val="21"/>
                <w:lang w:val="en-US" w:eastAsia="zh-CN" w:bidi="ar-SA"/>
              </w:rPr>
              <w:t>旺明国际、</w:t>
            </w:r>
            <w:r>
              <w:rPr>
                <w:rFonts w:hint="eastAsia" w:ascii="宋体" w:hAnsi="宋体" w:cs="宋体"/>
                <w:kern w:val="2"/>
                <w:sz w:val="21"/>
                <w:szCs w:val="21"/>
                <w:lang w:val="en-US" w:eastAsia="zh-CN" w:bidi="ar-SA"/>
              </w:rPr>
              <w:t>广州海山</w:t>
            </w:r>
          </w:p>
        </w:tc>
        <w:tc>
          <w:tcPr>
            <w:tcW w:w="2461" w:type="dxa"/>
            <w:vAlign w:val="top"/>
          </w:tcPr>
          <w:p w14:paraId="082140D7">
            <w:pPr>
              <w:widowControl/>
              <w:jc w:val="center"/>
              <w:rPr>
                <w:rFonts w:hint="eastAsia" w:ascii="宋体" w:hAnsi="宋体" w:cs="宋体"/>
                <w:sz w:val="21"/>
                <w:szCs w:val="21"/>
                <w:lang w:val="en-US" w:eastAsia="zh-CN"/>
              </w:rPr>
            </w:pPr>
          </w:p>
        </w:tc>
      </w:tr>
      <w:tr w14:paraId="3362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0ECCF4D">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594" w:type="dxa"/>
            <w:shd w:val="clear" w:color="auto" w:fill="auto"/>
            <w:vAlign w:val="center"/>
          </w:tcPr>
          <w:p w14:paraId="7BF9E639">
            <w:pPr>
              <w:widowControl/>
              <w:jc w:val="center"/>
              <w:rPr>
                <w:rFonts w:hint="eastAsia" w:ascii="宋体" w:hAnsi="宋体" w:cs="宋体"/>
                <w:sz w:val="21"/>
                <w:szCs w:val="21"/>
                <w:lang w:val="en-US" w:eastAsia="zh-CN"/>
              </w:rPr>
            </w:pPr>
            <w:r>
              <w:rPr>
                <w:rFonts w:hint="eastAsia" w:ascii="宋体" w:hAnsi="宋体" w:cs="宋体"/>
                <w:b w:val="0"/>
                <w:bCs w:val="0"/>
                <w:sz w:val="21"/>
                <w:szCs w:val="21"/>
                <w:lang w:val="en-US" w:eastAsia="zh-CN"/>
              </w:rPr>
              <w:t>水处理设备</w:t>
            </w:r>
          </w:p>
        </w:tc>
        <w:tc>
          <w:tcPr>
            <w:tcW w:w="657" w:type="dxa"/>
            <w:shd w:val="clear" w:color="auto" w:fill="auto"/>
            <w:vAlign w:val="center"/>
          </w:tcPr>
          <w:p w14:paraId="5B53D8A0">
            <w:pPr>
              <w:widowControl/>
              <w:jc w:val="center"/>
              <w:rPr>
                <w:rFonts w:hint="eastAsia" w:ascii="宋体" w:hAnsi="宋体" w:cs="宋体"/>
                <w:color w:val="0000FF"/>
                <w:sz w:val="21"/>
                <w:szCs w:val="21"/>
                <w:lang w:val="en-US" w:eastAsia="zh-CN"/>
              </w:rPr>
            </w:pPr>
            <w:r>
              <w:rPr>
                <w:rFonts w:hint="eastAsia" w:ascii="宋体" w:hAnsi="宋体" w:cs="宋体"/>
                <w:sz w:val="21"/>
                <w:szCs w:val="21"/>
                <w:lang w:val="en-US" w:eastAsia="zh-CN"/>
              </w:rPr>
              <w:t>套</w:t>
            </w:r>
          </w:p>
        </w:tc>
        <w:tc>
          <w:tcPr>
            <w:tcW w:w="2752" w:type="dxa"/>
            <w:shd w:val="clear" w:color="auto" w:fill="auto"/>
            <w:vAlign w:val="center"/>
          </w:tcPr>
          <w:p w14:paraId="3E89D4BE">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广州华创、</w:t>
            </w:r>
            <w:r>
              <w:rPr>
                <w:rFonts w:hint="eastAsia" w:ascii="宋体" w:hAnsi="宋体" w:eastAsia="宋体" w:cs="宋体"/>
                <w:kern w:val="2"/>
                <w:sz w:val="21"/>
                <w:szCs w:val="21"/>
                <w:lang w:val="en-US" w:eastAsia="zh-CN" w:bidi="ar-SA"/>
              </w:rPr>
              <w:t>旺明国际、</w:t>
            </w:r>
            <w:r>
              <w:rPr>
                <w:rFonts w:hint="eastAsia" w:ascii="宋体" w:hAnsi="宋体" w:cs="宋体"/>
                <w:kern w:val="2"/>
                <w:sz w:val="21"/>
                <w:szCs w:val="21"/>
                <w:lang w:val="en-US" w:eastAsia="zh-CN" w:bidi="ar-SA"/>
              </w:rPr>
              <w:t>广州海山</w:t>
            </w:r>
          </w:p>
        </w:tc>
        <w:tc>
          <w:tcPr>
            <w:tcW w:w="2461" w:type="dxa"/>
            <w:vAlign w:val="top"/>
          </w:tcPr>
          <w:p w14:paraId="167462B0">
            <w:pPr>
              <w:widowControl/>
              <w:jc w:val="center"/>
              <w:rPr>
                <w:rFonts w:hint="eastAsia" w:ascii="宋体" w:hAnsi="宋体" w:cs="宋体"/>
                <w:sz w:val="21"/>
                <w:szCs w:val="21"/>
                <w:lang w:val="en-US" w:eastAsia="zh-CN"/>
              </w:rPr>
            </w:pPr>
          </w:p>
        </w:tc>
      </w:tr>
      <w:tr w14:paraId="7765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4871C51">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594" w:type="dxa"/>
            <w:shd w:val="clear" w:color="auto" w:fill="auto"/>
            <w:vAlign w:val="center"/>
          </w:tcPr>
          <w:p w14:paraId="09F3D71D">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板材</w:t>
            </w:r>
          </w:p>
        </w:tc>
        <w:tc>
          <w:tcPr>
            <w:tcW w:w="657" w:type="dxa"/>
            <w:shd w:val="clear" w:color="auto" w:fill="auto"/>
            <w:vAlign w:val="center"/>
          </w:tcPr>
          <w:p w14:paraId="11297B5B">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M2</w:t>
            </w:r>
          </w:p>
        </w:tc>
        <w:tc>
          <w:tcPr>
            <w:tcW w:w="2752" w:type="dxa"/>
            <w:shd w:val="clear" w:color="auto" w:fill="auto"/>
            <w:vAlign w:val="center"/>
          </w:tcPr>
          <w:p w14:paraId="74D9F4EE">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兔宝宝、千年舟、福庆、森鹿</w:t>
            </w:r>
          </w:p>
        </w:tc>
        <w:tc>
          <w:tcPr>
            <w:tcW w:w="2461" w:type="dxa"/>
            <w:vAlign w:val="top"/>
          </w:tcPr>
          <w:p w14:paraId="14D0BF0C">
            <w:pPr>
              <w:widowControl/>
              <w:jc w:val="center"/>
              <w:rPr>
                <w:rFonts w:hint="eastAsia" w:ascii="宋体" w:hAnsi="宋体" w:cs="宋体"/>
                <w:sz w:val="21"/>
                <w:szCs w:val="21"/>
                <w:lang w:val="en-US" w:eastAsia="zh-CN"/>
              </w:rPr>
            </w:pPr>
          </w:p>
        </w:tc>
      </w:tr>
      <w:tr w14:paraId="35B0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2EFF901A">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594" w:type="dxa"/>
            <w:shd w:val="clear" w:color="auto" w:fill="auto"/>
            <w:vAlign w:val="center"/>
          </w:tcPr>
          <w:p w14:paraId="4A2E3268">
            <w:pPr>
              <w:widowControl/>
              <w:jc w:val="center"/>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开关、插座</w:t>
            </w:r>
          </w:p>
        </w:tc>
        <w:tc>
          <w:tcPr>
            <w:tcW w:w="657" w:type="dxa"/>
            <w:shd w:val="clear" w:color="auto" w:fill="auto"/>
            <w:vAlign w:val="center"/>
          </w:tcPr>
          <w:p w14:paraId="38FBD4A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个</w:t>
            </w:r>
          </w:p>
        </w:tc>
        <w:tc>
          <w:tcPr>
            <w:tcW w:w="2752" w:type="dxa"/>
            <w:shd w:val="clear" w:color="auto" w:fill="auto"/>
            <w:vAlign w:val="center"/>
          </w:tcPr>
          <w:p w14:paraId="470800BA">
            <w:pPr>
              <w:widowControl/>
              <w:jc w:val="center"/>
              <w:rPr>
                <w:rFonts w:hint="eastAsia" w:ascii="宋体" w:hAnsi="宋体" w:cs="宋体"/>
                <w:sz w:val="21"/>
                <w:szCs w:val="21"/>
                <w:lang w:val="en-US" w:eastAsia="zh-CN"/>
              </w:rPr>
            </w:pPr>
            <w:r>
              <w:rPr>
                <w:rFonts w:hint="eastAsia" w:ascii="宋体" w:hAnsi="宋体" w:cs="宋体"/>
                <w:color w:val="auto"/>
                <w:sz w:val="21"/>
                <w:szCs w:val="21"/>
                <w:lang w:val="en-US" w:eastAsia="zh-CN"/>
              </w:rPr>
              <w:t>雷士、三雄极光、雅科莱</w:t>
            </w:r>
          </w:p>
        </w:tc>
        <w:tc>
          <w:tcPr>
            <w:tcW w:w="2461" w:type="dxa"/>
            <w:vAlign w:val="top"/>
          </w:tcPr>
          <w:p w14:paraId="062C22BD">
            <w:pPr>
              <w:widowControl/>
              <w:jc w:val="center"/>
              <w:rPr>
                <w:rFonts w:hint="eastAsia" w:ascii="宋体" w:hAnsi="宋体" w:cs="宋体"/>
                <w:sz w:val="21"/>
                <w:szCs w:val="21"/>
                <w:lang w:val="en-US" w:eastAsia="zh-CN"/>
              </w:rPr>
            </w:pPr>
          </w:p>
        </w:tc>
      </w:tr>
      <w:tr w14:paraId="1719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43C01DB5">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2594" w:type="dxa"/>
            <w:shd w:val="clear" w:color="auto" w:fill="auto"/>
            <w:vAlign w:val="center"/>
          </w:tcPr>
          <w:p w14:paraId="3647B000">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涂料</w:t>
            </w:r>
          </w:p>
        </w:tc>
        <w:tc>
          <w:tcPr>
            <w:tcW w:w="657" w:type="dxa"/>
            <w:shd w:val="clear" w:color="auto" w:fill="auto"/>
            <w:vAlign w:val="center"/>
          </w:tcPr>
          <w:p w14:paraId="79812D88">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kg</w:t>
            </w:r>
          </w:p>
        </w:tc>
        <w:tc>
          <w:tcPr>
            <w:tcW w:w="2752" w:type="dxa"/>
            <w:shd w:val="clear" w:color="auto" w:fill="auto"/>
            <w:vAlign w:val="center"/>
          </w:tcPr>
          <w:p w14:paraId="4EF68AB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亚帝、奥力升、鼎豪、传邦</w:t>
            </w:r>
          </w:p>
        </w:tc>
        <w:tc>
          <w:tcPr>
            <w:tcW w:w="2461" w:type="dxa"/>
            <w:vAlign w:val="top"/>
          </w:tcPr>
          <w:p w14:paraId="57311F87">
            <w:pPr>
              <w:widowControl/>
              <w:jc w:val="center"/>
              <w:rPr>
                <w:rFonts w:hint="eastAsia" w:ascii="宋体" w:hAnsi="宋体" w:cs="宋体"/>
                <w:sz w:val="21"/>
                <w:szCs w:val="21"/>
                <w:lang w:val="en-US" w:eastAsia="zh-CN"/>
              </w:rPr>
            </w:pPr>
          </w:p>
        </w:tc>
      </w:tr>
      <w:tr w14:paraId="2C56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729F67BA">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14</w:t>
            </w:r>
          </w:p>
        </w:tc>
        <w:tc>
          <w:tcPr>
            <w:tcW w:w="2594" w:type="dxa"/>
            <w:shd w:val="clear" w:color="auto" w:fill="auto"/>
            <w:vAlign w:val="center"/>
          </w:tcPr>
          <w:p w14:paraId="75E8F3ED">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瓷砖</w:t>
            </w:r>
          </w:p>
        </w:tc>
        <w:tc>
          <w:tcPr>
            <w:tcW w:w="657" w:type="dxa"/>
            <w:shd w:val="clear" w:color="auto" w:fill="auto"/>
            <w:vAlign w:val="center"/>
          </w:tcPr>
          <w:p w14:paraId="32CAF02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M2</w:t>
            </w:r>
          </w:p>
        </w:tc>
        <w:tc>
          <w:tcPr>
            <w:tcW w:w="2752" w:type="dxa"/>
            <w:shd w:val="clear" w:color="auto" w:fill="auto"/>
            <w:vAlign w:val="center"/>
          </w:tcPr>
          <w:p w14:paraId="3C156CFF">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博华、金驼、金陶名家、君惠</w:t>
            </w:r>
          </w:p>
        </w:tc>
        <w:tc>
          <w:tcPr>
            <w:tcW w:w="2461" w:type="dxa"/>
            <w:vAlign w:val="top"/>
          </w:tcPr>
          <w:p w14:paraId="6998149F">
            <w:pPr>
              <w:widowControl/>
              <w:jc w:val="center"/>
              <w:rPr>
                <w:rFonts w:hint="eastAsia" w:ascii="宋体" w:hAnsi="宋体" w:cs="宋体"/>
                <w:sz w:val="21"/>
                <w:szCs w:val="21"/>
                <w:lang w:val="en-US" w:eastAsia="zh-CN"/>
              </w:rPr>
            </w:pPr>
          </w:p>
        </w:tc>
      </w:tr>
      <w:tr w14:paraId="1A9B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5FA5969B">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15</w:t>
            </w:r>
          </w:p>
        </w:tc>
        <w:tc>
          <w:tcPr>
            <w:tcW w:w="2594" w:type="dxa"/>
            <w:shd w:val="clear" w:color="auto" w:fill="auto"/>
            <w:vAlign w:val="center"/>
          </w:tcPr>
          <w:p w14:paraId="65543B91">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空调</w:t>
            </w:r>
          </w:p>
        </w:tc>
        <w:tc>
          <w:tcPr>
            <w:tcW w:w="657" w:type="dxa"/>
            <w:shd w:val="clear" w:color="auto" w:fill="auto"/>
            <w:vAlign w:val="center"/>
          </w:tcPr>
          <w:p w14:paraId="27706CE8">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台</w:t>
            </w:r>
          </w:p>
        </w:tc>
        <w:tc>
          <w:tcPr>
            <w:tcW w:w="2752" w:type="dxa"/>
            <w:shd w:val="clear" w:color="auto" w:fill="auto"/>
            <w:vAlign w:val="center"/>
          </w:tcPr>
          <w:p w14:paraId="4A053AE0">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美的、格力</w:t>
            </w:r>
          </w:p>
        </w:tc>
        <w:tc>
          <w:tcPr>
            <w:tcW w:w="2461" w:type="dxa"/>
            <w:vAlign w:val="top"/>
          </w:tcPr>
          <w:p w14:paraId="5B7D608B">
            <w:pPr>
              <w:widowControl/>
              <w:jc w:val="center"/>
              <w:rPr>
                <w:rFonts w:hint="eastAsia" w:ascii="宋体" w:hAnsi="宋体" w:cs="宋体"/>
                <w:sz w:val="21"/>
                <w:szCs w:val="21"/>
                <w:lang w:val="en-US" w:eastAsia="zh-CN"/>
              </w:rPr>
            </w:pPr>
          </w:p>
        </w:tc>
      </w:tr>
      <w:tr w14:paraId="3EE9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669E96B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16</w:t>
            </w:r>
          </w:p>
        </w:tc>
        <w:tc>
          <w:tcPr>
            <w:tcW w:w="2594" w:type="dxa"/>
            <w:shd w:val="clear" w:color="auto" w:fill="auto"/>
            <w:vAlign w:val="center"/>
          </w:tcPr>
          <w:p w14:paraId="37ED36DA">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电视</w:t>
            </w:r>
          </w:p>
        </w:tc>
        <w:tc>
          <w:tcPr>
            <w:tcW w:w="657" w:type="dxa"/>
            <w:shd w:val="clear" w:color="auto" w:fill="auto"/>
            <w:vAlign w:val="center"/>
          </w:tcPr>
          <w:p w14:paraId="2260D0DC">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台</w:t>
            </w:r>
          </w:p>
        </w:tc>
        <w:tc>
          <w:tcPr>
            <w:tcW w:w="2752" w:type="dxa"/>
            <w:shd w:val="clear" w:color="auto" w:fill="auto"/>
            <w:vAlign w:val="center"/>
          </w:tcPr>
          <w:p w14:paraId="0F2E22B5">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TCL、海信、长虹</w:t>
            </w:r>
          </w:p>
        </w:tc>
        <w:tc>
          <w:tcPr>
            <w:tcW w:w="2461" w:type="dxa"/>
            <w:vAlign w:val="top"/>
          </w:tcPr>
          <w:p w14:paraId="7012E145">
            <w:pPr>
              <w:widowControl/>
              <w:jc w:val="center"/>
              <w:rPr>
                <w:rFonts w:hint="eastAsia" w:ascii="宋体" w:hAnsi="宋体" w:cs="宋体"/>
                <w:sz w:val="21"/>
                <w:szCs w:val="21"/>
                <w:lang w:val="en-US" w:eastAsia="zh-CN"/>
              </w:rPr>
            </w:pPr>
          </w:p>
        </w:tc>
      </w:tr>
    </w:tbl>
    <w:p w14:paraId="38AC1262">
      <w:pPr>
        <w:spacing w:line="240" w:lineRule="auto"/>
        <w:rPr>
          <w:rFonts w:hint="eastAsia" w:ascii="宋体" w:hAnsi="宋体" w:cs="宋体"/>
          <w:b/>
          <w:color w:val="auto"/>
          <w:kern w:val="1"/>
          <w:sz w:val="21"/>
          <w:szCs w:val="21"/>
          <w:highlight w:val="none"/>
          <w:lang w:val="en-US" w:eastAsia="zh-CN"/>
        </w:rPr>
      </w:pPr>
      <w:r>
        <w:rPr>
          <w:rFonts w:hint="eastAsia" w:ascii="宋体" w:hAnsi="宋体" w:cs="宋体"/>
          <w:b/>
          <w:color w:val="auto"/>
          <w:kern w:val="1"/>
          <w:sz w:val="21"/>
          <w:szCs w:val="21"/>
          <w:highlight w:val="none"/>
          <w:lang w:val="en-US" w:eastAsia="zh-CN"/>
        </w:rPr>
        <w:t>注：所列品牌仅供技术参考，允许选用性能相当或更优的的同档次品牌。</w:t>
      </w:r>
    </w:p>
    <w:p w14:paraId="5A72FB8A">
      <w:pPr>
        <w:spacing w:line="240" w:lineRule="auto"/>
        <w:rPr>
          <w:rFonts w:hint="default" w:ascii="宋体" w:hAnsi="宋体" w:cs="宋体"/>
          <w:b/>
          <w:color w:val="auto"/>
          <w:kern w:val="1"/>
          <w:sz w:val="21"/>
          <w:szCs w:val="21"/>
          <w:highlight w:val="none"/>
          <w:lang w:val="en-US" w:eastAsia="zh-CN"/>
        </w:rPr>
      </w:pPr>
    </w:p>
    <w:p w14:paraId="62CB8932">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 xml:space="preserve">计算有关说明  </w:t>
      </w:r>
    </w:p>
    <w:p w14:paraId="50755F1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cs="宋体"/>
          <w:szCs w:val="21"/>
          <w:lang w:val="en-US" w:eastAsia="zh-CN"/>
        </w:rPr>
      </w:pPr>
      <w:r>
        <w:rPr>
          <w:rFonts w:hint="eastAsia" w:ascii="宋体" w:hAnsi="宋体" w:cs="宋体"/>
          <w:szCs w:val="21"/>
          <w:lang w:val="en-US" w:eastAsia="zh-CN"/>
        </w:rPr>
        <w:t>市政</w:t>
      </w:r>
    </w:p>
    <w:p w14:paraId="1BA1C05D">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本工程质量要求合格，不计取标化工地</w:t>
      </w:r>
      <w:r>
        <w:rPr>
          <w:rFonts w:hint="eastAsia" w:ascii="宋体" w:hAnsi="宋体" w:eastAsia="宋体" w:cs="宋体"/>
          <w:sz w:val="21"/>
          <w:szCs w:val="21"/>
          <w:lang w:val="en-US" w:eastAsia="zh-CN"/>
        </w:rPr>
        <w:t>增加费和</w:t>
      </w:r>
      <w:r>
        <w:rPr>
          <w:rFonts w:hint="eastAsia" w:ascii="宋体" w:hAnsi="宋体" w:eastAsia="宋体" w:cs="宋体"/>
          <w:sz w:val="21"/>
          <w:szCs w:val="21"/>
        </w:rPr>
        <w:t>优质工程增加费，若实际施工方获得</w:t>
      </w:r>
      <w:r>
        <w:rPr>
          <w:rFonts w:hint="eastAsia" w:ascii="宋体" w:hAnsi="宋体" w:eastAsia="宋体" w:cs="宋体"/>
          <w:sz w:val="21"/>
          <w:szCs w:val="21"/>
          <w:lang w:val="en-US" w:eastAsia="zh-CN"/>
        </w:rPr>
        <w:t>标化工地，</w:t>
      </w:r>
      <w:r>
        <w:rPr>
          <w:rFonts w:hint="eastAsia" w:ascii="宋体" w:hAnsi="宋体" w:eastAsia="宋体" w:cs="宋体"/>
          <w:sz w:val="21"/>
          <w:szCs w:val="21"/>
        </w:rPr>
        <w:t>优质工程</w:t>
      </w:r>
      <w:r>
        <w:rPr>
          <w:rFonts w:hint="eastAsia" w:ascii="宋体" w:hAnsi="宋体" w:eastAsia="宋体" w:cs="宋体"/>
          <w:sz w:val="21"/>
          <w:szCs w:val="21"/>
          <w:lang w:val="en-US" w:eastAsia="zh-CN"/>
        </w:rPr>
        <w:t>等</w:t>
      </w:r>
      <w:r>
        <w:rPr>
          <w:rFonts w:hint="eastAsia" w:ascii="宋体" w:hAnsi="宋体" w:eastAsia="宋体" w:cs="宋体"/>
          <w:sz w:val="21"/>
          <w:szCs w:val="21"/>
        </w:rPr>
        <w:t>奖项，结算也不另行增加费用</w:t>
      </w:r>
      <w:r>
        <w:rPr>
          <w:rFonts w:hint="eastAsia" w:ascii="宋体" w:hAnsi="宋体" w:eastAsia="宋体" w:cs="宋体"/>
          <w:sz w:val="21"/>
          <w:szCs w:val="21"/>
          <w:lang w:eastAsia="zh-CN"/>
        </w:rPr>
        <w:t>。</w:t>
      </w:r>
    </w:p>
    <w:p w14:paraId="77E47A10">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砂浆按散装商品砂浆考虑；混凝土采用商品砼</w:t>
      </w:r>
      <w:r>
        <w:rPr>
          <w:rFonts w:hint="eastAsia" w:ascii="宋体" w:hAnsi="宋体" w:eastAsia="宋体" w:cs="宋体"/>
          <w:sz w:val="21"/>
          <w:szCs w:val="21"/>
          <w:lang w:eastAsia="zh-CN"/>
        </w:rPr>
        <w:t>。</w:t>
      </w:r>
    </w:p>
    <w:p w14:paraId="71052B02">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增值税暂按浙建建发</w:t>
      </w:r>
      <w:r>
        <w:rPr>
          <w:rFonts w:hint="default" w:ascii="宋体" w:hAnsi="宋体" w:eastAsia="宋体" w:cs="宋体"/>
          <w:sz w:val="21"/>
          <w:szCs w:val="21"/>
        </w:rPr>
        <w:t>〔2019〕92</w:t>
      </w:r>
      <w:r>
        <w:rPr>
          <w:rFonts w:hint="eastAsia" w:ascii="宋体" w:hAnsi="宋体" w:eastAsia="宋体" w:cs="宋体"/>
          <w:sz w:val="21"/>
          <w:szCs w:val="21"/>
        </w:rPr>
        <w:t>号文件中的税率</w:t>
      </w:r>
      <w:r>
        <w:rPr>
          <w:rFonts w:hint="default" w:ascii="宋体" w:hAnsi="宋体" w:eastAsia="宋体" w:cs="宋体"/>
          <w:sz w:val="21"/>
          <w:szCs w:val="21"/>
        </w:rPr>
        <w:t>9%</w:t>
      </w:r>
      <w:r>
        <w:rPr>
          <w:rFonts w:hint="eastAsia" w:ascii="宋体" w:hAnsi="宋体" w:eastAsia="宋体" w:cs="宋体"/>
          <w:sz w:val="21"/>
          <w:szCs w:val="21"/>
        </w:rPr>
        <w:t>计取，如遇后续出台调整文件，则税金按后续相应计价文件调整</w:t>
      </w:r>
      <w:r>
        <w:rPr>
          <w:rFonts w:hint="eastAsia" w:ascii="宋体" w:hAnsi="宋体" w:eastAsia="宋体" w:cs="宋体"/>
          <w:sz w:val="21"/>
          <w:szCs w:val="21"/>
          <w:lang w:eastAsia="zh-CN"/>
        </w:rPr>
        <w:t>。</w:t>
      </w:r>
    </w:p>
    <w:p w14:paraId="203BB20A">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本工程弃土外运、运距、土方堆置等情况说明：本工程的废弃渣土（含淤泥、泥浆、建筑垃圾、拆除物等）运往瓯江口(由土方消纳单位处置)，运距按20km考虑，结算时该处置费不予调整。</w:t>
      </w:r>
    </w:p>
    <w:p w14:paraId="34AF4C5A">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大型机械进退场费：按压路机和履带式挖掘机各1台班</w:t>
      </w:r>
      <w:r>
        <w:rPr>
          <w:rFonts w:hint="eastAsia" w:ascii="宋体" w:hAnsi="宋体" w:eastAsia="宋体" w:cs="宋体"/>
          <w:sz w:val="21"/>
          <w:szCs w:val="21"/>
          <w:lang w:val="en-US" w:eastAsia="zh-CN"/>
        </w:rPr>
        <w:t>计入</w:t>
      </w:r>
      <w:r>
        <w:rPr>
          <w:rFonts w:hint="eastAsia" w:ascii="宋体" w:hAnsi="宋体" w:eastAsia="宋体" w:cs="宋体"/>
          <w:sz w:val="21"/>
          <w:szCs w:val="21"/>
          <w:lang w:eastAsia="zh-CN"/>
        </w:rPr>
        <w:t>。</w:t>
      </w:r>
    </w:p>
    <w:p w14:paraId="142C7889">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本工程石材铺设有关的清单子目单价中已综合考虑石材根据设计图纸加工所需发生的费用，磨边、切割、对角、损耗及检测费等石材加工费用及其他一切费用，不再单独计量。</w:t>
      </w:r>
    </w:p>
    <w:p w14:paraId="32D52070">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室外设施（含露营天幕、露营桌椅、室外桌椅等），具体按建设单位要求采购布置</w:t>
      </w:r>
      <w:r>
        <w:rPr>
          <w:rFonts w:hint="eastAsia" w:ascii="宋体" w:hAnsi="宋体" w:cs="宋体"/>
          <w:sz w:val="21"/>
          <w:szCs w:val="21"/>
          <w:lang w:val="en-US" w:eastAsia="zh-CN"/>
        </w:rPr>
        <w:t>。</w:t>
      </w:r>
    </w:p>
    <w:p w14:paraId="294C5451">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海礁石（真石）285吨，塑石按250㎡计。（礁石理论是舟山海礁石形态的礁石，点状的，类似这种礁石去堆砌</w:t>
      </w:r>
      <w:r>
        <w:rPr>
          <w:rFonts w:hint="eastAsia" w:ascii="宋体" w:hAnsi="宋体" w:cs="宋体"/>
          <w:sz w:val="21"/>
          <w:szCs w:val="21"/>
          <w:lang w:val="en-US" w:eastAsia="zh-CN"/>
        </w:rPr>
        <w:t>。</w:t>
      </w:r>
      <w:bookmarkStart w:id="0" w:name="_GoBack"/>
      <w:bookmarkEnd w:id="0"/>
    </w:p>
    <w:p w14:paraId="7265443C">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绿化养护期为一年</w:t>
      </w:r>
      <w:r>
        <w:rPr>
          <w:rFonts w:hint="eastAsia" w:ascii="宋体" w:hAnsi="宋体" w:eastAsia="宋体" w:cs="宋体"/>
          <w:sz w:val="21"/>
          <w:szCs w:val="21"/>
          <w:lang w:val="en-US" w:eastAsia="zh-CN"/>
        </w:rPr>
        <w:t>。</w:t>
      </w:r>
    </w:p>
    <w:p w14:paraId="48E54E82">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绿化种植土厚度按60cm考虑，结算时不予调整</w:t>
      </w:r>
      <w:r>
        <w:rPr>
          <w:rFonts w:hint="eastAsia" w:ascii="宋体" w:hAnsi="宋体" w:cs="宋体"/>
          <w:sz w:val="21"/>
          <w:szCs w:val="21"/>
          <w:lang w:val="en-US" w:eastAsia="zh-CN"/>
        </w:rPr>
        <w:t>。</w:t>
      </w:r>
    </w:p>
    <w:p w14:paraId="7362C21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cs="宋体"/>
          <w:szCs w:val="21"/>
          <w:lang w:val="en-US" w:eastAsia="zh-CN"/>
        </w:rPr>
      </w:pPr>
      <w:r>
        <w:rPr>
          <w:rFonts w:hint="eastAsia" w:ascii="宋体" w:hAnsi="宋体" w:cs="宋体"/>
          <w:szCs w:val="21"/>
          <w:lang w:val="en-US" w:eastAsia="zh-CN"/>
        </w:rPr>
        <w:t>建筑</w:t>
      </w:r>
    </w:p>
    <w:p w14:paraId="113D9FE6">
      <w:pPr>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展厅基础塘渣换填深度按1米考虑。</w:t>
      </w:r>
    </w:p>
    <w:p w14:paraId="150A1337">
      <w:pPr>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钢桁架用钢量7.031吨由设计提供计入。油漆、防火涂料未计算。</w:t>
      </w:r>
    </w:p>
    <w:p w14:paraId="48203D4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cs="宋体"/>
          <w:szCs w:val="21"/>
          <w:lang w:val="en-US" w:eastAsia="zh-CN"/>
        </w:rPr>
      </w:pPr>
      <w:r>
        <w:rPr>
          <w:rFonts w:hint="eastAsia" w:ascii="宋体" w:hAnsi="宋体" w:cs="宋体"/>
          <w:szCs w:val="21"/>
          <w:lang w:val="en-US" w:eastAsia="zh-CN"/>
        </w:rPr>
        <w:t>安装及市政安装</w:t>
      </w:r>
    </w:p>
    <w:p w14:paraId="56371A31">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潜污泵参数暂按QWS15-15-2.2KW，15米扬程，15流量，2.2KW考虑。</w:t>
      </w:r>
    </w:p>
    <w:p w14:paraId="4CAB9F2C">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电气灯塔投光灯参数暂按300W IP65。</w:t>
      </w:r>
    </w:p>
    <w:p w14:paraId="0C7307F1">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因场地需要增加2根6芯单模光纤，工程量暂估200m。</w:t>
      </w:r>
    </w:p>
    <w:p w14:paraId="658CFD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2DF44"/>
    <w:multiLevelType w:val="multilevel"/>
    <w:tmpl w:val="AE82DF44"/>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B88BC41"/>
    <w:multiLevelType w:val="multilevel"/>
    <w:tmpl w:val="FB88BC41"/>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1036F0"/>
    <w:multiLevelType w:val="multilevel"/>
    <w:tmpl w:val="0A1036F0"/>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E09B53"/>
    <w:multiLevelType w:val="multilevel"/>
    <w:tmpl w:val="33E09B53"/>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1B9A11"/>
    <w:multiLevelType w:val="singleLevel"/>
    <w:tmpl w:val="701B9A11"/>
    <w:lvl w:ilvl="0" w:tentative="0">
      <w:start w:val="1"/>
      <w:numFmt w:val="chineseCounting"/>
      <w:suff w:val="nothing"/>
      <w:lvlText w:val="（%1）"/>
      <w:lvlJc w:val="left"/>
      <w:pPr>
        <w:ind w:left="0" w:firstLine="420"/>
      </w:pPr>
      <w:rPr>
        <w:rFonts w:hint="eastAsia"/>
      </w:rPr>
    </w:lvl>
  </w:abstractNum>
  <w:abstractNum w:abstractNumId="5">
    <w:nsid w:val="7C1BF351"/>
    <w:multiLevelType w:val="multilevel"/>
    <w:tmpl w:val="7C1BF351"/>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1YmZkNzRhZDJiMDA1ZmEwZDlmMzFkNmRmZTBmMjEifQ=="/>
    <w:docVar w:name="KSO_WPS_MARK_KEY" w:val="b2b52b5a-e879-4267-9938-91bb09becf3b"/>
  </w:docVars>
  <w:rsids>
    <w:rsidRoot w:val="7387680B"/>
    <w:rsid w:val="00276E33"/>
    <w:rsid w:val="004F487F"/>
    <w:rsid w:val="00704336"/>
    <w:rsid w:val="008B7201"/>
    <w:rsid w:val="01CA5CC8"/>
    <w:rsid w:val="023A4BFB"/>
    <w:rsid w:val="025832D3"/>
    <w:rsid w:val="03D229E6"/>
    <w:rsid w:val="03EF1A15"/>
    <w:rsid w:val="042B796F"/>
    <w:rsid w:val="044D08BC"/>
    <w:rsid w:val="05526700"/>
    <w:rsid w:val="05D9758F"/>
    <w:rsid w:val="05FB1F94"/>
    <w:rsid w:val="071F386D"/>
    <w:rsid w:val="07DE24CD"/>
    <w:rsid w:val="0800105D"/>
    <w:rsid w:val="08F13671"/>
    <w:rsid w:val="0A8B6AA9"/>
    <w:rsid w:val="0BF65783"/>
    <w:rsid w:val="0C6A432F"/>
    <w:rsid w:val="0D792FBD"/>
    <w:rsid w:val="11A758B4"/>
    <w:rsid w:val="11FF376C"/>
    <w:rsid w:val="12C329EB"/>
    <w:rsid w:val="132C69FE"/>
    <w:rsid w:val="16D80E4D"/>
    <w:rsid w:val="174014D5"/>
    <w:rsid w:val="17A54DB5"/>
    <w:rsid w:val="17EE3C41"/>
    <w:rsid w:val="18816904"/>
    <w:rsid w:val="18F134BE"/>
    <w:rsid w:val="1A312930"/>
    <w:rsid w:val="1A7343D2"/>
    <w:rsid w:val="1A9F156B"/>
    <w:rsid w:val="1AA749A0"/>
    <w:rsid w:val="1CE27F12"/>
    <w:rsid w:val="1D440BCC"/>
    <w:rsid w:val="1DFC5003"/>
    <w:rsid w:val="1E0F50D3"/>
    <w:rsid w:val="20D64C5A"/>
    <w:rsid w:val="21040A7D"/>
    <w:rsid w:val="21222FD3"/>
    <w:rsid w:val="215960A0"/>
    <w:rsid w:val="219537A4"/>
    <w:rsid w:val="21ED30A5"/>
    <w:rsid w:val="21EE3234"/>
    <w:rsid w:val="21FD79F2"/>
    <w:rsid w:val="23307C29"/>
    <w:rsid w:val="235F6482"/>
    <w:rsid w:val="241C1F5B"/>
    <w:rsid w:val="249C4E4A"/>
    <w:rsid w:val="24F82488"/>
    <w:rsid w:val="252B0786"/>
    <w:rsid w:val="26DB6F16"/>
    <w:rsid w:val="2753038A"/>
    <w:rsid w:val="278F3EFD"/>
    <w:rsid w:val="27C60B5C"/>
    <w:rsid w:val="2808303D"/>
    <w:rsid w:val="2AE652B3"/>
    <w:rsid w:val="2AEF2177"/>
    <w:rsid w:val="2B823F44"/>
    <w:rsid w:val="2C842D93"/>
    <w:rsid w:val="2CEB75D2"/>
    <w:rsid w:val="2D5269EE"/>
    <w:rsid w:val="2E76495E"/>
    <w:rsid w:val="2E864BA1"/>
    <w:rsid w:val="2E9848D4"/>
    <w:rsid w:val="2F715647"/>
    <w:rsid w:val="2F7A49AC"/>
    <w:rsid w:val="2FEE50F3"/>
    <w:rsid w:val="30705024"/>
    <w:rsid w:val="30A267AD"/>
    <w:rsid w:val="30A43A04"/>
    <w:rsid w:val="30DF03BE"/>
    <w:rsid w:val="31D65E3F"/>
    <w:rsid w:val="31F2254D"/>
    <w:rsid w:val="321E42CE"/>
    <w:rsid w:val="34D67F04"/>
    <w:rsid w:val="356117B7"/>
    <w:rsid w:val="36FB09A3"/>
    <w:rsid w:val="373032A9"/>
    <w:rsid w:val="37B46E43"/>
    <w:rsid w:val="37CE5E2E"/>
    <w:rsid w:val="38213739"/>
    <w:rsid w:val="38507FD8"/>
    <w:rsid w:val="38AF2F46"/>
    <w:rsid w:val="3A8166F7"/>
    <w:rsid w:val="3CC4383F"/>
    <w:rsid w:val="3DD35929"/>
    <w:rsid w:val="3DEF02FD"/>
    <w:rsid w:val="3DFD6502"/>
    <w:rsid w:val="3EDB473E"/>
    <w:rsid w:val="3EF23B8C"/>
    <w:rsid w:val="42935686"/>
    <w:rsid w:val="43397FDC"/>
    <w:rsid w:val="43942E5F"/>
    <w:rsid w:val="43A43DA2"/>
    <w:rsid w:val="43AD2778"/>
    <w:rsid w:val="43AF64F0"/>
    <w:rsid w:val="43FD2ACB"/>
    <w:rsid w:val="44830ECA"/>
    <w:rsid w:val="44B53205"/>
    <w:rsid w:val="45546741"/>
    <w:rsid w:val="456903B4"/>
    <w:rsid w:val="48455675"/>
    <w:rsid w:val="48922165"/>
    <w:rsid w:val="49531683"/>
    <w:rsid w:val="496011D0"/>
    <w:rsid w:val="4B105AC6"/>
    <w:rsid w:val="4BA426B2"/>
    <w:rsid w:val="4BFF1E33"/>
    <w:rsid w:val="4C1E0E13"/>
    <w:rsid w:val="4C234873"/>
    <w:rsid w:val="4C4C3849"/>
    <w:rsid w:val="4D811514"/>
    <w:rsid w:val="4DED684C"/>
    <w:rsid w:val="4DF571F5"/>
    <w:rsid w:val="4E481A1B"/>
    <w:rsid w:val="4E555EE6"/>
    <w:rsid w:val="4FF81283"/>
    <w:rsid w:val="4FFA0AF3"/>
    <w:rsid w:val="51404BCF"/>
    <w:rsid w:val="51DB6702"/>
    <w:rsid w:val="526A6404"/>
    <w:rsid w:val="52E06D78"/>
    <w:rsid w:val="5492111A"/>
    <w:rsid w:val="56B7773E"/>
    <w:rsid w:val="57680A38"/>
    <w:rsid w:val="57832294"/>
    <w:rsid w:val="58450D79"/>
    <w:rsid w:val="58721D05"/>
    <w:rsid w:val="58800602"/>
    <w:rsid w:val="595D5B9F"/>
    <w:rsid w:val="597E7244"/>
    <w:rsid w:val="59E92304"/>
    <w:rsid w:val="5A2F2A2C"/>
    <w:rsid w:val="5B2E3D47"/>
    <w:rsid w:val="5B3A0947"/>
    <w:rsid w:val="5B413A7A"/>
    <w:rsid w:val="5B5F7A7D"/>
    <w:rsid w:val="5B6D486F"/>
    <w:rsid w:val="5BC973D5"/>
    <w:rsid w:val="5D480F4A"/>
    <w:rsid w:val="5D9702C9"/>
    <w:rsid w:val="5D97362C"/>
    <w:rsid w:val="5DF346D3"/>
    <w:rsid w:val="5E8C36BB"/>
    <w:rsid w:val="5FB84F3B"/>
    <w:rsid w:val="602D2812"/>
    <w:rsid w:val="60D86C2E"/>
    <w:rsid w:val="61BD5D78"/>
    <w:rsid w:val="62803FEE"/>
    <w:rsid w:val="637114CE"/>
    <w:rsid w:val="641F4B74"/>
    <w:rsid w:val="65D35C16"/>
    <w:rsid w:val="66202C39"/>
    <w:rsid w:val="66E53E53"/>
    <w:rsid w:val="679804FE"/>
    <w:rsid w:val="69E530DF"/>
    <w:rsid w:val="6A5244A2"/>
    <w:rsid w:val="6B05543C"/>
    <w:rsid w:val="6B9E2823"/>
    <w:rsid w:val="6DB225B5"/>
    <w:rsid w:val="6DE85FD7"/>
    <w:rsid w:val="6DFB5D0A"/>
    <w:rsid w:val="6E05744C"/>
    <w:rsid w:val="6E3065E5"/>
    <w:rsid w:val="6EF655C3"/>
    <w:rsid w:val="703025E3"/>
    <w:rsid w:val="70781894"/>
    <w:rsid w:val="71466DEE"/>
    <w:rsid w:val="7151758B"/>
    <w:rsid w:val="717E03CF"/>
    <w:rsid w:val="722353DA"/>
    <w:rsid w:val="724E6D50"/>
    <w:rsid w:val="736305DA"/>
    <w:rsid w:val="7387680B"/>
    <w:rsid w:val="73B5545A"/>
    <w:rsid w:val="74485B23"/>
    <w:rsid w:val="75ED4EB7"/>
    <w:rsid w:val="76C00D6B"/>
    <w:rsid w:val="77A9652F"/>
    <w:rsid w:val="786E0366"/>
    <w:rsid w:val="78917997"/>
    <w:rsid w:val="78F426A5"/>
    <w:rsid w:val="79534C4C"/>
    <w:rsid w:val="799C2A97"/>
    <w:rsid w:val="7A4F18B8"/>
    <w:rsid w:val="7A59483C"/>
    <w:rsid w:val="7BA479E1"/>
    <w:rsid w:val="7BB67714"/>
    <w:rsid w:val="7C372603"/>
    <w:rsid w:val="7C3A558F"/>
    <w:rsid w:val="7CBF6F77"/>
    <w:rsid w:val="7CDC4DF9"/>
    <w:rsid w:val="7CEA58C8"/>
    <w:rsid w:val="7D3668AB"/>
    <w:rsid w:val="7D6E09B1"/>
    <w:rsid w:val="7DCE5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2233</Words>
  <Characters>2630</Characters>
  <Lines>0</Lines>
  <Paragraphs>0</Paragraphs>
  <TotalTime>3</TotalTime>
  <ScaleCrop>false</ScaleCrop>
  <LinksUpToDate>false</LinksUpToDate>
  <CharactersWithSpaces>2635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2023-12-27T08:45:00Z</dcterms:created>
  <dc:creator>V牛腿</dc:creator>
  <cp:lastModifiedBy>Mavisss</cp:lastModifiedBy>
  <cp:lastPrinted>2025-05-26T01:25:00Z</cp:lastPrinted>
  <dcterms:modified xsi:type="dcterms:W3CDTF">2025-06-24T07:02:24Z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02CAA53302774B468AD0A56324EC1BB3_13</vt:lpwstr>
  </property>
  <property fmtid="{D5CDD505-2E9C-101B-9397-08002B2CF9AE}" pid="4" name="KSOTemplateDocerSaveRecord">
    <vt:lpwstr>eyJoZGlkIjoiMGQ2YjdhMmE5YjgzZGI3ODM1OTRmMjRhMGIzNGU2YWMiLCJ1c2VySWQiOiI3MzExNDI2NzIifQ==</vt:lpwstr>
  </property>
</Properties>
</file>