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C87EBE">
      <w:pPr>
        <w:spacing w:line="360" w:lineRule="auto"/>
        <w:jc w:val="center"/>
        <w:textAlignment w:val="baseline"/>
        <w:rPr>
          <w:rFonts w:hint="eastAsia" w:ascii="宋体" w:hAnsi="宋体"/>
          <w:b/>
          <w:color w:val="auto"/>
          <w:spacing w:val="2"/>
          <w:position w:val="-3"/>
          <w:sz w:val="44"/>
          <w:szCs w:val="44"/>
          <w:highlight w:val="none"/>
          <w:lang w:eastAsia="zh-CN"/>
        </w:rPr>
      </w:pPr>
    </w:p>
    <w:p w14:paraId="3838B03B">
      <w:pPr>
        <w:rPr>
          <w:rFonts w:hint="eastAsia"/>
          <w:highlight w:val="none"/>
          <w:lang w:eastAsia="zh-CN"/>
        </w:rPr>
      </w:pPr>
    </w:p>
    <w:p w14:paraId="34D7FDA7">
      <w:pPr>
        <w:pStyle w:val="49"/>
        <w:jc w:val="center"/>
        <w:rPr>
          <w:rFonts w:hint="eastAsia" w:ascii="宋体" w:hAnsi="宋体" w:eastAsia="宋体" w:cs="宋体"/>
          <w:b/>
          <w:color w:val="auto"/>
          <w:spacing w:val="2"/>
          <w:position w:val="-3"/>
          <w:sz w:val="36"/>
          <w:szCs w:val="36"/>
          <w:highlight w:val="none"/>
          <w:lang w:eastAsia="zh-CN"/>
        </w:rPr>
      </w:pPr>
      <w:r>
        <w:rPr>
          <w:rFonts w:hint="eastAsia" w:ascii="宋体" w:hAnsi="宋体" w:eastAsia="宋体" w:cs="宋体"/>
          <w:b/>
          <w:color w:val="auto"/>
          <w:spacing w:val="2"/>
          <w:position w:val="-3"/>
          <w:sz w:val="36"/>
          <w:szCs w:val="36"/>
          <w:highlight w:val="none"/>
          <w:lang w:eastAsia="zh-CN"/>
        </w:rPr>
        <w:t>2025年交通事故痕迹鉴定及车辆鉴定技术服务项目</w:t>
      </w:r>
    </w:p>
    <w:p w14:paraId="5B19B3EF">
      <w:pPr>
        <w:pStyle w:val="53"/>
        <w:rPr>
          <w:rFonts w:hint="eastAsia"/>
          <w:highlight w:val="none"/>
          <w:lang w:eastAsia="zh-CN"/>
        </w:rPr>
      </w:pPr>
    </w:p>
    <w:p w14:paraId="548C7E4C">
      <w:pPr>
        <w:pStyle w:val="53"/>
        <w:rPr>
          <w:rFonts w:hint="eastAsia"/>
          <w:color w:val="auto"/>
          <w:highlight w:val="none"/>
        </w:rPr>
      </w:pPr>
    </w:p>
    <w:p w14:paraId="5A597A9E">
      <w:pPr>
        <w:spacing w:line="360" w:lineRule="auto"/>
        <w:jc w:val="center"/>
        <w:textAlignment w:val="baseline"/>
        <w:rPr>
          <w:rFonts w:hint="eastAsia" w:ascii="宋体" w:hAnsi="宋体" w:cs="宋体"/>
          <w:b/>
          <w:color w:val="auto"/>
          <w:spacing w:val="2"/>
          <w:position w:val="-3"/>
          <w:sz w:val="44"/>
          <w:szCs w:val="44"/>
          <w:highlight w:val="none"/>
        </w:rPr>
      </w:pPr>
    </w:p>
    <w:p w14:paraId="6E58926E">
      <w:pPr>
        <w:spacing w:line="360" w:lineRule="auto"/>
        <w:jc w:val="center"/>
        <w:textAlignment w:val="baseline"/>
        <w:rPr>
          <w:rFonts w:hint="eastAsia" w:ascii="宋体" w:hAnsi="宋体" w:cs="宋体"/>
          <w:b/>
          <w:color w:val="auto"/>
          <w:spacing w:val="2"/>
          <w:position w:val="-3"/>
          <w:sz w:val="32"/>
          <w:szCs w:val="32"/>
          <w:highlight w:val="none"/>
        </w:rPr>
      </w:pPr>
      <w:r>
        <w:rPr>
          <w:rFonts w:hint="eastAsia" w:ascii="宋体" w:hAnsi="宋体" w:cs="宋体"/>
          <w:b/>
          <w:color w:val="auto"/>
          <w:spacing w:val="2"/>
          <w:position w:val="-3"/>
          <w:sz w:val="32"/>
          <w:szCs w:val="32"/>
          <w:highlight w:val="none"/>
        </w:rPr>
        <w:t>竞争性磋商文件</w:t>
      </w:r>
    </w:p>
    <w:p w14:paraId="5E0795EC">
      <w:pPr>
        <w:spacing w:line="360" w:lineRule="auto"/>
        <w:jc w:val="center"/>
        <w:textAlignment w:val="baseline"/>
        <w:rPr>
          <w:rFonts w:hint="eastAsia" w:ascii="宋体" w:hAnsi="宋体" w:cs="宋体"/>
          <w:b/>
          <w:color w:val="auto"/>
          <w:spacing w:val="2"/>
          <w:position w:val="-3"/>
          <w:sz w:val="32"/>
          <w:szCs w:val="32"/>
          <w:highlight w:val="none"/>
        </w:rPr>
      </w:pPr>
      <w:r>
        <w:rPr>
          <w:rFonts w:hint="eastAsia" w:ascii="宋体" w:hAnsi="宋体" w:cs="宋体"/>
          <w:b/>
          <w:color w:val="auto"/>
          <w:spacing w:val="2"/>
          <w:position w:val="-3"/>
          <w:sz w:val="32"/>
          <w:szCs w:val="32"/>
          <w:highlight w:val="none"/>
        </w:rPr>
        <w:t>（线上电子招投标）</w:t>
      </w:r>
    </w:p>
    <w:p w14:paraId="7B8E0136">
      <w:pPr>
        <w:spacing w:line="360" w:lineRule="auto"/>
        <w:jc w:val="center"/>
        <w:textAlignment w:val="baseline"/>
        <w:rPr>
          <w:rFonts w:ascii="宋体" w:hAnsi="宋体" w:cs="宋体"/>
          <w:bCs/>
          <w:color w:val="auto"/>
          <w:sz w:val="24"/>
          <w:szCs w:val="24"/>
          <w:highlight w:val="none"/>
        </w:rPr>
      </w:pPr>
    </w:p>
    <w:p w14:paraId="1D0B1571">
      <w:pPr>
        <w:spacing w:line="360" w:lineRule="auto"/>
        <w:jc w:val="center"/>
        <w:textAlignment w:val="baseline"/>
        <w:rPr>
          <w:rFonts w:ascii="宋体" w:hAnsi="宋体" w:cs="宋体"/>
          <w:bCs/>
          <w:color w:val="auto"/>
          <w:sz w:val="24"/>
          <w:szCs w:val="24"/>
          <w:highlight w:val="none"/>
        </w:rPr>
      </w:pPr>
    </w:p>
    <w:p w14:paraId="5DF380DC">
      <w:pPr>
        <w:pStyle w:val="11"/>
        <w:textAlignment w:val="baseline"/>
        <w:rPr>
          <w:rFonts w:ascii="宋体" w:hAnsi="宋体" w:cs="宋体"/>
          <w:color w:val="auto"/>
          <w:highlight w:val="none"/>
        </w:rPr>
      </w:pPr>
    </w:p>
    <w:p w14:paraId="4F22EC81">
      <w:pPr>
        <w:spacing w:line="360" w:lineRule="auto"/>
        <w:jc w:val="center"/>
        <w:textAlignment w:val="baseline"/>
        <w:rPr>
          <w:rFonts w:ascii="宋体" w:hAnsi="宋体" w:cs="宋体"/>
          <w:bCs/>
          <w:color w:val="auto"/>
          <w:sz w:val="24"/>
          <w:szCs w:val="24"/>
          <w:highlight w:val="none"/>
        </w:rPr>
      </w:pPr>
    </w:p>
    <w:p w14:paraId="722365AF">
      <w:pPr>
        <w:keepNext w:val="0"/>
        <w:keepLines w:val="0"/>
        <w:pageBreakBefore w:val="0"/>
        <w:widowControl w:val="0"/>
        <w:kinsoku/>
        <w:wordWrap/>
        <w:overflowPunct/>
        <w:topLinePunct w:val="0"/>
        <w:autoSpaceDE/>
        <w:autoSpaceDN/>
        <w:bidi w:val="0"/>
        <w:adjustRightInd/>
        <w:snapToGrid/>
        <w:spacing w:line="760" w:lineRule="exact"/>
        <w:ind w:left="0" w:leftChars="0" w:firstLine="1952" w:firstLineChars="600"/>
        <w:textAlignment w:val="baseline"/>
        <w:rPr>
          <w:rFonts w:hint="eastAsia" w:ascii="宋体" w:hAnsi="宋体" w:cs="宋体"/>
          <w:b/>
          <w:color w:val="auto"/>
          <w:spacing w:val="2"/>
          <w:position w:val="-3"/>
          <w:sz w:val="32"/>
          <w:szCs w:val="32"/>
          <w:highlight w:val="none"/>
        </w:rPr>
      </w:pPr>
    </w:p>
    <w:p w14:paraId="03298B8D">
      <w:pPr>
        <w:keepNext w:val="0"/>
        <w:keepLines w:val="0"/>
        <w:pageBreakBefore w:val="0"/>
        <w:widowControl w:val="0"/>
        <w:kinsoku/>
        <w:wordWrap/>
        <w:overflowPunct/>
        <w:topLinePunct w:val="0"/>
        <w:autoSpaceDE/>
        <w:autoSpaceDN/>
        <w:bidi w:val="0"/>
        <w:adjustRightInd/>
        <w:snapToGrid/>
        <w:spacing w:line="760" w:lineRule="exact"/>
        <w:ind w:left="0" w:leftChars="0" w:firstLine="1831" w:firstLineChars="600"/>
        <w:textAlignment w:val="baseline"/>
        <w:rPr>
          <w:rFonts w:hint="eastAsia" w:ascii="宋体" w:hAnsi="宋体" w:cs="宋体"/>
          <w:b/>
          <w:color w:val="auto"/>
          <w:spacing w:val="2"/>
          <w:position w:val="-3"/>
          <w:sz w:val="30"/>
          <w:szCs w:val="30"/>
          <w:highlight w:val="none"/>
          <w:lang w:eastAsia="zh-CN"/>
        </w:rPr>
      </w:pPr>
      <w:r>
        <w:rPr>
          <w:rFonts w:hint="eastAsia" w:ascii="宋体" w:hAnsi="宋体" w:cs="宋体"/>
          <w:b/>
          <w:color w:val="auto"/>
          <w:spacing w:val="2"/>
          <w:position w:val="-3"/>
          <w:sz w:val="30"/>
          <w:szCs w:val="30"/>
          <w:highlight w:val="none"/>
        </w:rPr>
        <w:t>项目编号：</w:t>
      </w:r>
      <w:r>
        <w:rPr>
          <w:rFonts w:hint="eastAsia" w:ascii="宋体" w:hAnsi="宋体" w:cs="宋体"/>
          <w:b/>
          <w:color w:val="auto"/>
          <w:spacing w:val="2"/>
          <w:position w:val="-3"/>
          <w:sz w:val="30"/>
          <w:szCs w:val="30"/>
          <w:highlight w:val="none"/>
          <w:lang w:eastAsia="zh-CN"/>
        </w:rPr>
        <w:t>CSKC-CS202504</w:t>
      </w:r>
    </w:p>
    <w:p w14:paraId="23CC1C16">
      <w:pPr>
        <w:pStyle w:val="26"/>
        <w:rPr>
          <w:rFonts w:hint="eastAsia"/>
          <w:lang w:eastAsia="zh-CN"/>
        </w:rPr>
      </w:pPr>
    </w:p>
    <w:p w14:paraId="26F8C382">
      <w:pPr>
        <w:rPr>
          <w:rFonts w:hint="eastAsia"/>
          <w:lang w:eastAsia="zh-CN"/>
        </w:rPr>
      </w:pPr>
    </w:p>
    <w:p w14:paraId="18B90140">
      <w:pPr>
        <w:keepNext w:val="0"/>
        <w:keepLines w:val="0"/>
        <w:pageBreakBefore w:val="0"/>
        <w:widowControl w:val="0"/>
        <w:kinsoku/>
        <w:wordWrap/>
        <w:overflowPunct/>
        <w:topLinePunct w:val="0"/>
        <w:autoSpaceDE/>
        <w:autoSpaceDN/>
        <w:bidi w:val="0"/>
        <w:adjustRightInd/>
        <w:snapToGrid/>
        <w:spacing w:line="760" w:lineRule="exact"/>
        <w:ind w:left="0" w:leftChars="0" w:firstLine="1831" w:firstLineChars="600"/>
        <w:jc w:val="both"/>
        <w:textAlignment w:val="baseline"/>
        <w:rPr>
          <w:rFonts w:ascii="宋体" w:hAnsi="宋体" w:cs="宋体"/>
          <w:b/>
          <w:color w:val="auto"/>
          <w:spacing w:val="2"/>
          <w:position w:val="-3"/>
          <w:sz w:val="30"/>
          <w:szCs w:val="30"/>
          <w:highlight w:val="none"/>
        </w:rPr>
      </w:pPr>
      <w:r>
        <w:rPr>
          <w:rFonts w:hint="eastAsia" w:ascii="宋体" w:hAnsi="宋体" w:cs="宋体"/>
          <w:b/>
          <w:color w:val="auto"/>
          <w:spacing w:val="2"/>
          <w:position w:val="-3"/>
          <w:sz w:val="30"/>
          <w:szCs w:val="30"/>
          <w:highlight w:val="none"/>
        </w:rPr>
        <w:t>采购人：</w:t>
      </w:r>
      <w:r>
        <w:rPr>
          <w:rFonts w:hint="eastAsia" w:ascii="宋体" w:hAnsi="宋体" w:cs="宋体"/>
          <w:b/>
          <w:color w:val="auto"/>
          <w:spacing w:val="2"/>
          <w:position w:val="-3"/>
          <w:sz w:val="30"/>
          <w:szCs w:val="30"/>
          <w:highlight w:val="none"/>
          <w:lang w:eastAsia="zh-CN"/>
        </w:rPr>
        <w:t>常山县公安局交通警察大队</w:t>
      </w:r>
    </w:p>
    <w:p w14:paraId="1BBD6098">
      <w:pPr>
        <w:keepNext w:val="0"/>
        <w:keepLines w:val="0"/>
        <w:pageBreakBefore w:val="0"/>
        <w:widowControl w:val="0"/>
        <w:kinsoku/>
        <w:wordWrap/>
        <w:overflowPunct/>
        <w:topLinePunct w:val="0"/>
        <w:autoSpaceDE/>
        <w:autoSpaceDN/>
        <w:bidi w:val="0"/>
        <w:adjustRightInd/>
        <w:snapToGrid/>
        <w:spacing w:line="760" w:lineRule="exact"/>
        <w:ind w:left="0" w:leftChars="0" w:firstLine="1831" w:firstLineChars="600"/>
        <w:textAlignment w:val="baseline"/>
        <w:rPr>
          <w:rFonts w:hint="eastAsia" w:ascii="宋体" w:hAnsi="宋体" w:cs="宋体"/>
          <w:b/>
          <w:color w:val="auto"/>
          <w:spacing w:val="2"/>
          <w:position w:val="-3"/>
          <w:sz w:val="30"/>
          <w:szCs w:val="30"/>
          <w:highlight w:val="none"/>
        </w:rPr>
      </w:pPr>
    </w:p>
    <w:p w14:paraId="0DA27E24">
      <w:pPr>
        <w:keepNext w:val="0"/>
        <w:keepLines w:val="0"/>
        <w:pageBreakBefore w:val="0"/>
        <w:widowControl w:val="0"/>
        <w:kinsoku/>
        <w:wordWrap/>
        <w:overflowPunct/>
        <w:topLinePunct w:val="0"/>
        <w:autoSpaceDE/>
        <w:autoSpaceDN/>
        <w:bidi w:val="0"/>
        <w:adjustRightInd/>
        <w:snapToGrid/>
        <w:spacing w:line="760" w:lineRule="exact"/>
        <w:ind w:left="0" w:leftChars="0" w:firstLine="1831" w:firstLineChars="600"/>
        <w:textAlignment w:val="baseline"/>
        <w:rPr>
          <w:rFonts w:hint="eastAsia" w:ascii="宋体" w:hAnsi="宋体" w:eastAsia="宋体" w:cs="宋体"/>
          <w:b/>
          <w:color w:val="auto"/>
          <w:spacing w:val="2"/>
          <w:position w:val="-3"/>
          <w:sz w:val="30"/>
          <w:szCs w:val="30"/>
          <w:highlight w:val="none"/>
          <w:lang w:eastAsia="zh-CN"/>
        </w:rPr>
      </w:pPr>
      <w:r>
        <w:rPr>
          <w:rFonts w:hint="eastAsia" w:ascii="宋体" w:hAnsi="宋体" w:cs="宋体"/>
          <w:b/>
          <w:color w:val="auto"/>
          <w:spacing w:val="2"/>
          <w:position w:val="-3"/>
          <w:sz w:val="30"/>
          <w:szCs w:val="30"/>
          <w:highlight w:val="none"/>
        </w:rPr>
        <w:t>代理机构：</w:t>
      </w:r>
      <w:r>
        <w:rPr>
          <w:rFonts w:hint="eastAsia" w:ascii="宋体" w:hAnsi="宋体" w:cs="宋体"/>
          <w:b/>
          <w:color w:val="auto"/>
          <w:spacing w:val="2"/>
          <w:position w:val="-3"/>
          <w:sz w:val="30"/>
          <w:szCs w:val="30"/>
          <w:highlight w:val="none"/>
          <w:lang w:eastAsia="zh-CN"/>
        </w:rPr>
        <w:t>衢州市开成工程造价咨询事务所有限公司</w:t>
      </w:r>
    </w:p>
    <w:p w14:paraId="6206B56A">
      <w:pPr>
        <w:spacing w:line="700" w:lineRule="exact"/>
        <w:jc w:val="center"/>
        <w:textAlignment w:val="baseline"/>
        <w:rPr>
          <w:rFonts w:hint="eastAsia" w:ascii="宋体" w:hAnsi="宋体" w:cs="宋体"/>
          <w:b/>
          <w:color w:val="auto"/>
          <w:spacing w:val="2"/>
          <w:position w:val="-3"/>
          <w:sz w:val="32"/>
          <w:szCs w:val="32"/>
          <w:highlight w:val="none"/>
        </w:rPr>
      </w:pPr>
    </w:p>
    <w:p w14:paraId="3160FE4C">
      <w:pPr>
        <w:spacing w:line="700" w:lineRule="exact"/>
        <w:jc w:val="center"/>
        <w:textAlignment w:val="baseline"/>
        <w:rPr>
          <w:rFonts w:hint="eastAsia" w:ascii="宋体" w:hAnsi="宋体" w:cs="宋体"/>
          <w:b/>
          <w:color w:val="auto"/>
          <w:spacing w:val="2"/>
          <w:position w:val="-3"/>
          <w:sz w:val="30"/>
          <w:szCs w:val="30"/>
          <w:highlight w:val="none"/>
        </w:rPr>
      </w:pPr>
      <w:r>
        <w:rPr>
          <w:rFonts w:hint="eastAsia" w:ascii="宋体" w:hAnsi="宋体" w:cs="宋体"/>
          <w:b/>
          <w:color w:val="auto"/>
          <w:spacing w:val="2"/>
          <w:position w:val="-3"/>
          <w:sz w:val="30"/>
          <w:szCs w:val="30"/>
          <w:highlight w:val="none"/>
        </w:rPr>
        <w:t>二〇二</w:t>
      </w:r>
      <w:r>
        <w:rPr>
          <w:rFonts w:hint="eastAsia" w:ascii="宋体" w:hAnsi="宋体" w:cs="宋体"/>
          <w:b/>
          <w:color w:val="auto"/>
          <w:spacing w:val="2"/>
          <w:position w:val="-3"/>
          <w:sz w:val="30"/>
          <w:szCs w:val="30"/>
          <w:highlight w:val="none"/>
          <w:lang w:eastAsia="zh-CN"/>
        </w:rPr>
        <w:t>五</w:t>
      </w:r>
      <w:r>
        <w:rPr>
          <w:rFonts w:hint="eastAsia" w:ascii="宋体" w:hAnsi="宋体" w:cs="宋体"/>
          <w:b/>
          <w:color w:val="auto"/>
          <w:spacing w:val="2"/>
          <w:position w:val="-3"/>
          <w:sz w:val="30"/>
          <w:szCs w:val="30"/>
          <w:highlight w:val="none"/>
        </w:rPr>
        <w:t>年</w:t>
      </w:r>
      <w:r>
        <w:rPr>
          <w:rFonts w:hint="eastAsia" w:ascii="宋体" w:hAnsi="宋体" w:cs="宋体"/>
          <w:b/>
          <w:color w:val="auto"/>
          <w:spacing w:val="2"/>
          <w:position w:val="-3"/>
          <w:sz w:val="30"/>
          <w:szCs w:val="30"/>
          <w:highlight w:val="none"/>
          <w:lang w:eastAsia="zh-CN"/>
        </w:rPr>
        <w:t>五</w:t>
      </w:r>
      <w:r>
        <w:rPr>
          <w:rFonts w:hint="eastAsia" w:ascii="宋体" w:hAnsi="宋体" w:cs="宋体"/>
          <w:b/>
          <w:color w:val="auto"/>
          <w:spacing w:val="2"/>
          <w:position w:val="-3"/>
          <w:sz w:val="30"/>
          <w:szCs w:val="30"/>
          <w:highlight w:val="none"/>
        </w:rPr>
        <w:t>月</w:t>
      </w:r>
    </w:p>
    <w:p w14:paraId="7760F0BF">
      <w:pPr>
        <w:bidi w:val="0"/>
        <w:rPr>
          <w:rFonts w:ascii="Calibri" w:hAnsi="Calibri" w:eastAsia="宋体" w:cs="Times New Roman"/>
          <w:color w:val="auto"/>
          <w:kern w:val="2"/>
          <w:sz w:val="21"/>
          <w:szCs w:val="22"/>
          <w:highlight w:val="none"/>
          <w:lang w:val="en-US" w:eastAsia="zh-CN" w:bidi="ar-SA"/>
        </w:rPr>
      </w:pPr>
    </w:p>
    <w:p w14:paraId="4308D7F7">
      <w:pPr>
        <w:tabs>
          <w:tab w:val="left" w:pos="3311"/>
        </w:tabs>
        <w:bidi w:val="0"/>
        <w:jc w:val="left"/>
        <w:rPr>
          <w:color w:val="auto"/>
          <w:highlight w:val="none"/>
          <w:lang w:val="en-US" w:eastAsia="zh-CN"/>
        </w:rPr>
        <w:sectPr>
          <w:pgSz w:w="11906" w:h="16838"/>
          <w:pgMar w:top="1440" w:right="1083" w:bottom="1440" w:left="1083" w:header="851" w:footer="992" w:gutter="0"/>
          <w:cols w:space="720" w:num="1"/>
          <w:docGrid w:type="lines" w:linePitch="312" w:charSpace="0"/>
        </w:sectPr>
      </w:pPr>
      <w:r>
        <w:rPr>
          <w:rFonts w:hint="eastAsia"/>
          <w:color w:val="auto"/>
          <w:highlight w:val="none"/>
          <w:lang w:val="en-US" w:eastAsia="zh-CN"/>
        </w:rPr>
        <w:tab/>
      </w:r>
    </w:p>
    <w:p w14:paraId="405E13A9">
      <w:pPr>
        <w:spacing w:after="312" w:afterAutospacing="1" w:line="360" w:lineRule="auto"/>
        <w:textAlignment w:val="baseline"/>
        <w:rPr>
          <w:rFonts w:ascii="宋体" w:hAnsi="宋体" w:cs="宋体"/>
          <w:color w:val="auto"/>
          <w:sz w:val="28"/>
          <w:szCs w:val="28"/>
          <w:highlight w:val="none"/>
        </w:rPr>
      </w:pPr>
    </w:p>
    <w:p w14:paraId="57CCBAA9">
      <w:pPr>
        <w:spacing w:before="24" w:after="24" w:line="360" w:lineRule="auto"/>
        <w:jc w:val="center"/>
        <w:textAlignment w:val="baseline"/>
        <w:rPr>
          <w:rFonts w:ascii="宋体" w:hAnsi="宋体" w:cs="宋体"/>
          <w:b/>
          <w:bCs/>
          <w:color w:val="auto"/>
          <w:sz w:val="36"/>
          <w:szCs w:val="36"/>
          <w:highlight w:val="none"/>
        </w:rPr>
      </w:pPr>
      <w:r>
        <w:rPr>
          <w:rFonts w:hint="eastAsia" w:ascii="宋体" w:hAnsi="宋体" w:cs="宋体"/>
          <w:b/>
          <w:bCs/>
          <w:color w:val="auto"/>
          <w:sz w:val="36"/>
          <w:szCs w:val="36"/>
          <w:highlight w:val="none"/>
        </w:rPr>
        <w:t>目  录</w:t>
      </w:r>
    </w:p>
    <w:sdt>
      <w:sdtPr>
        <w:rPr>
          <w:rFonts w:ascii="宋体" w:hAnsi="宋体"/>
          <w:color w:val="auto"/>
          <w:kern w:val="0"/>
          <w:sz w:val="24"/>
          <w:highlight w:val="none"/>
          <w:lang w:val="zh-CN"/>
        </w:rPr>
        <w:id w:val="147455864"/>
        <w15:color w:val="DBDBDB"/>
      </w:sdtPr>
      <w:sdtEndPr>
        <w:rPr>
          <w:rFonts w:hint="eastAsia" w:ascii="宋体" w:hAnsi="宋体" w:cs="宋体"/>
          <w:bCs/>
          <w:color w:val="auto"/>
          <w:kern w:val="0"/>
          <w:sz w:val="24"/>
          <w:szCs w:val="28"/>
          <w:highlight w:val="none"/>
          <w:lang w:val="zh-CN"/>
        </w:rPr>
      </w:sdtEndPr>
      <w:sdtContent>
        <w:p w14:paraId="22D1E770">
          <w:pPr>
            <w:jc w:val="center"/>
            <w:rPr>
              <w:color w:val="auto"/>
              <w:highlight w:val="none"/>
            </w:rPr>
          </w:pPr>
        </w:p>
        <w:p w14:paraId="14E00C61">
          <w:pPr>
            <w:pStyle w:val="100"/>
            <w:tabs>
              <w:tab w:val="right" w:leader="dot" w:pos="10206"/>
            </w:tabs>
            <w:rPr>
              <w:rFonts w:ascii="宋体" w:hAnsi="宋体" w:cs="宋体"/>
              <w:color w:val="auto"/>
              <w:sz w:val="28"/>
              <w:szCs w:val="28"/>
              <w:highlight w:val="none"/>
            </w:rPr>
          </w:pPr>
          <w:r>
            <w:rPr>
              <w:rFonts w:hint="eastAsia" w:ascii="宋体" w:hAnsi="宋体" w:cs="宋体"/>
              <w:b/>
              <w:bCs/>
              <w:color w:val="auto"/>
              <w:sz w:val="28"/>
              <w:szCs w:val="28"/>
              <w:highlight w:val="none"/>
            </w:rPr>
            <w:fldChar w:fldCharType="begin"/>
          </w:r>
          <w:r>
            <w:rPr>
              <w:rFonts w:hint="eastAsia" w:ascii="宋体" w:hAnsi="宋体" w:cs="宋体"/>
              <w:b/>
              <w:bCs/>
              <w:color w:val="auto"/>
              <w:sz w:val="28"/>
              <w:szCs w:val="28"/>
              <w:highlight w:val="none"/>
            </w:rPr>
            <w:instrText xml:space="preserve">TOC \o "1-1" \h \u </w:instrText>
          </w:r>
          <w:r>
            <w:rPr>
              <w:rFonts w:hint="eastAsia" w:ascii="宋体" w:hAnsi="宋体" w:cs="宋体"/>
              <w:b/>
              <w:bCs/>
              <w:color w:val="auto"/>
              <w:sz w:val="28"/>
              <w:szCs w:val="28"/>
              <w:highlight w:val="none"/>
            </w:rPr>
            <w:fldChar w:fldCharType="separate"/>
          </w:r>
          <w:r>
            <w:rPr>
              <w:color w:val="auto"/>
              <w:highlight w:val="none"/>
            </w:rPr>
            <w:fldChar w:fldCharType="begin"/>
          </w:r>
          <w:r>
            <w:rPr>
              <w:color w:val="auto"/>
              <w:highlight w:val="none"/>
            </w:rPr>
            <w:instrText xml:space="preserve"> HYPERLINK \l "_Toc3203" </w:instrText>
          </w:r>
          <w:r>
            <w:rPr>
              <w:color w:val="auto"/>
              <w:highlight w:val="none"/>
            </w:rPr>
            <w:fldChar w:fldCharType="separate"/>
          </w:r>
          <w:r>
            <w:rPr>
              <w:rFonts w:hint="eastAsia" w:ascii="宋体" w:hAnsi="宋体" w:cs="宋体"/>
              <w:bCs/>
              <w:color w:val="auto"/>
              <w:sz w:val="28"/>
              <w:szCs w:val="28"/>
              <w:highlight w:val="none"/>
            </w:rPr>
            <w:t>第一章  竞争性磋商公告</w:t>
          </w:r>
          <w:r>
            <w:rPr>
              <w:rFonts w:hint="eastAsia" w:ascii="宋体" w:hAnsi="宋体" w:cs="宋体"/>
              <w:color w:val="auto"/>
              <w:sz w:val="28"/>
              <w:szCs w:val="28"/>
              <w:highlight w:val="none"/>
            </w:rPr>
            <w:tab/>
          </w:r>
          <w:r>
            <w:rPr>
              <w:rFonts w:hint="eastAsia" w:ascii="宋体" w:hAnsi="宋体" w:cs="宋体"/>
              <w:color w:val="auto"/>
              <w:sz w:val="28"/>
              <w:szCs w:val="28"/>
              <w:highlight w:val="none"/>
            </w:rPr>
            <w:fldChar w:fldCharType="begin"/>
          </w:r>
          <w:r>
            <w:rPr>
              <w:rFonts w:hint="eastAsia" w:ascii="宋体" w:hAnsi="宋体" w:cs="宋体"/>
              <w:color w:val="auto"/>
              <w:sz w:val="28"/>
              <w:szCs w:val="28"/>
              <w:highlight w:val="none"/>
            </w:rPr>
            <w:instrText xml:space="preserve"> PAGEREF _Toc3203 \h </w:instrText>
          </w:r>
          <w:r>
            <w:rPr>
              <w:rFonts w:hint="eastAsia" w:ascii="宋体" w:hAnsi="宋体" w:cs="宋体"/>
              <w:color w:val="auto"/>
              <w:sz w:val="28"/>
              <w:szCs w:val="28"/>
              <w:highlight w:val="none"/>
            </w:rPr>
            <w:fldChar w:fldCharType="separate"/>
          </w:r>
          <w:r>
            <w:rPr>
              <w:rFonts w:hint="eastAsia" w:ascii="宋体" w:hAnsi="宋体" w:cs="宋体"/>
              <w:color w:val="auto"/>
              <w:sz w:val="28"/>
              <w:szCs w:val="28"/>
              <w:highlight w:val="none"/>
            </w:rPr>
            <w:t>2</w:t>
          </w:r>
          <w:r>
            <w:rPr>
              <w:rFonts w:hint="eastAsia" w:ascii="宋体" w:hAnsi="宋体" w:cs="宋体"/>
              <w:color w:val="auto"/>
              <w:sz w:val="28"/>
              <w:szCs w:val="28"/>
              <w:highlight w:val="none"/>
            </w:rPr>
            <w:fldChar w:fldCharType="end"/>
          </w:r>
          <w:r>
            <w:rPr>
              <w:rFonts w:hint="eastAsia" w:ascii="宋体" w:hAnsi="宋体" w:cs="宋体"/>
              <w:color w:val="auto"/>
              <w:sz w:val="28"/>
              <w:szCs w:val="28"/>
              <w:highlight w:val="none"/>
            </w:rPr>
            <w:fldChar w:fldCharType="end"/>
          </w:r>
        </w:p>
        <w:p w14:paraId="28E91949">
          <w:pPr>
            <w:pStyle w:val="100"/>
            <w:tabs>
              <w:tab w:val="right" w:leader="dot" w:pos="10206"/>
            </w:tabs>
            <w:rPr>
              <w:rFonts w:ascii="宋体" w:hAnsi="宋体" w:cs="宋体"/>
              <w:color w:val="auto"/>
              <w:sz w:val="28"/>
              <w:szCs w:val="28"/>
              <w:highlight w:val="none"/>
            </w:rPr>
          </w:pPr>
          <w:r>
            <w:rPr>
              <w:color w:val="auto"/>
              <w:highlight w:val="none"/>
            </w:rPr>
            <w:fldChar w:fldCharType="begin"/>
          </w:r>
          <w:r>
            <w:rPr>
              <w:color w:val="auto"/>
              <w:highlight w:val="none"/>
            </w:rPr>
            <w:instrText xml:space="preserve"> HYPERLINK \l "_Toc16791" </w:instrText>
          </w:r>
          <w:r>
            <w:rPr>
              <w:color w:val="auto"/>
              <w:highlight w:val="none"/>
            </w:rPr>
            <w:fldChar w:fldCharType="separate"/>
          </w:r>
          <w:r>
            <w:rPr>
              <w:rFonts w:hint="eastAsia" w:ascii="宋体" w:hAnsi="宋体" w:cs="宋体"/>
              <w:bCs/>
              <w:color w:val="auto"/>
              <w:sz w:val="28"/>
              <w:szCs w:val="28"/>
              <w:highlight w:val="none"/>
            </w:rPr>
            <w:t>第二章  磋商供应商须知</w:t>
          </w:r>
          <w:r>
            <w:rPr>
              <w:rFonts w:hint="eastAsia" w:ascii="宋体" w:hAnsi="宋体" w:cs="宋体"/>
              <w:color w:val="auto"/>
              <w:sz w:val="28"/>
              <w:szCs w:val="28"/>
              <w:highlight w:val="none"/>
            </w:rPr>
            <w:tab/>
          </w:r>
          <w:r>
            <w:rPr>
              <w:rFonts w:hint="eastAsia" w:ascii="宋体" w:hAnsi="宋体" w:cs="宋体"/>
              <w:color w:val="auto"/>
              <w:sz w:val="28"/>
              <w:szCs w:val="28"/>
              <w:highlight w:val="none"/>
            </w:rPr>
            <w:fldChar w:fldCharType="begin"/>
          </w:r>
          <w:r>
            <w:rPr>
              <w:rFonts w:hint="eastAsia" w:ascii="宋体" w:hAnsi="宋体" w:cs="宋体"/>
              <w:color w:val="auto"/>
              <w:sz w:val="28"/>
              <w:szCs w:val="28"/>
              <w:highlight w:val="none"/>
            </w:rPr>
            <w:instrText xml:space="preserve"> PAGEREF _Toc16791 \h </w:instrText>
          </w:r>
          <w:r>
            <w:rPr>
              <w:rFonts w:hint="eastAsia" w:ascii="宋体" w:hAnsi="宋体" w:cs="宋体"/>
              <w:color w:val="auto"/>
              <w:sz w:val="28"/>
              <w:szCs w:val="28"/>
              <w:highlight w:val="none"/>
            </w:rPr>
            <w:fldChar w:fldCharType="separate"/>
          </w:r>
          <w:r>
            <w:rPr>
              <w:rFonts w:hint="eastAsia" w:ascii="宋体" w:hAnsi="宋体" w:cs="宋体"/>
              <w:color w:val="auto"/>
              <w:sz w:val="28"/>
              <w:szCs w:val="28"/>
              <w:highlight w:val="none"/>
            </w:rPr>
            <w:t>6</w:t>
          </w:r>
          <w:r>
            <w:rPr>
              <w:rFonts w:hint="eastAsia" w:ascii="宋体" w:hAnsi="宋体" w:cs="宋体"/>
              <w:color w:val="auto"/>
              <w:sz w:val="28"/>
              <w:szCs w:val="28"/>
              <w:highlight w:val="none"/>
            </w:rPr>
            <w:fldChar w:fldCharType="end"/>
          </w:r>
          <w:r>
            <w:rPr>
              <w:rFonts w:hint="eastAsia" w:ascii="宋体" w:hAnsi="宋体" w:cs="宋体"/>
              <w:color w:val="auto"/>
              <w:sz w:val="28"/>
              <w:szCs w:val="28"/>
              <w:highlight w:val="none"/>
            </w:rPr>
            <w:fldChar w:fldCharType="end"/>
          </w:r>
        </w:p>
        <w:p w14:paraId="1EA8609D">
          <w:pPr>
            <w:pStyle w:val="100"/>
            <w:tabs>
              <w:tab w:val="right" w:leader="dot" w:pos="10206"/>
            </w:tabs>
            <w:rPr>
              <w:rFonts w:ascii="宋体" w:hAnsi="宋体" w:cs="宋体"/>
              <w:color w:val="auto"/>
              <w:sz w:val="28"/>
              <w:szCs w:val="28"/>
              <w:highlight w:val="none"/>
            </w:rPr>
          </w:pPr>
          <w:r>
            <w:rPr>
              <w:color w:val="auto"/>
              <w:highlight w:val="none"/>
            </w:rPr>
            <w:fldChar w:fldCharType="begin"/>
          </w:r>
          <w:r>
            <w:rPr>
              <w:color w:val="auto"/>
              <w:highlight w:val="none"/>
            </w:rPr>
            <w:instrText xml:space="preserve"> HYPERLINK \l "_Toc26093" </w:instrText>
          </w:r>
          <w:r>
            <w:rPr>
              <w:color w:val="auto"/>
              <w:highlight w:val="none"/>
            </w:rPr>
            <w:fldChar w:fldCharType="separate"/>
          </w:r>
          <w:r>
            <w:rPr>
              <w:rFonts w:hint="eastAsia" w:ascii="宋体" w:hAnsi="宋体" w:cs="宋体"/>
              <w:bCs/>
              <w:color w:val="auto"/>
              <w:kern w:val="2"/>
              <w:sz w:val="28"/>
              <w:szCs w:val="28"/>
              <w:highlight w:val="none"/>
            </w:rPr>
            <w:t xml:space="preserve">第三章  </w:t>
          </w:r>
          <w:r>
            <w:rPr>
              <w:rFonts w:hint="eastAsia" w:ascii="宋体" w:hAnsi="宋体" w:cs="宋体"/>
              <w:bCs/>
              <w:color w:val="auto"/>
              <w:kern w:val="2"/>
              <w:sz w:val="28"/>
              <w:szCs w:val="28"/>
              <w:highlight w:val="none"/>
              <w:lang w:val="zh-CN"/>
            </w:rPr>
            <w:t>采购内容及要求</w:t>
          </w:r>
          <w:r>
            <w:rPr>
              <w:rFonts w:hint="eastAsia" w:ascii="宋体" w:hAnsi="宋体" w:cs="宋体"/>
              <w:color w:val="auto"/>
              <w:sz w:val="28"/>
              <w:szCs w:val="28"/>
              <w:highlight w:val="none"/>
            </w:rPr>
            <w:tab/>
          </w:r>
          <w:r>
            <w:rPr>
              <w:rFonts w:hint="eastAsia" w:ascii="宋体" w:hAnsi="宋体" w:cs="宋体"/>
              <w:color w:val="auto"/>
              <w:sz w:val="28"/>
              <w:szCs w:val="28"/>
              <w:highlight w:val="none"/>
            </w:rPr>
            <w:fldChar w:fldCharType="begin"/>
          </w:r>
          <w:r>
            <w:rPr>
              <w:rFonts w:hint="eastAsia" w:ascii="宋体" w:hAnsi="宋体" w:cs="宋体"/>
              <w:color w:val="auto"/>
              <w:sz w:val="28"/>
              <w:szCs w:val="28"/>
              <w:highlight w:val="none"/>
            </w:rPr>
            <w:instrText xml:space="preserve"> PAGEREF _Toc26093 \h </w:instrText>
          </w:r>
          <w:r>
            <w:rPr>
              <w:rFonts w:hint="eastAsia" w:ascii="宋体" w:hAnsi="宋体" w:cs="宋体"/>
              <w:color w:val="auto"/>
              <w:sz w:val="28"/>
              <w:szCs w:val="28"/>
              <w:highlight w:val="none"/>
            </w:rPr>
            <w:fldChar w:fldCharType="separate"/>
          </w:r>
          <w:r>
            <w:rPr>
              <w:rFonts w:hint="eastAsia" w:ascii="宋体" w:hAnsi="宋体" w:cs="宋体"/>
              <w:color w:val="auto"/>
              <w:sz w:val="28"/>
              <w:szCs w:val="28"/>
              <w:highlight w:val="none"/>
            </w:rPr>
            <w:t>21</w:t>
          </w:r>
          <w:r>
            <w:rPr>
              <w:rFonts w:hint="eastAsia" w:ascii="宋体" w:hAnsi="宋体" w:cs="宋体"/>
              <w:color w:val="auto"/>
              <w:sz w:val="28"/>
              <w:szCs w:val="28"/>
              <w:highlight w:val="none"/>
            </w:rPr>
            <w:fldChar w:fldCharType="end"/>
          </w:r>
          <w:r>
            <w:rPr>
              <w:rFonts w:hint="eastAsia" w:ascii="宋体" w:hAnsi="宋体" w:cs="宋体"/>
              <w:color w:val="auto"/>
              <w:sz w:val="28"/>
              <w:szCs w:val="28"/>
              <w:highlight w:val="none"/>
            </w:rPr>
            <w:fldChar w:fldCharType="end"/>
          </w:r>
        </w:p>
        <w:p w14:paraId="03D9A2DC">
          <w:pPr>
            <w:pStyle w:val="100"/>
            <w:tabs>
              <w:tab w:val="right" w:leader="dot" w:pos="10206"/>
            </w:tabs>
            <w:rPr>
              <w:rFonts w:ascii="宋体" w:hAnsi="宋体" w:cs="宋体"/>
              <w:color w:val="auto"/>
              <w:sz w:val="28"/>
              <w:szCs w:val="28"/>
              <w:highlight w:val="none"/>
            </w:rPr>
          </w:pPr>
          <w:r>
            <w:rPr>
              <w:color w:val="auto"/>
              <w:highlight w:val="none"/>
            </w:rPr>
            <w:fldChar w:fldCharType="begin"/>
          </w:r>
          <w:r>
            <w:rPr>
              <w:color w:val="auto"/>
              <w:highlight w:val="none"/>
            </w:rPr>
            <w:instrText xml:space="preserve"> HYPERLINK \l "_Toc21547" </w:instrText>
          </w:r>
          <w:r>
            <w:rPr>
              <w:color w:val="auto"/>
              <w:highlight w:val="none"/>
            </w:rPr>
            <w:fldChar w:fldCharType="separate"/>
          </w:r>
          <w:r>
            <w:rPr>
              <w:rFonts w:hint="eastAsia" w:ascii="宋体" w:hAnsi="宋体" w:cs="宋体"/>
              <w:color w:val="auto"/>
              <w:sz w:val="28"/>
              <w:szCs w:val="28"/>
              <w:highlight w:val="none"/>
            </w:rPr>
            <w:t>第四章  合同格式样本</w:t>
          </w:r>
          <w:r>
            <w:rPr>
              <w:rFonts w:hint="eastAsia" w:ascii="宋体" w:hAnsi="宋体" w:cs="宋体"/>
              <w:color w:val="auto"/>
              <w:sz w:val="28"/>
              <w:szCs w:val="28"/>
              <w:highlight w:val="none"/>
            </w:rPr>
            <w:tab/>
          </w:r>
          <w:r>
            <w:rPr>
              <w:rFonts w:hint="eastAsia" w:ascii="宋体" w:hAnsi="宋体" w:cs="宋体"/>
              <w:color w:val="auto"/>
              <w:sz w:val="28"/>
              <w:szCs w:val="28"/>
              <w:highlight w:val="none"/>
            </w:rPr>
            <w:fldChar w:fldCharType="begin"/>
          </w:r>
          <w:r>
            <w:rPr>
              <w:rFonts w:hint="eastAsia" w:ascii="宋体" w:hAnsi="宋体" w:cs="宋体"/>
              <w:color w:val="auto"/>
              <w:sz w:val="28"/>
              <w:szCs w:val="28"/>
              <w:highlight w:val="none"/>
            </w:rPr>
            <w:instrText xml:space="preserve"> PAGEREF _Toc21547 \h </w:instrText>
          </w:r>
          <w:r>
            <w:rPr>
              <w:rFonts w:hint="eastAsia" w:ascii="宋体" w:hAnsi="宋体" w:cs="宋体"/>
              <w:color w:val="auto"/>
              <w:sz w:val="28"/>
              <w:szCs w:val="28"/>
              <w:highlight w:val="none"/>
            </w:rPr>
            <w:fldChar w:fldCharType="separate"/>
          </w:r>
          <w:r>
            <w:rPr>
              <w:rFonts w:hint="eastAsia" w:ascii="宋体" w:hAnsi="宋体" w:cs="宋体"/>
              <w:color w:val="auto"/>
              <w:sz w:val="28"/>
              <w:szCs w:val="28"/>
              <w:highlight w:val="none"/>
            </w:rPr>
            <w:t>22</w:t>
          </w:r>
          <w:r>
            <w:rPr>
              <w:rFonts w:hint="eastAsia" w:ascii="宋体" w:hAnsi="宋体" w:cs="宋体"/>
              <w:color w:val="auto"/>
              <w:sz w:val="28"/>
              <w:szCs w:val="28"/>
              <w:highlight w:val="none"/>
            </w:rPr>
            <w:fldChar w:fldCharType="end"/>
          </w:r>
          <w:r>
            <w:rPr>
              <w:rFonts w:hint="eastAsia" w:ascii="宋体" w:hAnsi="宋体" w:cs="宋体"/>
              <w:color w:val="auto"/>
              <w:sz w:val="28"/>
              <w:szCs w:val="28"/>
              <w:highlight w:val="none"/>
            </w:rPr>
            <w:fldChar w:fldCharType="end"/>
          </w:r>
        </w:p>
        <w:p w14:paraId="5343F3C9">
          <w:pPr>
            <w:pStyle w:val="100"/>
            <w:tabs>
              <w:tab w:val="right" w:leader="dot" w:pos="10206"/>
            </w:tabs>
            <w:rPr>
              <w:rFonts w:ascii="宋体" w:hAnsi="宋体" w:cs="宋体"/>
              <w:color w:val="auto"/>
              <w:sz w:val="28"/>
              <w:szCs w:val="28"/>
              <w:highlight w:val="none"/>
            </w:rPr>
          </w:pPr>
          <w:r>
            <w:rPr>
              <w:color w:val="auto"/>
              <w:highlight w:val="none"/>
            </w:rPr>
            <w:fldChar w:fldCharType="begin"/>
          </w:r>
          <w:r>
            <w:rPr>
              <w:color w:val="auto"/>
              <w:highlight w:val="none"/>
            </w:rPr>
            <w:instrText xml:space="preserve"> HYPERLINK \l "_Toc17895" </w:instrText>
          </w:r>
          <w:r>
            <w:rPr>
              <w:color w:val="auto"/>
              <w:highlight w:val="none"/>
            </w:rPr>
            <w:fldChar w:fldCharType="separate"/>
          </w:r>
          <w:r>
            <w:rPr>
              <w:rFonts w:hint="eastAsia" w:ascii="宋体" w:hAnsi="宋体" w:cs="宋体"/>
              <w:color w:val="auto"/>
              <w:sz w:val="28"/>
              <w:szCs w:val="28"/>
              <w:highlight w:val="none"/>
            </w:rPr>
            <w:t xml:space="preserve">第五章  </w:t>
          </w:r>
          <w:r>
            <w:rPr>
              <w:rFonts w:hint="eastAsia" w:ascii="宋体" w:hAnsi="宋体" w:cs="宋体"/>
              <w:color w:val="auto"/>
              <w:sz w:val="28"/>
              <w:szCs w:val="28"/>
              <w:highlight w:val="none"/>
              <w:lang w:val="zh-CN"/>
            </w:rPr>
            <w:t>评标办法</w:t>
          </w:r>
          <w:r>
            <w:rPr>
              <w:rFonts w:hint="eastAsia" w:ascii="宋体" w:hAnsi="宋体" w:cs="宋体"/>
              <w:color w:val="auto"/>
              <w:sz w:val="28"/>
              <w:szCs w:val="28"/>
              <w:highlight w:val="none"/>
            </w:rPr>
            <w:tab/>
          </w:r>
          <w:r>
            <w:rPr>
              <w:rFonts w:hint="eastAsia" w:ascii="宋体" w:hAnsi="宋体" w:cs="宋体"/>
              <w:color w:val="auto"/>
              <w:sz w:val="28"/>
              <w:szCs w:val="28"/>
              <w:highlight w:val="none"/>
            </w:rPr>
            <w:fldChar w:fldCharType="begin"/>
          </w:r>
          <w:r>
            <w:rPr>
              <w:rFonts w:hint="eastAsia" w:ascii="宋体" w:hAnsi="宋体" w:cs="宋体"/>
              <w:color w:val="auto"/>
              <w:sz w:val="28"/>
              <w:szCs w:val="28"/>
              <w:highlight w:val="none"/>
            </w:rPr>
            <w:instrText xml:space="preserve"> PAGEREF _Toc17895 \h </w:instrText>
          </w:r>
          <w:r>
            <w:rPr>
              <w:rFonts w:hint="eastAsia" w:ascii="宋体" w:hAnsi="宋体" w:cs="宋体"/>
              <w:color w:val="auto"/>
              <w:sz w:val="28"/>
              <w:szCs w:val="28"/>
              <w:highlight w:val="none"/>
            </w:rPr>
            <w:fldChar w:fldCharType="separate"/>
          </w:r>
          <w:r>
            <w:rPr>
              <w:rFonts w:hint="eastAsia" w:ascii="宋体" w:hAnsi="宋体" w:cs="宋体"/>
              <w:color w:val="auto"/>
              <w:sz w:val="28"/>
              <w:szCs w:val="28"/>
              <w:highlight w:val="none"/>
            </w:rPr>
            <w:t>25</w:t>
          </w:r>
          <w:r>
            <w:rPr>
              <w:rFonts w:hint="eastAsia" w:ascii="宋体" w:hAnsi="宋体" w:cs="宋体"/>
              <w:color w:val="auto"/>
              <w:sz w:val="28"/>
              <w:szCs w:val="28"/>
              <w:highlight w:val="none"/>
            </w:rPr>
            <w:fldChar w:fldCharType="end"/>
          </w:r>
          <w:r>
            <w:rPr>
              <w:rFonts w:hint="eastAsia" w:ascii="宋体" w:hAnsi="宋体" w:cs="宋体"/>
              <w:color w:val="auto"/>
              <w:sz w:val="28"/>
              <w:szCs w:val="28"/>
              <w:highlight w:val="none"/>
            </w:rPr>
            <w:fldChar w:fldCharType="end"/>
          </w:r>
        </w:p>
        <w:p w14:paraId="427DB308">
          <w:pPr>
            <w:pStyle w:val="100"/>
            <w:tabs>
              <w:tab w:val="right" w:leader="dot" w:pos="10206"/>
            </w:tabs>
            <w:rPr>
              <w:color w:val="auto"/>
              <w:highlight w:val="none"/>
            </w:rPr>
          </w:pPr>
          <w:r>
            <w:rPr>
              <w:color w:val="auto"/>
              <w:highlight w:val="none"/>
            </w:rPr>
            <w:fldChar w:fldCharType="begin"/>
          </w:r>
          <w:r>
            <w:rPr>
              <w:color w:val="auto"/>
              <w:highlight w:val="none"/>
            </w:rPr>
            <w:instrText xml:space="preserve"> HYPERLINK \l "_Toc4286" </w:instrText>
          </w:r>
          <w:r>
            <w:rPr>
              <w:color w:val="auto"/>
              <w:highlight w:val="none"/>
            </w:rPr>
            <w:fldChar w:fldCharType="separate"/>
          </w:r>
          <w:r>
            <w:rPr>
              <w:rFonts w:hint="eastAsia" w:ascii="宋体" w:hAnsi="宋体" w:cs="宋体"/>
              <w:bCs/>
              <w:color w:val="auto"/>
              <w:sz w:val="28"/>
              <w:szCs w:val="28"/>
              <w:highlight w:val="none"/>
            </w:rPr>
            <w:t>第六章  响应文件格式</w:t>
          </w:r>
          <w:r>
            <w:rPr>
              <w:rFonts w:hint="eastAsia" w:ascii="宋体" w:hAnsi="宋体" w:cs="宋体"/>
              <w:color w:val="auto"/>
              <w:sz w:val="28"/>
              <w:szCs w:val="28"/>
              <w:highlight w:val="none"/>
            </w:rPr>
            <w:tab/>
          </w:r>
          <w:r>
            <w:rPr>
              <w:rFonts w:hint="eastAsia" w:ascii="宋体" w:hAnsi="宋体" w:cs="宋体"/>
              <w:color w:val="auto"/>
              <w:sz w:val="28"/>
              <w:szCs w:val="28"/>
              <w:highlight w:val="none"/>
            </w:rPr>
            <w:fldChar w:fldCharType="begin"/>
          </w:r>
          <w:r>
            <w:rPr>
              <w:rFonts w:hint="eastAsia" w:ascii="宋体" w:hAnsi="宋体" w:cs="宋体"/>
              <w:color w:val="auto"/>
              <w:sz w:val="28"/>
              <w:szCs w:val="28"/>
              <w:highlight w:val="none"/>
            </w:rPr>
            <w:instrText xml:space="preserve"> PAGEREF _Toc4286 \h </w:instrText>
          </w:r>
          <w:r>
            <w:rPr>
              <w:rFonts w:hint="eastAsia" w:ascii="宋体" w:hAnsi="宋体" w:cs="宋体"/>
              <w:color w:val="auto"/>
              <w:sz w:val="28"/>
              <w:szCs w:val="28"/>
              <w:highlight w:val="none"/>
            </w:rPr>
            <w:fldChar w:fldCharType="separate"/>
          </w:r>
          <w:r>
            <w:rPr>
              <w:rFonts w:hint="eastAsia" w:ascii="宋体" w:hAnsi="宋体" w:cs="宋体"/>
              <w:color w:val="auto"/>
              <w:sz w:val="28"/>
              <w:szCs w:val="28"/>
              <w:highlight w:val="none"/>
            </w:rPr>
            <w:t>35</w:t>
          </w:r>
          <w:r>
            <w:rPr>
              <w:rFonts w:hint="eastAsia" w:ascii="宋体" w:hAnsi="宋体" w:cs="宋体"/>
              <w:color w:val="auto"/>
              <w:sz w:val="28"/>
              <w:szCs w:val="28"/>
              <w:highlight w:val="none"/>
            </w:rPr>
            <w:fldChar w:fldCharType="end"/>
          </w:r>
          <w:r>
            <w:rPr>
              <w:rFonts w:hint="eastAsia" w:ascii="宋体" w:hAnsi="宋体" w:cs="宋体"/>
              <w:color w:val="auto"/>
              <w:sz w:val="28"/>
              <w:szCs w:val="28"/>
              <w:highlight w:val="none"/>
            </w:rPr>
            <w:fldChar w:fldCharType="end"/>
          </w:r>
        </w:p>
        <w:p w14:paraId="6270955B">
          <w:pPr>
            <w:pStyle w:val="100"/>
            <w:tabs>
              <w:tab w:val="right" w:leader="dot" w:pos="10206"/>
            </w:tabs>
            <w:rPr>
              <w:color w:val="auto"/>
              <w:highlight w:val="none"/>
            </w:rPr>
          </w:pPr>
        </w:p>
        <w:p w14:paraId="068A5139">
          <w:pPr>
            <w:pStyle w:val="63"/>
            <w:jc w:val="both"/>
            <w:textAlignment w:val="baseline"/>
            <w:rPr>
              <w:rFonts w:cs="宋体"/>
              <w:bCs/>
              <w:color w:val="auto"/>
              <w:szCs w:val="28"/>
              <w:highlight w:val="none"/>
            </w:rPr>
            <w:sectPr>
              <w:footerReference r:id="rId4" w:type="default"/>
              <w:pgSz w:w="11906" w:h="16838"/>
              <w:pgMar w:top="1440" w:right="850" w:bottom="1440" w:left="850" w:header="851" w:footer="992" w:gutter="0"/>
              <w:pgNumType w:start="1"/>
              <w:cols w:space="720" w:num="1"/>
              <w:docGrid w:type="lines" w:linePitch="312" w:charSpace="0"/>
            </w:sectPr>
          </w:pPr>
          <w:r>
            <w:rPr>
              <w:rFonts w:hint="eastAsia" w:cs="宋体"/>
              <w:bCs/>
              <w:color w:val="auto"/>
              <w:szCs w:val="28"/>
              <w:highlight w:val="none"/>
            </w:rPr>
            <w:fldChar w:fldCharType="end"/>
          </w:r>
        </w:p>
      </w:sdtContent>
    </w:sdt>
    <w:p w14:paraId="243C2AF4">
      <w:pPr>
        <w:spacing w:after="312" w:afterAutospacing="1" w:line="360" w:lineRule="auto"/>
        <w:jc w:val="center"/>
        <w:textAlignment w:val="baseline"/>
        <w:outlineLvl w:val="0"/>
        <w:rPr>
          <w:rFonts w:ascii="宋体" w:hAnsi="宋体" w:cs="宋体"/>
          <w:b/>
          <w:bCs/>
          <w:color w:val="auto"/>
          <w:sz w:val="30"/>
          <w:szCs w:val="30"/>
          <w:highlight w:val="none"/>
        </w:rPr>
      </w:pPr>
      <w:bookmarkStart w:id="0" w:name="_Toc421834139"/>
      <w:bookmarkStart w:id="1" w:name="_Toc3203"/>
      <w:bookmarkStart w:id="2" w:name="_Toc32466"/>
      <w:r>
        <w:rPr>
          <w:rFonts w:hint="eastAsia" w:ascii="宋体" w:hAnsi="宋体" w:cs="宋体"/>
          <w:b/>
          <w:bCs/>
          <w:color w:val="auto"/>
          <w:sz w:val="30"/>
          <w:szCs w:val="30"/>
          <w:highlight w:val="none"/>
        </w:rPr>
        <w:t>第一章</w:t>
      </w:r>
      <w:bookmarkEnd w:id="0"/>
      <w:r>
        <w:rPr>
          <w:rFonts w:hint="eastAsia" w:ascii="宋体" w:hAnsi="宋体" w:cs="宋体"/>
          <w:b/>
          <w:bCs/>
          <w:color w:val="auto"/>
          <w:sz w:val="30"/>
          <w:szCs w:val="30"/>
          <w:highlight w:val="none"/>
        </w:rPr>
        <w:t xml:space="preserve">  竞争性磋商公告</w:t>
      </w:r>
      <w:bookmarkEnd w:id="1"/>
      <w:bookmarkEnd w:id="2"/>
    </w:p>
    <w:tbl>
      <w:tblPr>
        <w:tblStyle w:val="33"/>
        <w:tblW w:w="99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2"/>
      </w:tblGrid>
      <w:tr w14:paraId="712BB3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2" w:type="dxa"/>
          </w:tcPr>
          <w:p w14:paraId="36052570">
            <w:pPr>
              <w:spacing w:line="440" w:lineRule="exact"/>
              <w:ind w:firstLine="420" w:firstLineChars="200"/>
              <w:textAlignment w:val="baseline"/>
              <w:rPr>
                <w:rFonts w:ascii="宋体" w:hAnsi="宋体" w:cs="宋体"/>
                <w:color w:val="auto"/>
                <w:sz w:val="20"/>
                <w:szCs w:val="21"/>
                <w:highlight w:val="none"/>
              </w:rPr>
            </w:pPr>
            <w:r>
              <w:rPr>
                <w:rFonts w:hint="eastAsia" w:ascii="宋体" w:hAnsi="宋体" w:cs="宋体"/>
                <w:color w:val="auto"/>
                <w:szCs w:val="21"/>
                <w:highlight w:val="none"/>
              </w:rPr>
              <w:t>项目概况</w:t>
            </w:r>
          </w:p>
          <w:p w14:paraId="58997084">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u w:val="single"/>
                <w:lang w:eastAsia="zh-CN"/>
              </w:rPr>
              <w:t>2025年交通事故痕迹鉴定及车辆鉴定技术服务项目</w:t>
            </w:r>
            <w:r>
              <w:rPr>
                <w:rFonts w:hint="eastAsia" w:ascii="宋体" w:hAnsi="宋体" w:cs="宋体"/>
                <w:color w:val="auto"/>
                <w:szCs w:val="21"/>
                <w:highlight w:val="none"/>
              </w:rPr>
              <w:t>的潜在供应商应在</w:t>
            </w:r>
            <w:r>
              <w:rPr>
                <w:rFonts w:hint="eastAsia" w:ascii="宋体" w:hAnsi="宋体" w:cs="宋体"/>
                <w:b/>
                <w:bCs/>
                <w:color w:val="auto"/>
                <w:szCs w:val="21"/>
                <w:highlight w:val="none"/>
                <w:u w:val="single" w:color="000000"/>
              </w:rPr>
              <w:t>政府采购云平台（www.zcygov.cn）</w:t>
            </w:r>
            <w:r>
              <w:rPr>
                <w:rFonts w:hint="eastAsia" w:ascii="宋体" w:hAnsi="宋体" w:cs="宋体"/>
                <w:color w:val="auto"/>
                <w:szCs w:val="21"/>
                <w:highlight w:val="none"/>
              </w:rPr>
              <w:t>获取</w:t>
            </w:r>
            <w:r>
              <w:rPr>
                <w:rFonts w:hint="eastAsia" w:ascii="宋体" w:hAnsi="宋体" w:cs="宋体"/>
                <w:color w:val="auto"/>
                <w:szCs w:val="21"/>
                <w:highlight w:val="none"/>
                <w:lang w:eastAsia="zh-CN"/>
              </w:rPr>
              <w:t>（下载）</w:t>
            </w:r>
            <w:r>
              <w:rPr>
                <w:rFonts w:hint="eastAsia" w:ascii="宋体" w:hAnsi="宋体" w:cs="宋体"/>
                <w:color w:val="auto"/>
                <w:szCs w:val="21"/>
                <w:highlight w:val="none"/>
              </w:rPr>
              <w:t>采购文件，并于</w:t>
            </w:r>
            <w:r>
              <w:rPr>
                <w:rFonts w:hint="eastAsia" w:ascii="宋体" w:hAnsi="宋体" w:cs="宋体"/>
                <w:b/>
                <w:bCs/>
                <w:color w:val="auto"/>
                <w:szCs w:val="21"/>
                <w:highlight w:val="none"/>
                <w:u w:val="single" w:color="000000"/>
                <w:lang w:eastAsia="zh-CN"/>
              </w:rPr>
              <w:t>2025年</w:t>
            </w:r>
            <w:r>
              <w:rPr>
                <w:rFonts w:hint="eastAsia" w:ascii="宋体" w:hAnsi="宋体" w:cs="宋体"/>
                <w:b/>
                <w:bCs/>
                <w:color w:val="auto"/>
                <w:szCs w:val="21"/>
                <w:highlight w:val="none"/>
                <w:u w:val="single" w:color="000000"/>
                <w:lang w:val="en-US" w:eastAsia="zh-CN"/>
              </w:rPr>
              <w:t>6</w:t>
            </w:r>
            <w:r>
              <w:rPr>
                <w:rFonts w:hint="eastAsia" w:ascii="宋体" w:hAnsi="宋体" w:cs="宋体"/>
                <w:b/>
                <w:bCs/>
                <w:color w:val="auto"/>
                <w:szCs w:val="21"/>
                <w:highlight w:val="none"/>
                <w:u w:val="single" w:color="000000"/>
              </w:rPr>
              <w:t>月</w:t>
            </w:r>
            <w:r>
              <w:rPr>
                <w:rFonts w:hint="eastAsia" w:ascii="宋体" w:hAnsi="宋体" w:cs="宋体"/>
                <w:b/>
                <w:bCs/>
                <w:color w:val="auto"/>
                <w:szCs w:val="21"/>
                <w:highlight w:val="none"/>
                <w:u w:val="single" w:color="000000"/>
                <w:lang w:val="en-US" w:eastAsia="zh-CN"/>
              </w:rPr>
              <w:t>10</w:t>
            </w:r>
            <w:r>
              <w:rPr>
                <w:rFonts w:hint="eastAsia" w:ascii="宋体" w:hAnsi="宋体" w:cs="宋体"/>
                <w:b/>
                <w:bCs/>
                <w:color w:val="auto"/>
                <w:szCs w:val="21"/>
                <w:highlight w:val="none"/>
                <w:u w:val="single" w:color="000000"/>
              </w:rPr>
              <w:t>日</w:t>
            </w:r>
            <w:r>
              <w:rPr>
                <w:rFonts w:hint="eastAsia" w:ascii="宋体" w:hAnsi="宋体" w:cs="宋体"/>
                <w:b/>
                <w:bCs/>
                <w:color w:val="auto"/>
                <w:szCs w:val="21"/>
                <w:highlight w:val="none"/>
                <w:u w:val="single" w:color="000000"/>
                <w:lang w:val="en-US" w:eastAsia="zh-CN"/>
              </w:rPr>
              <w:t>09</w:t>
            </w:r>
            <w:r>
              <w:rPr>
                <w:rFonts w:hint="eastAsia" w:ascii="宋体" w:hAnsi="宋体" w:cs="宋体"/>
                <w:b/>
                <w:bCs/>
                <w:color w:val="auto"/>
                <w:szCs w:val="21"/>
                <w:highlight w:val="none"/>
                <w:u w:val="single" w:color="000000"/>
              </w:rPr>
              <w:t>时</w:t>
            </w:r>
            <w:r>
              <w:rPr>
                <w:rFonts w:hint="eastAsia" w:ascii="宋体" w:hAnsi="宋体" w:cs="宋体"/>
                <w:b/>
                <w:bCs/>
                <w:color w:val="auto"/>
                <w:szCs w:val="21"/>
                <w:highlight w:val="none"/>
                <w:u w:val="single" w:color="000000"/>
                <w:lang w:val="en-US" w:eastAsia="zh-CN"/>
              </w:rPr>
              <w:t>30</w:t>
            </w:r>
            <w:r>
              <w:rPr>
                <w:rFonts w:hint="eastAsia" w:ascii="宋体" w:hAnsi="宋体" w:cs="宋体"/>
                <w:b/>
                <w:bCs/>
                <w:color w:val="auto"/>
                <w:szCs w:val="21"/>
                <w:highlight w:val="none"/>
                <w:u w:val="single" w:color="000000"/>
              </w:rPr>
              <w:t>分</w:t>
            </w:r>
            <w:r>
              <w:rPr>
                <w:rFonts w:hint="eastAsia" w:ascii="宋体" w:hAnsi="宋体" w:cs="宋体"/>
                <w:color w:val="auto"/>
                <w:szCs w:val="21"/>
                <w:highlight w:val="none"/>
              </w:rPr>
              <w:t>（北京时间）前提交</w:t>
            </w:r>
            <w:r>
              <w:rPr>
                <w:rFonts w:hint="eastAsia" w:ascii="宋体" w:hAnsi="宋体" w:cs="宋体"/>
                <w:color w:val="auto"/>
                <w:szCs w:val="21"/>
                <w:highlight w:val="none"/>
                <w:lang w:eastAsia="zh-CN"/>
              </w:rPr>
              <w:t>（上传）</w:t>
            </w:r>
            <w:r>
              <w:rPr>
                <w:rFonts w:hint="eastAsia" w:ascii="宋体" w:hAnsi="宋体" w:cs="宋体"/>
                <w:color w:val="auto"/>
                <w:szCs w:val="21"/>
                <w:highlight w:val="none"/>
              </w:rPr>
              <w:t>响应文件。</w:t>
            </w:r>
          </w:p>
        </w:tc>
      </w:tr>
    </w:tbl>
    <w:p w14:paraId="13520EF2">
      <w:pPr>
        <w:keepNext w:val="0"/>
        <w:keepLines w:val="0"/>
        <w:pageBreakBefore w:val="0"/>
        <w:widowControl/>
        <w:kinsoku/>
        <w:overflowPunct/>
        <w:topLinePunct w:val="0"/>
        <w:autoSpaceDE/>
        <w:autoSpaceDN/>
        <w:bidi w:val="0"/>
        <w:adjustRightInd/>
        <w:snapToGrid/>
        <w:spacing w:line="440" w:lineRule="exact"/>
        <w:ind w:firstLine="422" w:firstLineChars="200"/>
        <w:textAlignment w:val="baseline"/>
        <w:rPr>
          <w:rFonts w:ascii="宋体" w:hAnsi="宋体" w:cs="宋体"/>
          <w:b/>
          <w:bCs/>
          <w:color w:val="auto"/>
          <w:sz w:val="20"/>
          <w:highlight w:val="none"/>
        </w:rPr>
      </w:pPr>
      <w:bookmarkStart w:id="3" w:name="_Toc28359090"/>
      <w:bookmarkStart w:id="4" w:name="_Toc35393799"/>
      <w:bookmarkStart w:id="5" w:name="_Toc35393630"/>
      <w:bookmarkStart w:id="6" w:name="_Toc28359013"/>
      <w:r>
        <w:rPr>
          <w:rFonts w:hint="eastAsia" w:ascii="宋体" w:hAnsi="宋体" w:cs="宋体"/>
          <w:b/>
          <w:bCs/>
          <w:color w:val="auto"/>
          <w:highlight w:val="none"/>
        </w:rPr>
        <w:t>一、项目基本情况</w:t>
      </w:r>
    </w:p>
    <w:p w14:paraId="1945D44A">
      <w:pPr>
        <w:keepNext w:val="0"/>
        <w:keepLines w:val="0"/>
        <w:pageBreakBefore w:val="0"/>
        <w:kinsoku/>
        <w:overflowPunct/>
        <w:topLinePunct w:val="0"/>
        <w:autoSpaceDE/>
        <w:autoSpaceDN/>
        <w:bidi w:val="0"/>
        <w:adjustRightInd/>
        <w:snapToGrid/>
        <w:spacing w:line="440" w:lineRule="exact"/>
        <w:ind w:firstLine="420" w:firstLineChars="200"/>
        <w:textAlignment w:val="baseline"/>
        <w:rPr>
          <w:rFonts w:hint="eastAsia" w:ascii="宋体" w:hAnsi="宋体" w:eastAsia="宋体" w:cs="宋体"/>
          <w:color w:val="auto"/>
          <w:sz w:val="20"/>
          <w:szCs w:val="21"/>
          <w:highlight w:val="none"/>
          <w:lang w:eastAsia="zh-CN"/>
        </w:rPr>
      </w:pPr>
      <w:r>
        <w:rPr>
          <w:rFonts w:hint="eastAsia" w:ascii="宋体" w:hAnsi="宋体" w:cs="宋体"/>
          <w:color w:val="auto"/>
          <w:szCs w:val="21"/>
          <w:highlight w:val="none"/>
        </w:rPr>
        <w:t>项目编号：</w:t>
      </w:r>
      <w:r>
        <w:rPr>
          <w:rFonts w:hint="eastAsia" w:ascii="宋体" w:hAnsi="宋体" w:cs="宋体"/>
          <w:color w:val="auto"/>
          <w:szCs w:val="21"/>
          <w:highlight w:val="none"/>
          <w:lang w:eastAsia="zh-CN"/>
        </w:rPr>
        <w:t>CSKC-CS202504</w:t>
      </w:r>
    </w:p>
    <w:p w14:paraId="24C35AC1">
      <w:pPr>
        <w:keepNext w:val="0"/>
        <w:keepLines w:val="0"/>
        <w:pageBreakBefore w:val="0"/>
        <w:kinsoku/>
        <w:overflowPunct/>
        <w:topLinePunct w:val="0"/>
        <w:autoSpaceDE/>
        <w:autoSpaceDN/>
        <w:bidi w:val="0"/>
        <w:adjustRightInd/>
        <w:snapToGrid/>
        <w:spacing w:line="440" w:lineRule="exact"/>
        <w:ind w:firstLine="420" w:firstLineChars="200"/>
        <w:textAlignment w:val="baseline"/>
        <w:rPr>
          <w:rFonts w:hint="eastAsia" w:ascii="宋体" w:hAnsi="宋体" w:cs="宋体"/>
          <w:color w:val="auto"/>
          <w:szCs w:val="21"/>
          <w:highlight w:val="none"/>
          <w:u w:val="none"/>
          <w:lang w:eastAsia="zh-CN"/>
        </w:rPr>
      </w:pPr>
      <w:r>
        <w:rPr>
          <w:rFonts w:hint="eastAsia" w:ascii="宋体" w:hAnsi="宋体" w:cs="宋体"/>
          <w:color w:val="auto"/>
          <w:szCs w:val="21"/>
          <w:highlight w:val="none"/>
        </w:rPr>
        <w:t>项目名称：</w:t>
      </w:r>
      <w:r>
        <w:rPr>
          <w:rFonts w:hint="eastAsia" w:ascii="宋体" w:hAnsi="宋体" w:cs="宋体"/>
          <w:color w:val="auto"/>
          <w:szCs w:val="21"/>
          <w:highlight w:val="none"/>
          <w:u w:val="none"/>
          <w:lang w:eastAsia="zh-CN"/>
        </w:rPr>
        <w:t>2025年交通事故痕迹鉴定及车辆鉴定技术服务项目</w:t>
      </w:r>
    </w:p>
    <w:p w14:paraId="5A188FCD">
      <w:pPr>
        <w:keepNext w:val="0"/>
        <w:keepLines w:val="0"/>
        <w:pageBreakBefore w:val="0"/>
        <w:kinsoku/>
        <w:overflowPunct/>
        <w:topLinePunct w:val="0"/>
        <w:autoSpaceDE/>
        <w:autoSpaceDN/>
        <w:bidi w:val="0"/>
        <w:adjustRightInd/>
        <w:snapToGrid/>
        <w:spacing w:line="440" w:lineRule="exact"/>
        <w:ind w:firstLine="420" w:firstLineChars="200"/>
        <w:textAlignment w:val="baseline"/>
        <w:rPr>
          <w:rFonts w:ascii="宋体" w:hAnsi="宋体" w:cs="宋体"/>
          <w:color w:val="auto"/>
          <w:sz w:val="20"/>
          <w:szCs w:val="21"/>
          <w:highlight w:val="none"/>
        </w:rPr>
      </w:pPr>
      <w:r>
        <w:rPr>
          <w:rFonts w:hint="eastAsia" w:ascii="宋体" w:hAnsi="宋体" w:cs="宋体"/>
          <w:color w:val="auto"/>
          <w:szCs w:val="21"/>
          <w:highlight w:val="none"/>
        </w:rPr>
        <w:t>采购方式：竞争性磋商</w:t>
      </w:r>
    </w:p>
    <w:p w14:paraId="5C4BB0DB">
      <w:pPr>
        <w:keepNext w:val="0"/>
        <w:keepLines w:val="0"/>
        <w:pageBreakBefore w:val="0"/>
        <w:kinsoku/>
        <w:overflowPunct/>
        <w:topLinePunct w:val="0"/>
        <w:autoSpaceDE/>
        <w:autoSpaceDN/>
        <w:bidi w:val="0"/>
        <w:adjustRightInd/>
        <w:snapToGrid/>
        <w:spacing w:line="440" w:lineRule="exact"/>
        <w:ind w:firstLine="420" w:firstLineChars="200"/>
        <w:textAlignment w:val="baseline"/>
        <w:rPr>
          <w:rFonts w:hint="default" w:ascii="宋体" w:hAnsi="宋体" w:cs="宋体"/>
          <w:color w:val="auto"/>
          <w:szCs w:val="21"/>
          <w:highlight w:val="none"/>
          <w:lang w:val="en-US" w:eastAsia="zh-CN"/>
        </w:rPr>
      </w:pPr>
      <w:r>
        <w:rPr>
          <w:rFonts w:hint="eastAsia" w:ascii="宋体" w:hAnsi="宋体" w:cs="宋体"/>
          <w:color w:val="auto"/>
          <w:szCs w:val="21"/>
          <w:highlight w:val="none"/>
        </w:rPr>
        <w:t>预算金额（元）：</w:t>
      </w:r>
      <w:r>
        <w:rPr>
          <w:rFonts w:hint="eastAsia" w:ascii="宋体" w:hAnsi="宋体" w:cs="宋体"/>
          <w:color w:val="auto"/>
          <w:szCs w:val="21"/>
          <w:highlight w:val="none"/>
          <w:lang w:val="en-US" w:eastAsia="zh-CN"/>
        </w:rPr>
        <w:t>350000</w:t>
      </w:r>
    </w:p>
    <w:p w14:paraId="4247AC58">
      <w:pPr>
        <w:keepNext w:val="0"/>
        <w:keepLines w:val="0"/>
        <w:pageBreakBefore w:val="0"/>
        <w:kinsoku/>
        <w:overflowPunct/>
        <w:topLinePunct w:val="0"/>
        <w:autoSpaceDE/>
        <w:autoSpaceDN/>
        <w:bidi w:val="0"/>
        <w:adjustRightInd/>
        <w:snapToGrid/>
        <w:spacing w:line="440" w:lineRule="exact"/>
        <w:ind w:firstLine="420" w:firstLineChars="200"/>
        <w:textAlignment w:val="baseline"/>
        <w:rPr>
          <w:rFonts w:hint="default" w:ascii="宋体" w:hAnsi="宋体" w:cs="宋体"/>
          <w:color w:val="auto"/>
          <w:szCs w:val="21"/>
          <w:highlight w:val="none"/>
          <w:lang w:val="en-US" w:eastAsia="zh-CN"/>
        </w:rPr>
      </w:pPr>
      <w:r>
        <w:rPr>
          <w:rFonts w:hint="eastAsia" w:ascii="宋体" w:hAnsi="宋体" w:cs="宋体"/>
          <w:color w:val="auto"/>
          <w:szCs w:val="21"/>
          <w:highlight w:val="none"/>
        </w:rPr>
        <w:t>最高限价（元）：</w:t>
      </w:r>
      <w:r>
        <w:rPr>
          <w:rFonts w:hint="eastAsia" w:ascii="宋体" w:hAnsi="宋体" w:cs="宋体"/>
          <w:color w:val="auto"/>
          <w:szCs w:val="21"/>
          <w:highlight w:val="none"/>
          <w:lang w:val="en-US" w:eastAsia="zh-CN"/>
        </w:rPr>
        <w:t>350000</w:t>
      </w:r>
    </w:p>
    <w:p w14:paraId="6D820BB5">
      <w:pPr>
        <w:keepNext w:val="0"/>
        <w:keepLines w:val="0"/>
        <w:pageBreakBefore w:val="0"/>
        <w:kinsoku/>
        <w:overflowPunct/>
        <w:topLinePunct w:val="0"/>
        <w:autoSpaceDE/>
        <w:autoSpaceDN/>
        <w:bidi w:val="0"/>
        <w:adjustRightInd/>
        <w:snapToGrid/>
        <w:spacing w:line="440" w:lineRule="exact"/>
        <w:ind w:firstLine="420" w:firstLineChars="200"/>
        <w:textAlignment w:val="baseline"/>
        <w:rPr>
          <w:rFonts w:hint="default" w:ascii="宋体" w:hAnsi="宋体" w:cs="宋体"/>
          <w:color w:val="auto"/>
          <w:szCs w:val="21"/>
          <w:highlight w:val="none"/>
          <w:lang w:val="en-US" w:eastAsia="zh-CN"/>
        </w:rPr>
      </w:pPr>
      <w:r>
        <w:rPr>
          <w:rFonts w:hint="eastAsia" w:ascii="宋体" w:hAnsi="宋体" w:cs="宋体"/>
          <w:color w:val="auto"/>
          <w:szCs w:val="21"/>
          <w:highlight w:val="none"/>
        </w:rPr>
        <w:t>采购需求：</w:t>
      </w:r>
      <w:r>
        <w:rPr>
          <w:rFonts w:hint="eastAsia" w:ascii="宋体" w:hAnsi="宋体" w:cs="宋体"/>
          <w:color w:val="auto"/>
          <w:szCs w:val="21"/>
          <w:highlight w:val="none"/>
          <w:lang w:val="en-US" w:eastAsia="zh-CN"/>
        </w:rPr>
        <w:t>2025年交通事故痕迹鉴定及车辆鉴定技术服务项目</w:t>
      </w:r>
    </w:p>
    <w:p w14:paraId="6EB192CD">
      <w:pPr>
        <w:keepNext w:val="0"/>
        <w:keepLines w:val="0"/>
        <w:pageBreakBefore w:val="0"/>
        <w:kinsoku/>
        <w:overflowPunct/>
        <w:topLinePunct w:val="0"/>
        <w:autoSpaceDE/>
        <w:autoSpaceDN/>
        <w:bidi w:val="0"/>
        <w:adjustRightInd/>
        <w:snapToGrid/>
        <w:spacing w:line="440" w:lineRule="exact"/>
        <w:ind w:firstLine="420" w:firstLineChars="200"/>
        <w:textAlignment w:val="baseline"/>
        <w:rPr>
          <w:rFonts w:ascii="宋体" w:hAnsi="宋体" w:cs="宋体"/>
          <w:color w:val="auto"/>
          <w:szCs w:val="21"/>
          <w:highlight w:val="none"/>
        </w:rPr>
      </w:pPr>
      <w:r>
        <w:rPr>
          <w:rFonts w:hint="eastAsia" w:ascii="宋体" w:hAnsi="宋体" w:cs="宋体"/>
          <w:color w:val="auto"/>
          <w:szCs w:val="21"/>
          <w:highlight w:val="none"/>
        </w:rPr>
        <w:t xml:space="preserve">数量：1 </w:t>
      </w:r>
    </w:p>
    <w:p w14:paraId="1F463201">
      <w:pPr>
        <w:keepNext w:val="0"/>
        <w:keepLines w:val="0"/>
        <w:pageBreakBefore w:val="0"/>
        <w:kinsoku/>
        <w:overflowPunct/>
        <w:topLinePunct w:val="0"/>
        <w:autoSpaceDE/>
        <w:autoSpaceDN/>
        <w:bidi w:val="0"/>
        <w:adjustRightInd/>
        <w:snapToGrid/>
        <w:spacing w:line="440" w:lineRule="exact"/>
        <w:ind w:firstLine="420" w:firstLineChars="200"/>
        <w:textAlignment w:val="baseline"/>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rPr>
        <w:t>预算金额（元）：</w:t>
      </w:r>
      <w:r>
        <w:rPr>
          <w:rFonts w:hint="eastAsia" w:ascii="宋体" w:hAnsi="宋体" w:cs="宋体"/>
          <w:color w:val="auto"/>
          <w:szCs w:val="21"/>
          <w:highlight w:val="none"/>
          <w:lang w:val="en-US" w:eastAsia="zh-CN"/>
        </w:rPr>
        <w:t>350000</w:t>
      </w:r>
    </w:p>
    <w:p w14:paraId="7F3A051F">
      <w:pPr>
        <w:keepNext w:val="0"/>
        <w:keepLines w:val="0"/>
        <w:pageBreakBefore w:val="0"/>
        <w:kinsoku/>
        <w:overflowPunct/>
        <w:topLinePunct w:val="0"/>
        <w:autoSpaceDE/>
        <w:autoSpaceDN/>
        <w:bidi w:val="0"/>
        <w:adjustRightInd/>
        <w:snapToGrid/>
        <w:spacing w:line="440" w:lineRule="exact"/>
        <w:ind w:firstLine="420" w:firstLineChars="200"/>
        <w:textAlignment w:val="baseline"/>
        <w:rPr>
          <w:rFonts w:hint="eastAsia" w:ascii="宋体" w:hAnsi="宋体" w:cs="宋体"/>
          <w:color w:val="auto"/>
          <w:szCs w:val="21"/>
          <w:highlight w:val="none"/>
        </w:rPr>
      </w:pPr>
      <w:r>
        <w:rPr>
          <w:rFonts w:hint="eastAsia" w:ascii="宋体" w:hAnsi="宋体" w:cs="宋体"/>
          <w:color w:val="auto"/>
          <w:szCs w:val="21"/>
          <w:highlight w:val="none"/>
        </w:rPr>
        <w:t>单位：项</w:t>
      </w:r>
    </w:p>
    <w:p w14:paraId="26601364">
      <w:pPr>
        <w:keepNext w:val="0"/>
        <w:keepLines w:val="0"/>
        <w:pageBreakBefore w:val="0"/>
        <w:kinsoku/>
        <w:overflowPunct/>
        <w:topLinePunct w:val="0"/>
        <w:autoSpaceDE/>
        <w:autoSpaceDN/>
        <w:bidi w:val="0"/>
        <w:adjustRightInd/>
        <w:snapToGrid/>
        <w:spacing w:line="440" w:lineRule="exact"/>
        <w:ind w:firstLine="420" w:firstLineChars="200"/>
        <w:textAlignment w:val="baseline"/>
        <w:rPr>
          <w:rFonts w:hint="eastAsia" w:ascii="宋体" w:hAnsi="宋体" w:cs="宋体"/>
          <w:color w:val="auto"/>
          <w:szCs w:val="21"/>
          <w:highlight w:val="none"/>
        </w:rPr>
      </w:pPr>
      <w:r>
        <w:rPr>
          <w:rFonts w:hint="eastAsia" w:ascii="宋体" w:hAnsi="宋体" w:cs="宋体"/>
          <w:color w:val="auto"/>
          <w:szCs w:val="21"/>
          <w:highlight w:val="none"/>
        </w:rPr>
        <w:t>简要规格描述：详见</w:t>
      </w:r>
      <w:r>
        <w:rPr>
          <w:rFonts w:hint="eastAsia" w:ascii="宋体" w:hAnsi="宋体" w:cs="宋体"/>
          <w:color w:val="auto"/>
          <w:szCs w:val="21"/>
          <w:highlight w:val="none"/>
          <w:lang w:eastAsia="zh-CN"/>
        </w:rPr>
        <w:t>磋商</w:t>
      </w:r>
      <w:r>
        <w:rPr>
          <w:rFonts w:hint="eastAsia" w:ascii="宋体" w:hAnsi="宋体" w:cs="宋体"/>
          <w:color w:val="auto"/>
          <w:szCs w:val="21"/>
          <w:highlight w:val="none"/>
        </w:rPr>
        <w:t>文件第三章</w:t>
      </w:r>
    </w:p>
    <w:p w14:paraId="23A7F3FD">
      <w:pPr>
        <w:keepNext w:val="0"/>
        <w:keepLines w:val="0"/>
        <w:pageBreakBefore w:val="0"/>
        <w:kinsoku/>
        <w:overflowPunct/>
        <w:topLinePunct w:val="0"/>
        <w:autoSpaceDE/>
        <w:autoSpaceDN/>
        <w:bidi w:val="0"/>
        <w:adjustRightInd/>
        <w:snapToGrid/>
        <w:spacing w:line="440" w:lineRule="exact"/>
        <w:ind w:firstLine="420" w:firstLineChars="200"/>
        <w:textAlignment w:val="baseline"/>
        <w:rPr>
          <w:rFonts w:hint="eastAsia" w:ascii="宋体" w:hAnsi="宋体" w:cs="宋体"/>
          <w:color w:val="auto"/>
          <w:szCs w:val="21"/>
          <w:highlight w:val="none"/>
          <w:lang w:eastAsia="zh-CN"/>
        </w:rPr>
      </w:pPr>
      <w:r>
        <w:rPr>
          <w:rFonts w:hint="eastAsia" w:ascii="宋体" w:hAnsi="宋体" w:cs="宋体"/>
          <w:color w:val="auto"/>
          <w:szCs w:val="21"/>
          <w:highlight w:val="none"/>
          <w:lang w:eastAsia="zh-CN"/>
        </w:rPr>
        <w:t>备注：</w:t>
      </w:r>
    </w:p>
    <w:p w14:paraId="21D9CAE0">
      <w:pPr>
        <w:keepNext w:val="0"/>
        <w:keepLines w:val="0"/>
        <w:pageBreakBefore w:val="0"/>
        <w:kinsoku/>
        <w:overflowPunct/>
        <w:topLinePunct w:val="0"/>
        <w:autoSpaceDE/>
        <w:autoSpaceDN/>
        <w:bidi w:val="0"/>
        <w:adjustRightInd/>
        <w:snapToGrid/>
        <w:spacing w:line="440" w:lineRule="exact"/>
        <w:ind w:firstLine="420" w:firstLineChars="200"/>
        <w:textAlignment w:val="baseline"/>
        <w:rPr>
          <w:rFonts w:ascii="宋体" w:hAnsi="宋体" w:cs="宋体"/>
          <w:color w:val="auto"/>
          <w:szCs w:val="21"/>
          <w:highlight w:val="none"/>
        </w:rPr>
      </w:pPr>
      <w:r>
        <w:rPr>
          <w:rFonts w:hint="eastAsia" w:ascii="宋体" w:hAnsi="宋体" w:cs="宋体"/>
          <w:color w:val="auto"/>
          <w:szCs w:val="21"/>
          <w:highlight w:val="none"/>
        </w:rPr>
        <w:t>合同履约期限：详见</w:t>
      </w:r>
      <w:r>
        <w:rPr>
          <w:rFonts w:hint="eastAsia" w:ascii="宋体" w:hAnsi="宋体" w:cs="宋体"/>
          <w:color w:val="auto"/>
          <w:szCs w:val="21"/>
          <w:highlight w:val="none"/>
          <w:lang w:eastAsia="zh-CN"/>
        </w:rPr>
        <w:t>磋商</w:t>
      </w:r>
      <w:r>
        <w:rPr>
          <w:rFonts w:hint="eastAsia" w:ascii="宋体" w:hAnsi="宋体" w:cs="宋体"/>
          <w:color w:val="auto"/>
          <w:szCs w:val="21"/>
          <w:highlight w:val="none"/>
        </w:rPr>
        <w:t>文件第三章。</w:t>
      </w:r>
    </w:p>
    <w:p w14:paraId="5D456C8C">
      <w:pPr>
        <w:keepNext w:val="0"/>
        <w:keepLines w:val="0"/>
        <w:pageBreakBefore w:val="0"/>
        <w:kinsoku/>
        <w:overflowPunct/>
        <w:topLinePunct w:val="0"/>
        <w:autoSpaceDE/>
        <w:autoSpaceDN/>
        <w:bidi w:val="0"/>
        <w:adjustRightInd/>
        <w:snapToGrid/>
        <w:spacing w:line="440" w:lineRule="exact"/>
        <w:ind w:firstLine="420" w:firstLineChars="200"/>
        <w:textAlignment w:val="baseline"/>
        <w:rPr>
          <w:rFonts w:ascii="宋体" w:hAnsi="宋体" w:cs="宋体"/>
          <w:color w:val="auto"/>
          <w:szCs w:val="21"/>
          <w:highlight w:val="none"/>
        </w:rPr>
      </w:pPr>
      <w:r>
        <w:rPr>
          <w:rFonts w:hint="eastAsia" w:ascii="宋体" w:hAnsi="宋体" w:cs="宋体"/>
          <w:color w:val="auto"/>
          <w:szCs w:val="21"/>
          <w:highlight w:val="none"/>
        </w:rPr>
        <w:t>本项目（</w:t>
      </w:r>
      <w:r>
        <w:rPr>
          <w:rFonts w:hint="eastAsia" w:ascii="宋体" w:hAnsi="宋体" w:cs="宋体"/>
          <w:color w:val="auto"/>
          <w:szCs w:val="21"/>
          <w:highlight w:val="none"/>
          <w:lang w:val="en-US" w:eastAsia="zh-CN"/>
        </w:rPr>
        <w:t>否</w:t>
      </w:r>
      <w:r>
        <w:rPr>
          <w:rFonts w:hint="eastAsia" w:ascii="宋体" w:hAnsi="宋体" w:cs="宋体"/>
          <w:color w:val="auto"/>
          <w:szCs w:val="21"/>
          <w:highlight w:val="none"/>
        </w:rPr>
        <w:t>）接受联合体。</w:t>
      </w:r>
    </w:p>
    <w:p w14:paraId="06DFFEF2">
      <w:pPr>
        <w:keepNext w:val="0"/>
        <w:keepLines w:val="0"/>
        <w:pageBreakBefore w:val="0"/>
        <w:kinsoku/>
        <w:overflowPunct/>
        <w:topLinePunct w:val="0"/>
        <w:autoSpaceDE/>
        <w:autoSpaceDN/>
        <w:bidi w:val="0"/>
        <w:adjustRightInd/>
        <w:snapToGrid/>
        <w:spacing w:line="440" w:lineRule="exact"/>
        <w:ind w:firstLine="422" w:firstLineChars="200"/>
        <w:textAlignment w:val="baseline"/>
        <w:rPr>
          <w:rFonts w:ascii="宋体" w:hAnsi="宋体" w:cs="宋体"/>
          <w:b/>
          <w:bCs/>
          <w:color w:val="auto"/>
          <w:sz w:val="20"/>
          <w:szCs w:val="21"/>
          <w:highlight w:val="none"/>
        </w:rPr>
      </w:pPr>
      <w:r>
        <w:rPr>
          <w:rFonts w:hint="eastAsia" w:ascii="宋体" w:hAnsi="宋体" w:cs="宋体"/>
          <w:b/>
          <w:bCs/>
          <w:color w:val="auto"/>
          <w:szCs w:val="21"/>
          <w:highlight w:val="none"/>
        </w:rPr>
        <w:t>二、申请人的资格要求：</w:t>
      </w:r>
      <w:bookmarkEnd w:id="3"/>
      <w:bookmarkEnd w:id="4"/>
      <w:bookmarkEnd w:id="5"/>
      <w:bookmarkEnd w:id="6"/>
      <w:bookmarkStart w:id="7" w:name="_Toc28359014"/>
      <w:bookmarkStart w:id="8" w:name="_Toc35393800"/>
      <w:bookmarkStart w:id="9" w:name="_Toc28359091"/>
      <w:bookmarkStart w:id="10" w:name="_Toc35393631"/>
    </w:p>
    <w:p w14:paraId="28EF1F38">
      <w:pPr>
        <w:keepNext w:val="0"/>
        <w:keepLines w:val="0"/>
        <w:pageBreakBefore w:val="0"/>
        <w:kinsoku/>
        <w:overflowPunct/>
        <w:topLinePunct w:val="0"/>
        <w:autoSpaceDE/>
        <w:autoSpaceDN/>
        <w:bidi w:val="0"/>
        <w:adjustRightInd/>
        <w:snapToGrid/>
        <w:spacing w:line="440" w:lineRule="exact"/>
        <w:ind w:firstLine="420" w:firstLineChars="200"/>
        <w:textAlignment w:val="baseline"/>
        <w:rPr>
          <w:rFonts w:ascii="宋体" w:hAnsi="宋体" w:cs="宋体"/>
          <w:color w:val="auto"/>
          <w:sz w:val="20"/>
          <w:szCs w:val="21"/>
          <w:highlight w:val="none"/>
        </w:rPr>
      </w:pPr>
      <w:r>
        <w:rPr>
          <w:rFonts w:hint="eastAsia" w:ascii="宋体" w:hAnsi="宋体" w:cs="宋体"/>
          <w:color w:val="auto"/>
          <w:szCs w:val="21"/>
          <w:highlight w:val="none"/>
        </w:rPr>
        <w:t>1.满足《中华人民共和国政府采购法》第二十二条规定。未被“信用中国”（www.creditchina.gov.cn)、中国政府采购网（www.ccgp.gov.cn）列入失信被执行人、重大税收违法案件当事人名单、政府采购严重违法失信行为记录名单。</w:t>
      </w:r>
    </w:p>
    <w:p w14:paraId="773E83C7">
      <w:pPr>
        <w:keepNext w:val="0"/>
        <w:keepLines w:val="0"/>
        <w:pageBreakBefore w:val="0"/>
        <w:kinsoku/>
        <w:overflowPunct/>
        <w:topLinePunct w:val="0"/>
        <w:autoSpaceDE/>
        <w:autoSpaceDN/>
        <w:bidi w:val="0"/>
        <w:adjustRightInd/>
        <w:snapToGrid/>
        <w:spacing w:line="440" w:lineRule="exact"/>
        <w:ind w:firstLine="420" w:firstLineChars="200"/>
        <w:textAlignment w:val="baseline"/>
        <w:rPr>
          <w:rFonts w:ascii="宋体" w:hAnsi="宋体" w:cs="宋体"/>
          <w:b/>
          <w:bCs/>
          <w:color w:val="auto"/>
          <w:sz w:val="20"/>
          <w:szCs w:val="21"/>
          <w:highlight w:val="none"/>
        </w:rPr>
      </w:pP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.落实政府采购政策需满足的资格要求：</w:t>
      </w:r>
      <w:r>
        <w:rPr>
          <w:rFonts w:hint="eastAsia" w:ascii="宋体" w:hAnsi="宋体" w:eastAsia="宋体" w:cs="宋体"/>
          <w:b/>
          <w:bCs/>
          <w:color w:val="auto"/>
          <w:szCs w:val="21"/>
          <w:lang w:eastAsia="zh-CN"/>
        </w:rPr>
        <w:t>本项目为中小企业预留，</w:t>
      </w:r>
      <w:r>
        <w:rPr>
          <w:rFonts w:hint="eastAsia" w:ascii="宋体" w:hAnsi="宋体" w:cs="宋体"/>
          <w:b/>
          <w:bCs/>
          <w:color w:val="auto"/>
          <w:szCs w:val="21"/>
          <w:lang w:eastAsia="zh-CN"/>
        </w:rPr>
        <w:t>供应商</w:t>
      </w:r>
      <w:r>
        <w:rPr>
          <w:rFonts w:hint="eastAsia" w:ascii="宋体" w:hAnsi="宋体" w:eastAsia="宋体" w:cs="宋体"/>
          <w:b/>
          <w:bCs/>
          <w:color w:val="auto"/>
          <w:szCs w:val="21"/>
          <w:lang w:eastAsia="zh-CN"/>
        </w:rPr>
        <w:t>为中小企业（符合中小企业划分标准的个体工商户视同中小企业，监狱企业、残疾人福利单位视同小型、微型企业）。</w:t>
      </w:r>
    </w:p>
    <w:p w14:paraId="1FA846C0">
      <w:pPr>
        <w:keepNext w:val="0"/>
        <w:keepLines w:val="0"/>
        <w:pageBreakBefore w:val="0"/>
        <w:kinsoku/>
        <w:overflowPunct/>
        <w:topLinePunct w:val="0"/>
        <w:autoSpaceDE/>
        <w:autoSpaceDN/>
        <w:bidi w:val="0"/>
        <w:adjustRightInd/>
        <w:snapToGrid/>
        <w:spacing w:line="440" w:lineRule="exact"/>
        <w:ind w:firstLine="420" w:firstLineChars="200"/>
        <w:textAlignment w:val="baseline"/>
        <w:rPr>
          <w:rFonts w:hint="eastAsia"/>
          <w:color w:val="auto"/>
          <w:highlight w:val="none"/>
        </w:rPr>
      </w:pPr>
      <w:r>
        <w:rPr>
          <w:rFonts w:hint="eastAsia" w:ascii="宋体" w:hAnsi="宋体" w:cs="宋体"/>
          <w:b w:val="0"/>
          <w:bCs w:val="0"/>
          <w:color w:val="auto"/>
          <w:szCs w:val="21"/>
          <w:highlight w:val="none"/>
          <w:lang w:val="en-US" w:eastAsia="zh-CN"/>
        </w:rPr>
        <w:t>3</w:t>
      </w:r>
      <w:r>
        <w:rPr>
          <w:rFonts w:hint="eastAsia" w:ascii="宋体" w:hAnsi="宋体" w:cs="宋体"/>
          <w:b w:val="0"/>
          <w:bCs w:val="0"/>
          <w:color w:val="auto"/>
          <w:szCs w:val="21"/>
          <w:highlight w:val="none"/>
        </w:rPr>
        <w:t>.本项目的特定资格要求：</w:t>
      </w:r>
      <w:r>
        <w:rPr>
          <w:rFonts w:hint="eastAsia" w:ascii="宋体" w:hAnsi="宋体" w:eastAsia="宋体" w:cs="宋体"/>
          <w:b/>
          <w:bCs/>
          <w:color w:val="auto"/>
          <w:szCs w:val="21"/>
          <w:highlight w:val="none"/>
          <w:lang w:eastAsia="zh-CN"/>
        </w:rPr>
        <w:t>供应商应具有司法行政机关颁发的《司法鉴定许可证》，司法鉴定许可证业务范围应包含“痕迹鉴定”</w:t>
      </w:r>
      <w:r>
        <w:rPr>
          <w:rFonts w:hint="eastAsia" w:ascii="宋体" w:hAnsi="宋体" w:cs="宋体"/>
          <w:b/>
          <w:color w:val="auto"/>
          <w:szCs w:val="21"/>
          <w:highlight w:val="none"/>
          <w:lang w:eastAsia="zh-CN"/>
        </w:rPr>
        <w:t>。</w:t>
      </w:r>
    </w:p>
    <w:p w14:paraId="7E51F77C">
      <w:pPr>
        <w:pStyle w:val="23"/>
        <w:rPr>
          <w:rFonts w:ascii="宋体" w:hAnsi="宋体" w:cs="宋体"/>
          <w:b/>
          <w:bCs/>
          <w:color w:val="auto"/>
          <w:sz w:val="20"/>
          <w:szCs w:val="21"/>
          <w:highlight w:val="none"/>
        </w:rPr>
      </w:pPr>
      <w:r>
        <w:rPr>
          <w:rFonts w:hint="eastAsia" w:ascii="宋体" w:hAnsi="宋体" w:eastAsia="宋体" w:cs="宋体"/>
          <w:b/>
          <w:bCs/>
          <w:highlight w:val="none"/>
          <w:lang w:val="en-US" w:eastAsia="zh-CN"/>
        </w:rPr>
        <w:t xml:space="preserve">  </w:t>
      </w:r>
      <w:r>
        <w:rPr>
          <w:rFonts w:hint="eastAsia" w:ascii="宋体" w:hAnsi="宋体" w:cs="宋体"/>
          <w:b/>
          <w:bCs/>
          <w:color w:val="auto"/>
          <w:szCs w:val="21"/>
          <w:highlight w:val="none"/>
        </w:rPr>
        <w:t>三、获取采购文件</w:t>
      </w:r>
      <w:bookmarkEnd w:id="7"/>
      <w:bookmarkEnd w:id="8"/>
      <w:bookmarkEnd w:id="9"/>
      <w:bookmarkEnd w:id="10"/>
      <w:bookmarkStart w:id="11" w:name="_Toc35393632"/>
      <w:bookmarkStart w:id="12" w:name="_Toc35393801"/>
      <w:bookmarkStart w:id="13" w:name="_Toc28359092"/>
      <w:bookmarkStart w:id="14" w:name="_Toc28359015"/>
    </w:p>
    <w:p w14:paraId="3C64D022">
      <w:pPr>
        <w:keepNext w:val="0"/>
        <w:keepLines w:val="0"/>
        <w:pageBreakBefore w:val="0"/>
        <w:kinsoku/>
        <w:overflowPunct/>
        <w:topLinePunct w:val="0"/>
        <w:autoSpaceDE/>
        <w:autoSpaceDN/>
        <w:bidi w:val="0"/>
        <w:adjustRightInd/>
        <w:snapToGrid/>
        <w:spacing w:line="440" w:lineRule="exact"/>
        <w:ind w:firstLine="420" w:firstLineChars="200"/>
        <w:textAlignment w:val="baseline"/>
        <w:rPr>
          <w:rFonts w:hint="eastAsia" w:ascii="宋体" w:hAnsi="宋体" w:eastAsia="宋体" w:cs="宋体"/>
          <w:color w:val="auto"/>
          <w:sz w:val="20"/>
          <w:szCs w:val="21"/>
          <w:highlight w:val="none"/>
          <w:lang w:eastAsia="zh-CN"/>
        </w:rPr>
      </w:pPr>
      <w:r>
        <w:rPr>
          <w:rFonts w:hint="eastAsia" w:ascii="宋体" w:hAnsi="宋体" w:cs="宋体"/>
          <w:color w:val="auto"/>
          <w:szCs w:val="21"/>
          <w:highlight w:val="none"/>
        </w:rPr>
        <w:t>时间：公告发布之日起至</w:t>
      </w:r>
      <w:r>
        <w:rPr>
          <w:rFonts w:hint="eastAsia" w:ascii="宋体" w:hAnsi="宋体" w:cs="宋体"/>
          <w:color w:val="auto"/>
          <w:szCs w:val="21"/>
          <w:highlight w:val="none"/>
          <w:lang w:eastAsia="zh-CN"/>
        </w:rPr>
        <w:t>响应文件</w:t>
      </w:r>
      <w:r>
        <w:rPr>
          <w:rFonts w:hint="eastAsia" w:ascii="宋体" w:hAnsi="宋体" w:cs="宋体"/>
          <w:color w:val="auto"/>
          <w:szCs w:val="21"/>
          <w:highlight w:val="none"/>
        </w:rPr>
        <w:t>递交截止时间前</w:t>
      </w:r>
      <w:r>
        <w:rPr>
          <w:rFonts w:hint="eastAsia" w:ascii="宋体" w:hAnsi="宋体" w:cs="宋体"/>
          <w:color w:val="auto"/>
          <w:szCs w:val="21"/>
          <w:highlight w:val="none"/>
          <w:lang w:eastAsia="zh-CN"/>
        </w:rPr>
        <w:t>线上获取法定节假日均可，线下获取文件法定节假日除外；</w:t>
      </w:r>
    </w:p>
    <w:p w14:paraId="1961C657">
      <w:pPr>
        <w:keepNext w:val="0"/>
        <w:keepLines w:val="0"/>
        <w:pageBreakBefore w:val="0"/>
        <w:kinsoku/>
        <w:overflowPunct/>
        <w:topLinePunct w:val="0"/>
        <w:autoSpaceDE/>
        <w:autoSpaceDN/>
        <w:bidi w:val="0"/>
        <w:adjustRightInd/>
        <w:snapToGrid/>
        <w:spacing w:line="440" w:lineRule="exact"/>
        <w:ind w:firstLine="420" w:firstLineChars="200"/>
        <w:textAlignment w:val="baseline"/>
        <w:rPr>
          <w:rFonts w:hint="eastAsia" w:ascii="宋体" w:hAnsi="宋体" w:eastAsia="宋体" w:cs="宋体"/>
          <w:color w:val="auto"/>
          <w:sz w:val="20"/>
          <w:szCs w:val="21"/>
          <w:highlight w:val="none"/>
          <w:u w:val="single"/>
          <w:lang w:eastAsia="zh-CN"/>
        </w:rPr>
      </w:pPr>
      <w:r>
        <w:rPr>
          <w:rFonts w:hint="eastAsia" w:ascii="宋体" w:hAnsi="宋体" w:cs="宋体"/>
          <w:color w:val="auto"/>
          <w:szCs w:val="21"/>
          <w:highlight w:val="none"/>
        </w:rPr>
        <w:t>地点（网址）：政府采购云平台（www.zcygov.cn）</w:t>
      </w:r>
      <w:r>
        <w:rPr>
          <w:rFonts w:hint="eastAsia" w:ascii="宋体" w:hAnsi="宋体" w:cs="宋体"/>
          <w:color w:val="auto"/>
          <w:szCs w:val="21"/>
          <w:highlight w:val="none"/>
          <w:lang w:eastAsia="zh-CN"/>
        </w:rPr>
        <w:t>；</w:t>
      </w:r>
    </w:p>
    <w:p w14:paraId="7CF0AF7A">
      <w:pPr>
        <w:keepNext w:val="0"/>
        <w:keepLines w:val="0"/>
        <w:pageBreakBefore w:val="0"/>
        <w:kinsoku/>
        <w:overflowPunct/>
        <w:topLinePunct w:val="0"/>
        <w:autoSpaceDE/>
        <w:autoSpaceDN/>
        <w:bidi w:val="0"/>
        <w:adjustRightInd/>
        <w:snapToGrid/>
        <w:spacing w:line="440" w:lineRule="exact"/>
        <w:ind w:firstLine="420" w:firstLineChars="200"/>
        <w:textAlignment w:val="baseline"/>
        <w:rPr>
          <w:rFonts w:ascii="宋体" w:hAnsi="宋体" w:cs="宋体"/>
          <w:color w:val="auto"/>
          <w:sz w:val="20"/>
          <w:szCs w:val="21"/>
          <w:highlight w:val="none"/>
          <w:u w:val="single"/>
        </w:rPr>
      </w:pPr>
      <w:r>
        <w:rPr>
          <w:rFonts w:hint="eastAsia" w:ascii="宋体" w:hAnsi="宋体" w:cs="宋体"/>
          <w:color w:val="auto"/>
          <w:szCs w:val="21"/>
          <w:highlight w:val="none"/>
        </w:rPr>
        <w:t>方式：网上下载。拟参加本项目采购活动的潜在供应商直接登录“政采云”平台（www.zcygov.cn）或点击浙江政府采购网本项目公告附件“潜在供应商--获取采购文件”链接跳转登录后，在线申请获取采购文件（进入“项目采购”应用，在“获取采购文件”菜单中选择本项目并申请获取采购文件）。仅需浏览采购文件的供应商可点击“游客--浏览采购文件”直接下载采购文件用于浏览。</w:t>
      </w:r>
    </w:p>
    <w:p w14:paraId="4352E480">
      <w:pPr>
        <w:keepNext w:val="0"/>
        <w:keepLines w:val="0"/>
        <w:pageBreakBefore w:val="0"/>
        <w:kinsoku/>
        <w:overflowPunct/>
        <w:topLinePunct w:val="0"/>
        <w:autoSpaceDE/>
        <w:autoSpaceDN/>
        <w:bidi w:val="0"/>
        <w:adjustRightInd/>
        <w:snapToGrid/>
        <w:spacing w:line="440" w:lineRule="exact"/>
        <w:ind w:firstLine="420" w:firstLineChars="200"/>
        <w:textAlignment w:val="baseline"/>
        <w:rPr>
          <w:rFonts w:ascii="宋体" w:hAnsi="宋体" w:cs="宋体"/>
          <w:color w:val="auto"/>
          <w:sz w:val="20"/>
          <w:szCs w:val="21"/>
          <w:highlight w:val="none"/>
        </w:rPr>
      </w:pPr>
      <w:r>
        <w:rPr>
          <w:rFonts w:hint="eastAsia" w:ascii="宋体" w:hAnsi="宋体" w:cs="宋体"/>
          <w:color w:val="auto"/>
          <w:szCs w:val="21"/>
          <w:highlight w:val="none"/>
        </w:rPr>
        <w:t>售价（元）：0</w:t>
      </w:r>
    </w:p>
    <w:p w14:paraId="2AE5A26B">
      <w:pPr>
        <w:keepNext w:val="0"/>
        <w:keepLines w:val="0"/>
        <w:pageBreakBefore w:val="0"/>
        <w:kinsoku/>
        <w:overflowPunct/>
        <w:topLinePunct w:val="0"/>
        <w:autoSpaceDE/>
        <w:autoSpaceDN/>
        <w:bidi w:val="0"/>
        <w:adjustRightInd/>
        <w:snapToGrid/>
        <w:spacing w:line="440" w:lineRule="exact"/>
        <w:ind w:firstLine="422" w:firstLineChars="200"/>
        <w:textAlignment w:val="baseline"/>
        <w:rPr>
          <w:rFonts w:hint="eastAsia" w:ascii="宋体" w:hAnsi="宋体" w:eastAsia="宋体" w:cs="宋体"/>
          <w:b/>
          <w:bCs/>
          <w:color w:val="auto"/>
          <w:sz w:val="20"/>
          <w:szCs w:val="21"/>
          <w:highlight w:val="none"/>
          <w:lang w:eastAsia="zh-CN"/>
        </w:rPr>
      </w:pPr>
      <w:r>
        <w:rPr>
          <w:rFonts w:hint="eastAsia" w:ascii="宋体" w:hAnsi="宋体" w:cs="宋体"/>
          <w:b/>
          <w:bCs/>
          <w:color w:val="auto"/>
          <w:szCs w:val="21"/>
          <w:highlight w:val="none"/>
        </w:rPr>
        <w:t>四、响应文件提交</w:t>
      </w:r>
      <w:bookmarkEnd w:id="11"/>
      <w:bookmarkEnd w:id="12"/>
      <w:bookmarkEnd w:id="13"/>
      <w:bookmarkEnd w:id="14"/>
      <w:r>
        <w:rPr>
          <w:rFonts w:hint="eastAsia" w:ascii="宋体" w:hAnsi="宋体" w:cs="宋体"/>
          <w:b/>
          <w:bCs/>
          <w:color w:val="auto"/>
          <w:szCs w:val="21"/>
          <w:highlight w:val="none"/>
          <w:lang w:eastAsia="zh-CN"/>
        </w:rPr>
        <w:t>（上传）</w:t>
      </w:r>
    </w:p>
    <w:p w14:paraId="58A7FA30">
      <w:pPr>
        <w:keepNext w:val="0"/>
        <w:keepLines w:val="0"/>
        <w:pageBreakBefore w:val="0"/>
        <w:kinsoku/>
        <w:overflowPunct/>
        <w:topLinePunct w:val="0"/>
        <w:autoSpaceDE/>
        <w:autoSpaceDN/>
        <w:bidi w:val="0"/>
        <w:adjustRightInd/>
        <w:snapToGrid/>
        <w:spacing w:line="440" w:lineRule="exact"/>
        <w:ind w:firstLine="420" w:firstLineChars="200"/>
        <w:textAlignment w:val="baseline"/>
        <w:rPr>
          <w:rFonts w:ascii="宋体" w:hAnsi="宋体" w:cs="宋体"/>
          <w:b/>
          <w:bCs/>
          <w:color w:val="auto"/>
          <w:sz w:val="20"/>
          <w:szCs w:val="21"/>
          <w:highlight w:val="none"/>
        </w:rPr>
      </w:pPr>
      <w:r>
        <w:rPr>
          <w:rFonts w:hint="eastAsia" w:ascii="宋体" w:hAnsi="宋体" w:cs="宋体"/>
          <w:color w:val="auto"/>
          <w:szCs w:val="21"/>
          <w:highlight w:val="none"/>
        </w:rPr>
        <w:t>投标截止时间：</w:t>
      </w:r>
      <w:r>
        <w:rPr>
          <w:rFonts w:hint="eastAsia" w:ascii="宋体" w:hAnsi="宋体" w:cs="宋体"/>
          <w:b/>
          <w:bCs/>
          <w:color w:val="auto"/>
          <w:szCs w:val="21"/>
          <w:highlight w:val="none"/>
          <w:lang w:eastAsia="zh-CN"/>
        </w:rPr>
        <w:t>2025年</w:t>
      </w:r>
      <w:r>
        <w:rPr>
          <w:rFonts w:hint="eastAsia" w:ascii="宋体" w:hAnsi="宋体" w:cs="宋体"/>
          <w:b/>
          <w:bCs/>
          <w:color w:val="auto"/>
          <w:szCs w:val="21"/>
          <w:highlight w:val="none"/>
          <w:lang w:val="en-US" w:eastAsia="zh-CN"/>
        </w:rPr>
        <w:t>6</w:t>
      </w:r>
      <w:r>
        <w:rPr>
          <w:rFonts w:hint="eastAsia" w:ascii="宋体" w:hAnsi="宋体" w:cs="宋体"/>
          <w:b/>
          <w:bCs/>
          <w:color w:val="auto"/>
          <w:szCs w:val="21"/>
          <w:highlight w:val="none"/>
        </w:rPr>
        <w:t>月</w:t>
      </w:r>
      <w:r>
        <w:rPr>
          <w:rFonts w:hint="eastAsia" w:ascii="宋体" w:hAnsi="宋体" w:cs="宋体"/>
          <w:b/>
          <w:bCs/>
          <w:color w:val="auto"/>
          <w:szCs w:val="21"/>
          <w:highlight w:val="none"/>
          <w:lang w:val="en-US" w:eastAsia="zh-CN"/>
        </w:rPr>
        <w:t>10</w:t>
      </w:r>
      <w:r>
        <w:rPr>
          <w:rFonts w:hint="eastAsia" w:ascii="宋体" w:hAnsi="宋体" w:cs="宋体"/>
          <w:b/>
          <w:bCs/>
          <w:color w:val="auto"/>
          <w:szCs w:val="21"/>
          <w:highlight w:val="none"/>
        </w:rPr>
        <w:t>日</w:t>
      </w:r>
      <w:r>
        <w:rPr>
          <w:rFonts w:hint="eastAsia" w:ascii="宋体" w:hAnsi="宋体" w:cs="宋体"/>
          <w:b/>
          <w:bCs/>
          <w:color w:val="auto"/>
          <w:szCs w:val="21"/>
          <w:highlight w:val="none"/>
          <w:lang w:val="en-US" w:eastAsia="zh-CN"/>
        </w:rPr>
        <w:t>09</w:t>
      </w:r>
      <w:r>
        <w:rPr>
          <w:rFonts w:hint="eastAsia" w:ascii="宋体" w:hAnsi="宋体" w:cs="宋体"/>
          <w:b/>
          <w:bCs/>
          <w:color w:val="auto"/>
          <w:szCs w:val="21"/>
          <w:highlight w:val="none"/>
        </w:rPr>
        <w:t>时</w:t>
      </w:r>
      <w:r>
        <w:rPr>
          <w:rFonts w:hint="eastAsia" w:ascii="宋体" w:hAnsi="宋体" w:cs="宋体"/>
          <w:b/>
          <w:bCs/>
          <w:color w:val="auto"/>
          <w:szCs w:val="21"/>
          <w:highlight w:val="none"/>
          <w:lang w:val="en-US" w:eastAsia="zh-CN"/>
        </w:rPr>
        <w:t>30</w:t>
      </w:r>
      <w:r>
        <w:rPr>
          <w:rFonts w:hint="eastAsia" w:ascii="宋体" w:hAnsi="宋体" w:cs="宋体"/>
          <w:b/>
          <w:bCs/>
          <w:color w:val="auto"/>
          <w:szCs w:val="21"/>
          <w:highlight w:val="none"/>
        </w:rPr>
        <w:t>分（北京时间）</w:t>
      </w:r>
    </w:p>
    <w:p w14:paraId="7E1690A4">
      <w:pPr>
        <w:keepNext w:val="0"/>
        <w:keepLines w:val="0"/>
        <w:pageBreakBefore w:val="0"/>
        <w:kinsoku/>
        <w:overflowPunct/>
        <w:topLinePunct w:val="0"/>
        <w:autoSpaceDE/>
        <w:autoSpaceDN/>
        <w:bidi w:val="0"/>
        <w:adjustRightInd/>
        <w:snapToGrid/>
        <w:spacing w:line="440" w:lineRule="exact"/>
        <w:ind w:firstLine="420" w:firstLineChars="200"/>
        <w:textAlignment w:val="baseline"/>
        <w:rPr>
          <w:rFonts w:ascii="宋体" w:hAnsi="宋体" w:cs="宋体"/>
          <w:color w:val="auto"/>
          <w:sz w:val="20"/>
          <w:szCs w:val="21"/>
          <w:highlight w:val="none"/>
        </w:rPr>
      </w:pPr>
      <w:r>
        <w:rPr>
          <w:rFonts w:hint="eastAsia" w:ascii="宋体" w:hAnsi="宋体" w:cs="宋体"/>
          <w:color w:val="auto"/>
          <w:szCs w:val="21"/>
          <w:highlight w:val="none"/>
        </w:rPr>
        <w:t>投标地点：“政府采购云平台（www.zcygov.cn）”在线提交（上传）。</w:t>
      </w:r>
    </w:p>
    <w:p w14:paraId="5BA00D73">
      <w:pPr>
        <w:keepNext w:val="0"/>
        <w:keepLines w:val="0"/>
        <w:pageBreakBefore w:val="0"/>
        <w:kinsoku/>
        <w:overflowPunct/>
        <w:topLinePunct w:val="0"/>
        <w:autoSpaceDE/>
        <w:autoSpaceDN/>
        <w:bidi w:val="0"/>
        <w:adjustRightInd/>
        <w:snapToGrid/>
        <w:spacing w:line="440" w:lineRule="exact"/>
        <w:ind w:firstLine="422" w:firstLineChars="200"/>
        <w:textAlignment w:val="baseline"/>
        <w:rPr>
          <w:rFonts w:ascii="宋体" w:hAnsi="宋体" w:cs="宋体"/>
          <w:b/>
          <w:bCs/>
          <w:color w:val="auto"/>
          <w:sz w:val="20"/>
          <w:szCs w:val="21"/>
          <w:highlight w:val="none"/>
        </w:rPr>
      </w:pPr>
      <w:bookmarkStart w:id="15" w:name="_Toc28359016"/>
      <w:bookmarkStart w:id="16" w:name="_Toc28359093"/>
      <w:bookmarkStart w:id="17" w:name="_Toc35393633"/>
      <w:bookmarkStart w:id="18" w:name="_Toc35393802"/>
      <w:r>
        <w:rPr>
          <w:rFonts w:hint="eastAsia" w:ascii="宋体" w:hAnsi="宋体" w:cs="宋体"/>
          <w:b/>
          <w:bCs/>
          <w:color w:val="auto"/>
          <w:szCs w:val="21"/>
          <w:highlight w:val="none"/>
        </w:rPr>
        <w:t>五、</w:t>
      </w:r>
      <w:bookmarkEnd w:id="15"/>
      <w:bookmarkEnd w:id="16"/>
      <w:bookmarkEnd w:id="17"/>
      <w:bookmarkEnd w:id="18"/>
      <w:r>
        <w:rPr>
          <w:rFonts w:hint="eastAsia" w:ascii="宋体" w:hAnsi="宋体" w:cs="宋体"/>
          <w:b/>
          <w:bCs/>
          <w:color w:val="auto"/>
          <w:szCs w:val="21"/>
          <w:highlight w:val="none"/>
        </w:rPr>
        <w:t>响应文件开启</w:t>
      </w:r>
    </w:p>
    <w:p w14:paraId="13C1BF07">
      <w:pPr>
        <w:keepNext w:val="0"/>
        <w:keepLines w:val="0"/>
        <w:pageBreakBefore w:val="0"/>
        <w:kinsoku/>
        <w:overflowPunct/>
        <w:topLinePunct w:val="0"/>
        <w:autoSpaceDE/>
        <w:autoSpaceDN/>
        <w:bidi w:val="0"/>
        <w:adjustRightInd/>
        <w:snapToGrid/>
        <w:spacing w:line="440" w:lineRule="exact"/>
        <w:ind w:firstLine="420" w:firstLineChars="200"/>
        <w:textAlignment w:val="baseline"/>
        <w:rPr>
          <w:rFonts w:ascii="宋体" w:hAnsi="宋体" w:cs="宋体"/>
          <w:color w:val="auto"/>
          <w:sz w:val="20"/>
          <w:szCs w:val="21"/>
          <w:highlight w:val="none"/>
        </w:rPr>
      </w:pPr>
      <w:r>
        <w:rPr>
          <w:rFonts w:hint="eastAsia" w:ascii="宋体" w:hAnsi="宋体" w:cs="宋体"/>
          <w:color w:val="auto"/>
          <w:szCs w:val="21"/>
          <w:highlight w:val="none"/>
        </w:rPr>
        <w:t>时间：</w:t>
      </w:r>
      <w:r>
        <w:rPr>
          <w:rFonts w:hint="eastAsia" w:ascii="宋体" w:hAnsi="宋体" w:cs="宋体"/>
          <w:b/>
          <w:bCs/>
          <w:color w:val="auto"/>
          <w:szCs w:val="21"/>
          <w:highlight w:val="none"/>
          <w:lang w:eastAsia="zh-CN"/>
        </w:rPr>
        <w:t>2025年</w:t>
      </w:r>
      <w:r>
        <w:rPr>
          <w:rFonts w:hint="eastAsia" w:ascii="宋体" w:hAnsi="宋体" w:cs="宋体"/>
          <w:b/>
          <w:bCs/>
          <w:color w:val="auto"/>
          <w:szCs w:val="21"/>
          <w:highlight w:val="none"/>
          <w:lang w:val="en-US" w:eastAsia="zh-CN"/>
        </w:rPr>
        <w:t xml:space="preserve"> 6</w:t>
      </w:r>
      <w:r>
        <w:rPr>
          <w:rFonts w:hint="eastAsia" w:ascii="宋体" w:hAnsi="宋体" w:cs="宋体"/>
          <w:b/>
          <w:bCs/>
          <w:color w:val="auto"/>
          <w:szCs w:val="21"/>
          <w:highlight w:val="none"/>
        </w:rPr>
        <w:t>月</w:t>
      </w:r>
      <w:r>
        <w:rPr>
          <w:rFonts w:hint="eastAsia" w:ascii="宋体" w:hAnsi="宋体" w:cs="宋体"/>
          <w:b/>
          <w:bCs/>
          <w:color w:val="auto"/>
          <w:szCs w:val="21"/>
          <w:highlight w:val="none"/>
          <w:lang w:val="en-US" w:eastAsia="zh-CN"/>
        </w:rPr>
        <w:t>10</w:t>
      </w:r>
      <w:r>
        <w:rPr>
          <w:rFonts w:hint="eastAsia" w:ascii="宋体" w:hAnsi="宋体" w:cs="宋体"/>
          <w:b/>
          <w:bCs/>
          <w:color w:val="auto"/>
          <w:szCs w:val="21"/>
          <w:highlight w:val="none"/>
        </w:rPr>
        <w:t>日</w:t>
      </w:r>
      <w:r>
        <w:rPr>
          <w:rFonts w:hint="eastAsia" w:ascii="宋体" w:hAnsi="宋体" w:cs="宋体"/>
          <w:b/>
          <w:bCs/>
          <w:color w:val="auto"/>
          <w:szCs w:val="21"/>
          <w:highlight w:val="none"/>
          <w:lang w:val="en-US" w:eastAsia="zh-CN"/>
        </w:rPr>
        <w:t>09</w:t>
      </w:r>
      <w:r>
        <w:rPr>
          <w:rFonts w:hint="eastAsia" w:ascii="宋体" w:hAnsi="宋体" w:cs="宋体"/>
          <w:b/>
          <w:bCs/>
          <w:color w:val="auto"/>
          <w:szCs w:val="21"/>
          <w:highlight w:val="none"/>
        </w:rPr>
        <w:t>时</w:t>
      </w:r>
      <w:r>
        <w:rPr>
          <w:rFonts w:hint="eastAsia" w:ascii="宋体" w:hAnsi="宋体" w:cs="宋体"/>
          <w:b/>
          <w:bCs/>
          <w:color w:val="auto"/>
          <w:szCs w:val="21"/>
          <w:highlight w:val="none"/>
          <w:lang w:val="en-US" w:eastAsia="zh-CN"/>
        </w:rPr>
        <w:t>30</w:t>
      </w:r>
      <w:r>
        <w:rPr>
          <w:rFonts w:hint="eastAsia" w:ascii="宋体" w:hAnsi="宋体" w:cs="宋体"/>
          <w:b/>
          <w:bCs/>
          <w:color w:val="auto"/>
          <w:szCs w:val="21"/>
          <w:highlight w:val="none"/>
        </w:rPr>
        <w:t>分（北京时间）</w:t>
      </w:r>
    </w:p>
    <w:p w14:paraId="70C06ADA">
      <w:pPr>
        <w:keepNext w:val="0"/>
        <w:keepLines w:val="0"/>
        <w:pageBreakBefore w:val="0"/>
        <w:kinsoku/>
        <w:overflowPunct/>
        <w:topLinePunct w:val="0"/>
        <w:autoSpaceDE/>
        <w:autoSpaceDN/>
        <w:bidi w:val="0"/>
        <w:adjustRightInd/>
        <w:snapToGrid/>
        <w:spacing w:line="440" w:lineRule="exact"/>
        <w:ind w:firstLine="420" w:firstLineChars="200"/>
        <w:rPr>
          <w:rFonts w:ascii="宋体" w:hAnsi="宋体" w:cs="宋体"/>
          <w:color w:val="auto"/>
          <w:sz w:val="20"/>
          <w:szCs w:val="21"/>
          <w:highlight w:val="none"/>
        </w:rPr>
      </w:pPr>
      <w:r>
        <w:rPr>
          <w:rFonts w:hint="eastAsia" w:ascii="宋体" w:hAnsi="宋体" w:cs="宋体"/>
          <w:color w:val="auto"/>
          <w:szCs w:val="21"/>
          <w:highlight w:val="none"/>
        </w:rPr>
        <w:t>地点：</w:t>
      </w:r>
      <w:bookmarkStart w:id="19" w:name="_Toc35393803"/>
      <w:bookmarkStart w:id="20" w:name="_Toc28359017"/>
      <w:bookmarkStart w:id="21" w:name="_Toc35393634"/>
      <w:bookmarkStart w:id="22" w:name="_Toc28359094"/>
      <w:r>
        <w:rPr>
          <w:rFonts w:hint="eastAsia" w:ascii="宋体" w:hAnsi="宋体" w:cs="宋体"/>
          <w:color w:val="auto"/>
          <w:szCs w:val="21"/>
          <w:highlight w:val="none"/>
        </w:rPr>
        <w:t>衢州市公共资源交易常山分中心【常山县紫港路2号常山县行政服务中心东边附属楼2楼】 。同步在“政采云远程开标大厅”在线开标。</w:t>
      </w:r>
    </w:p>
    <w:p w14:paraId="42A77863">
      <w:pPr>
        <w:keepNext w:val="0"/>
        <w:keepLines w:val="0"/>
        <w:pageBreakBefore w:val="0"/>
        <w:kinsoku/>
        <w:overflowPunct/>
        <w:topLinePunct w:val="0"/>
        <w:autoSpaceDE/>
        <w:autoSpaceDN/>
        <w:bidi w:val="0"/>
        <w:adjustRightInd/>
        <w:snapToGrid/>
        <w:spacing w:line="440" w:lineRule="exact"/>
        <w:ind w:firstLine="422" w:firstLineChars="200"/>
        <w:textAlignment w:val="baseline"/>
        <w:rPr>
          <w:rFonts w:ascii="宋体" w:hAnsi="宋体" w:cs="宋体"/>
          <w:b/>
          <w:bCs/>
          <w:color w:val="auto"/>
          <w:sz w:val="20"/>
          <w:szCs w:val="21"/>
          <w:highlight w:val="none"/>
        </w:rPr>
      </w:pPr>
      <w:r>
        <w:rPr>
          <w:rFonts w:hint="eastAsia" w:ascii="宋体" w:hAnsi="宋体" w:cs="宋体"/>
          <w:b/>
          <w:bCs/>
          <w:color w:val="auto"/>
          <w:szCs w:val="21"/>
          <w:highlight w:val="none"/>
        </w:rPr>
        <w:t>六、公告期限</w:t>
      </w:r>
      <w:bookmarkEnd w:id="19"/>
      <w:bookmarkEnd w:id="20"/>
      <w:bookmarkEnd w:id="21"/>
      <w:bookmarkEnd w:id="22"/>
    </w:p>
    <w:p w14:paraId="5149CD2C">
      <w:pPr>
        <w:keepNext w:val="0"/>
        <w:keepLines w:val="0"/>
        <w:pageBreakBefore w:val="0"/>
        <w:kinsoku/>
        <w:overflowPunct/>
        <w:topLinePunct w:val="0"/>
        <w:autoSpaceDE/>
        <w:autoSpaceDN/>
        <w:bidi w:val="0"/>
        <w:adjustRightInd/>
        <w:snapToGrid/>
        <w:spacing w:line="440" w:lineRule="exact"/>
        <w:ind w:firstLine="420" w:firstLineChars="200"/>
        <w:textAlignment w:val="baseline"/>
        <w:rPr>
          <w:rFonts w:ascii="宋体" w:hAnsi="宋体" w:cs="宋体"/>
          <w:color w:val="auto"/>
          <w:sz w:val="20"/>
          <w:szCs w:val="21"/>
          <w:highlight w:val="none"/>
        </w:rPr>
      </w:pPr>
      <w:r>
        <w:rPr>
          <w:rFonts w:hint="eastAsia" w:ascii="宋体" w:hAnsi="宋体" w:cs="宋体"/>
          <w:color w:val="auto"/>
          <w:szCs w:val="21"/>
          <w:highlight w:val="none"/>
        </w:rPr>
        <w:t>自本公告发布之日起</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个工作日。</w:t>
      </w:r>
    </w:p>
    <w:p w14:paraId="0B40C082">
      <w:pPr>
        <w:keepNext w:val="0"/>
        <w:keepLines w:val="0"/>
        <w:pageBreakBefore w:val="0"/>
        <w:kinsoku/>
        <w:overflowPunct/>
        <w:topLinePunct w:val="0"/>
        <w:autoSpaceDE/>
        <w:autoSpaceDN/>
        <w:bidi w:val="0"/>
        <w:adjustRightInd/>
        <w:snapToGrid/>
        <w:spacing w:line="440" w:lineRule="exact"/>
        <w:ind w:firstLine="422" w:firstLineChars="200"/>
        <w:textAlignment w:val="baseline"/>
        <w:rPr>
          <w:rFonts w:ascii="宋体" w:hAnsi="宋体" w:cs="宋体"/>
          <w:b/>
          <w:bCs/>
          <w:color w:val="auto"/>
          <w:sz w:val="20"/>
          <w:szCs w:val="21"/>
          <w:highlight w:val="none"/>
        </w:rPr>
      </w:pPr>
      <w:bookmarkStart w:id="23" w:name="_Toc35393626"/>
      <w:bookmarkStart w:id="24" w:name="_Toc35393795"/>
      <w:bookmarkStart w:id="25" w:name="_Toc35393805"/>
      <w:bookmarkStart w:id="26" w:name="_Toc35393636"/>
      <w:bookmarkStart w:id="27" w:name="_Toc28359018"/>
      <w:bookmarkStart w:id="28" w:name="_Toc28359095"/>
      <w:r>
        <w:rPr>
          <w:rFonts w:hint="eastAsia" w:ascii="宋体" w:hAnsi="宋体" w:cs="宋体"/>
          <w:b/>
          <w:bCs/>
          <w:color w:val="auto"/>
          <w:szCs w:val="21"/>
          <w:highlight w:val="none"/>
        </w:rPr>
        <w:t>七、其他补充事宜</w:t>
      </w:r>
      <w:bookmarkEnd w:id="23"/>
      <w:bookmarkEnd w:id="24"/>
    </w:p>
    <w:p w14:paraId="78850689">
      <w:pPr>
        <w:keepNext w:val="0"/>
        <w:keepLines w:val="0"/>
        <w:pageBreakBefore w:val="0"/>
        <w:kinsoku/>
        <w:overflowPunct/>
        <w:topLinePunct w:val="0"/>
        <w:autoSpaceDE/>
        <w:autoSpaceDN/>
        <w:bidi w:val="0"/>
        <w:adjustRightInd/>
        <w:snapToGrid/>
        <w:spacing w:line="440" w:lineRule="exact"/>
        <w:ind w:firstLine="420" w:firstLineChars="200"/>
        <w:textAlignment w:val="baseline"/>
        <w:rPr>
          <w:rFonts w:hint="eastAsia" w:ascii="宋体" w:hAnsi="宋体" w:cs="宋体"/>
          <w:color w:val="auto"/>
          <w:sz w:val="21"/>
          <w:szCs w:val="21"/>
          <w:highlight w:val="none"/>
        </w:rPr>
      </w:pPr>
      <w:r>
        <w:rPr>
          <w:rFonts w:hint="eastAsia" w:ascii="宋体" w:hAnsi="宋体" w:cs="宋体"/>
          <w:color w:val="auto"/>
          <w:sz w:val="21"/>
          <w:szCs w:val="21"/>
          <w:highlight w:val="none"/>
        </w:rPr>
        <w:t>1.《浙江省财政厅关于进一步发挥政府采购政策功能全力推动经济稳进提质的通知》 （浙财采监（2022）3号）、《浙江省财政厅关于进一步促进政府采购公平竞争打造最优营商环境的通知》（浙财采监（2021）22号）已分别于2022年1月29日和2022年2月1日开始实施，此前有关规定与上述文件内容不一致的，按上述文件要求执行。</w:t>
      </w:r>
    </w:p>
    <w:p w14:paraId="68E5906C">
      <w:pPr>
        <w:keepNext w:val="0"/>
        <w:keepLines w:val="0"/>
        <w:pageBreakBefore w:val="0"/>
        <w:kinsoku/>
        <w:overflowPunct/>
        <w:topLinePunct w:val="0"/>
        <w:autoSpaceDE/>
        <w:autoSpaceDN/>
        <w:bidi w:val="0"/>
        <w:adjustRightInd/>
        <w:snapToGrid/>
        <w:spacing w:line="440" w:lineRule="exact"/>
        <w:ind w:firstLine="420" w:firstLineChars="200"/>
        <w:textAlignment w:val="baseline"/>
        <w:rPr>
          <w:rFonts w:hint="eastAsia" w:ascii="宋体" w:hAnsi="宋体" w:cs="宋体"/>
          <w:color w:val="auto"/>
          <w:sz w:val="21"/>
          <w:szCs w:val="21"/>
          <w:highlight w:val="none"/>
          <w:lang w:eastAsia="zh-CN"/>
        </w:rPr>
      </w:pPr>
      <w:r>
        <w:rPr>
          <w:rFonts w:hint="eastAsia" w:ascii="宋体" w:hAnsi="宋体" w:cs="宋体"/>
          <w:color w:val="auto"/>
          <w:sz w:val="21"/>
          <w:szCs w:val="21"/>
          <w:highlight w:val="none"/>
        </w:rPr>
        <w:t>2.根据《浙江省财政厅关于进一步促进政府采购公平竞争打造最优营商环境的通知》（浙财采监（2021）22号）文件关于“健全行政裁决机制”要求，鼓励供应商在线提起询问，路径为：政采云-项目采购-询问质疑投诉-询问列表:鼓励供应商在线提起质疑，路径为：政采云-项目采购-询问质疑投诉-质疑列表。质疑供应商对在线质疑答复不满意的，可在线提起投诉，路径为：浙江</w:t>
      </w:r>
      <w:r>
        <w:rPr>
          <w:rFonts w:hint="eastAsia" w:ascii="宋体" w:hAnsi="宋体" w:cs="宋体"/>
          <w:color w:val="auto"/>
          <w:sz w:val="21"/>
          <w:szCs w:val="21"/>
          <w:highlight w:val="none"/>
          <w:lang w:eastAsia="zh-CN"/>
        </w:rPr>
        <w:t>政务</w:t>
      </w:r>
      <w:r>
        <w:rPr>
          <w:rFonts w:hint="eastAsia" w:ascii="宋体" w:hAnsi="宋体" w:cs="宋体"/>
          <w:color w:val="auto"/>
          <w:sz w:val="21"/>
          <w:szCs w:val="21"/>
          <w:highlight w:val="none"/>
        </w:rPr>
        <w:t>服务网-政府采购投诉处理-在线办理</w:t>
      </w:r>
      <w:r>
        <w:rPr>
          <w:rFonts w:hint="eastAsia" w:ascii="宋体" w:hAnsi="宋体" w:cs="宋体"/>
          <w:color w:val="auto"/>
          <w:sz w:val="21"/>
          <w:szCs w:val="21"/>
          <w:highlight w:val="none"/>
          <w:lang w:eastAsia="zh-CN"/>
        </w:rPr>
        <w:t>。</w:t>
      </w:r>
    </w:p>
    <w:p w14:paraId="4D276EFB">
      <w:pPr>
        <w:keepNext w:val="0"/>
        <w:keepLines w:val="0"/>
        <w:pageBreakBefore w:val="0"/>
        <w:kinsoku/>
        <w:overflowPunct/>
        <w:topLinePunct w:val="0"/>
        <w:autoSpaceDE/>
        <w:autoSpaceDN/>
        <w:bidi w:val="0"/>
        <w:adjustRightInd/>
        <w:snapToGrid/>
        <w:spacing w:line="440" w:lineRule="exact"/>
        <w:ind w:firstLine="420" w:firstLineChars="200"/>
        <w:textAlignment w:val="baseline"/>
        <w:rPr>
          <w:rFonts w:hint="eastAsia" w:ascii="宋体" w:hAnsi="宋体" w:cs="宋体"/>
          <w:color w:val="auto"/>
          <w:sz w:val="21"/>
          <w:szCs w:val="21"/>
          <w:highlight w:val="none"/>
        </w:rPr>
      </w:pPr>
      <w:r>
        <w:rPr>
          <w:rFonts w:hint="eastAsia" w:ascii="宋体" w:hAnsi="宋体" w:cs="宋体"/>
          <w:color w:val="auto"/>
          <w:sz w:val="21"/>
          <w:szCs w:val="21"/>
          <w:highlight w:val="none"/>
        </w:rPr>
        <w:t>3.供应商认为采购文件使自己的权益受到损害的，可以自获取采购文件之日或者采购公告期限届满之日（公告期限届满后获取采购文件的，以公告期限届满之日为准）起7个工作日内，对采购文件需求的以书面形式向采购人提出质疑，对其他内容的以书面形式向采购人和采购代理机构提出质疑。质疑供应商对采购人、采购代理机构的答复不满意或者采购人、采购代理机构未在规定的时间内作出答复的，可以在答复期满后十五个工作日内向同级政府采购监督管理部门投诉。质疑函范本、投诉书范本请到浙江政府采购网下载专区下载。</w:t>
      </w:r>
    </w:p>
    <w:p w14:paraId="10482990">
      <w:pPr>
        <w:keepNext w:val="0"/>
        <w:keepLines w:val="0"/>
        <w:pageBreakBefore w:val="0"/>
        <w:kinsoku/>
        <w:overflowPunct/>
        <w:topLinePunct w:val="0"/>
        <w:autoSpaceDE/>
        <w:autoSpaceDN/>
        <w:bidi w:val="0"/>
        <w:adjustRightInd/>
        <w:snapToGrid/>
        <w:spacing w:line="440" w:lineRule="exact"/>
        <w:ind w:firstLine="420" w:firstLineChars="200"/>
        <w:textAlignment w:val="baseline"/>
        <w:rPr>
          <w:rFonts w:hint="eastAsia" w:ascii="宋体" w:hAnsi="宋体" w:cs="宋体"/>
          <w:color w:val="auto"/>
          <w:sz w:val="21"/>
          <w:szCs w:val="21"/>
          <w:highlight w:val="none"/>
        </w:rPr>
      </w:pPr>
      <w:r>
        <w:rPr>
          <w:rFonts w:hint="eastAsia" w:ascii="宋体" w:hAnsi="宋体" w:cs="宋体"/>
          <w:color w:val="auto"/>
          <w:sz w:val="21"/>
          <w:szCs w:val="21"/>
          <w:highlight w:val="none"/>
        </w:rPr>
        <w:t xml:space="preserve"> 4.其他事项：</w:t>
      </w:r>
    </w:p>
    <w:p w14:paraId="76C6EB3E">
      <w:pPr>
        <w:keepNext w:val="0"/>
        <w:keepLines w:val="0"/>
        <w:pageBreakBefore w:val="0"/>
        <w:kinsoku/>
        <w:overflowPunct/>
        <w:topLinePunct w:val="0"/>
        <w:autoSpaceDE/>
        <w:autoSpaceDN/>
        <w:bidi w:val="0"/>
        <w:adjustRightInd/>
        <w:snapToGrid/>
        <w:spacing w:line="440" w:lineRule="exact"/>
        <w:ind w:firstLine="420" w:firstLineChars="200"/>
        <w:textAlignment w:val="baseline"/>
        <w:rPr>
          <w:rFonts w:hint="eastAsia" w:ascii="宋体" w:hAnsi="宋体" w:cs="宋体"/>
          <w:color w:val="auto"/>
          <w:sz w:val="21"/>
          <w:szCs w:val="21"/>
          <w:highlight w:val="none"/>
        </w:rPr>
      </w:pPr>
      <w:r>
        <w:rPr>
          <w:rFonts w:hint="eastAsia" w:ascii="宋体" w:hAnsi="宋体" w:cs="宋体"/>
          <w:color w:val="auto"/>
          <w:sz w:val="21"/>
          <w:szCs w:val="21"/>
          <w:highlight w:val="none"/>
        </w:rPr>
        <w:t>4.1</w:t>
      </w:r>
      <w:r>
        <w:rPr>
          <w:rFonts w:hint="eastAsia" w:ascii="宋体" w:hAnsi="宋体" w:cs="宋体"/>
          <w:color w:val="auto"/>
          <w:sz w:val="21"/>
          <w:szCs w:val="21"/>
          <w:highlight w:val="none"/>
          <w:lang w:eastAsia="zh-CN"/>
        </w:rPr>
        <w:t>供应商</w:t>
      </w:r>
      <w:r>
        <w:rPr>
          <w:rFonts w:hint="eastAsia" w:ascii="宋体" w:hAnsi="宋体" w:cs="宋体"/>
          <w:color w:val="auto"/>
          <w:sz w:val="21"/>
          <w:szCs w:val="21"/>
          <w:highlight w:val="none"/>
        </w:rPr>
        <w:t>应在投标前完成CA数字证书办理。（办理流程详见http://zfcg.czt.zj.gov.cn/bidClientTemplate/2019-05-27/12945.html，或登录“浙江政府采购网-下载专区-电子投标客户端-CA驱动和申领流程”）。完成CA数字证书办理预计一周左右，建议各</w:t>
      </w:r>
      <w:r>
        <w:rPr>
          <w:rFonts w:hint="eastAsia" w:ascii="宋体" w:hAnsi="宋体" w:cs="宋体"/>
          <w:color w:val="auto"/>
          <w:sz w:val="21"/>
          <w:szCs w:val="21"/>
          <w:highlight w:val="none"/>
          <w:lang w:eastAsia="zh-CN"/>
        </w:rPr>
        <w:t>供应商</w:t>
      </w:r>
      <w:r>
        <w:rPr>
          <w:rFonts w:hint="eastAsia" w:ascii="宋体" w:hAnsi="宋体" w:cs="宋体"/>
          <w:color w:val="auto"/>
          <w:sz w:val="21"/>
          <w:szCs w:val="21"/>
          <w:highlight w:val="none"/>
        </w:rPr>
        <w:t>抓紧时间办理。</w:t>
      </w:r>
    </w:p>
    <w:p w14:paraId="0D21E893">
      <w:pPr>
        <w:keepNext w:val="0"/>
        <w:keepLines w:val="0"/>
        <w:pageBreakBefore w:val="0"/>
        <w:kinsoku/>
        <w:overflowPunct/>
        <w:topLinePunct w:val="0"/>
        <w:autoSpaceDE/>
        <w:autoSpaceDN/>
        <w:bidi w:val="0"/>
        <w:adjustRightInd/>
        <w:snapToGrid/>
        <w:spacing w:line="440" w:lineRule="exact"/>
        <w:ind w:firstLine="420" w:firstLineChars="200"/>
        <w:textAlignment w:val="baseline"/>
        <w:rPr>
          <w:rFonts w:hint="eastAsia" w:ascii="宋体" w:hAnsi="宋体" w:cs="宋体"/>
          <w:color w:val="auto"/>
          <w:sz w:val="21"/>
          <w:szCs w:val="21"/>
          <w:highlight w:val="none"/>
        </w:rPr>
      </w:pPr>
      <w:r>
        <w:rPr>
          <w:rFonts w:hint="eastAsia" w:ascii="宋体" w:hAnsi="宋体" w:cs="宋体"/>
          <w:color w:val="auto"/>
          <w:sz w:val="21"/>
          <w:szCs w:val="21"/>
          <w:highlight w:val="none"/>
        </w:rPr>
        <w:t>4.2</w:t>
      </w:r>
      <w:r>
        <w:rPr>
          <w:rFonts w:hint="eastAsia" w:ascii="宋体" w:hAnsi="宋体" w:cs="宋体"/>
          <w:color w:val="auto"/>
          <w:sz w:val="21"/>
          <w:szCs w:val="21"/>
          <w:highlight w:val="none"/>
          <w:lang w:eastAsia="zh-CN"/>
        </w:rPr>
        <w:t>供应商</w:t>
      </w:r>
      <w:r>
        <w:rPr>
          <w:rFonts w:hint="eastAsia" w:ascii="宋体" w:hAnsi="宋体" w:cs="宋体"/>
          <w:color w:val="auto"/>
          <w:sz w:val="21"/>
          <w:szCs w:val="21"/>
          <w:highlight w:val="none"/>
        </w:rPr>
        <w:t>通过“政采云电子交易客户端”制作响应文件。（“政采云电子交易客户端”下载详见http://zfcg.czt.zj.gov.cn/bidClientTemplate/2019-09-24/12975.html或登录“ 浙江政府采购网-下载专区- 电子投标客户端- 政采云电子交易客户端”）。</w:t>
      </w:r>
    </w:p>
    <w:p w14:paraId="383A96C0">
      <w:pPr>
        <w:keepNext w:val="0"/>
        <w:keepLines w:val="0"/>
        <w:pageBreakBefore w:val="0"/>
        <w:kinsoku/>
        <w:overflowPunct/>
        <w:topLinePunct w:val="0"/>
        <w:autoSpaceDE/>
        <w:autoSpaceDN/>
        <w:bidi w:val="0"/>
        <w:adjustRightInd/>
        <w:snapToGrid/>
        <w:spacing w:line="440" w:lineRule="exact"/>
        <w:ind w:firstLine="420" w:firstLineChars="200"/>
        <w:textAlignment w:val="baseline"/>
        <w:rPr>
          <w:rFonts w:hint="eastAsia" w:ascii="宋体" w:hAnsi="宋体" w:cs="宋体"/>
          <w:color w:val="auto"/>
          <w:sz w:val="21"/>
          <w:szCs w:val="21"/>
          <w:highlight w:val="none"/>
        </w:rPr>
      </w:pPr>
      <w:r>
        <w:rPr>
          <w:rFonts w:hint="eastAsia" w:ascii="宋体" w:hAnsi="宋体" w:cs="宋体"/>
          <w:color w:val="auto"/>
          <w:sz w:val="21"/>
          <w:szCs w:val="21"/>
          <w:highlight w:val="none"/>
        </w:rPr>
        <w:t>4.3电子投标制作具体流程详见政府采购项目电子交易管理操作指南：【请投标供应商点击链接https://service.zcygov.cn/#/knowledges/CW1EtGwBFdiHxlNd6I3m/6IMVAG0BFdiHxlNdQ8Na或登录“政府采购云平台（www.zcygov.cn）”，从首页-服务中心-帮助文档-项目采购-操作流程-电子招投标，查看文档和视频】。供应商在使用系统进行投标的过程中遇到涉及平台使用的任何问题，可致电政府采购云平台技术支持热线咨询，联系方式：95763。</w:t>
      </w:r>
    </w:p>
    <w:p w14:paraId="015F3DCA">
      <w:pPr>
        <w:keepNext w:val="0"/>
        <w:keepLines w:val="0"/>
        <w:pageBreakBefore w:val="0"/>
        <w:kinsoku/>
        <w:overflowPunct/>
        <w:topLinePunct w:val="0"/>
        <w:autoSpaceDE/>
        <w:autoSpaceDN/>
        <w:bidi w:val="0"/>
        <w:adjustRightInd/>
        <w:snapToGrid/>
        <w:spacing w:line="440" w:lineRule="exact"/>
        <w:ind w:firstLine="420" w:firstLineChars="200"/>
        <w:textAlignment w:val="baseline"/>
        <w:rPr>
          <w:rFonts w:hint="eastAsia" w:ascii="宋体" w:hAnsi="宋体" w:cs="宋体"/>
          <w:color w:val="auto"/>
          <w:sz w:val="21"/>
          <w:szCs w:val="21"/>
          <w:highlight w:val="none"/>
        </w:rPr>
      </w:pPr>
      <w:r>
        <w:rPr>
          <w:rFonts w:hint="eastAsia" w:ascii="宋体" w:hAnsi="宋体" w:cs="宋体"/>
          <w:color w:val="auto"/>
          <w:sz w:val="21"/>
          <w:szCs w:val="21"/>
          <w:highlight w:val="none"/>
        </w:rPr>
        <w:t>4.4本项目</w:t>
      </w:r>
      <w:r>
        <w:rPr>
          <w:rFonts w:hint="eastAsia" w:ascii="宋体" w:hAnsi="宋体" w:cs="宋体"/>
          <w:color w:val="auto"/>
          <w:sz w:val="21"/>
          <w:szCs w:val="21"/>
          <w:highlight w:val="none"/>
          <w:lang w:eastAsia="zh-CN"/>
        </w:rPr>
        <w:t>响应文件</w:t>
      </w:r>
      <w:r>
        <w:rPr>
          <w:rFonts w:hint="eastAsia" w:ascii="宋体" w:hAnsi="宋体" w:cs="宋体"/>
          <w:color w:val="auto"/>
          <w:sz w:val="21"/>
          <w:szCs w:val="21"/>
          <w:highlight w:val="none"/>
        </w:rPr>
        <w:t>的解密、报价文件确认等所使用的CA必须和制作电子加密</w:t>
      </w:r>
      <w:r>
        <w:rPr>
          <w:rFonts w:hint="eastAsia" w:ascii="宋体" w:hAnsi="宋体" w:cs="宋体"/>
          <w:color w:val="auto"/>
          <w:sz w:val="21"/>
          <w:szCs w:val="21"/>
          <w:highlight w:val="none"/>
          <w:lang w:eastAsia="zh-CN"/>
        </w:rPr>
        <w:t>响应文件</w:t>
      </w:r>
      <w:r>
        <w:rPr>
          <w:rFonts w:hint="eastAsia" w:ascii="宋体" w:hAnsi="宋体" w:cs="宋体"/>
          <w:color w:val="auto"/>
          <w:sz w:val="21"/>
          <w:szCs w:val="21"/>
          <w:highlight w:val="none"/>
        </w:rPr>
        <w:t>时使用的CA为同一个。为确保网上操作合法、有效和安全，投标供应商应当在投标截止时间前完成在“政府采购云平台”的身份认证，确保在电子投标过程中能够对相关数据电文进行加密和使用电子签章。</w:t>
      </w:r>
    </w:p>
    <w:p w14:paraId="66DC1E61">
      <w:pPr>
        <w:keepNext w:val="0"/>
        <w:keepLines w:val="0"/>
        <w:pageBreakBefore w:val="0"/>
        <w:kinsoku/>
        <w:overflowPunct/>
        <w:topLinePunct w:val="0"/>
        <w:autoSpaceDE/>
        <w:autoSpaceDN/>
        <w:bidi w:val="0"/>
        <w:adjustRightInd/>
        <w:snapToGrid/>
        <w:spacing w:line="440" w:lineRule="exact"/>
        <w:ind w:firstLine="420" w:firstLineChars="200"/>
        <w:textAlignment w:val="baseline"/>
        <w:rPr>
          <w:rFonts w:hint="eastAsia" w:ascii="宋体" w:hAnsi="宋体" w:cs="宋体"/>
          <w:color w:val="auto"/>
          <w:sz w:val="21"/>
          <w:szCs w:val="21"/>
          <w:highlight w:val="none"/>
        </w:rPr>
      </w:pPr>
      <w:r>
        <w:rPr>
          <w:rFonts w:hint="eastAsia" w:ascii="宋体" w:hAnsi="宋体" w:cs="宋体"/>
          <w:color w:val="auto"/>
          <w:sz w:val="21"/>
          <w:szCs w:val="21"/>
          <w:highlight w:val="none"/>
        </w:rPr>
        <w:t>4.5本项目采用电子投标，供应商代表无需出席开标现场会议。开标时间前供应商登录“政府采购云平台”进入开标大厅等候开标。</w:t>
      </w:r>
    </w:p>
    <w:p w14:paraId="0B9EE1DC">
      <w:pPr>
        <w:keepNext w:val="0"/>
        <w:keepLines w:val="0"/>
        <w:pageBreakBefore w:val="0"/>
        <w:kinsoku/>
        <w:overflowPunct/>
        <w:topLinePunct w:val="0"/>
        <w:autoSpaceDE/>
        <w:autoSpaceDN/>
        <w:bidi w:val="0"/>
        <w:adjustRightInd/>
        <w:snapToGrid/>
        <w:spacing w:line="440" w:lineRule="exact"/>
        <w:ind w:firstLine="420" w:firstLineChars="200"/>
        <w:textAlignment w:val="baseline"/>
        <w:rPr>
          <w:rFonts w:hint="eastAsia" w:ascii="宋体" w:hAnsi="宋体" w:eastAsia="宋体" w:cs="宋体"/>
          <w:color w:val="auto"/>
          <w:sz w:val="20"/>
          <w:szCs w:val="21"/>
          <w:highlight w:val="none"/>
          <w:lang w:eastAsia="zh-CN"/>
        </w:rPr>
      </w:pPr>
      <w:r>
        <w:rPr>
          <w:rFonts w:hint="eastAsia" w:ascii="宋体" w:hAnsi="宋体" w:cs="宋体"/>
          <w:color w:val="auto"/>
          <w:sz w:val="21"/>
          <w:szCs w:val="21"/>
          <w:highlight w:val="none"/>
        </w:rPr>
        <w:t>5.政采贷：本采购项目，中标人与采购单位签订的政府采购合同适用于衢州市常山县政府采购贷款政策，简称“政采贷”，具体内容可参阅《常山县“政采贷”办理指引》</w:t>
      </w:r>
      <w:r>
        <w:rPr>
          <w:rFonts w:hint="eastAsia" w:ascii="宋体" w:hAnsi="宋体" w:cs="宋体"/>
          <w:color w:val="auto"/>
          <w:sz w:val="21"/>
          <w:szCs w:val="21"/>
          <w:highlight w:val="none"/>
          <w:lang w:eastAsia="zh-CN"/>
        </w:rPr>
        <w:t>，</w:t>
      </w:r>
      <w:r>
        <w:rPr>
          <w:rFonts w:hint="eastAsia" w:ascii="仿宋" w:hAnsi="仿宋" w:eastAsia="仿宋" w:cs="仿宋"/>
          <w:sz w:val="21"/>
          <w:szCs w:val="21"/>
        </w:rPr>
        <w:t>http://www.zjcs.gov.cn/art/2022/1/10/art_1229091236_4857590.html</w:t>
      </w:r>
      <w:r>
        <w:rPr>
          <w:rFonts w:hint="eastAsia" w:ascii="宋体" w:hAnsi="宋体" w:cs="宋体"/>
          <w:color w:val="auto"/>
          <w:sz w:val="21"/>
          <w:szCs w:val="21"/>
          <w:highlight w:val="none"/>
          <w:lang w:eastAsia="zh-CN"/>
        </w:rPr>
        <w:t>。</w:t>
      </w:r>
    </w:p>
    <w:p w14:paraId="7DC70334">
      <w:pPr>
        <w:keepNext w:val="0"/>
        <w:keepLines w:val="0"/>
        <w:pageBreakBefore w:val="0"/>
        <w:kinsoku/>
        <w:overflowPunct/>
        <w:topLinePunct w:val="0"/>
        <w:autoSpaceDE/>
        <w:autoSpaceDN/>
        <w:bidi w:val="0"/>
        <w:adjustRightInd/>
        <w:snapToGrid/>
        <w:spacing w:line="440" w:lineRule="exact"/>
        <w:ind w:firstLine="422" w:firstLineChars="200"/>
        <w:textAlignment w:val="baseline"/>
        <w:rPr>
          <w:rFonts w:ascii="宋体" w:hAnsi="宋体" w:cs="宋体"/>
          <w:b/>
          <w:bCs/>
          <w:color w:val="auto"/>
          <w:sz w:val="20"/>
          <w:szCs w:val="21"/>
          <w:highlight w:val="none"/>
        </w:rPr>
      </w:pPr>
      <w:r>
        <w:rPr>
          <w:rFonts w:hint="eastAsia" w:ascii="宋体" w:hAnsi="宋体" w:cs="宋体"/>
          <w:b/>
          <w:bCs/>
          <w:color w:val="auto"/>
          <w:szCs w:val="21"/>
          <w:highlight w:val="none"/>
          <w:lang w:eastAsia="zh-CN"/>
        </w:rPr>
        <w:t>八</w:t>
      </w:r>
      <w:r>
        <w:rPr>
          <w:rFonts w:hint="eastAsia" w:ascii="宋体" w:hAnsi="宋体" w:cs="宋体"/>
          <w:b/>
          <w:bCs/>
          <w:color w:val="auto"/>
          <w:szCs w:val="21"/>
          <w:highlight w:val="none"/>
        </w:rPr>
        <w:t>、凡对本次招标提出询问、质疑、投诉，请按以下方式联系。</w:t>
      </w:r>
      <w:bookmarkEnd w:id="25"/>
      <w:bookmarkEnd w:id="26"/>
      <w:bookmarkEnd w:id="27"/>
      <w:bookmarkEnd w:id="28"/>
    </w:p>
    <w:p w14:paraId="08C49F3B">
      <w:pPr>
        <w:keepNext w:val="0"/>
        <w:keepLines w:val="0"/>
        <w:pageBreakBefore w:val="0"/>
        <w:kinsoku/>
        <w:overflowPunct/>
        <w:topLinePunct w:val="0"/>
        <w:autoSpaceDE/>
        <w:autoSpaceDN/>
        <w:bidi w:val="0"/>
        <w:adjustRightInd/>
        <w:snapToGrid/>
        <w:spacing w:line="440" w:lineRule="exact"/>
        <w:ind w:firstLine="420" w:firstLineChars="200"/>
        <w:textAlignment w:val="baseline"/>
        <w:rPr>
          <w:rFonts w:ascii="宋体" w:hAnsi="宋体" w:cs="宋体"/>
          <w:color w:val="auto"/>
          <w:sz w:val="20"/>
          <w:szCs w:val="21"/>
          <w:highlight w:val="none"/>
        </w:rPr>
      </w:pPr>
      <w:r>
        <w:rPr>
          <w:rFonts w:hint="eastAsia" w:ascii="宋体" w:hAnsi="宋体" w:cs="宋体"/>
          <w:color w:val="auto"/>
          <w:szCs w:val="21"/>
          <w:highlight w:val="none"/>
        </w:rPr>
        <w:t>1.采购人信息</w:t>
      </w:r>
    </w:p>
    <w:p w14:paraId="19FBF92C">
      <w:pPr>
        <w:keepNext w:val="0"/>
        <w:keepLines w:val="0"/>
        <w:pageBreakBefore w:val="0"/>
        <w:widowControl w:val="0"/>
        <w:kinsoku/>
        <w:overflowPunct/>
        <w:topLinePunct w:val="0"/>
        <w:autoSpaceDE/>
        <w:autoSpaceDN/>
        <w:bidi w:val="0"/>
        <w:adjustRightInd/>
        <w:snapToGrid/>
        <w:spacing w:line="440" w:lineRule="exact"/>
        <w:ind w:firstLine="420" w:firstLineChars="200"/>
        <w:jc w:val="both"/>
        <w:textAlignment w:val="baseline"/>
        <w:rPr>
          <w:rFonts w:ascii="宋体" w:hAnsi="宋体" w:cs="宋体"/>
          <w:color w:val="auto"/>
          <w:szCs w:val="21"/>
          <w:highlight w:val="none"/>
        </w:rPr>
      </w:pPr>
      <w:r>
        <w:rPr>
          <w:rFonts w:hint="eastAsia" w:ascii="宋体" w:hAnsi="宋体" w:cs="宋体"/>
          <w:color w:val="auto"/>
          <w:szCs w:val="21"/>
          <w:highlight w:val="none"/>
        </w:rPr>
        <w:t>名 称：</w:t>
      </w:r>
      <w:r>
        <w:rPr>
          <w:rFonts w:hint="eastAsia" w:ascii="宋体" w:hAnsi="宋体" w:cs="宋体"/>
          <w:color w:val="auto"/>
          <w:szCs w:val="21"/>
          <w:highlight w:val="none"/>
          <w:lang w:eastAsia="zh-CN"/>
        </w:rPr>
        <w:t>常山县公安局交通警察大队</w:t>
      </w:r>
      <w:r>
        <w:rPr>
          <w:rFonts w:hint="eastAsia" w:ascii="宋体" w:hAnsi="宋体" w:cs="宋体"/>
          <w:color w:val="auto"/>
          <w:szCs w:val="21"/>
          <w:highlight w:val="none"/>
        </w:rPr>
        <w:t xml:space="preserve">          </w:t>
      </w:r>
    </w:p>
    <w:p w14:paraId="794C18C4">
      <w:pPr>
        <w:keepNext w:val="0"/>
        <w:keepLines w:val="0"/>
        <w:pageBreakBefore w:val="0"/>
        <w:kinsoku/>
        <w:overflowPunct/>
        <w:topLinePunct w:val="0"/>
        <w:autoSpaceDE/>
        <w:autoSpaceDN/>
        <w:bidi w:val="0"/>
        <w:adjustRightInd/>
        <w:snapToGrid/>
        <w:spacing w:line="440" w:lineRule="exact"/>
        <w:ind w:firstLine="420" w:firstLineChars="200"/>
        <w:textAlignment w:val="auto"/>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地    址：浙江省衢州市常山县天马街道白马路181号</w:t>
      </w:r>
    </w:p>
    <w:p w14:paraId="1F7066EC">
      <w:pPr>
        <w:keepNext w:val="0"/>
        <w:keepLines w:val="0"/>
        <w:pageBreakBefore w:val="0"/>
        <w:kinsoku/>
        <w:overflowPunct/>
        <w:topLinePunct w:val="0"/>
        <w:autoSpaceDE/>
        <w:autoSpaceDN/>
        <w:bidi w:val="0"/>
        <w:adjustRightInd/>
        <w:snapToGrid/>
        <w:spacing w:line="440" w:lineRule="exact"/>
        <w:ind w:firstLine="420" w:firstLineChars="200"/>
        <w:textAlignment w:val="auto"/>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项目联系人：徐先生    项目联系方式：0570-5667985</w:t>
      </w:r>
    </w:p>
    <w:p w14:paraId="72EBC5AD">
      <w:pPr>
        <w:keepNext w:val="0"/>
        <w:keepLines w:val="0"/>
        <w:pageBreakBefore w:val="0"/>
        <w:kinsoku/>
        <w:overflowPunct/>
        <w:topLinePunct w:val="0"/>
        <w:autoSpaceDE/>
        <w:autoSpaceDN/>
        <w:bidi w:val="0"/>
        <w:adjustRightInd/>
        <w:snapToGrid/>
        <w:spacing w:line="440" w:lineRule="exact"/>
        <w:ind w:firstLine="420" w:firstLineChars="200"/>
        <w:textAlignment w:val="auto"/>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 xml:space="preserve">质疑联系人：徐先生    质疑联系方式：0570-5667985 </w:t>
      </w:r>
    </w:p>
    <w:p w14:paraId="1344615F">
      <w:pPr>
        <w:keepNext w:val="0"/>
        <w:keepLines w:val="0"/>
        <w:pageBreakBefore w:val="0"/>
        <w:kinsoku/>
        <w:overflowPunct/>
        <w:topLinePunct w:val="0"/>
        <w:autoSpaceDE/>
        <w:autoSpaceDN/>
        <w:bidi w:val="0"/>
        <w:adjustRightInd/>
        <w:snapToGrid/>
        <w:spacing w:line="440" w:lineRule="exact"/>
        <w:ind w:firstLine="420" w:firstLineChars="200"/>
        <w:textAlignment w:val="auto"/>
        <w:rPr>
          <w:rFonts w:ascii="宋体" w:hAnsi="宋体" w:cs="宋体"/>
          <w:color w:val="auto"/>
          <w:sz w:val="20"/>
          <w:szCs w:val="21"/>
          <w:highlight w:val="none"/>
        </w:rPr>
      </w:pPr>
      <w:r>
        <w:rPr>
          <w:rFonts w:hint="eastAsia" w:ascii="宋体" w:hAnsi="宋体" w:cs="宋体"/>
          <w:color w:val="auto"/>
          <w:szCs w:val="21"/>
          <w:highlight w:val="none"/>
        </w:rPr>
        <w:t>2.采购代理机构信息</w:t>
      </w:r>
    </w:p>
    <w:p w14:paraId="1CC28E40">
      <w:pPr>
        <w:keepNext w:val="0"/>
        <w:keepLines w:val="0"/>
        <w:pageBreakBefore w:val="0"/>
        <w:kinsoku/>
        <w:overflowPunct/>
        <w:topLinePunct w:val="0"/>
        <w:autoSpaceDE/>
        <w:autoSpaceDN/>
        <w:bidi w:val="0"/>
        <w:adjustRightInd/>
        <w:snapToGrid/>
        <w:spacing w:line="440" w:lineRule="exact"/>
        <w:ind w:firstLine="420" w:firstLineChars="200"/>
        <w:textAlignment w:val="baseline"/>
        <w:rPr>
          <w:rFonts w:ascii="宋体" w:hAnsi="宋体" w:cs="宋体"/>
          <w:color w:val="auto"/>
          <w:sz w:val="20"/>
          <w:szCs w:val="21"/>
          <w:highlight w:val="none"/>
        </w:rPr>
      </w:pPr>
      <w:r>
        <w:rPr>
          <w:rFonts w:hint="eastAsia" w:ascii="宋体" w:hAnsi="宋体" w:cs="宋体"/>
          <w:color w:val="auto"/>
          <w:szCs w:val="21"/>
          <w:highlight w:val="none"/>
        </w:rPr>
        <w:t>名称：</w:t>
      </w:r>
      <w:r>
        <w:rPr>
          <w:rFonts w:hint="eastAsia" w:ascii="宋体" w:hAnsi="宋体" w:cs="宋体"/>
          <w:color w:val="auto"/>
          <w:szCs w:val="21"/>
          <w:highlight w:val="none"/>
          <w:lang w:eastAsia="zh-CN"/>
        </w:rPr>
        <w:t>衢州市开成工程造价咨询事务所有限公司</w:t>
      </w:r>
      <w:r>
        <w:rPr>
          <w:rFonts w:hint="eastAsia" w:ascii="宋体" w:hAnsi="宋体" w:cs="宋体"/>
          <w:color w:val="auto"/>
          <w:szCs w:val="21"/>
          <w:highlight w:val="none"/>
        </w:rPr>
        <w:t>　　　　　　　　</w:t>
      </w:r>
    </w:p>
    <w:p w14:paraId="6C269201">
      <w:pPr>
        <w:keepNext w:val="0"/>
        <w:keepLines w:val="0"/>
        <w:pageBreakBefore w:val="0"/>
        <w:kinsoku/>
        <w:overflowPunct/>
        <w:topLinePunct w:val="0"/>
        <w:autoSpaceDE/>
        <w:autoSpaceDN/>
        <w:bidi w:val="0"/>
        <w:adjustRightInd/>
        <w:snapToGrid/>
        <w:spacing w:line="440" w:lineRule="exact"/>
        <w:ind w:firstLine="420" w:firstLineChars="200"/>
        <w:textAlignment w:val="baseline"/>
        <w:rPr>
          <w:rFonts w:hint="eastAsia" w:ascii="宋体" w:hAnsi="宋体" w:eastAsia="宋体" w:cs="宋体"/>
          <w:color w:val="auto"/>
          <w:sz w:val="20"/>
          <w:szCs w:val="21"/>
          <w:highlight w:val="none"/>
          <w:lang w:eastAsia="zh-CN"/>
        </w:rPr>
      </w:pPr>
      <w:r>
        <w:rPr>
          <w:rFonts w:hint="eastAsia" w:ascii="宋体" w:hAnsi="宋体" w:cs="宋体"/>
          <w:color w:val="auto"/>
          <w:szCs w:val="21"/>
          <w:highlight w:val="none"/>
        </w:rPr>
        <w:t>地　址：</w:t>
      </w:r>
      <w:r>
        <w:rPr>
          <w:rFonts w:hint="eastAsia" w:ascii="宋体" w:hAnsi="宋体" w:cs="宋体"/>
          <w:color w:val="auto"/>
          <w:szCs w:val="21"/>
          <w:highlight w:val="none"/>
          <w:lang w:eastAsia="zh-CN"/>
        </w:rPr>
        <w:t>浙江省常山县浙西世贸城15号楼3338号</w:t>
      </w:r>
    </w:p>
    <w:p w14:paraId="6E61CE1D">
      <w:pPr>
        <w:keepNext w:val="0"/>
        <w:keepLines w:val="0"/>
        <w:pageBreakBefore w:val="0"/>
        <w:kinsoku/>
        <w:overflowPunct/>
        <w:topLinePunct w:val="0"/>
        <w:autoSpaceDE/>
        <w:autoSpaceDN/>
        <w:bidi w:val="0"/>
        <w:adjustRightInd/>
        <w:snapToGrid/>
        <w:spacing w:line="440" w:lineRule="exact"/>
        <w:ind w:firstLine="420" w:firstLineChars="200"/>
        <w:textAlignment w:val="baseline"/>
        <w:rPr>
          <w:rFonts w:hint="eastAsia" w:ascii="宋体" w:hAnsi="宋体" w:cs="宋体"/>
          <w:color w:val="auto"/>
          <w:szCs w:val="21"/>
          <w:highlight w:val="none"/>
        </w:rPr>
      </w:pPr>
      <w:r>
        <w:rPr>
          <w:rFonts w:hint="eastAsia" w:ascii="宋体" w:hAnsi="宋体" w:cs="宋体"/>
          <w:color w:val="auto"/>
          <w:szCs w:val="21"/>
          <w:highlight w:val="none"/>
        </w:rPr>
        <w:t>联系人：</w:t>
      </w:r>
      <w:r>
        <w:rPr>
          <w:rFonts w:hint="eastAsia" w:ascii="宋体" w:hAnsi="宋体" w:cs="宋体"/>
          <w:color w:val="auto"/>
          <w:szCs w:val="21"/>
          <w:highlight w:val="none"/>
          <w:lang w:eastAsia="zh-CN"/>
        </w:rPr>
        <w:t>孔爱丽</w:t>
      </w:r>
      <w:r>
        <w:rPr>
          <w:rFonts w:hint="eastAsia" w:ascii="宋体" w:hAnsi="宋体" w:cs="宋体"/>
          <w:color w:val="auto"/>
          <w:szCs w:val="21"/>
          <w:highlight w:val="none"/>
          <w:lang w:val="en-US" w:eastAsia="zh-CN"/>
        </w:rPr>
        <w:t xml:space="preserve">      </w:t>
      </w:r>
      <w:r>
        <w:rPr>
          <w:rFonts w:hint="eastAsia" w:ascii="宋体" w:hAnsi="宋体" w:cs="宋体"/>
          <w:color w:val="auto"/>
          <w:szCs w:val="21"/>
          <w:highlight w:val="none"/>
          <w:lang w:eastAsia="zh-CN"/>
        </w:rPr>
        <w:t>电话：</w:t>
      </w:r>
      <w:r>
        <w:rPr>
          <w:rFonts w:hint="eastAsia" w:ascii="宋体" w:hAnsi="宋体" w:cs="宋体"/>
          <w:color w:val="auto"/>
          <w:szCs w:val="21"/>
          <w:highlight w:val="none"/>
          <w:lang w:val="en-US" w:eastAsia="zh-CN"/>
        </w:rPr>
        <w:t>13567035102</w:t>
      </w:r>
      <w:r>
        <w:rPr>
          <w:rFonts w:hint="eastAsia" w:ascii="宋体" w:hAnsi="宋体" w:cs="宋体"/>
          <w:color w:val="auto"/>
          <w:szCs w:val="21"/>
          <w:highlight w:val="none"/>
        </w:rPr>
        <w:t> </w:t>
      </w:r>
    </w:p>
    <w:p w14:paraId="56FEB7D7">
      <w:pPr>
        <w:keepNext w:val="0"/>
        <w:keepLines w:val="0"/>
        <w:pageBreakBefore w:val="0"/>
        <w:kinsoku/>
        <w:overflowPunct/>
        <w:topLinePunct w:val="0"/>
        <w:autoSpaceDE/>
        <w:autoSpaceDN/>
        <w:bidi w:val="0"/>
        <w:adjustRightInd/>
        <w:snapToGrid/>
        <w:spacing w:line="440" w:lineRule="exact"/>
        <w:ind w:firstLine="420" w:firstLineChars="200"/>
        <w:textAlignment w:val="baseline"/>
        <w:rPr>
          <w:rFonts w:ascii="宋体" w:hAnsi="宋体" w:cs="宋体"/>
          <w:color w:val="auto"/>
          <w:sz w:val="20"/>
          <w:szCs w:val="21"/>
          <w:highlight w:val="none"/>
        </w:rPr>
      </w:pPr>
      <w:r>
        <w:rPr>
          <w:rFonts w:hint="eastAsia" w:ascii="宋体" w:hAnsi="宋体" w:cs="宋体"/>
          <w:color w:val="auto"/>
          <w:szCs w:val="21"/>
          <w:highlight w:val="none"/>
          <w:lang w:eastAsia="zh-CN"/>
        </w:rPr>
        <w:t>质疑人：王俊</w:t>
      </w:r>
      <w:r>
        <w:rPr>
          <w:rFonts w:hint="eastAsia" w:ascii="宋体" w:hAnsi="宋体" w:cs="宋体"/>
          <w:color w:val="auto"/>
          <w:szCs w:val="21"/>
          <w:highlight w:val="none"/>
          <w:lang w:val="en-US" w:eastAsia="zh-CN"/>
        </w:rPr>
        <w:t xml:space="preserve">        </w:t>
      </w:r>
      <w:r>
        <w:rPr>
          <w:rFonts w:hint="eastAsia" w:ascii="宋体" w:hAnsi="宋体" w:cs="宋体"/>
          <w:color w:val="auto"/>
          <w:szCs w:val="21"/>
          <w:highlight w:val="none"/>
          <w:lang w:eastAsia="zh-CN"/>
        </w:rPr>
        <w:t>电话：</w:t>
      </w:r>
      <w:r>
        <w:rPr>
          <w:rFonts w:hint="eastAsia" w:ascii="宋体" w:hAnsi="宋体" w:cs="宋体"/>
          <w:color w:val="auto"/>
          <w:szCs w:val="21"/>
          <w:highlight w:val="none"/>
          <w:lang w:val="en-US" w:eastAsia="zh-CN"/>
        </w:rPr>
        <w:t>0570-5021909</w:t>
      </w:r>
      <w:r>
        <w:rPr>
          <w:rFonts w:hint="eastAsia" w:ascii="宋体" w:hAnsi="宋体" w:cs="宋体"/>
          <w:color w:val="auto"/>
          <w:szCs w:val="21"/>
          <w:highlight w:val="none"/>
        </w:rPr>
        <w:t xml:space="preserve"> 　　　　　　　　　　　</w:t>
      </w:r>
    </w:p>
    <w:p w14:paraId="7E221EB6">
      <w:pPr>
        <w:keepNext w:val="0"/>
        <w:keepLines w:val="0"/>
        <w:pageBreakBefore w:val="0"/>
        <w:kinsoku/>
        <w:overflowPunct/>
        <w:topLinePunct w:val="0"/>
        <w:autoSpaceDE/>
        <w:autoSpaceDN/>
        <w:bidi w:val="0"/>
        <w:adjustRightInd/>
        <w:snapToGrid/>
        <w:spacing w:line="440" w:lineRule="exact"/>
        <w:ind w:firstLine="420" w:firstLineChars="200"/>
        <w:textAlignment w:val="baseline"/>
        <w:rPr>
          <w:rFonts w:ascii="宋体" w:hAnsi="宋体" w:cs="宋体"/>
          <w:color w:val="auto"/>
          <w:sz w:val="20"/>
          <w:szCs w:val="21"/>
          <w:highlight w:val="none"/>
        </w:rPr>
      </w:pPr>
      <w:r>
        <w:rPr>
          <w:rFonts w:hint="eastAsia" w:ascii="宋体" w:hAnsi="宋体" w:cs="宋体"/>
          <w:color w:val="auto"/>
          <w:szCs w:val="21"/>
          <w:highlight w:val="none"/>
        </w:rPr>
        <w:t>3.同级政府采购监管部门：</w:t>
      </w:r>
    </w:p>
    <w:p w14:paraId="72D1A4BB">
      <w:pPr>
        <w:keepNext w:val="0"/>
        <w:keepLines w:val="0"/>
        <w:pageBreakBefore w:val="0"/>
        <w:kinsoku/>
        <w:overflowPunct/>
        <w:topLinePunct w:val="0"/>
        <w:autoSpaceDE/>
        <w:autoSpaceDN/>
        <w:bidi w:val="0"/>
        <w:adjustRightInd/>
        <w:snapToGrid/>
        <w:spacing w:line="440" w:lineRule="exact"/>
        <w:ind w:firstLine="420" w:firstLineChars="200"/>
        <w:textAlignment w:val="baseline"/>
        <w:rPr>
          <w:rFonts w:ascii="宋体" w:hAnsi="宋体" w:cs="宋体"/>
          <w:color w:val="auto"/>
          <w:sz w:val="20"/>
          <w:szCs w:val="21"/>
          <w:highlight w:val="none"/>
        </w:rPr>
      </w:pPr>
      <w:r>
        <w:rPr>
          <w:rFonts w:hint="eastAsia" w:ascii="宋体" w:hAnsi="宋体" w:cs="宋体"/>
          <w:color w:val="auto"/>
          <w:szCs w:val="21"/>
          <w:highlight w:val="none"/>
        </w:rPr>
        <w:t>名称：常山县财政局政府采购监管科</w:t>
      </w:r>
    </w:p>
    <w:p w14:paraId="6C984335">
      <w:pPr>
        <w:keepNext w:val="0"/>
        <w:keepLines w:val="0"/>
        <w:pageBreakBefore w:val="0"/>
        <w:kinsoku/>
        <w:overflowPunct/>
        <w:topLinePunct w:val="0"/>
        <w:autoSpaceDE/>
        <w:autoSpaceDN/>
        <w:bidi w:val="0"/>
        <w:adjustRightInd/>
        <w:snapToGrid/>
        <w:spacing w:line="440" w:lineRule="exact"/>
        <w:ind w:firstLine="420" w:firstLineChars="200"/>
        <w:textAlignment w:val="baseline"/>
        <w:rPr>
          <w:rFonts w:ascii="宋体" w:hAnsi="宋体" w:cs="宋体"/>
          <w:color w:val="auto"/>
          <w:sz w:val="20"/>
          <w:szCs w:val="21"/>
          <w:highlight w:val="none"/>
        </w:rPr>
      </w:pPr>
      <w:r>
        <w:rPr>
          <w:rFonts w:hint="eastAsia" w:ascii="宋体" w:hAnsi="宋体" w:cs="宋体"/>
          <w:color w:val="auto"/>
          <w:szCs w:val="21"/>
          <w:highlight w:val="none"/>
        </w:rPr>
        <w:t>地址：常山县天马街道定阳北路415号</w:t>
      </w:r>
    </w:p>
    <w:p w14:paraId="3DA3E1C0">
      <w:pPr>
        <w:keepNext w:val="0"/>
        <w:keepLines w:val="0"/>
        <w:pageBreakBefore w:val="0"/>
        <w:kinsoku/>
        <w:overflowPunct/>
        <w:topLinePunct w:val="0"/>
        <w:autoSpaceDE/>
        <w:autoSpaceDN/>
        <w:bidi w:val="0"/>
        <w:adjustRightInd/>
        <w:snapToGrid/>
        <w:spacing w:line="440" w:lineRule="exact"/>
        <w:ind w:firstLine="420" w:firstLineChars="200"/>
        <w:textAlignment w:val="baseline"/>
        <w:rPr>
          <w:rFonts w:hint="eastAsia" w:ascii="宋体" w:hAnsi="宋体" w:cs="宋体"/>
          <w:color w:val="auto"/>
          <w:szCs w:val="21"/>
          <w:highlight w:val="none"/>
        </w:rPr>
      </w:pPr>
      <w:r>
        <w:rPr>
          <w:rFonts w:hint="eastAsia" w:ascii="宋体" w:hAnsi="宋体" w:cs="宋体"/>
          <w:color w:val="auto"/>
          <w:szCs w:val="21"/>
          <w:highlight w:val="none"/>
        </w:rPr>
        <w:t>联系人：李</w:t>
      </w:r>
      <w:r>
        <w:rPr>
          <w:rFonts w:hint="eastAsia" w:ascii="宋体" w:hAnsi="宋体" w:cs="宋体"/>
          <w:color w:val="auto"/>
          <w:szCs w:val="21"/>
          <w:highlight w:val="none"/>
          <w:lang w:val="en-US" w:eastAsia="zh-CN"/>
        </w:rPr>
        <w:t xml:space="preserve">科长   </w:t>
      </w:r>
      <w:r>
        <w:rPr>
          <w:rFonts w:hint="eastAsia" w:ascii="宋体" w:hAnsi="宋体" w:cs="宋体"/>
          <w:color w:val="auto"/>
          <w:szCs w:val="21"/>
          <w:highlight w:val="none"/>
        </w:rPr>
        <w:t>监督投诉电话：0570-5015373</w:t>
      </w:r>
      <w:bookmarkStart w:id="29" w:name="_Toc8258"/>
      <w:bookmarkStart w:id="30" w:name="_Toc421834140"/>
    </w:p>
    <w:p w14:paraId="4A337564">
      <w:pPr>
        <w:rPr>
          <w:rFonts w:hint="eastAsia" w:ascii="宋体" w:hAnsi="宋体" w:cs="宋体"/>
          <w:color w:val="auto"/>
          <w:sz w:val="21"/>
          <w:szCs w:val="21"/>
          <w:highlight w:val="none"/>
        </w:rPr>
      </w:pPr>
      <w:r>
        <w:rPr>
          <w:rFonts w:hint="eastAsia" w:ascii="宋体" w:hAnsi="宋体" w:cs="宋体"/>
          <w:color w:val="auto"/>
          <w:sz w:val="21"/>
          <w:szCs w:val="21"/>
          <w:highlight w:val="none"/>
        </w:rPr>
        <w:br w:type="page"/>
      </w:r>
    </w:p>
    <w:p w14:paraId="2134CE9E">
      <w:pPr>
        <w:spacing w:after="156" w:line="360" w:lineRule="auto"/>
        <w:jc w:val="center"/>
        <w:textAlignment w:val="baseline"/>
        <w:outlineLvl w:val="0"/>
        <w:rPr>
          <w:rFonts w:ascii="宋体" w:hAnsi="宋体" w:cs="宋体"/>
          <w:b/>
          <w:bCs/>
          <w:color w:val="auto"/>
          <w:sz w:val="30"/>
          <w:szCs w:val="30"/>
          <w:highlight w:val="none"/>
        </w:rPr>
      </w:pPr>
      <w:bookmarkStart w:id="31" w:name="_Toc16791"/>
      <w:r>
        <w:rPr>
          <w:rFonts w:hint="eastAsia" w:ascii="宋体" w:hAnsi="宋体" w:cs="宋体"/>
          <w:b/>
          <w:bCs/>
          <w:color w:val="auto"/>
          <w:sz w:val="30"/>
          <w:szCs w:val="30"/>
          <w:highlight w:val="none"/>
        </w:rPr>
        <w:t>第二章  磋商供应商须知</w:t>
      </w:r>
      <w:bookmarkEnd w:id="29"/>
      <w:bookmarkEnd w:id="30"/>
      <w:bookmarkEnd w:id="31"/>
    </w:p>
    <w:p w14:paraId="10DEF3E3">
      <w:pPr>
        <w:spacing w:before="156" w:after="312" w:afterAutospacing="1" w:line="360" w:lineRule="auto"/>
        <w:jc w:val="center"/>
        <w:textAlignment w:val="baseline"/>
        <w:rPr>
          <w:rFonts w:ascii="宋体" w:hAnsi="宋体" w:cs="宋体"/>
          <w:color w:val="auto"/>
          <w:sz w:val="24"/>
          <w:szCs w:val="24"/>
          <w:highlight w:val="none"/>
        </w:rPr>
      </w:pPr>
      <w:bookmarkStart w:id="32" w:name="_Toc421834141"/>
      <w:bookmarkStart w:id="33" w:name="_Toc469273548"/>
      <w:bookmarkStart w:id="34" w:name="_Toc8417"/>
      <w:bookmarkStart w:id="35" w:name="_Toc469694892"/>
      <w:r>
        <w:rPr>
          <w:rFonts w:hint="eastAsia" w:ascii="宋体" w:hAnsi="宋体" w:cs="宋体"/>
          <w:color w:val="auto"/>
          <w:sz w:val="24"/>
          <w:szCs w:val="24"/>
          <w:highlight w:val="none"/>
        </w:rPr>
        <w:t>磋商供应商须知前附表</w:t>
      </w:r>
      <w:bookmarkEnd w:id="32"/>
      <w:bookmarkEnd w:id="33"/>
      <w:bookmarkEnd w:id="34"/>
      <w:bookmarkEnd w:id="35"/>
    </w:p>
    <w:tbl>
      <w:tblPr>
        <w:tblStyle w:val="32"/>
        <w:tblW w:w="104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9"/>
        <w:gridCol w:w="2708"/>
        <w:gridCol w:w="7092"/>
      </w:tblGrid>
      <w:tr w14:paraId="72E092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jc w:val="center"/>
        </w:trPr>
        <w:tc>
          <w:tcPr>
            <w:tcW w:w="699" w:type="dxa"/>
            <w:vAlign w:val="center"/>
          </w:tcPr>
          <w:p w14:paraId="6B018680">
            <w:pPr>
              <w:spacing w:line="360" w:lineRule="exact"/>
              <w:jc w:val="center"/>
              <w:textAlignment w:val="baseline"/>
              <w:rPr>
                <w:rFonts w:ascii="宋体" w:hAnsi="宋体" w:cs="宋体"/>
                <w:color w:val="auto"/>
                <w:sz w:val="20"/>
                <w:szCs w:val="21"/>
                <w:highlight w:val="none"/>
              </w:rPr>
            </w:pPr>
            <w:r>
              <w:rPr>
                <w:rFonts w:hint="eastAsia" w:ascii="宋体" w:hAnsi="宋体" w:cs="宋体"/>
                <w:color w:val="auto"/>
                <w:szCs w:val="21"/>
                <w:highlight w:val="none"/>
              </w:rPr>
              <w:t>序号</w:t>
            </w:r>
          </w:p>
        </w:tc>
        <w:tc>
          <w:tcPr>
            <w:tcW w:w="2708" w:type="dxa"/>
            <w:vAlign w:val="center"/>
          </w:tcPr>
          <w:p w14:paraId="32C8696B">
            <w:pPr>
              <w:spacing w:line="360" w:lineRule="exact"/>
              <w:jc w:val="center"/>
              <w:textAlignment w:val="baseline"/>
              <w:rPr>
                <w:rFonts w:ascii="宋体" w:hAnsi="宋体" w:cs="宋体"/>
                <w:color w:val="auto"/>
                <w:sz w:val="20"/>
                <w:szCs w:val="21"/>
                <w:highlight w:val="none"/>
              </w:rPr>
            </w:pPr>
            <w:r>
              <w:rPr>
                <w:rFonts w:hint="eastAsia" w:ascii="宋体" w:hAnsi="宋体" w:cs="宋体"/>
                <w:color w:val="auto"/>
                <w:szCs w:val="21"/>
                <w:highlight w:val="none"/>
              </w:rPr>
              <w:t>条款名称</w:t>
            </w:r>
          </w:p>
        </w:tc>
        <w:tc>
          <w:tcPr>
            <w:tcW w:w="7092" w:type="dxa"/>
            <w:vAlign w:val="center"/>
          </w:tcPr>
          <w:p w14:paraId="4D0B445F">
            <w:pPr>
              <w:spacing w:line="360" w:lineRule="exact"/>
              <w:jc w:val="center"/>
              <w:textAlignment w:val="baseline"/>
              <w:rPr>
                <w:rFonts w:ascii="宋体" w:hAnsi="宋体" w:cs="宋体"/>
                <w:color w:val="auto"/>
                <w:sz w:val="20"/>
                <w:szCs w:val="21"/>
                <w:highlight w:val="none"/>
              </w:rPr>
            </w:pPr>
            <w:r>
              <w:rPr>
                <w:rFonts w:hint="eastAsia" w:ascii="宋体" w:hAnsi="宋体" w:cs="宋体"/>
                <w:color w:val="auto"/>
                <w:szCs w:val="21"/>
                <w:highlight w:val="none"/>
              </w:rPr>
              <w:t>编列内容</w:t>
            </w:r>
          </w:p>
        </w:tc>
      </w:tr>
      <w:tr w14:paraId="1F2748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699" w:type="dxa"/>
            <w:vAlign w:val="center"/>
          </w:tcPr>
          <w:p w14:paraId="10FA596A">
            <w:pPr>
              <w:numPr>
                <w:ilvl w:val="0"/>
                <w:numId w:val="6"/>
              </w:numPr>
              <w:spacing w:line="360" w:lineRule="exact"/>
              <w:jc w:val="center"/>
              <w:textAlignment w:val="baseline"/>
              <w:rPr>
                <w:rFonts w:ascii="宋体" w:hAnsi="宋体" w:cs="宋体"/>
                <w:color w:val="auto"/>
                <w:sz w:val="20"/>
                <w:szCs w:val="21"/>
                <w:highlight w:val="none"/>
              </w:rPr>
            </w:pPr>
          </w:p>
        </w:tc>
        <w:tc>
          <w:tcPr>
            <w:tcW w:w="2708" w:type="dxa"/>
            <w:vAlign w:val="center"/>
          </w:tcPr>
          <w:p w14:paraId="5E1F9E33">
            <w:pPr>
              <w:spacing w:line="360" w:lineRule="exact"/>
              <w:textAlignment w:val="baseline"/>
              <w:rPr>
                <w:rFonts w:ascii="宋体" w:hAnsi="宋体" w:cs="宋体"/>
                <w:color w:val="auto"/>
                <w:sz w:val="20"/>
                <w:szCs w:val="21"/>
                <w:highlight w:val="none"/>
              </w:rPr>
            </w:pPr>
            <w:r>
              <w:rPr>
                <w:rFonts w:hint="eastAsia" w:ascii="宋体" w:hAnsi="宋体" w:cs="宋体"/>
                <w:color w:val="auto"/>
                <w:szCs w:val="21"/>
                <w:highlight w:val="none"/>
              </w:rPr>
              <w:t>采购人</w:t>
            </w:r>
          </w:p>
        </w:tc>
        <w:tc>
          <w:tcPr>
            <w:tcW w:w="7092" w:type="dxa"/>
            <w:vAlign w:val="center"/>
          </w:tcPr>
          <w:p w14:paraId="5ECCD72F">
            <w:pPr>
              <w:widowControl w:val="0"/>
              <w:spacing w:line="360" w:lineRule="exact"/>
              <w:jc w:val="both"/>
              <w:textAlignment w:val="baseline"/>
              <w:rPr>
                <w:rFonts w:ascii="宋体" w:hAnsi="宋体" w:cs="宋体"/>
                <w:color w:val="auto"/>
                <w:sz w:val="20"/>
                <w:szCs w:val="21"/>
                <w:highlight w:val="none"/>
              </w:rPr>
            </w:pPr>
            <w:r>
              <w:rPr>
                <w:rFonts w:hint="eastAsia" w:ascii="宋体" w:hAnsi="宋体" w:cs="宋体"/>
                <w:bCs/>
                <w:color w:val="auto"/>
                <w:szCs w:val="21"/>
                <w:highlight w:val="none"/>
                <w:lang w:eastAsia="zh-CN"/>
              </w:rPr>
              <w:t>常山县公安局交通警察大队</w:t>
            </w:r>
            <w:r>
              <w:rPr>
                <w:rFonts w:hint="eastAsia" w:ascii="宋体" w:hAnsi="宋体" w:cs="宋体"/>
                <w:bCs/>
                <w:color w:val="auto"/>
                <w:szCs w:val="21"/>
                <w:highlight w:val="none"/>
              </w:rPr>
              <w:t>　　</w:t>
            </w:r>
          </w:p>
        </w:tc>
      </w:tr>
      <w:tr w14:paraId="4032F2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699" w:type="dxa"/>
            <w:vAlign w:val="center"/>
          </w:tcPr>
          <w:p w14:paraId="094F1833">
            <w:pPr>
              <w:numPr>
                <w:ilvl w:val="0"/>
                <w:numId w:val="6"/>
              </w:numPr>
              <w:spacing w:line="360" w:lineRule="exact"/>
              <w:jc w:val="center"/>
              <w:textAlignment w:val="baseline"/>
              <w:rPr>
                <w:rFonts w:ascii="宋体" w:hAnsi="宋体" w:cs="宋体"/>
                <w:color w:val="auto"/>
                <w:sz w:val="20"/>
                <w:szCs w:val="21"/>
                <w:highlight w:val="none"/>
              </w:rPr>
            </w:pPr>
          </w:p>
        </w:tc>
        <w:tc>
          <w:tcPr>
            <w:tcW w:w="2708" w:type="dxa"/>
            <w:vAlign w:val="center"/>
          </w:tcPr>
          <w:p w14:paraId="0BB22E97">
            <w:pPr>
              <w:spacing w:line="360" w:lineRule="exact"/>
              <w:textAlignment w:val="baseline"/>
              <w:rPr>
                <w:rFonts w:ascii="宋体" w:hAnsi="宋体" w:cs="宋体"/>
                <w:color w:val="auto"/>
                <w:sz w:val="20"/>
                <w:szCs w:val="21"/>
                <w:highlight w:val="none"/>
              </w:rPr>
            </w:pPr>
            <w:r>
              <w:rPr>
                <w:rFonts w:hint="eastAsia" w:ascii="宋体" w:hAnsi="宋体" w:cs="宋体"/>
                <w:color w:val="auto"/>
                <w:szCs w:val="21"/>
                <w:highlight w:val="none"/>
              </w:rPr>
              <w:t>项目名称</w:t>
            </w:r>
          </w:p>
        </w:tc>
        <w:tc>
          <w:tcPr>
            <w:tcW w:w="7092" w:type="dxa"/>
            <w:vAlign w:val="center"/>
          </w:tcPr>
          <w:p w14:paraId="12EF8562">
            <w:pPr>
              <w:spacing w:line="360" w:lineRule="exact"/>
              <w:textAlignment w:val="baseline"/>
              <w:rPr>
                <w:rFonts w:hint="eastAsia" w:ascii="宋体" w:hAnsi="宋体" w:eastAsia="宋体" w:cs="宋体"/>
                <w:bCs/>
                <w:color w:val="auto"/>
                <w:sz w:val="20"/>
                <w:szCs w:val="21"/>
                <w:highlight w:val="none"/>
                <w:lang w:eastAsia="zh-CN"/>
              </w:rPr>
            </w:pPr>
            <w:r>
              <w:rPr>
                <w:rFonts w:hint="eastAsia" w:ascii="宋体" w:hAnsi="宋体" w:cs="宋体"/>
                <w:color w:val="auto"/>
                <w:szCs w:val="21"/>
                <w:highlight w:val="none"/>
                <w:lang w:eastAsia="zh-CN"/>
              </w:rPr>
              <w:t>2025年交通事故痕迹鉴定及车辆鉴定技术服务项目</w:t>
            </w:r>
          </w:p>
        </w:tc>
      </w:tr>
      <w:tr w14:paraId="0824C5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699" w:type="dxa"/>
            <w:vAlign w:val="center"/>
          </w:tcPr>
          <w:p w14:paraId="0C3DEC6B">
            <w:pPr>
              <w:numPr>
                <w:ilvl w:val="0"/>
                <w:numId w:val="6"/>
              </w:numPr>
              <w:spacing w:line="360" w:lineRule="exact"/>
              <w:jc w:val="center"/>
              <w:textAlignment w:val="baseline"/>
              <w:rPr>
                <w:rFonts w:ascii="宋体" w:hAnsi="宋体" w:cs="宋体"/>
                <w:color w:val="auto"/>
                <w:sz w:val="20"/>
                <w:szCs w:val="21"/>
                <w:highlight w:val="none"/>
              </w:rPr>
            </w:pPr>
          </w:p>
        </w:tc>
        <w:tc>
          <w:tcPr>
            <w:tcW w:w="2708" w:type="dxa"/>
            <w:vAlign w:val="center"/>
          </w:tcPr>
          <w:p w14:paraId="0D05FB07">
            <w:pPr>
              <w:spacing w:line="360" w:lineRule="exact"/>
              <w:textAlignment w:val="baseline"/>
              <w:rPr>
                <w:rFonts w:ascii="宋体" w:hAnsi="宋体" w:cs="宋体"/>
                <w:color w:val="auto"/>
                <w:sz w:val="20"/>
                <w:szCs w:val="21"/>
                <w:highlight w:val="none"/>
              </w:rPr>
            </w:pPr>
            <w:r>
              <w:rPr>
                <w:rFonts w:hint="eastAsia" w:ascii="宋体" w:hAnsi="宋体" w:cs="宋体"/>
                <w:color w:val="auto"/>
                <w:szCs w:val="21"/>
                <w:highlight w:val="none"/>
              </w:rPr>
              <w:t>投标有效期</w:t>
            </w:r>
          </w:p>
        </w:tc>
        <w:tc>
          <w:tcPr>
            <w:tcW w:w="7092" w:type="dxa"/>
            <w:vAlign w:val="center"/>
          </w:tcPr>
          <w:p w14:paraId="0C40ACC2">
            <w:pPr>
              <w:spacing w:line="360" w:lineRule="exact"/>
              <w:textAlignment w:val="baseline"/>
              <w:rPr>
                <w:rFonts w:ascii="宋体" w:hAnsi="宋体" w:cs="宋体"/>
                <w:color w:val="auto"/>
                <w:sz w:val="20"/>
                <w:szCs w:val="21"/>
                <w:highlight w:val="none"/>
              </w:rPr>
            </w:pPr>
            <w:r>
              <w:rPr>
                <w:rFonts w:hint="eastAsia" w:ascii="宋体" w:hAnsi="宋体" w:cs="宋体"/>
                <w:color w:val="auto"/>
                <w:szCs w:val="21"/>
                <w:highlight w:val="none"/>
              </w:rPr>
              <w:t>90日历天（从投标截止之日起算）</w:t>
            </w:r>
          </w:p>
        </w:tc>
      </w:tr>
      <w:tr w14:paraId="5ED9A3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699" w:type="dxa"/>
            <w:vAlign w:val="center"/>
          </w:tcPr>
          <w:p w14:paraId="522E6C14">
            <w:pPr>
              <w:numPr>
                <w:ilvl w:val="0"/>
                <w:numId w:val="6"/>
              </w:numPr>
              <w:spacing w:line="360" w:lineRule="exact"/>
              <w:jc w:val="center"/>
              <w:textAlignment w:val="baseline"/>
              <w:rPr>
                <w:rFonts w:ascii="宋体" w:hAnsi="宋体" w:cs="宋体"/>
                <w:color w:val="auto"/>
                <w:sz w:val="20"/>
                <w:szCs w:val="21"/>
                <w:highlight w:val="none"/>
              </w:rPr>
            </w:pPr>
          </w:p>
        </w:tc>
        <w:tc>
          <w:tcPr>
            <w:tcW w:w="2708" w:type="dxa"/>
            <w:vAlign w:val="center"/>
          </w:tcPr>
          <w:p w14:paraId="163D48A3">
            <w:pPr>
              <w:spacing w:line="360" w:lineRule="exact"/>
              <w:textAlignment w:val="baseline"/>
              <w:rPr>
                <w:rFonts w:ascii="宋体" w:hAnsi="宋体" w:cs="宋体"/>
                <w:color w:val="auto"/>
                <w:sz w:val="20"/>
                <w:szCs w:val="21"/>
                <w:highlight w:val="none"/>
              </w:rPr>
            </w:pPr>
            <w:r>
              <w:rPr>
                <w:rFonts w:hint="eastAsia" w:ascii="宋体" w:hAnsi="宋体" w:cs="宋体"/>
                <w:color w:val="auto"/>
                <w:szCs w:val="21"/>
                <w:highlight w:val="none"/>
              </w:rPr>
              <w:t>供应商要求澄清磋商文件的截止时间及方式</w:t>
            </w:r>
          </w:p>
        </w:tc>
        <w:tc>
          <w:tcPr>
            <w:tcW w:w="7092" w:type="dxa"/>
            <w:vAlign w:val="center"/>
          </w:tcPr>
          <w:p w14:paraId="5D0CD8CF">
            <w:pPr>
              <w:spacing w:line="360" w:lineRule="exact"/>
              <w:textAlignment w:val="baseline"/>
              <w:rPr>
                <w:rFonts w:ascii="宋体" w:hAnsi="宋体" w:cs="宋体"/>
                <w:color w:val="auto"/>
                <w:sz w:val="20"/>
                <w:szCs w:val="21"/>
                <w:highlight w:val="none"/>
              </w:rPr>
            </w:pPr>
            <w:r>
              <w:rPr>
                <w:rFonts w:hint="eastAsia" w:ascii="宋体" w:hAnsi="宋体" w:cs="宋体"/>
                <w:color w:val="auto"/>
                <w:szCs w:val="21"/>
                <w:highlight w:val="none"/>
              </w:rPr>
              <w:t>在提交首次响应文件截止时间五日前，供应商将要求澄清的问题以书面形式加盖公章后</w:t>
            </w:r>
            <w:r>
              <w:rPr>
                <w:rFonts w:hint="eastAsia" w:ascii="宋体" w:hAnsi="宋体" w:cs="宋体"/>
                <w:color w:val="auto"/>
                <w:highlight w:val="none"/>
              </w:rPr>
              <w:t>，信函、传真或者直接送达方式至代理机构，</w:t>
            </w:r>
            <w:r>
              <w:rPr>
                <w:rFonts w:hint="eastAsia" w:ascii="宋体" w:hAnsi="宋体" w:cs="宋体"/>
                <w:color w:val="auto"/>
                <w:szCs w:val="21"/>
                <w:highlight w:val="none"/>
              </w:rPr>
              <w:t>其他形式无效。</w:t>
            </w:r>
          </w:p>
        </w:tc>
      </w:tr>
      <w:tr w14:paraId="0C3C42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699" w:type="dxa"/>
            <w:vAlign w:val="center"/>
          </w:tcPr>
          <w:p w14:paraId="21858E26">
            <w:pPr>
              <w:numPr>
                <w:ilvl w:val="0"/>
                <w:numId w:val="6"/>
              </w:numPr>
              <w:spacing w:line="360" w:lineRule="exact"/>
              <w:jc w:val="center"/>
              <w:textAlignment w:val="baseline"/>
              <w:rPr>
                <w:rFonts w:ascii="宋体" w:hAnsi="宋体" w:cs="宋体"/>
                <w:color w:val="auto"/>
                <w:sz w:val="20"/>
                <w:szCs w:val="21"/>
                <w:highlight w:val="none"/>
              </w:rPr>
            </w:pPr>
          </w:p>
        </w:tc>
        <w:tc>
          <w:tcPr>
            <w:tcW w:w="2708" w:type="dxa"/>
            <w:vAlign w:val="center"/>
          </w:tcPr>
          <w:p w14:paraId="0B5AF2FF">
            <w:pPr>
              <w:spacing w:line="360" w:lineRule="exact"/>
              <w:textAlignment w:val="baseline"/>
              <w:rPr>
                <w:rFonts w:ascii="宋体" w:hAnsi="宋体" w:cs="宋体"/>
                <w:color w:val="auto"/>
                <w:sz w:val="20"/>
                <w:szCs w:val="21"/>
                <w:highlight w:val="none"/>
              </w:rPr>
            </w:pPr>
            <w:r>
              <w:rPr>
                <w:rFonts w:hint="eastAsia" w:ascii="宋体" w:hAnsi="宋体" w:cs="宋体"/>
                <w:color w:val="auto"/>
                <w:szCs w:val="21"/>
                <w:highlight w:val="none"/>
              </w:rPr>
              <w:t>采购人书面澄清、修改的时间</w:t>
            </w:r>
          </w:p>
        </w:tc>
        <w:tc>
          <w:tcPr>
            <w:tcW w:w="7092" w:type="dxa"/>
            <w:vAlign w:val="center"/>
          </w:tcPr>
          <w:p w14:paraId="3F37AC8B">
            <w:pPr>
              <w:spacing w:line="360" w:lineRule="exact"/>
              <w:textAlignment w:val="baseline"/>
              <w:rPr>
                <w:rFonts w:ascii="宋体" w:hAnsi="宋体" w:cs="宋体"/>
                <w:color w:val="auto"/>
                <w:sz w:val="20"/>
                <w:szCs w:val="21"/>
                <w:highlight w:val="none"/>
              </w:rPr>
            </w:pPr>
            <w:r>
              <w:rPr>
                <w:rFonts w:hint="eastAsia" w:ascii="宋体" w:hAnsi="宋体" w:cs="宋体"/>
                <w:color w:val="auto"/>
                <w:szCs w:val="21"/>
                <w:highlight w:val="none"/>
              </w:rPr>
              <w:t>提交首次响应文件截止时间5日前。</w:t>
            </w:r>
          </w:p>
        </w:tc>
      </w:tr>
      <w:tr w14:paraId="148B7A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699" w:type="dxa"/>
            <w:vAlign w:val="center"/>
          </w:tcPr>
          <w:p w14:paraId="34065E6E">
            <w:pPr>
              <w:numPr>
                <w:ilvl w:val="0"/>
                <w:numId w:val="6"/>
              </w:numPr>
              <w:spacing w:line="360" w:lineRule="exact"/>
              <w:jc w:val="center"/>
              <w:textAlignment w:val="baseline"/>
              <w:rPr>
                <w:rFonts w:ascii="宋体" w:hAnsi="宋体" w:cs="宋体"/>
                <w:color w:val="auto"/>
                <w:sz w:val="20"/>
                <w:szCs w:val="21"/>
                <w:highlight w:val="none"/>
              </w:rPr>
            </w:pPr>
          </w:p>
        </w:tc>
        <w:tc>
          <w:tcPr>
            <w:tcW w:w="2708" w:type="dxa"/>
            <w:vAlign w:val="center"/>
          </w:tcPr>
          <w:p w14:paraId="0500C6D0">
            <w:pPr>
              <w:spacing w:line="360" w:lineRule="exact"/>
              <w:textAlignment w:val="baseline"/>
              <w:rPr>
                <w:rFonts w:ascii="宋体" w:hAnsi="宋体" w:cs="宋体"/>
                <w:color w:val="auto"/>
                <w:sz w:val="20"/>
                <w:szCs w:val="21"/>
                <w:highlight w:val="none"/>
              </w:rPr>
            </w:pPr>
            <w:r>
              <w:rPr>
                <w:rFonts w:hint="eastAsia" w:ascii="宋体" w:hAnsi="宋体" w:cs="宋体"/>
                <w:color w:val="auto"/>
                <w:szCs w:val="21"/>
                <w:highlight w:val="none"/>
              </w:rPr>
              <w:t>供应商确认收到磋商文件澄清、补充、修改的时间</w:t>
            </w:r>
          </w:p>
        </w:tc>
        <w:tc>
          <w:tcPr>
            <w:tcW w:w="7092" w:type="dxa"/>
            <w:vAlign w:val="center"/>
          </w:tcPr>
          <w:p w14:paraId="07319CAB">
            <w:pPr>
              <w:spacing w:line="360" w:lineRule="exact"/>
              <w:textAlignment w:val="baseline"/>
              <w:rPr>
                <w:rFonts w:ascii="宋体" w:hAnsi="宋体" w:cs="宋体"/>
                <w:color w:val="auto"/>
                <w:sz w:val="20"/>
                <w:szCs w:val="21"/>
                <w:highlight w:val="none"/>
              </w:rPr>
            </w:pPr>
            <w:r>
              <w:rPr>
                <w:rFonts w:hint="eastAsia" w:ascii="宋体" w:hAnsi="宋体" w:cs="宋体"/>
                <w:color w:val="auto"/>
                <w:szCs w:val="21"/>
                <w:highlight w:val="none"/>
              </w:rPr>
              <w:t>发出澄清、修改、补充公告后</w:t>
            </w:r>
            <w:r>
              <w:rPr>
                <w:rFonts w:hint="eastAsia" w:ascii="宋体" w:hAnsi="宋体" w:cs="宋体"/>
                <w:color w:val="auto"/>
                <w:szCs w:val="21"/>
                <w:highlight w:val="none"/>
                <w:u w:val="single" w:color="000000"/>
              </w:rPr>
              <w:t xml:space="preserve">  24  </w:t>
            </w:r>
            <w:r>
              <w:rPr>
                <w:rFonts w:hint="eastAsia" w:ascii="宋体" w:hAnsi="宋体" w:cs="宋体"/>
                <w:color w:val="auto"/>
                <w:szCs w:val="21"/>
                <w:highlight w:val="none"/>
              </w:rPr>
              <w:t>小时内。</w:t>
            </w:r>
          </w:p>
        </w:tc>
      </w:tr>
      <w:tr w14:paraId="402D59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699" w:type="dxa"/>
            <w:vAlign w:val="center"/>
          </w:tcPr>
          <w:p w14:paraId="44694518">
            <w:pPr>
              <w:numPr>
                <w:ilvl w:val="0"/>
                <w:numId w:val="6"/>
              </w:numPr>
              <w:spacing w:line="360" w:lineRule="exact"/>
              <w:jc w:val="center"/>
              <w:textAlignment w:val="baseline"/>
              <w:rPr>
                <w:rFonts w:ascii="宋体" w:hAnsi="宋体" w:cs="宋体"/>
                <w:color w:val="auto"/>
                <w:sz w:val="20"/>
                <w:szCs w:val="21"/>
                <w:highlight w:val="none"/>
              </w:rPr>
            </w:pPr>
          </w:p>
        </w:tc>
        <w:tc>
          <w:tcPr>
            <w:tcW w:w="2708" w:type="dxa"/>
            <w:vAlign w:val="center"/>
          </w:tcPr>
          <w:p w14:paraId="25A1C9ED">
            <w:pPr>
              <w:spacing w:line="360" w:lineRule="exact"/>
              <w:textAlignment w:val="baseline"/>
              <w:rPr>
                <w:rFonts w:ascii="宋体" w:hAnsi="宋体" w:cs="宋体"/>
                <w:color w:val="auto"/>
                <w:sz w:val="20"/>
                <w:szCs w:val="21"/>
                <w:highlight w:val="none"/>
              </w:rPr>
            </w:pPr>
            <w:r>
              <w:rPr>
                <w:rFonts w:hint="eastAsia" w:ascii="宋体" w:hAnsi="宋体" w:cs="宋体"/>
                <w:color w:val="auto"/>
                <w:szCs w:val="21"/>
                <w:highlight w:val="none"/>
              </w:rPr>
              <w:t>提交首次响应文件截止时间</w:t>
            </w:r>
          </w:p>
        </w:tc>
        <w:tc>
          <w:tcPr>
            <w:tcW w:w="7092" w:type="dxa"/>
            <w:vAlign w:val="center"/>
          </w:tcPr>
          <w:p w14:paraId="40B2C734">
            <w:pPr>
              <w:spacing w:line="360" w:lineRule="exact"/>
              <w:textAlignment w:val="baseline"/>
              <w:rPr>
                <w:rFonts w:hint="eastAsia" w:ascii="宋体" w:hAnsi="宋体" w:eastAsia="宋体" w:cs="宋体"/>
                <w:color w:val="auto"/>
                <w:sz w:val="20"/>
                <w:highlight w:val="none"/>
                <w:lang w:eastAsia="zh-CN"/>
              </w:rPr>
            </w:pPr>
            <w:r>
              <w:rPr>
                <w:rFonts w:hint="eastAsia" w:ascii="宋体" w:hAnsi="宋体" w:cs="宋体"/>
                <w:b/>
                <w:bCs/>
                <w:color w:val="auto"/>
                <w:szCs w:val="21"/>
                <w:highlight w:val="none"/>
                <w:lang w:eastAsia="zh-CN"/>
              </w:rPr>
              <w:t>详见磋商公告</w:t>
            </w:r>
          </w:p>
        </w:tc>
      </w:tr>
      <w:tr w14:paraId="7BA7A5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699" w:type="dxa"/>
            <w:vAlign w:val="center"/>
          </w:tcPr>
          <w:p w14:paraId="48504EBA">
            <w:pPr>
              <w:numPr>
                <w:ilvl w:val="0"/>
                <w:numId w:val="6"/>
              </w:numPr>
              <w:spacing w:line="360" w:lineRule="exact"/>
              <w:jc w:val="center"/>
              <w:textAlignment w:val="baseline"/>
              <w:rPr>
                <w:rFonts w:ascii="宋体" w:hAnsi="宋体" w:cs="宋体"/>
                <w:color w:val="auto"/>
                <w:sz w:val="20"/>
                <w:szCs w:val="21"/>
                <w:highlight w:val="none"/>
              </w:rPr>
            </w:pPr>
          </w:p>
        </w:tc>
        <w:tc>
          <w:tcPr>
            <w:tcW w:w="2708" w:type="dxa"/>
            <w:vAlign w:val="center"/>
          </w:tcPr>
          <w:p w14:paraId="6222D43B">
            <w:pPr>
              <w:spacing w:line="360" w:lineRule="exact"/>
              <w:textAlignment w:val="baseline"/>
              <w:rPr>
                <w:rFonts w:ascii="宋体" w:hAnsi="宋体" w:cs="宋体"/>
                <w:color w:val="auto"/>
                <w:sz w:val="20"/>
                <w:szCs w:val="21"/>
                <w:highlight w:val="none"/>
              </w:rPr>
            </w:pPr>
            <w:r>
              <w:rPr>
                <w:rFonts w:hint="eastAsia" w:ascii="宋体" w:hAnsi="宋体" w:cs="宋体"/>
                <w:color w:val="auto"/>
                <w:szCs w:val="21"/>
                <w:highlight w:val="none"/>
              </w:rPr>
              <w:t>报价的次数</w:t>
            </w:r>
          </w:p>
        </w:tc>
        <w:tc>
          <w:tcPr>
            <w:tcW w:w="7092" w:type="dxa"/>
            <w:vAlign w:val="center"/>
          </w:tcPr>
          <w:p w14:paraId="1BF7EF44">
            <w:pPr>
              <w:spacing w:line="360" w:lineRule="exact"/>
              <w:textAlignment w:val="baseline"/>
              <w:rPr>
                <w:rFonts w:ascii="宋体" w:hAnsi="宋体" w:cs="宋体"/>
                <w:color w:val="auto"/>
                <w:sz w:val="20"/>
                <w:szCs w:val="21"/>
                <w:highlight w:val="none"/>
              </w:rPr>
            </w:pPr>
            <w:r>
              <w:rPr>
                <w:rFonts w:hint="eastAsia" w:ascii="宋体" w:hAnsi="宋体" w:cs="宋体"/>
                <w:color w:val="auto"/>
                <w:szCs w:val="21"/>
                <w:highlight w:val="none"/>
              </w:rPr>
              <w:t>2 次。</w:t>
            </w:r>
          </w:p>
        </w:tc>
      </w:tr>
      <w:tr w14:paraId="171656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699" w:type="dxa"/>
            <w:vAlign w:val="center"/>
          </w:tcPr>
          <w:p w14:paraId="336C8572">
            <w:pPr>
              <w:numPr>
                <w:ilvl w:val="0"/>
                <w:numId w:val="6"/>
              </w:numPr>
              <w:spacing w:line="360" w:lineRule="exact"/>
              <w:jc w:val="center"/>
              <w:textAlignment w:val="baseline"/>
              <w:rPr>
                <w:rFonts w:ascii="宋体" w:hAnsi="宋体" w:cs="宋体"/>
                <w:color w:val="auto"/>
                <w:sz w:val="20"/>
                <w:szCs w:val="21"/>
                <w:highlight w:val="none"/>
              </w:rPr>
            </w:pPr>
          </w:p>
        </w:tc>
        <w:tc>
          <w:tcPr>
            <w:tcW w:w="2708" w:type="dxa"/>
            <w:vAlign w:val="center"/>
          </w:tcPr>
          <w:p w14:paraId="6A6315BB">
            <w:pPr>
              <w:spacing w:line="360" w:lineRule="exact"/>
              <w:textAlignment w:val="baseline"/>
              <w:rPr>
                <w:rFonts w:ascii="宋体" w:hAnsi="宋体" w:cs="宋体"/>
                <w:color w:val="auto"/>
                <w:sz w:val="20"/>
                <w:szCs w:val="21"/>
                <w:highlight w:val="none"/>
              </w:rPr>
            </w:pPr>
            <w:r>
              <w:rPr>
                <w:rFonts w:hint="eastAsia" w:ascii="宋体" w:hAnsi="宋体" w:cs="宋体"/>
                <w:color w:val="auto"/>
                <w:szCs w:val="21"/>
                <w:highlight w:val="none"/>
              </w:rPr>
              <w:t>磋商保证金</w:t>
            </w:r>
          </w:p>
        </w:tc>
        <w:tc>
          <w:tcPr>
            <w:tcW w:w="7092" w:type="dxa"/>
            <w:vAlign w:val="center"/>
          </w:tcPr>
          <w:p w14:paraId="12FB0FB9">
            <w:pPr>
              <w:spacing w:line="360" w:lineRule="exact"/>
              <w:textAlignment w:val="baseline"/>
              <w:rPr>
                <w:rFonts w:ascii="宋体" w:hAnsi="宋体" w:cs="宋体"/>
                <w:color w:val="auto"/>
                <w:sz w:val="20"/>
                <w:szCs w:val="21"/>
                <w:highlight w:val="none"/>
                <w:lang w:val="zh-CN"/>
              </w:rPr>
            </w:pPr>
            <w:r>
              <w:rPr>
                <w:rFonts w:hint="eastAsia" w:ascii="宋体" w:hAnsi="宋体" w:cs="宋体"/>
                <w:color w:val="auto"/>
                <w:szCs w:val="21"/>
                <w:highlight w:val="none"/>
                <w:lang w:val="zh-CN"/>
              </w:rPr>
              <w:t>详见磋商公告。</w:t>
            </w:r>
          </w:p>
        </w:tc>
      </w:tr>
      <w:tr w14:paraId="12CC8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699" w:type="dxa"/>
            <w:vAlign w:val="center"/>
          </w:tcPr>
          <w:p w14:paraId="58F60C81">
            <w:pPr>
              <w:numPr>
                <w:ilvl w:val="0"/>
                <w:numId w:val="6"/>
              </w:numPr>
              <w:spacing w:line="360" w:lineRule="exact"/>
              <w:jc w:val="center"/>
              <w:textAlignment w:val="baseline"/>
              <w:rPr>
                <w:rFonts w:ascii="宋体" w:hAnsi="宋体" w:cs="宋体"/>
                <w:color w:val="auto"/>
                <w:sz w:val="20"/>
                <w:szCs w:val="21"/>
                <w:highlight w:val="none"/>
              </w:rPr>
            </w:pPr>
          </w:p>
        </w:tc>
        <w:tc>
          <w:tcPr>
            <w:tcW w:w="2708" w:type="dxa"/>
            <w:vAlign w:val="center"/>
          </w:tcPr>
          <w:p w14:paraId="627A5C88">
            <w:pPr>
              <w:spacing w:line="360" w:lineRule="exact"/>
              <w:textAlignment w:val="baseline"/>
              <w:rPr>
                <w:rFonts w:ascii="宋体" w:hAnsi="宋体" w:cs="宋体"/>
                <w:color w:val="auto"/>
                <w:sz w:val="20"/>
                <w:szCs w:val="21"/>
                <w:highlight w:val="none"/>
              </w:rPr>
            </w:pPr>
            <w:r>
              <w:rPr>
                <w:rFonts w:hint="eastAsia" w:ascii="宋体" w:hAnsi="宋体" w:cs="宋体"/>
                <w:color w:val="auto"/>
                <w:szCs w:val="21"/>
                <w:highlight w:val="none"/>
              </w:rPr>
              <w:t>是否允许提交备选响应方案</w:t>
            </w:r>
          </w:p>
        </w:tc>
        <w:tc>
          <w:tcPr>
            <w:tcW w:w="7092" w:type="dxa"/>
            <w:vAlign w:val="center"/>
          </w:tcPr>
          <w:p w14:paraId="16A95413">
            <w:pPr>
              <w:spacing w:line="360" w:lineRule="exact"/>
              <w:textAlignment w:val="baseline"/>
              <w:rPr>
                <w:rFonts w:ascii="宋体" w:hAnsi="宋体" w:cs="宋体"/>
                <w:color w:val="auto"/>
                <w:sz w:val="20"/>
                <w:szCs w:val="21"/>
                <w:highlight w:val="none"/>
              </w:rPr>
            </w:pPr>
            <w:r>
              <w:rPr>
                <w:rFonts w:hint="eastAsia" w:ascii="宋体" w:hAnsi="宋体" w:cs="宋体"/>
                <w:color w:val="auto"/>
                <w:szCs w:val="21"/>
                <w:highlight w:val="none"/>
              </w:rPr>
              <w:t>不允许。</w:t>
            </w:r>
          </w:p>
        </w:tc>
      </w:tr>
      <w:tr w14:paraId="715B74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6" w:hRule="atLeast"/>
          <w:jc w:val="center"/>
        </w:trPr>
        <w:tc>
          <w:tcPr>
            <w:tcW w:w="699" w:type="dxa"/>
            <w:vAlign w:val="center"/>
          </w:tcPr>
          <w:p w14:paraId="6B58AB4B">
            <w:pPr>
              <w:numPr>
                <w:ilvl w:val="0"/>
                <w:numId w:val="6"/>
              </w:numPr>
              <w:spacing w:line="360" w:lineRule="exact"/>
              <w:jc w:val="center"/>
              <w:textAlignment w:val="baseline"/>
              <w:rPr>
                <w:rFonts w:ascii="宋体" w:hAnsi="宋体" w:cs="宋体"/>
                <w:color w:val="auto"/>
                <w:sz w:val="20"/>
                <w:szCs w:val="21"/>
                <w:highlight w:val="none"/>
              </w:rPr>
            </w:pPr>
          </w:p>
        </w:tc>
        <w:tc>
          <w:tcPr>
            <w:tcW w:w="2708" w:type="dxa"/>
            <w:vAlign w:val="center"/>
          </w:tcPr>
          <w:p w14:paraId="15787A98">
            <w:pPr>
              <w:spacing w:line="360" w:lineRule="exact"/>
              <w:textAlignment w:val="baseline"/>
              <w:rPr>
                <w:rFonts w:ascii="宋体" w:hAnsi="宋体" w:cs="宋体"/>
                <w:color w:val="auto"/>
                <w:sz w:val="20"/>
                <w:szCs w:val="21"/>
                <w:highlight w:val="none"/>
              </w:rPr>
            </w:pPr>
            <w:r>
              <w:rPr>
                <w:rFonts w:hint="eastAsia" w:ascii="宋体" w:hAnsi="宋体" w:cs="宋体"/>
                <w:bCs/>
                <w:color w:val="auto"/>
                <w:kern w:val="0"/>
                <w:szCs w:val="21"/>
                <w:highlight w:val="none"/>
                <w:lang w:val="zh-CN"/>
              </w:rPr>
              <w:t>磋商小组的组建</w:t>
            </w:r>
          </w:p>
        </w:tc>
        <w:tc>
          <w:tcPr>
            <w:tcW w:w="7092" w:type="dxa"/>
            <w:vAlign w:val="center"/>
          </w:tcPr>
          <w:p w14:paraId="38090942">
            <w:pPr>
              <w:spacing w:line="360" w:lineRule="exact"/>
              <w:textAlignment w:val="baseline"/>
              <w:rPr>
                <w:rFonts w:ascii="宋体" w:hAnsi="宋体" w:cs="宋体"/>
                <w:bCs/>
                <w:color w:val="auto"/>
                <w:kern w:val="0"/>
                <w:sz w:val="20"/>
                <w:szCs w:val="21"/>
                <w:highlight w:val="none"/>
              </w:rPr>
            </w:pPr>
            <w:r>
              <w:rPr>
                <w:rFonts w:hint="eastAsia" w:ascii="宋体" w:hAnsi="宋体" w:cs="宋体"/>
                <w:bCs/>
                <w:color w:val="auto"/>
                <w:kern w:val="0"/>
                <w:szCs w:val="21"/>
                <w:highlight w:val="none"/>
              </w:rPr>
              <w:t>按规定组建磋商小组。</w:t>
            </w:r>
          </w:p>
          <w:p w14:paraId="354FC98F">
            <w:pPr>
              <w:snapToGrid w:val="0"/>
              <w:spacing w:line="360" w:lineRule="exact"/>
              <w:textAlignment w:val="baseline"/>
              <w:rPr>
                <w:rFonts w:ascii="宋体" w:hAnsi="宋体" w:cs="宋体"/>
                <w:color w:val="auto"/>
                <w:sz w:val="20"/>
                <w:szCs w:val="21"/>
                <w:highlight w:val="none"/>
              </w:rPr>
            </w:pPr>
            <w:r>
              <w:rPr>
                <w:rFonts w:hint="eastAsia" w:ascii="宋体" w:hAnsi="宋体" w:cs="宋体"/>
                <w:bCs/>
                <w:color w:val="auto"/>
                <w:kern w:val="0"/>
                <w:szCs w:val="21"/>
                <w:highlight w:val="none"/>
              </w:rPr>
              <w:t>评标专家确定方式：</w:t>
            </w:r>
            <w:r>
              <w:rPr>
                <w:rFonts w:hint="eastAsia" w:ascii="宋体" w:hAnsi="宋体" w:cs="宋体"/>
                <w:color w:val="auto"/>
                <w:highlight w:val="none"/>
              </w:rPr>
              <w:t>共3人</w:t>
            </w:r>
            <w:r>
              <w:rPr>
                <w:rFonts w:hint="eastAsia" w:ascii="宋体" w:hAnsi="宋体" w:cs="宋体"/>
                <w:color w:val="auto"/>
                <w:highlight w:val="none"/>
                <w:lang w:eastAsia="zh-CN"/>
              </w:rPr>
              <w:t>，</w:t>
            </w:r>
            <w:r>
              <w:rPr>
                <w:rFonts w:hint="eastAsia" w:ascii="宋体" w:hAnsi="宋体" w:cs="宋体"/>
                <w:bCs/>
                <w:color w:val="auto"/>
                <w:kern w:val="0"/>
                <w:szCs w:val="21"/>
                <w:highlight w:val="none"/>
              </w:rPr>
              <w:t>由</w:t>
            </w:r>
            <w:r>
              <w:rPr>
                <w:rFonts w:hint="eastAsia" w:ascii="宋体" w:hAnsi="宋体" w:cs="宋体"/>
                <w:bCs/>
                <w:color w:val="auto"/>
                <w:kern w:val="0"/>
                <w:szCs w:val="21"/>
                <w:highlight w:val="none"/>
                <w:lang w:val="en-US" w:eastAsia="zh-CN"/>
              </w:rPr>
              <w:t>2</w:t>
            </w:r>
            <w:r>
              <w:rPr>
                <w:rFonts w:hint="eastAsia" w:ascii="宋体" w:hAnsi="宋体" w:cs="宋体"/>
                <w:bCs/>
                <w:color w:val="auto"/>
                <w:kern w:val="0"/>
                <w:szCs w:val="21"/>
                <w:highlight w:val="none"/>
              </w:rPr>
              <w:t>名有关经济、技术专家</w:t>
            </w:r>
            <w:r>
              <w:rPr>
                <w:rFonts w:hint="eastAsia" w:ascii="宋体" w:hAnsi="宋体" w:cs="宋体"/>
                <w:bCs/>
                <w:color w:val="auto"/>
                <w:kern w:val="0"/>
                <w:szCs w:val="21"/>
                <w:highlight w:val="none"/>
                <w:lang w:val="en-US" w:eastAsia="zh-CN"/>
              </w:rPr>
              <w:t>和采购人代表1人</w:t>
            </w:r>
            <w:r>
              <w:rPr>
                <w:rFonts w:hint="eastAsia" w:ascii="宋体" w:hAnsi="宋体" w:cs="宋体"/>
                <w:bCs/>
                <w:color w:val="auto"/>
                <w:kern w:val="0"/>
                <w:szCs w:val="21"/>
                <w:highlight w:val="none"/>
              </w:rPr>
              <w:t>组成。</w:t>
            </w:r>
          </w:p>
        </w:tc>
      </w:tr>
      <w:tr w14:paraId="1D8191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3" w:hRule="atLeast"/>
          <w:jc w:val="center"/>
        </w:trPr>
        <w:tc>
          <w:tcPr>
            <w:tcW w:w="699" w:type="dxa"/>
            <w:vAlign w:val="center"/>
          </w:tcPr>
          <w:p w14:paraId="658038D9">
            <w:pPr>
              <w:numPr>
                <w:ilvl w:val="0"/>
                <w:numId w:val="6"/>
              </w:numPr>
              <w:spacing w:line="360" w:lineRule="exact"/>
              <w:jc w:val="center"/>
              <w:textAlignment w:val="baseline"/>
              <w:rPr>
                <w:rFonts w:ascii="宋体" w:hAnsi="宋体" w:cs="宋体"/>
                <w:color w:val="auto"/>
                <w:sz w:val="20"/>
                <w:szCs w:val="21"/>
                <w:highlight w:val="none"/>
              </w:rPr>
            </w:pPr>
          </w:p>
        </w:tc>
        <w:tc>
          <w:tcPr>
            <w:tcW w:w="2708" w:type="dxa"/>
            <w:vAlign w:val="center"/>
          </w:tcPr>
          <w:p w14:paraId="34152B7B">
            <w:pPr>
              <w:spacing w:line="360" w:lineRule="exact"/>
              <w:textAlignment w:val="baseline"/>
              <w:rPr>
                <w:rFonts w:hint="eastAsia" w:ascii="宋体" w:hAnsi="宋体" w:eastAsia="宋体" w:cs="宋体"/>
                <w:color w:val="auto"/>
                <w:sz w:val="20"/>
                <w:szCs w:val="21"/>
                <w:highlight w:val="none"/>
                <w:lang w:eastAsia="zh-CN"/>
              </w:rPr>
            </w:pPr>
            <w:r>
              <w:rPr>
                <w:rFonts w:hint="eastAsia" w:ascii="宋体" w:hAnsi="宋体" w:cs="宋体"/>
                <w:bCs/>
                <w:color w:val="auto"/>
                <w:kern w:val="0"/>
                <w:szCs w:val="21"/>
                <w:highlight w:val="none"/>
              </w:rPr>
              <w:t>响应文件的组成、编制及在线投标响应（电子投标）说明</w:t>
            </w:r>
          </w:p>
        </w:tc>
        <w:tc>
          <w:tcPr>
            <w:tcW w:w="7092" w:type="dxa"/>
            <w:vAlign w:val="center"/>
          </w:tcPr>
          <w:p w14:paraId="7A7E01BF">
            <w:pPr>
              <w:pStyle w:val="30"/>
              <w:spacing w:line="360" w:lineRule="exact"/>
              <w:ind w:left="0" w:leftChars="0" w:firstLine="0" w:firstLineChars="0"/>
              <w:textAlignment w:val="baseline"/>
              <w:rPr>
                <w:rFonts w:ascii="宋体" w:hAnsi="宋体" w:eastAsia="宋体"/>
                <w:color w:val="auto"/>
                <w:highlight w:val="none"/>
              </w:rPr>
            </w:pPr>
            <w:r>
              <w:rPr>
                <w:rFonts w:hint="eastAsia" w:ascii="宋体" w:hAnsi="宋体" w:eastAsia="宋体"/>
                <w:color w:val="auto"/>
                <w:highlight w:val="none"/>
              </w:rPr>
              <w:t>1.响应文件由</w:t>
            </w:r>
            <w:r>
              <w:rPr>
                <w:rFonts w:hint="eastAsia" w:ascii="宋体" w:hAnsi="宋体" w:eastAsia="宋体"/>
                <w:color w:val="auto"/>
                <w:highlight w:val="none"/>
                <w:lang w:eastAsia="zh-CN"/>
              </w:rPr>
              <w:t>资格审查文件</w:t>
            </w:r>
            <w:r>
              <w:rPr>
                <w:rFonts w:hint="eastAsia" w:ascii="宋体" w:hAnsi="宋体" w:eastAsia="宋体"/>
                <w:color w:val="auto"/>
                <w:highlight w:val="none"/>
              </w:rPr>
              <w:t>、商务技术文件、报价文件组成。</w:t>
            </w:r>
          </w:p>
          <w:p w14:paraId="69A2E58D">
            <w:pPr>
              <w:spacing w:line="360" w:lineRule="exact"/>
              <w:textAlignment w:val="baseline"/>
              <w:rPr>
                <w:rFonts w:ascii="宋体" w:hAnsi="宋体" w:cs="宋体"/>
                <w:color w:val="auto"/>
                <w:sz w:val="20"/>
                <w:highlight w:val="none"/>
                <w:lang w:val="zh-CN"/>
              </w:rPr>
            </w:pPr>
            <w:r>
              <w:rPr>
                <w:rFonts w:hint="eastAsia" w:ascii="宋体" w:hAnsi="宋体" w:cs="宋体"/>
                <w:color w:val="auto"/>
                <w:highlight w:val="none"/>
                <w:lang w:val="zh-CN"/>
              </w:rPr>
              <w:t>2</w:t>
            </w:r>
            <w:r>
              <w:rPr>
                <w:rFonts w:hint="eastAsia" w:ascii="宋体" w:hAnsi="宋体" w:cs="宋体"/>
                <w:color w:val="auto"/>
                <w:highlight w:val="none"/>
              </w:rPr>
              <w:t>.</w:t>
            </w:r>
            <w:r>
              <w:rPr>
                <w:rFonts w:hint="eastAsia" w:ascii="宋体" w:hAnsi="宋体" w:cs="宋体"/>
                <w:color w:val="auto"/>
                <w:highlight w:val="none"/>
                <w:lang w:val="zh-CN"/>
              </w:rPr>
              <w:t>响应文件编制：供应商应先安装“政采云电子交易客户端”，并按照本采购文件和“政府采购云平台”的要求，通过“政采云电子交易客户端”编制并加密响应文件。</w:t>
            </w:r>
          </w:p>
          <w:p w14:paraId="7233623A">
            <w:pPr>
              <w:spacing w:line="360" w:lineRule="exact"/>
              <w:textAlignment w:val="baseline"/>
              <w:rPr>
                <w:rFonts w:ascii="宋体" w:hAnsi="宋体" w:cs="宋体"/>
                <w:color w:val="auto"/>
                <w:sz w:val="20"/>
                <w:highlight w:val="none"/>
                <w:lang w:val="zh-CN"/>
              </w:rPr>
            </w:pPr>
            <w:r>
              <w:rPr>
                <w:rFonts w:hint="eastAsia" w:ascii="宋体" w:hAnsi="宋体" w:cs="宋体"/>
                <w:color w:val="auto"/>
                <w:highlight w:val="none"/>
                <w:lang w:val="zh-CN"/>
              </w:rPr>
              <w:t>3</w:t>
            </w:r>
            <w:r>
              <w:rPr>
                <w:rFonts w:hint="eastAsia" w:ascii="宋体" w:hAnsi="宋体" w:cs="宋体"/>
                <w:color w:val="auto"/>
                <w:highlight w:val="none"/>
              </w:rPr>
              <w:t>.</w:t>
            </w:r>
            <w:r>
              <w:rPr>
                <w:rFonts w:hint="eastAsia" w:ascii="宋体" w:hAnsi="宋体" w:cs="宋体"/>
                <w:color w:val="auto"/>
                <w:highlight w:val="none"/>
                <w:lang w:val="zh-CN"/>
              </w:rPr>
              <w:t>响应文件的形式：☑电子响应文件（包括“电子加密响应文件”和“备份响应文件”，在响应文件编制完成后同时生成）；</w:t>
            </w:r>
          </w:p>
          <w:p w14:paraId="79682D75">
            <w:pPr>
              <w:spacing w:line="360" w:lineRule="exact"/>
              <w:textAlignment w:val="baseline"/>
              <w:rPr>
                <w:rFonts w:ascii="宋体" w:hAnsi="宋体" w:cs="宋体"/>
                <w:color w:val="auto"/>
                <w:sz w:val="20"/>
                <w:highlight w:val="none"/>
                <w:lang w:val="zh-CN"/>
              </w:rPr>
            </w:pPr>
            <w:r>
              <w:rPr>
                <w:rFonts w:hint="eastAsia" w:ascii="宋体" w:hAnsi="宋体" w:cs="宋体"/>
                <w:color w:val="auto"/>
                <w:highlight w:val="none"/>
                <w:lang w:val="zh-CN"/>
              </w:rPr>
              <w:t>（1）“电子加密响应文件”是指通过“政采云电子交易客户端”完成响应文件编制后生成并加密的数据电文形式的响应文件。</w:t>
            </w:r>
          </w:p>
          <w:p w14:paraId="3A7F911D">
            <w:pPr>
              <w:spacing w:line="360" w:lineRule="exact"/>
              <w:textAlignment w:val="baseline"/>
              <w:rPr>
                <w:rFonts w:ascii="宋体" w:hAnsi="宋体" w:cs="宋体"/>
                <w:color w:val="auto"/>
                <w:sz w:val="20"/>
                <w:highlight w:val="none"/>
                <w:lang w:val="zh-CN"/>
              </w:rPr>
            </w:pPr>
            <w:r>
              <w:rPr>
                <w:rFonts w:hint="eastAsia" w:ascii="宋体" w:hAnsi="宋体" w:cs="宋体"/>
                <w:color w:val="auto"/>
                <w:highlight w:val="none"/>
                <w:lang w:val="zh-CN"/>
              </w:rPr>
              <w:t>（2）“备份响应文件”是指与“电子加密响应文件”同时生成的数据电文形式的电子文件（备份标书），其他方式编制的备份响应文件视为无效备份响应文件。</w:t>
            </w:r>
          </w:p>
          <w:p w14:paraId="0FDCFC52">
            <w:pPr>
              <w:spacing w:line="360" w:lineRule="exact"/>
              <w:textAlignment w:val="baseline"/>
              <w:rPr>
                <w:rFonts w:ascii="宋体" w:hAnsi="宋体" w:cs="宋体"/>
                <w:color w:val="auto"/>
                <w:sz w:val="20"/>
                <w:highlight w:val="none"/>
                <w:lang w:val="zh-CN"/>
              </w:rPr>
            </w:pPr>
            <w:r>
              <w:rPr>
                <w:rFonts w:hint="eastAsia" w:ascii="宋体" w:hAnsi="宋体" w:cs="宋体"/>
                <w:color w:val="auto"/>
                <w:highlight w:val="none"/>
                <w:lang w:val="zh-CN"/>
              </w:rPr>
              <w:t>4</w:t>
            </w:r>
            <w:r>
              <w:rPr>
                <w:rFonts w:hint="eastAsia" w:ascii="宋体" w:hAnsi="宋体" w:cs="宋体"/>
                <w:color w:val="auto"/>
                <w:highlight w:val="none"/>
              </w:rPr>
              <w:t>.</w:t>
            </w:r>
            <w:r>
              <w:rPr>
                <w:rFonts w:hint="eastAsia" w:ascii="宋体" w:hAnsi="宋体" w:cs="宋体"/>
                <w:color w:val="auto"/>
                <w:highlight w:val="none"/>
                <w:lang w:val="zh-CN"/>
              </w:rPr>
              <w:t>响应文件份数：（1）“电子加密响应文件”：在线上传递交、一份。（2）“备份响应文件”：发送至邮箱：</w:t>
            </w:r>
            <w:r>
              <w:rPr>
                <w:rFonts w:hint="eastAsia" w:ascii="宋体" w:hAnsi="宋体" w:cs="宋体"/>
                <w:b/>
                <w:bCs/>
                <w:color w:val="auto"/>
                <w:kern w:val="0"/>
                <w:szCs w:val="21"/>
                <w:highlight w:val="none"/>
                <w:u w:val="single" w:color="000000"/>
                <w:lang w:eastAsia="zh-CN"/>
              </w:rPr>
              <w:t>283199225@qq.com</w:t>
            </w:r>
            <w:r>
              <w:rPr>
                <w:rFonts w:hint="eastAsia" w:ascii="宋体" w:hAnsi="宋体" w:cs="宋体"/>
                <w:b/>
                <w:bCs/>
                <w:color w:val="auto"/>
                <w:kern w:val="0"/>
                <w:szCs w:val="21"/>
                <w:highlight w:val="none"/>
                <w:u w:val="single" w:color="000000"/>
              </w:rPr>
              <w:t>，</w:t>
            </w:r>
            <w:r>
              <w:rPr>
                <w:rFonts w:hint="eastAsia" w:ascii="宋体" w:hAnsi="宋体" w:cs="宋体"/>
                <w:color w:val="auto"/>
                <w:kern w:val="0"/>
                <w:szCs w:val="21"/>
                <w:highlight w:val="none"/>
              </w:rPr>
              <w:t>按接收方邮箱收件箱所显示时间为准</w:t>
            </w:r>
            <w:r>
              <w:rPr>
                <w:rFonts w:hint="eastAsia" w:ascii="宋体" w:hAnsi="宋体" w:cs="宋体"/>
                <w:color w:val="auto"/>
                <w:highlight w:val="none"/>
                <w:lang w:val="zh-CN"/>
              </w:rPr>
              <w:t>。</w:t>
            </w:r>
          </w:p>
          <w:p w14:paraId="3247DAEC">
            <w:pPr>
              <w:spacing w:line="360" w:lineRule="exact"/>
              <w:textAlignment w:val="baseline"/>
              <w:rPr>
                <w:rFonts w:ascii="宋体" w:hAnsi="宋体" w:cs="宋体"/>
                <w:color w:val="auto"/>
                <w:sz w:val="20"/>
                <w:highlight w:val="none"/>
                <w:lang w:val="zh-CN"/>
              </w:rPr>
            </w:pPr>
            <w:r>
              <w:rPr>
                <w:rFonts w:hint="eastAsia" w:ascii="宋体" w:hAnsi="宋体" w:cs="宋体"/>
                <w:color w:val="auto"/>
                <w:highlight w:val="none"/>
                <w:lang w:val="zh-CN"/>
              </w:rPr>
              <w:t>5</w:t>
            </w:r>
            <w:r>
              <w:rPr>
                <w:rFonts w:hint="eastAsia" w:ascii="宋体" w:hAnsi="宋体" w:cs="宋体"/>
                <w:color w:val="auto"/>
                <w:highlight w:val="none"/>
              </w:rPr>
              <w:t>.</w:t>
            </w:r>
            <w:r>
              <w:rPr>
                <w:rFonts w:hint="eastAsia" w:ascii="宋体" w:hAnsi="宋体" w:cs="宋体"/>
                <w:color w:val="auto"/>
                <w:highlight w:val="none"/>
                <w:lang w:val="zh-CN"/>
              </w:rPr>
              <w:t>响应文件的上传和递交：</w:t>
            </w:r>
          </w:p>
          <w:p w14:paraId="7151B589">
            <w:pPr>
              <w:spacing w:line="360" w:lineRule="exact"/>
              <w:textAlignment w:val="baseline"/>
              <w:rPr>
                <w:rFonts w:ascii="宋体" w:hAnsi="宋体" w:cs="宋体"/>
                <w:color w:val="auto"/>
                <w:sz w:val="20"/>
                <w:highlight w:val="none"/>
                <w:lang w:val="zh-CN"/>
              </w:rPr>
            </w:pPr>
            <w:r>
              <w:rPr>
                <w:rFonts w:hint="eastAsia" w:ascii="宋体" w:hAnsi="宋体" w:cs="宋体"/>
                <w:color w:val="auto"/>
                <w:highlight w:val="none"/>
                <w:lang w:val="zh-CN"/>
              </w:rPr>
              <w:t>（1）“电子加密响应文件”的上传、递交：</w:t>
            </w:r>
          </w:p>
          <w:p w14:paraId="012C5FF2">
            <w:pPr>
              <w:spacing w:line="360" w:lineRule="exact"/>
              <w:textAlignment w:val="baseline"/>
              <w:rPr>
                <w:rFonts w:ascii="宋体" w:hAnsi="宋体" w:cs="宋体"/>
                <w:color w:val="auto"/>
                <w:sz w:val="20"/>
                <w:highlight w:val="none"/>
                <w:lang w:val="zh-CN"/>
              </w:rPr>
            </w:pPr>
            <w:r>
              <w:rPr>
                <w:rFonts w:hint="eastAsia" w:ascii="宋体" w:hAnsi="宋体" w:cs="宋体"/>
                <w:color w:val="auto"/>
                <w:highlight w:val="none"/>
                <w:lang w:val="zh-CN"/>
              </w:rPr>
              <w:t>供应商应在投标截止时间前将“电子加密响应文件”成功上传递交至“政府采购云平台”，否则投标无效。</w:t>
            </w:r>
          </w:p>
          <w:p w14:paraId="04FB5DC1">
            <w:pPr>
              <w:spacing w:line="360" w:lineRule="exact"/>
              <w:textAlignment w:val="baseline"/>
              <w:rPr>
                <w:rFonts w:ascii="宋体" w:hAnsi="宋体" w:cs="宋体"/>
                <w:color w:val="auto"/>
                <w:sz w:val="20"/>
                <w:highlight w:val="none"/>
                <w:lang w:val="zh-CN"/>
              </w:rPr>
            </w:pPr>
            <w:r>
              <w:rPr>
                <w:rFonts w:hint="eastAsia" w:ascii="宋体" w:hAnsi="宋体" w:cs="宋体"/>
                <w:color w:val="auto"/>
                <w:highlight w:val="none"/>
                <w:lang w:val="zh-CN"/>
              </w:rPr>
              <w:t>（2）“备份响应文件”的递交：</w:t>
            </w:r>
          </w:p>
          <w:p w14:paraId="6A1F1567">
            <w:pPr>
              <w:spacing w:line="360" w:lineRule="exact"/>
              <w:textAlignment w:val="baseline"/>
              <w:rPr>
                <w:rFonts w:ascii="宋体" w:hAnsi="宋体" w:cs="宋体"/>
                <w:color w:val="auto"/>
                <w:sz w:val="20"/>
                <w:highlight w:val="none"/>
                <w:lang w:val="zh-CN"/>
              </w:rPr>
            </w:pPr>
            <w:r>
              <w:rPr>
                <w:rFonts w:hint="eastAsia" w:ascii="宋体" w:hAnsi="宋体" w:cs="宋体"/>
                <w:color w:val="auto"/>
                <w:highlight w:val="none"/>
                <w:lang w:val="zh-CN"/>
              </w:rPr>
              <w:t>a.供应商在“政府采购云平台”完成“电子加密响应文件”的上传递交后，还可以（以</w:t>
            </w:r>
            <w:r>
              <w:rPr>
                <w:rFonts w:hint="eastAsia" w:ascii="宋体" w:hAnsi="宋体" w:cs="宋体"/>
                <w:color w:val="auto"/>
                <w:highlight w:val="none"/>
              </w:rPr>
              <w:t>电子邮件的</w:t>
            </w:r>
            <w:r>
              <w:rPr>
                <w:rFonts w:hint="eastAsia" w:ascii="宋体" w:hAnsi="宋体" w:cs="宋体"/>
                <w:color w:val="auto"/>
                <w:highlight w:val="none"/>
                <w:lang w:val="zh-CN"/>
              </w:rPr>
              <w:t>形式）在投标截止时间前发送一份加密压缩文件的“备份响应文件”（一份）；</w:t>
            </w:r>
          </w:p>
          <w:p w14:paraId="7639A299">
            <w:pPr>
              <w:spacing w:line="360" w:lineRule="exact"/>
              <w:textAlignment w:val="baseline"/>
              <w:rPr>
                <w:rFonts w:ascii="宋体" w:hAnsi="宋体" w:cs="宋体"/>
                <w:color w:val="auto"/>
                <w:sz w:val="20"/>
                <w:highlight w:val="none"/>
                <w:lang w:val="zh-CN"/>
              </w:rPr>
            </w:pPr>
            <w:r>
              <w:rPr>
                <w:rFonts w:hint="eastAsia" w:ascii="宋体" w:hAnsi="宋体" w:cs="宋体"/>
                <w:color w:val="auto"/>
                <w:highlight w:val="none"/>
                <w:lang w:val="zh-CN"/>
              </w:rPr>
              <w:t>b.“备份响应文件”以压缩文件形式加密发送至邮箱：</w:t>
            </w:r>
            <w:r>
              <w:rPr>
                <w:rFonts w:hint="eastAsia" w:ascii="宋体" w:hAnsi="宋体" w:cs="宋体"/>
                <w:b/>
                <w:bCs/>
                <w:color w:val="auto"/>
                <w:kern w:val="0"/>
                <w:szCs w:val="21"/>
                <w:highlight w:val="none"/>
                <w:u w:val="single" w:color="000000"/>
                <w:lang w:eastAsia="zh-CN"/>
              </w:rPr>
              <w:t>283199225@qq.com</w:t>
            </w:r>
            <w:r>
              <w:rPr>
                <w:rFonts w:hint="eastAsia" w:ascii="宋体" w:hAnsi="宋体" w:cs="宋体"/>
                <w:b/>
                <w:bCs/>
                <w:color w:val="auto"/>
                <w:kern w:val="0"/>
                <w:szCs w:val="21"/>
                <w:highlight w:val="none"/>
                <w:u w:val="single" w:color="000000"/>
              </w:rPr>
              <w:t>，</w:t>
            </w:r>
            <w:r>
              <w:rPr>
                <w:rFonts w:hint="eastAsia" w:ascii="宋体" w:hAnsi="宋体" w:cs="宋体"/>
                <w:color w:val="auto"/>
                <w:kern w:val="0"/>
                <w:szCs w:val="21"/>
                <w:highlight w:val="none"/>
              </w:rPr>
              <w:t>压缩文件命名为</w:t>
            </w:r>
            <w:r>
              <w:rPr>
                <w:rFonts w:hint="eastAsia" w:ascii="宋体" w:hAnsi="宋体" w:cs="宋体"/>
                <w:color w:val="auto"/>
                <w:highlight w:val="none"/>
                <w:lang w:val="zh-CN"/>
              </w:rPr>
              <w:t>投标项目编号和投标单位简称。开标时间起半小时内发送压缩文件密码至邮箱：</w:t>
            </w:r>
            <w:r>
              <w:rPr>
                <w:rFonts w:hint="eastAsia" w:ascii="宋体" w:hAnsi="宋体" w:cs="宋体"/>
                <w:b/>
                <w:bCs/>
                <w:color w:val="auto"/>
                <w:kern w:val="0"/>
                <w:szCs w:val="21"/>
                <w:highlight w:val="none"/>
                <w:u w:val="single" w:color="000000"/>
                <w:lang w:eastAsia="zh-CN"/>
              </w:rPr>
              <w:t>283199225@qq.com</w:t>
            </w:r>
            <w:r>
              <w:rPr>
                <w:rFonts w:hint="eastAsia" w:ascii="宋体" w:hAnsi="宋体" w:cs="宋体"/>
                <w:color w:val="auto"/>
                <w:highlight w:val="none"/>
                <w:lang w:val="zh-CN"/>
              </w:rPr>
              <w:t>。</w:t>
            </w:r>
          </w:p>
          <w:p w14:paraId="3FE7070E">
            <w:pPr>
              <w:spacing w:line="360" w:lineRule="exact"/>
              <w:textAlignment w:val="baseline"/>
              <w:rPr>
                <w:rFonts w:ascii="宋体" w:hAnsi="宋体" w:cs="宋体"/>
                <w:color w:val="auto"/>
                <w:sz w:val="20"/>
                <w:highlight w:val="none"/>
                <w:lang w:val="zh-CN"/>
              </w:rPr>
            </w:pPr>
            <w:r>
              <w:rPr>
                <w:rFonts w:hint="eastAsia" w:ascii="宋体" w:hAnsi="宋体" w:cs="宋体"/>
                <w:color w:val="auto"/>
                <w:highlight w:val="none"/>
                <w:lang w:val="zh-CN"/>
              </w:rPr>
              <w:t>c.通过“政府采购云平台”成功上传递交的“电子加密响应文件”已按时解密的，“备份响应文件”自动失效。投标截止时间前，供应商仅递交了“备份响应文件”而未将“电子加密响应文件”成功上传至“政府采购云平台”的，投标无效。</w:t>
            </w:r>
          </w:p>
          <w:p w14:paraId="3EB40491">
            <w:pPr>
              <w:spacing w:line="360" w:lineRule="exact"/>
              <w:textAlignment w:val="baseline"/>
              <w:rPr>
                <w:rFonts w:ascii="宋体" w:hAnsi="宋体" w:cs="宋体"/>
                <w:color w:val="auto"/>
                <w:sz w:val="20"/>
                <w:highlight w:val="none"/>
                <w:lang w:val="zh-CN"/>
              </w:rPr>
            </w:pPr>
            <w:r>
              <w:rPr>
                <w:rFonts w:hint="eastAsia" w:ascii="宋体" w:hAnsi="宋体" w:cs="宋体"/>
                <w:color w:val="auto"/>
                <w:highlight w:val="none"/>
                <w:lang w:val="zh-CN"/>
              </w:rPr>
              <w:t>6</w:t>
            </w:r>
            <w:r>
              <w:rPr>
                <w:rFonts w:hint="eastAsia" w:ascii="宋体" w:hAnsi="宋体" w:cs="宋体"/>
                <w:color w:val="auto"/>
                <w:highlight w:val="none"/>
              </w:rPr>
              <w:t>.</w:t>
            </w:r>
            <w:r>
              <w:rPr>
                <w:rFonts w:hint="eastAsia" w:ascii="宋体" w:hAnsi="宋体" w:cs="宋体"/>
                <w:color w:val="auto"/>
                <w:highlight w:val="none"/>
                <w:lang w:val="zh-CN"/>
              </w:rPr>
              <w:t>电子加密响应文件的解密和异常情况处理：</w:t>
            </w:r>
          </w:p>
          <w:p w14:paraId="55616C86">
            <w:pPr>
              <w:spacing w:line="360" w:lineRule="exact"/>
              <w:textAlignment w:val="baseline"/>
              <w:rPr>
                <w:rFonts w:ascii="宋体" w:hAnsi="宋体" w:cs="宋体"/>
                <w:color w:val="auto"/>
                <w:sz w:val="20"/>
                <w:highlight w:val="none"/>
                <w:lang w:val="zh-CN"/>
              </w:rPr>
            </w:pPr>
            <w:r>
              <w:rPr>
                <w:rFonts w:hint="eastAsia" w:ascii="宋体" w:hAnsi="宋体" w:cs="宋体"/>
                <w:color w:val="auto"/>
                <w:highlight w:val="none"/>
                <w:lang w:val="zh-CN"/>
              </w:rPr>
              <w:t>（1）开标后，采购组织机构将向各供应商发出“电子加密响应文件”的解密通知，各供应商代表应当在接到解密通知后</w:t>
            </w:r>
            <w:r>
              <w:rPr>
                <w:rFonts w:hint="eastAsia" w:ascii="宋体" w:hAnsi="宋体" w:cs="宋体"/>
                <w:b/>
                <w:bCs/>
                <w:color w:val="auto"/>
                <w:highlight w:val="none"/>
              </w:rPr>
              <w:t>30</w:t>
            </w:r>
            <w:r>
              <w:rPr>
                <w:rFonts w:hint="eastAsia" w:ascii="宋体" w:hAnsi="宋体" w:cs="宋体"/>
                <w:b/>
                <w:bCs/>
                <w:color w:val="auto"/>
                <w:highlight w:val="none"/>
                <w:lang w:val="zh-CN"/>
              </w:rPr>
              <w:t>分钟内</w:t>
            </w:r>
            <w:r>
              <w:rPr>
                <w:rFonts w:hint="eastAsia" w:ascii="宋体" w:hAnsi="宋体" w:cs="宋体"/>
                <w:color w:val="auto"/>
                <w:highlight w:val="none"/>
                <w:lang w:val="zh-CN"/>
              </w:rPr>
              <w:t>自行完成“电子加密响应文件”的在线解密，超过解密时限，默认供应商自动放弃。</w:t>
            </w:r>
          </w:p>
          <w:p w14:paraId="0C690250">
            <w:pPr>
              <w:spacing w:line="360" w:lineRule="exact"/>
              <w:textAlignment w:val="baseline"/>
              <w:rPr>
                <w:rFonts w:ascii="宋体" w:hAnsi="宋体" w:cs="宋体"/>
                <w:color w:val="auto"/>
                <w:sz w:val="20"/>
                <w:highlight w:val="none"/>
                <w:lang w:val="zh-CN"/>
              </w:rPr>
            </w:pPr>
            <w:r>
              <w:rPr>
                <w:rFonts w:hint="eastAsia" w:ascii="宋体" w:hAnsi="宋体" w:cs="宋体"/>
                <w:color w:val="auto"/>
                <w:highlight w:val="none"/>
                <w:lang w:val="zh-CN"/>
              </w:rPr>
              <w:t>（2）通过“政府采购云平台”成功上传递交的“电子加密响应文件”无法按时解密，供应商如按规定递交了“备份响应文件”的，以“备份响应文件”为依据（由采购组织机构按“政府采购云平台”操作规范将“备份响应文件”上传至“政府采购云平台”，上传成功后，“电子加密响应文件”自动失效），否则视为响应文件撤回。</w:t>
            </w:r>
          </w:p>
          <w:p w14:paraId="43A44658">
            <w:pPr>
              <w:spacing w:line="360" w:lineRule="exact"/>
              <w:textAlignment w:val="baseline"/>
              <w:rPr>
                <w:rFonts w:ascii="宋体" w:hAnsi="宋体" w:cs="宋体"/>
                <w:color w:val="auto"/>
                <w:sz w:val="20"/>
                <w:highlight w:val="none"/>
                <w:lang w:val="zh-CN"/>
              </w:rPr>
            </w:pPr>
            <w:r>
              <w:rPr>
                <w:rFonts w:hint="eastAsia" w:ascii="宋体" w:hAnsi="宋体" w:cs="宋体"/>
                <w:color w:val="auto"/>
                <w:highlight w:val="none"/>
                <w:lang w:val="zh-CN"/>
              </w:rPr>
              <w:t>（3）投标截止时间前，供应商仅递交了“备份响应文件”而未将电子加密响应文件上传至“政府采购云平台”的，投标无效。</w:t>
            </w:r>
          </w:p>
          <w:p w14:paraId="1B96CDD6">
            <w:pPr>
              <w:spacing w:line="360" w:lineRule="exact"/>
              <w:jc w:val="left"/>
              <w:textAlignment w:val="baseline"/>
              <w:rPr>
                <w:rFonts w:ascii="宋体" w:hAnsi="宋体" w:cs="宋体"/>
                <w:color w:val="auto"/>
                <w:sz w:val="20"/>
                <w:szCs w:val="21"/>
                <w:highlight w:val="none"/>
              </w:rPr>
            </w:pPr>
            <w:r>
              <w:rPr>
                <w:rFonts w:hint="eastAsia" w:ascii="宋体" w:hAnsi="宋体" w:cs="宋体"/>
                <w:color w:val="auto"/>
                <w:highlight w:val="none"/>
                <w:lang w:val="zh-CN"/>
              </w:rPr>
              <w:t>7</w:t>
            </w:r>
            <w:r>
              <w:rPr>
                <w:rFonts w:hint="eastAsia" w:ascii="宋体" w:hAnsi="宋体" w:cs="宋体"/>
                <w:color w:val="auto"/>
                <w:highlight w:val="none"/>
              </w:rPr>
              <w:t>.</w:t>
            </w:r>
            <w:r>
              <w:rPr>
                <w:rFonts w:hint="eastAsia" w:ascii="宋体" w:hAnsi="宋体" w:cs="宋体"/>
                <w:color w:val="auto"/>
                <w:highlight w:val="none"/>
                <w:lang w:val="zh-CN"/>
              </w:rPr>
              <w:t>投标截止后，在投标有效期内，供应商不能撤销响应文件。供应商强行撤销响应文件的，应按预算金额的2%赔偿对招标代理机构造成的损失。</w:t>
            </w:r>
          </w:p>
        </w:tc>
      </w:tr>
      <w:tr w14:paraId="55AD07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699" w:type="dxa"/>
            <w:vAlign w:val="center"/>
          </w:tcPr>
          <w:p w14:paraId="76A3F799">
            <w:pPr>
              <w:numPr>
                <w:ilvl w:val="0"/>
                <w:numId w:val="6"/>
              </w:numPr>
              <w:spacing w:line="360" w:lineRule="exact"/>
              <w:jc w:val="center"/>
              <w:textAlignment w:val="baseline"/>
              <w:rPr>
                <w:rFonts w:ascii="宋体" w:hAnsi="宋体" w:cs="宋体"/>
                <w:color w:val="auto"/>
                <w:sz w:val="20"/>
                <w:szCs w:val="21"/>
                <w:highlight w:val="none"/>
              </w:rPr>
            </w:pPr>
          </w:p>
        </w:tc>
        <w:tc>
          <w:tcPr>
            <w:tcW w:w="2708" w:type="dxa"/>
            <w:vAlign w:val="center"/>
          </w:tcPr>
          <w:p w14:paraId="2704FEB6">
            <w:pPr>
              <w:spacing w:line="360" w:lineRule="exact"/>
              <w:textAlignment w:val="baseline"/>
              <w:rPr>
                <w:rFonts w:ascii="宋体" w:hAnsi="宋体" w:cs="宋体"/>
                <w:color w:val="auto"/>
                <w:kern w:val="0"/>
                <w:sz w:val="20"/>
                <w:szCs w:val="21"/>
                <w:highlight w:val="none"/>
              </w:rPr>
            </w:pPr>
            <w:r>
              <w:rPr>
                <w:rFonts w:hint="eastAsia" w:ascii="宋体" w:hAnsi="宋体" w:cs="宋体"/>
                <w:color w:val="auto"/>
                <w:kern w:val="0"/>
                <w:szCs w:val="21"/>
                <w:highlight w:val="none"/>
              </w:rPr>
              <w:t>中标结果公告期限</w:t>
            </w:r>
          </w:p>
        </w:tc>
        <w:tc>
          <w:tcPr>
            <w:tcW w:w="7092" w:type="dxa"/>
            <w:vAlign w:val="center"/>
          </w:tcPr>
          <w:p w14:paraId="030700ED">
            <w:pPr>
              <w:snapToGrid w:val="0"/>
              <w:spacing w:line="360" w:lineRule="exact"/>
              <w:textAlignment w:val="baseline"/>
              <w:rPr>
                <w:rFonts w:ascii="宋体" w:hAnsi="宋体" w:cs="宋体"/>
                <w:color w:val="auto"/>
                <w:kern w:val="0"/>
                <w:sz w:val="20"/>
                <w:szCs w:val="21"/>
                <w:highlight w:val="none"/>
              </w:rPr>
            </w:pPr>
            <w:r>
              <w:rPr>
                <w:rFonts w:hint="eastAsia" w:ascii="宋体" w:hAnsi="宋体" w:cs="宋体"/>
                <w:color w:val="auto"/>
                <w:kern w:val="0"/>
                <w:szCs w:val="21"/>
                <w:highlight w:val="none"/>
              </w:rPr>
              <w:t>1个工作日</w:t>
            </w:r>
            <w:r>
              <w:rPr>
                <w:rFonts w:hint="eastAsia" w:ascii="宋体" w:hAnsi="宋体" w:cs="宋体"/>
                <w:color w:val="auto"/>
                <w:highlight w:val="none"/>
              </w:rPr>
              <w:t>（中标结果公告发布之日起至第2个工作日止）</w:t>
            </w:r>
            <w:r>
              <w:rPr>
                <w:rFonts w:hint="eastAsia" w:ascii="宋体" w:hAnsi="宋体" w:cs="宋体"/>
                <w:color w:val="auto"/>
                <w:kern w:val="0"/>
                <w:szCs w:val="21"/>
                <w:highlight w:val="none"/>
              </w:rPr>
              <w:t>。</w:t>
            </w:r>
          </w:p>
        </w:tc>
      </w:tr>
      <w:tr w14:paraId="77AD53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699" w:type="dxa"/>
            <w:vAlign w:val="center"/>
          </w:tcPr>
          <w:p w14:paraId="7B6ED88D">
            <w:pPr>
              <w:numPr>
                <w:ilvl w:val="0"/>
                <w:numId w:val="6"/>
              </w:numPr>
              <w:spacing w:line="360" w:lineRule="exact"/>
              <w:jc w:val="center"/>
              <w:textAlignment w:val="baseline"/>
              <w:rPr>
                <w:rFonts w:ascii="宋体" w:hAnsi="宋体" w:cs="宋体"/>
                <w:color w:val="auto"/>
                <w:sz w:val="20"/>
                <w:szCs w:val="21"/>
                <w:highlight w:val="none"/>
              </w:rPr>
            </w:pPr>
          </w:p>
        </w:tc>
        <w:tc>
          <w:tcPr>
            <w:tcW w:w="2708" w:type="dxa"/>
            <w:vAlign w:val="center"/>
          </w:tcPr>
          <w:p w14:paraId="07E4C7C9">
            <w:pPr>
              <w:spacing w:line="360" w:lineRule="exact"/>
              <w:textAlignment w:val="baseline"/>
              <w:rPr>
                <w:rFonts w:ascii="宋体" w:hAnsi="宋体" w:cs="宋体"/>
                <w:b/>
                <w:bCs/>
                <w:color w:val="auto"/>
                <w:sz w:val="20"/>
                <w:szCs w:val="21"/>
                <w:highlight w:val="none"/>
              </w:rPr>
            </w:pPr>
            <w:r>
              <w:rPr>
                <w:rFonts w:hint="eastAsia" w:ascii="宋体" w:hAnsi="宋体" w:cs="宋体"/>
                <w:color w:val="auto"/>
                <w:kern w:val="0"/>
                <w:szCs w:val="21"/>
                <w:highlight w:val="none"/>
              </w:rPr>
              <w:t>签订合同</w:t>
            </w:r>
          </w:p>
        </w:tc>
        <w:tc>
          <w:tcPr>
            <w:tcW w:w="7092" w:type="dxa"/>
            <w:vAlign w:val="center"/>
          </w:tcPr>
          <w:p w14:paraId="10A39263">
            <w:pPr>
              <w:snapToGrid w:val="0"/>
              <w:spacing w:line="360" w:lineRule="exact"/>
              <w:textAlignment w:val="baseline"/>
              <w:rPr>
                <w:rFonts w:ascii="宋体" w:hAnsi="宋体" w:cs="宋体"/>
                <w:color w:val="auto"/>
                <w:sz w:val="20"/>
                <w:szCs w:val="21"/>
                <w:highlight w:val="none"/>
              </w:rPr>
            </w:pPr>
            <w:r>
              <w:rPr>
                <w:rFonts w:hint="eastAsia" w:ascii="宋体" w:hAnsi="宋体" w:cs="宋体"/>
                <w:color w:val="auto"/>
                <w:kern w:val="0"/>
                <w:szCs w:val="21"/>
                <w:highlight w:val="none"/>
              </w:rPr>
              <w:t>公示期结束无异议后发出中标通知书30天内。</w:t>
            </w:r>
          </w:p>
        </w:tc>
      </w:tr>
      <w:tr w14:paraId="10D0AF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6" w:hRule="atLeast"/>
          <w:jc w:val="center"/>
        </w:trPr>
        <w:tc>
          <w:tcPr>
            <w:tcW w:w="699" w:type="dxa"/>
            <w:vAlign w:val="center"/>
          </w:tcPr>
          <w:p w14:paraId="53FB5B79">
            <w:pPr>
              <w:numPr>
                <w:ilvl w:val="0"/>
                <w:numId w:val="6"/>
              </w:numPr>
              <w:spacing w:line="360" w:lineRule="exact"/>
              <w:jc w:val="center"/>
              <w:textAlignment w:val="baseline"/>
              <w:rPr>
                <w:rFonts w:ascii="宋体" w:hAnsi="宋体" w:cs="宋体"/>
                <w:color w:val="auto"/>
                <w:sz w:val="20"/>
                <w:szCs w:val="21"/>
                <w:highlight w:val="none"/>
              </w:rPr>
            </w:pPr>
          </w:p>
        </w:tc>
        <w:tc>
          <w:tcPr>
            <w:tcW w:w="2708" w:type="dxa"/>
            <w:vAlign w:val="center"/>
          </w:tcPr>
          <w:p w14:paraId="50F76A04">
            <w:pPr>
              <w:spacing w:line="360" w:lineRule="exact"/>
              <w:textAlignment w:val="baseline"/>
              <w:rPr>
                <w:rFonts w:ascii="宋体" w:hAnsi="宋体" w:cs="宋体"/>
                <w:b w:val="0"/>
                <w:bCs w:val="0"/>
                <w:color w:val="auto"/>
                <w:kern w:val="0"/>
                <w:sz w:val="20"/>
                <w:szCs w:val="21"/>
                <w:highlight w:val="none"/>
              </w:rPr>
            </w:pPr>
            <w:r>
              <w:rPr>
                <w:rFonts w:hint="eastAsia" w:ascii="宋体" w:hAnsi="宋体" w:cs="宋体"/>
                <w:b w:val="0"/>
                <w:bCs w:val="0"/>
                <w:color w:val="auto"/>
                <w:sz w:val="22"/>
                <w:highlight w:val="none"/>
              </w:rPr>
              <w:t>合同备案</w:t>
            </w:r>
          </w:p>
        </w:tc>
        <w:tc>
          <w:tcPr>
            <w:tcW w:w="7092" w:type="dxa"/>
            <w:vAlign w:val="center"/>
          </w:tcPr>
          <w:p w14:paraId="15B4341B">
            <w:pPr>
              <w:snapToGrid w:val="0"/>
              <w:spacing w:line="360" w:lineRule="exact"/>
              <w:textAlignment w:val="baseline"/>
              <w:rPr>
                <w:rFonts w:ascii="宋体" w:hAnsi="宋体" w:cs="宋体"/>
                <w:b w:val="0"/>
                <w:bCs w:val="0"/>
                <w:color w:val="auto"/>
                <w:kern w:val="0"/>
                <w:sz w:val="20"/>
                <w:szCs w:val="21"/>
                <w:highlight w:val="none"/>
              </w:rPr>
            </w:pPr>
            <w:r>
              <w:rPr>
                <w:rFonts w:hint="eastAsia" w:ascii="宋体" w:hAnsi="宋体" w:cs="宋体"/>
                <w:b w:val="0"/>
                <w:bCs w:val="0"/>
                <w:color w:val="auto"/>
                <w:kern w:val="0"/>
                <w:szCs w:val="21"/>
                <w:highlight w:val="none"/>
              </w:rPr>
              <w:t>中标人与采购人签订合同后，2日历天内将合同扫描件电子版发送至邮箱：</w:t>
            </w:r>
            <w:r>
              <w:rPr>
                <w:rFonts w:hint="eastAsia" w:ascii="宋体" w:hAnsi="宋体" w:cs="宋体"/>
                <w:b w:val="0"/>
                <w:bCs w:val="0"/>
                <w:color w:val="auto"/>
                <w:kern w:val="0"/>
                <w:szCs w:val="21"/>
                <w:highlight w:val="none"/>
                <w:u w:val="single" w:color="000000"/>
                <w:lang w:eastAsia="zh-CN"/>
              </w:rPr>
              <w:t>283199225@qq.com</w:t>
            </w:r>
            <w:r>
              <w:rPr>
                <w:rFonts w:hint="eastAsia" w:ascii="宋体" w:hAnsi="宋体" w:cs="宋体"/>
                <w:b w:val="0"/>
                <w:bCs w:val="0"/>
                <w:color w:val="auto"/>
                <w:kern w:val="0"/>
                <w:szCs w:val="21"/>
                <w:highlight w:val="none"/>
              </w:rPr>
              <w:t>；本项目政府采购合同按规定在浙江政府采购网（http://www.zjzfcg.gov.cn）予以公告。</w:t>
            </w:r>
          </w:p>
        </w:tc>
      </w:tr>
      <w:tr w14:paraId="197D2E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699" w:type="dxa"/>
            <w:vAlign w:val="center"/>
          </w:tcPr>
          <w:p w14:paraId="324EAF86">
            <w:pPr>
              <w:pStyle w:val="30"/>
              <w:spacing w:line="360" w:lineRule="exact"/>
              <w:ind w:left="0" w:leftChars="0" w:firstLine="0" w:firstLineChars="0"/>
              <w:jc w:val="center"/>
              <w:textAlignment w:val="baseline"/>
              <w:rPr>
                <w:rFonts w:ascii="宋体" w:hAnsi="宋体" w:eastAsia="宋体"/>
                <w:color w:val="auto"/>
                <w:highlight w:val="none"/>
              </w:rPr>
            </w:pPr>
            <w:r>
              <w:rPr>
                <w:rFonts w:hint="eastAsia" w:ascii="宋体" w:hAnsi="宋体" w:eastAsia="宋体"/>
                <w:color w:val="auto"/>
                <w:highlight w:val="none"/>
              </w:rPr>
              <w:t>16</w:t>
            </w:r>
          </w:p>
        </w:tc>
        <w:tc>
          <w:tcPr>
            <w:tcW w:w="2708" w:type="dxa"/>
            <w:vAlign w:val="center"/>
          </w:tcPr>
          <w:p w14:paraId="3F1478C4">
            <w:pPr>
              <w:snapToGrid w:val="0"/>
              <w:spacing w:line="360" w:lineRule="exact"/>
              <w:textAlignment w:val="baseline"/>
              <w:rPr>
                <w:rFonts w:hint="eastAsia" w:ascii="宋体" w:hAnsi="宋体" w:cs="宋体"/>
                <w:b w:val="0"/>
                <w:bCs w:val="0"/>
                <w:color w:val="auto"/>
                <w:kern w:val="0"/>
                <w:szCs w:val="21"/>
                <w:highlight w:val="none"/>
              </w:rPr>
            </w:pPr>
            <w:r>
              <w:rPr>
                <w:rFonts w:hint="eastAsia" w:ascii="宋体" w:hAnsi="宋体" w:cs="宋体"/>
                <w:b w:val="0"/>
                <w:bCs w:val="0"/>
                <w:color w:val="auto"/>
                <w:kern w:val="0"/>
                <w:szCs w:val="21"/>
                <w:highlight w:val="none"/>
              </w:rPr>
              <w:t>履约保证金</w:t>
            </w:r>
          </w:p>
        </w:tc>
        <w:tc>
          <w:tcPr>
            <w:tcW w:w="7092" w:type="dxa"/>
            <w:vAlign w:val="center"/>
          </w:tcPr>
          <w:p w14:paraId="19D03DBA">
            <w:pPr>
              <w:snapToGrid w:val="0"/>
              <w:spacing w:line="360" w:lineRule="exact"/>
              <w:textAlignment w:val="baseline"/>
              <w:rPr>
                <w:rFonts w:hint="default" w:ascii="宋体" w:hAnsi="宋体" w:cs="宋体"/>
                <w:b w:val="0"/>
                <w:bCs w:val="0"/>
                <w:color w:val="auto"/>
                <w:kern w:val="0"/>
                <w:szCs w:val="21"/>
                <w:highlight w:val="none"/>
                <w:lang w:val="en-US" w:eastAsia="zh-CN"/>
              </w:rPr>
            </w:pPr>
            <w:r>
              <w:rPr>
                <w:rFonts w:hint="default" w:ascii="宋体" w:hAnsi="宋体" w:cs="宋体"/>
                <w:b w:val="0"/>
                <w:bCs w:val="0"/>
                <w:color w:val="auto"/>
                <w:kern w:val="0"/>
                <w:szCs w:val="21"/>
                <w:highlight w:val="none"/>
                <w:lang w:val="en-US" w:eastAsia="zh-CN"/>
              </w:rPr>
              <w:t>中标人在合同签订前向采购单位交纳中标金额1%的履约保证金。供应商可以银行、保险公司出具的保函形式提交。在项目验收结束后退还履约保证金（不计息）。</w:t>
            </w:r>
          </w:p>
        </w:tc>
      </w:tr>
      <w:tr w14:paraId="03F506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699" w:type="dxa"/>
            <w:vAlign w:val="center"/>
          </w:tcPr>
          <w:p w14:paraId="0B4EDABB">
            <w:pPr>
              <w:spacing w:line="360" w:lineRule="exact"/>
              <w:jc w:val="center"/>
              <w:textAlignment w:val="baseline"/>
              <w:rPr>
                <w:rFonts w:ascii="宋体" w:hAnsi="宋体" w:cs="宋体"/>
                <w:color w:val="auto"/>
                <w:sz w:val="20"/>
                <w:szCs w:val="21"/>
                <w:highlight w:val="none"/>
              </w:rPr>
            </w:pPr>
            <w:r>
              <w:rPr>
                <w:rFonts w:hint="eastAsia" w:ascii="宋体" w:hAnsi="宋体" w:cs="宋体"/>
                <w:color w:val="auto"/>
                <w:szCs w:val="21"/>
                <w:highlight w:val="none"/>
              </w:rPr>
              <w:t>17</w:t>
            </w:r>
          </w:p>
        </w:tc>
        <w:tc>
          <w:tcPr>
            <w:tcW w:w="2708" w:type="dxa"/>
            <w:vAlign w:val="center"/>
          </w:tcPr>
          <w:p w14:paraId="2E0ABC8A">
            <w:pPr>
              <w:spacing w:line="360" w:lineRule="exact"/>
              <w:jc w:val="center"/>
              <w:textAlignment w:val="baseline"/>
              <w:rPr>
                <w:rFonts w:hint="eastAsia" w:ascii="宋体" w:hAnsi="宋体" w:cs="宋体"/>
                <w:b/>
                <w:bCs/>
                <w:color w:val="auto"/>
                <w:kern w:val="0"/>
                <w:szCs w:val="21"/>
                <w:highlight w:val="none"/>
                <w:lang w:eastAsia="zh-CN"/>
              </w:rPr>
            </w:pPr>
            <w:r>
              <w:rPr>
                <w:rFonts w:hint="eastAsia" w:ascii="宋体" w:hAnsi="宋体" w:cs="宋体"/>
                <w:b/>
                <w:bCs/>
                <w:color w:val="auto"/>
                <w:kern w:val="0"/>
                <w:szCs w:val="21"/>
                <w:highlight w:val="none"/>
              </w:rPr>
              <w:t>成交候选供应商</w:t>
            </w:r>
          </w:p>
        </w:tc>
        <w:tc>
          <w:tcPr>
            <w:tcW w:w="7092" w:type="dxa"/>
            <w:vAlign w:val="center"/>
          </w:tcPr>
          <w:p w14:paraId="5D1297CE">
            <w:pPr>
              <w:spacing w:line="360" w:lineRule="exact"/>
              <w:jc w:val="both"/>
              <w:textAlignment w:val="baseline"/>
              <w:rPr>
                <w:rFonts w:hint="eastAsia" w:ascii="宋体" w:hAnsi="宋体" w:cs="宋体"/>
                <w:b/>
                <w:bCs/>
                <w:color w:val="auto"/>
                <w:kern w:val="0"/>
                <w:szCs w:val="21"/>
                <w:highlight w:val="none"/>
              </w:rPr>
            </w:pPr>
            <w:r>
              <w:rPr>
                <w:rFonts w:hint="eastAsia" w:ascii="宋体" w:hAnsi="宋体" w:cs="宋体"/>
                <w:b/>
                <w:bCs/>
                <w:color w:val="auto"/>
                <w:kern w:val="0"/>
                <w:szCs w:val="21"/>
                <w:highlight w:val="none"/>
              </w:rPr>
              <w:t>本项目推荐3名成交候选供应商，最终确定1名成交供应商。</w:t>
            </w:r>
          </w:p>
        </w:tc>
      </w:tr>
      <w:tr w14:paraId="11EEDE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9" w:hRule="atLeast"/>
          <w:jc w:val="center"/>
        </w:trPr>
        <w:tc>
          <w:tcPr>
            <w:tcW w:w="699" w:type="dxa"/>
            <w:vAlign w:val="center"/>
          </w:tcPr>
          <w:p w14:paraId="03552C9D">
            <w:pPr>
              <w:pStyle w:val="30"/>
              <w:spacing w:line="360" w:lineRule="exact"/>
              <w:ind w:left="0" w:leftChars="0" w:firstLine="0" w:firstLineChars="0"/>
              <w:jc w:val="center"/>
              <w:textAlignment w:val="baseline"/>
              <w:rPr>
                <w:rFonts w:hint="default" w:ascii="宋体" w:hAnsi="宋体" w:eastAsia="宋体"/>
                <w:color w:val="auto"/>
                <w:highlight w:val="none"/>
                <w:lang w:val="en-US" w:eastAsia="zh-CN"/>
              </w:rPr>
            </w:pPr>
            <w:r>
              <w:rPr>
                <w:rFonts w:hint="eastAsia" w:ascii="宋体" w:hAnsi="宋体" w:eastAsia="宋体"/>
                <w:color w:val="auto"/>
                <w:highlight w:val="none"/>
                <w:lang w:val="en-US" w:eastAsia="zh-CN"/>
              </w:rPr>
              <w:t>18</w:t>
            </w:r>
          </w:p>
        </w:tc>
        <w:tc>
          <w:tcPr>
            <w:tcW w:w="2708" w:type="dxa"/>
            <w:vAlign w:val="center"/>
          </w:tcPr>
          <w:p w14:paraId="28A46A4E">
            <w:pPr>
              <w:spacing w:line="360" w:lineRule="exact"/>
              <w:jc w:val="center"/>
              <w:textAlignment w:val="baseline"/>
              <w:rPr>
                <w:rFonts w:ascii="宋体" w:hAnsi="宋体" w:cs="宋体"/>
                <w:b w:val="0"/>
                <w:bCs w:val="0"/>
                <w:color w:val="auto"/>
                <w:sz w:val="20"/>
                <w:szCs w:val="21"/>
                <w:highlight w:val="none"/>
              </w:rPr>
            </w:pPr>
            <w:r>
              <w:rPr>
                <w:rFonts w:hint="eastAsia" w:ascii="宋体" w:hAnsi="宋体" w:cs="宋体"/>
                <w:b w:val="0"/>
                <w:bCs w:val="0"/>
                <w:color w:val="auto"/>
                <w:kern w:val="0"/>
                <w:szCs w:val="21"/>
                <w:highlight w:val="none"/>
              </w:rPr>
              <w:t>招标代理费</w:t>
            </w:r>
          </w:p>
        </w:tc>
        <w:tc>
          <w:tcPr>
            <w:tcW w:w="7092" w:type="dxa"/>
            <w:vAlign w:val="center"/>
          </w:tcPr>
          <w:p w14:paraId="1D919A14">
            <w:pPr>
              <w:spacing w:line="360" w:lineRule="exact"/>
              <w:ind w:firstLine="420" w:firstLineChars="200"/>
              <w:textAlignment w:val="baseline"/>
              <w:rPr>
                <w:rFonts w:ascii="宋体" w:hAnsi="宋体" w:cs="宋体"/>
                <w:b w:val="0"/>
                <w:bCs w:val="0"/>
                <w:color w:val="auto"/>
                <w:sz w:val="20"/>
                <w:szCs w:val="21"/>
                <w:highlight w:val="none"/>
              </w:rPr>
            </w:pPr>
            <w:r>
              <w:rPr>
                <w:rFonts w:hint="eastAsia" w:ascii="宋体" w:hAnsi="宋体" w:cs="宋体"/>
                <w:b w:val="0"/>
                <w:bCs w:val="0"/>
                <w:color w:val="auto"/>
                <w:szCs w:val="21"/>
                <w:highlight w:val="none"/>
              </w:rPr>
              <w:t>本项目招标代理费(招标代理费收费标准按照国家计委关于印发《招标代理服务费管理暂行办法》的通知（计价格【2002】1980号）规定的收费标准执行，按服务招标计算），由中标人支付给代理机构。各</w:t>
            </w:r>
            <w:r>
              <w:rPr>
                <w:rFonts w:hint="eastAsia" w:ascii="宋体" w:hAnsi="宋体" w:cs="宋体"/>
                <w:b w:val="0"/>
                <w:bCs w:val="0"/>
                <w:color w:val="auto"/>
                <w:szCs w:val="21"/>
                <w:highlight w:val="none"/>
                <w:lang w:eastAsia="zh-CN"/>
              </w:rPr>
              <w:t>供应商</w:t>
            </w:r>
            <w:r>
              <w:rPr>
                <w:rFonts w:hint="eastAsia" w:ascii="宋体" w:hAnsi="宋体" w:cs="宋体"/>
                <w:b w:val="0"/>
                <w:bCs w:val="0"/>
                <w:color w:val="auto"/>
                <w:szCs w:val="21"/>
                <w:highlight w:val="none"/>
              </w:rPr>
              <w:t>在投标报价时自行考虑在投标报价中，由中标人在领取中标通知书前一次性支付给代理机构。</w:t>
            </w:r>
          </w:p>
          <w:p w14:paraId="710A680F">
            <w:pPr>
              <w:pStyle w:val="30"/>
              <w:spacing w:line="360" w:lineRule="exact"/>
              <w:ind w:firstLine="42"/>
              <w:textAlignment w:val="baseline"/>
              <w:rPr>
                <w:rFonts w:hint="eastAsia" w:ascii="宋体" w:hAnsi="宋体" w:eastAsia="宋体"/>
                <w:b w:val="0"/>
                <w:bCs w:val="0"/>
                <w:color w:val="auto"/>
                <w:highlight w:val="none"/>
                <w:lang w:eastAsia="zh-CN"/>
              </w:rPr>
            </w:pPr>
            <w:r>
              <w:rPr>
                <w:rFonts w:hint="eastAsia" w:ascii="宋体" w:hAnsi="宋体" w:eastAsia="宋体"/>
                <w:b w:val="0"/>
                <w:bCs w:val="0"/>
                <w:color w:val="auto"/>
                <w:highlight w:val="none"/>
              </w:rPr>
              <w:t>《招标代理服务费管理暂行办法》的通知规定的收费标准</w:t>
            </w:r>
          </w:p>
          <w:tbl>
            <w:tblPr>
              <w:tblStyle w:val="32"/>
              <w:tblW w:w="686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292"/>
              <w:gridCol w:w="2293"/>
              <w:gridCol w:w="2280"/>
            </w:tblGrid>
            <w:tr w14:paraId="4B4EC5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292" w:type="dxa"/>
                  <w:tcBorders>
                    <w:top w:val="single" w:color="000000" w:sz="4" w:space="0"/>
                    <w:left w:val="single" w:color="000000" w:sz="4" w:space="0"/>
                    <w:bottom w:val="single" w:color="000000" w:sz="4" w:space="0"/>
                    <w:right w:val="single" w:color="000000" w:sz="4" w:space="0"/>
                  </w:tcBorders>
                </w:tcPr>
                <w:p w14:paraId="3D97A12A">
                  <w:pPr>
                    <w:snapToGrid w:val="0"/>
                    <w:spacing w:before="100" w:after="100" w:line="360" w:lineRule="exact"/>
                    <w:jc w:val="center"/>
                    <w:textAlignment w:val="baseline"/>
                    <w:rPr>
                      <w:rFonts w:ascii="宋体" w:hAnsi="宋体" w:cs="宋体"/>
                      <w:b w:val="0"/>
                      <w:bCs w:val="0"/>
                      <w:color w:val="auto"/>
                      <w:sz w:val="20"/>
                      <w:szCs w:val="21"/>
                      <w:highlight w:val="none"/>
                    </w:rPr>
                  </w:pPr>
                  <w:r>
                    <w:rPr>
                      <w:rFonts w:hint="eastAsia" w:ascii="宋体" w:hAnsi="宋体" w:cs="宋体"/>
                      <w:b w:val="0"/>
                      <w:bCs w:val="0"/>
                      <w:color w:val="auto"/>
                      <w:szCs w:val="21"/>
                      <w:highlight w:val="none"/>
                    </w:rPr>
                    <w:t>中标金额（万元）</w:t>
                  </w:r>
                </w:p>
              </w:tc>
              <w:tc>
                <w:tcPr>
                  <w:tcW w:w="2293" w:type="dxa"/>
                  <w:tcBorders>
                    <w:top w:val="single" w:color="000000" w:sz="4" w:space="0"/>
                    <w:left w:val="single" w:color="000000" w:sz="4" w:space="0"/>
                    <w:bottom w:val="single" w:color="000000" w:sz="4" w:space="0"/>
                    <w:right w:val="single" w:color="000000" w:sz="4" w:space="0"/>
                  </w:tcBorders>
                </w:tcPr>
                <w:p w14:paraId="2CCDC5A3">
                  <w:pPr>
                    <w:snapToGrid w:val="0"/>
                    <w:spacing w:before="100" w:after="100" w:line="360" w:lineRule="exact"/>
                    <w:jc w:val="center"/>
                    <w:textAlignment w:val="baseline"/>
                    <w:rPr>
                      <w:rFonts w:ascii="宋体" w:hAnsi="宋体" w:cs="宋体"/>
                      <w:b w:val="0"/>
                      <w:bCs w:val="0"/>
                      <w:color w:val="auto"/>
                      <w:sz w:val="20"/>
                      <w:szCs w:val="21"/>
                      <w:highlight w:val="none"/>
                    </w:rPr>
                  </w:pPr>
                  <w:r>
                    <w:rPr>
                      <w:rFonts w:hint="eastAsia" w:ascii="宋体" w:hAnsi="宋体" w:cs="宋体"/>
                      <w:b w:val="0"/>
                      <w:bCs w:val="0"/>
                      <w:color w:val="auto"/>
                      <w:szCs w:val="21"/>
                      <w:highlight w:val="none"/>
                    </w:rPr>
                    <w:t>货物费率</w:t>
                  </w:r>
                </w:p>
              </w:tc>
              <w:tc>
                <w:tcPr>
                  <w:tcW w:w="2280" w:type="dxa"/>
                  <w:tcBorders>
                    <w:top w:val="single" w:color="000000" w:sz="4" w:space="0"/>
                    <w:left w:val="single" w:color="000000" w:sz="4" w:space="0"/>
                    <w:bottom w:val="single" w:color="000000" w:sz="4" w:space="0"/>
                    <w:right w:val="single" w:color="000000" w:sz="4" w:space="0"/>
                  </w:tcBorders>
                </w:tcPr>
                <w:p w14:paraId="30ABD3B0">
                  <w:pPr>
                    <w:snapToGrid w:val="0"/>
                    <w:spacing w:before="100" w:after="100" w:line="360" w:lineRule="exact"/>
                    <w:jc w:val="center"/>
                    <w:textAlignment w:val="baseline"/>
                    <w:rPr>
                      <w:rFonts w:ascii="宋体" w:hAnsi="宋体" w:cs="宋体"/>
                      <w:b w:val="0"/>
                      <w:bCs w:val="0"/>
                      <w:color w:val="auto"/>
                      <w:sz w:val="20"/>
                      <w:szCs w:val="21"/>
                      <w:highlight w:val="none"/>
                    </w:rPr>
                  </w:pPr>
                  <w:r>
                    <w:rPr>
                      <w:rFonts w:hint="eastAsia" w:ascii="宋体" w:hAnsi="宋体" w:cs="宋体"/>
                      <w:b w:val="0"/>
                      <w:bCs w:val="0"/>
                      <w:color w:val="auto"/>
                      <w:szCs w:val="21"/>
                      <w:highlight w:val="none"/>
                    </w:rPr>
                    <w:t>服务费率</w:t>
                  </w:r>
                </w:p>
              </w:tc>
            </w:tr>
            <w:tr w14:paraId="743034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292" w:type="dxa"/>
                  <w:tcBorders>
                    <w:top w:val="single" w:color="000000" w:sz="4" w:space="0"/>
                    <w:left w:val="single" w:color="000000" w:sz="4" w:space="0"/>
                    <w:bottom w:val="single" w:color="000000" w:sz="4" w:space="0"/>
                    <w:right w:val="single" w:color="000000" w:sz="4" w:space="0"/>
                  </w:tcBorders>
                </w:tcPr>
                <w:p w14:paraId="7D929529">
                  <w:pPr>
                    <w:snapToGrid w:val="0"/>
                    <w:spacing w:before="100" w:after="100" w:line="360" w:lineRule="exact"/>
                    <w:jc w:val="center"/>
                    <w:textAlignment w:val="baseline"/>
                    <w:rPr>
                      <w:rFonts w:ascii="宋体" w:hAnsi="宋体" w:cs="宋体"/>
                      <w:b w:val="0"/>
                      <w:bCs w:val="0"/>
                      <w:color w:val="auto"/>
                      <w:sz w:val="20"/>
                      <w:szCs w:val="21"/>
                      <w:highlight w:val="none"/>
                    </w:rPr>
                  </w:pPr>
                  <w:r>
                    <w:rPr>
                      <w:rFonts w:hint="eastAsia" w:ascii="宋体" w:hAnsi="宋体" w:cs="宋体"/>
                      <w:b w:val="0"/>
                      <w:bCs w:val="0"/>
                      <w:color w:val="auto"/>
                      <w:szCs w:val="21"/>
                      <w:highlight w:val="none"/>
                    </w:rPr>
                    <w:t>100以下</w:t>
                  </w:r>
                </w:p>
              </w:tc>
              <w:tc>
                <w:tcPr>
                  <w:tcW w:w="2293" w:type="dxa"/>
                  <w:tcBorders>
                    <w:top w:val="single" w:color="000000" w:sz="4" w:space="0"/>
                    <w:left w:val="single" w:color="000000" w:sz="4" w:space="0"/>
                    <w:bottom w:val="single" w:color="000000" w:sz="4" w:space="0"/>
                    <w:right w:val="single" w:color="000000" w:sz="4" w:space="0"/>
                  </w:tcBorders>
                </w:tcPr>
                <w:p w14:paraId="3025A684">
                  <w:pPr>
                    <w:snapToGrid w:val="0"/>
                    <w:spacing w:before="100" w:after="100" w:line="360" w:lineRule="exact"/>
                    <w:jc w:val="center"/>
                    <w:textAlignment w:val="baseline"/>
                    <w:rPr>
                      <w:rFonts w:ascii="宋体" w:hAnsi="宋体" w:cs="宋体"/>
                      <w:b w:val="0"/>
                      <w:bCs w:val="0"/>
                      <w:color w:val="auto"/>
                      <w:sz w:val="20"/>
                      <w:szCs w:val="21"/>
                      <w:highlight w:val="none"/>
                    </w:rPr>
                  </w:pPr>
                  <w:r>
                    <w:rPr>
                      <w:rFonts w:hint="eastAsia" w:ascii="宋体" w:hAnsi="宋体" w:cs="宋体"/>
                      <w:b w:val="0"/>
                      <w:bCs w:val="0"/>
                      <w:color w:val="auto"/>
                      <w:szCs w:val="21"/>
                      <w:highlight w:val="none"/>
                    </w:rPr>
                    <w:t>1.5%</w:t>
                  </w:r>
                </w:p>
              </w:tc>
              <w:tc>
                <w:tcPr>
                  <w:tcW w:w="2280" w:type="dxa"/>
                  <w:tcBorders>
                    <w:top w:val="single" w:color="000000" w:sz="4" w:space="0"/>
                    <w:left w:val="single" w:color="000000" w:sz="4" w:space="0"/>
                    <w:bottom w:val="single" w:color="000000" w:sz="4" w:space="0"/>
                    <w:right w:val="single" w:color="000000" w:sz="4" w:space="0"/>
                  </w:tcBorders>
                </w:tcPr>
                <w:p w14:paraId="26A05A3B">
                  <w:pPr>
                    <w:snapToGrid w:val="0"/>
                    <w:spacing w:before="100" w:after="100" w:line="360" w:lineRule="exact"/>
                    <w:jc w:val="center"/>
                    <w:textAlignment w:val="baseline"/>
                    <w:rPr>
                      <w:rFonts w:ascii="宋体" w:hAnsi="宋体" w:cs="宋体"/>
                      <w:b w:val="0"/>
                      <w:bCs w:val="0"/>
                      <w:color w:val="auto"/>
                      <w:sz w:val="20"/>
                      <w:szCs w:val="21"/>
                      <w:highlight w:val="none"/>
                    </w:rPr>
                  </w:pPr>
                  <w:r>
                    <w:rPr>
                      <w:rFonts w:hint="eastAsia" w:ascii="宋体" w:hAnsi="宋体" w:cs="宋体"/>
                      <w:b w:val="0"/>
                      <w:bCs w:val="0"/>
                      <w:color w:val="auto"/>
                      <w:szCs w:val="21"/>
                      <w:highlight w:val="none"/>
                    </w:rPr>
                    <w:t>1.5%</w:t>
                  </w:r>
                </w:p>
              </w:tc>
            </w:tr>
            <w:tr w14:paraId="52B38D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292" w:type="dxa"/>
                  <w:tcBorders>
                    <w:top w:val="single" w:color="000000" w:sz="4" w:space="0"/>
                    <w:left w:val="single" w:color="000000" w:sz="4" w:space="0"/>
                    <w:bottom w:val="single" w:color="000000" w:sz="4" w:space="0"/>
                    <w:right w:val="single" w:color="000000" w:sz="4" w:space="0"/>
                  </w:tcBorders>
                </w:tcPr>
                <w:p w14:paraId="61765056">
                  <w:pPr>
                    <w:snapToGrid w:val="0"/>
                    <w:spacing w:before="100" w:after="100" w:line="360" w:lineRule="exact"/>
                    <w:jc w:val="center"/>
                    <w:textAlignment w:val="baseline"/>
                    <w:rPr>
                      <w:rFonts w:ascii="宋体" w:hAnsi="宋体" w:cs="宋体"/>
                      <w:b w:val="0"/>
                      <w:bCs w:val="0"/>
                      <w:color w:val="auto"/>
                      <w:sz w:val="20"/>
                      <w:szCs w:val="21"/>
                      <w:highlight w:val="none"/>
                    </w:rPr>
                  </w:pPr>
                  <w:r>
                    <w:rPr>
                      <w:rFonts w:hint="eastAsia" w:ascii="宋体" w:hAnsi="宋体" w:cs="宋体"/>
                      <w:b w:val="0"/>
                      <w:bCs w:val="0"/>
                      <w:color w:val="auto"/>
                      <w:szCs w:val="21"/>
                      <w:highlight w:val="none"/>
                    </w:rPr>
                    <w:t>100-500</w:t>
                  </w:r>
                </w:p>
              </w:tc>
              <w:tc>
                <w:tcPr>
                  <w:tcW w:w="2293" w:type="dxa"/>
                  <w:tcBorders>
                    <w:top w:val="single" w:color="000000" w:sz="4" w:space="0"/>
                    <w:left w:val="single" w:color="000000" w:sz="4" w:space="0"/>
                    <w:bottom w:val="single" w:color="000000" w:sz="4" w:space="0"/>
                    <w:right w:val="single" w:color="000000" w:sz="4" w:space="0"/>
                  </w:tcBorders>
                </w:tcPr>
                <w:p w14:paraId="791D3561">
                  <w:pPr>
                    <w:snapToGrid w:val="0"/>
                    <w:spacing w:before="100" w:after="100" w:line="360" w:lineRule="exact"/>
                    <w:jc w:val="center"/>
                    <w:textAlignment w:val="baseline"/>
                    <w:rPr>
                      <w:rFonts w:ascii="宋体" w:hAnsi="宋体" w:cs="宋体"/>
                      <w:b w:val="0"/>
                      <w:bCs w:val="0"/>
                      <w:color w:val="auto"/>
                      <w:sz w:val="20"/>
                      <w:szCs w:val="21"/>
                      <w:highlight w:val="none"/>
                    </w:rPr>
                  </w:pPr>
                  <w:r>
                    <w:rPr>
                      <w:rFonts w:hint="eastAsia" w:ascii="宋体" w:hAnsi="宋体" w:cs="宋体"/>
                      <w:b w:val="0"/>
                      <w:bCs w:val="0"/>
                      <w:color w:val="auto"/>
                      <w:szCs w:val="21"/>
                      <w:highlight w:val="none"/>
                    </w:rPr>
                    <w:t>1.1%</w:t>
                  </w:r>
                </w:p>
              </w:tc>
              <w:tc>
                <w:tcPr>
                  <w:tcW w:w="2280" w:type="dxa"/>
                  <w:tcBorders>
                    <w:top w:val="single" w:color="000000" w:sz="4" w:space="0"/>
                    <w:left w:val="single" w:color="000000" w:sz="4" w:space="0"/>
                    <w:bottom w:val="single" w:color="000000" w:sz="4" w:space="0"/>
                    <w:right w:val="single" w:color="000000" w:sz="4" w:space="0"/>
                  </w:tcBorders>
                </w:tcPr>
                <w:p w14:paraId="6CB12A84">
                  <w:pPr>
                    <w:snapToGrid w:val="0"/>
                    <w:spacing w:before="100" w:after="100" w:line="360" w:lineRule="exact"/>
                    <w:jc w:val="center"/>
                    <w:textAlignment w:val="baseline"/>
                    <w:rPr>
                      <w:rFonts w:ascii="宋体" w:hAnsi="宋体" w:cs="宋体"/>
                      <w:b w:val="0"/>
                      <w:bCs w:val="0"/>
                      <w:color w:val="auto"/>
                      <w:sz w:val="20"/>
                      <w:szCs w:val="21"/>
                      <w:highlight w:val="none"/>
                    </w:rPr>
                  </w:pPr>
                  <w:r>
                    <w:rPr>
                      <w:rFonts w:hint="eastAsia" w:ascii="宋体" w:hAnsi="宋体" w:cs="宋体"/>
                      <w:b w:val="0"/>
                      <w:bCs w:val="0"/>
                      <w:color w:val="auto"/>
                      <w:szCs w:val="21"/>
                      <w:highlight w:val="none"/>
                    </w:rPr>
                    <w:t>0.8%</w:t>
                  </w:r>
                </w:p>
              </w:tc>
            </w:tr>
            <w:tr w14:paraId="571BC7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292" w:type="dxa"/>
                  <w:tcBorders>
                    <w:top w:val="single" w:color="000000" w:sz="4" w:space="0"/>
                    <w:left w:val="single" w:color="000000" w:sz="4" w:space="0"/>
                    <w:bottom w:val="single" w:color="000000" w:sz="4" w:space="0"/>
                    <w:right w:val="single" w:color="000000" w:sz="4" w:space="0"/>
                  </w:tcBorders>
                </w:tcPr>
                <w:p w14:paraId="66604835">
                  <w:pPr>
                    <w:snapToGrid w:val="0"/>
                    <w:spacing w:before="100" w:after="100" w:line="360" w:lineRule="exact"/>
                    <w:jc w:val="center"/>
                    <w:textAlignment w:val="baseline"/>
                    <w:rPr>
                      <w:rFonts w:ascii="宋体" w:hAnsi="宋体" w:cs="宋体"/>
                      <w:b w:val="0"/>
                      <w:bCs w:val="0"/>
                      <w:color w:val="auto"/>
                      <w:sz w:val="20"/>
                      <w:szCs w:val="21"/>
                      <w:highlight w:val="none"/>
                    </w:rPr>
                  </w:pPr>
                  <w:r>
                    <w:rPr>
                      <w:rFonts w:hint="eastAsia" w:ascii="宋体" w:hAnsi="宋体" w:cs="宋体"/>
                      <w:b w:val="0"/>
                      <w:bCs w:val="0"/>
                      <w:color w:val="auto"/>
                      <w:szCs w:val="21"/>
                      <w:highlight w:val="none"/>
                    </w:rPr>
                    <w:t>500-1000</w:t>
                  </w:r>
                </w:p>
              </w:tc>
              <w:tc>
                <w:tcPr>
                  <w:tcW w:w="2293" w:type="dxa"/>
                  <w:tcBorders>
                    <w:top w:val="single" w:color="000000" w:sz="4" w:space="0"/>
                    <w:left w:val="single" w:color="000000" w:sz="4" w:space="0"/>
                    <w:bottom w:val="single" w:color="000000" w:sz="4" w:space="0"/>
                    <w:right w:val="single" w:color="000000" w:sz="4" w:space="0"/>
                  </w:tcBorders>
                </w:tcPr>
                <w:p w14:paraId="62229F51">
                  <w:pPr>
                    <w:snapToGrid w:val="0"/>
                    <w:spacing w:before="100" w:after="100" w:line="360" w:lineRule="exact"/>
                    <w:jc w:val="center"/>
                    <w:textAlignment w:val="baseline"/>
                    <w:rPr>
                      <w:rFonts w:ascii="宋体" w:hAnsi="宋体" w:cs="宋体"/>
                      <w:b w:val="0"/>
                      <w:bCs w:val="0"/>
                      <w:color w:val="auto"/>
                      <w:sz w:val="20"/>
                      <w:szCs w:val="21"/>
                      <w:highlight w:val="none"/>
                    </w:rPr>
                  </w:pPr>
                  <w:r>
                    <w:rPr>
                      <w:rFonts w:hint="eastAsia" w:ascii="宋体" w:hAnsi="宋体" w:cs="宋体"/>
                      <w:b w:val="0"/>
                      <w:bCs w:val="0"/>
                      <w:color w:val="auto"/>
                      <w:szCs w:val="21"/>
                      <w:highlight w:val="none"/>
                    </w:rPr>
                    <w:t>0.8%</w:t>
                  </w:r>
                </w:p>
              </w:tc>
              <w:tc>
                <w:tcPr>
                  <w:tcW w:w="2280" w:type="dxa"/>
                  <w:tcBorders>
                    <w:top w:val="single" w:color="000000" w:sz="4" w:space="0"/>
                    <w:left w:val="single" w:color="000000" w:sz="4" w:space="0"/>
                    <w:bottom w:val="single" w:color="000000" w:sz="4" w:space="0"/>
                    <w:right w:val="single" w:color="000000" w:sz="4" w:space="0"/>
                  </w:tcBorders>
                </w:tcPr>
                <w:p w14:paraId="3AE93664">
                  <w:pPr>
                    <w:snapToGrid w:val="0"/>
                    <w:spacing w:before="100" w:after="100" w:line="360" w:lineRule="exact"/>
                    <w:jc w:val="center"/>
                    <w:textAlignment w:val="baseline"/>
                    <w:rPr>
                      <w:rFonts w:ascii="宋体" w:hAnsi="宋体" w:cs="宋体"/>
                      <w:b w:val="0"/>
                      <w:bCs w:val="0"/>
                      <w:color w:val="auto"/>
                      <w:sz w:val="20"/>
                      <w:szCs w:val="21"/>
                      <w:highlight w:val="none"/>
                    </w:rPr>
                  </w:pPr>
                  <w:r>
                    <w:rPr>
                      <w:rFonts w:hint="eastAsia" w:ascii="宋体" w:hAnsi="宋体" w:cs="宋体"/>
                      <w:b w:val="0"/>
                      <w:bCs w:val="0"/>
                      <w:color w:val="auto"/>
                      <w:szCs w:val="21"/>
                      <w:highlight w:val="none"/>
                    </w:rPr>
                    <w:t>0.45%</w:t>
                  </w:r>
                </w:p>
              </w:tc>
            </w:tr>
          </w:tbl>
          <w:p w14:paraId="45D49215">
            <w:pPr>
              <w:pStyle w:val="60"/>
              <w:spacing w:line="360" w:lineRule="exact"/>
              <w:textAlignment w:val="baseline"/>
              <w:rPr>
                <w:rFonts w:ascii="宋体" w:hAnsi="宋体"/>
                <w:b w:val="0"/>
                <w:bCs w:val="0"/>
                <w:color w:val="auto"/>
                <w:highlight w:val="none"/>
              </w:rPr>
            </w:pPr>
          </w:p>
        </w:tc>
      </w:tr>
      <w:tr w14:paraId="05889A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5" w:hRule="atLeast"/>
          <w:jc w:val="center"/>
        </w:trPr>
        <w:tc>
          <w:tcPr>
            <w:tcW w:w="699" w:type="dxa"/>
            <w:vAlign w:val="center"/>
          </w:tcPr>
          <w:p w14:paraId="5AC35861">
            <w:pPr>
              <w:pStyle w:val="30"/>
              <w:spacing w:line="360" w:lineRule="exact"/>
              <w:ind w:left="0" w:leftChars="0" w:firstLine="0" w:firstLineChars="0"/>
              <w:jc w:val="center"/>
              <w:textAlignment w:val="baseline"/>
              <w:rPr>
                <w:rFonts w:hint="default" w:ascii="宋体" w:hAnsi="宋体" w:eastAsia="宋体"/>
                <w:color w:val="auto"/>
                <w:highlight w:val="none"/>
                <w:lang w:val="en-US" w:eastAsia="zh-CN"/>
              </w:rPr>
            </w:pPr>
            <w:r>
              <w:rPr>
                <w:rFonts w:hint="eastAsia" w:ascii="宋体" w:hAnsi="宋体" w:eastAsia="宋体"/>
                <w:color w:val="auto"/>
                <w:highlight w:val="none"/>
                <w:lang w:val="en-US" w:eastAsia="zh-CN"/>
              </w:rPr>
              <w:t>19</w:t>
            </w:r>
          </w:p>
        </w:tc>
        <w:tc>
          <w:tcPr>
            <w:tcW w:w="2708" w:type="dxa"/>
            <w:vAlign w:val="center"/>
          </w:tcPr>
          <w:p w14:paraId="7586A71B">
            <w:pPr>
              <w:spacing w:line="360" w:lineRule="exact"/>
              <w:jc w:val="center"/>
              <w:textAlignment w:val="baseline"/>
              <w:rPr>
                <w:rFonts w:ascii="宋体" w:hAnsi="宋体" w:cs="宋体"/>
                <w:b w:val="0"/>
                <w:bCs w:val="0"/>
                <w:color w:val="auto"/>
                <w:kern w:val="0"/>
                <w:sz w:val="20"/>
                <w:szCs w:val="21"/>
                <w:highlight w:val="none"/>
              </w:rPr>
            </w:pPr>
            <w:r>
              <w:rPr>
                <w:rFonts w:hint="eastAsia" w:ascii="宋体" w:hAnsi="宋体" w:cs="宋体"/>
                <w:b w:val="0"/>
                <w:bCs w:val="0"/>
                <w:color w:val="auto"/>
                <w:kern w:val="0"/>
                <w:szCs w:val="21"/>
                <w:highlight w:val="none"/>
              </w:rPr>
              <w:t>特别说明</w:t>
            </w:r>
          </w:p>
        </w:tc>
        <w:tc>
          <w:tcPr>
            <w:tcW w:w="7092" w:type="dxa"/>
            <w:vAlign w:val="center"/>
          </w:tcPr>
          <w:p w14:paraId="7196449C">
            <w:pPr>
              <w:spacing w:line="360" w:lineRule="exact"/>
              <w:textAlignment w:val="baseline"/>
              <w:rPr>
                <w:rFonts w:ascii="宋体" w:hAnsi="宋体" w:cs="宋体"/>
                <w:b w:val="0"/>
                <w:bCs w:val="0"/>
                <w:color w:val="auto"/>
                <w:kern w:val="0"/>
                <w:sz w:val="20"/>
                <w:szCs w:val="21"/>
                <w:highlight w:val="none"/>
              </w:rPr>
            </w:pPr>
            <w:r>
              <w:rPr>
                <w:rFonts w:hint="eastAsia" w:ascii="宋体" w:hAnsi="宋体" w:cs="宋体"/>
                <w:b w:val="0"/>
                <w:bCs w:val="0"/>
                <w:color w:val="auto"/>
                <w:kern w:val="0"/>
                <w:szCs w:val="21"/>
                <w:highlight w:val="none"/>
              </w:rPr>
              <w:t>未注册加入浙江省政府采购</w:t>
            </w:r>
            <w:r>
              <w:rPr>
                <w:rFonts w:hint="eastAsia" w:ascii="宋体" w:hAnsi="宋体" w:cs="宋体"/>
                <w:b w:val="0"/>
                <w:bCs w:val="0"/>
                <w:color w:val="auto"/>
                <w:kern w:val="0"/>
                <w:szCs w:val="21"/>
                <w:highlight w:val="none"/>
                <w:lang w:eastAsia="zh-CN"/>
              </w:rPr>
              <w:t>供应商</w:t>
            </w:r>
            <w:r>
              <w:rPr>
                <w:rFonts w:hint="eastAsia" w:ascii="宋体" w:hAnsi="宋体" w:cs="宋体"/>
                <w:b w:val="0"/>
                <w:bCs w:val="0"/>
                <w:color w:val="auto"/>
                <w:kern w:val="0"/>
                <w:szCs w:val="21"/>
                <w:highlight w:val="none"/>
              </w:rPr>
              <w:t>库的</w:t>
            </w:r>
            <w:r>
              <w:rPr>
                <w:rFonts w:hint="eastAsia" w:ascii="宋体" w:hAnsi="宋体" w:cs="宋体"/>
                <w:b w:val="0"/>
                <w:bCs w:val="0"/>
                <w:color w:val="auto"/>
                <w:kern w:val="0"/>
                <w:szCs w:val="21"/>
                <w:highlight w:val="none"/>
                <w:lang w:eastAsia="zh-CN"/>
              </w:rPr>
              <w:t>供应商</w:t>
            </w:r>
            <w:r>
              <w:rPr>
                <w:rFonts w:hint="eastAsia" w:ascii="宋体" w:hAnsi="宋体" w:cs="宋体"/>
                <w:b w:val="0"/>
                <w:bCs w:val="0"/>
                <w:color w:val="auto"/>
                <w:kern w:val="0"/>
                <w:szCs w:val="21"/>
                <w:highlight w:val="none"/>
              </w:rPr>
              <w:t>一旦被确定为中标人的，应当在《中标通知书》发出前的三个工作日内按《关于印发浙江省政府</w:t>
            </w:r>
            <w:r>
              <w:rPr>
                <w:rFonts w:hint="eastAsia" w:ascii="宋体" w:hAnsi="宋体" w:cs="宋体"/>
                <w:b w:val="0"/>
                <w:bCs w:val="0"/>
                <w:color w:val="auto"/>
                <w:kern w:val="0"/>
                <w:szCs w:val="21"/>
                <w:highlight w:val="none"/>
                <w:lang w:eastAsia="zh-CN"/>
              </w:rPr>
              <w:t>供应商</w:t>
            </w:r>
            <w:r>
              <w:rPr>
                <w:rFonts w:hint="eastAsia" w:ascii="宋体" w:hAnsi="宋体" w:cs="宋体"/>
                <w:b w:val="0"/>
                <w:bCs w:val="0"/>
                <w:color w:val="auto"/>
                <w:kern w:val="0"/>
                <w:szCs w:val="21"/>
                <w:highlight w:val="none"/>
              </w:rPr>
              <w:t>注册及诚信管理暂行办法通知》[浙财采监字〔2009〕28号]文件的规定进行注册申请，否则，采购单位将拒绝向其发出《中标通知书》，视为未中标。</w:t>
            </w:r>
          </w:p>
        </w:tc>
      </w:tr>
      <w:tr w14:paraId="219788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6" w:hRule="atLeast"/>
          <w:jc w:val="center"/>
        </w:trPr>
        <w:tc>
          <w:tcPr>
            <w:tcW w:w="699" w:type="dxa"/>
            <w:vAlign w:val="center"/>
          </w:tcPr>
          <w:p w14:paraId="4435A919">
            <w:pPr>
              <w:pStyle w:val="30"/>
              <w:spacing w:line="360" w:lineRule="exact"/>
              <w:ind w:left="0" w:leftChars="0" w:firstLine="0" w:firstLineChars="0"/>
              <w:jc w:val="center"/>
              <w:textAlignment w:val="baseline"/>
              <w:rPr>
                <w:rFonts w:hint="eastAsia" w:ascii="宋体" w:hAnsi="宋体" w:eastAsia="宋体"/>
                <w:color w:val="auto"/>
                <w:highlight w:val="none"/>
                <w:lang w:eastAsia="zh-CN"/>
              </w:rPr>
            </w:pPr>
            <w:r>
              <w:rPr>
                <w:rFonts w:hint="eastAsia" w:ascii="宋体" w:hAnsi="宋体" w:eastAsia="宋体"/>
                <w:color w:val="auto"/>
                <w:highlight w:val="none"/>
              </w:rPr>
              <w:t>2</w:t>
            </w:r>
            <w:r>
              <w:rPr>
                <w:rFonts w:hint="eastAsia" w:ascii="宋体" w:hAnsi="宋体" w:eastAsia="宋体"/>
                <w:color w:val="auto"/>
                <w:highlight w:val="none"/>
                <w:lang w:val="en-US" w:eastAsia="zh-CN"/>
              </w:rPr>
              <w:t>0</w:t>
            </w:r>
          </w:p>
        </w:tc>
        <w:tc>
          <w:tcPr>
            <w:tcW w:w="2708" w:type="dxa"/>
            <w:vAlign w:val="center"/>
          </w:tcPr>
          <w:p w14:paraId="14C8E01F">
            <w:pPr>
              <w:pStyle w:val="9"/>
              <w:snapToGrid w:val="0"/>
              <w:spacing w:before="0" w:line="360" w:lineRule="exact"/>
              <w:textAlignment w:val="baseline"/>
              <w:rPr>
                <w:rFonts w:ascii="宋体" w:hAnsi="宋体" w:eastAsia="宋体" w:cs="宋体"/>
                <w:b w:val="0"/>
                <w:bCs w:val="0"/>
                <w:color w:val="auto"/>
                <w:highlight w:val="none"/>
              </w:rPr>
            </w:pPr>
            <w:r>
              <w:rPr>
                <w:rFonts w:hint="eastAsia" w:ascii="宋体" w:hAnsi="宋体" w:eastAsia="宋体" w:cs="宋体"/>
                <w:b w:val="0"/>
                <w:bCs w:val="0"/>
                <w:color w:val="auto"/>
                <w:kern w:val="2"/>
                <w:sz w:val="21"/>
                <w:highlight w:val="none"/>
              </w:rPr>
              <w:t>磋商供应商信用查询</w:t>
            </w:r>
          </w:p>
        </w:tc>
        <w:tc>
          <w:tcPr>
            <w:tcW w:w="7092" w:type="dxa"/>
            <w:vAlign w:val="center"/>
          </w:tcPr>
          <w:p w14:paraId="5F12645A">
            <w:pPr>
              <w:pStyle w:val="9"/>
              <w:snapToGrid w:val="0"/>
              <w:spacing w:before="0" w:line="360" w:lineRule="exact"/>
              <w:textAlignment w:val="baseline"/>
              <w:rPr>
                <w:rFonts w:ascii="宋体" w:hAnsi="宋体" w:eastAsia="宋体" w:cs="宋体"/>
                <w:b w:val="0"/>
                <w:bCs w:val="0"/>
                <w:color w:val="auto"/>
                <w:kern w:val="2"/>
                <w:sz w:val="21"/>
                <w:highlight w:val="none"/>
              </w:rPr>
            </w:pPr>
            <w:r>
              <w:rPr>
                <w:rFonts w:hint="eastAsia" w:ascii="宋体" w:hAnsi="宋体" w:eastAsia="宋体" w:cs="宋体"/>
                <w:b w:val="0"/>
                <w:bCs w:val="0"/>
                <w:color w:val="auto"/>
                <w:kern w:val="2"/>
                <w:sz w:val="21"/>
                <w:highlight w:val="none"/>
              </w:rPr>
              <w:t>根据《关于在政府采购活动中查询及使用信用记录有关问题的通知》财库[2016]125号的规定：</w:t>
            </w:r>
          </w:p>
          <w:p w14:paraId="64912D76">
            <w:pPr>
              <w:pStyle w:val="9"/>
              <w:snapToGrid w:val="0"/>
              <w:spacing w:before="0" w:line="360" w:lineRule="exact"/>
              <w:textAlignment w:val="baseline"/>
              <w:rPr>
                <w:rFonts w:ascii="宋体" w:hAnsi="宋体" w:eastAsia="宋体" w:cs="宋体"/>
                <w:b w:val="0"/>
                <w:bCs w:val="0"/>
                <w:color w:val="auto"/>
                <w:kern w:val="2"/>
                <w:sz w:val="21"/>
                <w:highlight w:val="none"/>
              </w:rPr>
            </w:pPr>
            <w:r>
              <w:rPr>
                <w:rFonts w:hint="eastAsia" w:ascii="宋体" w:hAnsi="宋体" w:eastAsia="宋体" w:cs="宋体"/>
                <w:b w:val="0"/>
                <w:bCs w:val="0"/>
                <w:color w:val="auto"/>
                <w:kern w:val="2"/>
                <w:sz w:val="21"/>
                <w:highlight w:val="none"/>
              </w:rPr>
              <w:t>1）采购代理机构将对本项目投标供应商的信用信息进行查询和甄别，查询渠道为信用中国网站（www.creditchina.gov.cn）、中国政府采购网（www.ccgp.gov.cn）。</w:t>
            </w:r>
          </w:p>
          <w:p w14:paraId="25C8E55D">
            <w:pPr>
              <w:pStyle w:val="9"/>
              <w:snapToGrid w:val="0"/>
              <w:spacing w:before="0" w:line="360" w:lineRule="exact"/>
              <w:textAlignment w:val="baseline"/>
              <w:rPr>
                <w:rFonts w:ascii="宋体" w:hAnsi="宋体" w:eastAsia="宋体" w:cs="宋体"/>
                <w:b w:val="0"/>
                <w:bCs w:val="0"/>
                <w:color w:val="auto"/>
                <w:kern w:val="2"/>
                <w:sz w:val="21"/>
                <w:highlight w:val="none"/>
              </w:rPr>
            </w:pPr>
            <w:r>
              <w:rPr>
                <w:rFonts w:hint="eastAsia" w:ascii="宋体" w:hAnsi="宋体" w:eastAsia="宋体" w:cs="宋体"/>
                <w:b w:val="0"/>
                <w:bCs w:val="0"/>
                <w:color w:val="auto"/>
                <w:kern w:val="2"/>
                <w:sz w:val="21"/>
                <w:highlight w:val="none"/>
              </w:rPr>
              <w:t>2）截止时点：提交</w:t>
            </w:r>
            <w:r>
              <w:rPr>
                <w:rFonts w:hint="eastAsia" w:ascii="宋体" w:hAnsi="宋体" w:eastAsia="宋体" w:cs="宋体"/>
                <w:b w:val="0"/>
                <w:bCs w:val="0"/>
                <w:color w:val="auto"/>
                <w:kern w:val="2"/>
                <w:sz w:val="21"/>
                <w:highlight w:val="none"/>
                <w:lang w:eastAsia="zh-CN"/>
              </w:rPr>
              <w:t>响应文件</w:t>
            </w:r>
            <w:r>
              <w:rPr>
                <w:rFonts w:hint="eastAsia" w:ascii="宋体" w:hAnsi="宋体" w:eastAsia="宋体" w:cs="宋体"/>
                <w:b w:val="0"/>
                <w:bCs w:val="0"/>
                <w:color w:val="auto"/>
                <w:kern w:val="2"/>
                <w:sz w:val="21"/>
                <w:highlight w:val="none"/>
              </w:rPr>
              <w:t>（响应文件）截止时间前3年内。</w:t>
            </w:r>
          </w:p>
          <w:p w14:paraId="742FFAEA">
            <w:pPr>
              <w:pStyle w:val="9"/>
              <w:snapToGrid w:val="0"/>
              <w:spacing w:before="0" w:line="360" w:lineRule="exact"/>
              <w:textAlignment w:val="baseline"/>
              <w:rPr>
                <w:rFonts w:ascii="宋体" w:hAnsi="宋体" w:eastAsia="宋体" w:cs="宋体"/>
                <w:b w:val="0"/>
                <w:bCs w:val="0"/>
                <w:color w:val="auto"/>
                <w:kern w:val="2"/>
                <w:sz w:val="21"/>
                <w:highlight w:val="none"/>
              </w:rPr>
            </w:pPr>
            <w:r>
              <w:rPr>
                <w:rFonts w:hint="eastAsia" w:ascii="宋体" w:hAnsi="宋体" w:eastAsia="宋体" w:cs="宋体"/>
                <w:b w:val="0"/>
                <w:bCs w:val="0"/>
                <w:color w:val="auto"/>
                <w:kern w:val="2"/>
                <w:sz w:val="21"/>
                <w:highlight w:val="none"/>
              </w:rPr>
              <w:t>3）信用信息查询记录和证据以网页截图方式留存。</w:t>
            </w:r>
          </w:p>
          <w:p w14:paraId="04A2435B">
            <w:pPr>
              <w:pStyle w:val="9"/>
              <w:snapToGrid w:val="0"/>
              <w:spacing w:before="0" w:line="360" w:lineRule="exact"/>
              <w:textAlignment w:val="baseline"/>
              <w:rPr>
                <w:rFonts w:ascii="宋体" w:hAnsi="宋体" w:eastAsia="宋体" w:cs="宋体"/>
                <w:b w:val="0"/>
                <w:bCs w:val="0"/>
                <w:color w:val="auto"/>
                <w:kern w:val="2"/>
                <w:sz w:val="21"/>
                <w:highlight w:val="none"/>
              </w:rPr>
            </w:pPr>
            <w:r>
              <w:rPr>
                <w:rFonts w:hint="eastAsia" w:ascii="宋体" w:hAnsi="宋体" w:eastAsia="宋体" w:cs="宋体"/>
                <w:b w:val="0"/>
                <w:bCs w:val="0"/>
                <w:color w:val="auto"/>
                <w:kern w:val="2"/>
                <w:sz w:val="21"/>
                <w:highlight w:val="none"/>
              </w:rPr>
              <w:t>4）不良信用记录指：1.被列入信用中国网站“失信被执行人”“重大税收违法案件当事人”名单； 2.被列入中国政府采购网政府采购严重违法失信行为记录名单；</w:t>
            </w:r>
          </w:p>
          <w:p w14:paraId="4FFED7C2">
            <w:pPr>
              <w:pStyle w:val="9"/>
              <w:snapToGrid w:val="0"/>
              <w:spacing w:before="0" w:line="360" w:lineRule="exact"/>
              <w:textAlignment w:val="baseline"/>
              <w:rPr>
                <w:rFonts w:ascii="宋体" w:hAnsi="宋体" w:eastAsia="宋体" w:cs="宋体"/>
                <w:b w:val="0"/>
                <w:bCs w:val="0"/>
                <w:color w:val="auto"/>
                <w:kern w:val="2"/>
                <w:sz w:val="21"/>
                <w:highlight w:val="none"/>
              </w:rPr>
            </w:pPr>
            <w:r>
              <w:rPr>
                <w:rFonts w:hint="eastAsia" w:ascii="宋体" w:hAnsi="宋体" w:eastAsia="宋体" w:cs="宋体"/>
                <w:b w:val="0"/>
                <w:bCs w:val="0"/>
                <w:color w:val="auto"/>
                <w:kern w:val="2"/>
                <w:sz w:val="21"/>
                <w:highlight w:val="none"/>
              </w:rPr>
              <w:t>5）信用信息的使用规则：供应商存在不良信用记录的，其</w:t>
            </w:r>
            <w:r>
              <w:rPr>
                <w:rFonts w:hint="eastAsia" w:ascii="宋体" w:hAnsi="宋体" w:eastAsia="宋体" w:cs="宋体"/>
                <w:b w:val="0"/>
                <w:bCs w:val="0"/>
                <w:color w:val="auto"/>
                <w:kern w:val="2"/>
                <w:sz w:val="21"/>
                <w:highlight w:val="none"/>
                <w:lang w:eastAsia="zh-CN"/>
              </w:rPr>
              <w:t>响应文件</w:t>
            </w:r>
            <w:r>
              <w:rPr>
                <w:rFonts w:hint="eastAsia" w:ascii="宋体" w:hAnsi="宋体" w:eastAsia="宋体" w:cs="宋体"/>
                <w:b w:val="0"/>
                <w:bCs w:val="0"/>
                <w:color w:val="auto"/>
                <w:kern w:val="2"/>
                <w:sz w:val="21"/>
                <w:highlight w:val="none"/>
              </w:rPr>
              <w:t>将被拒绝。</w:t>
            </w:r>
          </w:p>
          <w:p w14:paraId="79F5F71E">
            <w:pPr>
              <w:spacing w:line="360" w:lineRule="exact"/>
              <w:jc w:val="left"/>
              <w:textAlignment w:val="baseline"/>
              <w:rPr>
                <w:rFonts w:ascii="宋体" w:hAnsi="宋体" w:cs="宋体"/>
                <w:b w:val="0"/>
                <w:bCs w:val="0"/>
                <w:color w:val="auto"/>
                <w:kern w:val="0"/>
                <w:sz w:val="20"/>
                <w:szCs w:val="21"/>
                <w:highlight w:val="none"/>
              </w:rPr>
            </w:pPr>
            <w:r>
              <w:rPr>
                <w:rFonts w:hint="eastAsia" w:ascii="宋体" w:hAnsi="宋体" w:cs="宋体"/>
                <w:b w:val="0"/>
                <w:bCs w:val="0"/>
                <w:color w:val="auto"/>
                <w:highlight w:val="none"/>
              </w:rPr>
              <w:t>6）如允许联合体投标的，联合体成员存在不良信用记录视同联合体存在不良信用记录。</w:t>
            </w:r>
          </w:p>
        </w:tc>
      </w:tr>
      <w:tr w14:paraId="1CE72C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5" w:hRule="atLeast"/>
          <w:jc w:val="center"/>
        </w:trPr>
        <w:tc>
          <w:tcPr>
            <w:tcW w:w="699" w:type="dxa"/>
            <w:vAlign w:val="center"/>
          </w:tcPr>
          <w:p w14:paraId="1758812F">
            <w:pPr>
              <w:pStyle w:val="12"/>
              <w:ind w:firstLine="0" w:firstLineChars="0"/>
              <w:jc w:val="center"/>
              <w:rPr>
                <w:rFonts w:hint="default" w:ascii="宋体" w:hAnsi="宋体" w:eastAsia="宋体" w:cs="宋体"/>
                <w:color w:val="auto"/>
                <w:highlight w:val="none"/>
                <w:lang w:val="en-US" w:eastAsia="zh-CN"/>
              </w:rPr>
            </w:pPr>
            <w:r>
              <w:rPr>
                <w:rFonts w:hint="eastAsia" w:ascii="宋体" w:hAnsi="宋体" w:cs="宋体"/>
                <w:color w:val="auto"/>
                <w:sz w:val="21"/>
                <w:szCs w:val="21"/>
                <w:highlight w:val="none"/>
                <w:lang w:val="en-US" w:eastAsia="zh-CN"/>
              </w:rPr>
              <w:t>21</w:t>
            </w:r>
          </w:p>
        </w:tc>
        <w:tc>
          <w:tcPr>
            <w:tcW w:w="2708" w:type="dxa"/>
            <w:vAlign w:val="center"/>
          </w:tcPr>
          <w:p w14:paraId="6AF4C6F7">
            <w:pPr>
              <w:pStyle w:val="28"/>
              <w:spacing w:beforeAutospacing="0" w:afterAutospacing="0" w:line="360" w:lineRule="exact"/>
              <w:jc w:val="center"/>
              <w:rPr>
                <w:rFonts w:cs="宋体"/>
                <w:color w:val="auto"/>
                <w:kern w:val="2"/>
                <w:sz w:val="21"/>
                <w:szCs w:val="21"/>
                <w:highlight w:val="none"/>
              </w:rPr>
            </w:pPr>
            <w:r>
              <w:rPr>
                <w:rFonts w:hint="eastAsia" w:cs="宋体"/>
                <w:color w:val="auto"/>
                <w:kern w:val="2"/>
                <w:sz w:val="21"/>
                <w:szCs w:val="21"/>
                <w:highlight w:val="none"/>
              </w:rPr>
              <w:t>本项目落实的政府</w:t>
            </w:r>
          </w:p>
          <w:p w14:paraId="39490D73">
            <w:pPr>
              <w:pStyle w:val="28"/>
              <w:spacing w:beforeAutospacing="0" w:afterAutospacing="0" w:line="360" w:lineRule="exact"/>
              <w:jc w:val="center"/>
              <w:rPr>
                <w:rFonts w:ascii="宋体" w:hAnsi="宋体" w:eastAsia="宋体" w:cs="宋体"/>
                <w:b w:val="0"/>
                <w:bCs w:val="0"/>
                <w:color w:val="auto"/>
                <w:kern w:val="2"/>
                <w:sz w:val="21"/>
                <w:highlight w:val="none"/>
              </w:rPr>
            </w:pPr>
            <w:r>
              <w:rPr>
                <w:rFonts w:hint="eastAsia" w:cs="宋体"/>
                <w:color w:val="auto"/>
                <w:kern w:val="2"/>
                <w:sz w:val="21"/>
                <w:szCs w:val="21"/>
                <w:highlight w:val="none"/>
              </w:rPr>
              <w:t>采购政策</w:t>
            </w:r>
          </w:p>
        </w:tc>
        <w:tc>
          <w:tcPr>
            <w:tcW w:w="7092" w:type="dxa"/>
            <w:vAlign w:val="center"/>
          </w:tcPr>
          <w:p w14:paraId="3B402960">
            <w:pPr>
              <w:pStyle w:val="28"/>
              <w:numPr>
                <w:ilvl w:val="0"/>
                <w:numId w:val="7"/>
              </w:numPr>
              <w:tabs>
                <w:tab w:val="left" w:pos="6930"/>
              </w:tabs>
              <w:spacing w:beforeAutospacing="0" w:afterAutospacing="0" w:line="360" w:lineRule="exact"/>
              <w:rPr>
                <w:rFonts w:cs="宋体"/>
                <w:color w:val="auto"/>
                <w:sz w:val="21"/>
                <w:szCs w:val="21"/>
                <w:highlight w:val="none"/>
              </w:rPr>
            </w:pPr>
            <w:r>
              <w:rPr>
                <w:rFonts w:hint="eastAsia" w:cs="宋体"/>
                <w:color w:val="auto"/>
                <w:sz w:val="21"/>
                <w:szCs w:val="21"/>
                <w:highlight w:val="none"/>
              </w:rPr>
              <w:t>政府采购促进中小企业发展扶持政策</w:t>
            </w:r>
          </w:p>
          <w:p w14:paraId="5D704AF3">
            <w:pPr>
              <w:pStyle w:val="28"/>
              <w:tabs>
                <w:tab w:val="left" w:pos="6930"/>
              </w:tabs>
              <w:spacing w:beforeAutospacing="0" w:afterAutospacing="0" w:line="360" w:lineRule="exact"/>
              <w:rPr>
                <w:rFonts w:cs="宋体"/>
                <w:b/>
                <w:bCs/>
                <w:color w:val="auto"/>
                <w:sz w:val="21"/>
                <w:szCs w:val="21"/>
                <w:highlight w:val="none"/>
              </w:rPr>
            </w:pPr>
            <w:r>
              <w:rPr>
                <w:rFonts w:hint="eastAsia" w:cs="宋体"/>
                <w:color w:val="auto"/>
                <w:sz w:val="21"/>
                <w:szCs w:val="21"/>
                <w:highlight w:val="none"/>
              </w:rPr>
              <w:t>1.根据《政府采购促进中小企业发展管理办法》（财库[2020]46 号）、《财政部、司法部关于政府采购支持监狱企业发展有关问题的通知》（财库〔2014〕68号）、《关于促进残疾人就业政府采购政策的通知》（财库〔2017〕141号）、《关于进一步发挥政府采购政策功能全力推动经济稳进提质的通知》（浙财采监〔2022〕3号）规定及《浙江省财政厅关于进一步加大政府采购支持中小企业力度 助力扎实稳住经济的通知》（浙财采监〔2022〕8号），本项目对小型或微型企业执行价格扣除优惠政策（符合规定条件的监狱企业或残疾人福利性单位视同小微企业），具体措施为：对小型和微型企业（监狱企业、残疾人福利性单位）制造的货物或承接的服务报价给予</w:t>
            </w:r>
            <w:r>
              <w:rPr>
                <w:rFonts w:hint="eastAsia" w:cs="宋体"/>
                <w:color w:val="auto"/>
                <w:sz w:val="21"/>
                <w:szCs w:val="21"/>
                <w:highlight w:val="none"/>
                <w:lang w:val="en-US" w:eastAsia="zh-CN"/>
              </w:rPr>
              <w:t>1</w:t>
            </w:r>
            <w:r>
              <w:rPr>
                <w:rFonts w:hint="eastAsia" w:cs="宋体"/>
                <w:color w:val="auto"/>
                <w:sz w:val="21"/>
                <w:szCs w:val="21"/>
                <w:highlight w:val="none"/>
              </w:rPr>
              <w:t>0%的扣除、承建的工程项目报价给予5%的扣除；对于联合体协议或者分包意向协议约定小微企业的合同份额占到合同总金额30%以上的，对于联合体或者大中型企业制造的货物或承接的服务报价给予6%的扣除、承建的工程项目报价给予2%的扣除。用扣除后的价格参加报价分评审，欢迎符合规定的供应商参与本项目采购活动。</w:t>
            </w:r>
            <w:r>
              <w:rPr>
                <w:rFonts w:hint="eastAsia" w:cs="宋体"/>
                <w:b/>
                <w:bCs/>
                <w:color w:val="auto"/>
                <w:sz w:val="21"/>
                <w:szCs w:val="21"/>
                <w:highlight w:val="none"/>
              </w:rPr>
              <w:t>专门面向中小企业采购的项目或者采购包，不再执行价格评审优惠的扶持政策。</w:t>
            </w:r>
          </w:p>
          <w:p w14:paraId="64C4A595">
            <w:pPr>
              <w:pStyle w:val="28"/>
              <w:tabs>
                <w:tab w:val="left" w:pos="6930"/>
              </w:tabs>
              <w:spacing w:beforeAutospacing="0" w:afterAutospacing="0" w:line="360" w:lineRule="exact"/>
              <w:rPr>
                <w:rFonts w:cs="宋体"/>
                <w:color w:val="auto"/>
                <w:sz w:val="21"/>
                <w:szCs w:val="21"/>
                <w:highlight w:val="none"/>
              </w:rPr>
            </w:pPr>
            <w:r>
              <w:rPr>
                <w:rFonts w:hint="eastAsia" w:cs="宋体"/>
                <w:color w:val="auto"/>
                <w:sz w:val="21"/>
                <w:szCs w:val="21"/>
                <w:highlight w:val="none"/>
              </w:rPr>
              <w:t>2.满足相关规定且有意享受价格扣除优惠政策的供应商，应当根据自身企业类型或所投产品制造商企业类型不同，按采购文件要求分别如实填写并提供证明材料供评审小组核实、认定，经评审小组认定填写内容错误或未提供所需证明材料的，不给予评标价格扣除。</w:t>
            </w:r>
          </w:p>
          <w:p w14:paraId="358B6D14">
            <w:pPr>
              <w:pStyle w:val="28"/>
              <w:tabs>
                <w:tab w:val="left" w:pos="6930"/>
              </w:tabs>
              <w:spacing w:beforeAutospacing="0" w:afterAutospacing="0" w:line="360" w:lineRule="exact"/>
              <w:rPr>
                <w:rFonts w:cs="宋体"/>
                <w:color w:val="auto"/>
                <w:sz w:val="21"/>
                <w:szCs w:val="21"/>
                <w:highlight w:val="none"/>
              </w:rPr>
            </w:pPr>
            <w:r>
              <w:rPr>
                <w:rFonts w:hint="eastAsia" w:cs="宋体"/>
                <w:color w:val="auto"/>
                <w:sz w:val="21"/>
                <w:szCs w:val="21"/>
                <w:highlight w:val="none"/>
              </w:rPr>
              <w:t>3.依据《政府采购促进中小企业发展管理办法》（财库〔2020〕46号）规定享受价格扣除优惠政策而中标（成交）获得政府采购合同的小微企业，不得将合同分包给大中型企业。否则按提供虚假材料谋取中标（成交）处理。</w:t>
            </w:r>
          </w:p>
          <w:p w14:paraId="2239098C">
            <w:pPr>
              <w:pStyle w:val="28"/>
              <w:tabs>
                <w:tab w:val="left" w:pos="6930"/>
              </w:tabs>
              <w:spacing w:beforeAutospacing="0" w:afterAutospacing="0" w:line="360" w:lineRule="exact"/>
              <w:rPr>
                <w:rFonts w:cs="宋体"/>
                <w:color w:val="auto"/>
                <w:sz w:val="21"/>
                <w:szCs w:val="21"/>
                <w:highlight w:val="none"/>
              </w:rPr>
            </w:pPr>
            <w:r>
              <w:rPr>
                <w:rFonts w:hint="eastAsia" w:cs="宋体"/>
                <w:color w:val="auto"/>
                <w:sz w:val="21"/>
                <w:szCs w:val="21"/>
                <w:highlight w:val="none"/>
              </w:rPr>
              <w:t>4.本采购文件所称中小企业，是指在中华人民共和国境内依法设立，依据国务院批准的中小企业划分标准确定的中型企业、小型企业和微型企业，但与大企业的负责人为同一人，或者与大企业存在直接控股、管理关系的除外。符合小微企业划分标准的个体工商户，视同小微企业。</w:t>
            </w:r>
          </w:p>
          <w:p w14:paraId="5C93763C">
            <w:pPr>
              <w:pStyle w:val="28"/>
              <w:tabs>
                <w:tab w:val="left" w:pos="6930"/>
              </w:tabs>
              <w:spacing w:beforeAutospacing="0" w:afterAutospacing="0" w:line="360" w:lineRule="exact"/>
              <w:rPr>
                <w:rFonts w:cs="宋体"/>
                <w:color w:val="auto"/>
                <w:sz w:val="21"/>
                <w:szCs w:val="21"/>
                <w:highlight w:val="none"/>
              </w:rPr>
            </w:pPr>
            <w:r>
              <w:rPr>
                <w:rFonts w:hint="eastAsia" w:cs="宋体"/>
                <w:color w:val="auto"/>
                <w:sz w:val="21"/>
                <w:szCs w:val="21"/>
                <w:highlight w:val="none"/>
              </w:rPr>
              <w:t>二、政府采购节能环保政策（适用于货物采购项目）</w:t>
            </w:r>
          </w:p>
          <w:p w14:paraId="52443856">
            <w:pPr>
              <w:pStyle w:val="28"/>
              <w:tabs>
                <w:tab w:val="left" w:pos="6930"/>
              </w:tabs>
              <w:spacing w:beforeAutospacing="0" w:afterAutospacing="0" w:line="360" w:lineRule="exact"/>
              <w:rPr>
                <w:rFonts w:cs="宋体"/>
                <w:color w:val="auto"/>
                <w:sz w:val="21"/>
                <w:szCs w:val="21"/>
                <w:highlight w:val="none"/>
              </w:rPr>
            </w:pPr>
            <w:r>
              <w:rPr>
                <w:rFonts w:hint="eastAsia" w:cs="宋体"/>
                <w:color w:val="auto"/>
                <w:sz w:val="21"/>
                <w:szCs w:val="21"/>
                <w:highlight w:val="none"/>
              </w:rPr>
              <w:t>1.根据《关于调整优化节能产品、环境标志产品政府采购执行机制的通知》（财库〔 2019 〕9号）规定，采购需求产品在《环境标志产品政府采购品目清单》范围内或在《节能产品政府采购品目清单》中属于未标注“★”的一般节能产品的，实施优先采购。供应商提供的产品属于节能、环保产品且按照采购文件要求提供国家确定的认证机构出具的、处于有效期之内的《环境标志产品认证证书》或《节能产品认证证书》的，将依据评审标准给予其相应得分。认证机构范围以《市场监管总局关于发布参与实施政府采购节能产品、环境标志产品认证机构名录的公告》中公布的认证机构名录为准。</w:t>
            </w:r>
          </w:p>
          <w:p w14:paraId="2416035C">
            <w:pPr>
              <w:pStyle w:val="28"/>
              <w:tabs>
                <w:tab w:val="left" w:pos="6930"/>
              </w:tabs>
              <w:spacing w:beforeAutospacing="0" w:afterAutospacing="0" w:line="360" w:lineRule="exact"/>
              <w:rPr>
                <w:rFonts w:ascii="宋体" w:hAnsi="宋体" w:cs="宋体"/>
                <w:color w:val="auto"/>
                <w:szCs w:val="24"/>
                <w:highlight w:val="none"/>
              </w:rPr>
            </w:pPr>
            <w:r>
              <w:rPr>
                <w:rFonts w:hint="eastAsia" w:cs="宋体"/>
                <w:color w:val="auto"/>
                <w:sz w:val="21"/>
                <w:szCs w:val="21"/>
                <w:highlight w:val="none"/>
              </w:rPr>
              <w:t>2.采购需求产品属于《节能产品政府采购品目清单》中标注“ ★ ”的节能产品的，实施强制采购。供应商应当根据采购文件要求提供国家确定的认证机构（范围同上一条）出具的、处于有效期之内的《节能产品认证证书》，否则按无效响应处理。</w:t>
            </w:r>
          </w:p>
        </w:tc>
      </w:tr>
      <w:tr w14:paraId="31FD54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5" w:hRule="atLeast"/>
          <w:jc w:val="center"/>
        </w:trPr>
        <w:tc>
          <w:tcPr>
            <w:tcW w:w="699" w:type="dxa"/>
            <w:vAlign w:val="center"/>
          </w:tcPr>
          <w:p w14:paraId="0B8CE3B8">
            <w:pPr>
              <w:pStyle w:val="12"/>
              <w:ind w:firstLine="0" w:firstLineChars="0"/>
              <w:jc w:val="center"/>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22</w:t>
            </w:r>
          </w:p>
        </w:tc>
        <w:tc>
          <w:tcPr>
            <w:tcW w:w="2708" w:type="dxa"/>
            <w:vAlign w:val="center"/>
          </w:tcPr>
          <w:p w14:paraId="1DE1FD4C">
            <w:pPr>
              <w:pStyle w:val="9"/>
              <w:keepNext w:val="0"/>
              <w:keepLines w:val="0"/>
              <w:pageBreakBefore w:val="0"/>
              <w:kinsoku/>
              <w:overflowPunct/>
              <w:topLinePunct w:val="0"/>
              <w:bidi w:val="0"/>
              <w:snapToGrid w:val="0"/>
              <w:spacing w:before="0" w:line="300" w:lineRule="auto"/>
              <w:jc w:val="center"/>
              <w:rPr>
                <w:rFonts w:hint="eastAsia" w:ascii="宋体" w:hAnsi="宋体" w:eastAsia="宋体" w:cs="宋体"/>
                <w:b w:val="0"/>
                <w:bCs w:val="0"/>
                <w:color w:val="auto"/>
                <w:kern w:val="2"/>
                <w:sz w:val="21"/>
                <w:highlight w:val="none"/>
              </w:rPr>
            </w:pPr>
            <w:r>
              <w:rPr>
                <w:rFonts w:hint="eastAsia" w:ascii="宋体" w:hAnsi="宋体" w:eastAsia="宋体" w:cs="宋体"/>
                <w:b w:val="0"/>
                <w:bCs w:val="0"/>
                <w:color w:val="auto"/>
                <w:kern w:val="2"/>
                <w:sz w:val="21"/>
                <w:highlight w:val="none"/>
              </w:rPr>
              <w:t>专门面向中小企业预留采购份额情况</w:t>
            </w:r>
          </w:p>
        </w:tc>
        <w:tc>
          <w:tcPr>
            <w:tcW w:w="7092" w:type="dxa"/>
            <w:vAlign w:val="center"/>
          </w:tcPr>
          <w:p w14:paraId="422D22DA">
            <w:pPr>
              <w:pStyle w:val="28"/>
              <w:keepNext w:val="0"/>
              <w:keepLines w:val="0"/>
              <w:pageBreakBefore w:val="0"/>
              <w:tabs>
                <w:tab w:val="left" w:pos="6930"/>
              </w:tabs>
              <w:kinsoku/>
              <w:overflowPunct/>
              <w:topLinePunct w:val="0"/>
              <w:bidi w:val="0"/>
              <w:spacing w:beforeAutospacing="0" w:after="0" w:afterAutospacing="0" w:line="300" w:lineRule="auto"/>
              <w:rPr>
                <w:rFonts w:hint="eastAsia" w:ascii="宋体" w:hAnsi="宋体" w:cs="宋体"/>
                <w:color w:val="auto"/>
                <w:highlight w:val="none"/>
                <w:lang w:val="en-US" w:eastAsia="zh-CN"/>
              </w:rPr>
            </w:pPr>
            <w:r>
              <w:rPr>
                <w:rFonts w:hint="eastAsia" w:cs="宋体"/>
                <w:b/>
                <w:bCs/>
                <w:color w:val="auto"/>
                <w:sz w:val="21"/>
                <w:szCs w:val="21"/>
                <w:highlight w:val="none"/>
              </w:rPr>
              <w:t>本项目</w:t>
            </w:r>
            <w:r>
              <w:rPr>
                <w:rFonts w:hint="eastAsia" w:cs="宋体"/>
                <w:b/>
                <w:bCs/>
                <w:color w:val="auto"/>
                <w:sz w:val="21"/>
                <w:szCs w:val="21"/>
                <w:highlight w:val="none"/>
                <w:lang w:eastAsia="zh-CN"/>
              </w:rPr>
              <w:t>【</w:t>
            </w:r>
            <w:r>
              <w:rPr>
                <w:rFonts w:hint="eastAsia" w:cs="宋体"/>
                <w:b w:val="0"/>
                <w:bCs w:val="0"/>
                <w:color w:val="auto"/>
                <w:sz w:val="21"/>
                <w:szCs w:val="21"/>
                <w:highlight w:val="none"/>
                <w:lang w:eastAsia="zh-CN"/>
              </w:rPr>
              <w:t>（</w:t>
            </w:r>
            <w:r>
              <w:rPr>
                <w:rFonts w:hint="eastAsia" w:cs="宋体"/>
                <w:b w:val="0"/>
                <w:bCs w:val="0"/>
                <w:color w:val="auto"/>
                <w:sz w:val="21"/>
                <w:szCs w:val="21"/>
                <w:highlight w:val="none"/>
                <w:lang w:val="en-US" w:eastAsia="zh-CN"/>
              </w:rPr>
              <w:t xml:space="preserve"> </w:t>
            </w:r>
            <w:r>
              <w:rPr>
                <w:rFonts w:hint="default" w:ascii="Arial" w:hAnsi="Arial" w:cs="Arial"/>
                <w:b w:val="0"/>
                <w:bCs w:val="0"/>
                <w:color w:val="auto"/>
                <w:sz w:val="21"/>
                <w:szCs w:val="21"/>
                <w:highlight w:val="none"/>
                <w:lang w:eastAsia="zh-CN"/>
              </w:rPr>
              <w:t>√</w:t>
            </w:r>
            <w:r>
              <w:rPr>
                <w:rFonts w:hint="eastAsia" w:cs="宋体"/>
                <w:b w:val="0"/>
                <w:bCs w:val="0"/>
                <w:color w:val="auto"/>
                <w:sz w:val="21"/>
                <w:szCs w:val="21"/>
                <w:highlight w:val="none"/>
                <w:lang w:eastAsia="zh-CN"/>
              </w:rPr>
              <w:t>）</w:t>
            </w:r>
            <w:r>
              <w:rPr>
                <w:rFonts w:hint="eastAsia" w:cs="宋体"/>
                <w:b/>
                <w:bCs/>
                <w:color w:val="auto"/>
                <w:sz w:val="21"/>
                <w:szCs w:val="21"/>
                <w:highlight w:val="none"/>
                <w:lang w:eastAsia="zh-CN"/>
              </w:rPr>
              <w:t>是</w:t>
            </w:r>
            <w:r>
              <w:rPr>
                <w:rFonts w:hint="eastAsia" w:cs="宋体"/>
                <w:b w:val="0"/>
                <w:bCs w:val="0"/>
                <w:color w:val="auto"/>
                <w:sz w:val="21"/>
                <w:szCs w:val="21"/>
                <w:highlight w:val="none"/>
                <w:lang w:eastAsia="zh-CN"/>
              </w:rPr>
              <w:t>（）</w:t>
            </w:r>
            <w:r>
              <w:rPr>
                <w:rFonts w:hint="eastAsia" w:cs="宋体"/>
                <w:b/>
                <w:bCs/>
                <w:color w:val="auto"/>
                <w:sz w:val="21"/>
                <w:szCs w:val="21"/>
                <w:highlight w:val="none"/>
                <w:lang w:eastAsia="zh-CN"/>
              </w:rPr>
              <w:t>非】</w:t>
            </w:r>
            <w:r>
              <w:rPr>
                <w:rFonts w:hint="eastAsia" w:cs="宋体"/>
                <w:b/>
                <w:bCs/>
                <w:color w:val="auto"/>
                <w:sz w:val="21"/>
                <w:szCs w:val="21"/>
                <w:highlight w:val="none"/>
              </w:rPr>
              <w:t>预留（或部分预留）份额专门面向中小企业采购的采购项目。</w:t>
            </w:r>
          </w:p>
        </w:tc>
      </w:tr>
      <w:tr w14:paraId="0CB9E0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0" w:hRule="atLeast"/>
          <w:jc w:val="center"/>
        </w:trPr>
        <w:tc>
          <w:tcPr>
            <w:tcW w:w="699" w:type="dxa"/>
            <w:vAlign w:val="center"/>
          </w:tcPr>
          <w:p w14:paraId="23903881">
            <w:pPr>
              <w:pStyle w:val="12"/>
              <w:ind w:firstLine="0" w:firstLineChars="0"/>
              <w:jc w:val="center"/>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23</w:t>
            </w:r>
          </w:p>
        </w:tc>
        <w:tc>
          <w:tcPr>
            <w:tcW w:w="2708" w:type="dxa"/>
            <w:vAlign w:val="center"/>
          </w:tcPr>
          <w:p w14:paraId="43B5233D">
            <w:pPr>
              <w:pStyle w:val="9"/>
              <w:keepNext w:val="0"/>
              <w:keepLines w:val="0"/>
              <w:pageBreakBefore w:val="0"/>
              <w:kinsoku/>
              <w:overflowPunct/>
              <w:topLinePunct w:val="0"/>
              <w:bidi w:val="0"/>
              <w:snapToGrid/>
              <w:spacing w:before="0" w:line="300" w:lineRule="auto"/>
              <w:jc w:val="center"/>
              <w:rPr>
                <w:rFonts w:hint="eastAsia" w:ascii="宋体" w:hAnsi="宋体" w:eastAsia="宋体" w:cs="宋体"/>
                <w:b w:val="0"/>
                <w:bCs w:val="0"/>
                <w:color w:val="auto"/>
                <w:kern w:val="2"/>
                <w:sz w:val="21"/>
                <w:highlight w:val="none"/>
              </w:rPr>
            </w:pPr>
            <w:r>
              <w:rPr>
                <w:rFonts w:hint="eastAsia" w:ascii="宋体" w:hAnsi="宋体" w:eastAsia="宋体" w:cs="宋体"/>
                <w:b w:val="0"/>
                <w:bCs w:val="0"/>
                <w:color w:val="auto"/>
                <w:kern w:val="2"/>
                <w:sz w:val="21"/>
                <w:highlight w:val="none"/>
              </w:rPr>
              <w:t>采购标的及对应的中小企业划型标准所属行业</w:t>
            </w:r>
          </w:p>
        </w:tc>
        <w:tc>
          <w:tcPr>
            <w:tcW w:w="7092" w:type="dxa"/>
            <w:vAlign w:val="center"/>
          </w:tcPr>
          <w:p w14:paraId="72E933FC">
            <w:pPr>
              <w:pStyle w:val="28"/>
              <w:keepNext w:val="0"/>
              <w:keepLines w:val="0"/>
              <w:pageBreakBefore w:val="0"/>
              <w:tabs>
                <w:tab w:val="left" w:pos="6930"/>
              </w:tabs>
              <w:kinsoku/>
              <w:overflowPunct/>
              <w:topLinePunct w:val="0"/>
              <w:bidi w:val="0"/>
              <w:snapToGrid/>
              <w:spacing w:beforeAutospacing="0" w:after="0" w:afterAutospacing="0" w:line="30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本项目采购标的</w:t>
            </w:r>
            <w:r>
              <w:rPr>
                <w:rFonts w:hint="eastAsia" w:ascii="宋体" w:hAnsi="宋体" w:eastAsia="宋体" w:cs="宋体"/>
                <w:color w:val="auto"/>
                <w:sz w:val="21"/>
                <w:szCs w:val="21"/>
                <w:highlight w:val="none"/>
                <w:lang w:val="en-US" w:eastAsia="zh-CN"/>
              </w:rPr>
              <w:t>内容</w:t>
            </w:r>
            <w:r>
              <w:rPr>
                <w:rFonts w:hint="eastAsia" w:ascii="宋体" w:hAnsi="宋体" w:eastAsia="宋体" w:cs="宋体"/>
                <w:color w:val="auto"/>
                <w:sz w:val="21"/>
                <w:szCs w:val="21"/>
                <w:highlight w:val="none"/>
              </w:rPr>
              <w:t>为</w:t>
            </w:r>
            <w:r>
              <w:rPr>
                <w:rFonts w:hint="eastAsia" w:ascii="宋体" w:hAnsi="宋体" w:cs="宋体"/>
                <w:b/>
                <w:bCs/>
                <w:color w:val="auto"/>
                <w:sz w:val="21"/>
                <w:szCs w:val="21"/>
                <w:highlight w:val="none"/>
                <w:u w:val="single"/>
                <w:lang w:eastAsia="zh-CN"/>
              </w:rPr>
              <w:t>2025年交通事故痕迹鉴定及车辆鉴定技术服务项目</w:t>
            </w:r>
            <w:r>
              <w:rPr>
                <w:rFonts w:hint="eastAsia" w:ascii="宋体" w:hAnsi="宋体" w:eastAsia="宋体" w:cs="宋体"/>
                <w:color w:val="auto"/>
                <w:sz w:val="21"/>
                <w:szCs w:val="21"/>
                <w:highlight w:val="none"/>
              </w:rPr>
              <w:t>。根据《关于印发中小企业划型标准规定的</w:t>
            </w:r>
            <w:r>
              <w:rPr>
                <w:rFonts w:hint="eastAsia" w:ascii="宋体" w:hAnsi="宋体" w:eastAsia="宋体" w:cs="宋体"/>
                <w:bCs/>
                <w:color w:val="auto"/>
                <w:sz w:val="21"/>
                <w:szCs w:val="21"/>
                <w:highlight w:val="none"/>
              </w:rPr>
              <w:t>通知</w:t>
            </w:r>
            <w:r>
              <w:rPr>
                <w:rFonts w:hint="eastAsia" w:ascii="宋体" w:hAnsi="宋体" w:eastAsia="宋体" w:cs="宋体"/>
                <w:color w:val="auto"/>
                <w:sz w:val="21"/>
                <w:szCs w:val="21"/>
                <w:highlight w:val="none"/>
              </w:rPr>
              <w:t>》（工信部联企业〔2011〕300号），对应的中小企业划型标准所属行业</w:t>
            </w:r>
            <w:r>
              <w:rPr>
                <w:rFonts w:hint="eastAsia" w:ascii="宋体" w:hAnsi="宋体" w:eastAsia="宋体" w:cs="宋体"/>
                <w:color w:val="auto"/>
                <w:sz w:val="21"/>
                <w:szCs w:val="21"/>
                <w:highlight w:val="none"/>
                <w:lang w:eastAsia="zh-CN"/>
              </w:rPr>
              <w:t>均</w:t>
            </w:r>
            <w:r>
              <w:rPr>
                <w:rFonts w:hint="eastAsia" w:ascii="宋体" w:hAnsi="宋体" w:eastAsia="宋体" w:cs="宋体"/>
                <w:color w:val="auto"/>
                <w:sz w:val="21"/>
                <w:szCs w:val="21"/>
                <w:highlight w:val="none"/>
              </w:rPr>
              <w:t>为</w:t>
            </w:r>
            <w:r>
              <w:rPr>
                <w:rFonts w:hint="eastAsia" w:ascii="宋体" w:hAnsi="宋体" w:cs="宋体"/>
                <w:b/>
                <w:bCs/>
                <w:color w:val="auto"/>
                <w:sz w:val="21"/>
                <w:szCs w:val="21"/>
                <w:highlight w:val="none"/>
                <w:u w:val="single"/>
                <w:lang w:val="en-US" w:eastAsia="zh-CN"/>
              </w:rPr>
              <w:t>其他未列明行业</w:t>
            </w:r>
            <w:r>
              <w:rPr>
                <w:rFonts w:hint="eastAsia" w:ascii="宋体" w:hAnsi="宋体" w:eastAsia="宋体" w:cs="宋体"/>
                <w:color w:val="auto"/>
                <w:sz w:val="21"/>
                <w:szCs w:val="21"/>
                <w:highlight w:val="none"/>
              </w:rPr>
              <w:t>。</w:t>
            </w:r>
          </w:p>
          <w:p w14:paraId="3BE2929B">
            <w:pPr>
              <w:pStyle w:val="28"/>
              <w:keepNext w:val="0"/>
              <w:keepLines w:val="0"/>
              <w:pageBreakBefore w:val="0"/>
              <w:widowControl/>
              <w:tabs>
                <w:tab w:val="left" w:pos="6930"/>
              </w:tabs>
              <w:kinsoku/>
              <w:wordWrap w:val="0"/>
              <w:overflowPunct/>
              <w:topLinePunct w:val="0"/>
              <w:autoSpaceDE/>
              <w:autoSpaceDN/>
              <w:bidi w:val="0"/>
              <w:adjustRightInd/>
              <w:snapToGrid/>
              <w:spacing w:beforeAutospacing="0" w:after="0" w:afterAutospacing="0" w:line="300" w:lineRule="auto"/>
              <w:textAlignment w:val="auto"/>
              <w:rPr>
                <w:rFonts w:hint="eastAsia" w:ascii="宋体" w:hAnsi="宋体" w:cs="宋体"/>
                <w:color w:val="auto"/>
                <w:highlight w:val="none"/>
                <w:lang w:val="en-US" w:eastAsia="zh-CN"/>
              </w:rPr>
            </w:pPr>
            <w:r>
              <w:rPr>
                <w:rFonts w:hint="eastAsia" w:ascii="宋体" w:hAnsi="宋体" w:eastAsia="宋体" w:cs="宋体"/>
                <w:color w:val="auto"/>
                <w:sz w:val="21"/>
                <w:szCs w:val="21"/>
                <w:highlight w:val="none"/>
              </w:rPr>
              <w:t>供应商可根据工业和信息化部中小企业局《中小企业规模类型自测小程序《中小企业规模类型自测小程序》（</w:t>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"http://sme.miit.gov.cn/baosong/appweb/orgScale.html" </w:instrText>
            </w:r>
            <w:r>
              <w:rPr>
                <w:rFonts w:hint="eastAsia" w:ascii="宋体" w:hAnsi="宋体" w:eastAsia="宋体" w:cs="宋体"/>
                <w:color w:val="auto"/>
                <w:highlight w:val="none"/>
              </w:rPr>
              <w:fldChar w:fldCharType="separate"/>
            </w:r>
            <w:r>
              <w:rPr>
                <w:rStyle w:val="37"/>
                <w:rFonts w:hint="eastAsia" w:ascii="宋体" w:hAnsi="宋体" w:eastAsia="宋体" w:cs="宋体"/>
                <w:color w:val="auto"/>
                <w:sz w:val="21"/>
                <w:szCs w:val="21"/>
                <w:highlight w:val="none"/>
              </w:rPr>
              <w:t>http://sme.miit.gov.cn/baosong/appweb/orgScale.html</w:t>
            </w:r>
            <w:r>
              <w:rPr>
                <w:rStyle w:val="37"/>
                <w:rFonts w:hint="eastAsia" w:ascii="宋体" w:hAnsi="宋体" w:eastAsia="宋体" w:cs="宋体"/>
                <w:color w:val="auto"/>
                <w:sz w:val="21"/>
                <w:szCs w:val="21"/>
                <w:highlight w:val="none"/>
              </w:rPr>
              <w:fldChar w:fldCharType="end"/>
            </w:r>
            <w:r>
              <w:rPr>
                <w:rFonts w:hint="eastAsia" w:ascii="宋体" w:hAnsi="宋体" w:eastAsia="宋体" w:cs="宋体"/>
                <w:color w:val="auto"/>
                <w:sz w:val="21"/>
                <w:szCs w:val="21"/>
                <w:highlight w:val="none"/>
              </w:rPr>
              <w:t>）结合本项目采购标的对应的中小企业划型标准所属行业和自身（或所投产品</w:t>
            </w:r>
            <w:r>
              <w:rPr>
                <w:rFonts w:hint="eastAsia" w:ascii="宋体" w:hAnsi="宋体" w:eastAsia="宋体" w:cs="宋体"/>
                <w:bCs/>
                <w:color w:val="auto"/>
                <w:sz w:val="21"/>
                <w:szCs w:val="21"/>
                <w:highlight w:val="none"/>
              </w:rPr>
              <w:t>制造商</w:t>
            </w:r>
            <w:r>
              <w:rPr>
                <w:rFonts w:hint="eastAsia" w:ascii="宋体" w:hAnsi="宋体" w:eastAsia="宋体" w:cs="宋体"/>
                <w:color w:val="auto"/>
                <w:sz w:val="21"/>
                <w:szCs w:val="21"/>
                <w:highlight w:val="none"/>
              </w:rPr>
              <w:t>）各项指标自测相关企业规模类型。</w:t>
            </w:r>
          </w:p>
        </w:tc>
      </w:tr>
      <w:tr w14:paraId="0D9B9F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699" w:type="dxa"/>
            <w:vAlign w:val="center"/>
          </w:tcPr>
          <w:p w14:paraId="4E8C068B">
            <w:pPr>
              <w:pStyle w:val="30"/>
              <w:spacing w:line="360" w:lineRule="exact"/>
              <w:ind w:left="0" w:leftChars="0" w:firstLine="0" w:firstLineChars="0"/>
              <w:jc w:val="center"/>
              <w:textAlignment w:val="baseline"/>
              <w:rPr>
                <w:rFonts w:hint="default" w:ascii="宋体" w:hAnsi="宋体" w:eastAsia="宋体"/>
                <w:color w:val="auto"/>
                <w:highlight w:val="none"/>
                <w:lang w:val="en-US" w:eastAsia="zh-CN"/>
              </w:rPr>
            </w:pPr>
            <w:r>
              <w:rPr>
                <w:rFonts w:hint="eastAsia" w:ascii="宋体" w:hAnsi="宋体" w:eastAsia="宋体"/>
                <w:color w:val="auto"/>
                <w:highlight w:val="none"/>
                <w:lang w:val="en-US" w:eastAsia="zh-CN"/>
              </w:rPr>
              <w:t>24</w:t>
            </w:r>
          </w:p>
        </w:tc>
        <w:tc>
          <w:tcPr>
            <w:tcW w:w="2708" w:type="dxa"/>
            <w:vAlign w:val="center"/>
          </w:tcPr>
          <w:p w14:paraId="05E51CDA">
            <w:pPr>
              <w:pStyle w:val="9"/>
              <w:snapToGrid w:val="0"/>
              <w:spacing w:before="0" w:line="360" w:lineRule="auto"/>
              <w:jc w:val="center"/>
              <w:textAlignment w:val="baseline"/>
              <w:rPr>
                <w:rFonts w:ascii="宋体" w:hAnsi="宋体" w:eastAsia="宋体" w:cs="宋体"/>
                <w:b w:val="0"/>
                <w:bCs w:val="0"/>
                <w:color w:val="auto"/>
                <w:kern w:val="2"/>
                <w:sz w:val="21"/>
                <w:highlight w:val="none"/>
              </w:rPr>
            </w:pPr>
            <w:r>
              <w:rPr>
                <w:rFonts w:hint="eastAsia" w:ascii="宋体" w:hAnsi="宋体" w:eastAsia="宋体" w:cs="宋体"/>
                <w:b w:val="0"/>
                <w:bCs w:val="0"/>
                <w:color w:val="auto"/>
                <w:kern w:val="2"/>
                <w:sz w:val="21"/>
                <w:highlight w:val="none"/>
              </w:rPr>
              <w:t>特别说明</w:t>
            </w:r>
          </w:p>
        </w:tc>
        <w:tc>
          <w:tcPr>
            <w:tcW w:w="7092" w:type="dxa"/>
            <w:vAlign w:val="center"/>
          </w:tcPr>
          <w:p w14:paraId="53819B2D">
            <w:pPr>
              <w:rPr>
                <w:highlight w:val="none"/>
              </w:rPr>
            </w:pPr>
            <w:r>
              <w:rPr>
                <w:rFonts w:hint="eastAsia"/>
                <w:highlight w:val="none"/>
              </w:rPr>
              <w:t>中标人应提供与电子</w:t>
            </w:r>
            <w:r>
              <w:rPr>
                <w:rFonts w:hint="eastAsia"/>
                <w:highlight w:val="none"/>
                <w:lang w:eastAsia="zh-CN"/>
              </w:rPr>
              <w:t>响应文件</w:t>
            </w:r>
            <w:r>
              <w:rPr>
                <w:rFonts w:hint="eastAsia"/>
                <w:highlight w:val="none"/>
              </w:rPr>
              <w:t>内容一致的纸质</w:t>
            </w:r>
            <w:r>
              <w:rPr>
                <w:rFonts w:hint="eastAsia"/>
                <w:highlight w:val="none"/>
                <w:lang w:eastAsia="zh-CN"/>
              </w:rPr>
              <w:t>响应文件</w:t>
            </w:r>
            <w:r>
              <w:rPr>
                <w:rFonts w:hint="eastAsia"/>
                <w:highlight w:val="none"/>
              </w:rPr>
              <w:t>（</w:t>
            </w:r>
            <w:r>
              <w:rPr>
                <w:rFonts w:hint="eastAsia"/>
                <w:highlight w:val="none"/>
                <w:lang w:eastAsia="zh-CN"/>
              </w:rPr>
              <w:t>资格审查文件</w:t>
            </w:r>
            <w:r>
              <w:rPr>
                <w:rFonts w:hint="eastAsia"/>
                <w:highlight w:val="none"/>
              </w:rPr>
              <w:t>、商务技术文件、报价文件）一正三副。中标人在领取中标通知书时提供纸质</w:t>
            </w:r>
            <w:r>
              <w:rPr>
                <w:rFonts w:hint="eastAsia"/>
                <w:highlight w:val="none"/>
                <w:lang w:eastAsia="zh-CN"/>
              </w:rPr>
              <w:t>响应文件</w:t>
            </w:r>
            <w:r>
              <w:rPr>
                <w:rFonts w:hint="eastAsia"/>
                <w:highlight w:val="none"/>
              </w:rPr>
              <w:t>。</w:t>
            </w:r>
          </w:p>
        </w:tc>
      </w:tr>
    </w:tbl>
    <w:p w14:paraId="32FB2BFF">
      <w:pPr>
        <w:rPr>
          <w:rFonts w:hint="eastAsia" w:ascii="宋体" w:hAnsi="宋体" w:eastAsia="宋体" w:cs="宋体"/>
          <w:b/>
          <w:bCs/>
          <w:color w:val="auto"/>
          <w:kern w:val="2"/>
          <w:szCs w:val="32"/>
          <w:highlight w:val="none"/>
        </w:rPr>
      </w:pPr>
      <w:r>
        <w:rPr>
          <w:rFonts w:hint="eastAsia" w:ascii="宋体" w:hAnsi="宋体" w:eastAsia="宋体" w:cs="宋体"/>
          <w:b/>
          <w:bCs/>
          <w:color w:val="auto"/>
          <w:kern w:val="2"/>
          <w:szCs w:val="32"/>
          <w:highlight w:val="none"/>
        </w:rPr>
        <w:br w:type="page"/>
      </w:r>
    </w:p>
    <w:p w14:paraId="6CDE25D8">
      <w:pPr>
        <w:pStyle w:val="14"/>
        <w:spacing w:line="360" w:lineRule="auto"/>
        <w:ind w:left="422" w:firstLine="64"/>
        <w:jc w:val="center"/>
        <w:textAlignment w:val="baseline"/>
        <w:rPr>
          <w:rFonts w:ascii="宋体" w:hAnsi="宋体" w:eastAsia="宋体" w:cs="宋体"/>
          <w:color w:val="auto"/>
          <w:szCs w:val="21"/>
          <w:highlight w:val="none"/>
        </w:rPr>
      </w:pPr>
      <w:r>
        <w:rPr>
          <w:rFonts w:hint="eastAsia" w:ascii="宋体" w:hAnsi="宋体" w:eastAsia="宋体" w:cs="宋体"/>
          <w:b/>
          <w:bCs/>
          <w:color w:val="auto"/>
          <w:kern w:val="2"/>
          <w:szCs w:val="32"/>
          <w:highlight w:val="none"/>
        </w:rPr>
        <w:t>一、总则</w:t>
      </w:r>
    </w:p>
    <w:p w14:paraId="65DF667B">
      <w:pPr>
        <w:pStyle w:val="14"/>
        <w:spacing w:line="440" w:lineRule="exact"/>
        <w:ind w:left="422" w:firstLine="464" w:firstLineChars="220"/>
        <w:textAlignment w:val="baseline"/>
        <w:rPr>
          <w:rFonts w:ascii="宋体" w:hAnsi="宋体" w:eastAsia="宋体" w:cs="宋体"/>
          <w:color w:val="auto"/>
          <w:sz w:val="21"/>
          <w:szCs w:val="21"/>
          <w:highlight w:val="none"/>
        </w:rPr>
      </w:pPr>
      <w:r>
        <w:rPr>
          <w:rFonts w:hint="eastAsia" w:ascii="宋体" w:hAnsi="宋体" w:eastAsia="宋体" w:cs="宋体"/>
          <w:b/>
          <w:color w:val="auto"/>
          <w:sz w:val="21"/>
          <w:szCs w:val="21"/>
          <w:highlight w:val="none"/>
        </w:rPr>
        <w:t>1</w:t>
      </w:r>
      <w:r>
        <w:rPr>
          <w:rFonts w:hint="eastAsia" w:ascii="宋体" w:hAnsi="宋体" w:eastAsia="宋体" w:cs="宋体"/>
          <w:b/>
          <w:color w:val="auto"/>
          <w:sz w:val="21"/>
          <w:szCs w:val="21"/>
          <w:highlight w:val="none"/>
          <w:lang w:val="en-US" w:eastAsia="zh-CN"/>
        </w:rPr>
        <w:t>.</w:t>
      </w:r>
      <w:r>
        <w:rPr>
          <w:rFonts w:hint="eastAsia" w:ascii="宋体" w:hAnsi="宋体" w:eastAsia="宋体" w:cs="宋体"/>
          <w:b/>
          <w:color w:val="auto"/>
          <w:sz w:val="21"/>
          <w:szCs w:val="21"/>
          <w:highlight w:val="none"/>
        </w:rPr>
        <w:t>适用范围</w:t>
      </w:r>
    </w:p>
    <w:p w14:paraId="0528F62C">
      <w:pPr>
        <w:pStyle w:val="14"/>
        <w:spacing w:line="440" w:lineRule="exact"/>
        <w:ind w:left="420" w:firstLine="42"/>
        <w:textAlignment w:val="baseline"/>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1.1本磋商文件适用于本次采购活动中所叙述的</w:t>
      </w:r>
      <w:r>
        <w:rPr>
          <w:rFonts w:hint="eastAsia" w:ascii="宋体" w:hAnsi="宋体" w:eastAsia="宋体" w:cs="宋体"/>
          <w:color w:val="auto"/>
          <w:sz w:val="21"/>
          <w:szCs w:val="21"/>
          <w:highlight w:val="none"/>
          <w:lang w:eastAsia="zh-CN"/>
        </w:rPr>
        <w:t>2025年交通事故痕迹鉴定及车辆鉴定技术服务项目</w:t>
      </w:r>
      <w:r>
        <w:rPr>
          <w:rFonts w:hint="eastAsia" w:ascii="宋体" w:hAnsi="宋体" w:eastAsia="宋体" w:cs="宋体"/>
          <w:color w:val="auto"/>
          <w:sz w:val="21"/>
          <w:szCs w:val="21"/>
          <w:highlight w:val="none"/>
        </w:rPr>
        <w:t>。</w:t>
      </w:r>
    </w:p>
    <w:p w14:paraId="367A7E96">
      <w:pPr>
        <w:pStyle w:val="14"/>
        <w:spacing w:line="440" w:lineRule="exact"/>
        <w:ind w:left="422" w:firstLine="464" w:firstLineChars="220"/>
        <w:textAlignment w:val="baseline"/>
        <w:rPr>
          <w:rFonts w:ascii="宋体" w:hAnsi="宋体" w:eastAsia="宋体" w:cs="宋体"/>
          <w:b/>
          <w:color w:val="auto"/>
          <w:sz w:val="21"/>
          <w:szCs w:val="21"/>
          <w:highlight w:val="none"/>
        </w:rPr>
      </w:pPr>
      <w:r>
        <w:rPr>
          <w:rFonts w:hint="eastAsia" w:ascii="宋体" w:hAnsi="宋体" w:eastAsia="宋体" w:cs="宋体"/>
          <w:b/>
          <w:color w:val="auto"/>
          <w:sz w:val="21"/>
          <w:szCs w:val="21"/>
          <w:highlight w:val="none"/>
        </w:rPr>
        <w:t>2</w:t>
      </w:r>
      <w:r>
        <w:rPr>
          <w:rFonts w:hint="eastAsia" w:ascii="宋体" w:hAnsi="宋体" w:eastAsia="宋体" w:cs="宋体"/>
          <w:b/>
          <w:color w:val="auto"/>
          <w:sz w:val="21"/>
          <w:szCs w:val="21"/>
          <w:highlight w:val="none"/>
          <w:lang w:val="en-US" w:eastAsia="zh-CN"/>
        </w:rPr>
        <w:t>.</w:t>
      </w:r>
      <w:r>
        <w:rPr>
          <w:rFonts w:hint="eastAsia" w:ascii="宋体" w:hAnsi="宋体" w:eastAsia="宋体" w:cs="宋体"/>
          <w:b/>
          <w:color w:val="auto"/>
          <w:sz w:val="21"/>
          <w:szCs w:val="21"/>
          <w:highlight w:val="none"/>
        </w:rPr>
        <w:t>定义解释</w:t>
      </w:r>
    </w:p>
    <w:p w14:paraId="63E524FB">
      <w:pPr>
        <w:pStyle w:val="14"/>
        <w:spacing w:line="440" w:lineRule="exact"/>
        <w:ind w:left="420" w:firstLine="42"/>
        <w:textAlignment w:val="baseline"/>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2.1“采购代理机构”是指</w:t>
      </w:r>
      <w:r>
        <w:rPr>
          <w:rFonts w:hint="eastAsia" w:ascii="宋体" w:hAnsi="宋体" w:eastAsia="宋体" w:cs="宋体"/>
          <w:color w:val="auto"/>
          <w:sz w:val="21"/>
          <w:szCs w:val="21"/>
          <w:highlight w:val="none"/>
          <w:lang w:eastAsia="zh-CN"/>
        </w:rPr>
        <w:t>衢州市开成工程造价咨询事务所有限公司</w:t>
      </w:r>
      <w:r>
        <w:rPr>
          <w:rFonts w:hint="eastAsia" w:ascii="宋体" w:hAnsi="宋体" w:eastAsia="宋体" w:cs="宋体"/>
          <w:color w:val="auto"/>
          <w:sz w:val="21"/>
          <w:szCs w:val="21"/>
          <w:highlight w:val="none"/>
        </w:rPr>
        <w:t>。</w:t>
      </w:r>
    </w:p>
    <w:p w14:paraId="7E999C69">
      <w:pPr>
        <w:pStyle w:val="14"/>
        <w:widowControl w:val="0"/>
        <w:spacing w:line="440" w:lineRule="exact"/>
        <w:ind w:left="420" w:leftChars="0" w:firstLine="42" w:firstLineChars="20"/>
        <w:jc w:val="both"/>
        <w:textAlignment w:val="baseline"/>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2.2“采购人”是指</w:t>
      </w:r>
      <w:r>
        <w:rPr>
          <w:rFonts w:hint="eastAsia" w:ascii="宋体" w:hAnsi="宋体" w:eastAsia="宋体" w:cs="宋体"/>
          <w:color w:val="auto"/>
          <w:sz w:val="21"/>
          <w:szCs w:val="21"/>
          <w:highlight w:val="none"/>
          <w:lang w:eastAsia="zh-CN"/>
        </w:rPr>
        <w:t>常山县公安局交通警察大队</w:t>
      </w:r>
      <w:r>
        <w:rPr>
          <w:rFonts w:hint="eastAsia" w:ascii="宋体" w:hAnsi="宋体" w:eastAsia="宋体" w:cs="宋体"/>
          <w:color w:val="auto"/>
          <w:sz w:val="21"/>
          <w:szCs w:val="21"/>
          <w:highlight w:val="none"/>
        </w:rPr>
        <w:t>。</w:t>
      </w:r>
    </w:p>
    <w:p w14:paraId="2C0C6062">
      <w:pPr>
        <w:pStyle w:val="14"/>
        <w:spacing w:line="440" w:lineRule="exact"/>
        <w:ind w:left="420" w:firstLine="42"/>
        <w:textAlignment w:val="baseline"/>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2.3“采购项目”是指本磋商文件所要求的</w:t>
      </w:r>
      <w:r>
        <w:rPr>
          <w:rFonts w:hint="eastAsia" w:ascii="宋体" w:hAnsi="宋体" w:eastAsia="宋体" w:cs="宋体"/>
          <w:color w:val="auto"/>
          <w:sz w:val="21"/>
          <w:szCs w:val="21"/>
          <w:highlight w:val="none"/>
          <w:lang w:eastAsia="zh-CN"/>
        </w:rPr>
        <w:t>2025年交通事故痕迹鉴定及车辆鉴定技术服务项目</w:t>
      </w:r>
      <w:r>
        <w:rPr>
          <w:rFonts w:hint="eastAsia" w:ascii="宋体" w:hAnsi="宋体" w:eastAsia="宋体" w:cs="宋体"/>
          <w:color w:val="auto"/>
          <w:sz w:val="21"/>
          <w:szCs w:val="21"/>
          <w:highlight w:val="none"/>
        </w:rPr>
        <w:t>。</w:t>
      </w:r>
    </w:p>
    <w:p w14:paraId="694284F5">
      <w:pPr>
        <w:pStyle w:val="14"/>
        <w:spacing w:line="440" w:lineRule="exact"/>
        <w:ind w:left="420" w:firstLine="42"/>
        <w:textAlignment w:val="baseline"/>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2.4“磋商供应商”是指获得磋商文件并向采购代理机构提交响应文件的磋商供应商。</w:t>
      </w:r>
    </w:p>
    <w:p w14:paraId="74D784B4">
      <w:pPr>
        <w:pStyle w:val="14"/>
        <w:tabs>
          <w:tab w:val="left" w:pos="420"/>
        </w:tabs>
        <w:spacing w:line="440" w:lineRule="exact"/>
        <w:ind w:left="420" w:firstLine="42"/>
        <w:textAlignment w:val="baseline"/>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2.5“潜在磋商供应商”是指符合磋商文件规定的磋商供应商。</w:t>
      </w:r>
    </w:p>
    <w:p w14:paraId="7F1C658A">
      <w:pPr>
        <w:pStyle w:val="14"/>
        <w:spacing w:line="440" w:lineRule="exact"/>
        <w:ind w:left="420" w:firstLine="42"/>
        <w:textAlignment w:val="baseline"/>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2.6 “中标人”是指经磋商小组审查通过，并经公示无异议的磋商供应商。</w:t>
      </w:r>
    </w:p>
    <w:p w14:paraId="6EAD9FE3">
      <w:pPr>
        <w:pStyle w:val="14"/>
        <w:spacing w:line="440" w:lineRule="exact"/>
        <w:ind w:left="420" w:firstLine="42"/>
        <w:textAlignment w:val="baseline"/>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2.7“磋商供应商代表”是指磋商供应商法定代表人或磋商供应商法定代表人授权委托的人。</w:t>
      </w:r>
    </w:p>
    <w:p w14:paraId="043BFEE0">
      <w:pPr>
        <w:pStyle w:val="14"/>
        <w:spacing w:line="440" w:lineRule="exact"/>
        <w:ind w:left="420" w:firstLine="462" w:firstLineChars="220"/>
        <w:textAlignment w:val="baseline"/>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2.8“产品（货物）”是指按采购文件要求配置的一切设备、机械、仪器仪表、备品备件、工具、手册及其它有关技术资料和文字材料；</w:t>
      </w:r>
    </w:p>
    <w:p w14:paraId="776B1C00">
      <w:pPr>
        <w:pStyle w:val="14"/>
        <w:spacing w:line="440" w:lineRule="exact"/>
        <w:ind w:left="420" w:firstLine="462" w:firstLineChars="220"/>
        <w:textAlignment w:val="baseline"/>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2.9“服务”在货物类采购项目中是指采购文件规定供方须承担的货物运输、操作使用、技术支持、培训、维修保养服务；在服务类采购项目是指采购采购内容本身及相关的售后技术支持、培训服务；</w:t>
      </w:r>
    </w:p>
    <w:p w14:paraId="7271BD82">
      <w:pPr>
        <w:pStyle w:val="14"/>
        <w:spacing w:line="440" w:lineRule="exact"/>
        <w:ind w:left="420" w:firstLine="462" w:firstLineChars="220"/>
        <w:textAlignment w:val="baseline"/>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2.10“书面形式”包括纸质文件、电子邮件、信函、传真等。</w:t>
      </w:r>
    </w:p>
    <w:p w14:paraId="50495B5C">
      <w:pPr>
        <w:pStyle w:val="14"/>
        <w:spacing w:line="440" w:lineRule="exact"/>
        <w:ind w:left="420" w:firstLine="42"/>
        <w:textAlignment w:val="baseline"/>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2.11实质性响应：是指</w:t>
      </w:r>
      <w:r>
        <w:rPr>
          <w:rFonts w:hint="eastAsia" w:ascii="宋体" w:hAnsi="宋体" w:eastAsia="宋体" w:cs="宋体"/>
          <w:color w:val="auto"/>
          <w:sz w:val="21"/>
          <w:szCs w:val="21"/>
          <w:highlight w:val="none"/>
          <w:lang w:eastAsia="zh-CN"/>
        </w:rPr>
        <w:t>响应文件</w:t>
      </w:r>
      <w:r>
        <w:rPr>
          <w:rFonts w:hint="eastAsia" w:ascii="宋体" w:hAnsi="宋体" w:eastAsia="宋体" w:cs="宋体"/>
          <w:color w:val="auto"/>
          <w:sz w:val="21"/>
          <w:szCs w:val="21"/>
          <w:highlight w:val="none"/>
        </w:rPr>
        <w:t>相关内容符合招标（采购）文件规定的实质性内容、条款和规定。</w:t>
      </w:r>
    </w:p>
    <w:p w14:paraId="182723FF">
      <w:pPr>
        <w:pStyle w:val="14"/>
        <w:spacing w:line="440" w:lineRule="exact"/>
        <w:ind w:left="420" w:firstLine="462" w:firstLineChars="220"/>
        <w:textAlignment w:val="baseline"/>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2.12</w:t>
      </w:r>
      <w:r>
        <w:rPr>
          <w:rFonts w:hint="eastAsia" w:ascii="宋体" w:hAnsi="宋体" w:eastAsia="宋体" w:cs="宋体"/>
          <w:b/>
          <w:bCs/>
          <w:color w:val="auto"/>
          <w:sz w:val="21"/>
          <w:szCs w:val="21"/>
          <w:highlight w:val="none"/>
        </w:rPr>
        <w:t>采购文件中所有标示“▲”的均为采购人提出的实质性条款，如未实质性响应的，将按无效投标处理</w:t>
      </w:r>
      <w:r>
        <w:rPr>
          <w:rFonts w:hint="eastAsia" w:ascii="宋体" w:hAnsi="宋体" w:eastAsia="宋体" w:cs="宋体"/>
          <w:color w:val="auto"/>
          <w:sz w:val="21"/>
          <w:szCs w:val="21"/>
          <w:highlight w:val="none"/>
        </w:rPr>
        <w:t>。</w:t>
      </w:r>
      <w:r>
        <w:rPr>
          <w:rFonts w:hint="eastAsia" w:ascii="宋体" w:hAnsi="宋体" w:eastAsia="宋体" w:cs="宋体"/>
          <w:b/>
          <w:bCs/>
          <w:color w:val="auto"/>
          <w:sz w:val="21"/>
          <w:szCs w:val="21"/>
          <w:highlight w:val="none"/>
        </w:rPr>
        <w:t>标有“★”符号为重要指标。</w:t>
      </w:r>
    </w:p>
    <w:p w14:paraId="5B231934">
      <w:pPr>
        <w:spacing w:line="440" w:lineRule="exact"/>
        <w:textAlignment w:val="baseline"/>
        <w:rPr>
          <w:rFonts w:ascii="宋体" w:hAnsi="宋体" w:cs="宋体"/>
          <w:color w:val="auto"/>
          <w:sz w:val="20"/>
          <w:szCs w:val="21"/>
          <w:highlight w:val="none"/>
        </w:rPr>
      </w:pPr>
      <w:r>
        <w:rPr>
          <w:rFonts w:hint="eastAsia" w:ascii="宋体" w:hAnsi="宋体" w:cs="宋体"/>
          <w:color w:val="auto"/>
          <w:szCs w:val="21"/>
          <w:highlight w:val="none"/>
        </w:rPr>
        <w:t xml:space="preserve">        2.13  “电子</w:t>
      </w:r>
      <w:r>
        <w:rPr>
          <w:rFonts w:hint="eastAsia" w:ascii="宋体" w:hAnsi="宋体" w:cs="宋体"/>
          <w:color w:val="auto"/>
          <w:szCs w:val="21"/>
          <w:highlight w:val="none"/>
          <w:lang w:eastAsia="zh-CN"/>
        </w:rPr>
        <w:t>响应文件</w:t>
      </w:r>
      <w:r>
        <w:rPr>
          <w:rFonts w:hint="eastAsia" w:ascii="宋体" w:hAnsi="宋体" w:cs="宋体"/>
          <w:color w:val="auto"/>
          <w:szCs w:val="21"/>
          <w:highlight w:val="none"/>
        </w:rPr>
        <w:t>”系指</w:t>
      </w:r>
      <w:r>
        <w:rPr>
          <w:rFonts w:hint="eastAsia" w:ascii="宋体" w:hAnsi="宋体" w:cs="宋体"/>
          <w:color w:val="auto"/>
          <w:szCs w:val="21"/>
          <w:highlight w:val="none"/>
          <w:lang w:eastAsia="zh-CN"/>
        </w:rPr>
        <w:t>供应商</w:t>
      </w:r>
      <w:r>
        <w:rPr>
          <w:rFonts w:hint="eastAsia" w:ascii="宋体" w:hAnsi="宋体" w:cs="宋体"/>
          <w:color w:val="auto"/>
          <w:szCs w:val="21"/>
          <w:highlight w:val="none"/>
        </w:rPr>
        <w:t>通过政采云电子投标工具编制的数据电文形式的加密标书。</w:t>
      </w:r>
    </w:p>
    <w:p w14:paraId="10A3939D">
      <w:pPr>
        <w:pStyle w:val="14"/>
        <w:spacing w:line="440" w:lineRule="exact"/>
        <w:ind w:firstLine="253" w:firstLineChars="120"/>
        <w:textAlignment w:val="baseline"/>
        <w:rPr>
          <w:rFonts w:ascii="宋体" w:hAnsi="宋体" w:eastAsia="宋体" w:cs="宋体"/>
          <w:b/>
          <w:color w:val="auto"/>
          <w:sz w:val="21"/>
          <w:szCs w:val="21"/>
          <w:highlight w:val="none"/>
        </w:rPr>
      </w:pPr>
      <w:r>
        <w:rPr>
          <w:rFonts w:hint="eastAsia" w:ascii="宋体" w:hAnsi="宋体" w:eastAsia="宋体" w:cs="宋体"/>
          <w:b/>
          <w:color w:val="auto"/>
          <w:sz w:val="21"/>
          <w:szCs w:val="21"/>
          <w:highlight w:val="none"/>
        </w:rPr>
        <w:t>3</w:t>
      </w:r>
      <w:r>
        <w:rPr>
          <w:rFonts w:hint="eastAsia" w:ascii="宋体" w:hAnsi="宋体" w:eastAsia="宋体" w:cs="宋体"/>
          <w:b/>
          <w:color w:val="auto"/>
          <w:sz w:val="21"/>
          <w:szCs w:val="21"/>
          <w:highlight w:val="none"/>
          <w:lang w:val="en-US" w:eastAsia="zh-CN"/>
        </w:rPr>
        <w:t>.</w:t>
      </w:r>
      <w:r>
        <w:rPr>
          <w:rFonts w:hint="eastAsia" w:ascii="宋体" w:hAnsi="宋体" w:eastAsia="宋体" w:cs="宋体"/>
          <w:b/>
          <w:color w:val="auto"/>
          <w:sz w:val="21"/>
          <w:szCs w:val="21"/>
          <w:highlight w:val="none"/>
        </w:rPr>
        <w:t>项目说明</w:t>
      </w:r>
    </w:p>
    <w:p w14:paraId="5703493E">
      <w:pPr>
        <w:pStyle w:val="14"/>
        <w:spacing w:line="440" w:lineRule="exact"/>
        <w:ind w:left="0" w:firstLine="0" w:firstLineChars="0"/>
        <w:textAlignment w:val="baseline"/>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3.1《中华人民共和国政府采购法》、《中华人民共和国政府采购法实施条例》、《政府采购竞争性磋商采购方式管理暂行办法》、《财政部关于政府采购竞争性磋商采购方式管理暂行办法有关问题的补充通知》和其他有关法律、行政法规以及省市规范性文件规定。</w:t>
      </w:r>
    </w:p>
    <w:p w14:paraId="65DC5CFF">
      <w:pPr>
        <w:pStyle w:val="14"/>
        <w:spacing w:line="440" w:lineRule="exact"/>
        <w:ind w:left="422" w:firstLine="42"/>
        <w:textAlignment w:val="baseline"/>
        <w:rPr>
          <w:rFonts w:ascii="宋体" w:hAnsi="宋体" w:eastAsia="宋体" w:cs="宋体"/>
          <w:b/>
          <w:color w:val="auto"/>
          <w:sz w:val="21"/>
          <w:szCs w:val="21"/>
          <w:highlight w:val="none"/>
        </w:rPr>
      </w:pPr>
      <w:r>
        <w:rPr>
          <w:rFonts w:hint="eastAsia" w:ascii="宋体" w:hAnsi="宋体" w:eastAsia="宋体" w:cs="宋体"/>
          <w:b/>
          <w:color w:val="auto"/>
          <w:sz w:val="21"/>
          <w:szCs w:val="21"/>
          <w:highlight w:val="none"/>
        </w:rPr>
        <w:t>4</w:t>
      </w:r>
      <w:r>
        <w:rPr>
          <w:rFonts w:hint="eastAsia" w:ascii="宋体" w:hAnsi="宋体" w:eastAsia="宋体" w:cs="宋体"/>
          <w:b/>
          <w:color w:val="auto"/>
          <w:sz w:val="21"/>
          <w:szCs w:val="21"/>
          <w:highlight w:val="none"/>
          <w:lang w:val="en-US" w:eastAsia="zh-CN"/>
        </w:rPr>
        <w:t>.</w:t>
      </w:r>
      <w:r>
        <w:rPr>
          <w:rFonts w:hint="eastAsia" w:ascii="宋体" w:hAnsi="宋体" w:eastAsia="宋体" w:cs="宋体"/>
          <w:b/>
          <w:color w:val="auto"/>
          <w:sz w:val="21"/>
          <w:szCs w:val="21"/>
          <w:highlight w:val="none"/>
        </w:rPr>
        <w:t>合格磋商供应商的条件</w:t>
      </w:r>
    </w:p>
    <w:p w14:paraId="0B0BB4E8">
      <w:pPr>
        <w:pStyle w:val="14"/>
        <w:spacing w:line="440" w:lineRule="exact"/>
        <w:ind w:left="0" w:firstLine="420" w:firstLineChars="200"/>
        <w:textAlignment w:val="baseline"/>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4.1凡符合本磋商文件第一章竞争性磋商公告</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供应商资格要求的均为合格的磋商供应商。</w:t>
      </w:r>
    </w:p>
    <w:p w14:paraId="7F3478A1">
      <w:pPr>
        <w:pStyle w:val="14"/>
        <w:spacing w:line="440" w:lineRule="exact"/>
        <w:ind w:left="422" w:firstLine="42"/>
        <w:textAlignment w:val="baseline"/>
        <w:rPr>
          <w:rFonts w:ascii="宋体" w:hAnsi="宋体" w:eastAsia="宋体" w:cs="宋体"/>
          <w:b/>
          <w:color w:val="auto"/>
          <w:sz w:val="21"/>
          <w:szCs w:val="21"/>
          <w:highlight w:val="none"/>
        </w:rPr>
      </w:pPr>
      <w:r>
        <w:rPr>
          <w:rFonts w:hint="eastAsia" w:ascii="宋体" w:hAnsi="宋体" w:eastAsia="宋体" w:cs="宋体"/>
          <w:b/>
          <w:color w:val="auto"/>
          <w:sz w:val="21"/>
          <w:szCs w:val="21"/>
          <w:highlight w:val="none"/>
        </w:rPr>
        <w:t>5</w:t>
      </w:r>
      <w:r>
        <w:rPr>
          <w:rFonts w:hint="eastAsia" w:ascii="宋体" w:hAnsi="宋体" w:eastAsia="宋体" w:cs="宋体"/>
          <w:b/>
          <w:color w:val="auto"/>
          <w:sz w:val="21"/>
          <w:szCs w:val="21"/>
          <w:highlight w:val="none"/>
          <w:lang w:val="en-US" w:eastAsia="zh-CN"/>
        </w:rPr>
        <w:t>.</w:t>
      </w:r>
      <w:r>
        <w:rPr>
          <w:rFonts w:hint="eastAsia" w:ascii="宋体" w:hAnsi="宋体" w:eastAsia="宋体" w:cs="宋体"/>
          <w:b/>
          <w:color w:val="auto"/>
          <w:sz w:val="21"/>
          <w:szCs w:val="21"/>
          <w:highlight w:val="none"/>
        </w:rPr>
        <w:t>投标费用</w:t>
      </w:r>
    </w:p>
    <w:p w14:paraId="220AF7CF">
      <w:pPr>
        <w:spacing w:line="440" w:lineRule="exact"/>
        <w:ind w:firstLine="420" w:firstLineChars="200"/>
        <w:textAlignment w:val="baseline"/>
        <w:rPr>
          <w:rFonts w:ascii="宋体" w:hAnsi="宋体" w:cs="宋体"/>
          <w:color w:val="auto"/>
          <w:sz w:val="20"/>
          <w:szCs w:val="21"/>
          <w:highlight w:val="none"/>
        </w:rPr>
      </w:pPr>
      <w:r>
        <w:rPr>
          <w:rFonts w:hint="eastAsia" w:ascii="宋体" w:hAnsi="宋体" w:cs="宋体"/>
          <w:color w:val="auto"/>
          <w:szCs w:val="21"/>
          <w:highlight w:val="none"/>
        </w:rPr>
        <w:t>5.1磋商供应商应承担参加本次投标有关的全部费用，无论结果如何，采购人和采购代理机构在任何情况下均无义务和责任承担这些费用。</w:t>
      </w:r>
    </w:p>
    <w:p w14:paraId="309BE7FE">
      <w:pPr>
        <w:spacing w:line="440" w:lineRule="exact"/>
        <w:ind w:firstLine="422" w:firstLineChars="200"/>
        <w:jc w:val="left"/>
        <w:textAlignment w:val="baseline"/>
        <w:rPr>
          <w:rFonts w:ascii="宋体" w:hAnsi="宋体" w:cs="宋体"/>
          <w:b/>
          <w:bCs/>
          <w:color w:val="auto"/>
          <w:sz w:val="20"/>
          <w:szCs w:val="21"/>
          <w:highlight w:val="none"/>
        </w:rPr>
      </w:pPr>
      <w:r>
        <w:rPr>
          <w:rFonts w:hint="eastAsia" w:ascii="宋体" w:hAnsi="宋体" w:cs="宋体"/>
          <w:b/>
          <w:color w:val="auto"/>
          <w:szCs w:val="21"/>
          <w:highlight w:val="none"/>
        </w:rPr>
        <w:t>6</w:t>
      </w:r>
      <w:r>
        <w:rPr>
          <w:rFonts w:hint="eastAsia" w:ascii="宋体" w:hAnsi="宋体" w:cs="宋体"/>
          <w:b/>
          <w:color w:val="auto"/>
          <w:szCs w:val="21"/>
          <w:highlight w:val="none"/>
          <w:lang w:val="en-US" w:eastAsia="zh-CN"/>
        </w:rPr>
        <w:t>.</w:t>
      </w:r>
      <w:r>
        <w:rPr>
          <w:rFonts w:hint="eastAsia" w:ascii="宋体" w:hAnsi="宋体" w:cs="宋体"/>
          <w:b/>
          <w:bCs/>
          <w:color w:val="auto"/>
          <w:szCs w:val="21"/>
          <w:highlight w:val="none"/>
        </w:rPr>
        <w:t>特别说明</w:t>
      </w:r>
    </w:p>
    <w:p w14:paraId="4EE0A391">
      <w:pPr>
        <w:pStyle w:val="67"/>
        <w:spacing w:line="440" w:lineRule="exact"/>
        <w:ind w:firstLine="420" w:firstLineChars="200"/>
        <w:rPr>
          <w:rFonts w:ascii="宋体" w:hAnsi="宋体" w:cs="宋体"/>
          <w:color w:val="auto"/>
          <w:highlight w:val="none"/>
        </w:rPr>
      </w:pPr>
      <w:r>
        <w:rPr>
          <w:rFonts w:hint="eastAsia" w:ascii="宋体" w:hAnsi="宋体" w:cs="宋体"/>
          <w:color w:val="auto"/>
          <w:highlight w:val="none"/>
        </w:rPr>
        <w:t>6.1</w:t>
      </w:r>
      <w:r>
        <w:rPr>
          <w:rFonts w:hint="eastAsia" w:ascii="宋体" w:hAnsi="宋体" w:cs="宋体"/>
          <w:color w:val="auto"/>
          <w:highlight w:val="none"/>
          <w:lang w:eastAsia="zh-CN"/>
        </w:rPr>
        <w:t>供应商</w:t>
      </w:r>
      <w:r>
        <w:rPr>
          <w:rFonts w:hint="eastAsia" w:ascii="宋体" w:hAnsi="宋体" w:cs="宋体"/>
          <w:color w:val="auto"/>
          <w:highlight w:val="none"/>
        </w:rPr>
        <w:t>投标所使用的资格、信誉、荣誉、业绩与企业认证必须为本企业所拥有。</w:t>
      </w:r>
      <w:r>
        <w:rPr>
          <w:rFonts w:hint="eastAsia" w:ascii="宋体" w:hAnsi="宋体" w:cs="宋体"/>
          <w:color w:val="auto"/>
          <w:highlight w:val="none"/>
          <w:lang w:eastAsia="zh-CN"/>
        </w:rPr>
        <w:t>供应商</w:t>
      </w:r>
      <w:r>
        <w:rPr>
          <w:rFonts w:hint="eastAsia" w:ascii="宋体" w:hAnsi="宋体" w:cs="宋体"/>
          <w:color w:val="auto"/>
          <w:highlight w:val="none"/>
        </w:rPr>
        <w:t>投标所使用的采购项目实施人员可以为其控股公司的工作人员。</w:t>
      </w:r>
    </w:p>
    <w:p w14:paraId="2E475000">
      <w:pPr>
        <w:pStyle w:val="67"/>
        <w:spacing w:line="440" w:lineRule="exact"/>
        <w:ind w:firstLine="420" w:firstLineChars="200"/>
        <w:rPr>
          <w:rFonts w:ascii="宋体" w:hAnsi="宋体" w:cs="宋体"/>
          <w:color w:val="auto"/>
          <w:highlight w:val="none"/>
        </w:rPr>
      </w:pPr>
      <w:r>
        <w:rPr>
          <w:rFonts w:hint="eastAsia" w:ascii="宋体" w:hAnsi="宋体" w:cs="宋体"/>
          <w:color w:val="auto"/>
          <w:highlight w:val="none"/>
        </w:rPr>
        <w:t>6.2</w:t>
      </w:r>
      <w:r>
        <w:rPr>
          <w:rFonts w:hint="eastAsia" w:ascii="宋体" w:hAnsi="宋体" w:cs="宋体"/>
          <w:color w:val="auto"/>
          <w:highlight w:val="none"/>
          <w:lang w:eastAsia="zh-CN"/>
        </w:rPr>
        <w:t>供应商</w:t>
      </w:r>
      <w:r>
        <w:rPr>
          <w:rFonts w:hint="eastAsia" w:ascii="宋体" w:hAnsi="宋体" w:cs="宋体"/>
          <w:color w:val="auto"/>
          <w:highlight w:val="none"/>
        </w:rPr>
        <w:t>在投标活动中提供任何虚假材料或从事其他违法活动的,其投标无效，并报监管部门查处；成交后发现的,中标人须依照《中华人民共和国消费者权益保护法》之规定赔偿采购单位。且民事赔偿并不免除违法</w:t>
      </w:r>
      <w:r>
        <w:rPr>
          <w:rFonts w:hint="eastAsia" w:ascii="宋体" w:hAnsi="宋体" w:cs="宋体"/>
          <w:color w:val="auto"/>
          <w:highlight w:val="none"/>
          <w:lang w:eastAsia="zh-CN"/>
        </w:rPr>
        <w:t>供应商</w:t>
      </w:r>
      <w:r>
        <w:rPr>
          <w:rFonts w:hint="eastAsia" w:ascii="宋体" w:hAnsi="宋体" w:cs="宋体"/>
          <w:color w:val="auto"/>
          <w:highlight w:val="none"/>
        </w:rPr>
        <w:t>的行政与刑事责任。</w:t>
      </w:r>
    </w:p>
    <w:p w14:paraId="6C85645C">
      <w:pPr>
        <w:pStyle w:val="67"/>
        <w:spacing w:line="440" w:lineRule="exact"/>
        <w:ind w:firstLine="420" w:firstLineChars="200"/>
        <w:rPr>
          <w:rFonts w:ascii="宋体" w:hAnsi="宋体" w:cs="宋体"/>
          <w:color w:val="auto"/>
          <w:highlight w:val="none"/>
        </w:rPr>
      </w:pPr>
      <w:r>
        <w:rPr>
          <w:rFonts w:hint="eastAsia" w:ascii="宋体" w:hAnsi="宋体" w:cs="宋体"/>
          <w:color w:val="auto"/>
          <w:highlight w:val="none"/>
        </w:rPr>
        <w:t>6.3</w:t>
      </w:r>
      <w:r>
        <w:rPr>
          <w:rFonts w:hint="eastAsia" w:ascii="宋体" w:hAnsi="宋体" w:cs="宋体"/>
          <w:color w:val="auto"/>
          <w:highlight w:val="none"/>
          <w:lang w:eastAsia="zh-CN"/>
        </w:rPr>
        <w:t>供应商</w:t>
      </w:r>
      <w:r>
        <w:rPr>
          <w:rFonts w:hint="eastAsia" w:ascii="宋体" w:hAnsi="宋体" w:cs="宋体"/>
          <w:color w:val="auto"/>
          <w:highlight w:val="none"/>
        </w:rPr>
        <w:t>应仔细阅读招标文件的所有内容，按照招标文件的要求提交</w:t>
      </w:r>
      <w:r>
        <w:rPr>
          <w:rFonts w:hint="eastAsia" w:ascii="宋体" w:hAnsi="宋体" w:cs="宋体"/>
          <w:color w:val="auto"/>
          <w:highlight w:val="none"/>
          <w:lang w:eastAsia="zh-CN"/>
        </w:rPr>
        <w:t>响应文件</w:t>
      </w:r>
      <w:r>
        <w:rPr>
          <w:rFonts w:hint="eastAsia" w:ascii="宋体" w:hAnsi="宋体" w:cs="宋体"/>
          <w:color w:val="auto"/>
          <w:highlight w:val="none"/>
        </w:rPr>
        <w:t>。</w:t>
      </w:r>
      <w:r>
        <w:rPr>
          <w:rFonts w:hint="eastAsia" w:ascii="宋体" w:hAnsi="宋体" w:cs="宋体"/>
          <w:color w:val="auto"/>
          <w:highlight w:val="none"/>
          <w:lang w:eastAsia="zh-CN"/>
        </w:rPr>
        <w:t>响应文件</w:t>
      </w:r>
      <w:r>
        <w:rPr>
          <w:rFonts w:hint="eastAsia" w:ascii="宋体" w:hAnsi="宋体" w:cs="宋体"/>
          <w:color w:val="auto"/>
          <w:highlight w:val="none"/>
        </w:rPr>
        <w:t>应对招标文件的要求作出实质性响应，并对所提供的全部资料的真实性承担法律责任。</w:t>
      </w:r>
    </w:p>
    <w:p w14:paraId="26445B24">
      <w:pPr>
        <w:spacing w:line="440" w:lineRule="exact"/>
        <w:ind w:firstLine="422" w:firstLineChars="200"/>
        <w:textAlignment w:val="baseline"/>
        <w:rPr>
          <w:rFonts w:ascii="宋体" w:hAnsi="宋体" w:cs="宋体"/>
          <w:b/>
          <w:bCs/>
          <w:color w:val="auto"/>
          <w:sz w:val="20"/>
          <w:szCs w:val="21"/>
          <w:highlight w:val="none"/>
        </w:rPr>
      </w:pPr>
      <w:r>
        <w:rPr>
          <w:rFonts w:hint="eastAsia" w:ascii="宋体" w:hAnsi="宋体" w:cs="宋体"/>
          <w:b/>
          <w:bCs/>
          <w:color w:val="auto"/>
          <w:szCs w:val="21"/>
          <w:highlight w:val="none"/>
        </w:rPr>
        <w:t>6.4本项目提供相同品牌产品且通过资格审查、符合性审查的不同</w:t>
      </w:r>
      <w:r>
        <w:rPr>
          <w:rFonts w:hint="eastAsia" w:ascii="宋体" w:hAnsi="宋体" w:cs="宋体"/>
          <w:b/>
          <w:bCs/>
          <w:color w:val="auto"/>
          <w:szCs w:val="21"/>
          <w:highlight w:val="none"/>
          <w:lang w:eastAsia="zh-CN"/>
        </w:rPr>
        <w:t>供应商</w:t>
      </w:r>
      <w:r>
        <w:rPr>
          <w:rFonts w:hint="eastAsia" w:ascii="宋体" w:hAnsi="宋体" w:cs="宋体"/>
          <w:b/>
          <w:bCs/>
          <w:color w:val="auto"/>
          <w:szCs w:val="21"/>
          <w:highlight w:val="none"/>
        </w:rPr>
        <w:t>参加同一合同项下投标的，按一家</w:t>
      </w:r>
      <w:r>
        <w:rPr>
          <w:rFonts w:hint="eastAsia" w:ascii="宋体" w:hAnsi="宋体" w:cs="宋体"/>
          <w:b/>
          <w:bCs/>
          <w:color w:val="auto"/>
          <w:szCs w:val="21"/>
          <w:highlight w:val="none"/>
          <w:lang w:eastAsia="zh-CN"/>
        </w:rPr>
        <w:t>供应商</w:t>
      </w:r>
      <w:r>
        <w:rPr>
          <w:rFonts w:hint="eastAsia" w:ascii="宋体" w:hAnsi="宋体" w:cs="宋体"/>
          <w:b/>
          <w:bCs/>
          <w:color w:val="auto"/>
          <w:szCs w:val="21"/>
          <w:highlight w:val="none"/>
        </w:rPr>
        <w:t>计算，评审后得分最高的同品牌</w:t>
      </w:r>
      <w:r>
        <w:rPr>
          <w:rFonts w:hint="eastAsia" w:ascii="宋体" w:hAnsi="宋体" w:cs="宋体"/>
          <w:b/>
          <w:bCs/>
          <w:color w:val="auto"/>
          <w:szCs w:val="21"/>
          <w:highlight w:val="none"/>
          <w:lang w:eastAsia="zh-CN"/>
        </w:rPr>
        <w:t>供应商</w:t>
      </w:r>
      <w:r>
        <w:rPr>
          <w:rFonts w:hint="eastAsia" w:ascii="宋体" w:hAnsi="宋体" w:cs="宋体"/>
          <w:b/>
          <w:bCs/>
          <w:color w:val="auto"/>
          <w:szCs w:val="21"/>
          <w:highlight w:val="none"/>
        </w:rPr>
        <w:t>获得中标人推荐资格；评审得分相同的，由采购单位现场抽签确定中标人推荐资格，其他同品牌</w:t>
      </w:r>
      <w:r>
        <w:rPr>
          <w:rFonts w:hint="eastAsia" w:ascii="宋体" w:hAnsi="宋体" w:cs="宋体"/>
          <w:b/>
          <w:bCs/>
          <w:color w:val="auto"/>
          <w:szCs w:val="21"/>
          <w:highlight w:val="none"/>
          <w:lang w:eastAsia="zh-CN"/>
        </w:rPr>
        <w:t>供应商</w:t>
      </w:r>
      <w:r>
        <w:rPr>
          <w:rFonts w:hint="eastAsia" w:ascii="宋体" w:hAnsi="宋体" w:cs="宋体"/>
          <w:b/>
          <w:bCs/>
          <w:color w:val="auto"/>
          <w:szCs w:val="21"/>
          <w:highlight w:val="none"/>
        </w:rPr>
        <w:t>不作为成交候选人。</w:t>
      </w:r>
    </w:p>
    <w:p w14:paraId="5125D54F">
      <w:pPr>
        <w:spacing w:line="440" w:lineRule="exact"/>
        <w:ind w:firstLine="422" w:firstLineChars="200"/>
        <w:textAlignment w:val="baseline"/>
        <w:rPr>
          <w:rFonts w:hint="eastAsia" w:ascii="宋体" w:hAnsi="宋体" w:eastAsia="宋体" w:cs="宋体"/>
          <w:b/>
          <w:bCs/>
          <w:color w:val="auto"/>
          <w:sz w:val="20"/>
          <w:szCs w:val="21"/>
          <w:highlight w:val="none"/>
          <w:lang w:eastAsia="zh-CN"/>
        </w:rPr>
      </w:pPr>
      <w:r>
        <w:rPr>
          <w:rFonts w:hint="eastAsia" w:ascii="宋体" w:hAnsi="宋体" w:cs="宋体"/>
          <w:b/>
          <w:bCs/>
          <w:color w:val="auto"/>
          <w:szCs w:val="21"/>
          <w:highlight w:val="none"/>
        </w:rPr>
        <w:t>6.5单位负责人为同一人或者存在直接控股、管理关系的不同供应商，不得参加同一合同项下的政府采购活动；为采购项目提供整体设计、规范编制或者项目管理、监理、检测等服务后不得再参加该采购项目的其他采购活动</w:t>
      </w:r>
      <w:r>
        <w:rPr>
          <w:rFonts w:hint="eastAsia" w:ascii="宋体" w:hAnsi="宋体" w:cs="宋体"/>
          <w:b/>
          <w:bCs/>
          <w:color w:val="auto"/>
          <w:szCs w:val="21"/>
          <w:highlight w:val="none"/>
          <w:lang w:eastAsia="zh-CN"/>
        </w:rPr>
        <w:t>。</w:t>
      </w:r>
    </w:p>
    <w:p w14:paraId="2B433726">
      <w:pPr>
        <w:pStyle w:val="12"/>
        <w:spacing w:after="0" w:line="440" w:lineRule="exact"/>
        <w:ind w:firstLineChars="200"/>
        <w:rPr>
          <w:rFonts w:ascii="宋体" w:hAnsi="宋体" w:cs="宋体"/>
          <w:color w:val="auto"/>
          <w:highlight w:val="none"/>
        </w:rPr>
      </w:pPr>
    </w:p>
    <w:p w14:paraId="2B5986E1">
      <w:pPr>
        <w:pStyle w:val="4"/>
        <w:keepLines/>
        <w:widowControl w:val="0"/>
        <w:numPr>
          <w:ilvl w:val="2"/>
          <w:numId w:val="0"/>
        </w:numPr>
        <w:spacing w:before="156" w:after="156"/>
        <w:jc w:val="center"/>
        <w:textAlignment w:val="baseline"/>
        <w:rPr>
          <w:rFonts w:ascii="宋体" w:hAnsi="宋体" w:cs="宋体"/>
          <w:b/>
          <w:bCs/>
          <w:color w:val="auto"/>
          <w:kern w:val="2"/>
          <w:sz w:val="32"/>
          <w:szCs w:val="32"/>
          <w:highlight w:val="none"/>
        </w:rPr>
      </w:pPr>
      <w:bookmarkStart w:id="36" w:name="_Toc20292"/>
      <w:r>
        <w:rPr>
          <w:rFonts w:hint="eastAsia" w:ascii="宋体" w:hAnsi="宋体" w:cs="宋体"/>
          <w:b/>
          <w:bCs/>
          <w:color w:val="auto"/>
          <w:kern w:val="2"/>
          <w:sz w:val="32"/>
          <w:szCs w:val="32"/>
          <w:highlight w:val="none"/>
        </w:rPr>
        <w:t>二、磋商文件</w:t>
      </w:r>
      <w:bookmarkEnd w:id="36"/>
    </w:p>
    <w:p w14:paraId="7566E003">
      <w:pPr>
        <w:pStyle w:val="4"/>
        <w:keepNext w:val="0"/>
        <w:keepLines w:val="0"/>
        <w:pageBreakBefore w:val="0"/>
        <w:numPr>
          <w:ilvl w:val="0"/>
          <w:numId w:val="0"/>
        </w:numPr>
        <w:kinsoku/>
        <w:wordWrap/>
        <w:overflowPunct/>
        <w:topLinePunct w:val="0"/>
        <w:bidi w:val="0"/>
        <w:snapToGrid/>
        <w:spacing w:beforeLines="0" w:afterLines="0" w:line="440" w:lineRule="exact"/>
        <w:ind w:left="0" w:firstLine="422" w:firstLineChars="200"/>
        <w:textAlignment w:val="baseline"/>
        <w:rPr>
          <w:rFonts w:ascii="宋体" w:hAnsi="宋体" w:cs="宋体"/>
          <w:b/>
          <w:color w:val="auto"/>
          <w:sz w:val="21"/>
          <w:szCs w:val="21"/>
          <w:highlight w:val="none"/>
        </w:rPr>
      </w:pPr>
      <w:bookmarkStart w:id="37" w:name="_Toc15455"/>
      <w:r>
        <w:rPr>
          <w:rFonts w:hint="eastAsia" w:ascii="宋体" w:hAnsi="宋体" w:cs="宋体"/>
          <w:b/>
          <w:color w:val="auto"/>
          <w:sz w:val="21"/>
          <w:szCs w:val="21"/>
          <w:highlight w:val="none"/>
        </w:rPr>
        <w:t>1</w:t>
      </w:r>
      <w:r>
        <w:rPr>
          <w:rFonts w:hint="eastAsia" w:ascii="宋体" w:hAnsi="宋体" w:cs="宋体"/>
          <w:b/>
          <w:color w:val="auto"/>
          <w:sz w:val="21"/>
          <w:szCs w:val="21"/>
          <w:highlight w:val="none"/>
          <w:lang w:val="en-US" w:eastAsia="zh-CN"/>
        </w:rPr>
        <w:t>.</w:t>
      </w:r>
      <w:r>
        <w:rPr>
          <w:rFonts w:hint="eastAsia" w:ascii="宋体" w:hAnsi="宋体" w:cs="宋体"/>
          <w:b/>
          <w:color w:val="auto"/>
          <w:sz w:val="21"/>
          <w:szCs w:val="21"/>
          <w:highlight w:val="none"/>
        </w:rPr>
        <w:t>磋商文件的组成</w:t>
      </w:r>
      <w:bookmarkEnd w:id="37"/>
    </w:p>
    <w:p w14:paraId="43A28030">
      <w:pPr>
        <w:pStyle w:val="14"/>
        <w:keepNext w:val="0"/>
        <w:keepLines w:val="0"/>
        <w:pageBreakBefore w:val="0"/>
        <w:kinsoku/>
        <w:wordWrap/>
        <w:overflowPunct/>
        <w:topLinePunct w:val="0"/>
        <w:bidi w:val="0"/>
        <w:snapToGrid/>
        <w:spacing w:line="440" w:lineRule="exact"/>
        <w:ind w:left="0" w:firstLine="420" w:firstLineChars="200"/>
        <w:textAlignment w:val="baseline"/>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1.1磋商文件共分为6部分，其内容如下：</w:t>
      </w:r>
    </w:p>
    <w:p w14:paraId="0FDC3838">
      <w:pPr>
        <w:pStyle w:val="14"/>
        <w:keepNext w:val="0"/>
        <w:keepLines w:val="0"/>
        <w:pageBreakBefore w:val="0"/>
        <w:kinsoku/>
        <w:wordWrap/>
        <w:overflowPunct/>
        <w:topLinePunct w:val="0"/>
        <w:bidi w:val="0"/>
        <w:snapToGrid/>
        <w:spacing w:line="440" w:lineRule="exact"/>
        <w:ind w:left="0" w:firstLine="462" w:firstLineChars="220"/>
        <w:textAlignment w:val="baseline"/>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第一章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竞争性磋商公告</w:t>
      </w:r>
    </w:p>
    <w:p w14:paraId="0C081649">
      <w:pPr>
        <w:pStyle w:val="14"/>
        <w:keepNext w:val="0"/>
        <w:keepLines w:val="0"/>
        <w:pageBreakBefore w:val="0"/>
        <w:kinsoku/>
        <w:wordWrap/>
        <w:overflowPunct/>
        <w:topLinePunct w:val="0"/>
        <w:bidi w:val="0"/>
        <w:snapToGrid/>
        <w:spacing w:line="440" w:lineRule="exact"/>
        <w:ind w:left="0" w:firstLine="462" w:firstLineChars="220"/>
        <w:textAlignment w:val="baseline"/>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第二章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磋商供应商须知</w:t>
      </w:r>
    </w:p>
    <w:p w14:paraId="3C33FEF4">
      <w:pPr>
        <w:pStyle w:val="14"/>
        <w:keepNext w:val="0"/>
        <w:keepLines w:val="0"/>
        <w:pageBreakBefore w:val="0"/>
        <w:kinsoku/>
        <w:wordWrap/>
        <w:overflowPunct/>
        <w:topLinePunct w:val="0"/>
        <w:bidi w:val="0"/>
        <w:snapToGrid/>
        <w:spacing w:line="440" w:lineRule="exact"/>
        <w:ind w:left="0" w:firstLine="462" w:firstLineChars="220"/>
        <w:textAlignment w:val="baseline"/>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第三章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采购内容及要求</w:t>
      </w:r>
    </w:p>
    <w:p w14:paraId="60AB01FC">
      <w:pPr>
        <w:pStyle w:val="14"/>
        <w:keepNext w:val="0"/>
        <w:keepLines w:val="0"/>
        <w:pageBreakBefore w:val="0"/>
        <w:kinsoku/>
        <w:wordWrap/>
        <w:overflowPunct/>
        <w:topLinePunct w:val="0"/>
        <w:bidi w:val="0"/>
        <w:snapToGrid/>
        <w:spacing w:line="440" w:lineRule="exact"/>
        <w:ind w:left="0" w:firstLine="462" w:firstLineChars="220"/>
        <w:textAlignment w:val="baseline"/>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第四章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合同条款</w:t>
      </w:r>
    </w:p>
    <w:p w14:paraId="30CCBD9A">
      <w:pPr>
        <w:pStyle w:val="14"/>
        <w:keepNext w:val="0"/>
        <w:keepLines w:val="0"/>
        <w:pageBreakBefore w:val="0"/>
        <w:kinsoku/>
        <w:wordWrap/>
        <w:overflowPunct/>
        <w:topLinePunct w:val="0"/>
        <w:bidi w:val="0"/>
        <w:snapToGrid/>
        <w:spacing w:line="440" w:lineRule="exact"/>
        <w:ind w:left="0" w:firstLine="462" w:firstLineChars="220"/>
        <w:textAlignment w:val="baseline"/>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第五章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评标原则及办法</w:t>
      </w:r>
    </w:p>
    <w:p w14:paraId="5C98A7D2">
      <w:pPr>
        <w:pStyle w:val="14"/>
        <w:keepNext w:val="0"/>
        <w:keepLines w:val="0"/>
        <w:pageBreakBefore w:val="0"/>
        <w:kinsoku/>
        <w:wordWrap/>
        <w:overflowPunct/>
        <w:topLinePunct w:val="0"/>
        <w:bidi w:val="0"/>
        <w:snapToGrid/>
        <w:spacing w:line="440" w:lineRule="exact"/>
        <w:ind w:left="0" w:firstLine="462" w:firstLineChars="220"/>
        <w:textAlignment w:val="baseline"/>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第六章  响应文件格式</w:t>
      </w:r>
    </w:p>
    <w:p w14:paraId="4C0ECA34">
      <w:pPr>
        <w:pStyle w:val="14"/>
        <w:keepNext w:val="0"/>
        <w:keepLines w:val="0"/>
        <w:pageBreakBefore w:val="0"/>
        <w:kinsoku/>
        <w:wordWrap/>
        <w:overflowPunct/>
        <w:topLinePunct w:val="0"/>
        <w:bidi w:val="0"/>
        <w:snapToGrid/>
        <w:spacing w:line="440" w:lineRule="exact"/>
        <w:ind w:left="0" w:firstLine="420" w:firstLineChars="200"/>
        <w:textAlignment w:val="baseline"/>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1.2除上条1.1内容外，采购人、采购代理机构在规定时间前，以书面形式发出的对磋商文件的澄清或修改内容，均为磋商文件的组成部分。</w:t>
      </w:r>
    </w:p>
    <w:p w14:paraId="4A7366DA">
      <w:pPr>
        <w:pStyle w:val="14"/>
        <w:spacing w:line="440" w:lineRule="exact"/>
        <w:ind w:left="0" w:firstLine="420" w:firstLineChars="200"/>
        <w:textAlignment w:val="baseline"/>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1.3磋商供应商获取磋商文件后，应仔细检查磋商文件的所有内容，如有残缺等问题，应在获得磋商文件3日内向采购人提出，否则，由此引起的损失由磋商供应商自己承担。磋商供应商同时应认真审阅磋商文件中所有的事项、格式、条款和规范要求等，若磋商供应商的响应文件没有按磋商文件要求提交全部资料，或响应文件没有对磋商文件做出实质性响应，并根据有关条款规定，其风险由磋商供应商自行承担。</w:t>
      </w:r>
    </w:p>
    <w:p w14:paraId="09E3B363">
      <w:pPr>
        <w:pStyle w:val="14"/>
        <w:spacing w:line="440" w:lineRule="exact"/>
        <w:ind w:left="0" w:firstLine="420" w:firstLineChars="200"/>
        <w:textAlignment w:val="baseline"/>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1.4招标采购人允许潜在磋商供应商在磋商文件发售截止时间后至投标截止时间前允许潜在磋商供应商前来认购磋商文件，但该磋商供应商如在法律、法规规定的时间内逾期对磋商文件提出异议的，招标采购人可不予受理、答复。</w:t>
      </w:r>
    </w:p>
    <w:p w14:paraId="31F77414">
      <w:pPr>
        <w:pStyle w:val="14"/>
        <w:spacing w:line="440" w:lineRule="exact"/>
        <w:ind w:left="422" w:firstLine="42"/>
        <w:textAlignment w:val="baseline"/>
        <w:rPr>
          <w:rFonts w:ascii="宋体" w:hAnsi="宋体" w:eastAsia="宋体" w:cs="宋体"/>
          <w:b/>
          <w:color w:val="auto"/>
          <w:sz w:val="21"/>
          <w:szCs w:val="21"/>
          <w:highlight w:val="none"/>
        </w:rPr>
      </w:pPr>
      <w:r>
        <w:rPr>
          <w:rFonts w:hint="eastAsia" w:ascii="宋体" w:hAnsi="宋体" w:eastAsia="宋体" w:cs="宋体"/>
          <w:b/>
          <w:color w:val="auto"/>
          <w:sz w:val="21"/>
          <w:szCs w:val="21"/>
          <w:highlight w:val="none"/>
        </w:rPr>
        <w:t>2</w:t>
      </w:r>
      <w:r>
        <w:rPr>
          <w:rFonts w:hint="eastAsia" w:ascii="宋体" w:hAnsi="宋体" w:eastAsia="宋体" w:cs="宋体"/>
          <w:b/>
          <w:color w:val="auto"/>
          <w:sz w:val="21"/>
          <w:szCs w:val="21"/>
          <w:highlight w:val="none"/>
          <w:lang w:val="en-US" w:eastAsia="zh-CN"/>
        </w:rPr>
        <w:t>.</w:t>
      </w:r>
      <w:r>
        <w:rPr>
          <w:rFonts w:hint="eastAsia" w:ascii="宋体" w:hAnsi="宋体" w:eastAsia="宋体" w:cs="宋体"/>
          <w:b/>
          <w:color w:val="auto"/>
          <w:sz w:val="21"/>
          <w:szCs w:val="21"/>
          <w:highlight w:val="none"/>
        </w:rPr>
        <w:t>磋商文件的澄清与修改</w:t>
      </w:r>
    </w:p>
    <w:p w14:paraId="36CA7EF1">
      <w:pPr>
        <w:pStyle w:val="18"/>
        <w:snapToGrid w:val="0"/>
        <w:spacing w:line="440" w:lineRule="exact"/>
        <w:ind w:firstLine="420" w:firstLineChars="200"/>
        <w:textAlignment w:val="baseline"/>
        <w:rPr>
          <w:rFonts w:hAnsi="宋体" w:cs="宋体"/>
          <w:color w:val="auto"/>
          <w:highlight w:val="none"/>
        </w:rPr>
      </w:pPr>
      <w:r>
        <w:rPr>
          <w:rFonts w:hint="eastAsia" w:hAnsi="宋体" w:cs="宋体"/>
          <w:color w:val="auto"/>
          <w:highlight w:val="none"/>
        </w:rPr>
        <w:t>2.1</w:t>
      </w:r>
      <w:r>
        <w:rPr>
          <w:rFonts w:hint="eastAsia" w:hAnsi="宋体" w:cs="宋体"/>
          <w:bCs/>
          <w:color w:val="auto"/>
          <w:highlight w:val="none"/>
        </w:rPr>
        <w:t>磋商供应商应认真阅读本磋商文件，发现其中有误或有不合理要求的，磋商供应商必须在前附表规定的时间内以书面形式要求招标采购人澄清</w:t>
      </w:r>
      <w:r>
        <w:rPr>
          <w:rFonts w:hint="eastAsia" w:hAnsi="宋体" w:cs="宋体"/>
          <w:color w:val="auto"/>
          <w:highlight w:val="none"/>
        </w:rPr>
        <w:t>。采购代理机构对已发出的磋商文件进行必要澄清、答复、修改或补充的，应当在提交首次响应文件截止时间至少5日前，在财政部门指定的政府采购信息发布媒体上发布更正公告，并以书面形式通知所有获取磋商文件的供应商。</w:t>
      </w:r>
    </w:p>
    <w:p w14:paraId="121138E3">
      <w:pPr>
        <w:pStyle w:val="18"/>
        <w:snapToGrid w:val="0"/>
        <w:spacing w:line="440" w:lineRule="exact"/>
        <w:ind w:firstLine="420" w:firstLineChars="200"/>
        <w:textAlignment w:val="baseline"/>
        <w:rPr>
          <w:rFonts w:hAnsi="宋体" w:cs="宋体"/>
          <w:color w:val="auto"/>
          <w:highlight w:val="none"/>
        </w:rPr>
      </w:pPr>
      <w:r>
        <w:rPr>
          <w:rFonts w:hint="eastAsia" w:hAnsi="宋体" w:cs="宋体"/>
          <w:color w:val="auto"/>
          <w:highlight w:val="none"/>
        </w:rPr>
        <w:t>2.2采购代理机构必须以书面形式答复磋商供应商要求澄清的问题，并将不包含问题来源的答复书面通知所有购买磋商文件的磋商供应商；除书面答复以外的其他澄清方式及澄清内容均无效。</w:t>
      </w:r>
    </w:p>
    <w:p w14:paraId="46A04585">
      <w:pPr>
        <w:pStyle w:val="18"/>
        <w:snapToGrid w:val="0"/>
        <w:spacing w:line="440" w:lineRule="exact"/>
        <w:ind w:firstLine="420" w:firstLineChars="200"/>
        <w:textAlignment w:val="baseline"/>
        <w:rPr>
          <w:rFonts w:hAnsi="宋体" w:cs="宋体"/>
          <w:color w:val="auto"/>
          <w:highlight w:val="none"/>
        </w:rPr>
      </w:pPr>
      <w:r>
        <w:rPr>
          <w:rFonts w:hint="eastAsia" w:hAnsi="宋体" w:cs="宋体"/>
          <w:color w:val="auto"/>
          <w:highlight w:val="none"/>
        </w:rPr>
        <w:t>2.3磋商文件澄清、答复、修改、补充的内容为磋商文件的组成部分。当磋商文件与磋商文件的答复、澄清、修改、补充通知就同一内容的表述不一致时，以最后发出的书面文件为准。</w:t>
      </w:r>
    </w:p>
    <w:p w14:paraId="1C94A30C">
      <w:pPr>
        <w:pStyle w:val="18"/>
        <w:snapToGrid w:val="0"/>
        <w:spacing w:line="440" w:lineRule="exact"/>
        <w:ind w:firstLine="420" w:firstLineChars="200"/>
        <w:textAlignment w:val="baseline"/>
        <w:rPr>
          <w:rFonts w:hAnsi="宋体" w:cs="宋体"/>
          <w:color w:val="auto"/>
          <w:highlight w:val="none"/>
        </w:rPr>
      </w:pPr>
      <w:r>
        <w:rPr>
          <w:rFonts w:hint="eastAsia" w:hAnsi="宋体" w:cs="宋体"/>
          <w:color w:val="auto"/>
          <w:highlight w:val="none"/>
        </w:rPr>
        <w:t>2.4磋商文件的澄清、答复、修改或补充都应该通过本代理机构以法定形式发布，采购人非通过本机构，不得擅自澄清、答复、修改或补充磋商文件。</w:t>
      </w:r>
    </w:p>
    <w:p w14:paraId="5F474C7C">
      <w:pPr>
        <w:pStyle w:val="4"/>
        <w:keepLines/>
        <w:widowControl w:val="0"/>
        <w:numPr>
          <w:ilvl w:val="2"/>
          <w:numId w:val="0"/>
        </w:numPr>
        <w:spacing w:before="156" w:after="156" w:line="440" w:lineRule="exact"/>
        <w:jc w:val="center"/>
        <w:textAlignment w:val="baseline"/>
        <w:rPr>
          <w:rFonts w:ascii="宋体" w:hAnsi="宋体" w:cs="宋体"/>
          <w:b/>
          <w:bCs/>
          <w:color w:val="auto"/>
          <w:kern w:val="2"/>
          <w:sz w:val="32"/>
          <w:szCs w:val="32"/>
          <w:highlight w:val="none"/>
        </w:rPr>
      </w:pPr>
      <w:bookmarkStart w:id="38" w:name="_Toc16910"/>
      <w:r>
        <w:rPr>
          <w:rFonts w:hint="eastAsia" w:ascii="宋体" w:hAnsi="宋体" w:cs="宋体"/>
          <w:b/>
          <w:bCs/>
          <w:color w:val="auto"/>
          <w:kern w:val="2"/>
          <w:sz w:val="32"/>
          <w:szCs w:val="32"/>
          <w:highlight w:val="none"/>
        </w:rPr>
        <w:t>三、响应文件</w:t>
      </w:r>
      <w:bookmarkEnd w:id="38"/>
    </w:p>
    <w:p w14:paraId="1EF465C2">
      <w:pPr>
        <w:pStyle w:val="14"/>
        <w:spacing w:line="440" w:lineRule="exact"/>
        <w:ind w:left="0" w:firstLine="422" w:firstLineChars="200"/>
        <w:textAlignment w:val="baseline"/>
        <w:rPr>
          <w:rFonts w:ascii="宋体" w:hAnsi="宋体" w:eastAsia="宋体" w:cs="宋体"/>
          <w:b/>
          <w:color w:val="auto"/>
          <w:sz w:val="21"/>
          <w:szCs w:val="21"/>
          <w:highlight w:val="none"/>
        </w:rPr>
      </w:pPr>
      <w:r>
        <w:rPr>
          <w:rFonts w:hint="eastAsia" w:ascii="宋体" w:hAnsi="宋体" w:eastAsia="宋体" w:cs="宋体"/>
          <w:b/>
          <w:color w:val="auto"/>
          <w:sz w:val="21"/>
          <w:szCs w:val="21"/>
          <w:highlight w:val="none"/>
        </w:rPr>
        <w:t>1</w:t>
      </w:r>
      <w:r>
        <w:rPr>
          <w:rFonts w:hint="eastAsia" w:ascii="宋体" w:hAnsi="宋体" w:eastAsia="宋体" w:cs="宋体"/>
          <w:b/>
          <w:color w:val="auto"/>
          <w:sz w:val="21"/>
          <w:szCs w:val="21"/>
          <w:highlight w:val="none"/>
          <w:lang w:val="en-US" w:eastAsia="zh-CN"/>
        </w:rPr>
        <w:t>.</w:t>
      </w:r>
      <w:r>
        <w:rPr>
          <w:rFonts w:hint="eastAsia" w:ascii="宋体" w:hAnsi="宋体" w:eastAsia="宋体" w:cs="宋体"/>
          <w:b/>
          <w:color w:val="auto"/>
          <w:sz w:val="21"/>
          <w:szCs w:val="21"/>
          <w:highlight w:val="none"/>
        </w:rPr>
        <w:t>响应文件的语言及度量衡单位</w:t>
      </w:r>
    </w:p>
    <w:p w14:paraId="1E513A7A">
      <w:pPr>
        <w:pStyle w:val="14"/>
        <w:spacing w:line="440" w:lineRule="exact"/>
        <w:ind w:left="0" w:firstLine="420" w:firstLineChars="200"/>
        <w:textAlignment w:val="baseline"/>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1.1除采购货物有关专用名称外，响应文件和与投标有关的所有文件说明均应使用中文。</w:t>
      </w:r>
    </w:p>
    <w:p w14:paraId="7E252DE9">
      <w:pPr>
        <w:pStyle w:val="14"/>
        <w:spacing w:line="440" w:lineRule="exact"/>
        <w:ind w:left="0" w:firstLine="420" w:firstLineChars="200"/>
        <w:textAlignment w:val="baseline"/>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1.2除采购项目规范另有规定外，响应文件使用的度量衡单位，均采用中华人民共和国法定计量单位。</w:t>
      </w:r>
    </w:p>
    <w:p w14:paraId="4DD2FDB9">
      <w:pPr>
        <w:snapToGrid w:val="0"/>
        <w:spacing w:line="440" w:lineRule="exact"/>
        <w:ind w:firstLine="422" w:firstLineChars="200"/>
        <w:textAlignment w:val="baseline"/>
        <w:rPr>
          <w:rFonts w:ascii="宋体" w:hAnsi="宋体" w:cs="宋体"/>
          <w:color w:val="auto"/>
          <w:sz w:val="20"/>
          <w:szCs w:val="21"/>
          <w:highlight w:val="none"/>
        </w:rPr>
      </w:pPr>
      <w:r>
        <w:rPr>
          <w:rFonts w:hint="eastAsia" w:ascii="宋体" w:hAnsi="宋体" w:cs="宋体"/>
          <w:b/>
          <w:color w:val="auto"/>
          <w:szCs w:val="21"/>
          <w:highlight w:val="none"/>
        </w:rPr>
        <w:t>2</w:t>
      </w:r>
      <w:r>
        <w:rPr>
          <w:rFonts w:hint="eastAsia" w:ascii="宋体" w:hAnsi="宋体" w:cs="宋体"/>
          <w:b/>
          <w:color w:val="auto"/>
          <w:szCs w:val="21"/>
          <w:highlight w:val="none"/>
          <w:lang w:val="en-US" w:eastAsia="zh-CN"/>
        </w:rPr>
        <w:t>.</w:t>
      </w:r>
      <w:r>
        <w:rPr>
          <w:rFonts w:hint="eastAsia" w:ascii="宋体" w:hAnsi="宋体" w:cs="宋体"/>
          <w:b/>
          <w:color w:val="auto"/>
          <w:szCs w:val="21"/>
          <w:highlight w:val="none"/>
        </w:rPr>
        <w:t>响应文件的形式和效力</w:t>
      </w:r>
    </w:p>
    <w:p w14:paraId="55C7B7A0">
      <w:pPr>
        <w:snapToGrid w:val="0"/>
        <w:spacing w:line="440" w:lineRule="exact"/>
        <w:ind w:firstLine="422" w:firstLineChars="200"/>
        <w:textAlignment w:val="baseline"/>
        <w:rPr>
          <w:rFonts w:ascii="宋体" w:hAnsi="宋体" w:cs="宋体"/>
          <w:color w:val="auto"/>
          <w:sz w:val="20"/>
          <w:highlight w:val="none"/>
        </w:rPr>
      </w:pPr>
      <w:r>
        <w:rPr>
          <w:rFonts w:hint="eastAsia" w:ascii="宋体" w:hAnsi="宋体" w:cs="宋体"/>
          <w:b/>
          <w:color w:val="auto"/>
          <w:szCs w:val="21"/>
          <w:highlight w:val="none"/>
        </w:rPr>
        <w:t>2.1响应文件为电子响应文件。电子响应文件</w:t>
      </w:r>
      <w:r>
        <w:rPr>
          <w:rFonts w:hint="eastAsia" w:ascii="宋体" w:hAnsi="宋体" w:cs="宋体"/>
          <w:b/>
          <w:bCs/>
          <w:color w:val="auto"/>
          <w:szCs w:val="21"/>
          <w:highlight w:val="none"/>
        </w:rPr>
        <w:t>按政采云平台</w:t>
      </w:r>
      <w:r>
        <w:rPr>
          <w:rFonts w:hint="eastAsia" w:ascii="宋体" w:hAnsi="宋体" w:cs="宋体"/>
          <w:b/>
          <w:bCs/>
          <w:color w:val="auto"/>
          <w:kern w:val="0"/>
          <w:szCs w:val="21"/>
          <w:highlight w:val="none"/>
        </w:rPr>
        <w:t>“供应商-政府采购项目电子交易操作指南”</w:t>
      </w:r>
      <w:r>
        <w:rPr>
          <w:rFonts w:hint="eastAsia" w:ascii="宋体" w:hAnsi="宋体" w:cs="宋体"/>
          <w:b/>
          <w:color w:val="auto"/>
          <w:szCs w:val="21"/>
          <w:highlight w:val="none"/>
        </w:rPr>
        <w:t>及本招标文件要求制作、加密并递交。</w:t>
      </w:r>
    </w:p>
    <w:p w14:paraId="06C638C2">
      <w:pPr>
        <w:pStyle w:val="14"/>
        <w:spacing w:line="440" w:lineRule="exact"/>
        <w:ind w:left="0" w:firstLine="422" w:firstLineChars="200"/>
        <w:textAlignment w:val="baseline"/>
        <w:rPr>
          <w:rFonts w:hint="eastAsia" w:ascii="宋体" w:hAnsi="宋体" w:eastAsia="宋体" w:cs="宋体"/>
          <w:b/>
          <w:color w:val="auto"/>
          <w:sz w:val="21"/>
          <w:szCs w:val="21"/>
          <w:highlight w:val="none"/>
          <w:lang w:eastAsia="zh-CN"/>
        </w:rPr>
      </w:pPr>
      <w:r>
        <w:rPr>
          <w:rFonts w:hint="eastAsia" w:ascii="宋体" w:hAnsi="宋体" w:eastAsia="宋体" w:cs="宋体"/>
          <w:b/>
          <w:color w:val="auto"/>
          <w:sz w:val="21"/>
          <w:szCs w:val="21"/>
          <w:highlight w:val="none"/>
        </w:rPr>
        <w:t>3</w:t>
      </w:r>
      <w:r>
        <w:rPr>
          <w:rFonts w:hint="eastAsia" w:ascii="宋体" w:hAnsi="宋体" w:eastAsia="宋体" w:cs="宋体"/>
          <w:b/>
          <w:color w:val="auto"/>
          <w:sz w:val="21"/>
          <w:szCs w:val="21"/>
          <w:highlight w:val="none"/>
          <w:lang w:val="en-US" w:eastAsia="zh-CN"/>
        </w:rPr>
        <w:t>.</w:t>
      </w:r>
      <w:r>
        <w:rPr>
          <w:rFonts w:hint="eastAsia" w:ascii="宋体" w:hAnsi="宋体" w:eastAsia="宋体" w:cs="宋体"/>
          <w:b/>
          <w:color w:val="auto"/>
          <w:sz w:val="21"/>
          <w:szCs w:val="21"/>
          <w:highlight w:val="none"/>
        </w:rPr>
        <w:t>响应文件的组成</w:t>
      </w:r>
    </w:p>
    <w:p w14:paraId="0573D78D">
      <w:pPr>
        <w:tabs>
          <w:tab w:val="left" w:pos="0"/>
          <w:tab w:val="left" w:pos="900"/>
          <w:tab w:val="left" w:pos="7020"/>
          <w:tab w:val="left" w:pos="8460"/>
        </w:tabs>
        <w:snapToGrid w:val="0"/>
        <w:spacing w:line="440" w:lineRule="exact"/>
        <w:ind w:firstLine="420" w:firstLineChars="200"/>
        <w:textAlignment w:val="baseline"/>
        <w:rPr>
          <w:rFonts w:ascii="宋体" w:hAnsi="宋体" w:cs="宋体"/>
          <w:b/>
          <w:bCs/>
          <w:color w:val="auto"/>
          <w:sz w:val="20"/>
          <w:szCs w:val="21"/>
          <w:highlight w:val="none"/>
        </w:rPr>
      </w:pPr>
      <w:r>
        <w:rPr>
          <w:rFonts w:hint="eastAsia" w:ascii="宋体" w:hAnsi="宋体" w:cs="宋体"/>
          <w:color w:val="auto"/>
          <w:szCs w:val="21"/>
          <w:highlight w:val="none"/>
        </w:rPr>
        <w:t>2.1响应文件由</w:t>
      </w:r>
      <w:r>
        <w:rPr>
          <w:rFonts w:hint="eastAsia" w:ascii="宋体" w:hAnsi="宋体" w:cs="宋体"/>
          <w:color w:val="auto"/>
          <w:szCs w:val="21"/>
          <w:highlight w:val="none"/>
          <w:lang w:eastAsia="zh-CN"/>
        </w:rPr>
        <w:t>资格审查文件</w:t>
      </w:r>
      <w:r>
        <w:rPr>
          <w:rFonts w:hint="eastAsia" w:ascii="宋体" w:hAnsi="宋体" w:cs="宋体"/>
          <w:color w:val="auto"/>
          <w:szCs w:val="21"/>
          <w:highlight w:val="none"/>
        </w:rPr>
        <w:t>、商务技术文件、报价文件三部分组成。</w:t>
      </w:r>
      <w:r>
        <w:rPr>
          <w:rFonts w:hint="eastAsia" w:ascii="宋体" w:hAnsi="宋体" w:cs="宋体"/>
          <w:b/>
          <w:color w:val="auto"/>
          <w:szCs w:val="21"/>
          <w:highlight w:val="none"/>
        </w:rPr>
        <w:t>电子响应文件中所须加盖公章部分均采用CA签章。</w:t>
      </w:r>
    </w:p>
    <w:p w14:paraId="157B8C2D">
      <w:pPr>
        <w:pStyle w:val="14"/>
        <w:spacing w:line="440" w:lineRule="exact"/>
        <w:ind w:left="422" w:firstLine="42"/>
        <w:textAlignment w:val="baseline"/>
        <w:rPr>
          <w:rFonts w:hint="eastAsia" w:ascii="宋体" w:hAnsi="宋体" w:eastAsia="宋体" w:cs="宋体"/>
          <w:b/>
          <w:bCs/>
          <w:color w:val="auto"/>
          <w:sz w:val="21"/>
          <w:szCs w:val="21"/>
          <w:highlight w:val="none"/>
          <w:lang w:eastAsia="zh-CN"/>
        </w:rPr>
      </w:pPr>
      <w:r>
        <w:rPr>
          <w:rFonts w:hint="eastAsia" w:ascii="仿宋" w:hAnsi="仿宋" w:eastAsia="仿宋" w:cs="仿宋"/>
          <w:b/>
          <w:bCs/>
          <w:sz w:val="24"/>
          <w:highlight w:val="none"/>
        </w:rPr>
        <w:t>▲</w:t>
      </w:r>
      <w:r>
        <w:rPr>
          <w:rFonts w:hint="eastAsia" w:ascii="宋体" w:hAnsi="宋体" w:eastAsia="宋体" w:cs="宋体"/>
          <w:b/>
          <w:bCs/>
          <w:color w:val="auto"/>
          <w:sz w:val="21"/>
          <w:szCs w:val="21"/>
          <w:highlight w:val="none"/>
          <w:lang w:eastAsia="zh-CN"/>
        </w:rPr>
        <w:t>资格审查文件</w:t>
      </w:r>
    </w:p>
    <w:p w14:paraId="0126DFE1">
      <w:pPr>
        <w:pageBreakBefore w:val="0"/>
        <w:tabs>
          <w:tab w:val="left" w:pos="0"/>
          <w:tab w:val="left" w:pos="900"/>
          <w:tab w:val="left" w:pos="7020"/>
          <w:tab w:val="left" w:pos="8460"/>
        </w:tabs>
        <w:kinsoku/>
        <w:topLinePunct w:val="0"/>
        <w:bidi w:val="0"/>
        <w:snapToGrid w:val="0"/>
        <w:spacing w:line="500" w:lineRule="exact"/>
        <w:ind w:left="0" w:leftChars="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cs="宋体"/>
          <w:color w:val="auto"/>
          <w:szCs w:val="21"/>
          <w:highlight w:val="none"/>
          <w:lang w:val="en-US" w:eastAsia="zh-CN"/>
        </w:rPr>
        <w:t>提供</w:t>
      </w:r>
      <w:r>
        <w:rPr>
          <w:rFonts w:hint="eastAsia" w:ascii="宋体" w:hAnsi="宋体" w:eastAsia="宋体" w:cs="宋体"/>
          <w:color w:val="auto"/>
          <w:szCs w:val="21"/>
          <w:highlight w:val="none"/>
        </w:rPr>
        <w:t>有效期内</w:t>
      </w:r>
      <w:r>
        <w:rPr>
          <w:rFonts w:hint="eastAsia" w:ascii="宋体" w:hAnsi="宋体" w:eastAsia="宋体" w:cs="宋体"/>
          <w:color w:val="auto"/>
          <w:szCs w:val="21"/>
          <w:highlight w:val="none"/>
          <w:lang w:val="zh-CN"/>
        </w:rPr>
        <w:t>营业执照原件扫描件；</w:t>
      </w:r>
    </w:p>
    <w:p w14:paraId="0BF86BB6">
      <w:pPr>
        <w:pageBreakBefore w:val="0"/>
        <w:tabs>
          <w:tab w:val="left" w:pos="0"/>
          <w:tab w:val="left" w:pos="900"/>
          <w:tab w:val="left" w:pos="7020"/>
          <w:tab w:val="left" w:pos="8460"/>
        </w:tabs>
        <w:kinsoku/>
        <w:topLinePunct w:val="0"/>
        <w:bidi w:val="0"/>
        <w:snapToGrid w:val="0"/>
        <w:spacing w:line="500" w:lineRule="exact"/>
        <w:ind w:left="0" w:leftChars="0"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符合参与政府采购活动资格条件的承诺函</w:t>
      </w:r>
      <w:r>
        <w:rPr>
          <w:rFonts w:hint="eastAsia" w:ascii="宋体" w:hAnsi="宋体" w:cs="宋体"/>
          <w:color w:val="auto"/>
          <w:szCs w:val="21"/>
          <w:highlight w:val="none"/>
        </w:rPr>
        <w:t>【格式见附件】</w:t>
      </w:r>
      <w:r>
        <w:rPr>
          <w:rFonts w:hint="eastAsia" w:ascii="宋体" w:hAnsi="宋体" w:cs="宋体"/>
          <w:color w:val="auto"/>
          <w:szCs w:val="21"/>
          <w:highlight w:val="none"/>
          <w:lang w:eastAsia="zh-CN"/>
        </w:rPr>
        <w:t>；</w:t>
      </w:r>
    </w:p>
    <w:p w14:paraId="6A04E323">
      <w:pPr>
        <w:pageBreakBefore w:val="0"/>
        <w:tabs>
          <w:tab w:val="left" w:pos="720"/>
          <w:tab w:val="left" w:pos="5355"/>
        </w:tabs>
        <w:kinsoku/>
        <w:topLinePunct w:val="0"/>
        <w:bidi w:val="0"/>
        <w:spacing w:line="500" w:lineRule="exact"/>
        <w:ind w:left="0" w:leftChars="0" w:firstLine="420" w:firstLineChars="200"/>
        <w:rPr>
          <w:rFonts w:hint="eastAsia" w:ascii="宋体" w:hAnsi="宋体" w:eastAsia="宋体" w:cs="宋体"/>
          <w:bCs/>
          <w:color w:val="auto"/>
          <w:highlight w:val="none"/>
          <w:lang w:val="zh-CN"/>
        </w:rPr>
      </w:pPr>
      <w:r>
        <w:rPr>
          <w:rFonts w:hint="eastAsia" w:ascii="宋体" w:hAnsi="宋体" w:eastAsia="宋体" w:cs="宋体"/>
          <w:bCs/>
          <w:color w:val="auto"/>
          <w:highlight w:val="none"/>
          <w:lang w:val="en-US" w:eastAsia="zh-CN"/>
        </w:rPr>
        <w:t>3</w:t>
      </w:r>
      <w:r>
        <w:rPr>
          <w:rFonts w:hint="eastAsia" w:ascii="宋体" w:hAnsi="宋体" w:eastAsia="宋体" w:cs="宋体"/>
          <w:bCs/>
          <w:color w:val="auto"/>
          <w:highlight w:val="none"/>
          <w:lang w:val="zh-CN"/>
        </w:rPr>
        <w:t>）法定代表人身份证明和本人身份证复印件</w:t>
      </w:r>
      <w:r>
        <w:rPr>
          <w:rFonts w:hint="eastAsia" w:ascii="宋体" w:hAnsi="宋体" w:eastAsia="宋体" w:cs="宋体"/>
          <w:b/>
          <w:bCs w:val="0"/>
          <w:color w:val="auto"/>
          <w:highlight w:val="none"/>
          <w:lang w:val="zh-CN"/>
        </w:rPr>
        <w:t>（</w:t>
      </w:r>
      <w:r>
        <w:rPr>
          <w:rFonts w:hint="eastAsia" w:ascii="宋体" w:hAnsi="宋体" w:eastAsia="宋体" w:cs="宋体"/>
          <w:b/>
          <w:bCs w:val="0"/>
          <w:color w:val="auto"/>
          <w:highlight w:val="none"/>
          <w:lang w:val="en-US" w:eastAsia="zh-CN"/>
        </w:rPr>
        <w:t>法定代表人参与投标的提供</w:t>
      </w:r>
      <w:r>
        <w:rPr>
          <w:rFonts w:hint="eastAsia" w:ascii="宋体" w:hAnsi="宋体" w:eastAsia="宋体" w:cs="宋体"/>
          <w:b/>
          <w:bCs w:val="0"/>
          <w:color w:val="auto"/>
          <w:highlight w:val="none"/>
          <w:lang w:val="zh-CN"/>
        </w:rPr>
        <w:t>）</w:t>
      </w:r>
      <w:r>
        <w:rPr>
          <w:rFonts w:hint="eastAsia" w:ascii="宋体" w:hAnsi="宋体" w:eastAsia="宋体" w:cs="宋体"/>
          <w:bCs/>
          <w:color w:val="auto"/>
          <w:highlight w:val="none"/>
          <w:lang w:val="zh-CN"/>
        </w:rPr>
        <w:t>或法定代表人授权委托书和委托代理人身份证复印件</w:t>
      </w:r>
      <w:r>
        <w:rPr>
          <w:rFonts w:hint="eastAsia" w:ascii="宋体" w:hAnsi="宋体" w:eastAsia="宋体" w:cs="宋体"/>
          <w:b/>
          <w:bCs w:val="0"/>
          <w:i w:val="0"/>
          <w:iCs w:val="0"/>
          <w:color w:val="auto"/>
          <w:highlight w:val="none"/>
          <w:lang w:val="zh-CN"/>
        </w:rPr>
        <w:t>（</w:t>
      </w:r>
      <w:r>
        <w:rPr>
          <w:rFonts w:hint="eastAsia" w:ascii="宋体" w:hAnsi="宋体" w:eastAsia="宋体" w:cs="宋体"/>
          <w:b/>
          <w:bCs w:val="0"/>
          <w:i w:val="0"/>
          <w:iCs w:val="0"/>
          <w:color w:val="auto"/>
          <w:highlight w:val="none"/>
          <w:lang w:val="en-US" w:eastAsia="zh-CN"/>
        </w:rPr>
        <w:t>授权委托人参与投标的提供</w:t>
      </w:r>
      <w:r>
        <w:rPr>
          <w:rFonts w:hint="eastAsia" w:ascii="宋体" w:hAnsi="宋体" w:eastAsia="宋体" w:cs="宋体"/>
          <w:b/>
          <w:bCs w:val="0"/>
          <w:i w:val="0"/>
          <w:iCs w:val="0"/>
          <w:color w:val="auto"/>
          <w:highlight w:val="none"/>
          <w:lang w:val="zh-CN"/>
        </w:rPr>
        <w:t>）</w:t>
      </w:r>
      <w:r>
        <w:rPr>
          <w:rFonts w:hint="eastAsia" w:ascii="宋体" w:hAnsi="宋体" w:eastAsia="宋体" w:cs="宋体"/>
          <w:b/>
          <w:bCs/>
          <w:color w:val="auto"/>
          <w:szCs w:val="21"/>
          <w:highlight w:val="none"/>
        </w:rPr>
        <w:t>（</w:t>
      </w:r>
      <w:r>
        <w:rPr>
          <w:rFonts w:hint="eastAsia" w:ascii="宋体" w:hAnsi="宋体" w:eastAsia="宋体" w:cs="宋体"/>
          <w:color w:val="auto"/>
          <w:szCs w:val="21"/>
          <w:highlight w:val="none"/>
        </w:rPr>
        <w:t>格式详见附件，</w:t>
      </w:r>
      <w:r>
        <w:rPr>
          <w:rFonts w:hint="eastAsia" w:ascii="宋体" w:hAnsi="宋体" w:eastAsia="宋体" w:cs="宋体"/>
          <w:b/>
          <w:bCs/>
          <w:color w:val="auto"/>
          <w:szCs w:val="21"/>
          <w:highlight w:val="none"/>
        </w:rPr>
        <w:t>电子标书内法定代表人授权委托书需签字的可线下签字后再将其放入线上</w:t>
      </w:r>
      <w:r>
        <w:rPr>
          <w:rFonts w:hint="eastAsia" w:ascii="宋体" w:hAnsi="宋体" w:cs="宋体"/>
          <w:b/>
          <w:bCs/>
          <w:color w:val="auto"/>
          <w:szCs w:val="21"/>
          <w:highlight w:val="none"/>
          <w:lang w:eastAsia="zh-CN"/>
        </w:rPr>
        <w:t>响应文件</w:t>
      </w:r>
      <w:r>
        <w:rPr>
          <w:rFonts w:hint="eastAsia" w:ascii="宋体" w:hAnsi="宋体" w:eastAsia="宋体" w:cs="宋体"/>
          <w:b/>
          <w:bCs/>
          <w:color w:val="auto"/>
          <w:szCs w:val="21"/>
          <w:highlight w:val="none"/>
        </w:rPr>
        <w:t>内）</w:t>
      </w:r>
      <w:r>
        <w:rPr>
          <w:rFonts w:hint="eastAsia" w:ascii="宋体" w:hAnsi="宋体" w:eastAsia="宋体" w:cs="宋体"/>
          <w:bCs/>
          <w:color w:val="auto"/>
          <w:highlight w:val="none"/>
          <w:lang w:val="zh-CN"/>
        </w:rPr>
        <w:t>；</w:t>
      </w:r>
    </w:p>
    <w:p w14:paraId="27FA1920">
      <w:pPr>
        <w:pageBreakBefore w:val="0"/>
        <w:tabs>
          <w:tab w:val="left" w:pos="720"/>
          <w:tab w:val="left" w:pos="5355"/>
        </w:tabs>
        <w:kinsoku/>
        <w:topLinePunct w:val="0"/>
        <w:bidi w:val="0"/>
        <w:spacing w:line="500" w:lineRule="exact"/>
        <w:ind w:left="0" w:leftChars="0" w:firstLine="420" w:firstLineChars="200"/>
        <w:rPr>
          <w:rFonts w:hint="eastAsia" w:ascii="宋体" w:hAnsi="宋体" w:cs="宋体"/>
          <w:b w:val="0"/>
          <w:bCs w:val="0"/>
          <w:color w:val="auto"/>
          <w:szCs w:val="21"/>
          <w:highlight w:val="none"/>
          <w:lang w:val="en-US" w:eastAsia="zh-CN"/>
        </w:rPr>
      </w:pP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lang w:eastAsia="zh-CN"/>
        </w:rPr>
        <w:t>）本项目是专门面向中小企业采购的项目，供应商须在资格证明文件中提供《中小企业声明函》或《残疾人福利性单位声明函》或省级以上监狱管理局、戒毒管理局（含新疆生产建设兵团）出具的属于监狱企业的证明文件</w:t>
      </w:r>
      <w:r>
        <w:rPr>
          <w:rFonts w:hint="eastAsia" w:ascii="宋体" w:hAnsi="宋体" w:cs="宋体"/>
          <w:b w:val="0"/>
          <w:bCs w:val="0"/>
          <w:color w:val="auto"/>
          <w:szCs w:val="21"/>
          <w:highlight w:val="none"/>
          <w:lang w:val="en-US" w:eastAsia="zh-CN"/>
        </w:rPr>
        <w:t>（格式详见附件）；</w:t>
      </w:r>
    </w:p>
    <w:p w14:paraId="7E9D0708">
      <w:pPr>
        <w:pageBreakBefore w:val="0"/>
        <w:tabs>
          <w:tab w:val="left" w:pos="720"/>
          <w:tab w:val="left" w:pos="5355"/>
        </w:tabs>
        <w:kinsoku/>
        <w:topLinePunct w:val="0"/>
        <w:bidi w:val="0"/>
        <w:spacing w:line="500" w:lineRule="exact"/>
        <w:ind w:left="0" w:leftChars="0" w:firstLine="422" w:firstLineChars="200"/>
        <w:rPr>
          <w:rFonts w:hint="default" w:ascii="宋体" w:hAnsi="宋体" w:cs="宋体"/>
          <w:b/>
          <w:bCs/>
          <w:color w:val="auto"/>
          <w:szCs w:val="21"/>
          <w:highlight w:val="none"/>
          <w:lang w:val="en-US" w:eastAsia="zh-CN"/>
        </w:rPr>
      </w:pPr>
      <w:r>
        <w:rPr>
          <w:rFonts w:hint="eastAsia" w:ascii="宋体" w:hAnsi="宋体" w:cs="宋体"/>
          <w:b/>
          <w:bCs/>
          <w:color w:val="auto"/>
          <w:szCs w:val="21"/>
          <w:highlight w:val="none"/>
          <w:lang w:val="en-US" w:eastAsia="zh-CN"/>
        </w:rPr>
        <w:t>5）供应商提供有效期内的司法行政机关颁发的《司法鉴定许可证》证书扫描件。</w:t>
      </w:r>
    </w:p>
    <w:p w14:paraId="48C2B6F1">
      <w:pPr>
        <w:pStyle w:val="14"/>
        <w:spacing w:line="440" w:lineRule="exact"/>
        <w:ind w:left="420" w:firstLine="42"/>
        <w:textAlignment w:val="baseline"/>
        <w:rPr>
          <w:rFonts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商务技术文件（请附“供应商自评表”【格式见附件】，以便评审）：</w:t>
      </w:r>
    </w:p>
    <w:p w14:paraId="729F37F5">
      <w:pPr>
        <w:pStyle w:val="14"/>
        <w:spacing w:line="360" w:lineRule="auto"/>
        <w:ind w:firstLine="42"/>
        <w:textAlignment w:val="baseline"/>
        <w:rPr>
          <w:rFonts w:ascii="宋体" w:hAnsi="宋体" w:eastAsia="宋体" w:cs="宋体"/>
          <w:color w:val="auto"/>
          <w:sz w:val="21"/>
          <w:szCs w:val="21"/>
          <w:highlight w:val="none"/>
        </w:rPr>
      </w:pPr>
      <w:r>
        <w:rPr>
          <w:rFonts w:hint="eastAsia" w:ascii="宋体" w:hAnsi="宋体" w:eastAsia="宋体" w:cs="宋体"/>
          <w:b/>
          <w:color w:val="auto"/>
          <w:sz w:val="21"/>
          <w:szCs w:val="21"/>
          <w:highlight w:val="none"/>
        </w:rPr>
        <w:t>（1）资信部分</w:t>
      </w:r>
    </w:p>
    <w:p w14:paraId="660FCF97">
      <w:pPr>
        <w:tabs>
          <w:tab w:val="left" w:pos="720"/>
          <w:tab w:val="left" w:pos="5355"/>
        </w:tabs>
        <w:spacing w:line="360" w:lineRule="auto"/>
        <w:ind w:left="420" w:leftChars="20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1）投标声明书【格式见附件】；</w:t>
      </w:r>
    </w:p>
    <w:p w14:paraId="72743880">
      <w:pPr>
        <w:tabs>
          <w:tab w:val="left" w:pos="720"/>
          <w:tab w:val="left" w:pos="5355"/>
        </w:tabs>
        <w:spacing w:line="360" w:lineRule="auto"/>
        <w:ind w:left="420" w:leftChars="20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r>
        <w:rPr>
          <w:rFonts w:hint="eastAsia" w:ascii="宋体" w:hAnsi="宋体" w:cs="宋体"/>
          <w:color w:val="auto"/>
          <w:szCs w:val="21"/>
          <w:highlight w:val="none"/>
          <w:lang w:eastAsia="zh-CN"/>
        </w:rPr>
        <w:t>供应商</w:t>
      </w:r>
      <w:r>
        <w:rPr>
          <w:rFonts w:hint="eastAsia" w:ascii="宋体" w:hAnsi="宋体" w:eastAsia="宋体" w:cs="宋体"/>
          <w:color w:val="auto"/>
          <w:szCs w:val="21"/>
          <w:highlight w:val="none"/>
        </w:rPr>
        <w:t>基本情况表【格式见附件】；</w:t>
      </w:r>
    </w:p>
    <w:p w14:paraId="66CE6B1A">
      <w:pPr>
        <w:tabs>
          <w:tab w:val="left" w:pos="720"/>
          <w:tab w:val="left" w:pos="5355"/>
        </w:tabs>
        <w:spacing w:line="360" w:lineRule="auto"/>
        <w:ind w:firstLine="421"/>
        <w:textAlignment w:val="baseline"/>
        <w:rPr>
          <w:rFonts w:hint="eastAsia" w:ascii="宋体" w:hAnsi="宋体" w:cs="宋体"/>
          <w:color w:val="auto"/>
          <w:szCs w:val="21"/>
          <w:highlight w:val="none"/>
        </w:rPr>
      </w:pP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）偏离表【格式见附件】；</w:t>
      </w:r>
    </w:p>
    <w:p w14:paraId="3E07F8B9">
      <w:pPr>
        <w:tabs>
          <w:tab w:val="left" w:pos="720"/>
          <w:tab w:val="left" w:pos="5355"/>
        </w:tabs>
        <w:spacing w:line="360" w:lineRule="auto"/>
        <w:ind w:left="420" w:leftChars="200"/>
        <w:textAlignment w:val="baseline"/>
        <w:rPr>
          <w:rFonts w:hint="eastAsia" w:ascii="宋体" w:hAnsi="宋体" w:eastAsia="宋体" w:cs="宋体"/>
          <w:color w:val="auto"/>
          <w:szCs w:val="21"/>
          <w:highlight w:val="none"/>
          <w:lang w:eastAsia="zh-CN"/>
        </w:rPr>
      </w:pPr>
      <w:r>
        <w:rPr>
          <w:rFonts w:hint="eastAsia" w:ascii="宋体" w:hAnsi="宋体" w:cs="宋体"/>
          <w:color w:val="auto"/>
          <w:szCs w:val="21"/>
          <w:highlight w:val="none"/>
          <w:lang w:val="en-US" w:eastAsia="zh-CN"/>
        </w:rPr>
        <w:t>4</w:t>
      </w:r>
      <w:r>
        <w:rPr>
          <w:rFonts w:hint="eastAsia" w:ascii="宋体" w:hAnsi="宋体" w:cs="宋体"/>
          <w:color w:val="auto"/>
          <w:szCs w:val="21"/>
          <w:highlight w:val="none"/>
        </w:rPr>
        <w:t>）</w:t>
      </w:r>
      <w:r>
        <w:rPr>
          <w:rFonts w:hint="eastAsia" w:ascii="宋体" w:hAnsi="宋体" w:cs="宋体"/>
          <w:color w:val="auto"/>
          <w:szCs w:val="21"/>
          <w:highlight w:val="none"/>
          <w:lang w:eastAsia="zh-CN"/>
        </w:rPr>
        <w:t>根据商务技术评审内容进行编制；</w:t>
      </w:r>
    </w:p>
    <w:p w14:paraId="6ABF0E2E">
      <w:pPr>
        <w:tabs>
          <w:tab w:val="left" w:pos="720"/>
          <w:tab w:val="left" w:pos="5355"/>
        </w:tabs>
        <w:spacing w:line="360" w:lineRule="auto"/>
        <w:ind w:firstLine="421"/>
        <w:textAlignment w:val="baseline"/>
        <w:rPr>
          <w:rFonts w:ascii="宋体" w:hAnsi="宋体" w:cs="宋体"/>
          <w:color w:val="auto"/>
          <w:sz w:val="20"/>
          <w:szCs w:val="21"/>
          <w:highlight w:val="none"/>
        </w:rPr>
      </w:pPr>
      <w:r>
        <w:rPr>
          <w:rFonts w:hint="eastAsia" w:ascii="宋体" w:hAnsi="宋体" w:cs="宋体"/>
          <w:color w:val="auto"/>
          <w:szCs w:val="21"/>
          <w:highlight w:val="none"/>
          <w:lang w:val="en-US" w:eastAsia="zh-CN"/>
        </w:rPr>
        <w:t>5）</w:t>
      </w:r>
      <w:r>
        <w:rPr>
          <w:rFonts w:hint="eastAsia" w:ascii="宋体" w:hAnsi="宋体" w:cs="宋体"/>
          <w:color w:val="auto"/>
          <w:szCs w:val="21"/>
          <w:highlight w:val="none"/>
          <w:lang w:eastAsia="zh-CN"/>
        </w:rPr>
        <w:t>供应商</w:t>
      </w:r>
      <w:r>
        <w:rPr>
          <w:rFonts w:hint="eastAsia" w:ascii="宋体" w:hAnsi="宋体" w:cs="宋体"/>
          <w:color w:val="auto"/>
          <w:szCs w:val="21"/>
          <w:highlight w:val="none"/>
        </w:rPr>
        <w:t>认为有必要提供的其他文件和说明（格式自拟）。</w:t>
      </w:r>
    </w:p>
    <w:p w14:paraId="50D05141">
      <w:pPr>
        <w:tabs>
          <w:tab w:val="left" w:pos="720"/>
          <w:tab w:val="left" w:pos="5355"/>
        </w:tabs>
        <w:spacing w:line="440" w:lineRule="exact"/>
        <w:ind w:firstLine="422" w:firstLineChars="200"/>
        <w:textAlignment w:val="baseline"/>
        <w:rPr>
          <w:rFonts w:ascii="宋体" w:hAnsi="宋体" w:cs="宋体"/>
          <w:b/>
          <w:color w:val="auto"/>
          <w:sz w:val="20"/>
          <w:szCs w:val="21"/>
          <w:highlight w:val="none"/>
        </w:rPr>
      </w:pPr>
      <w:r>
        <w:rPr>
          <w:rFonts w:hint="eastAsia" w:ascii="宋体" w:hAnsi="宋体" w:cs="宋体"/>
          <w:b/>
          <w:color w:val="auto"/>
          <w:szCs w:val="21"/>
          <w:highlight w:val="none"/>
        </w:rPr>
        <w:t>报价文件：</w:t>
      </w:r>
    </w:p>
    <w:p w14:paraId="4C3B8570">
      <w:pPr>
        <w:tabs>
          <w:tab w:val="left" w:pos="720"/>
          <w:tab w:val="left" w:pos="5355"/>
        </w:tabs>
        <w:spacing w:line="440" w:lineRule="exact"/>
        <w:ind w:firstLine="420" w:firstLineChars="200"/>
        <w:textAlignment w:val="baseline"/>
        <w:rPr>
          <w:rFonts w:ascii="宋体" w:hAnsi="宋体" w:cs="宋体"/>
          <w:color w:val="auto"/>
          <w:sz w:val="20"/>
          <w:szCs w:val="21"/>
          <w:highlight w:val="none"/>
        </w:rPr>
      </w:pPr>
      <w:r>
        <w:rPr>
          <w:rFonts w:hint="eastAsia" w:ascii="宋体" w:hAnsi="宋体" w:cs="宋体"/>
          <w:color w:val="auto"/>
          <w:szCs w:val="21"/>
          <w:highlight w:val="none"/>
        </w:rPr>
        <w:t>1）磋商报价一览表（首次报价）</w:t>
      </w:r>
    </w:p>
    <w:p w14:paraId="1105DE3B">
      <w:pPr>
        <w:tabs>
          <w:tab w:val="left" w:pos="720"/>
          <w:tab w:val="left" w:pos="5355"/>
        </w:tabs>
        <w:spacing w:line="440" w:lineRule="exact"/>
        <w:ind w:firstLine="420" w:firstLineChars="200"/>
        <w:textAlignment w:val="baseline"/>
        <w:rPr>
          <w:rFonts w:ascii="宋体" w:hAnsi="宋体" w:cs="宋体"/>
          <w:color w:val="auto"/>
          <w:sz w:val="20"/>
          <w:szCs w:val="21"/>
          <w:highlight w:val="none"/>
        </w:rPr>
      </w:pP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）最终报价表；</w:t>
      </w:r>
      <w:r>
        <w:rPr>
          <w:rFonts w:hint="eastAsia" w:ascii="宋体" w:hAnsi="宋体" w:cs="宋体"/>
          <w:b/>
          <w:bCs/>
          <w:color w:val="auto"/>
          <w:highlight w:val="none"/>
        </w:rPr>
        <w:t>（根据系统要求在线填写。）</w:t>
      </w:r>
    </w:p>
    <w:p w14:paraId="37FBC5CE">
      <w:pPr>
        <w:tabs>
          <w:tab w:val="left" w:pos="720"/>
          <w:tab w:val="left" w:pos="5355"/>
        </w:tabs>
        <w:spacing w:line="440" w:lineRule="exact"/>
        <w:ind w:firstLine="420" w:firstLineChars="200"/>
        <w:textAlignment w:val="baseline"/>
        <w:rPr>
          <w:rFonts w:ascii="宋体" w:hAnsi="宋体" w:cs="宋体"/>
          <w:color w:val="auto"/>
          <w:sz w:val="20"/>
          <w:szCs w:val="21"/>
          <w:highlight w:val="none"/>
        </w:rPr>
      </w:pP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）磋商供应商针对报价需要说明的其他文件和资料（格式自拟）。</w:t>
      </w:r>
    </w:p>
    <w:p w14:paraId="3D1B4C54">
      <w:pPr>
        <w:pStyle w:val="14"/>
        <w:spacing w:line="440" w:lineRule="exact"/>
        <w:ind w:left="0" w:firstLine="422" w:firstLineChars="200"/>
        <w:textAlignment w:val="baseline"/>
        <w:rPr>
          <w:rFonts w:ascii="宋体" w:hAnsi="宋体" w:eastAsia="宋体" w:cs="宋体"/>
          <w:b/>
          <w:color w:val="auto"/>
          <w:sz w:val="21"/>
          <w:szCs w:val="21"/>
          <w:highlight w:val="none"/>
        </w:rPr>
      </w:pPr>
      <w:r>
        <w:rPr>
          <w:rFonts w:hint="eastAsia" w:ascii="宋体" w:hAnsi="宋体" w:eastAsia="宋体" w:cs="宋体"/>
          <w:b/>
          <w:color w:val="auto"/>
          <w:sz w:val="21"/>
          <w:szCs w:val="21"/>
          <w:highlight w:val="none"/>
        </w:rPr>
        <w:t>4</w:t>
      </w:r>
      <w:r>
        <w:rPr>
          <w:rFonts w:hint="eastAsia" w:ascii="宋体" w:hAnsi="宋体" w:eastAsia="宋体" w:cs="宋体"/>
          <w:b/>
          <w:color w:val="auto"/>
          <w:sz w:val="21"/>
          <w:szCs w:val="21"/>
          <w:highlight w:val="none"/>
          <w:lang w:val="en-US" w:eastAsia="zh-CN"/>
        </w:rPr>
        <w:t>.</w:t>
      </w:r>
      <w:r>
        <w:rPr>
          <w:rFonts w:hint="eastAsia" w:ascii="宋体" w:hAnsi="宋体" w:eastAsia="宋体" w:cs="宋体"/>
          <w:b/>
          <w:color w:val="auto"/>
          <w:sz w:val="21"/>
          <w:szCs w:val="21"/>
          <w:highlight w:val="none"/>
        </w:rPr>
        <w:t>响应文件的编制格式及说明</w:t>
      </w:r>
    </w:p>
    <w:p w14:paraId="216D5FE0">
      <w:pPr>
        <w:pStyle w:val="14"/>
        <w:spacing w:line="440" w:lineRule="exact"/>
        <w:ind w:left="0" w:firstLine="420" w:firstLineChars="200"/>
        <w:textAlignment w:val="baseline"/>
        <w:rPr>
          <w:rFonts w:ascii="宋体" w:hAnsi="宋体" w:eastAsia="宋体" w:cs="宋体"/>
          <w:b/>
          <w:bCs/>
          <w:color w:val="auto"/>
          <w:sz w:val="21"/>
          <w:szCs w:val="21"/>
          <w:highlight w:val="none"/>
        </w:rPr>
      </w:pPr>
      <w:r>
        <w:rPr>
          <w:rFonts w:hint="eastAsia" w:ascii="宋体" w:hAnsi="宋体" w:eastAsia="宋体" w:cs="宋体"/>
          <w:color w:val="auto"/>
          <w:sz w:val="21"/>
          <w:szCs w:val="21"/>
          <w:highlight w:val="none"/>
        </w:rPr>
        <w:t>4.1响应文件应包括规定的内容，磋商供应商提交的响应文件应当使用磋商文件所提供的响应文件全部格式（格式可以按同样格式扩展）；未提供响应文件标准格式的，由磋商供应商自行编写：</w:t>
      </w:r>
      <w:r>
        <w:rPr>
          <w:rFonts w:hint="eastAsia" w:ascii="宋体" w:hAnsi="宋体" w:eastAsia="宋体" w:cs="宋体"/>
          <w:b/>
          <w:bCs/>
          <w:color w:val="auto"/>
          <w:sz w:val="21"/>
          <w:szCs w:val="21"/>
          <w:highlight w:val="none"/>
        </w:rPr>
        <w:t>电子响应文件按政采云平台“供应商-政府采购项目电子交易操作指南”及本竞争性磋商要求制作、加密。</w:t>
      </w:r>
    </w:p>
    <w:p w14:paraId="0795E836">
      <w:pPr>
        <w:pStyle w:val="14"/>
        <w:spacing w:line="440" w:lineRule="exact"/>
        <w:ind w:left="0" w:firstLine="420" w:firstLineChars="200"/>
        <w:textAlignment w:val="baseline"/>
        <w:rPr>
          <w:rFonts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4.2</w:t>
      </w:r>
      <w:r>
        <w:rPr>
          <w:rFonts w:hint="eastAsia" w:ascii="宋体" w:hAnsi="宋体" w:eastAsia="宋体" w:cs="宋体"/>
          <w:color w:val="auto"/>
          <w:sz w:val="21"/>
          <w:szCs w:val="21"/>
          <w:highlight w:val="none"/>
        </w:rPr>
        <w:t>磋商供应商必须保证响应文件所提供的全部资料真实可靠，并接受对其中任何资料进一步审查的要求。</w:t>
      </w:r>
    </w:p>
    <w:p w14:paraId="45F9D186">
      <w:pPr>
        <w:pStyle w:val="14"/>
        <w:spacing w:line="440" w:lineRule="exact"/>
        <w:ind w:left="42" w:leftChars="20" w:firstLine="422" w:firstLineChars="200"/>
        <w:textAlignment w:val="baseline"/>
        <w:rPr>
          <w:rFonts w:ascii="宋体" w:hAnsi="宋体" w:eastAsia="宋体" w:cs="宋体"/>
          <w:color w:val="auto"/>
          <w:sz w:val="21"/>
          <w:szCs w:val="21"/>
          <w:highlight w:val="none"/>
        </w:rPr>
      </w:pPr>
      <w:r>
        <w:rPr>
          <w:rFonts w:hint="eastAsia" w:ascii="宋体" w:hAnsi="宋体" w:eastAsia="宋体" w:cs="宋体"/>
          <w:b/>
          <w:color w:val="auto"/>
          <w:sz w:val="21"/>
          <w:szCs w:val="21"/>
          <w:highlight w:val="none"/>
        </w:rPr>
        <w:t>5</w:t>
      </w:r>
      <w:r>
        <w:rPr>
          <w:rFonts w:hint="eastAsia" w:ascii="宋体" w:hAnsi="宋体" w:eastAsia="宋体" w:cs="宋体"/>
          <w:b/>
          <w:color w:val="auto"/>
          <w:sz w:val="21"/>
          <w:szCs w:val="21"/>
          <w:highlight w:val="none"/>
          <w:lang w:val="en-US" w:eastAsia="zh-CN"/>
        </w:rPr>
        <w:t>.</w:t>
      </w:r>
      <w:r>
        <w:rPr>
          <w:rFonts w:hint="eastAsia" w:ascii="宋体" w:hAnsi="宋体" w:eastAsia="宋体" w:cs="宋体"/>
          <w:b/>
          <w:color w:val="auto"/>
          <w:sz w:val="21"/>
          <w:szCs w:val="21"/>
          <w:highlight w:val="none"/>
        </w:rPr>
        <w:t>投标报价</w:t>
      </w:r>
    </w:p>
    <w:p w14:paraId="42DC68AB">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val="0"/>
        <w:overflowPunct/>
        <w:topLinePunct w:val="0"/>
        <w:autoSpaceDE/>
        <w:autoSpaceDN/>
        <w:bidi w:val="0"/>
        <w:adjustRightInd/>
        <w:snapToGrid/>
        <w:spacing w:line="300" w:lineRule="auto"/>
        <w:ind w:firstLine="420" w:firstLineChars="200"/>
        <w:jc w:val="left"/>
        <w:textAlignment w:val="baseline"/>
        <w:rPr>
          <w:rFonts w:hint="eastAsia" w:ascii="宋体" w:hAnsi="宋体" w:eastAsia="宋体" w:cs="宋体"/>
          <w:b/>
          <w:bCs/>
          <w:color w:val="auto"/>
          <w:szCs w:val="21"/>
          <w:highlight w:val="none"/>
        </w:rPr>
      </w:pPr>
      <w:r>
        <w:rPr>
          <w:rFonts w:hint="eastAsia" w:ascii="宋体" w:hAnsi="宋体" w:cs="宋体"/>
          <w:color w:val="auto"/>
          <w:szCs w:val="21"/>
          <w:highlight w:val="none"/>
          <w:lang w:val="en-US" w:eastAsia="zh-CN"/>
        </w:rPr>
        <w:t>5.1</w:t>
      </w:r>
      <w:r>
        <w:rPr>
          <w:rFonts w:hint="eastAsia" w:ascii="宋体" w:hAnsi="宋体" w:eastAsia="宋体" w:cs="宋体"/>
          <w:b/>
          <w:bCs/>
          <w:color w:val="000000"/>
          <w:sz w:val="21"/>
          <w:szCs w:val="21"/>
          <w:highlight w:val="none"/>
        </w:rPr>
        <w:t>本次报价非一次性报价</w:t>
      </w:r>
      <w:r>
        <w:rPr>
          <w:rFonts w:hint="eastAsia" w:ascii="宋体" w:hAnsi="宋体" w:cs="宋体"/>
          <w:b/>
          <w:bCs/>
          <w:color w:val="000000"/>
          <w:sz w:val="21"/>
          <w:szCs w:val="21"/>
          <w:highlight w:val="none"/>
          <w:lang w:eastAsia="zh-CN"/>
        </w:rPr>
        <w:t>（费率）</w:t>
      </w:r>
      <w:r>
        <w:rPr>
          <w:rFonts w:hint="eastAsia" w:ascii="宋体" w:hAnsi="宋体" w:eastAsia="宋体" w:cs="宋体"/>
          <w:b/>
          <w:bCs/>
          <w:color w:val="000000"/>
          <w:sz w:val="21"/>
          <w:szCs w:val="21"/>
          <w:highlight w:val="none"/>
        </w:rPr>
        <w:t>，在磋商后根据磋商情况（包括细化采购方案和要求，增补部分采购内容等），供应商须进行最终报价</w:t>
      </w:r>
      <w:r>
        <w:rPr>
          <w:rFonts w:hint="eastAsia" w:ascii="宋体" w:hAnsi="宋体" w:eastAsia="宋体" w:cs="宋体"/>
          <w:b/>
          <w:bCs/>
          <w:color w:val="auto"/>
          <w:szCs w:val="21"/>
          <w:highlight w:val="none"/>
        </w:rPr>
        <w:t>。</w:t>
      </w:r>
      <w:r>
        <w:rPr>
          <w:rFonts w:hint="eastAsia" w:ascii="宋体" w:hAnsi="宋体" w:eastAsia="宋体" w:cs="宋体"/>
          <w:b/>
          <w:bCs/>
          <w:color w:val="000000"/>
          <w:sz w:val="21"/>
          <w:szCs w:val="21"/>
          <w:highlight w:val="none"/>
        </w:rPr>
        <w:t>除响应文件中要求提供的初次报价外，磋商环节结束后，评审小组将根据磋商结果要求供应商在政采云系统上进行最后报价（或二次报价）。</w:t>
      </w:r>
    </w:p>
    <w:p w14:paraId="3C3B0726">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val="0"/>
        <w:overflowPunct/>
        <w:topLinePunct w:val="0"/>
        <w:autoSpaceDE/>
        <w:autoSpaceDN/>
        <w:bidi w:val="0"/>
        <w:adjustRightInd/>
        <w:snapToGrid/>
        <w:spacing w:line="300" w:lineRule="auto"/>
        <w:ind w:firstLine="420" w:firstLineChars="200"/>
        <w:jc w:val="left"/>
        <w:textAlignment w:val="baseline"/>
        <w:rPr>
          <w:rFonts w:hint="eastAsia" w:ascii="宋体" w:hAnsi="宋体" w:eastAsia="宋体" w:cs="宋体"/>
          <w:color w:val="000000"/>
          <w:sz w:val="21"/>
          <w:szCs w:val="21"/>
          <w:highlight w:val="none"/>
          <w:lang w:eastAsia="zh-CN"/>
        </w:rPr>
      </w:pPr>
      <w:r>
        <w:rPr>
          <w:rFonts w:hint="eastAsia" w:ascii="宋体" w:hAnsi="宋体" w:cs="宋体"/>
          <w:color w:val="000000"/>
          <w:sz w:val="21"/>
          <w:szCs w:val="21"/>
          <w:highlight w:val="none"/>
          <w:lang w:val="en-US" w:eastAsia="zh-CN"/>
        </w:rPr>
        <w:t>5</w:t>
      </w:r>
      <w:r>
        <w:rPr>
          <w:rFonts w:hint="eastAsia" w:ascii="宋体" w:hAnsi="宋体" w:eastAsia="宋体" w:cs="宋体"/>
          <w:color w:val="000000"/>
          <w:sz w:val="21"/>
          <w:szCs w:val="21"/>
          <w:highlight w:val="none"/>
          <w:lang w:val="en-US" w:eastAsia="zh-CN"/>
        </w:rPr>
        <w:t>.2</w:t>
      </w:r>
      <w:r>
        <w:rPr>
          <w:rFonts w:hint="eastAsia" w:ascii="宋体" w:hAnsi="宋体" w:eastAsia="宋体" w:cs="宋体"/>
          <w:color w:val="000000"/>
          <w:sz w:val="21"/>
          <w:szCs w:val="21"/>
          <w:highlight w:val="none"/>
        </w:rPr>
        <w:t>投标报价以人民币为结算货币。</w:t>
      </w:r>
      <w:r>
        <w:rPr>
          <w:rFonts w:hint="eastAsia" w:ascii="宋体" w:hAnsi="宋体" w:eastAsia="宋体" w:cs="宋体"/>
          <w:color w:val="000000"/>
          <w:sz w:val="21"/>
          <w:szCs w:val="21"/>
          <w:highlight w:val="none"/>
          <w:lang w:val="en-US"/>
        </w:rPr>
        <w:t>投标报价应是本采购文件确定的采购需求范围内全部工作内容的价格表现。完成本项目采购需求范围内全部工作内容所需支付的一切成本费用、企业应缴纳的税费及</w:t>
      </w:r>
      <w:r>
        <w:rPr>
          <w:rStyle w:val="80"/>
          <w:rFonts w:hint="eastAsia" w:ascii="宋体" w:hAnsi="宋体" w:cs="宋体"/>
          <w:szCs w:val="21"/>
          <w:highlight w:val="none"/>
          <w:lang w:val="en-US"/>
        </w:rPr>
        <w:t>合理</w:t>
      </w:r>
      <w:r>
        <w:rPr>
          <w:rFonts w:hint="eastAsia" w:ascii="宋体" w:hAnsi="宋体" w:eastAsia="宋体" w:cs="宋体"/>
          <w:color w:val="000000"/>
          <w:sz w:val="21"/>
          <w:szCs w:val="21"/>
          <w:highlight w:val="none"/>
          <w:lang w:val="en-US"/>
        </w:rPr>
        <w:t>利润等所有采购文件提及的费用，以及诸如项目实施过程中合理存在的风险等采购文件未列明但可能产生额外成本的因素，</w:t>
      </w:r>
      <w:r>
        <w:rPr>
          <w:rFonts w:hint="eastAsia" w:ascii="宋体" w:hAnsi="宋体" w:eastAsia="宋体" w:cs="宋体"/>
          <w:color w:val="000000"/>
          <w:sz w:val="21"/>
          <w:szCs w:val="21"/>
          <w:highlight w:val="none"/>
        </w:rPr>
        <w:t>均应计入投标报价。报价精确至人民币“元”。</w:t>
      </w:r>
    </w:p>
    <w:p w14:paraId="45F8033E">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val="0"/>
        <w:overflowPunct/>
        <w:topLinePunct w:val="0"/>
        <w:autoSpaceDE/>
        <w:autoSpaceDN/>
        <w:bidi w:val="0"/>
        <w:adjustRightInd/>
        <w:snapToGrid/>
        <w:spacing w:line="300" w:lineRule="auto"/>
        <w:ind w:firstLine="420" w:firstLineChars="200"/>
        <w:jc w:val="left"/>
        <w:textAlignment w:val="baseline"/>
        <w:rPr>
          <w:rFonts w:hint="eastAsia" w:ascii="宋体" w:hAnsi="宋体" w:eastAsia="宋体" w:cs="宋体"/>
          <w:color w:val="000000"/>
          <w:sz w:val="21"/>
          <w:szCs w:val="21"/>
          <w:highlight w:val="none"/>
        </w:rPr>
      </w:pPr>
      <w:r>
        <w:rPr>
          <w:rFonts w:hint="eastAsia" w:ascii="宋体" w:hAnsi="宋体" w:cs="宋体"/>
          <w:color w:val="000000"/>
          <w:sz w:val="21"/>
          <w:szCs w:val="21"/>
          <w:highlight w:val="none"/>
          <w:lang w:val="en-US" w:eastAsia="zh-CN"/>
        </w:rPr>
        <w:t>5</w:t>
      </w:r>
      <w:r>
        <w:rPr>
          <w:rFonts w:hint="eastAsia" w:ascii="宋体" w:hAnsi="宋体" w:eastAsia="宋体" w:cs="宋体"/>
          <w:color w:val="000000"/>
          <w:sz w:val="21"/>
          <w:szCs w:val="21"/>
          <w:highlight w:val="none"/>
          <w:lang w:val="en-US" w:eastAsia="zh-CN"/>
        </w:rPr>
        <w:t>.3</w:t>
      </w:r>
      <w:r>
        <w:rPr>
          <w:rFonts w:hint="eastAsia" w:ascii="宋体" w:hAnsi="宋体" w:eastAsia="宋体" w:cs="宋体"/>
          <w:color w:val="000000"/>
          <w:sz w:val="21"/>
          <w:szCs w:val="21"/>
          <w:highlight w:val="none"/>
        </w:rPr>
        <w:t>采购人不接受任何选择报价，对每一种货物或服务只接受一个报价。</w:t>
      </w:r>
    </w:p>
    <w:p w14:paraId="47889EDB">
      <w:pPr>
        <w:pStyle w:val="14"/>
        <w:spacing w:line="440" w:lineRule="exact"/>
        <w:ind w:left="0" w:firstLine="0" w:firstLineChars="0"/>
        <w:textAlignment w:val="baseline"/>
        <w:rPr>
          <w:rFonts w:ascii="宋体" w:hAnsi="宋体" w:eastAsia="宋体" w:cs="宋体"/>
          <w:b/>
          <w:color w:val="auto"/>
          <w:sz w:val="21"/>
          <w:szCs w:val="21"/>
          <w:highlight w:val="none"/>
        </w:rPr>
      </w:pPr>
      <w:bookmarkStart w:id="39" w:name="_Toc221356887"/>
      <w:bookmarkStart w:id="40" w:name="_Toc410031816"/>
      <w:bookmarkStart w:id="41" w:name="_Toc221356951"/>
      <w:bookmarkStart w:id="42" w:name="_Toc262105503"/>
      <w:bookmarkStart w:id="43" w:name="_Toc241404202"/>
      <w:bookmarkStart w:id="44" w:name="_Toc239145354"/>
      <w:bookmarkStart w:id="45" w:name="_Toc223715998"/>
      <w:bookmarkStart w:id="46" w:name="_Toc246261265"/>
      <w:bookmarkStart w:id="47" w:name="_Toc245191314"/>
      <w:bookmarkStart w:id="48" w:name="_Toc249758712"/>
      <w:bookmarkStart w:id="49" w:name="_Toc262049418"/>
      <w:bookmarkStart w:id="50" w:name="_Toc221374626"/>
      <w:bookmarkStart w:id="51" w:name="_Toc249758864"/>
      <w:bookmarkStart w:id="52" w:name="_Toc222114879"/>
      <w:bookmarkStart w:id="53" w:name="_Toc221423619"/>
      <w:bookmarkStart w:id="54" w:name="_Toc245722281"/>
      <w:r>
        <w:rPr>
          <w:rFonts w:hint="eastAsia" w:ascii="宋体" w:hAnsi="宋体" w:eastAsia="宋体" w:cs="宋体"/>
          <w:b/>
          <w:color w:val="auto"/>
          <w:sz w:val="21"/>
          <w:szCs w:val="21"/>
          <w:highlight w:val="none"/>
          <w:lang w:val="en-US" w:eastAsia="zh-CN"/>
        </w:rPr>
        <w:t xml:space="preserve">    6.</w:t>
      </w:r>
      <w:r>
        <w:rPr>
          <w:rFonts w:hint="eastAsia" w:ascii="宋体" w:hAnsi="宋体" w:eastAsia="宋体" w:cs="宋体"/>
          <w:b/>
          <w:color w:val="auto"/>
          <w:sz w:val="21"/>
          <w:szCs w:val="21"/>
          <w:highlight w:val="none"/>
        </w:rPr>
        <w:t>响应文件的格式和顺序</w:t>
      </w:r>
    </w:p>
    <w:p w14:paraId="6A5D9BE3">
      <w:pPr>
        <w:snapToGrid w:val="0"/>
        <w:spacing w:line="440" w:lineRule="exact"/>
        <w:ind w:firstLine="422" w:firstLineChars="200"/>
        <w:textAlignment w:val="baseline"/>
        <w:rPr>
          <w:rFonts w:ascii="宋体" w:hAnsi="宋体" w:cs="宋体"/>
          <w:color w:val="auto"/>
          <w:sz w:val="20"/>
          <w:highlight w:val="none"/>
        </w:rPr>
      </w:pPr>
      <w:bookmarkStart w:id="55" w:name="_Toc22960"/>
      <w:r>
        <w:rPr>
          <w:rFonts w:hint="eastAsia" w:ascii="宋体" w:hAnsi="宋体" w:cs="宋体"/>
          <w:b/>
          <w:color w:val="auto"/>
          <w:szCs w:val="21"/>
          <w:highlight w:val="none"/>
        </w:rPr>
        <w:t>电子响应文件</w:t>
      </w:r>
      <w:r>
        <w:rPr>
          <w:rFonts w:hint="eastAsia" w:ascii="宋体" w:hAnsi="宋体" w:cs="宋体"/>
          <w:b/>
          <w:bCs/>
          <w:color w:val="auto"/>
          <w:szCs w:val="21"/>
          <w:highlight w:val="none"/>
        </w:rPr>
        <w:t>按政采云平台“供应商-政府采购项目电子交易操作指南”</w:t>
      </w:r>
      <w:r>
        <w:rPr>
          <w:color w:val="auto"/>
          <w:highlight w:val="none"/>
        </w:rPr>
        <w:fldChar w:fldCharType="begin"/>
      </w:r>
      <w:r>
        <w:rPr>
          <w:color w:val="auto"/>
          <w:highlight w:val="none"/>
        </w:rPr>
        <w:instrText xml:space="preserve"> HYPERLINK "https://help.zcy.gov.cn/web/site_2/2018/12-28/2573.html）及本招标文件规定的格式和顺序编制电子投标文件并进行关联定位。" </w:instrText>
      </w:r>
      <w:r>
        <w:rPr>
          <w:color w:val="auto"/>
          <w:highlight w:val="none"/>
        </w:rPr>
        <w:fldChar w:fldCharType="separate"/>
      </w:r>
      <w:r>
        <w:rPr>
          <w:rStyle w:val="42"/>
          <w:rFonts w:hint="eastAsia" w:ascii="宋体" w:hAnsi="宋体" w:cs="宋体"/>
          <w:b/>
          <w:bCs/>
          <w:color w:val="auto"/>
          <w:szCs w:val="21"/>
          <w:highlight w:val="none"/>
        </w:rPr>
        <w:t>及本竞争性磋商文件规定的格式和顺序编制电子响应文件并进行关联定位。</w:t>
      </w:r>
      <w:r>
        <w:rPr>
          <w:rStyle w:val="42"/>
          <w:rFonts w:hint="eastAsia" w:ascii="宋体" w:hAnsi="宋体" w:cs="宋体"/>
          <w:b/>
          <w:bCs/>
          <w:color w:val="auto"/>
          <w:szCs w:val="21"/>
          <w:highlight w:val="none"/>
        </w:rPr>
        <w:fldChar w:fldCharType="end"/>
      </w:r>
      <w:bookmarkEnd w:id="55"/>
    </w:p>
    <w:p w14:paraId="3D34BA5D">
      <w:pPr>
        <w:pStyle w:val="14"/>
        <w:spacing w:line="440" w:lineRule="exact"/>
        <w:ind w:left="0" w:firstLine="422" w:firstLineChars="200"/>
        <w:textAlignment w:val="baseline"/>
        <w:rPr>
          <w:rFonts w:ascii="宋体" w:hAnsi="宋体" w:eastAsia="宋体" w:cs="宋体"/>
          <w:b/>
          <w:color w:val="auto"/>
          <w:sz w:val="21"/>
          <w:szCs w:val="21"/>
          <w:highlight w:val="none"/>
        </w:rPr>
      </w:pPr>
      <w:r>
        <w:rPr>
          <w:rFonts w:hint="eastAsia" w:ascii="宋体" w:hAnsi="宋体" w:eastAsia="宋体" w:cs="宋体"/>
          <w:b/>
          <w:color w:val="auto"/>
          <w:sz w:val="21"/>
          <w:szCs w:val="21"/>
          <w:highlight w:val="none"/>
        </w:rPr>
        <w:t>7</w:t>
      </w:r>
      <w:r>
        <w:rPr>
          <w:rFonts w:hint="eastAsia" w:ascii="宋体" w:hAnsi="宋体" w:eastAsia="宋体" w:cs="宋体"/>
          <w:b/>
          <w:color w:val="auto"/>
          <w:sz w:val="21"/>
          <w:szCs w:val="21"/>
          <w:highlight w:val="none"/>
          <w:lang w:val="en-US" w:eastAsia="zh-CN"/>
        </w:rPr>
        <w:t>.</w:t>
      </w:r>
      <w:r>
        <w:rPr>
          <w:rFonts w:hint="eastAsia" w:ascii="宋体" w:hAnsi="宋体" w:eastAsia="宋体" w:cs="宋体"/>
          <w:b/>
          <w:color w:val="auto"/>
          <w:sz w:val="21"/>
          <w:szCs w:val="21"/>
          <w:highlight w:val="none"/>
        </w:rPr>
        <w:t>投标有效期</w:t>
      </w:r>
    </w:p>
    <w:p w14:paraId="7073DB17">
      <w:pPr>
        <w:pStyle w:val="14"/>
        <w:spacing w:line="440" w:lineRule="exact"/>
        <w:ind w:left="0" w:firstLine="420" w:firstLineChars="200"/>
        <w:textAlignment w:val="baseline"/>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7.1投标有效期见本磋商文件中前附表所规定的期限，在此期限内，凡符合磋商文件要求的响应文件均保持有效。</w:t>
      </w:r>
    </w:p>
    <w:p w14:paraId="34D0B7DC">
      <w:pPr>
        <w:pStyle w:val="14"/>
        <w:spacing w:line="440" w:lineRule="exact"/>
        <w:ind w:left="0" w:firstLine="420" w:firstLineChars="200"/>
        <w:textAlignment w:val="baseline"/>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7.2在特殊情况下，招标采购人在原定投标有效期内，可以根据需要以书面形式向磋商供应商提出延长投标有效期的要求，对此要求磋商供应商须以书面形式予以答复。磋商供应商可以拒绝招标采购人这种要求。同意延长投标有效期的磋商供应商既不能要求也不允许修改其响应文件。</w:t>
      </w:r>
    </w:p>
    <w:p w14:paraId="77F90F1F">
      <w:pPr>
        <w:pStyle w:val="4"/>
        <w:keepLines/>
        <w:widowControl w:val="0"/>
        <w:numPr>
          <w:ilvl w:val="2"/>
          <w:numId w:val="0"/>
        </w:numPr>
        <w:spacing w:before="156" w:after="156"/>
        <w:jc w:val="center"/>
        <w:textAlignment w:val="baseline"/>
        <w:rPr>
          <w:rFonts w:ascii="宋体" w:hAnsi="宋体" w:cs="宋体"/>
          <w:b/>
          <w:bCs/>
          <w:color w:val="auto"/>
          <w:kern w:val="2"/>
          <w:sz w:val="32"/>
          <w:szCs w:val="32"/>
          <w:highlight w:val="none"/>
        </w:rPr>
      </w:pPr>
      <w:bookmarkStart w:id="56" w:name="_Toc10667"/>
      <w:r>
        <w:rPr>
          <w:rFonts w:hint="eastAsia" w:ascii="宋体" w:hAnsi="宋体" w:cs="宋体"/>
          <w:b/>
          <w:bCs/>
          <w:color w:val="auto"/>
          <w:kern w:val="2"/>
          <w:sz w:val="32"/>
          <w:szCs w:val="32"/>
          <w:highlight w:val="none"/>
        </w:rPr>
        <w:t>四、投标</w:t>
      </w:r>
      <w:bookmarkEnd w:id="56"/>
    </w:p>
    <w:p w14:paraId="540CD303">
      <w:pPr>
        <w:pStyle w:val="14"/>
        <w:spacing w:line="440" w:lineRule="exact"/>
        <w:ind w:left="0" w:firstLine="422" w:firstLineChars="200"/>
        <w:textAlignment w:val="baseline"/>
        <w:rPr>
          <w:rFonts w:hint="eastAsia" w:ascii="宋体" w:hAnsi="宋体" w:eastAsia="宋体" w:cs="宋体"/>
          <w:b/>
          <w:color w:val="auto"/>
          <w:sz w:val="21"/>
          <w:szCs w:val="21"/>
          <w:highlight w:val="none"/>
          <w:lang w:eastAsia="zh-CN"/>
        </w:rPr>
      </w:pPr>
      <w:r>
        <w:rPr>
          <w:rFonts w:hint="eastAsia" w:ascii="宋体" w:hAnsi="宋体" w:eastAsia="宋体" w:cs="宋体"/>
          <w:b/>
          <w:color w:val="auto"/>
          <w:sz w:val="21"/>
          <w:szCs w:val="21"/>
          <w:highlight w:val="none"/>
        </w:rPr>
        <w:t>1</w:t>
      </w:r>
      <w:r>
        <w:rPr>
          <w:rFonts w:hint="eastAsia" w:ascii="宋体" w:hAnsi="宋体" w:eastAsia="宋体" w:cs="宋体"/>
          <w:b/>
          <w:color w:val="auto"/>
          <w:sz w:val="21"/>
          <w:szCs w:val="21"/>
          <w:highlight w:val="none"/>
          <w:lang w:val="en-US" w:eastAsia="zh-CN"/>
        </w:rPr>
        <w:t>.</w:t>
      </w:r>
      <w:r>
        <w:rPr>
          <w:rFonts w:hint="eastAsia" w:ascii="宋体" w:hAnsi="宋体" w:eastAsia="宋体" w:cs="宋体"/>
          <w:b/>
          <w:color w:val="auto"/>
          <w:sz w:val="21"/>
          <w:szCs w:val="21"/>
          <w:highlight w:val="none"/>
        </w:rPr>
        <w:t>响应文件的提交</w:t>
      </w:r>
    </w:p>
    <w:p w14:paraId="5294E688">
      <w:pPr>
        <w:widowControl/>
        <w:spacing w:line="360" w:lineRule="auto"/>
        <w:ind w:firstLine="420"/>
        <w:rPr>
          <w:rFonts w:ascii="宋体" w:cs="宋体"/>
          <w:color w:val="auto"/>
          <w:kern w:val="0"/>
          <w:szCs w:val="21"/>
          <w:highlight w:val="none"/>
        </w:rPr>
      </w:pPr>
      <w:r>
        <w:rPr>
          <w:rFonts w:ascii="宋体" w:hAnsi="宋体" w:cs="宋体"/>
          <w:color w:val="auto"/>
          <w:kern w:val="0"/>
          <w:szCs w:val="21"/>
          <w:highlight w:val="none"/>
        </w:rPr>
        <w:t>1.1</w:t>
      </w:r>
      <w:r>
        <w:rPr>
          <w:rFonts w:hint="eastAsia" w:ascii="宋体" w:hAnsi="宋体" w:cs="宋体"/>
          <w:b/>
          <w:bCs/>
          <w:color w:val="auto"/>
          <w:kern w:val="0"/>
          <w:szCs w:val="21"/>
          <w:highlight w:val="none"/>
        </w:rPr>
        <w:t>电子加密</w:t>
      </w:r>
      <w:r>
        <w:rPr>
          <w:rFonts w:hint="eastAsia" w:ascii="宋体" w:hAnsi="宋体" w:cs="宋体"/>
          <w:b/>
          <w:bCs/>
          <w:color w:val="auto"/>
          <w:kern w:val="0"/>
          <w:szCs w:val="21"/>
          <w:highlight w:val="none"/>
          <w:lang w:eastAsia="zh-CN"/>
        </w:rPr>
        <w:t>响应文件</w:t>
      </w:r>
      <w:r>
        <w:rPr>
          <w:rFonts w:hint="eastAsia" w:ascii="宋体" w:hAnsi="宋体" w:cs="宋体"/>
          <w:b/>
          <w:bCs/>
          <w:color w:val="auto"/>
          <w:kern w:val="0"/>
          <w:szCs w:val="21"/>
          <w:highlight w:val="none"/>
        </w:rPr>
        <w:t>：</w:t>
      </w:r>
      <w:r>
        <w:rPr>
          <w:rFonts w:hint="eastAsia" w:ascii="宋体" w:hAnsi="宋体" w:cs="宋体"/>
          <w:color w:val="auto"/>
          <w:kern w:val="0"/>
          <w:szCs w:val="21"/>
          <w:highlight w:val="none"/>
          <w:lang w:eastAsia="zh-CN"/>
        </w:rPr>
        <w:t>供应商</w:t>
      </w:r>
      <w:r>
        <w:rPr>
          <w:rFonts w:hint="eastAsia" w:ascii="宋体" w:hAnsi="宋体" w:cs="宋体"/>
          <w:color w:val="auto"/>
          <w:kern w:val="0"/>
          <w:szCs w:val="21"/>
          <w:highlight w:val="none"/>
        </w:rPr>
        <w:t>应当于</w:t>
      </w:r>
      <w:r>
        <w:rPr>
          <w:rFonts w:hint="eastAsia" w:ascii="宋体" w:hAnsi="宋体" w:cs="宋体"/>
          <w:color w:val="auto"/>
          <w:kern w:val="0"/>
          <w:szCs w:val="21"/>
          <w:highlight w:val="none"/>
          <w:lang w:eastAsia="zh-CN"/>
        </w:rPr>
        <w:t>响应文件</w:t>
      </w:r>
      <w:r>
        <w:rPr>
          <w:rFonts w:hint="eastAsia" w:ascii="宋体" w:hAnsi="宋体" w:cs="宋体"/>
          <w:color w:val="auto"/>
          <w:kern w:val="0"/>
          <w:szCs w:val="21"/>
          <w:highlight w:val="none"/>
        </w:rPr>
        <w:t>提交截止时间前</w:t>
      </w:r>
      <w:r>
        <w:rPr>
          <w:rFonts w:hint="eastAsia" w:ascii="宋体" w:hAnsi="宋体" w:cs="宋体"/>
          <w:color w:val="auto"/>
          <w:szCs w:val="21"/>
          <w:highlight w:val="none"/>
        </w:rPr>
        <w:t>通过“政采云电子投标客户端”上传至政采云平台</w:t>
      </w:r>
      <w:r>
        <w:rPr>
          <w:rFonts w:hint="eastAsia" w:ascii="宋体" w:hAnsi="宋体" w:cs="宋体"/>
          <w:color w:val="auto"/>
          <w:kern w:val="0"/>
          <w:szCs w:val="21"/>
          <w:highlight w:val="none"/>
        </w:rPr>
        <w:t>上</w:t>
      </w:r>
      <w:r>
        <w:rPr>
          <w:rFonts w:hint="eastAsia" w:ascii="宋体" w:hAnsi="宋体" w:cs="宋体"/>
          <w:b/>
          <w:bCs/>
          <w:color w:val="auto"/>
          <w:kern w:val="0"/>
          <w:szCs w:val="21"/>
          <w:highlight w:val="none"/>
        </w:rPr>
        <w:t>。（逾期上传的</w:t>
      </w:r>
      <w:r>
        <w:rPr>
          <w:rFonts w:hint="eastAsia" w:ascii="宋体" w:hAnsi="宋体" w:cs="宋体"/>
          <w:b/>
          <w:bCs/>
          <w:color w:val="auto"/>
          <w:kern w:val="0"/>
          <w:szCs w:val="21"/>
          <w:highlight w:val="none"/>
          <w:lang w:eastAsia="zh-CN"/>
        </w:rPr>
        <w:t>响应文件</w:t>
      </w:r>
      <w:r>
        <w:rPr>
          <w:rFonts w:hint="eastAsia" w:ascii="宋体" w:hAnsi="宋体" w:cs="宋体"/>
          <w:b/>
          <w:bCs/>
          <w:color w:val="auto"/>
          <w:kern w:val="0"/>
          <w:szCs w:val="21"/>
          <w:highlight w:val="none"/>
        </w:rPr>
        <w:t>将被拒收）</w:t>
      </w:r>
    </w:p>
    <w:p w14:paraId="216977ED">
      <w:pPr>
        <w:widowControl/>
        <w:wordWrap w:val="0"/>
        <w:spacing w:line="360" w:lineRule="auto"/>
        <w:ind w:firstLine="420"/>
        <w:rPr>
          <w:rFonts w:ascii="宋体" w:cs="宋体"/>
          <w:b/>
          <w:bCs/>
          <w:color w:val="auto"/>
          <w:highlight w:val="none"/>
          <w:lang w:val="zh-CN"/>
        </w:rPr>
      </w:pPr>
      <w:r>
        <w:rPr>
          <w:rFonts w:ascii="宋体" w:hAnsi="宋体" w:cs="宋体"/>
          <w:color w:val="auto"/>
          <w:kern w:val="0"/>
          <w:szCs w:val="21"/>
          <w:highlight w:val="none"/>
        </w:rPr>
        <w:t>1.2</w:t>
      </w:r>
      <w:r>
        <w:rPr>
          <w:rFonts w:hint="eastAsia" w:ascii="宋体" w:hAnsi="宋体" w:cs="宋体"/>
          <w:b/>
          <w:bCs/>
          <w:color w:val="auto"/>
          <w:kern w:val="0"/>
          <w:szCs w:val="21"/>
          <w:highlight w:val="none"/>
        </w:rPr>
        <w:t>备份</w:t>
      </w:r>
      <w:r>
        <w:rPr>
          <w:rFonts w:hint="eastAsia" w:ascii="宋体" w:hAnsi="宋体" w:cs="宋体"/>
          <w:b/>
          <w:bCs/>
          <w:color w:val="auto"/>
          <w:kern w:val="0"/>
          <w:szCs w:val="21"/>
          <w:highlight w:val="none"/>
          <w:lang w:eastAsia="zh-CN"/>
        </w:rPr>
        <w:t>响应文件</w:t>
      </w:r>
      <w:r>
        <w:rPr>
          <w:rFonts w:hint="eastAsia" w:ascii="宋体" w:hAnsi="宋体" w:cs="宋体"/>
          <w:b/>
          <w:bCs/>
          <w:color w:val="auto"/>
          <w:kern w:val="0"/>
          <w:szCs w:val="21"/>
          <w:highlight w:val="none"/>
        </w:rPr>
        <w:t>（非强制要求提供）</w:t>
      </w:r>
      <w:r>
        <w:rPr>
          <w:rFonts w:hint="eastAsia" w:ascii="宋体" w:hAnsi="宋体" w:cs="宋体"/>
          <w:color w:val="auto"/>
          <w:kern w:val="0"/>
          <w:szCs w:val="21"/>
          <w:highlight w:val="none"/>
        </w:rPr>
        <w:t>：可在</w:t>
      </w:r>
      <w:r>
        <w:rPr>
          <w:color w:val="auto"/>
          <w:highlight w:val="none"/>
        </w:rPr>
        <w:fldChar w:fldCharType="begin"/>
      </w:r>
      <w:r>
        <w:rPr>
          <w:color w:val="auto"/>
          <w:highlight w:val="none"/>
        </w:rPr>
        <w:instrText xml:space="preserve"> HYPERLINK "mailto:按政采云平台项目采购-电子招投标操作指南制作备份投标文件（后缀名为.bfbs），在开标时间后15分钟内以电子邮件形式递交至采购代理机构邮箱（103874679@qq.com）。" </w:instrText>
      </w:r>
      <w:r>
        <w:rPr>
          <w:color w:val="auto"/>
          <w:highlight w:val="none"/>
        </w:rPr>
        <w:fldChar w:fldCharType="separate"/>
      </w:r>
      <w:r>
        <w:rPr>
          <w:rStyle w:val="42"/>
          <w:rFonts w:hint="eastAsia" w:ascii="宋体" w:hAnsi="宋体" w:cs="宋体"/>
          <w:color w:val="auto"/>
          <w:kern w:val="0"/>
          <w:szCs w:val="21"/>
          <w:highlight w:val="none"/>
          <w:u w:val="none"/>
          <w:lang w:eastAsia="zh-CN"/>
        </w:rPr>
        <w:t>响应文件</w:t>
      </w:r>
      <w:r>
        <w:rPr>
          <w:rStyle w:val="42"/>
          <w:rFonts w:hint="eastAsia" w:ascii="宋体" w:hAnsi="宋体" w:cs="宋体"/>
          <w:color w:val="auto"/>
          <w:kern w:val="0"/>
          <w:szCs w:val="21"/>
          <w:highlight w:val="none"/>
          <w:u w:val="none"/>
        </w:rPr>
        <w:t>提交截止时间前以加密的压缩文件形式（即将压缩文件设置为需要密码才能打开）发送至采购代理机构邮箱</w:t>
      </w:r>
      <w:r>
        <w:rPr>
          <w:rStyle w:val="42"/>
          <w:rFonts w:hint="eastAsia" w:ascii="宋体" w:hAnsi="宋体" w:cs="宋体"/>
          <w:color w:val="auto"/>
          <w:kern w:val="0"/>
          <w:szCs w:val="21"/>
          <w:highlight w:val="none"/>
          <w:u w:val="none"/>
        </w:rPr>
        <w:fldChar w:fldCharType="end"/>
      </w:r>
      <w:r>
        <w:rPr>
          <w:rFonts w:hint="eastAsia" w:ascii="宋体" w:hAnsi="宋体" w:cs="宋体"/>
          <w:color w:val="auto"/>
          <w:kern w:val="0"/>
          <w:szCs w:val="21"/>
          <w:highlight w:val="none"/>
        </w:rPr>
        <w:t>，并在</w:t>
      </w:r>
      <w:r>
        <w:rPr>
          <w:rFonts w:hint="eastAsia" w:ascii="宋体" w:hAnsi="宋体" w:cs="宋体"/>
          <w:color w:val="auto"/>
          <w:highlight w:val="none"/>
          <w:lang w:val="zh-CN"/>
        </w:rPr>
        <w:t>接到在线解密通</w:t>
      </w:r>
      <w:r>
        <w:rPr>
          <w:rFonts w:hint="eastAsia" w:ascii="宋体" w:hAnsi="宋体" w:cs="宋体"/>
          <w:color w:val="auto"/>
          <w:szCs w:val="21"/>
          <w:highlight w:val="none"/>
          <w:lang w:val="zh-CN"/>
        </w:rPr>
        <w:t>知</w:t>
      </w:r>
      <w:r>
        <w:rPr>
          <w:rFonts w:hint="eastAsia" w:ascii="宋体" w:hAnsi="宋体" w:cs="宋体"/>
          <w:color w:val="auto"/>
          <w:highlight w:val="none"/>
          <w:lang w:val="zh-CN"/>
        </w:rPr>
        <w:t>后</w:t>
      </w:r>
      <w:r>
        <w:rPr>
          <w:rFonts w:ascii="宋体" w:hAnsi="宋体" w:cs="宋体"/>
          <w:color w:val="auto"/>
          <w:szCs w:val="21"/>
          <w:highlight w:val="none"/>
        </w:rPr>
        <w:t>30</w:t>
      </w:r>
      <w:r>
        <w:rPr>
          <w:rFonts w:hint="eastAsia" w:ascii="宋体" w:hAnsi="宋体" w:cs="宋体"/>
          <w:color w:val="auto"/>
          <w:highlight w:val="none"/>
        </w:rPr>
        <w:t>分钟</w:t>
      </w:r>
      <w:r>
        <w:rPr>
          <w:rFonts w:hint="eastAsia" w:ascii="宋体" w:hAnsi="宋体" w:cs="宋体"/>
          <w:color w:val="auto"/>
          <w:highlight w:val="none"/>
          <w:lang w:val="zh-CN"/>
        </w:rPr>
        <w:t>内发送压缩文件密码至</w:t>
      </w:r>
      <w:r>
        <w:rPr>
          <w:rStyle w:val="42"/>
          <w:rFonts w:hint="eastAsia" w:ascii="宋体" w:hAnsi="宋体" w:cs="宋体"/>
          <w:color w:val="auto"/>
          <w:kern w:val="0"/>
          <w:szCs w:val="21"/>
          <w:highlight w:val="none"/>
          <w:u w:val="none"/>
        </w:rPr>
        <w:t>采购代理机构邮箱（邮箱号码：</w:t>
      </w:r>
      <w:r>
        <w:rPr>
          <w:color w:val="auto"/>
          <w:highlight w:val="none"/>
        </w:rPr>
        <w:fldChar w:fldCharType="begin"/>
      </w:r>
      <w:r>
        <w:rPr>
          <w:color w:val="auto"/>
          <w:highlight w:val="none"/>
        </w:rPr>
        <w:instrText xml:space="preserve"> HYPERLINK "mailto:103874679@qq.com）。" </w:instrText>
      </w:r>
      <w:r>
        <w:rPr>
          <w:color w:val="auto"/>
          <w:highlight w:val="none"/>
        </w:rPr>
        <w:fldChar w:fldCharType="separate"/>
      </w:r>
      <w:r>
        <w:rPr>
          <w:rStyle w:val="42"/>
          <w:rFonts w:hint="eastAsia" w:ascii="宋体" w:hAnsi="宋体" w:cs="宋体"/>
          <w:color w:val="auto"/>
          <w:highlight w:val="none"/>
          <w:u w:val="none"/>
          <w:lang w:val="en-US" w:eastAsia="zh-CN"/>
        </w:rPr>
        <w:t>283199225@qq.com</w:t>
      </w:r>
      <w:r>
        <w:rPr>
          <w:rStyle w:val="42"/>
          <w:rFonts w:hint="eastAsia" w:ascii="宋体" w:hAnsi="宋体" w:cs="宋体"/>
          <w:color w:val="auto"/>
          <w:highlight w:val="none"/>
          <w:u w:val="none"/>
        </w:rPr>
        <w:t>）</w:t>
      </w:r>
      <w:r>
        <w:rPr>
          <w:rStyle w:val="42"/>
          <w:rFonts w:hint="eastAsia" w:ascii="宋体" w:hAnsi="宋体" w:cs="宋体"/>
          <w:color w:val="auto"/>
          <w:highlight w:val="none"/>
          <w:u w:val="none"/>
        </w:rPr>
        <w:fldChar w:fldCharType="end"/>
      </w:r>
      <w:r>
        <w:rPr>
          <w:rStyle w:val="42"/>
          <w:rFonts w:hint="eastAsia" w:ascii="宋体" w:hAnsi="宋体" w:cs="宋体"/>
          <w:color w:val="auto"/>
          <w:highlight w:val="none"/>
          <w:u w:val="none"/>
          <w:lang w:val="zh-CN"/>
        </w:rPr>
        <w:t>。</w:t>
      </w:r>
      <w:r>
        <w:rPr>
          <w:rFonts w:hint="eastAsia" w:ascii="宋体" w:hAnsi="宋体" w:cs="宋体"/>
          <w:b/>
          <w:bCs/>
          <w:color w:val="auto"/>
          <w:kern w:val="0"/>
          <w:szCs w:val="21"/>
          <w:highlight w:val="none"/>
        </w:rPr>
        <w:t>（逾期提交的备份</w:t>
      </w:r>
      <w:r>
        <w:rPr>
          <w:rFonts w:hint="eastAsia" w:ascii="宋体" w:hAnsi="宋体" w:cs="宋体"/>
          <w:b/>
          <w:bCs/>
          <w:color w:val="auto"/>
          <w:kern w:val="0"/>
          <w:szCs w:val="21"/>
          <w:highlight w:val="none"/>
          <w:lang w:eastAsia="zh-CN"/>
        </w:rPr>
        <w:t>响应文件</w:t>
      </w:r>
      <w:r>
        <w:rPr>
          <w:rFonts w:hint="eastAsia" w:ascii="宋体" w:hAnsi="宋体" w:cs="宋体"/>
          <w:b/>
          <w:bCs/>
          <w:color w:val="auto"/>
          <w:kern w:val="0"/>
          <w:szCs w:val="21"/>
          <w:highlight w:val="none"/>
        </w:rPr>
        <w:t>将被拒收）</w:t>
      </w:r>
    </w:p>
    <w:p w14:paraId="3FD4FB38">
      <w:pPr>
        <w:widowControl/>
        <w:spacing w:line="360" w:lineRule="auto"/>
        <w:ind w:firstLine="420"/>
        <w:rPr>
          <w:rFonts w:ascii="宋体" w:cs="宋体"/>
          <w:b/>
          <w:bCs/>
          <w:color w:val="auto"/>
          <w:highlight w:val="none"/>
          <w:lang w:val="zh-CN"/>
        </w:rPr>
      </w:pPr>
      <w:r>
        <w:rPr>
          <w:rFonts w:hint="eastAsia" w:ascii="宋体" w:hAnsi="宋体" w:cs="宋体"/>
          <w:b/>
          <w:bCs/>
          <w:color w:val="auto"/>
          <w:szCs w:val="21"/>
          <w:highlight w:val="none"/>
          <w:lang w:val="zh-CN"/>
        </w:rPr>
        <w:t>提示：①为确保采购项目顺利实施，供应商可以按照采购文件要求在响应文件提交截止时间前向采购代理机构</w:t>
      </w:r>
      <w:r>
        <w:rPr>
          <w:rFonts w:hint="eastAsia" w:ascii="宋体" w:hAnsi="宋体" w:cs="宋体"/>
          <w:b/>
          <w:bCs/>
          <w:color w:val="auto"/>
          <w:szCs w:val="21"/>
          <w:highlight w:val="none"/>
        </w:rPr>
        <w:t>提交</w:t>
      </w:r>
      <w:r>
        <w:rPr>
          <w:rFonts w:hint="eastAsia" w:ascii="宋体" w:hAnsi="宋体" w:cs="宋体"/>
          <w:b/>
          <w:bCs/>
          <w:color w:val="auto"/>
          <w:szCs w:val="21"/>
          <w:highlight w:val="none"/>
          <w:lang w:val="zh-CN"/>
        </w:rPr>
        <w:t>备份响应文件，但非强制性要求。如</w:t>
      </w:r>
      <w:r>
        <w:rPr>
          <w:rFonts w:hint="eastAsia" w:ascii="宋体" w:hAnsi="宋体" w:cs="宋体"/>
          <w:b/>
          <w:bCs/>
          <w:color w:val="auto"/>
          <w:szCs w:val="21"/>
          <w:highlight w:val="none"/>
        </w:rPr>
        <w:t>在</w:t>
      </w:r>
      <w:r>
        <w:rPr>
          <w:rFonts w:hint="eastAsia" w:ascii="宋体" w:hAnsi="宋体" w:cs="宋体"/>
          <w:b/>
          <w:bCs/>
          <w:color w:val="auto"/>
          <w:szCs w:val="21"/>
          <w:highlight w:val="none"/>
          <w:lang w:val="zh-CN"/>
        </w:rPr>
        <w:t>响应文件提交截止时间前</w:t>
      </w:r>
      <w:r>
        <w:rPr>
          <w:rFonts w:hint="eastAsia" w:ascii="宋体" w:hAnsi="宋体" w:cs="宋体"/>
          <w:b/>
          <w:bCs/>
          <w:color w:val="auto"/>
          <w:szCs w:val="21"/>
          <w:highlight w:val="none"/>
        </w:rPr>
        <w:t>未提交</w:t>
      </w:r>
      <w:r>
        <w:rPr>
          <w:rFonts w:hint="eastAsia" w:ascii="宋体" w:hAnsi="宋体" w:cs="宋体"/>
          <w:b/>
          <w:bCs/>
          <w:color w:val="auto"/>
          <w:szCs w:val="21"/>
          <w:highlight w:val="none"/>
          <w:lang w:val="zh-CN"/>
        </w:rPr>
        <w:t>备份响应文件，因遇电子加密响应文件解密失败等情况造成投标撤回或无效的，其后果由供应商自行承担。</w:t>
      </w:r>
    </w:p>
    <w:p w14:paraId="448B89E5">
      <w:pPr>
        <w:spacing w:line="360" w:lineRule="auto"/>
        <w:ind w:firstLine="420"/>
        <w:rPr>
          <w:rFonts w:ascii="宋体" w:cs="宋体"/>
          <w:b/>
          <w:bCs/>
          <w:color w:val="auto"/>
          <w:szCs w:val="21"/>
          <w:highlight w:val="none"/>
          <w:lang w:val="zh-CN"/>
        </w:rPr>
      </w:pPr>
      <w:r>
        <w:rPr>
          <w:rFonts w:hint="eastAsia" w:ascii="宋体" w:hAnsi="宋体" w:cs="宋体"/>
          <w:b/>
          <w:bCs/>
          <w:color w:val="auto"/>
          <w:szCs w:val="21"/>
          <w:highlight w:val="none"/>
        </w:rPr>
        <w:t>②</w:t>
      </w:r>
      <w:r>
        <w:rPr>
          <w:rFonts w:hint="eastAsia" w:ascii="宋体" w:hAnsi="宋体" w:cs="宋体"/>
          <w:b/>
          <w:bCs/>
          <w:color w:val="auto"/>
          <w:szCs w:val="21"/>
          <w:highlight w:val="none"/>
          <w:lang w:val="zh-CN"/>
        </w:rPr>
        <w:t>本次采购活动采用电子交易，实行网上交易（非现场方式实施）。供应商代表无需到达现场，但应当准时在线参加开标，直至评审结束，并保证开标、评审过程中采购代理机构能够随时与其代表人取得联系。</w:t>
      </w:r>
    </w:p>
    <w:p w14:paraId="7F3BC963">
      <w:pPr>
        <w:pStyle w:val="14"/>
        <w:spacing w:line="440" w:lineRule="exact"/>
        <w:ind w:left="0" w:firstLine="422" w:firstLineChars="200"/>
        <w:textAlignment w:val="baseline"/>
        <w:rPr>
          <w:rFonts w:ascii="宋体" w:hAnsi="宋体" w:eastAsia="宋体" w:cs="宋体"/>
          <w:b/>
          <w:color w:val="auto"/>
          <w:sz w:val="21"/>
          <w:szCs w:val="21"/>
          <w:highlight w:val="none"/>
        </w:rPr>
      </w:pPr>
      <w:r>
        <w:rPr>
          <w:rFonts w:hint="eastAsia" w:ascii="宋体" w:hAnsi="宋体" w:eastAsia="宋体" w:cs="宋体"/>
          <w:b/>
          <w:color w:val="auto"/>
          <w:sz w:val="21"/>
          <w:szCs w:val="21"/>
          <w:highlight w:val="none"/>
        </w:rPr>
        <w:t>2</w:t>
      </w:r>
      <w:r>
        <w:rPr>
          <w:rFonts w:hint="eastAsia" w:ascii="宋体" w:hAnsi="宋体" w:eastAsia="宋体" w:cs="宋体"/>
          <w:b/>
          <w:color w:val="auto"/>
          <w:sz w:val="21"/>
          <w:szCs w:val="21"/>
          <w:highlight w:val="none"/>
          <w:lang w:val="en-US" w:eastAsia="zh-CN"/>
        </w:rPr>
        <w:t>.</w:t>
      </w:r>
      <w:r>
        <w:rPr>
          <w:rFonts w:hint="eastAsia" w:ascii="宋体" w:hAnsi="宋体" w:eastAsia="宋体" w:cs="宋体"/>
          <w:b/>
          <w:color w:val="auto"/>
          <w:sz w:val="21"/>
          <w:szCs w:val="21"/>
          <w:highlight w:val="none"/>
        </w:rPr>
        <w:t>响应文件提交的截止时间</w:t>
      </w:r>
    </w:p>
    <w:p w14:paraId="6DA9AD67">
      <w:pPr>
        <w:pStyle w:val="14"/>
        <w:spacing w:line="440" w:lineRule="exact"/>
        <w:ind w:left="420" w:firstLine="42"/>
        <w:textAlignment w:val="baseline"/>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2.1响应文件提交的截止时间见磋商文件投标须知前附表规定。</w:t>
      </w:r>
    </w:p>
    <w:p w14:paraId="7D2D96BB">
      <w:pPr>
        <w:pStyle w:val="14"/>
        <w:spacing w:line="440" w:lineRule="exact"/>
        <w:ind w:left="0" w:firstLine="420" w:firstLineChars="200"/>
        <w:textAlignment w:val="baseline"/>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2.2招标采购人可按本磋商文件规定以修改补充通知的方式，酌情延长提交响应文件的截止时间。在此情况下，磋商供应商的所有权利和义务以及磋商供应商受制约的截止时间，均以延长后新的投标截止时间为准。</w:t>
      </w:r>
    </w:p>
    <w:p w14:paraId="6F88CE7D">
      <w:pPr>
        <w:pStyle w:val="14"/>
        <w:spacing w:line="440" w:lineRule="exact"/>
        <w:ind w:left="420" w:firstLine="42"/>
        <w:textAlignment w:val="baseline"/>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2.3磋商供应商在投标截止时间以后送达的响应文件将被拒绝接受。</w:t>
      </w:r>
    </w:p>
    <w:p w14:paraId="3EC1605B">
      <w:pPr>
        <w:pStyle w:val="14"/>
        <w:spacing w:line="440" w:lineRule="exact"/>
        <w:ind w:left="0" w:firstLine="422" w:firstLineChars="200"/>
        <w:textAlignment w:val="baseline"/>
        <w:rPr>
          <w:rFonts w:ascii="宋体" w:hAnsi="宋体" w:eastAsia="宋体" w:cs="宋体"/>
          <w:b/>
          <w:color w:val="auto"/>
          <w:sz w:val="21"/>
          <w:szCs w:val="21"/>
          <w:highlight w:val="none"/>
        </w:rPr>
      </w:pPr>
      <w:r>
        <w:rPr>
          <w:rFonts w:hint="eastAsia" w:ascii="宋体" w:hAnsi="宋体" w:eastAsia="宋体" w:cs="宋体"/>
          <w:b/>
          <w:color w:val="auto"/>
          <w:sz w:val="21"/>
          <w:szCs w:val="21"/>
          <w:highlight w:val="none"/>
        </w:rPr>
        <w:t>3</w:t>
      </w:r>
      <w:r>
        <w:rPr>
          <w:rFonts w:hint="eastAsia" w:ascii="宋体" w:hAnsi="宋体" w:eastAsia="宋体" w:cs="宋体"/>
          <w:b/>
          <w:color w:val="auto"/>
          <w:sz w:val="21"/>
          <w:szCs w:val="21"/>
          <w:highlight w:val="none"/>
          <w:lang w:val="en-US" w:eastAsia="zh-CN"/>
        </w:rPr>
        <w:t>.</w:t>
      </w:r>
      <w:r>
        <w:rPr>
          <w:rFonts w:hint="eastAsia" w:ascii="宋体" w:hAnsi="宋体" w:eastAsia="宋体" w:cs="宋体"/>
          <w:b/>
          <w:color w:val="auto"/>
          <w:sz w:val="21"/>
          <w:szCs w:val="21"/>
          <w:highlight w:val="none"/>
        </w:rPr>
        <w:t>响应文件的补充、修改与撤回</w:t>
      </w:r>
    </w:p>
    <w:p w14:paraId="6B393776">
      <w:pPr>
        <w:pStyle w:val="14"/>
        <w:spacing w:line="440" w:lineRule="exact"/>
        <w:ind w:left="0"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3.1磋商供应商在提交响应文件以后，在规定的投标截止时间之前，可以补充修改或撤回已提交的响应文件：</w:t>
      </w:r>
    </w:p>
    <w:p w14:paraId="058F807E">
      <w:pPr>
        <w:pStyle w:val="14"/>
        <w:spacing w:line="440" w:lineRule="exact"/>
        <w:ind w:left="0" w:firstLine="422" w:firstLineChars="200"/>
        <w:textAlignment w:val="baseline"/>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递交响应文件截止时间之前补充或者修改电子响应文件的，应当先行撤回原文件，补充、修改后重新传输递交。</w:t>
      </w:r>
    </w:p>
    <w:p w14:paraId="0561A2C6">
      <w:pPr>
        <w:pStyle w:val="14"/>
        <w:spacing w:line="440" w:lineRule="exact"/>
        <w:ind w:left="0" w:firstLine="525" w:firstLineChars="250"/>
        <w:textAlignment w:val="baseline"/>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3.2在投标截止时间之后，磋商供应商不得补充、修改响应文件。</w:t>
      </w:r>
    </w:p>
    <w:p w14:paraId="75E9CFA1">
      <w:pPr>
        <w:pStyle w:val="14"/>
        <w:spacing w:line="440" w:lineRule="exact"/>
        <w:ind w:left="0" w:firstLine="525" w:firstLineChars="250"/>
        <w:textAlignment w:val="baseline"/>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3.3根据磋商文件规定，在投标截止时间之后至磋商供应商在投标声明书中规定的投标有效期满之前的这段时间内，磋商供应商不得撤回其响应文件，否则应当按照本项目采购预算价2%的标准承担因此给采购单位造成的损失的赔偿责任及相应的法律责任。</w:t>
      </w:r>
    </w:p>
    <w:p w14:paraId="75C3454A">
      <w:pPr>
        <w:pStyle w:val="4"/>
        <w:keepLines/>
        <w:widowControl w:val="0"/>
        <w:numPr>
          <w:ilvl w:val="2"/>
          <w:numId w:val="0"/>
        </w:numPr>
        <w:spacing w:before="156" w:after="156"/>
        <w:jc w:val="center"/>
        <w:textAlignment w:val="baseline"/>
        <w:rPr>
          <w:rFonts w:ascii="宋体" w:hAnsi="宋体" w:cs="宋体"/>
          <w:b/>
          <w:bCs/>
          <w:color w:val="auto"/>
          <w:kern w:val="2"/>
          <w:sz w:val="32"/>
          <w:szCs w:val="32"/>
          <w:highlight w:val="none"/>
        </w:rPr>
      </w:pPr>
      <w:bookmarkStart w:id="57" w:name="_Toc582"/>
      <w:r>
        <w:rPr>
          <w:rFonts w:hint="eastAsia" w:ascii="宋体" w:hAnsi="宋体" w:cs="宋体"/>
          <w:b/>
          <w:bCs/>
          <w:color w:val="auto"/>
          <w:kern w:val="2"/>
          <w:sz w:val="32"/>
          <w:szCs w:val="32"/>
          <w:highlight w:val="none"/>
        </w:rPr>
        <w:t xml:space="preserve"> 五、开标</w:t>
      </w:r>
      <w:bookmarkEnd w:id="57"/>
    </w:p>
    <w:p w14:paraId="3876337D">
      <w:pPr>
        <w:pStyle w:val="14"/>
        <w:spacing w:line="440" w:lineRule="exact"/>
        <w:ind w:left="0" w:firstLine="422" w:firstLineChars="200"/>
        <w:textAlignment w:val="baseline"/>
        <w:rPr>
          <w:rFonts w:ascii="宋体" w:hAnsi="宋体" w:eastAsia="宋体" w:cs="宋体"/>
          <w:b/>
          <w:color w:val="auto"/>
          <w:sz w:val="21"/>
          <w:szCs w:val="21"/>
          <w:highlight w:val="none"/>
        </w:rPr>
      </w:pPr>
      <w:r>
        <w:rPr>
          <w:rFonts w:hint="eastAsia" w:ascii="宋体" w:hAnsi="宋体" w:eastAsia="宋体" w:cs="宋体"/>
          <w:b/>
          <w:color w:val="auto"/>
          <w:sz w:val="21"/>
          <w:szCs w:val="21"/>
          <w:highlight w:val="none"/>
        </w:rPr>
        <w:t>1</w:t>
      </w:r>
      <w:r>
        <w:rPr>
          <w:rFonts w:hint="eastAsia" w:ascii="宋体" w:hAnsi="宋体" w:eastAsia="宋体" w:cs="宋体"/>
          <w:b/>
          <w:color w:val="auto"/>
          <w:sz w:val="21"/>
          <w:szCs w:val="21"/>
          <w:highlight w:val="none"/>
          <w:lang w:val="en-US" w:eastAsia="zh-CN"/>
        </w:rPr>
        <w:t>.</w:t>
      </w:r>
      <w:r>
        <w:rPr>
          <w:rFonts w:hint="eastAsia" w:ascii="宋体" w:hAnsi="宋体" w:eastAsia="宋体" w:cs="宋体"/>
          <w:b/>
          <w:color w:val="auto"/>
          <w:sz w:val="21"/>
          <w:szCs w:val="21"/>
          <w:highlight w:val="none"/>
        </w:rPr>
        <w:t>开标</w:t>
      </w:r>
    </w:p>
    <w:p w14:paraId="050763E1">
      <w:pPr>
        <w:pStyle w:val="14"/>
        <w:spacing w:line="440" w:lineRule="exact"/>
        <w:ind w:left="0" w:firstLine="420" w:firstLineChars="200"/>
        <w:textAlignment w:val="baseline"/>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1.1招标采购人按本磋商文件磋商供应商须知前附表规定的时间和地点公开开标。</w:t>
      </w:r>
    </w:p>
    <w:p w14:paraId="28060D98">
      <w:pPr>
        <w:pStyle w:val="14"/>
        <w:spacing w:line="440" w:lineRule="exact"/>
        <w:ind w:left="0" w:firstLine="420" w:firstLineChars="200"/>
        <w:textAlignment w:val="baseline"/>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1.2采购代理机构核验出席开标活动现场的相关单位人员身份，并组织其分别登记、签到，无关人员不得进入现场。</w:t>
      </w:r>
    </w:p>
    <w:p w14:paraId="62DF3DB4">
      <w:pPr>
        <w:spacing w:line="440" w:lineRule="exact"/>
        <w:ind w:firstLine="420" w:firstLineChars="200"/>
        <w:textAlignment w:val="baseline"/>
        <w:rPr>
          <w:rFonts w:ascii="宋体" w:hAnsi="宋体" w:cs="宋体"/>
          <w:color w:val="auto"/>
          <w:sz w:val="20"/>
          <w:szCs w:val="21"/>
          <w:highlight w:val="none"/>
        </w:rPr>
      </w:pPr>
      <w:r>
        <w:rPr>
          <w:rFonts w:hint="eastAsia" w:ascii="宋体" w:hAnsi="宋体" w:cs="宋体"/>
          <w:color w:val="auto"/>
          <w:szCs w:val="21"/>
          <w:highlight w:val="none"/>
        </w:rPr>
        <w:t>1.3采购组织机构将按照磋商文件规定的时间通过“政府采购云平台”组织开标、开启</w:t>
      </w:r>
      <w:r>
        <w:rPr>
          <w:rFonts w:hint="eastAsia" w:ascii="宋体" w:hAnsi="宋体" w:cs="宋体"/>
          <w:color w:val="auto"/>
          <w:szCs w:val="21"/>
          <w:highlight w:val="none"/>
          <w:lang w:eastAsia="zh-CN"/>
        </w:rPr>
        <w:t>响应文件</w:t>
      </w:r>
      <w:r>
        <w:rPr>
          <w:rFonts w:hint="eastAsia" w:ascii="宋体" w:hAnsi="宋体" w:cs="宋体"/>
          <w:color w:val="auto"/>
          <w:szCs w:val="21"/>
          <w:highlight w:val="none"/>
        </w:rPr>
        <w:t>，所有供应商均应当准时在线参加。供应商如不参加开标大会的，视同认可开标结果，事后不得对采购相关人员、开标过程和开标结果提出异议，同时供应商因未在线参加开标而导致</w:t>
      </w:r>
      <w:r>
        <w:rPr>
          <w:rFonts w:hint="eastAsia" w:ascii="宋体" w:hAnsi="宋体" w:cs="宋体"/>
          <w:color w:val="auto"/>
          <w:szCs w:val="21"/>
          <w:highlight w:val="none"/>
          <w:lang w:eastAsia="zh-CN"/>
        </w:rPr>
        <w:t>响应文件</w:t>
      </w:r>
      <w:r>
        <w:rPr>
          <w:rFonts w:hint="eastAsia" w:ascii="宋体" w:hAnsi="宋体" w:cs="宋体"/>
          <w:color w:val="auto"/>
          <w:szCs w:val="21"/>
          <w:highlight w:val="none"/>
        </w:rPr>
        <w:t>无法按时解密等一切后果由供应商自己承担。</w:t>
      </w:r>
    </w:p>
    <w:p w14:paraId="15938BA1">
      <w:pPr>
        <w:pStyle w:val="14"/>
        <w:spacing w:line="440" w:lineRule="exact"/>
        <w:ind w:left="0" w:firstLine="422" w:firstLineChars="200"/>
        <w:textAlignment w:val="baseline"/>
        <w:rPr>
          <w:rFonts w:hint="eastAsia" w:ascii="宋体" w:hAnsi="宋体" w:eastAsia="宋体" w:cs="宋体"/>
          <w:b/>
          <w:color w:val="auto"/>
          <w:sz w:val="21"/>
          <w:szCs w:val="21"/>
          <w:highlight w:val="none"/>
          <w:lang w:eastAsia="zh-CN"/>
        </w:rPr>
      </w:pPr>
      <w:r>
        <w:rPr>
          <w:rFonts w:hint="eastAsia" w:ascii="宋体" w:hAnsi="宋体" w:eastAsia="宋体" w:cs="宋体"/>
          <w:b/>
          <w:color w:val="auto"/>
          <w:sz w:val="21"/>
          <w:szCs w:val="21"/>
          <w:highlight w:val="none"/>
        </w:rPr>
        <w:t>2</w:t>
      </w:r>
      <w:r>
        <w:rPr>
          <w:rFonts w:hint="eastAsia" w:ascii="宋体" w:hAnsi="宋体" w:eastAsia="宋体" w:cs="宋体"/>
          <w:b/>
          <w:color w:val="auto"/>
          <w:sz w:val="21"/>
          <w:szCs w:val="21"/>
          <w:highlight w:val="none"/>
          <w:lang w:val="en-US" w:eastAsia="zh-CN"/>
        </w:rPr>
        <w:t>.</w:t>
      </w:r>
      <w:r>
        <w:rPr>
          <w:rFonts w:hint="eastAsia" w:ascii="宋体" w:hAnsi="宋体" w:eastAsia="宋体" w:cs="宋体"/>
          <w:b/>
          <w:color w:val="auto"/>
          <w:sz w:val="21"/>
          <w:szCs w:val="21"/>
          <w:highlight w:val="none"/>
        </w:rPr>
        <w:t>开标程序</w:t>
      </w:r>
    </w:p>
    <w:p w14:paraId="4D67F57B">
      <w:pPr>
        <w:pStyle w:val="14"/>
        <w:spacing w:line="440" w:lineRule="exact"/>
        <w:ind w:left="42" w:leftChars="20" w:firstLine="420" w:firstLineChars="200"/>
        <w:textAlignment w:val="baseline"/>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2.1主持人宣布投标截止时间，投标截止时间以北京时间为准。</w:t>
      </w:r>
    </w:p>
    <w:p w14:paraId="1CD86A4B">
      <w:pPr>
        <w:pStyle w:val="18"/>
        <w:snapToGrid w:val="0"/>
        <w:spacing w:line="440" w:lineRule="exact"/>
        <w:ind w:firstLine="422" w:firstLineChars="200"/>
        <w:textAlignment w:val="baseline"/>
        <w:rPr>
          <w:rFonts w:hAnsi="宋体" w:cs="宋体"/>
          <w:b/>
          <w:bCs/>
          <w:color w:val="auto"/>
          <w:highlight w:val="none"/>
        </w:rPr>
      </w:pPr>
      <w:r>
        <w:rPr>
          <w:rFonts w:hint="eastAsia" w:hAnsi="宋体" w:cs="宋体"/>
          <w:b/>
          <w:bCs/>
          <w:color w:val="auto"/>
          <w:highlight w:val="none"/>
        </w:rPr>
        <w:t>2.2 电子投标开标及评审程序</w:t>
      </w:r>
    </w:p>
    <w:p w14:paraId="0CD18916">
      <w:pPr>
        <w:snapToGrid w:val="0"/>
        <w:spacing w:line="440" w:lineRule="exact"/>
        <w:ind w:firstLine="420" w:firstLineChars="200"/>
        <w:textAlignment w:val="baseline"/>
        <w:rPr>
          <w:rFonts w:hint="eastAsia" w:ascii="宋体" w:hAnsi="宋体" w:eastAsia="宋体" w:cs="宋体"/>
          <w:color w:val="auto"/>
          <w:szCs w:val="21"/>
          <w:highlight w:val="none"/>
        </w:rPr>
      </w:pPr>
      <w:bookmarkStart w:id="58" w:name="_Toc14145"/>
      <w:r>
        <w:rPr>
          <w:rFonts w:hint="eastAsia" w:ascii="宋体" w:hAnsi="宋体" w:eastAsia="宋体" w:cs="宋体"/>
          <w:color w:val="auto"/>
          <w:szCs w:val="21"/>
          <w:highlight w:val="none"/>
        </w:rPr>
        <w:t>1.采购代理机构通过政采云平台向各供应商发出电子加密响应文件【开始解密】通知，由供应商在30分钟内完成响应文件解密。在规定的时间内无法完成“电子加密响应文件”解密的，如已按规定递交了备份响应文件的，将由采购组织机构按“政府采购云平台”操作规范将备份响应文件上传至“政府采购云平台”，上传成功后，“电子加密响应文件”自动失效。</w:t>
      </w:r>
    </w:p>
    <w:p w14:paraId="513B6C70">
      <w:pPr>
        <w:snapToGrid w:val="0"/>
        <w:spacing w:line="440" w:lineRule="exact"/>
        <w:ind w:firstLine="420" w:firstLineChars="200"/>
        <w:textAlignment w:val="baseline"/>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2.响应文件解密结束，组织供应商签署《政府采购活动现场确认声明书》（格式见第六章附件），声明书扫描件以邮件的形式发送至代理邮箱</w:t>
      </w:r>
      <w:r>
        <w:rPr>
          <w:rFonts w:hint="eastAsia" w:ascii="宋体" w:hAnsi="宋体" w:eastAsia="宋体" w:cs="宋体"/>
          <w:color w:val="auto"/>
          <w:szCs w:val="21"/>
          <w:highlight w:val="none"/>
          <w:lang w:eastAsia="zh-CN"/>
        </w:rPr>
        <w:t>。</w:t>
      </w:r>
    </w:p>
    <w:p w14:paraId="5BD5B3D9">
      <w:pPr>
        <w:snapToGrid w:val="0"/>
        <w:spacing w:line="440" w:lineRule="exact"/>
        <w:ind w:firstLine="420" w:firstLineChars="20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3.评审小组对各供应商的</w:t>
      </w:r>
      <w:r>
        <w:rPr>
          <w:rFonts w:hint="eastAsia" w:ascii="宋体" w:hAnsi="宋体" w:cs="宋体"/>
          <w:color w:val="auto"/>
          <w:szCs w:val="21"/>
          <w:highlight w:val="none"/>
          <w:lang w:eastAsia="zh-CN"/>
        </w:rPr>
        <w:t>资格审查文件</w:t>
      </w:r>
      <w:r>
        <w:rPr>
          <w:rFonts w:hint="eastAsia" w:ascii="宋体" w:hAnsi="宋体" w:eastAsia="宋体" w:cs="宋体"/>
          <w:color w:val="auto"/>
          <w:szCs w:val="21"/>
          <w:highlight w:val="none"/>
        </w:rPr>
        <w:t>进行评审，资格审查结果在政采云系统上公布。若资格审查不合格的，将告知原因并由供应商通过政采云系统签章确认。资格审查不合格的供应商，其商务技术文件及报价文件不进入评审阶段。</w:t>
      </w:r>
    </w:p>
    <w:p w14:paraId="3D75B495">
      <w:pPr>
        <w:snapToGrid w:val="0"/>
        <w:spacing w:line="440" w:lineRule="exact"/>
        <w:ind w:firstLine="420" w:firstLineChars="20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4.评审小组对各供应商的商务技术文件、报价文件进行评审，评审内容包括符合性审查，技术、商务评估及比较等。商务技术文件或报价文件符合性审查不通过的，将告知原因并由供应商通过政采云系统签章确认。</w:t>
      </w:r>
    </w:p>
    <w:p w14:paraId="3D378B41">
      <w:pPr>
        <w:snapToGrid w:val="0"/>
        <w:spacing w:line="440" w:lineRule="exact"/>
        <w:ind w:firstLine="420" w:firstLineChars="20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5.评审小组与各供应商就项目需求、技术人员安排、价格构成等要素分别进行一对一的磋商（采用在线询标方式），磋商轮次由评审小组视情况决定。磋商过程中，评审小组可以根据磋商情况实质性变动采购需求中的技术、商务条款以及合同条款，但不得变动磋商文件中的其他内容。实质性变动的内容，须经采购人代表确认。</w:t>
      </w:r>
    </w:p>
    <w:p w14:paraId="7D6AC185">
      <w:pPr>
        <w:snapToGrid w:val="0"/>
        <w:spacing w:line="440" w:lineRule="exact"/>
        <w:ind w:firstLine="420" w:firstLineChars="20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6.对磋商文件作出的实质性变动（如有）是磋商文件的有效组成部分，评审小组将以书面形式同时通知所有参加磋商的供应商。供应商应当按照磋商文件的变动情况和评审小组的要求重新提交响应文件，并由其法定代表人或授权代表签字或者加盖公章。由授权代表签字的，应当附法定代表人授权书。供应商为自然人的，应当由本人签字并附身份证明。</w:t>
      </w:r>
    </w:p>
    <w:p w14:paraId="11072C5C">
      <w:pPr>
        <w:snapToGrid w:val="0"/>
        <w:spacing w:line="440" w:lineRule="exact"/>
        <w:ind w:firstLine="420" w:firstLineChars="20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7.磋商结束后，评审小组对各供应商资信及商务、技术情况进行评分</w:t>
      </w:r>
      <w:r>
        <w:rPr>
          <w:rFonts w:hint="eastAsia" w:ascii="宋体" w:hAnsi="宋体" w:eastAsia="宋体" w:cs="宋体"/>
          <w:color w:val="auto"/>
          <w:szCs w:val="21"/>
          <w:highlight w:val="none"/>
          <w:lang w:eastAsia="zh-CN"/>
        </w:rPr>
        <w:t>。同时</w:t>
      </w:r>
      <w:r>
        <w:rPr>
          <w:rFonts w:hint="eastAsia" w:ascii="宋体" w:hAnsi="宋体" w:eastAsia="宋体" w:cs="宋体"/>
          <w:color w:val="auto"/>
          <w:szCs w:val="21"/>
          <w:highlight w:val="none"/>
        </w:rPr>
        <w:t>系统开启最后报价</w:t>
      </w:r>
      <w:r>
        <w:rPr>
          <w:rFonts w:hint="eastAsia" w:ascii="宋体" w:hAnsi="宋体" w:eastAsia="宋体" w:cs="宋体"/>
          <w:color w:val="auto"/>
          <w:szCs w:val="21"/>
          <w:highlight w:val="none"/>
          <w:lang w:eastAsia="zh-CN"/>
        </w:rPr>
        <w:t>填报</w:t>
      </w:r>
      <w:r>
        <w:rPr>
          <w:rFonts w:hint="eastAsia" w:ascii="宋体" w:hAnsi="宋体" w:eastAsia="宋体" w:cs="宋体"/>
          <w:color w:val="auto"/>
          <w:szCs w:val="21"/>
          <w:highlight w:val="none"/>
        </w:rPr>
        <w:t>，各供应商在规定的时间内提交最后报价。规定时间内</w:t>
      </w:r>
      <w:r>
        <w:rPr>
          <w:rFonts w:hint="eastAsia" w:ascii="宋体" w:hAnsi="宋体" w:eastAsia="宋体" w:cs="宋体"/>
          <w:color w:val="auto"/>
          <w:szCs w:val="21"/>
          <w:highlight w:val="none"/>
          <w:lang w:eastAsia="zh-CN"/>
        </w:rPr>
        <w:t>未</w:t>
      </w:r>
      <w:r>
        <w:rPr>
          <w:rFonts w:hint="eastAsia" w:ascii="宋体" w:hAnsi="宋体" w:eastAsia="宋体" w:cs="宋体"/>
          <w:color w:val="auto"/>
          <w:szCs w:val="21"/>
          <w:highlight w:val="none"/>
        </w:rPr>
        <w:t>提交最后报价的供应商，视为自动放弃报价资格。</w:t>
      </w:r>
    </w:p>
    <w:p w14:paraId="54E38F6E">
      <w:pPr>
        <w:snapToGrid w:val="0"/>
        <w:spacing w:line="440" w:lineRule="exact"/>
        <w:ind w:firstLine="420" w:firstLineChars="20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8.</w:t>
      </w:r>
      <w:r>
        <w:rPr>
          <w:rFonts w:hint="eastAsia" w:ascii="宋体" w:hAnsi="宋体" w:eastAsia="宋体" w:cs="宋体"/>
          <w:color w:val="auto"/>
          <w:szCs w:val="21"/>
          <w:highlight w:val="none"/>
          <w:lang w:eastAsia="zh-CN"/>
        </w:rPr>
        <w:t>系统</w:t>
      </w:r>
      <w:r>
        <w:rPr>
          <w:rFonts w:hint="eastAsia" w:ascii="宋体" w:hAnsi="宋体" w:eastAsia="宋体" w:cs="宋体"/>
          <w:color w:val="auto"/>
          <w:szCs w:val="21"/>
          <w:highlight w:val="none"/>
        </w:rPr>
        <w:t>公布各供应商资信及商务技术评审结果，供应商如对资信、商务、技术评分结果有异议的，应当场提出</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相关异议（如有）将由评审小组作出澄清；</w:t>
      </w:r>
    </w:p>
    <w:p w14:paraId="05842B0E">
      <w:pPr>
        <w:snapToGrid w:val="0"/>
        <w:spacing w:line="440" w:lineRule="exact"/>
        <w:ind w:firstLine="420" w:firstLineChars="20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9</w:t>
      </w:r>
      <w:r>
        <w:rPr>
          <w:rFonts w:hint="eastAsia" w:ascii="宋体" w:hAnsi="宋体" w:eastAsia="宋体" w:cs="宋体"/>
          <w:color w:val="auto"/>
          <w:szCs w:val="21"/>
          <w:highlight w:val="none"/>
        </w:rPr>
        <w:t>.采购组织机构协助完成</w:t>
      </w:r>
      <w:r>
        <w:rPr>
          <w:rFonts w:hint="eastAsia" w:ascii="宋体" w:hAnsi="宋体" w:eastAsia="宋体" w:cs="宋体"/>
          <w:color w:val="auto"/>
          <w:szCs w:val="21"/>
          <w:highlight w:val="none"/>
          <w:lang w:eastAsia="zh-CN"/>
        </w:rPr>
        <w:t>最后</w:t>
      </w:r>
      <w:r>
        <w:rPr>
          <w:rFonts w:hint="eastAsia" w:ascii="宋体" w:hAnsi="宋体" w:eastAsia="宋体" w:cs="宋体"/>
          <w:color w:val="auto"/>
          <w:szCs w:val="21"/>
          <w:highlight w:val="none"/>
        </w:rPr>
        <w:t>报价评分及综合得分计算（报评审小组确认），评审小组编写、签署评审报告，并按综合得分排名由高到低推荐成交候选人；</w:t>
      </w:r>
    </w:p>
    <w:p w14:paraId="677550A0">
      <w:pPr>
        <w:snapToGrid w:val="0"/>
        <w:spacing w:line="440" w:lineRule="exact"/>
        <w:ind w:firstLine="420" w:firstLineChars="20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val="en-US" w:eastAsia="zh-CN"/>
        </w:rPr>
        <w:t>0</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eastAsia="zh-CN"/>
        </w:rPr>
        <w:t>系统</w:t>
      </w:r>
      <w:r>
        <w:rPr>
          <w:rFonts w:hint="eastAsia" w:ascii="宋体" w:hAnsi="宋体" w:eastAsia="宋体" w:cs="宋体"/>
          <w:color w:val="auto"/>
          <w:szCs w:val="21"/>
          <w:highlight w:val="none"/>
        </w:rPr>
        <w:t>公布最终评审结果</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会议结束。</w:t>
      </w:r>
    </w:p>
    <w:p w14:paraId="22670278">
      <w:pPr>
        <w:pStyle w:val="14"/>
        <w:spacing w:line="500" w:lineRule="exact"/>
        <w:ind w:left="0" w:firstLine="422" w:firstLineChars="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特别说明：如“政采云”系统对电子化开标及评审程序有调整的，按调整后的程序操作。</w:t>
      </w:r>
    </w:p>
    <w:p w14:paraId="7A78A6C8">
      <w:pPr>
        <w:pStyle w:val="14"/>
        <w:spacing w:line="500" w:lineRule="exact"/>
        <w:ind w:left="0" w:firstLine="422" w:firstLineChars="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注：本项目采用政采云电子招投标开标及评审程序，采购过程中出现以下情形，导致电子交易平台无法正常运行，或者无法保证电子交易的公平、公正和安全时，采购代理机构可中止电子交易活动：</w:t>
      </w:r>
    </w:p>
    <w:p w14:paraId="7A9F1101">
      <w:pPr>
        <w:pStyle w:val="14"/>
        <w:spacing w:line="500" w:lineRule="exact"/>
        <w:ind w:left="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（一）电子交易平台发生故障而无法登录访问的； </w:t>
      </w:r>
    </w:p>
    <w:p w14:paraId="1991D936">
      <w:pPr>
        <w:pStyle w:val="14"/>
        <w:spacing w:line="500" w:lineRule="exact"/>
        <w:ind w:left="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（二）电子交易平台应用或数据库出现错误，不能进行正常操作的；</w:t>
      </w:r>
    </w:p>
    <w:p w14:paraId="5B932FEC">
      <w:pPr>
        <w:pStyle w:val="14"/>
        <w:spacing w:line="500" w:lineRule="exact"/>
        <w:ind w:left="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（三）电子交易平台发现严重安全漏洞，有潜在泄密危险的；</w:t>
      </w:r>
    </w:p>
    <w:p w14:paraId="7C535E8D">
      <w:pPr>
        <w:pStyle w:val="14"/>
        <w:spacing w:line="500" w:lineRule="exact"/>
        <w:ind w:left="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（四）病毒发作导致不能进行正常操作的；</w:t>
      </w:r>
    </w:p>
    <w:p w14:paraId="5B9A1A13">
      <w:pPr>
        <w:pStyle w:val="14"/>
        <w:spacing w:line="500" w:lineRule="exact"/>
        <w:ind w:left="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（五）其他无法保证电子交易的公平、公正和安全的情况。</w:t>
      </w:r>
    </w:p>
    <w:p w14:paraId="1096CD3D">
      <w:pPr>
        <w:pStyle w:val="14"/>
        <w:spacing w:line="500" w:lineRule="exact"/>
        <w:ind w:left="0" w:firstLine="422" w:firstLineChars="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出现前款规定情形，不影响采购公平、公正性的，采购代理机构可以待上述情形消除后继续组织电子交易活动。</w:t>
      </w:r>
    </w:p>
    <w:p w14:paraId="6B6A05B4">
      <w:pPr>
        <w:pStyle w:val="4"/>
        <w:keepLines/>
        <w:widowControl w:val="0"/>
        <w:numPr>
          <w:ilvl w:val="2"/>
          <w:numId w:val="0"/>
        </w:numPr>
        <w:spacing w:before="156" w:after="156"/>
        <w:jc w:val="center"/>
        <w:textAlignment w:val="baseline"/>
        <w:rPr>
          <w:rFonts w:ascii="宋体" w:hAnsi="宋体" w:cs="宋体"/>
          <w:b/>
          <w:bCs/>
          <w:color w:val="auto"/>
          <w:kern w:val="2"/>
          <w:sz w:val="32"/>
          <w:szCs w:val="32"/>
          <w:highlight w:val="none"/>
        </w:rPr>
      </w:pPr>
      <w:r>
        <w:rPr>
          <w:rFonts w:hint="eastAsia" w:ascii="宋体" w:hAnsi="宋体" w:cs="宋体"/>
          <w:b/>
          <w:bCs/>
          <w:color w:val="auto"/>
          <w:kern w:val="2"/>
          <w:sz w:val="32"/>
          <w:szCs w:val="32"/>
          <w:highlight w:val="none"/>
        </w:rPr>
        <w:t>六、评标</w:t>
      </w:r>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8"/>
    </w:p>
    <w:p w14:paraId="74112800">
      <w:pPr>
        <w:pStyle w:val="18"/>
        <w:snapToGrid w:val="0"/>
        <w:spacing w:line="440" w:lineRule="exact"/>
        <w:ind w:firstLine="422" w:firstLineChars="200"/>
        <w:textAlignment w:val="baseline"/>
        <w:rPr>
          <w:rFonts w:hAnsi="宋体" w:cs="宋体"/>
          <w:b/>
          <w:color w:val="auto"/>
          <w:highlight w:val="none"/>
        </w:rPr>
      </w:pPr>
      <w:r>
        <w:rPr>
          <w:rFonts w:hint="eastAsia" w:hAnsi="宋体" w:cs="宋体"/>
          <w:b/>
          <w:color w:val="auto"/>
          <w:highlight w:val="none"/>
        </w:rPr>
        <w:t>1</w:t>
      </w:r>
      <w:r>
        <w:rPr>
          <w:rFonts w:hint="eastAsia" w:hAnsi="宋体" w:cs="宋体"/>
          <w:b/>
          <w:color w:val="auto"/>
          <w:highlight w:val="none"/>
          <w:lang w:val="en-US" w:eastAsia="zh-CN"/>
        </w:rPr>
        <w:t>.</w:t>
      </w:r>
      <w:r>
        <w:rPr>
          <w:rFonts w:hint="eastAsia" w:hAnsi="宋体" w:cs="宋体"/>
          <w:b/>
          <w:color w:val="auto"/>
          <w:highlight w:val="none"/>
        </w:rPr>
        <w:t>组建磋商小组</w:t>
      </w:r>
    </w:p>
    <w:p w14:paraId="5D4CB066">
      <w:pPr>
        <w:pStyle w:val="18"/>
        <w:snapToGrid w:val="0"/>
        <w:spacing w:line="440" w:lineRule="exact"/>
        <w:ind w:firstLine="420" w:firstLineChars="200"/>
        <w:textAlignment w:val="baseline"/>
        <w:rPr>
          <w:rFonts w:hint="eastAsia" w:ascii="宋体" w:hAnsi="宋体" w:cs="宋体"/>
          <w:bCs/>
          <w:color w:val="auto"/>
          <w:kern w:val="0"/>
          <w:szCs w:val="21"/>
          <w:highlight w:val="none"/>
        </w:rPr>
      </w:pPr>
      <w:r>
        <w:rPr>
          <w:rFonts w:hint="eastAsia" w:ascii="宋体" w:hAnsi="宋体" w:cs="宋体"/>
          <w:color w:val="auto"/>
          <w:highlight w:val="none"/>
        </w:rPr>
        <w:t>采购人依法组建磋商小组，共3人组成，</w:t>
      </w:r>
      <w:r>
        <w:rPr>
          <w:rFonts w:hint="eastAsia" w:ascii="宋体" w:hAnsi="宋体" w:cs="宋体"/>
          <w:bCs/>
          <w:color w:val="auto"/>
          <w:kern w:val="0"/>
          <w:szCs w:val="21"/>
          <w:highlight w:val="none"/>
        </w:rPr>
        <w:t>由</w:t>
      </w:r>
      <w:r>
        <w:rPr>
          <w:rFonts w:hint="eastAsia" w:ascii="宋体" w:hAnsi="宋体" w:cs="宋体"/>
          <w:bCs/>
          <w:color w:val="auto"/>
          <w:kern w:val="0"/>
          <w:szCs w:val="21"/>
          <w:highlight w:val="none"/>
          <w:lang w:val="en-US" w:eastAsia="zh-CN"/>
        </w:rPr>
        <w:t>2</w:t>
      </w:r>
      <w:r>
        <w:rPr>
          <w:rFonts w:hint="eastAsia" w:ascii="宋体" w:hAnsi="宋体" w:cs="宋体"/>
          <w:bCs/>
          <w:color w:val="auto"/>
          <w:kern w:val="0"/>
          <w:szCs w:val="21"/>
          <w:highlight w:val="none"/>
        </w:rPr>
        <w:t>名有关经济、技术专家</w:t>
      </w:r>
      <w:r>
        <w:rPr>
          <w:rFonts w:hint="eastAsia" w:ascii="宋体" w:hAnsi="宋体" w:cs="宋体"/>
          <w:bCs/>
          <w:color w:val="auto"/>
          <w:kern w:val="0"/>
          <w:szCs w:val="21"/>
          <w:highlight w:val="none"/>
          <w:lang w:val="en-US" w:eastAsia="zh-CN"/>
        </w:rPr>
        <w:t>和采购人代表1人</w:t>
      </w:r>
      <w:r>
        <w:rPr>
          <w:rFonts w:hint="eastAsia" w:ascii="宋体" w:hAnsi="宋体" w:cs="宋体"/>
          <w:bCs/>
          <w:color w:val="auto"/>
          <w:kern w:val="0"/>
          <w:szCs w:val="21"/>
          <w:highlight w:val="none"/>
        </w:rPr>
        <w:t>组成。</w:t>
      </w:r>
    </w:p>
    <w:p w14:paraId="7C0A10A1">
      <w:pPr>
        <w:pStyle w:val="18"/>
        <w:snapToGrid w:val="0"/>
        <w:spacing w:line="440" w:lineRule="exact"/>
        <w:ind w:firstLine="422" w:firstLineChars="200"/>
        <w:textAlignment w:val="baseline"/>
        <w:rPr>
          <w:rFonts w:hAnsi="宋体" w:cs="宋体"/>
          <w:b/>
          <w:color w:val="auto"/>
          <w:highlight w:val="none"/>
        </w:rPr>
      </w:pPr>
      <w:r>
        <w:rPr>
          <w:rFonts w:hint="eastAsia" w:hAnsi="宋体" w:cs="宋体"/>
          <w:b/>
          <w:color w:val="auto"/>
          <w:highlight w:val="none"/>
        </w:rPr>
        <w:t>2</w:t>
      </w:r>
      <w:r>
        <w:rPr>
          <w:rFonts w:hint="eastAsia" w:hAnsi="宋体" w:cs="宋体"/>
          <w:b/>
          <w:color w:val="auto"/>
          <w:highlight w:val="none"/>
          <w:lang w:val="en-US" w:eastAsia="zh-CN"/>
        </w:rPr>
        <w:t>.</w:t>
      </w:r>
      <w:r>
        <w:rPr>
          <w:rFonts w:hint="eastAsia" w:hAnsi="宋体" w:cs="宋体"/>
          <w:b/>
          <w:color w:val="auto"/>
          <w:highlight w:val="none"/>
        </w:rPr>
        <w:t>评标的方式</w:t>
      </w:r>
    </w:p>
    <w:p w14:paraId="4259732E">
      <w:pPr>
        <w:pStyle w:val="18"/>
        <w:snapToGrid w:val="0"/>
        <w:spacing w:line="440" w:lineRule="exact"/>
        <w:ind w:left="689" w:leftChars="228" w:hanging="210" w:hangingChars="100"/>
        <w:textAlignment w:val="baseline"/>
        <w:rPr>
          <w:rFonts w:hAnsi="宋体" w:cs="宋体"/>
          <w:color w:val="auto"/>
          <w:highlight w:val="none"/>
        </w:rPr>
      </w:pPr>
      <w:r>
        <w:rPr>
          <w:rFonts w:hint="eastAsia" w:hAnsi="宋体" w:cs="宋体"/>
          <w:color w:val="auto"/>
          <w:highlight w:val="none"/>
        </w:rPr>
        <w:t>本项目采用不公开方式评标，评标的依据为磋商文件和响应文件。</w:t>
      </w:r>
    </w:p>
    <w:p w14:paraId="4444840C">
      <w:pPr>
        <w:pStyle w:val="18"/>
        <w:snapToGrid w:val="0"/>
        <w:spacing w:line="440" w:lineRule="exact"/>
        <w:ind w:firstLine="422" w:firstLineChars="200"/>
        <w:textAlignment w:val="baseline"/>
        <w:rPr>
          <w:rFonts w:hAnsi="宋体" w:cs="宋体"/>
          <w:b/>
          <w:color w:val="auto"/>
          <w:highlight w:val="none"/>
        </w:rPr>
      </w:pPr>
      <w:r>
        <w:rPr>
          <w:rFonts w:hint="eastAsia" w:hAnsi="宋体" w:cs="宋体"/>
          <w:b/>
          <w:bCs/>
          <w:color w:val="auto"/>
          <w:highlight w:val="none"/>
        </w:rPr>
        <w:t>3</w:t>
      </w:r>
      <w:r>
        <w:rPr>
          <w:rFonts w:hint="eastAsia" w:hAnsi="宋体" w:cs="宋体"/>
          <w:b/>
          <w:bCs/>
          <w:color w:val="auto"/>
          <w:highlight w:val="none"/>
          <w:lang w:val="en-US" w:eastAsia="zh-CN"/>
        </w:rPr>
        <w:t>.</w:t>
      </w:r>
      <w:r>
        <w:rPr>
          <w:rFonts w:hint="eastAsia" w:hAnsi="宋体" w:cs="宋体"/>
          <w:b/>
          <w:bCs/>
          <w:color w:val="auto"/>
          <w:highlight w:val="none"/>
        </w:rPr>
        <w:t>评标程序</w:t>
      </w:r>
    </w:p>
    <w:p w14:paraId="04C2AFCE">
      <w:pPr>
        <w:snapToGrid w:val="0"/>
        <w:spacing w:line="440" w:lineRule="exact"/>
        <w:ind w:firstLine="413" w:firstLineChars="196"/>
        <w:textAlignment w:val="baseline"/>
        <w:rPr>
          <w:rFonts w:ascii="宋体" w:hAnsi="宋体" w:cs="宋体"/>
          <w:b/>
          <w:bCs/>
          <w:color w:val="auto"/>
          <w:sz w:val="20"/>
          <w:szCs w:val="21"/>
          <w:highlight w:val="none"/>
        </w:rPr>
      </w:pPr>
      <w:r>
        <w:rPr>
          <w:rFonts w:hint="eastAsia" w:ascii="宋体" w:hAnsi="宋体" w:cs="宋体"/>
          <w:b/>
          <w:bCs/>
          <w:color w:val="auto"/>
          <w:szCs w:val="21"/>
          <w:highlight w:val="none"/>
        </w:rPr>
        <w:t>3.1形式审查</w:t>
      </w:r>
    </w:p>
    <w:p w14:paraId="348E4C60">
      <w:pPr>
        <w:snapToGrid w:val="0"/>
        <w:spacing w:line="440" w:lineRule="exact"/>
        <w:ind w:firstLine="420" w:firstLineChars="200"/>
        <w:textAlignment w:val="baseline"/>
        <w:rPr>
          <w:rFonts w:ascii="宋体" w:hAnsi="宋体" w:cs="宋体"/>
          <w:b/>
          <w:color w:val="auto"/>
          <w:sz w:val="20"/>
          <w:szCs w:val="21"/>
          <w:highlight w:val="none"/>
        </w:rPr>
      </w:pPr>
      <w:r>
        <w:rPr>
          <w:rFonts w:hint="eastAsia" w:ascii="宋体" w:hAnsi="宋体" w:cs="宋体"/>
          <w:color w:val="auto"/>
          <w:szCs w:val="21"/>
          <w:highlight w:val="none"/>
        </w:rPr>
        <w:t>采购人代表和代理机构工作人员协助磋商小组对磋商供应商的响应文件的完整性、合法性等进行审查。</w:t>
      </w:r>
    </w:p>
    <w:p w14:paraId="4D69D37B">
      <w:pPr>
        <w:snapToGrid w:val="0"/>
        <w:spacing w:line="440" w:lineRule="exact"/>
        <w:ind w:firstLine="413" w:firstLineChars="196"/>
        <w:textAlignment w:val="baseline"/>
        <w:rPr>
          <w:rFonts w:ascii="宋体" w:hAnsi="宋体" w:cs="宋体"/>
          <w:b/>
          <w:bCs/>
          <w:color w:val="auto"/>
          <w:sz w:val="20"/>
          <w:szCs w:val="21"/>
          <w:highlight w:val="none"/>
        </w:rPr>
      </w:pPr>
      <w:r>
        <w:rPr>
          <w:rFonts w:hint="eastAsia" w:ascii="宋体" w:hAnsi="宋体" w:cs="宋体"/>
          <w:b/>
          <w:bCs/>
          <w:color w:val="auto"/>
          <w:szCs w:val="21"/>
          <w:highlight w:val="none"/>
        </w:rPr>
        <w:t>3.2实质审查与比较</w:t>
      </w:r>
    </w:p>
    <w:p w14:paraId="422F86D0">
      <w:pPr>
        <w:snapToGrid w:val="0"/>
        <w:spacing w:line="440" w:lineRule="exact"/>
        <w:ind w:firstLine="420" w:firstLineChars="200"/>
        <w:textAlignment w:val="baseline"/>
        <w:rPr>
          <w:rFonts w:ascii="宋体" w:hAnsi="宋体" w:cs="宋体"/>
          <w:color w:val="auto"/>
          <w:sz w:val="20"/>
          <w:szCs w:val="21"/>
          <w:highlight w:val="none"/>
        </w:rPr>
      </w:pPr>
      <w:r>
        <w:rPr>
          <w:rFonts w:hint="eastAsia" w:ascii="宋体" w:hAnsi="宋体" w:cs="宋体"/>
          <w:color w:val="auto"/>
          <w:szCs w:val="21"/>
          <w:highlight w:val="none"/>
        </w:rPr>
        <w:t>（1）磋商小组审查响应文件的实质性内容是否符合磋商文件的实质性要求。</w:t>
      </w:r>
    </w:p>
    <w:p w14:paraId="279F09B1">
      <w:pPr>
        <w:snapToGrid w:val="0"/>
        <w:spacing w:line="440" w:lineRule="exact"/>
        <w:ind w:firstLine="420" w:firstLineChars="200"/>
        <w:textAlignment w:val="baseline"/>
        <w:rPr>
          <w:rFonts w:ascii="宋体" w:hAnsi="宋体" w:cs="宋体"/>
          <w:color w:val="auto"/>
          <w:sz w:val="20"/>
          <w:szCs w:val="21"/>
          <w:highlight w:val="none"/>
        </w:rPr>
      </w:pPr>
      <w:r>
        <w:rPr>
          <w:rFonts w:hint="eastAsia" w:ascii="宋体" w:hAnsi="宋体" w:cs="宋体"/>
          <w:color w:val="auto"/>
          <w:szCs w:val="21"/>
          <w:highlight w:val="none"/>
        </w:rPr>
        <w:t>（2）磋商小组将根据磋商供应商的响应文件进行审查、核对,如有疑问,将对磋商供应商进行询标,磋商供应商要向磋商小组澄清有关问题,并最终以书面形式进行答复。磋商供应商代表未到场或者拒绝澄清或者澄清的内容改变了响应文件的实质性内容的，磋商小组有权对该响应文件作出不利于磋商供应商的评判。</w:t>
      </w:r>
    </w:p>
    <w:p w14:paraId="20A7CC05">
      <w:pPr>
        <w:snapToGrid w:val="0"/>
        <w:spacing w:line="440" w:lineRule="exact"/>
        <w:ind w:firstLine="420" w:firstLineChars="200"/>
        <w:textAlignment w:val="baseline"/>
        <w:rPr>
          <w:rFonts w:ascii="宋体" w:hAnsi="宋体" w:cs="宋体"/>
          <w:color w:val="auto"/>
          <w:sz w:val="20"/>
          <w:szCs w:val="21"/>
          <w:highlight w:val="none"/>
        </w:rPr>
      </w:pPr>
      <w:r>
        <w:rPr>
          <w:rFonts w:hint="eastAsia" w:ascii="宋体" w:hAnsi="宋体" w:cs="宋体"/>
          <w:color w:val="auto"/>
          <w:szCs w:val="21"/>
          <w:highlight w:val="none"/>
        </w:rPr>
        <w:t>（3）各磋商供应商的技术分为所有评委的有效评分的算术平均数，资信分由评委统一打分，由代理机构工作人员进行计算复核。</w:t>
      </w:r>
    </w:p>
    <w:p w14:paraId="2812B272">
      <w:pPr>
        <w:snapToGrid w:val="0"/>
        <w:spacing w:line="440" w:lineRule="exact"/>
        <w:ind w:firstLine="420" w:firstLineChars="200"/>
        <w:textAlignment w:val="baseline"/>
        <w:rPr>
          <w:rFonts w:ascii="宋体" w:hAnsi="宋体" w:cs="宋体"/>
          <w:color w:val="auto"/>
          <w:sz w:val="20"/>
          <w:szCs w:val="21"/>
          <w:highlight w:val="none"/>
        </w:rPr>
      </w:pPr>
      <w:r>
        <w:rPr>
          <w:rFonts w:hint="eastAsia" w:ascii="宋体" w:hAnsi="宋体" w:cs="宋体"/>
          <w:color w:val="auto"/>
          <w:szCs w:val="21"/>
          <w:highlight w:val="none"/>
        </w:rPr>
        <w:t>（4）代理机构工作人员协助磋商小组根据本项目的评分标准计算各磋商供应商的商务报价得分。</w:t>
      </w:r>
    </w:p>
    <w:p w14:paraId="3191F8C7">
      <w:pPr>
        <w:snapToGrid w:val="0"/>
        <w:spacing w:line="440" w:lineRule="exact"/>
        <w:ind w:firstLine="420" w:firstLineChars="200"/>
        <w:textAlignment w:val="baseline"/>
        <w:rPr>
          <w:rFonts w:ascii="宋体" w:hAnsi="宋体" w:cs="宋体"/>
          <w:color w:val="auto"/>
          <w:sz w:val="20"/>
          <w:szCs w:val="21"/>
          <w:highlight w:val="none"/>
        </w:rPr>
      </w:pPr>
      <w:r>
        <w:rPr>
          <w:rFonts w:hint="eastAsia" w:ascii="宋体" w:hAnsi="宋体" w:cs="宋体"/>
          <w:color w:val="auto"/>
          <w:szCs w:val="21"/>
          <w:highlight w:val="none"/>
        </w:rPr>
        <w:t>（5）磋商小组完成评标后,评委对各部分得分汇总,计算出本项目最终得分、性价比、评标价等。磋商小组按评标原则推荐成交候选供应商同时起草评标报告。</w:t>
      </w:r>
    </w:p>
    <w:p w14:paraId="27313126">
      <w:pPr>
        <w:snapToGrid w:val="0"/>
        <w:spacing w:line="440" w:lineRule="exact"/>
        <w:ind w:firstLine="422" w:firstLineChars="200"/>
        <w:textAlignment w:val="baseline"/>
        <w:rPr>
          <w:rFonts w:ascii="宋体" w:hAnsi="宋体" w:cs="宋体"/>
          <w:b/>
          <w:color w:val="auto"/>
          <w:sz w:val="20"/>
          <w:szCs w:val="21"/>
          <w:highlight w:val="none"/>
        </w:rPr>
      </w:pPr>
      <w:r>
        <w:rPr>
          <w:rFonts w:hint="eastAsia" w:ascii="宋体" w:hAnsi="宋体" w:cs="宋体"/>
          <w:b/>
          <w:color w:val="auto"/>
          <w:szCs w:val="21"/>
          <w:highlight w:val="none"/>
        </w:rPr>
        <w:t>4</w:t>
      </w:r>
      <w:r>
        <w:rPr>
          <w:rFonts w:hint="eastAsia" w:ascii="宋体" w:hAnsi="宋体" w:cs="宋体"/>
          <w:b/>
          <w:color w:val="auto"/>
          <w:szCs w:val="21"/>
          <w:highlight w:val="none"/>
          <w:lang w:val="en-US" w:eastAsia="zh-CN"/>
        </w:rPr>
        <w:t>.</w:t>
      </w:r>
      <w:r>
        <w:rPr>
          <w:rFonts w:hint="eastAsia" w:ascii="宋体" w:hAnsi="宋体" w:cs="宋体"/>
          <w:b/>
          <w:color w:val="auto"/>
          <w:szCs w:val="21"/>
          <w:highlight w:val="none"/>
        </w:rPr>
        <w:t>澄清问题的形式</w:t>
      </w:r>
    </w:p>
    <w:p w14:paraId="1278CEB2">
      <w:pPr>
        <w:snapToGrid w:val="0"/>
        <w:spacing w:line="440" w:lineRule="exact"/>
        <w:ind w:firstLine="420" w:firstLineChars="200"/>
        <w:textAlignment w:val="baseline"/>
        <w:rPr>
          <w:rFonts w:ascii="宋体" w:hAnsi="宋体" w:cs="宋体"/>
          <w:color w:val="auto"/>
          <w:sz w:val="20"/>
          <w:szCs w:val="21"/>
          <w:highlight w:val="none"/>
        </w:rPr>
      </w:pPr>
      <w:r>
        <w:rPr>
          <w:rFonts w:hint="eastAsia" w:ascii="宋体" w:hAnsi="宋体" w:cs="宋体"/>
          <w:color w:val="auto"/>
          <w:szCs w:val="21"/>
          <w:highlight w:val="none"/>
        </w:rPr>
        <w:t>对响应文件中含义不明确、同类问题表述不一致或者有明显文字和计算错误的内容，磋商小组可要求磋商供应商作出必要的澄清、说明或者纠正。磋商供应商的澄清、说明或者补正应当采用书面形式，由其授权代表签字或盖章确认，并不得超出响应文件的范围或者改变响应文件的实质性内容。</w:t>
      </w:r>
    </w:p>
    <w:p w14:paraId="0EB2D6C4">
      <w:pPr>
        <w:pStyle w:val="18"/>
        <w:snapToGrid w:val="0"/>
        <w:spacing w:line="440" w:lineRule="exact"/>
        <w:ind w:firstLine="422" w:firstLineChars="200"/>
        <w:textAlignment w:val="baseline"/>
        <w:rPr>
          <w:rFonts w:hAnsi="宋体" w:cs="宋体"/>
          <w:b/>
          <w:color w:val="auto"/>
          <w:highlight w:val="none"/>
        </w:rPr>
      </w:pPr>
      <w:r>
        <w:rPr>
          <w:rFonts w:hint="eastAsia" w:hAnsi="宋体" w:cs="宋体"/>
          <w:b/>
          <w:color w:val="auto"/>
          <w:highlight w:val="none"/>
        </w:rPr>
        <w:t>5</w:t>
      </w:r>
      <w:r>
        <w:rPr>
          <w:rFonts w:hint="eastAsia" w:hAnsi="宋体" w:cs="宋体"/>
          <w:b/>
          <w:color w:val="auto"/>
          <w:highlight w:val="none"/>
          <w:lang w:val="en-US" w:eastAsia="zh-CN"/>
        </w:rPr>
        <w:t>.</w:t>
      </w:r>
      <w:r>
        <w:rPr>
          <w:rFonts w:hint="eastAsia" w:hAnsi="宋体" w:cs="宋体"/>
          <w:b/>
          <w:color w:val="auto"/>
          <w:highlight w:val="none"/>
        </w:rPr>
        <w:t>错误修正</w:t>
      </w:r>
    </w:p>
    <w:p w14:paraId="317F6AF0">
      <w:pPr>
        <w:pStyle w:val="18"/>
        <w:snapToGrid w:val="0"/>
        <w:spacing w:line="440" w:lineRule="exact"/>
        <w:ind w:left="689" w:leftChars="228" w:hanging="210" w:hangingChars="100"/>
        <w:textAlignment w:val="baseline"/>
        <w:rPr>
          <w:rFonts w:hAnsi="宋体" w:cs="宋体"/>
          <w:color w:val="auto"/>
          <w:highlight w:val="none"/>
        </w:rPr>
      </w:pPr>
      <w:r>
        <w:rPr>
          <w:rFonts w:hint="eastAsia" w:hAnsi="宋体" w:cs="宋体"/>
          <w:color w:val="auto"/>
          <w:highlight w:val="none"/>
        </w:rPr>
        <w:t>响应文件如果出现计算或表达上的错误，修正错误的原则如下：</w:t>
      </w:r>
    </w:p>
    <w:p w14:paraId="45E0AF3A">
      <w:pPr>
        <w:pStyle w:val="18"/>
        <w:snapToGrid w:val="0"/>
        <w:spacing w:line="440" w:lineRule="exact"/>
        <w:ind w:firstLine="420" w:firstLineChars="200"/>
        <w:textAlignment w:val="baseline"/>
        <w:rPr>
          <w:rFonts w:hAnsi="宋体" w:cs="宋体"/>
          <w:color w:val="auto"/>
          <w:highlight w:val="none"/>
        </w:rPr>
      </w:pPr>
      <w:r>
        <w:rPr>
          <w:rFonts w:hint="eastAsia" w:hAnsi="宋体" w:cs="宋体"/>
          <w:color w:val="auto"/>
          <w:highlight w:val="none"/>
        </w:rPr>
        <w:t>（一）响应文件中开标一览表内容与响应文件中相应内容不一致的，以开标一览表为准；</w:t>
      </w:r>
    </w:p>
    <w:p w14:paraId="437275A5">
      <w:pPr>
        <w:pStyle w:val="18"/>
        <w:snapToGrid w:val="0"/>
        <w:spacing w:line="440" w:lineRule="exact"/>
        <w:ind w:firstLine="420" w:firstLineChars="200"/>
        <w:textAlignment w:val="baseline"/>
        <w:rPr>
          <w:rFonts w:hAnsi="宋体" w:cs="宋体"/>
          <w:color w:val="auto"/>
          <w:highlight w:val="none"/>
        </w:rPr>
      </w:pPr>
      <w:r>
        <w:rPr>
          <w:rFonts w:hint="eastAsia" w:hAnsi="宋体" w:cs="宋体"/>
          <w:color w:val="auto"/>
          <w:highlight w:val="none"/>
        </w:rPr>
        <w:t>（二）大写金额和小写金额不一致的，以大写金额为准；</w:t>
      </w:r>
    </w:p>
    <w:p w14:paraId="7B9A62FD">
      <w:pPr>
        <w:pStyle w:val="18"/>
        <w:snapToGrid w:val="0"/>
        <w:spacing w:line="440" w:lineRule="exact"/>
        <w:ind w:firstLine="420" w:firstLineChars="200"/>
        <w:textAlignment w:val="baseline"/>
        <w:rPr>
          <w:rFonts w:hAnsi="宋体" w:cs="宋体"/>
          <w:color w:val="auto"/>
          <w:highlight w:val="none"/>
        </w:rPr>
      </w:pPr>
      <w:r>
        <w:rPr>
          <w:rFonts w:hint="eastAsia" w:hAnsi="宋体" w:cs="宋体"/>
          <w:color w:val="auto"/>
          <w:highlight w:val="none"/>
        </w:rPr>
        <w:t>（三）单价金额小数点或者百分比有明显错位的，以开标一览表的总价为准，并修改单价；</w:t>
      </w:r>
    </w:p>
    <w:p w14:paraId="013EB96D">
      <w:pPr>
        <w:pStyle w:val="18"/>
        <w:snapToGrid w:val="0"/>
        <w:spacing w:line="440" w:lineRule="exact"/>
        <w:ind w:firstLine="420" w:firstLineChars="200"/>
        <w:textAlignment w:val="baseline"/>
        <w:rPr>
          <w:rFonts w:hAnsi="宋体" w:cs="宋体"/>
          <w:color w:val="auto"/>
          <w:highlight w:val="none"/>
        </w:rPr>
      </w:pPr>
      <w:r>
        <w:rPr>
          <w:rFonts w:hint="eastAsia" w:hAnsi="宋体" w:cs="宋体"/>
          <w:color w:val="auto"/>
          <w:highlight w:val="none"/>
        </w:rPr>
        <w:t>（四）总价金额与按单价汇总金额不一致的，以单价金额计算结果为准。</w:t>
      </w:r>
    </w:p>
    <w:p w14:paraId="1AD5FC58">
      <w:pPr>
        <w:pStyle w:val="18"/>
        <w:snapToGrid w:val="0"/>
        <w:spacing w:line="440" w:lineRule="exact"/>
        <w:ind w:firstLine="422" w:firstLineChars="200"/>
        <w:textAlignment w:val="baseline"/>
        <w:rPr>
          <w:rFonts w:hAnsi="宋体" w:cs="宋体"/>
          <w:b/>
          <w:bCs/>
          <w:color w:val="auto"/>
          <w:highlight w:val="none"/>
        </w:rPr>
      </w:pPr>
      <w:r>
        <w:rPr>
          <w:rFonts w:hint="eastAsia" w:hAnsi="宋体" w:cs="宋体"/>
          <w:b/>
          <w:bCs/>
          <w:color w:val="auto"/>
          <w:highlight w:val="none"/>
        </w:rPr>
        <w:t>同时出现两种以上不一致的，按照前款规定的顺序修正。按上述修正错误的原则及方法调整或修正响应文件的投标报价，磋商供应商同意并签字确认后，调整后的投标报价对磋商供应商具有约束作用。如果磋商供应商不接受修正后的报价，则其投标将作为无效投标处理。</w:t>
      </w:r>
    </w:p>
    <w:p w14:paraId="302118CD">
      <w:pPr>
        <w:pStyle w:val="18"/>
        <w:tabs>
          <w:tab w:val="left" w:pos="630"/>
        </w:tabs>
        <w:snapToGrid w:val="0"/>
        <w:spacing w:line="440" w:lineRule="exact"/>
        <w:ind w:firstLine="422" w:firstLineChars="200"/>
        <w:textAlignment w:val="baseline"/>
        <w:rPr>
          <w:rFonts w:hAnsi="宋体" w:cs="宋体"/>
          <w:b/>
          <w:color w:val="auto"/>
          <w:highlight w:val="none"/>
        </w:rPr>
      </w:pPr>
      <w:r>
        <w:rPr>
          <w:rFonts w:hint="eastAsia" w:hAnsi="宋体" w:cs="宋体"/>
          <w:b/>
          <w:color w:val="auto"/>
          <w:highlight w:val="none"/>
        </w:rPr>
        <w:t>6</w:t>
      </w:r>
      <w:r>
        <w:rPr>
          <w:rFonts w:hint="eastAsia" w:hAnsi="宋体" w:cs="宋体"/>
          <w:b/>
          <w:color w:val="auto"/>
          <w:highlight w:val="none"/>
          <w:lang w:val="en-US" w:eastAsia="zh-CN"/>
        </w:rPr>
        <w:t>.</w:t>
      </w:r>
      <w:r>
        <w:rPr>
          <w:rFonts w:hint="eastAsia" w:hAnsi="宋体" w:cs="宋体"/>
          <w:b/>
          <w:color w:val="auto"/>
          <w:highlight w:val="none"/>
        </w:rPr>
        <w:t>评标原则和评标办法</w:t>
      </w:r>
    </w:p>
    <w:p w14:paraId="7C2637A3">
      <w:pPr>
        <w:pStyle w:val="18"/>
        <w:snapToGrid w:val="0"/>
        <w:spacing w:line="440" w:lineRule="exact"/>
        <w:ind w:firstLine="420" w:firstLineChars="200"/>
        <w:textAlignment w:val="baseline"/>
        <w:rPr>
          <w:rFonts w:hAnsi="宋体" w:cs="宋体"/>
          <w:color w:val="auto"/>
          <w:highlight w:val="none"/>
        </w:rPr>
      </w:pPr>
      <w:r>
        <w:rPr>
          <w:rFonts w:hint="eastAsia" w:hAnsi="宋体" w:cs="宋体"/>
          <w:color w:val="auto"/>
          <w:highlight w:val="none"/>
        </w:rPr>
        <w:t>6.1评标原则。磋商小组必须公平、公正、客观，不带任何倾向性和启发性；不得向外界透露任何与评标有关的内容；任何单位和个人不得干扰、影响评标的正常进行；磋商小组及有关工作人员不得私下与磋商供应商接触。</w:t>
      </w:r>
    </w:p>
    <w:p w14:paraId="3644F6FD">
      <w:pPr>
        <w:pStyle w:val="18"/>
        <w:snapToGrid w:val="0"/>
        <w:spacing w:line="440" w:lineRule="exact"/>
        <w:ind w:firstLine="420" w:firstLineChars="200"/>
        <w:textAlignment w:val="baseline"/>
        <w:rPr>
          <w:rFonts w:hAnsi="宋体" w:cs="宋体"/>
          <w:color w:val="auto"/>
          <w:highlight w:val="none"/>
        </w:rPr>
      </w:pPr>
      <w:r>
        <w:rPr>
          <w:rFonts w:hint="eastAsia" w:hAnsi="宋体" w:cs="宋体"/>
          <w:color w:val="auto"/>
          <w:highlight w:val="none"/>
        </w:rPr>
        <w:t>6.2评标办法。本项目评标办法是综合评分法，具体评标内容及评分标准等详见《第五章：评标原则及方法》。</w:t>
      </w:r>
    </w:p>
    <w:p w14:paraId="6C18DC0A">
      <w:pPr>
        <w:pStyle w:val="18"/>
        <w:tabs>
          <w:tab w:val="left" w:pos="630"/>
        </w:tabs>
        <w:snapToGrid w:val="0"/>
        <w:spacing w:line="440" w:lineRule="exact"/>
        <w:ind w:firstLine="422" w:firstLineChars="200"/>
        <w:textAlignment w:val="baseline"/>
        <w:rPr>
          <w:rFonts w:hAnsi="宋体" w:cs="宋体"/>
          <w:b/>
          <w:color w:val="auto"/>
          <w:highlight w:val="none"/>
        </w:rPr>
      </w:pPr>
      <w:r>
        <w:rPr>
          <w:rFonts w:hint="eastAsia" w:hAnsi="宋体" w:cs="宋体"/>
          <w:b/>
          <w:color w:val="auto"/>
          <w:highlight w:val="none"/>
        </w:rPr>
        <w:t>7</w:t>
      </w:r>
      <w:r>
        <w:rPr>
          <w:rFonts w:hint="eastAsia" w:hAnsi="宋体" w:cs="宋体"/>
          <w:b/>
          <w:color w:val="auto"/>
          <w:highlight w:val="none"/>
          <w:lang w:val="en-US" w:eastAsia="zh-CN"/>
        </w:rPr>
        <w:t>.</w:t>
      </w:r>
      <w:r>
        <w:rPr>
          <w:rFonts w:hint="eastAsia" w:hAnsi="宋体" w:cs="宋体"/>
          <w:b/>
          <w:color w:val="auto"/>
          <w:highlight w:val="none"/>
        </w:rPr>
        <w:t>无效标条款</w:t>
      </w:r>
    </w:p>
    <w:p w14:paraId="226C94C6">
      <w:pPr>
        <w:snapToGrid w:val="0"/>
        <w:spacing w:line="440" w:lineRule="exact"/>
        <w:ind w:firstLine="420" w:firstLineChars="200"/>
        <w:textAlignment w:val="baseline"/>
        <w:rPr>
          <w:rFonts w:ascii="宋体" w:hAnsi="宋体" w:cs="宋体"/>
          <w:bCs/>
          <w:color w:val="auto"/>
          <w:sz w:val="20"/>
          <w:szCs w:val="21"/>
          <w:highlight w:val="none"/>
        </w:rPr>
      </w:pPr>
      <w:r>
        <w:rPr>
          <w:rFonts w:hint="eastAsia" w:ascii="宋体" w:hAnsi="宋体" w:cs="宋体"/>
          <w:bCs/>
          <w:color w:val="auto"/>
          <w:szCs w:val="21"/>
          <w:highlight w:val="none"/>
        </w:rPr>
        <w:t>7.1开标时，如出现以下情况之一的，则响应文件不予启封或唱标，即使已启封或唱标的，其响应文件仍然无效：</w:t>
      </w:r>
    </w:p>
    <w:p w14:paraId="4B52D407">
      <w:pPr>
        <w:snapToGrid w:val="0"/>
        <w:spacing w:line="440" w:lineRule="exact"/>
        <w:ind w:firstLine="420" w:firstLineChars="200"/>
        <w:textAlignment w:val="baseline"/>
        <w:rPr>
          <w:rFonts w:ascii="宋体" w:hAnsi="宋体" w:cs="宋体"/>
          <w:bCs/>
          <w:color w:val="auto"/>
          <w:sz w:val="20"/>
          <w:szCs w:val="21"/>
          <w:highlight w:val="none"/>
        </w:rPr>
      </w:pPr>
      <w:r>
        <w:rPr>
          <w:rFonts w:hint="eastAsia" w:ascii="宋体" w:hAnsi="宋体" w:cs="宋体"/>
          <w:bCs/>
          <w:color w:val="auto"/>
          <w:szCs w:val="21"/>
          <w:highlight w:val="none"/>
        </w:rPr>
        <w:t>（一）响应文件未按磋商文件要求签署、盖章的；</w:t>
      </w:r>
    </w:p>
    <w:p w14:paraId="56C1F802">
      <w:pPr>
        <w:snapToGrid w:val="0"/>
        <w:spacing w:line="440" w:lineRule="exact"/>
        <w:ind w:firstLine="420" w:firstLineChars="200"/>
        <w:textAlignment w:val="baseline"/>
        <w:rPr>
          <w:rFonts w:ascii="宋体" w:hAnsi="宋体" w:cs="宋体"/>
          <w:bCs/>
          <w:color w:val="auto"/>
          <w:sz w:val="20"/>
          <w:szCs w:val="21"/>
          <w:highlight w:val="none"/>
        </w:rPr>
      </w:pPr>
      <w:r>
        <w:rPr>
          <w:rFonts w:hint="eastAsia" w:ascii="宋体" w:hAnsi="宋体" w:cs="宋体"/>
          <w:bCs/>
          <w:color w:val="auto"/>
          <w:szCs w:val="21"/>
          <w:highlight w:val="none"/>
        </w:rPr>
        <w:t>（二）不具备磋商文件中规定的资格要求的；</w:t>
      </w:r>
    </w:p>
    <w:p w14:paraId="7D15C991">
      <w:pPr>
        <w:snapToGrid w:val="0"/>
        <w:spacing w:line="440" w:lineRule="exact"/>
        <w:ind w:firstLine="420" w:firstLineChars="200"/>
        <w:textAlignment w:val="baseline"/>
        <w:rPr>
          <w:rFonts w:ascii="宋体" w:hAnsi="宋体" w:cs="宋体"/>
          <w:bCs/>
          <w:color w:val="auto"/>
          <w:sz w:val="20"/>
          <w:szCs w:val="21"/>
          <w:highlight w:val="none"/>
        </w:rPr>
      </w:pPr>
      <w:r>
        <w:rPr>
          <w:rFonts w:hint="eastAsia" w:ascii="宋体" w:hAnsi="宋体" w:cs="宋体"/>
          <w:bCs/>
          <w:color w:val="auto"/>
          <w:szCs w:val="21"/>
          <w:highlight w:val="none"/>
        </w:rPr>
        <w:t>（三）报价超过磋商文件中规定的预算金额或者最高限价的；</w:t>
      </w:r>
    </w:p>
    <w:p w14:paraId="7B5936C1">
      <w:pPr>
        <w:snapToGrid w:val="0"/>
        <w:spacing w:line="440" w:lineRule="exact"/>
        <w:ind w:firstLine="420" w:firstLineChars="200"/>
        <w:textAlignment w:val="baseline"/>
        <w:rPr>
          <w:rFonts w:ascii="宋体" w:hAnsi="宋体" w:cs="宋体"/>
          <w:bCs/>
          <w:color w:val="auto"/>
          <w:sz w:val="20"/>
          <w:szCs w:val="21"/>
          <w:highlight w:val="none"/>
        </w:rPr>
      </w:pPr>
      <w:r>
        <w:rPr>
          <w:rFonts w:hint="eastAsia" w:ascii="宋体" w:hAnsi="宋体" w:cs="宋体"/>
          <w:bCs/>
          <w:color w:val="auto"/>
          <w:szCs w:val="21"/>
          <w:highlight w:val="none"/>
        </w:rPr>
        <w:t>（四）响应文件含有采购人不能接受的附加条件的;</w:t>
      </w:r>
    </w:p>
    <w:p w14:paraId="570AA017">
      <w:pPr>
        <w:snapToGrid w:val="0"/>
        <w:spacing w:line="440" w:lineRule="exact"/>
        <w:ind w:firstLine="420" w:firstLineChars="200"/>
        <w:textAlignment w:val="baseline"/>
        <w:rPr>
          <w:rFonts w:hint="eastAsia" w:ascii="宋体" w:hAnsi="宋体" w:cs="宋体"/>
          <w:color w:val="auto"/>
          <w:szCs w:val="21"/>
          <w:highlight w:val="none"/>
        </w:rPr>
      </w:pPr>
      <w:r>
        <w:rPr>
          <w:rFonts w:hint="eastAsia" w:ascii="宋体" w:hAnsi="宋体" w:cs="宋体"/>
          <w:bCs/>
          <w:color w:val="auto"/>
          <w:szCs w:val="21"/>
          <w:highlight w:val="none"/>
        </w:rPr>
        <w:t>（五）</w:t>
      </w:r>
      <w:r>
        <w:rPr>
          <w:rFonts w:hint="eastAsia" w:ascii="宋体" w:hAnsi="宋体" w:cs="宋体"/>
          <w:color w:val="auto"/>
          <w:szCs w:val="21"/>
          <w:highlight w:val="none"/>
        </w:rPr>
        <w:t>竞争性磋商文件标注“▲”的条款发生实质性负偏离的；</w:t>
      </w:r>
    </w:p>
    <w:p w14:paraId="71FB25A0">
      <w:pPr>
        <w:snapToGrid w:val="0"/>
        <w:spacing w:line="440" w:lineRule="exact"/>
        <w:ind w:firstLine="420" w:firstLineChars="200"/>
        <w:textAlignment w:val="baseline"/>
        <w:rPr>
          <w:rFonts w:hint="eastAsia" w:ascii="宋体" w:hAnsi="宋体" w:eastAsia="宋体" w:cs="宋体"/>
          <w:bCs/>
          <w:color w:val="auto"/>
          <w:szCs w:val="21"/>
          <w:highlight w:val="none"/>
          <w:lang w:eastAsia="zh-CN"/>
        </w:rPr>
      </w:pPr>
      <w:r>
        <w:rPr>
          <w:rFonts w:hint="eastAsia" w:ascii="宋体" w:hAnsi="宋体" w:cs="宋体"/>
          <w:bCs/>
          <w:color w:val="auto"/>
          <w:szCs w:val="21"/>
          <w:highlight w:val="none"/>
        </w:rPr>
        <w:t>（</w:t>
      </w:r>
      <w:r>
        <w:rPr>
          <w:rFonts w:hint="eastAsia" w:ascii="宋体" w:hAnsi="宋体" w:cs="宋体"/>
          <w:bCs/>
          <w:color w:val="auto"/>
          <w:szCs w:val="21"/>
          <w:highlight w:val="none"/>
          <w:lang w:eastAsia="zh-CN"/>
        </w:rPr>
        <w:t>六</w:t>
      </w:r>
      <w:r>
        <w:rPr>
          <w:rFonts w:hint="eastAsia" w:ascii="宋体" w:hAnsi="宋体" w:cs="宋体"/>
          <w:bCs/>
          <w:color w:val="auto"/>
          <w:szCs w:val="21"/>
          <w:highlight w:val="none"/>
        </w:rPr>
        <w:t>）法律、法规和磋商文件规定的其他无效情形</w:t>
      </w:r>
      <w:r>
        <w:rPr>
          <w:rFonts w:hint="eastAsia" w:ascii="宋体" w:hAnsi="宋体" w:cs="宋体"/>
          <w:bCs/>
          <w:color w:val="auto"/>
          <w:szCs w:val="21"/>
          <w:highlight w:val="none"/>
          <w:lang w:eastAsia="zh-CN"/>
        </w:rPr>
        <w:t>；</w:t>
      </w:r>
    </w:p>
    <w:p w14:paraId="0035FE29">
      <w:pPr>
        <w:snapToGrid w:val="0"/>
        <w:spacing w:line="440" w:lineRule="exact"/>
        <w:ind w:firstLine="420" w:firstLineChars="200"/>
        <w:textAlignment w:val="baseline"/>
        <w:rPr>
          <w:rFonts w:hint="eastAsia" w:ascii="宋体" w:hAnsi="宋体" w:eastAsia="宋体" w:cs="宋体"/>
          <w:bCs/>
          <w:color w:val="auto"/>
          <w:szCs w:val="21"/>
          <w:highlight w:val="none"/>
          <w:lang w:eastAsia="zh-CN"/>
        </w:rPr>
      </w:pPr>
      <w:r>
        <w:rPr>
          <w:rFonts w:hint="eastAsia" w:ascii="宋体" w:hAnsi="宋体" w:cs="宋体"/>
          <w:bCs/>
          <w:color w:val="auto"/>
          <w:szCs w:val="21"/>
          <w:highlight w:val="none"/>
          <w:lang w:eastAsia="zh-CN"/>
        </w:rPr>
        <w:t>（七）</w:t>
      </w:r>
      <w:r>
        <w:rPr>
          <w:rFonts w:hint="eastAsia" w:ascii="宋体" w:hAnsi="宋体" w:cs="宋体"/>
          <w:bCs/>
          <w:color w:val="auto"/>
          <w:szCs w:val="21"/>
          <w:highlight w:val="none"/>
        </w:rPr>
        <w:t>响应文件解密失败的</w:t>
      </w:r>
      <w:r>
        <w:rPr>
          <w:rFonts w:hint="eastAsia" w:ascii="宋体" w:hAnsi="宋体" w:cs="宋体"/>
          <w:bCs/>
          <w:color w:val="auto"/>
          <w:szCs w:val="21"/>
          <w:highlight w:val="none"/>
          <w:lang w:eastAsia="zh-CN"/>
        </w:rPr>
        <w:t>；</w:t>
      </w:r>
    </w:p>
    <w:p w14:paraId="7F19D323">
      <w:pPr>
        <w:snapToGrid w:val="0"/>
        <w:spacing w:line="440" w:lineRule="exact"/>
        <w:ind w:firstLine="420" w:firstLineChars="200"/>
        <w:textAlignment w:val="baseline"/>
        <w:rPr>
          <w:rFonts w:hint="eastAsia" w:ascii="宋体" w:hAnsi="宋体" w:cs="宋体"/>
          <w:bCs/>
          <w:color w:val="auto"/>
          <w:szCs w:val="21"/>
          <w:highlight w:val="none"/>
        </w:rPr>
      </w:pPr>
      <w:r>
        <w:rPr>
          <w:rFonts w:hint="eastAsia" w:ascii="宋体" w:hAnsi="宋体" w:cs="宋体"/>
          <w:bCs/>
          <w:color w:val="auto"/>
          <w:szCs w:val="21"/>
          <w:highlight w:val="none"/>
          <w:lang w:eastAsia="zh-CN"/>
        </w:rPr>
        <w:t>（八）</w:t>
      </w:r>
      <w:r>
        <w:rPr>
          <w:rFonts w:hint="eastAsia" w:ascii="宋体" w:hAnsi="宋体" w:cs="宋体"/>
          <w:bCs/>
          <w:color w:val="auto"/>
          <w:szCs w:val="21"/>
          <w:highlight w:val="none"/>
        </w:rPr>
        <w:t>为防止供应商串通投标，</w:t>
      </w:r>
      <w:r>
        <w:rPr>
          <w:rFonts w:hint="eastAsia" w:ascii="宋体" w:hAnsi="宋体" w:cs="宋体"/>
          <w:bCs/>
          <w:color w:val="auto"/>
          <w:szCs w:val="21"/>
          <w:highlight w:val="none"/>
          <w:lang w:eastAsia="zh-CN"/>
        </w:rPr>
        <w:t>响应</w:t>
      </w:r>
      <w:r>
        <w:rPr>
          <w:rFonts w:hint="eastAsia" w:ascii="宋体" w:hAnsi="宋体" w:cs="宋体"/>
          <w:bCs/>
          <w:color w:val="auto"/>
          <w:szCs w:val="21"/>
          <w:highlight w:val="none"/>
        </w:rPr>
        <w:t>文件中明确规定参与同一标项的供应商存在以下情形的，投标无效:MAC地址相同</w:t>
      </w:r>
      <w:r>
        <w:rPr>
          <w:rFonts w:hint="eastAsia" w:ascii="宋体" w:hAnsi="宋体" w:cs="宋体"/>
          <w:bCs/>
          <w:color w:val="auto"/>
          <w:szCs w:val="21"/>
          <w:highlight w:val="none"/>
          <w:lang w:eastAsia="zh-CN"/>
        </w:rPr>
        <w:t>，</w:t>
      </w:r>
      <w:r>
        <w:rPr>
          <w:rFonts w:hint="eastAsia" w:ascii="宋体" w:hAnsi="宋体" w:cs="宋体"/>
          <w:bCs/>
          <w:color w:val="auto"/>
          <w:szCs w:val="21"/>
          <w:highlight w:val="none"/>
        </w:rPr>
        <w:t>计算机硬盘序列号相同</w:t>
      </w:r>
      <w:r>
        <w:rPr>
          <w:rFonts w:hint="eastAsia" w:ascii="宋体" w:hAnsi="宋体" w:cs="宋体"/>
          <w:bCs/>
          <w:color w:val="auto"/>
          <w:szCs w:val="21"/>
          <w:highlight w:val="none"/>
          <w:lang w:eastAsia="zh-CN"/>
        </w:rPr>
        <w:t>；响应文件</w:t>
      </w:r>
      <w:r>
        <w:rPr>
          <w:rFonts w:hint="eastAsia" w:ascii="宋体" w:hAnsi="宋体" w:cs="宋体"/>
          <w:bCs/>
          <w:color w:val="auto"/>
          <w:szCs w:val="21"/>
          <w:highlight w:val="none"/>
        </w:rPr>
        <w:t>细节错误一致且无合理解释的。</w:t>
      </w:r>
    </w:p>
    <w:p w14:paraId="66B83368">
      <w:pPr>
        <w:snapToGrid w:val="0"/>
        <w:spacing w:line="440" w:lineRule="exact"/>
        <w:ind w:firstLine="420" w:firstLineChars="200"/>
        <w:textAlignment w:val="baseline"/>
        <w:rPr>
          <w:rFonts w:ascii="宋体" w:hAnsi="宋体" w:cs="宋体"/>
          <w:bCs/>
          <w:color w:val="auto"/>
          <w:sz w:val="20"/>
          <w:szCs w:val="21"/>
          <w:highlight w:val="none"/>
        </w:rPr>
      </w:pPr>
      <w:r>
        <w:rPr>
          <w:rFonts w:hint="eastAsia" w:ascii="宋体" w:hAnsi="宋体" w:cs="宋体"/>
          <w:bCs/>
          <w:color w:val="auto"/>
          <w:szCs w:val="21"/>
          <w:highlight w:val="none"/>
        </w:rPr>
        <w:t>7.2有下列情形之一的，视为磋商供应商串通投标，其投标无效：</w:t>
      </w:r>
    </w:p>
    <w:p w14:paraId="42D1BE36">
      <w:pPr>
        <w:snapToGrid w:val="0"/>
        <w:spacing w:line="440" w:lineRule="exact"/>
        <w:ind w:firstLine="420" w:firstLineChars="200"/>
        <w:textAlignment w:val="baseline"/>
        <w:rPr>
          <w:rFonts w:ascii="宋体" w:hAnsi="宋体" w:cs="宋体"/>
          <w:bCs/>
          <w:color w:val="auto"/>
          <w:sz w:val="20"/>
          <w:szCs w:val="21"/>
          <w:highlight w:val="none"/>
        </w:rPr>
      </w:pPr>
      <w:r>
        <w:rPr>
          <w:rFonts w:hint="eastAsia" w:ascii="宋体" w:hAnsi="宋体" w:cs="宋体"/>
          <w:bCs/>
          <w:color w:val="auto"/>
          <w:szCs w:val="21"/>
          <w:highlight w:val="none"/>
        </w:rPr>
        <w:t>（一）不同磋商供应商的响应文件由同一单位或者个人编制；</w:t>
      </w:r>
    </w:p>
    <w:p w14:paraId="3B330346">
      <w:pPr>
        <w:snapToGrid w:val="0"/>
        <w:spacing w:line="440" w:lineRule="exact"/>
        <w:ind w:firstLine="420" w:firstLineChars="200"/>
        <w:textAlignment w:val="baseline"/>
        <w:rPr>
          <w:rFonts w:ascii="宋体" w:hAnsi="宋体" w:cs="宋体"/>
          <w:bCs/>
          <w:color w:val="auto"/>
          <w:sz w:val="20"/>
          <w:szCs w:val="21"/>
          <w:highlight w:val="none"/>
        </w:rPr>
      </w:pPr>
      <w:r>
        <w:rPr>
          <w:rFonts w:hint="eastAsia" w:ascii="宋体" w:hAnsi="宋体" w:cs="宋体"/>
          <w:bCs/>
          <w:color w:val="auto"/>
          <w:szCs w:val="21"/>
          <w:highlight w:val="none"/>
        </w:rPr>
        <w:t>（二）不同磋商供应商委托同一单位或者个人办理投标事宜；</w:t>
      </w:r>
    </w:p>
    <w:p w14:paraId="6DFD5C3D">
      <w:pPr>
        <w:snapToGrid w:val="0"/>
        <w:spacing w:line="440" w:lineRule="exact"/>
        <w:ind w:firstLine="420" w:firstLineChars="200"/>
        <w:textAlignment w:val="baseline"/>
        <w:rPr>
          <w:rFonts w:ascii="宋体" w:hAnsi="宋体" w:cs="宋体"/>
          <w:bCs/>
          <w:color w:val="auto"/>
          <w:sz w:val="20"/>
          <w:szCs w:val="21"/>
          <w:highlight w:val="none"/>
        </w:rPr>
      </w:pPr>
      <w:r>
        <w:rPr>
          <w:rFonts w:hint="eastAsia" w:ascii="宋体" w:hAnsi="宋体" w:cs="宋体"/>
          <w:bCs/>
          <w:color w:val="auto"/>
          <w:szCs w:val="21"/>
          <w:highlight w:val="none"/>
        </w:rPr>
        <w:t>（三）不同磋商供应商的响应文件载明的项目管理成员或者联系人员为同一人；</w:t>
      </w:r>
    </w:p>
    <w:p w14:paraId="61D1E291">
      <w:pPr>
        <w:snapToGrid w:val="0"/>
        <w:spacing w:line="440" w:lineRule="exact"/>
        <w:ind w:firstLine="420" w:firstLineChars="200"/>
        <w:textAlignment w:val="baseline"/>
        <w:rPr>
          <w:rFonts w:ascii="宋体" w:hAnsi="宋体" w:cs="宋体"/>
          <w:bCs/>
          <w:color w:val="auto"/>
          <w:sz w:val="20"/>
          <w:szCs w:val="21"/>
          <w:highlight w:val="none"/>
        </w:rPr>
      </w:pPr>
      <w:r>
        <w:rPr>
          <w:rFonts w:hint="eastAsia" w:ascii="宋体" w:hAnsi="宋体" w:cs="宋体"/>
          <w:bCs/>
          <w:color w:val="auto"/>
          <w:szCs w:val="21"/>
          <w:highlight w:val="none"/>
        </w:rPr>
        <w:t>（四）不同磋商供应商的响应文件异常一致或者投标报价呈规律性差异；</w:t>
      </w:r>
    </w:p>
    <w:p w14:paraId="6CBEC0E3">
      <w:pPr>
        <w:snapToGrid w:val="0"/>
        <w:spacing w:line="440" w:lineRule="exact"/>
        <w:ind w:firstLine="422" w:firstLineChars="200"/>
        <w:textAlignment w:val="baseline"/>
        <w:rPr>
          <w:rFonts w:ascii="宋体" w:hAnsi="宋体" w:cs="宋体"/>
          <w:b/>
          <w:color w:val="auto"/>
          <w:sz w:val="20"/>
          <w:szCs w:val="21"/>
          <w:highlight w:val="none"/>
        </w:rPr>
      </w:pPr>
      <w:r>
        <w:rPr>
          <w:rFonts w:hint="eastAsia" w:ascii="宋体" w:hAnsi="宋体" w:cs="宋体"/>
          <w:b/>
          <w:color w:val="auto"/>
          <w:szCs w:val="21"/>
          <w:highlight w:val="none"/>
        </w:rPr>
        <w:t>7.3磋商小组认为磋商供应商的报价明显低于其他通过符合性审查磋商供应商的报价，有可能影响产品质量或者不能诚信履约的，应当要求其在评标现场合理的时间内提供书面说明，必要时提交相关证明材料；磋商供应商不能证明其报价合理性的，磋商小组应当将其作为无效投标处理。</w:t>
      </w:r>
    </w:p>
    <w:p w14:paraId="7CF15B87">
      <w:pPr>
        <w:pStyle w:val="18"/>
        <w:snapToGrid w:val="0"/>
        <w:spacing w:line="440" w:lineRule="exact"/>
        <w:ind w:firstLine="422" w:firstLineChars="200"/>
        <w:textAlignment w:val="baseline"/>
        <w:rPr>
          <w:rFonts w:hAnsi="宋体" w:cs="宋体"/>
          <w:b/>
          <w:color w:val="auto"/>
          <w:highlight w:val="none"/>
        </w:rPr>
      </w:pPr>
      <w:r>
        <w:rPr>
          <w:rFonts w:hint="eastAsia" w:hAnsi="宋体" w:cs="宋体"/>
          <w:b/>
          <w:color w:val="auto"/>
          <w:highlight w:val="none"/>
        </w:rPr>
        <w:t>8</w:t>
      </w:r>
      <w:r>
        <w:rPr>
          <w:rFonts w:hint="eastAsia" w:hAnsi="宋体" w:cs="宋体"/>
          <w:b/>
          <w:color w:val="auto"/>
          <w:highlight w:val="none"/>
          <w:lang w:val="en-US" w:eastAsia="zh-CN"/>
        </w:rPr>
        <w:t>.</w:t>
      </w:r>
      <w:r>
        <w:rPr>
          <w:rFonts w:hint="eastAsia" w:hAnsi="宋体" w:cs="宋体"/>
          <w:b/>
          <w:color w:val="auto"/>
          <w:highlight w:val="none"/>
        </w:rPr>
        <w:t>终止竞争性磋商采购活动的情形</w:t>
      </w:r>
    </w:p>
    <w:p w14:paraId="586C43A7">
      <w:pPr>
        <w:pStyle w:val="18"/>
        <w:snapToGrid w:val="0"/>
        <w:spacing w:line="440" w:lineRule="exact"/>
        <w:ind w:firstLine="420"/>
        <w:textAlignment w:val="baseline"/>
        <w:rPr>
          <w:rFonts w:hAnsi="宋体" w:cs="宋体"/>
          <w:bCs/>
          <w:color w:val="auto"/>
          <w:highlight w:val="none"/>
        </w:rPr>
      </w:pPr>
      <w:r>
        <w:rPr>
          <w:rFonts w:hint="eastAsia" w:hAnsi="宋体" w:cs="宋体"/>
          <w:bCs/>
          <w:color w:val="auto"/>
          <w:highlight w:val="none"/>
        </w:rPr>
        <w:t>8.1出现下列情形之一的，采购人或采购代理机构应当终止竞争性磋商采购活动，发布项目终止公告并说明原因，重新开展采购活动：</w:t>
      </w:r>
    </w:p>
    <w:p w14:paraId="56EB766A">
      <w:pPr>
        <w:pStyle w:val="18"/>
        <w:numPr>
          <w:ilvl w:val="0"/>
          <w:numId w:val="8"/>
        </w:numPr>
        <w:snapToGrid w:val="0"/>
        <w:spacing w:line="440" w:lineRule="exact"/>
        <w:ind w:left="210" w:leftChars="0" w:firstLine="420" w:firstLineChars="0"/>
        <w:textAlignment w:val="baseline"/>
        <w:rPr>
          <w:rFonts w:hAnsi="宋体" w:cs="宋体"/>
          <w:bCs/>
          <w:color w:val="auto"/>
          <w:highlight w:val="none"/>
        </w:rPr>
      </w:pPr>
      <w:r>
        <w:rPr>
          <w:rFonts w:hint="eastAsia" w:hAnsi="宋体" w:cs="宋体"/>
          <w:bCs/>
          <w:color w:val="auto"/>
          <w:highlight w:val="none"/>
        </w:rPr>
        <w:t>因情况变化，不再符合规定的竞争性磋商采购方式适用情形的；</w:t>
      </w:r>
    </w:p>
    <w:p w14:paraId="3AD6E721">
      <w:pPr>
        <w:pStyle w:val="18"/>
        <w:numPr>
          <w:ilvl w:val="0"/>
          <w:numId w:val="8"/>
        </w:numPr>
        <w:snapToGrid w:val="0"/>
        <w:spacing w:line="440" w:lineRule="exact"/>
        <w:ind w:left="210" w:leftChars="0" w:firstLine="420" w:firstLineChars="0"/>
        <w:textAlignment w:val="baseline"/>
        <w:rPr>
          <w:rFonts w:hAnsi="宋体" w:cs="宋体"/>
          <w:bCs/>
          <w:color w:val="auto"/>
          <w:highlight w:val="none"/>
        </w:rPr>
      </w:pPr>
      <w:r>
        <w:rPr>
          <w:rFonts w:hint="eastAsia" w:hAnsi="宋体" w:cs="宋体"/>
          <w:bCs/>
          <w:color w:val="auto"/>
          <w:highlight w:val="none"/>
        </w:rPr>
        <w:t>出现影响采购公正的违法、违规行为的；</w:t>
      </w:r>
    </w:p>
    <w:p w14:paraId="74AA00B3">
      <w:pPr>
        <w:pStyle w:val="18"/>
        <w:snapToGrid w:val="0"/>
        <w:spacing w:line="440" w:lineRule="exact"/>
        <w:ind w:firstLine="420"/>
        <w:textAlignment w:val="baseline"/>
        <w:rPr>
          <w:rFonts w:hint="eastAsia" w:hAnsi="宋体" w:cs="宋体"/>
          <w:b/>
          <w:bCs w:val="0"/>
          <w:color w:val="auto"/>
          <w:highlight w:val="none"/>
        </w:rPr>
      </w:pPr>
      <w:r>
        <w:rPr>
          <w:rFonts w:hint="eastAsia" w:hAnsi="宋体" w:cs="宋体"/>
          <w:b/>
          <w:bCs w:val="0"/>
          <w:color w:val="auto"/>
          <w:highlight w:val="none"/>
          <w:lang w:val="en-US" w:eastAsia="zh-CN"/>
        </w:rPr>
        <w:t>9.</w:t>
      </w:r>
      <w:r>
        <w:rPr>
          <w:rFonts w:hint="eastAsia" w:hAnsi="宋体" w:cs="宋体"/>
          <w:b/>
          <w:bCs w:val="0"/>
          <w:color w:val="auto"/>
          <w:highlight w:val="none"/>
        </w:rPr>
        <w:t>根据《财政部关于政府采购竞争性磋商采购方式管理暂行办法有关问题的补充通知》（财库【2015】124号）采用竞争性磋商采购方式的政府购买服务项目在采购过程中符合要求的供应商只有2家的，竞争性磋商采购活动可以继续进行。采购过程中符合要求的供应商只有1家的，采购人终止竞争性磋商采购活动。</w:t>
      </w:r>
    </w:p>
    <w:p w14:paraId="1E1E741F">
      <w:pPr>
        <w:pStyle w:val="18"/>
        <w:snapToGrid w:val="0"/>
        <w:spacing w:line="440" w:lineRule="exact"/>
        <w:ind w:firstLine="422" w:firstLineChars="200"/>
        <w:textAlignment w:val="baseline"/>
        <w:rPr>
          <w:rFonts w:hAnsi="宋体" w:cs="宋体"/>
          <w:b/>
          <w:color w:val="auto"/>
          <w:highlight w:val="none"/>
        </w:rPr>
      </w:pPr>
      <w:r>
        <w:rPr>
          <w:rFonts w:hint="eastAsia" w:hAnsi="宋体" w:cs="宋体"/>
          <w:b/>
          <w:color w:val="auto"/>
          <w:highlight w:val="none"/>
          <w:lang w:val="en-US" w:eastAsia="zh-CN"/>
        </w:rPr>
        <w:t>10.</w:t>
      </w:r>
      <w:r>
        <w:rPr>
          <w:rFonts w:hint="eastAsia" w:hAnsi="宋体" w:cs="宋体"/>
          <w:b/>
          <w:color w:val="auto"/>
          <w:highlight w:val="none"/>
        </w:rPr>
        <w:t>评标过程的监控</w:t>
      </w:r>
    </w:p>
    <w:p w14:paraId="7DAD51AE">
      <w:pPr>
        <w:pStyle w:val="18"/>
        <w:snapToGrid w:val="0"/>
        <w:spacing w:line="440" w:lineRule="exact"/>
        <w:ind w:firstLine="420" w:firstLineChars="200"/>
        <w:textAlignment w:val="baseline"/>
        <w:rPr>
          <w:rFonts w:hAnsi="宋体" w:cs="宋体"/>
          <w:color w:val="auto"/>
          <w:highlight w:val="none"/>
        </w:rPr>
      </w:pPr>
      <w:r>
        <w:rPr>
          <w:rFonts w:hint="eastAsia" w:hAnsi="宋体" w:cs="宋体"/>
          <w:color w:val="auto"/>
          <w:highlight w:val="none"/>
        </w:rPr>
        <w:t>本项目评标过程实行全程录音、录像监控，磋商供应商在评标过程中所进行的试图影响评标结果的不公正活动，可能导致其投标被拒绝。</w:t>
      </w:r>
    </w:p>
    <w:p w14:paraId="42160387">
      <w:pPr>
        <w:pStyle w:val="4"/>
        <w:numPr>
          <w:ilvl w:val="0"/>
          <w:numId w:val="0"/>
        </w:numPr>
        <w:spacing w:before="156" w:after="156"/>
        <w:jc w:val="center"/>
        <w:textAlignment w:val="baseline"/>
        <w:rPr>
          <w:rFonts w:ascii="宋体" w:hAnsi="宋体" w:cs="宋体"/>
          <w:b/>
          <w:bCs/>
          <w:color w:val="auto"/>
          <w:sz w:val="32"/>
          <w:szCs w:val="32"/>
          <w:highlight w:val="none"/>
        </w:rPr>
      </w:pPr>
      <w:bookmarkStart w:id="59" w:name="_Toc21143"/>
      <w:r>
        <w:rPr>
          <w:rFonts w:hint="eastAsia" w:ascii="宋体" w:hAnsi="宋体" w:cs="宋体"/>
          <w:b/>
          <w:bCs/>
          <w:color w:val="auto"/>
          <w:sz w:val="32"/>
          <w:szCs w:val="32"/>
          <w:highlight w:val="none"/>
        </w:rPr>
        <w:t>七、定标</w:t>
      </w:r>
      <w:bookmarkEnd w:id="59"/>
    </w:p>
    <w:p w14:paraId="690034C9">
      <w:pPr>
        <w:pStyle w:val="18"/>
        <w:snapToGrid w:val="0"/>
        <w:spacing w:line="440" w:lineRule="exact"/>
        <w:ind w:firstLine="422" w:firstLineChars="200"/>
        <w:textAlignment w:val="baseline"/>
        <w:rPr>
          <w:rFonts w:hint="eastAsia" w:hAnsi="宋体" w:eastAsia="宋体" w:cs="宋体"/>
          <w:b/>
          <w:bCs/>
          <w:color w:val="auto"/>
          <w:highlight w:val="none"/>
          <w:lang w:eastAsia="zh-CN"/>
        </w:rPr>
      </w:pPr>
      <w:r>
        <w:rPr>
          <w:rFonts w:hint="eastAsia" w:hAnsi="宋体" w:cs="宋体"/>
          <w:b/>
          <w:bCs/>
          <w:color w:val="auto"/>
          <w:highlight w:val="none"/>
        </w:rPr>
        <w:t>1</w:t>
      </w:r>
      <w:r>
        <w:rPr>
          <w:rFonts w:hint="eastAsia" w:hAnsi="宋体" w:cs="宋体"/>
          <w:b/>
          <w:bCs/>
          <w:color w:val="auto"/>
          <w:highlight w:val="none"/>
          <w:lang w:val="en-US" w:eastAsia="zh-CN"/>
        </w:rPr>
        <w:t>.</w:t>
      </w:r>
      <w:r>
        <w:rPr>
          <w:rFonts w:hint="eastAsia" w:hAnsi="宋体" w:cs="宋体"/>
          <w:b/>
          <w:bCs/>
          <w:color w:val="auto"/>
          <w:highlight w:val="none"/>
        </w:rPr>
        <w:t>确定中标单位</w:t>
      </w:r>
    </w:p>
    <w:p w14:paraId="591BE18A">
      <w:pPr>
        <w:snapToGrid w:val="0"/>
        <w:spacing w:line="440" w:lineRule="exact"/>
        <w:ind w:firstLine="420" w:firstLineChars="200"/>
        <w:textAlignment w:val="baseline"/>
        <w:rPr>
          <w:rFonts w:ascii="宋体" w:hAnsi="宋体" w:cs="宋体"/>
          <w:color w:val="auto"/>
          <w:sz w:val="20"/>
          <w:szCs w:val="21"/>
          <w:highlight w:val="none"/>
        </w:rPr>
      </w:pPr>
      <w:r>
        <w:rPr>
          <w:rFonts w:hint="eastAsia" w:ascii="宋体" w:hAnsi="宋体" w:cs="宋体"/>
          <w:color w:val="auto"/>
          <w:szCs w:val="21"/>
          <w:highlight w:val="none"/>
        </w:rPr>
        <w:t>1.1采购代理机构在评标结束后2个工作日内将评标报告交采购人确认。</w:t>
      </w:r>
    </w:p>
    <w:p w14:paraId="2F0B22B8">
      <w:pPr>
        <w:snapToGrid w:val="0"/>
        <w:spacing w:line="440" w:lineRule="exact"/>
        <w:ind w:firstLine="420" w:firstLineChars="200"/>
        <w:textAlignment w:val="baseline"/>
        <w:rPr>
          <w:rFonts w:ascii="宋体" w:hAnsi="宋体" w:cs="宋体"/>
          <w:color w:val="auto"/>
          <w:sz w:val="20"/>
          <w:szCs w:val="21"/>
          <w:highlight w:val="none"/>
        </w:rPr>
      </w:pPr>
      <w:r>
        <w:rPr>
          <w:rFonts w:hint="eastAsia" w:ascii="宋体" w:hAnsi="宋体" w:cs="宋体"/>
          <w:color w:val="auto"/>
          <w:szCs w:val="21"/>
          <w:highlight w:val="none"/>
        </w:rPr>
        <w:t>1.2磋商供应商对评标结果无异议的，采购人应在收到评标报告后5个工作日内对评标结果进行确认。如有磋商供应商对评标结果提出质疑的，采购人可在质疑处理完毕后确定中标单位。</w:t>
      </w:r>
    </w:p>
    <w:p w14:paraId="3DA6ECD4">
      <w:pPr>
        <w:snapToGrid w:val="0"/>
        <w:spacing w:line="440" w:lineRule="exact"/>
        <w:ind w:firstLine="420" w:firstLineChars="200"/>
        <w:textAlignment w:val="baseline"/>
        <w:rPr>
          <w:rFonts w:ascii="宋体" w:hAnsi="宋体" w:cs="宋体"/>
          <w:color w:val="auto"/>
          <w:sz w:val="20"/>
          <w:szCs w:val="21"/>
          <w:highlight w:val="none"/>
        </w:rPr>
      </w:pPr>
      <w:r>
        <w:rPr>
          <w:rFonts w:hint="eastAsia" w:ascii="宋体" w:hAnsi="宋体" w:cs="宋体"/>
          <w:color w:val="auto"/>
          <w:szCs w:val="21"/>
          <w:highlight w:val="none"/>
        </w:rPr>
        <w:t>1.3采购人依法确定中标单位后2个工作日内，在</w:t>
      </w:r>
      <w:r>
        <w:rPr>
          <w:rFonts w:hint="eastAsia" w:ascii="宋体" w:hAnsi="宋体" w:cs="宋体"/>
          <w:color w:val="auto"/>
          <w:spacing w:val="-4"/>
          <w:highlight w:val="none"/>
          <w:lang w:eastAsia="zh-CN"/>
        </w:rPr>
        <w:t>常山县政府网</w:t>
      </w:r>
      <w:r>
        <w:rPr>
          <w:rFonts w:hint="eastAsia" w:ascii="宋体" w:hAnsi="宋体" w:cs="宋体"/>
          <w:color w:val="auto"/>
          <w:spacing w:val="-4"/>
          <w:highlight w:val="none"/>
        </w:rPr>
        <w:t>、浙江政府采购网上</w:t>
      </w:r>
      <w:r>
        <w:rPr>
          <w:rFonts w:hint="eastAsia" w:ascii="宋体" w:hAnsi="宋体" w:cs="宋体"/>
          <w:color w:val="auto"/>
          <w:szCs w:val="21"/>
          <w:highlight w:val="none"/>
        </w:rPr>
        <w:t>公告中标结果，同时采购人或采购代理机构应当向中标人以书面形式发出《中标通知书》。</w:t>
      </w:r>
    </w:p>
    <w:p w14:paraId="74FD86C1">
      <w:pPr>
        <w:pStyle w:val="4"/>
        <w:keepLines/>
        <w:widowControl w:val="0"/>
        <w:numPr>
          <w:ilvl w:val="2"/>
          <w:numId w:val="0"/>
        </w:numPr>
        <w:spacing w:before="156" w:after="156" w:line="440" w:lineRule="exact"/>
        <w:jc w:val="center"/>
        <w:textAlignment w:val="baseline"/>
        <w:rPr>
          <w:rFonts w:ascii="宋体" w:hAnsi="宋体" w:cs="宋体"/>
          <w:b/>
          <w:bCs/>
          <w:color w:val="auto"/>
          <w:sz w:val="32"/>
          <w:szCs w:val="32"/>
          <w:highlight w:val="none"/>
        </w:rPr>
      </w:pPr>
      <w:bookmarkStart w:id="60" w:name="_Toc11700"/>
      <w:bookmarkStart w:id="61" w:name="_Toc18706"/>
      <w:r>
        <w:rPr>
          <w:rFonts w:hint="eastAsia" w:ascii="宋体" w:hAnsi="宋体" w:cs="宋体"/>
          <w:b/>
          <w:bCs/>
          <w:color w:val="auto"/>
          <w:sz w:val="32"/>
          <w:szCs w:val="32"/>
          <w:highlight w:val="none"/>
        </w:rPr>
        <w:t>八、合同授予</w:t>
      </w:r>
      <w:bookmarkEnd w:id="60"/>
      <w:bookmarkEnd w:id="61"/>
    </w:p>
    <w:p w14:paraId="6C62E705">
      <w:pPr>
        <w:snapToGrid w:val="0"/>
        <w:spacing w:line="440" w:lineRule="exact"/>
        <w:ind w:firstLine="422" w:firstLineChars="200"/>
        <w:textAlignment w:val="baseline"/>
        <w:rPr>
          <w:rFonts w:ascii="宋体" w:hAnsi="宋体" w:cs="宋体"/>
          <w:b/>
          <w:bCs/>
          <w:color w:val="auto"/>
          <w:sz w:val="20"/>
          <w:szCs w:val="21"/>
          <w:highlight w:val="none"/>
        </w:rPr>
      </w:pPr>
      <w:r>
        <w:rPr>
          <w:rFonts w:hint="eastAsia" w:ascii="宋体" w:hAnsi="宋体" w:cs="宋体"/>
          <w:b/>
          <w:bCs/>
          <w:color w:val="auto"/>
          <w:szCs w:val="21"/>
          <w:highlight w:val="none"/>
        </w:rPr>
        <w:t>1</w:t>
      </w:r>
      <w:r>
        <w:rPr>
          <w:rFonts w:hint="eastAsia" w:ascii="宋体" w:hAnsi="宋体" w:cs="宋体"/>
          <w:b/>
          <w:bCs/>
          <w:color w:val="auto"/>
          <w:szCs w:val="21"/>
          <w:highlight w:val="none"/>
          <w:lang w:val="en-US" w:eastAsia="zh-CN"/>
        </w:rPr>
        <w:t>.</w:t>
      </w:r>
      <w:r>
        <w:rPr>
          <w:rFonts w:hint="eastAsia" w:ascii="宋体" w:hAnsi="宋体" w:cs="宋体"/>
          <w:b/>
          <w:bCs/>
          <w:color w:val="auto"/>
          <w:szCs w:val="21"/>
          <w:highlight w:val="none"/>
        </w:rPr>
        <w:t>签订合同</w:t>
      </w:r>
    </w:p>
    <w:p w14:paraId="42350715">
      <w:pPr>
        <w:snapToGrid w:val="0"/>
        <w:spacing w:line="440" w:lineRule="exact"/>
        <w:ind w:firstLine="420" w:firstLineChars="200"/>
        <w:textAlignment w:val="baseline"/>
        <w:rPr>
          <w:rFonts w:ascii="宋体" w:hAnsi="宋体" w:cs="宋体"/>
          <w:color w:val="auto"/>
          <w:sz w:val="20"/>
          <w:szCs w:val="21"/>
          <w:highlight w:val="none"/>
        </w:rPr>
      </w:pPr>
      <w:r>
        <w:rPr>
          <w:rFonts w:hint="eastAsia" w:ascii="宋体" w:hAnsi="宋体" w:cs="宋体"/>
          <w:color w:val="auto"/>
          <w:szCs w:val="21"/>
          <w:highlight w:val="none"/>
        </w:rPr>
        <w:t>1.1中标通知书于中标公告发布之日签发，中标人应于中标结果公告发布之日起两个工作日内，凭法定代表人（负责人）授权委托书及被授权人身份证原件至</w:t>
      </w:r>
      <w:r>
        <w:rPr>
          <w:rFonts w:hint="eastAsia" w:ascii="宋体" w:hAnsi="宋体" w:cs="宋体"/>
          <w:color w:val="auto"/>
          <w:szCs w:val="21"/>
          <w:highlight w:val="none"/>
          <w:lang w:eastAsia="zh-CN"/>
        </w:rPr>
        <w:t>衢州市开成工程造价咨询事务所有限公司</w:t>
      </w:r>
      <w:r>
        <w:rPr>
          <w:rFonts w:hint="eastAsia" w:ascii="宋体" w:hAnsi="宋体" w:cs="宋体"/>
          <w:color w:val="auto"/>
          <w:szCs w:val="21"/>
          <w:highlight w:val="none"/>
        </w:rPr>
        <w:t>领取中标通知书，逾期领取的后果自负。中标人与采购单位须在中标结果公告发出两个工作日后的三十天内签订合同。《中标通知书》一经发出即发生法律效力。采购单位无义务向未中标人解释落选原因，不退回</w:t>
      </w:r>
      <w:r>
        <w:rPr>
          <w:rFonts w:hint="eastAsia" w:ascii="宋体" w:hAnsi="宋体" w:cs="宋体"/>
          <w:color w:val="auto"/>
          <w:szCs w:val="21"/>
          <w:highlight w:val="none"/>
          <w:lang w:eastAsia="zh-CN"/>
        </w:rPr>
        <w:t>响应文件</w:t>
      </w:r>
      <w:r>
        <w:rPr>
          <w:rFonts w:hint="eastAsia" w:ascii="宋体" w:hAnsi="宋体" w:cs="宋体"/>
          <w:color w:val="auto"/>
          <w:szCs w:val="21"/>
          <w:highlight w:val="none"/>
        </w:rPr>
        <w:t>。《中标通知书》作为签订合同的重要依据，对采购单位和中标人具有法律效力。采购单位改变中标结果或者中标人放弃中标项目的都应承担法律责任。</w:t>
      </w:r>
    </w:p>
    <w:p w14:paraId="59B9E33A">
      <w:pPr>
        <w:snapToGrid w:val="0"/>
        <w:spacing w:line="440" w:lineRule="exact"/>
        <w:ind w:firstLine="420" w:firstLineChars="200"/>
        <w:textAlignment w:val="baseline"/>
        <w:rPr>
          <w:rFonts w:ascii="宋体" w:hAnsi="宋体" w:cs="宋体"/>
          <w:color w:val="auto"/>
          <w:sz w:val="20"/>
          <w:szCs w:val="21"/>
          <w:highlight w:val="none"/>
        </w:rPr>
      </w:pPr>
      <w:r>
        <w:rPr>
          <w:rFonts w:hint="eastAsia" w:ascii="宋体" w:hAnsi="宋体" w:cs="宋体"/>
          <w:color w:val="auto"/>
          <w:szCs w:val="21"/>
          <w:highlight w:val="none"/>
        </w:rPr>
        <w:t>1.2中标人拖延、拒签合同的,应当按照本项目采购预算价2%的标准承担因此给采购单位造成的损失的赔偿责任及相应的法律责任。</w:t>
      </w:r>
    </w:p>
    <w:p w14:paraId="0A685054">
      <w:pPr>
        <w:pStyle w:val="4"/>
        <w:keepLines/>
        <w:widowControl w:val="0"/>
        <w:numPr>
          <w:ilvl w:val="2"/>
          <w:numId w:val="0"/>
        </w:numPr>
        <w:spacing w:before="156" w:after="156" w:line="440" w:lineRule="exact"/>
        <w:jc w:val="center"/>
        <w:textAlignment w:val="baseline"/>
        <w:rPr>
          <w:rFonts w:ascii="宋体" w:hAnsi="宋体" w:cs="宋体"/>
          <w:b/>
          <w:bCs/>
          <w:color w:val="auto"/>
          <w:sz w:val="32"/>
          <w:szCs w:val="32"/>
          <w:highlight w:val="none"/>
        </w:rPr>
      </w:pPr>
      <w:bookmarkStart w:id="62" w:name="_Toc16204"/>
      <w:bookmarkEnd w:id="62"/>
      <w:bookmarkStart w:id="63" w:name="_Toc16691"/>
      <w:bookmarkEnd w:id="63"/>
    </w:p>
    <w:p w14:paraId="1997C6E6">
      <w:pPr>
        <w:pStyle w:val="29"/>
        <w:spacing w:line="360" w:lineRule="auto"/>
        <w:textAlignment w:val="baseline"/>
        <w:outlineLvl w:val="0"/>
        <w:rPr>
          <w:rFonts w:ascii="宋体" w:hAnsi="宋体" w:cs="宋体"/>
          <w:bCs/>
          <w:color w:val="auto"/>
          <w:kern w:val="2"/>
          <w:sz w:val="32"/>
          <w:szCs w:val="32"/>
          <w:highlight w:val="none"/>
          <w:lang w:val="zh-CN" w:eastAsia="zh-CN"/>
        </w:rPr>
      </w:pPr>
      <w:bookmarkStart w:id="64" w:name="_Toc18498_WPSOffice_Level1"/>
      <w:bookmarkStart w:id="65" w:name="_Toc26093"/>
      <w:bookmarkStart w:id="66" w:name="_Toc5684"/>
      <w:bookmarkStart w:id="67" w:name="_Toc487209066"/>
      <w:r>
        <w:rPr>
          <w:rFonts w:hint="eastAsia" w:ascii="宋体" w:hAnsi="宋体" w:cs="宋体"/>
          <w:bCs/>
          <w:color w:val="auto"/>
          <w:kern w:val="2"/>
          <w:sz w:val="32"/>
          <w:szCs w:val="32"/>
          <w:highlight w:val="none"/>
          <w:lang w:eastAsia="zh-CN"/>
        </w:rPr>
        <w:br w:type="column"/>
      </w:r>
      <w:r>
        <w:rPr>
          <w:rFonts w:hint="eastAsia" w:ascii="宋体" w:hAnsi="宋体" w:cs="宋体"/>
          <w:bCs/>
          <w:color w:val="auto"/>
          <w:kern w:val="2"/>
          <w:sz w:val="32"/>
          <w:szCs w:val="32"/>
          <w:highlight w:val="none"/>
          <w:lang w:eastAsia="zh-CN"/>
        </w:rPr>
        <w:t xml:space="preserve">第三章  </w:t>
      </w:r>
      <w:r>
        <w:rPr>
          <w:rFonts w:hint="eastAsia" w:ascii="宋体" w:hAnsi="宋体" w:cs="宋体"/>
          <w:bCs/>
          <w:color w:val="auto"/>
          <w:kern w:val="2"/>
          <w:sz w:val="32"/>
          <w:szCs w:val="32"/>
          <w:highlight w:val="none"/>
          <w:lang w:val="zh-CN" w:eastAsia="zh-CN"/>
        </w:rPr>
        <w:t>采购内容及要求</w:t>
      </w:r>
      <w:bookmarkEnd w:id="64"/>
      <w:bookmarkEnd w:id="65"/>
      <w:bookmarkEnd w:id="66"/>
      <w:bookmarkEnd w:id="67"/>
    </w:p>
    <w:p w14:paraId="0861D07A">
      <w:pPr>
        <w:keepNext w:val="0"/>
        <w:keepLines w:val="0"/>
        <w:pageBreakBefore w:val="0"/>
        <w:kinsoku/>
        <w:wordWrap/>
        <w:overflowPunct/>
        <w:topLinePunct w:val="0"/>
        <w:autoSpaceDE/>
        <w:autoSpaceDN/>
        <w:bidi w:val="0"/>
        <w:spacing w:line="360" w:lineRule="auto"/>
        <w:textAlignment w:val="auto"/>
        <w:outlineLvl w:val="1"/>
        <w:rPr>
          <w:rFonts w:hint="eastAsia" w:ascii="宋体" w:hAnsi="宋体" w:eastAsia="宋体" w:cs="宋体"/>
          <w:color w:val="000000"/>
          <w:sz w:val="21"/>
          <w:szCs w:val="21"/>
          <w:lang w:eastAsia="zh-CN"/>
        </w:rPr>
      </w:pPr>
      <w:bookmarkStart w:id="68" w:name="_Toc21547"/>
      <w:r>
        <w:rPr>
          <w:rFonts w:hint="eastAsia" w:ascii="宋体" w:hAnsi="宋体" w:eastAsia="宋体" w:cs="宋体"/>
          <w:sz w:val="21"/>
          <w:szCs w:val="21"/>
          <w:highlight w:val="none"/>
        </w:rPr>
        <w:t>一、</w:t>
      </w:r>
      <w:r>
        <w:rPr>
          <w:rFonts w:hint="eastAsia" w:ascii="宋体" w:hAnsi="宋体" w:eastAsia="宋体" w:cs="宋体"/>
          <w:b/>
          <w:color w:val="000000"/>
          <w:sz w:val="21"/>
          <w:szCs w:val="21"/>
        </w:rPr>
        <w:t>采购内容</w:t>
      </w:r>
      <w:r>
        <w:rPr>
          <w:rFonts w:hint="eastAsia" w:ascii="宋体" w:hAnsi="宋体" w:eastAsia="宋体" w:cs="宋体"/>
          <w:b/>
          <w:color w:val="000000"/>
          <w:sz w:val="21"/>
          <w:szCs w:val="21"/>
          <w:lang w:eastAsia="zh-CN"/>
        </w:rPr>
        <w:t>：</w:t>
      </w:r>
    </w:p>
    <w:p w14:paraId="62A73F81">
      <w:pPr>
        <w:keepNext w:val="0"/>
        <w:keepLines w:val="0"/>
        <w:pageBreakBefore w:val="0"/>
        <w:tabs>
          <w:tab w:val="left" w:pos="105"/>
          <w:tab w:val="left" w:pos="735"/>
          <w:tab w:val="left" w:pos="945"/>
          <w:tab w:val="left" w:pos="3360"/>
        </w:tabs>
        <w:kinsoku/>
        <w:wordWrap/>
        <w:overflowPunct/>
        <w:topLinePunct w:val="0"/>
        <w:autoSpaceDE/>
        <w:autoSpaceDN/>
        <w:bidi w:val="0"/>
        <w:spacing w:line="360" w:lineRule="auto"/>
        <w:textAlignment w:val="auto"/>
        <w:rPr>
          <w:rFonts w:hint="eastAsia" w:ascii="宋体" w:hAnsi="宋体" w:eastAsia="宋体" w:cs="宋体"/>
          <w:b/>
          <w:bCs/>
          <w:color w:val="000000"/>
          <w:sz w:val="21"/>
          <w:szCs w:val="21"/>
        </w:rPr>
      </w:pPr>
      <w:bookmarkStart w:id="69" w:name="_Toc178413230"/>
      <w:bookmarkStart w:id="70" w:name="_Toc47416186"/>
      <w:bookmarkStart w:id="71" w:name="_Toc211242040"/>
      <w:bookmarkStart w:id="72" w:name="_Toc49019225"/>
      <w:bookmarkStart w:id="73" w:name="_Toc47415932"/>
      <w:r>
        <w:rPr>
          <w:rFonts w:hint="eastAsia" w:ascii="宋体" w:hAnsi="宋体" w:eastAsia="宋体" w:cs="宋体"/>
          <w:color w:val="000000"/>
          <w:sz w:val="21"/>
          <w:szCs w:val="21"/>
        </w:rPr>
        <w:t>▲1.车辆鉴定技术服务项目包括：车辆安全技术状况鉴定、车辆属性鉴定等技术服务，具体内容如下：</w:t>
      </w:r>
      <w:bookmarkEnd w:id="69"/>
      <w:bookmarkEnd w:id="70"/>
      <w:bookmarkEnd w:id="71"/>
      <w:bookmarkEnd w:id="72"/>
      <w:bookmarkEnd w:id="73"/>
    </w:p>
    <w:tbl>
      <w:tblPr>
        <w:tblStyle w:val="32"/>
        <w:tblW w:w="526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6"/>
        <w:gridCol w:w="1475"/>
        <w:gridCol w:w="2990"/>
        <w:gridCol w:w="4849"/>
      </w:tblGrid>
      <w:tr w14:paraId="561630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1" w:hRule="atLeast"/>
          <w:jc w:val="center"/>
        </w:trPr>
        <w:tc>
          <w:tcPr>
            <w:tcW w:w="320" w:type="pct"/>
            <w:noWrap w:val="0"/>
            <w:vAlign w:val="center"/>
          </w:tcPr>
          <w:p w14:paraId="4F17B89B">
            <w:pPr>
              <w:keepNext w:val="0"/>
              <w:keepLines w:val="0"/>
              <w:pageBreakBefore w:val="0"/>
              <w:suppressLineNumbers w:val="0"/>
              <w:kinsoku/>
              <w:wordWrap/>
              <w:overflowPunct/>
              <w:topLinePunct w:val="0"/>
              <w:autoSpaceDE/>
              <w:autoSpaceDN/>
              <w:bidi w:val="0"/>
              <w:snapToGrid w:val="0"/>
              <w:spacing w:before="0" w:beforeAutospacing="0" w:after="0" w:afterAutospacing="0" w:line="360" w:lineRule="auto"/>
              <w:ind w:left="0" w:right="0"/>
              <w:jc w:val="center"/>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序号</w:t>
            </w:r>
          </w:p>
        </w:tc>
        <w:tc>
          <w:tcPr>
            <w:tcW w:w="2242" w:type="pct"/>
            <w:gridSpan w:val="2"/>
            <w:noWrap w:val="0"/>
            <w:vAlign w:val="center"/>
          </w:tcPr>
          <w:p w14:paraId="024B11F0">
            <w:pPr>
              <w:keepNext w:val="0"/>
              <w:keepLines w:val="0"/>
              <w:pageBreakBefore w:val="0"/>
              <w:suppressLineNumbers w:val="0"/>
              <w:kinsoku/>
              <w:wordWrap/>
              <w:overflowPunct/>
              <w:topLinePunct w:val="0"/>
              <w:autoSpaceDE/>
              <w:autoSpaceDN/>
              <w:bidi w:val="0"/>
              <w:snapToGrid w:val="0"/>
              <w:spacing w:before="0" w:beforeAutospacing="0" w:after="0" w:afterAutospacing="0" w:line="360" w:lineRule="auto"/>
              <w:ind w:left="0" w:right="0"/>
              <w:jc w:val="center"/>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项目名称</w:t>
            </w:r>
          </w:p>
        </w:tc>
        <w:tc>
          <w:tcPr>
            <w:tcW w:w="2436" w:type="pct"/>
            <w:noWrap w:val="0"/>
            <w:vAlign w:val="center"/>
          </w:tcPr>
          <w:p w14:paraId="6EC27837">
            <w:pPr>
              <w:keepNext w:val="0"/>
              <w:keepLines w:val="0"/>
              <w:pageBreakBefore w:val="0"/>
              <w:suppressLineNumbers w:val="0"/>
              <w:kinsoku/>
              <w:wordWrap/>
              <w:overflowPunct/>
              <w:topLinePunct w:val="0"/>
              <w:autoSpaceDE/>
              <w:autoSpaceDN/>
              <w:bidi w:val="0"/>
              <w:snapToGrid w:val="0"/>
              <w:spacing w:before="0" w:beforeAutospacing="0" w:after="0" w:afterAutospacing="0" w:line="360" w:lineRule="auto"/>
              <w:ind w:left="0" w:right="0"/>
              <w:jc w:val="center"/>
              <w:textAlignment w:val="auto"/>
              <w:rPr>
                <w:rFonts w:hint="eastAsia" w:ascii="宋体" w:hAnsi="宋体" w:eastAsia="宋体" w:cs="宋体"/>
                <w:b w:val="0"/>
                <w:bCs/>
                <w:color w:val="auto"/>
                <w:sz w:val="21"/>
                <w:szCs w:val="21"/>
                <w:lang w:eastAsia="zh-CN"/>
              </w:rPr>
            </w:pPr>
            <w:r>
              <w:rPr>
                <w:rFonts w:hint="eastAsia" w:ascii="宋体" w:hAnsi="宋体" w:eastAsia="宋体" w:cs="宋体"/>
                <w:b w:val="0"/>
                <w:bCs/>
                <w:color w:val="auto"/>
                <w:sz w:val="21"/>
                <w:szCs w:val="21"/>
              </w:rPr>
              <w:t>最高单价限价（元</w:t>
            </w:r>
            <w:r>
              <w:rPr>
                <w:rFonts w:hint="eastAsia" w:ascii="宋体" w:hAnsi="宋体" w:eastAsia="宋体" w:cs="宋体"/>
                <w:b w:val="0"/>
                <w:bCs/>
                <w:color w:val="auto"/>
                <w:sz w:val="21"/>
                <w:szCs w:val="21"/>
                <w:lang w:val="en-US" w:eastAsia="zh-CN"/>
              </w:rPr>
              <w:t>/辆</w:t>
            </w:r>
            <w:r>
              <w:rPr>
                <w:rFonts w:hint="eastAsia" w:ascii="宋体" w:hAnsi="宋体" w:eastAsia="宋体" w:cs="宋体"/>
                <w:b w:val="0"/>
                <w:bCs/>
                <w:color w:val="auto"/>
                <w:sz w:val="21"/>
                <w:szCs w:val="21"/>
              </w:rPr>
              <w:t>）</w:t>
            </w:r>
          </w:p>
        </w:tc>
      </w:tr>
      <w:tr w14:paraId="526797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9" w:hRule="atLeast"/>
          <w:jc w:val="center"/>
        </w:trPr>
        <w:tc>
          <w:tcPr>
            <w:tcW w:w="320" w:type="pct"/>
            <w:vMerge w:val="restart"/>
            <w:noWrap w:val="0"/>
            <w:vAlign w:val="center"/>
          </w:tcPr>
          <w:p w14:paraId="458A82DA">
            <w:pPr>
              <w:keepNext w:val="0"/>
              <w:keepLines w:val="0"/>
              <w:pageBreakBefore w:val="0"/>
              <w:suppressLineNumbers w:val="0"/>
              <w:kinsoku/>
              <w:wordWrap/>
              <w:overflowPunct/>
              <w:topLinePunct w:val="0"/>
              <w:autoSpaceDE/>
              <w:autoSpaceDN/>
              <w:bidi w:val="0"/>
              <w:snapToGrid w:val="0"/>
              <w:spacing w:before="0" w:beforeAutospacing="0" w:after="0" w:afterAutospacing="0" w:line="360" w:lineRule="auto"/>
              <w:ind w:left="0" w:right="0"/>
              <w:jc w:val="center"/>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1</w:t>
            </w:r>
          </w:p>
        </w:tc>
        <w:tc>
          <w:tcPr>
            <w:tcW w:w="741" w:type="pct"/>
            <w:vMerge w:val="restart"/>
            <w:noWrap w:val="0"/>
            <w:vAlign w:val="center"/>
          </w:tcPr>
          <w:p w14:paraId="124142BD">
            <w:pPr>
              <w:keepNext w:val="0"/>
              <w:keepLines w:val="0"/>
              <w:pageBreakBefore w:val="0"/>
              <w:suppressLineNumbers w:val="0"/>
              <w:kinsoku/>
              <w:wordWrap/>
              <w:overflowPunct/>
              <w:topLinePunct w:val="0"/>
              <w:autoSpaceDE/>
              <w:autoSpaceDN/>
              <w:bidi w:val="0"/>
              <w:snapToGrid w:val="0"/>
              <w:spacing w:before="0" w:beforeAutospacing="0" w:after="0" w:afterAutospacing="0" w:line="360" w:lineRule="auto"/>
              <w:ind w:left="0" w:right="0"/>
              <w:jc w:val="center"/>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lang w:val="en-US" w:eastAsia="zh-CN"/>
              </w:rPr>
              <w:t>车辆安全技术状况鉴定</w:t>
            </w:r>
          </w:p>
        </w:tc>
        <w:tc>
          <w:tcPr>
            <w:tcW w:w="1501" w:type="pct"/>
            <w:noWrap w:val="0"/>
            <w:vAlign w:val="center"/>
          </w:tcPr>
          <w:p w14:paraId="2FC1CD2B">
            <w:pPr>
              <w:keepNext w:val="0"/>
              <w:keepLines w:val="0"/>
              <w:pageBreakBefore w:val="0"/>
              <w:suppressLineNumbers w:val="0"/>
              <w:kinsoku/>
              <w:wordWrap/>
              <w:overflowPunct/>
              <w:topLinePunct w:val="0"/>
              <w:autoSpaceDE/>
              <w:autoSpaceDN/>
              <w:bidi w:val="0"/>
              <w:snapToGrid w:val="0"/>
              <w:spacing w:before="0" w:beforeAutospacing="0" w:after="0" w:afterAutospacing="0" w:line="360" w:lineRule="auto"/>
              <w:ind w:left="0" w:right="0"/>
              <w:jc w:val="both"/>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两轮、三轮车类</w:t>
            </w:r>
          </w:p>
        </w:tc>
        <w:tc>
          <w:tcPr>
            <w:tcW w:w="2436" w:type="pct"/>
            <w:noWrap w:val="0"/>
            <w:vAlign w:val="center"/>
          </w:tcPr>
          <w:p w14:paraId="63FE7CD5">
            <w:pPr>
              <w:keepNext w:val="0"/>
              <w:keepLines w:val="0"/>
              <w:pageBreakBefore w:val="0"/>
              <w:suppressLineNumbers w:val="0"/>
              <w:kinsoku/>
              <w:wordWrap/>
              <w:overflowPunct/>
              <w:topLinePunct w:val="0"/>
              <w:autoSpaceDE/>
              <w:autoSpaceDN/>
              <w:bidi w:val="0"/>
              <w:snapToGrid w:val="0"/>
              <w:spacing w:before="0" w:beforeAutospacing="0" w:after="0" w:afterAutospacing="0" w:line="360" w:lineRule="auto"/>
              <w:ind w:left="0" w:right="0"/>
              <w:jc w:val="center"/>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310.00</w:t>
            </w:r>
          </w:p>
        </w:tc>
      </w:tr>
      <w:tr w14:paraId="78C38D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1" w:hRule="atLeast"/>
          <w:jc w:val="center"/>
        </w:trPr>
        <w:tc>
          <w:tcPr>
            <w:tcW w:w="320" w:type="pct"/>
            <w:vMerge w:val="continue"/>
            <w:noWrap w:val="0"/>
            <w:vAlign w:val="center"/>
          </w:tcPr>
          <w:p w14:paraId="6A7E0167">
            <w:pPr>
              <w:keepNext w:val="0"/>
              <w:keepLines w:val="0"/>
              <w:pageBreakBefore w:val="0"/>
              <w:suppressLineNumbers w:val="0"/>
              <w:kinsoku/>
              <w:wordWrap/>
              <w:overflowPunct/>
              <w:topLinePunct w:val="0"/>
              <w:autoSpaceDE/>
              <w:autoSpaceDN/>
              <w:bidi w:val="0"/>
              <w:snapToGrid w:val="0"/>
              <w:spacing w:before="0" w:beforeAutospacing="0" w:after="0" w:afterAutospacing="0" w:line="360" w:lineRule="auto"/>
              <w:ind w:left="0" w:right="0"/>
              <w:jc w:val="center"/>
              <w:textAlignment w:val="auto"/>
              <w:rPr>
                <w:rFonts w:hint="eastAsia" w:ascii="宋体" w:hAnsi="宋体" w:eastAsia="宋体" w:cs="宋体"/>
                <w:b w:val="0"/>
                <w:bCs/>
                <w:color w:val="auto"/>
                <w:sz w:val="21"/>
                <w:szCs w:val="21"/>
              </w:rPr>
            </w:pPr>
          </w:p>
        </w:tc>
        <w:tc>
          <w:tcPr>
            <w:tcW w:w="741" w:type="pct"/>
            <w:vMerge w:val="continue"/>
            <w:noWrap w:val="0"/>
            <w:vAlign w:val="center"/>
          </w:tcPr>
          <w:p w14:paraId="3904911F">
            <w:pPr>
              <w:keepNext w:val="0"/>
              <w:keepLines w:val="0"/>
              <w:pageBreakBefore w:val="0"/>
              <w:suppressLineNumbers w:val="0"/>
              <w:kinsoku/>
              <w:wordWrap/>
              <w:overflowPunct/>
              <w:topLinePunct w:val="0"/>
              <w:autoSpaceDE/>
              <w:autoSpaceDN/>
              <w:bidi w:val="0"/>
              <w:snapToGrid w:val="0"/>
              <w:spacing w:before="0" w:beforeAutospacing="0" w:after="0" w:afterAutospacing="0" w:line="360" w:lineRule="auto"/>
              <w:ind w:left="0" w:right="0"/>
              <w:jc w:val="center"/>
              <w:textAlignment w:val="auto"/>
              <w:rPr>
                <w:rFonts w:hint="eastAsia" w:ascii="宋体" w:hAnsi="宋体" w:eastAsia="宋体" w:cs="宋体"/>
                <w:b w:val="0"/>
                <w:bCs/>
                <w:color w:val="auto"/>
                <w:sz w:val="21"/>
                <w:szCs w:val="21"/>
                <w:lang w:val="en-US" w:eastAsia="zh-CN"/>
              </w:rPr>
            </w:pPr>
          </w:p>
        </w:tc>
        <w:tc>
          <w:tcPr>
            <w:tcW w:w="1501" w:type="pct"/>
            <w:noWrap w:val="0"/>
            <w:vAlign w:val="center"/>
          </w:tcPr>
          <w:p w14:paraId="3CAA9787">
            <w:pPr>
              <w:keepNext w:val="0"/>
              <w:keepLines w:val="0"/>
              <w:pageBreakBefore w:val="0"/>
              <w:suppressLineNumbers w:val="0"/>
              <w:kinsoku/>
              <w:wordWrap/>
              <w:overflowPunct/>
              <w:topLinePunct w:val="0"/>
              <w:autoSpaceDE/>
              <w:autoSpaceDN/>
              <w:bidi w:val="0"/>
              <w:snapToGrid w:val="0"/>
              <w:spacing w:before="0" w:beforeAutospacing="0" w:after="0" w:afterAutospacing="0" w:line="360" w:lineRule="auto"/>
              <w:ind w:left="0" w:right="0"/>
              <w:jc w:val="center"/>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汽车、拖拉机、工程机械类</w:t>
            </w:r>
          </w:p>
        </w:tc>
        <w:tc>
          <w:tcPr>
            <w:tcW w:w="2436" w:type="pct"/>
            <w:noWrap w:val="0"/>
            <w:vAlign w:val="center"/>
          </w:tcPr>
          <w:p w14:paraId="21827D09">
            <w:pPr>
              <w:keepNext w:val="0"/>
              <w:keepLines w:val="0"/>
              <w:pageBreakBefore w:val="0"/>
              <w:suppressLineNumbers w:val="0"/>
              <w:kinsoku/>
              <w:wordWrap/>
              <w:overflowPunct/>
              <w:topLinePunct w:val="0"/>
              <w:autoSpaceDE/>
              <w:autoSpaceDN/>
              <w:bidi w:val="0"/>
              <w:snapToGrid w:val="0"/>
              <w:spacing w:before="0" w:beforeAutospacing="0" w:after="0" w:afterAutospacing="0" w:line="360" w:lineRule="auto"/>
              <w:ind w:left="0" w:right="0"/>
              <w:jc w:val="center"/>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500.00</w:t>
            </w:r>
          </w:p>
        </w:tc>
      </w:tr>
      <w:tr w14:paraId="4C4BD8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1" w:hRule="atLeast"/>
          <w:jc w:val="center"/>
        </w:trPr>
        <w:tc>
          <w:tcPr>
            <w:tcW w:w="320" w:type="pct"/>
            <w:noWrap w:val="0"/>
            <w:vAlign w:val="center"/>
          </w:tcPr>
          <w:p w14:paraId="5CDAABFF">
            <w:pPr>
              <w:keepNext w:val="0"/>
              <w:keepLines w:val="0"/>
              <w:pageBreakBefore w:val="0"/>
              <w:suppressLineNumbers w:val="0"/>
              <w:kinsoku/>
              <w:wordWrap/>
              <w:overflowPunct/>
              <w:topLinePunct w:val="0"/>
              <w:autoSpaceDE/>
              <w:autoSpaceDN/>
              <w:bidi w:val="0"/>
              <w:snapToGrid w:val="0"/>
              <w:spacing w:before="0" w:beforeAutospacing="0" w:after="0" w:afterAutospacing="0" w:line="360" w:lineRule="auto"/>
              <w:ind w:left="0" w:right="0"/>
              <w:jc w:val="center"/>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2</w:t>
            </w:r>
          </w:p>
        </w:tc>
        <w:tc>
          <w:tcPr>
            <w:tcW w:w="2242" w:type="pct"/>
            <w:gridSpan w:val="2"/>
            <w:noWrap w:val="0"/>
            <w:vAlign w:val="center"/>
          </w:tcPr>
          <w:p w14:paraId="14601BA4">
            <w:pPr>
              <w:keepNext w:val="0"/>
              <w:keepLines w:val="0"/>
              <w:pageBreakBefore w:val="0"/>
              <w:kinsoku/>
              <w:wordWrap/>
              <w:overflowPunct/>
              <w:topLinePunct w:val="0"/>
              <w:autoSpaceDE/>
              <w:autoSpaceDN/>
              <w:bidi w:val="0"/>
              <w:snapToGrid w:val="0"/>
              <w:spacing w:line="360" w:lineRule="auto"/>
              <w:jc w:val="center"/>
              <w:textAlignment w:val="auto"/>
              <w:rPr>
                <w:rFonts w:hint="eastAsia" w:ascii="宋体" w:hAnsi="宋体" w:eastAsia="宋体" w:cs="宋体"/>
                <w:b w:val="0"/>
                <w:bCs/>
                <w:color w:val="auto"/>
                <w:sz w:val="21"/>
                <w:szCs w:val="21"/>
                <w:lang w:val="en-US"/>
              </w:rPr>
            </w:pPr>
            <w:r>
              <w:rPr>
                <w:rFonts w:hint="eastAsia" w:ascii="宋体" w:hAnsi="宋体" w:eastAsia="宋体" w:cs="宋体"/>
                <w:b w:val="0"/>
                <w:bCs/>
                <w:color w:val="auto"/>
                <w:sz w:val="21"/>
                <w:szCs w:val="21"/>
                <w:lang w:val="en-US" w:eastAsia="zh-CN"/>
              </w:rPr>
              <w:t>车辆属性鉴定</w:t>
            </w:r>
          </w:p>
        </w:tc>
        <w:tc>
          <w:tcPr>
            <w:tcW w:w="2436" w:type="pct"/>
            <w:noWrap w:val="0"/>
            <w:vAlign w:val="center"/>
          </w:tcPr>
          <w:p w14:paraId="15B96FA0">
            <w:pPr>
              <w:keepNext w:val="0"/>
              <w:keepLines w:val="0"/>
              <w:pageBreakBefore w:val="0"/>
              <w:suppressLineNumbers w:val="0"/>
              <w:kinsoku/>
              <w:wordWrap/>
              <w:overflowPunct/>
              <w:topLinePunct w:val="0"/>
              <w:autoSpaceDE/>
              <w:autoSpaceDN/>
              <w:bidi w:val="0"/>
              <w:snapToGrid w:val="0"/>
              <w:spacing w:before="0" w:beforeAutospacing="0" w:after="0" w:afterAutospacing="0" w:line="360" w:lineRule="auto"/>
              <w:ind w:left="0" w:right="0"/>
              <w:jc w:val="center"/>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600.00</w:t>
            </w:r>
          </w:p>
        </w:tc>
      </w:tr>
      <w:tr w14:paraId="330DC9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jc w:val="center"/>
        </w:trPr>
        <w:tc>
          <w:tcPr>
            <w:tcW w:w="2563" w:type="pct"/>
            <w:gridSpan w:val="3"/>
            <w:noWrap w:val="0"/>
            <w:vAlign w:val="center"/>
          </w:tcPr>
          <w:p w14:paraId="6FD4EE5E">
            <w:pPr>
              <w:keepNext w:val="0"/>
              <w:keepLines w:val="0"/>
              <w:pageBreakBefore w:val="0"/>
              <w:suppressLineNumbers w:val="0"/>
              <w:kinsoku/>
              <w:wordWrap/>
              <w:overflowPunct/>
              <w:topLinePunct w:val="0"/>
              <w:autoSpaceDE/>
              <w:autoSpaceDN/>
              <w:bidi w:val="0"/>
              <w:snapToGrid w:val="0"/>
              <w:spacing w:before="0" w:beforeAutospacing="0" w:after="0" w:afterAutospacing="0" w:line="360" w:lineRule="auto"/>
              <w:ind w:left="0" w:right="0"/>
              <w:jc w:val="center"/>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服务期限</w:t>
            </w:r>
          </w:p>
        </w:tc>
        <w:tc>
          <w:tcPr>
            <w:tcW w:w="2436" w:type="pct"/>
            <w:noWrap w:val="0"/>
            <w:vAlign w:val="center"/>
          </w:tcPr>
          <w:p w14:paraId="01171D6C">
            <w:pPr>
              <w:keepNext w:val="0"/>
              <w:keepLines w:val="0"/>
              <w:pageBreakBefore w:val="0"/>
              <w:suppressLineNumbers w:val="0"/>
              <w:kinsoku/>
              <w:wordWrap/>
              <w:overflowPunct/>
              <w:topLinePunct w:val="0"/>
              <w:autoSpaceDE/>
              <w:autoSpaceDN/>
              <w:bidi w:val="0"/>
              <w:snapToGrid w:val="0"/>
              <w:spacing w:before="0" w:beforeAutospacing="0" w:after="0" w:afterAutospacing="0" w:line="360" w:lineRule="auto"/>
              <w:ind w:left="0" w:right="0"/>
              <w:jc w:val="center"/>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自合同签订之日起</w:t>
            </w:r>
            <w:r>
              <w:rPr>
                <w:rFonts w:hint="eastAsia" w:ascii="宋体" w:hAnsi="宋体" w:eastAsia="宋体" w:cs="宋体"/>
                <w:b w:val="0"/>
                <w:bCs/>
                <w:color w:val="auto"/>
                <w:sz w:val="21"/>
                <w:szCs w:val="21"/>
                <w:lang w:eastAsia="zh-CN"/>
              </w:rPr>
              <w:t>一年</w:t>
            </w:r>
            <w:r>
              <w:rPr>
                <w:rFonts w:hint="eastAsia" w:ascii="宋体" w:hAnsi="宋体" w:eastAsia="宋体" w:cs="宋体"/>
                <w:b w:val="0"/>
                <w:bCs/>
                <w:color w:val="auto"/>
                <w:sz w:val="21"/>
                <w:szCs w:val="21"/>
              </w:rPr>
              <w:t>。</w:t>
            </w:r>
          </w:p>
        </w:tc>
      </w:tr>
      <w:tr w14:paraId="4ADCC2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2563" w:type="pct"/>
            <w:gridSpan w:val="3"/>
            <w:noWrap w:val="0"/>
            <w:vAlign w:val="center"/>
          </w:tcPr>
          <w:p w14:paraId="725A6FDD">
            <w:pPr>
              <w:keepNext w:val="0"/>
              <w:keepLines w:val="0"/>
              <w:pageBreakBefore w:val="0"/>
              <w:suppressLineNumbers w:val="0"/>
              <w:kinsoku/>
              <w:wordWrap/>
              <w:overflowPunct/>
              <w:topLinePunct w:val="0"/>
              <w:autoSpaceDE/>
              <w:autoSpaceDN/>
              <w:bidi w:val="0"/>
              <w:snapToGrid w:val="0"/>
              <w:spacing w:before="0" w:beforeAutospacing="0" w:after="0" w:afterAutospacing="0" w:line="360" w:lineRule="auto"/>
              <w:ind w:left="0" w:right="0"/>
              <w:jc w:val="center"/>
              <w:textAlignment w:val="auto"/>
              <w:rPr>
                <w:rFonts w:hint="eastAsia" w:ascii="宋体" w:hAnsi="宋体" w:eastAsia="宋体" w:cs="宋体"/>
                <w:b w:val="0"/>
                <w:bCs/>
                <w:color w:val="000000"/>
                <w:sz w:val="21"/>
                <w:szCs w:val="21"/>
              </w:rPr>
            </w:pPr>
            <w:r>
              <w:rPr>
                <w:rFonts w:hint="eastAsia" w:ascii="宋体" w:hAnsi="宋体" w:eastAsia="宋体" w:cs="宋体"/>
                <w:b w:val="0"/>
                <w:bCs/>
                <w:color w:val="000000"/>
                <w:sz w:val="21"/>
                <w:szCs w:val="21"/>
              </w:rPr>
              <w:t>服务地点</w:t>
            </w:r>
          </w:p>
        </w:tc>
        <w:tc>
          <w:tcPr>
            <w:tcW w:w="2436" w:type="pct"/>
            <w:noWrap w:val="0"/>
            <w:vAlign w:val="center"/>
          </w:tcPr>
          <w:p w14:paraId="2963138C">
            <w:pPr>
              <w:keepNext w:val="0"/>
              <w:keepLines w:val="0"/>
              <w:pageBreakBefore w:val="0"/>
              <w:suppressLineNumbers w:val="0"/>
              <w:kinsoku/>
              <w:wordWrap/>
              <w:overflowPunct/>
              <w:topLinePunct w:val="0"/>
              <w:autoSpaceDE/>
              <w:autoSpaceDN/>
              <w:bidi w:val="0"/>
              <w:snapToGrid w:val="0"/>
              <w:spacing w:before="0" w:beforeAutospacing="0" w:after="0" w:afterAutospacing="0" w:line="360" w:lineRule="auto"/>
              <w:ind w:left="0" w:right="0"/>
              <w:jc w:val="center"/>
              <w:textAlignment w:val="auto"/>
              <w:rPr>
                <w:rFonts w:hint="eastAsia" w:ascii="宋体" w:hAnsi="宋体" w:eastAsia="宋体" w:cs="宋体"/>
                <w:b w:val="0"/>
                <w:bCs/>
                <w:color w:val="000000"/>
                <w:sz w:val="21"/>
                <w:szCs w:val="21"/>
              </w:rPr>
            </w:pPr>
            <w:r>
              <w:rPr>
                <w:rFonts w:hint="eastAsia" w:ascii="宋体" w:hAnsi="宋体" w:eastAsia="宋体" w:cs="宋体"/>
                <w:b w:val="0"/>
                <w:bCs/>
                <w:color w:val="000000"/>
                <w:sz w:val="21"/>
                <w:szCs w:val="21"/>
                <w:lang w:eastAsia="zh-CN"/>
              </w:rPr>
              <w:t>采购人</w:t>
            </w:r>
            <w:r>
              <w:rPr>
                <w:rFonts w:hint="eastAsia" w:ascii="宋体" w:hAnsi="宋体" w:eastAsia="宋体" w:cs="宋体"/>
                <w:b w:val="0"/>
                <w:bCs/>
                <w:color w:val="000000"/>
                <w:sz w:val="21"/>
                <w:szCs w:val="21"/>
              </w:rPr>
              <w:t>指定地点</w:t>
            </w:r>
          </w:p>
        </w:tc>
      </w:tr>
    </w:tbl>
    <w:p w14:paraId="5E0FCC76">
      <w:pPr>
        <w:keepNext w:val="0"/>
        <w:keepLines w:val="0"/>
        <w:pageBreakBefore w:val="0"/>
        <w:tabs>
          <w:tab w:val="left" w:pos="105"/>
          <w:tab w:val="left" w:pos="735"/>
          <w:tab w:val="left" w:pos="945"/>
          <w:tab w:val="left" w:pos="3360"/>
        </w:tabs>
        <w:kinsoku/>
        <w:wordWrap/>
        <w:overflowPunct/>
        <w:topLinePunct w:val="0"/>
        <w:autoSpaceDE/>
        <w:autoSpaceDN/>
        <w:bidi w:val="0"/>
        <w:spacing w:line="360" w:lineRule="auto"/>
        <w:textAlignment w:val="auto"/>
        <w:rPr>
          <w:rFonts w:hint="eastAsia" w:ascii="宋体" w:hAnsi="宋体" w:eastAsia="宋体" w:cs="宋体"/>
          <w:color w:val="000000"/>
          <w:sz w:val="21"/>
          <w:szCs w:val="21"/>
          <w:lang w:val="en-US" w:eastAsia="zh-CN"/>
        </w:rPr>
      </w:pPr>
      <w:r>
        <w:rPr>
          <w:rFonts w:hint="eastAsia" w:ascii="宋体" w:hAnsi="宋体" w:cs="宋体"/>
          <w:color w:val="auto"/>
          <w:szCs w:val="21"/>
          <w:highlight w:val="none"/>
        </w:rPr>
        <w:t>▲</w:t>
      </w:r>
      <w:r>
        <w:rPr>
          <w:rFonts w:hint="eastAsia" w:ascii="宋体" w:hAnsi="宋体" w:eastAsia="宋体" w:cs="宋体"/>
          <w:color w:val="000000"/>
          <w:sz w:val="21"/>
          <w:szCs w:val="21"/>
          <w:lang w:val="en-US" w:eastAsia="zh-CN"/>
        </w:rPr>
        <w:t>2.事故痕迹鉴定项目</w:t>
      </w:r>
      <w:r>
        <w:rPr>
          <w:rFonts w:hint="eastAsia" w:ascii="宋体" w:hAnsi="宋体" w:eastAsia="宋体" w:cs="宋体"/>
          <w:color w:val="000000"/>
          <w:sz w:val="21"/>
          <w:szCs w:val="21"/>
          <w:lang w:eastAsia="zh-CN"/>
        </w:rPr>
        <w:t>，具体内容如下</w:t>
      </w:r>
      <w:r>
        <w:rPr>
          <w:rFonts w:hint="eastAsia" w:ascii="宋体" w:hAnsi="宋体" w:eastAsia="宋体" w:cs="宋体"/>
          <w:color w:val="000000"/>
          <w:sz w:val="21"/>
          <w:szCs w:val="21"/>
          <w:lang w:val="en-US" w:eastAsia="zh-CN"/>
        </w:rPr>
        <w:t>:</w:t>
      </w:r>
    </w:p>
    <w:tbl>
      <w:tblPr>
        <w:tblStyle w:val="32"/>
        <w:tblpPr w:leftFromText="180" w:rightFromText="180" w:vertAnchor="text" w:horzAnchor="page" w:tblpXSpec="center" w:tblpY="103"/>
        <w:tblOverlap w:val="never"/>
        <w:tblW w:w="99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94"/>
        <w:gridCol w:w="4945"/>
      </w:tblGrid>
      <w:tr w14:paraId="23057B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994" w:type="dxa"/>
            <w:tcBorders>
              <w:top w:val="single" w:color="auto" w:sz="4" w:space="0"/>
              <w:left w:val="single" w:color="auto" w:sz="4" w:space="0"/>
              <w:bottom w:val="single" w:color="auto" w:sz="4" w:space="0"/>
              <w:right w:val="single" w:color="auto" w:sz="4" w:space="0"/>
            </w:tcBorders>
            <w:noWrap w:val="0"/>
            <w:vAlign w:val="center"/>
          </w:tcPr>
          <w:p w14:paraId="64474940">
            <w:pPr>
              <w:spacing w:line="360" w:lineRule="auto"/>
              <w:jc w:val="center"/>
              <w:rPr>
                <w:rFonts w:hint="eastAsia" w:ascii="宋体" w:hAnsi="宋体" w:eastAsia="宋体" w:cs="宋体"/>
                <w:sz w:val="21"/>
                <w:szCs w:val="21"/>
              </w:rPr>
            </w:pPr>
            <w:r>
              <w:rPr>
                <w:rFonts w:hint="eastAsia" w:ascii="宋体" w:hAnsi="宋体" w:eastAsia="宋体" w:cs="宋体"/>
                <w:sz w:val="21"/>
                <w:szCs w:val="21"/>
              </w:rPr>
              <w:t>项目内容</w:t>
            </w:r>
          </w:p>
        </w:tc>
        <w:tc>
          <w:tcPr>
            <w:tcW w:w="4945" w:type="dxa"/>
            <w:tcBorders>
              <w:top w:val="single" w:color="auto" w:sz="4" w:space="0"/>
              <w:left w:val="single" w:color="auto" w:sz="4" w:space="0"/>
              <w:bottom w:val="single" w:color="auto" w:sz="4" w:space="0"/>
              <w:right w:val="single" w:color="auto" w:sz="4" w:space="0"/>
            </w:tcBorders>
            <w:noWrap w:val="0"/>
            <w:vAlign w:val="center"/>
          </w:tcPr>
          <w:p w14:paraId="6389AAC9">
            <w:pPr>
              <w:spacing w:line="360" w:lineRule="auto"/>
              <w:jc w:val="center"/>
              <w:rPr>
                <w:rFonts w:hint="eastAsia" w:ascii="宋体" w:hAnsi="宋体" w:eastAsia="宋体" w:cs="宋体"/>
                <w:sz w:val="21"/>
                <w:szCs w:val="21"/>
              </w:rPr>
            </w:pPr>
            <w:r>
              <w:rPr>
                <w:rFonts w:hint="eastAsia" w:ascii="宋体" w:hAnsi="宋体" w:eastAsia="宋体" w:cs="宋体"/>
                <w:sz w:val="21"/>
                <w:szCs w:val="21"/>
              </w:rPr>
              <w:t>最高单价限价</w:t>
            </w:r>
          </w:p>
        </w:tc>
      </w:tr>
      <w:tr w14:paraId="57E702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994" w:type="dxa"/>
            <w:tcBorders>
              <w:top w:val="single" w:color="auto" w:sz="4" w:space="0"/>
              <w:left w:val="single" w:color="auto" w:sz="4" w:space="0"/>
              <w:right w:val="single" w:color="auto" w:sz="4" w:space="0"/>
            </w:tcBorders>
            <w:noWrap w:val="0"/>
            <w:vAlign w:val="center"/>
          </w:tcPr>
          <w:p w14:paraId="5C794131">
            <w:pPr>
              <w:spacing w:line="360" w:lineRule="auto"/>
              <w:jc w:val="center"/>
              <w:rPr>
                <w:rFonts w:hint="eastAsia" w:ascii="宋体" w:hAnsi="宋体" w:eastAsia="宋体" w:cs="宋体"/>
                <w:sz w:val="21"/>
                <w:szCs w:val="21"/>
              </w:rPr>
            </w:pPr>
            <w:r>
              <w:rPr>
                <w:rFonts w:hint="eastAsia" w:ascii="宋体" w:hAnsi="宋体" w:eastAsia="宋体" w:cs="宋体"/>
                <w:sz w:val="21"/>
                <w:szCs w:val="21"/>
              </w:rPr>
              <w:t>基于视频图像的车速鉴定</w:t>
            </w:r>
          </w:p>
        </w:tc>
        <w:tc>
          <w:tcPr>
            <w:tcW w:w="4945" w:type="dxa"/>
            <w:tcBorders>
              <w:top w:val="single" w:color="auto" w:sz="4" w:space="0"/>
              <w:left w:val="single" w:color="auto" w:sz="4" w:space="0"/>
              <w:right w:val="single" w:color="auto" w:sz="4" w:space="0"/>
            </w:tcBorders>
            <w:noWrap w:val="0"/>
            <w:vAlign w:val="center"/>
          </w:tcPr>
          <w:p w14:paraId="0FBBC944">
            <w:pPr>
              <w:spacing w:line="360" w:lineRule="auto"/>
              <w:jc w:val="center"/>
              <w:rPr>
                <w:rFonts w:hint="eastAsia" w:ascii="宋体" w:hAnsi="宋体" w:eastAsia="宋体" w:cs="宋体"/>
                <w:sz w:val="21"/>
                <w:szCs w:val="21"/>
              </w:rPr>
            </w:pPr>
            <w:r>
              <w:rPr>
                <w:rFonts w:hint="eastAsia" w:ascii="宋体" w:hAnsi="宋体" w:eastAsia="宋体" w:cs="宋体"/>
                <w:sz w:val="21"/>
                <w:szCs w:val="21"/>
              </w:rPr>
              <w:t>3000元/辆</w:t>
            </w:r>
          </w:p>
        </w:tc>
      </w:tr>
      <w:tr w14:paraId="62F898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994" w:type="dxa"/>
            <w:tcBorders>
              <w:top w:val="single" w:color="auto" w:sz="4" w:space="0"/>
              <w:left w:val="single" w:color="auto" w:sz="4" w:space="0"/>
              <w:right w:val="single" w:color="auto" w:sz="4" w:space="0"/>
            </w:tcBorders>
            <w:noWrap w:val="0"/>
            <w:vAlign w:val="center"/>
          </w:tcPr>
          <w:p w14:paraId="3159105E">
            <w:pPr>
              <w:spacing w:line="360" w:lineRule="auto"/>
              <w:jc w:val="center"/>
              <w:rPr>
                <w:rFonts w:hint="eastAsia" w:ascii="宋体" w:hAnsi="宋体" w:eastAsia="宋体" w:cs="宋体"/>
                <w:sz w:val="21"/>
                <w:szCs w:val="21"/>
              </w:rPr>
            </w:pPr>
            <w:r>
              <w:rPr>
                <w:rFonts w:hint="eastAsia" w:ascii="宋体" w:hAnsi="宋体" w:eastAsia="宋体" w:cs="宋体"/>
                <w:sz w:val="21"/>
                <w:szCs w:val="21"/>
              </w:rPr>
              <w:t>基于动力学、运动学理论的车速鉴定</w:t>
            </w:r>
          </w:p>
        </w:tc>
        <w:tc>
          <w:tcPr>
            <w:tcW w:w="4945" w:type="dxa"/>
            <w:tcBorders>
              <w:top w:val="single" w:color="auto" w:sz="4" w:space="0"/>
              <w:left w:val="single" w:color="auto" w:sz="4" w:space="0"/>
              <w:right w:val="single" w:color="auto" w:sz="4" w:space="0"/>
            </w:tcBorders>
            <w:noWrap w:val="0"/>
            <w:vAlign w:val="center"/>
          </w:tcPr>
          <w:p w14:paraId="6270E1C3">
            <w:pPr>
              <w:spacing w:line="360" w:lineRule="auto"/>
              <w:jc w:val="center"/>
              <w:rPr>
                <w:rFonts w:hint="eastAsia" w:ascii="宋体" w:hAnsi="宋体" w:eastAsia="宋体" w:cs="宋体"/>
                <w:sz w:val="21"/>
                <w:szCs w:val="21"/>
              </w:rPr>
            </w:pPr>
            <w:r>
              <w:rPr>
                <w:rFonts w:hint="eastAsia" w:ascii="宋体" w:hAnsi="宋体" w:eastAsia="宋体" w:cs="宋体"/>
                <w:sz w:val="21"/>
                <w:szCs w:val="21"/>
              </w:rPr>
              <w:t>4000元/辆</w:t>
            </w:r>
          </w:p>
        </w:tc>
      </w:tr>
      <w:tr w14:paraId="7DD2D4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994" w:type="dxa"/>
            <w:tcBorders>
              <w:top w:val="single" w:color="auto" w:sz="4" w:space="0"/>
              <w:left w:val="single" w:color="auto" w:sz="4" w:space="0"/>
              <w:right w:val="single" w:color="auto" w:sz="4" w:space="0"/>
            </w:tcBorders>
            <w:noWrap w:val="0"/>
            <w:vAlign w:val="center"/>
          </w:tcPr>
          <w:p w14:paraId="2E16F2D0">
            <w:pPr>
              <w:spacing w:line="360" w:lineRule="auto"/>
              <w:jc w:val="center"/>
              <w:rPr>
                <w:rFonts w:hint="eastAsia" w:ascii="宋体" w:hAnsi="宋体" w:eastAsia="宋体" w:cs="宋体"/>
                <w:sz w:val="21"/>
                <w:szCs w:val="21"/>
              </w:rPr>
            </w:pPr>
            <w:r>
              <w:rPr>
                <w:rFonts w:hint="eastAsia" w:ascii="宋体" w:hAnsi="宋体" w:eastAsia="宋体" w:cs="宋体"/>
                <w:sz w:val="21"/>
                <w:szCs w:val="21"/>
              </w:rPr>
              <w:t>基于车载记录设备信息的车速鉴定</w:t>
            </w:r>
          </w:p>
        </w:tc>
        <w:tc>
          <w:tcPr>
            <w:tcW w:w="4945" w:type="dxa"/>
            <w:tcBorders>
              <w:top w:val="single" w:color="auto" w:sz="4" w:space="0"/>
              <w:left w:val="single" w:color="auto" w:sz="4" w:space="0"/>
              <w:right w:val="single" w:color="auto" w:sz="4" w:space="0"/>
            </w:tcBorders>
            <w:noWrap w:val="0"/>
            <w:vAlign w:val="center"/>
          </w:tcPr>
          <w:p w14:paraId="54DE8FDA">
            <w:pPr>
              <w:spacing w:line="360" w:lineRule="auto"/>
              <w:jc w:val="center"/>
              <w:rPr>
                <w:rFonts w:hint="eastAsia" w:ascii="宋体" w:hAnsi="宋体" w:eastAsia="宋体" w:cs="宋体"/>
                <w:sz w:val="21"/>
                <w:szCs w:val="21"/>
              </w:rPr>
            </w:pPr>
            <w:r>
              <w:rPr>
                <w:rFonts w:hint="eastAsia" w:ascii="宋体" w:hAnsi="宋体" w:eastAsia="宋体" w:cs="宋体"/>
                <w:sz w:val="21"/>
                <w:szCs w:val="21"/>
              </w:rPr>
              <w:t>5000元/辆</w:t>
            </w:r>
          </w:p>
        </w:tc>
      </w:tr>
      <w:tr w14:paraId="00BA68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994" w:type="dxa"/>
            <w:tcBorders>
              <w:top w:val="single" w:color="auto" w:sz="4" w:space="0"/>
              <w:left w:val="single" w:color="auto" w:sz="4" w:space="0"/>
              <w:right w:val="single" w:color="auto" w:sz="4" w:space="0"/>
            </w:tcBorders>
            <w:noWrap w:val="0"/>
            <w:vAlign w:val="center"/>
          </w:tcPr>
          <w:p w14:paraId="1B687C4D">
            <w:pPr>
              <w:spacing w:line="360" w:lineRule="auto"/>
              <w:jc w:val="center"/>
              <w:rPr>
                <w:rFonts w:hint="eastAsia" w:ascii="宋体" w:hAnsi="宋体" w:eastAsia="宋体" w:cs="宋体"/>
                <w:sz w:val="21"/>
                <w:szCs w:val="21"/>
              </w:rPr>
            </w:pPr>
            <w:r>
              <w:rPr>
                <w:rFonts w:hint="eastAsia" w:ascii="宋体" w:hAnsi="宋体" w:eastAsia="宋体" w:cs="宋体"/>
                <w:sz w:val="21"/>
                <w:szCs w:val="21"/>
              </w:rPr>
              <w:t>痕迹鉴定</w:t>
            </w:r>
          </w:p>
        </w:tc>
        <w:tc>
          <w:tcPr>
            <w:tcW w:w="4945" w:type="dxa"/>
            <w:tcBorders>
              <w:top w:val="single" w:color="auto" w:sz="4" w:space="0"/>
              <w:left w:val="single" w:color="auto" w:sz="4" w:space="0"/>
              <w:right w:val="single" w:color="auto" w:sz="4" w:space="0"/>
            </w:tcBorders>
            <w:noWrap w:val="0"/>
            <w:vAlign w:val="center"/>
          </w:tcPr>
          <w:p w14:paraId="5F5F240C">
            <w:pPr>
              <w:spacing w:line="360" w:lineRule="auto"/>
              <w:jc w:val="center"/>
              <w:rPr>
                <w:rFonts w:hint="eastAsia" w:ascii="宋体" w:hAnsi="宋体" w:eastAsia="宋体" w:cs="宋体"/>
                <w:sz w:val="21"/>
                <w:szCs w:val="21"/>
              </w:rPr>
            </w:pPr>
            <w:r>
              <w:rPr>
                <w:rFonts w:hint="eastAsia" w:ascii="宋体" w:hAnsi="宋体" w:eastAsia="宋体" w:cs="宋体"/>
                <w:sz w:val="21"/>
                <w:szCs w:val="21"/>
              </w:rPr>
              <w:t>3000元/辆</w:t>
            </w:r>
          </w:p>
        </w:tc>
      </w:tr>
      <w:tr w14:paraId="0A2A29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994" w:type="dxa"/>
            <w:tcBorders>
              <w:top w:val="single" w:color="auto" w:sz="4" w:space="0"/>
              <w:left w:val="single" w:color="auto" w:sz="4" w:space="0"/>
              <w:bottom w:val="single" w:color="auto" w:sz="4" w:space="0"/>
              <w:right w:val="single" w:color="auto" w:sz="4" w:space="0"/>
            </w:tcBorders>
            <w:noWrap w:val="0"/>
            <w:vAlign w:val="center"/>
          </w:tcPr>
          <w:p w14:paraId="113F7BC2">
            <w:pPr>
              <w:spacing w:line="360" w:lineRule="auto"/>
              <w:jc w:val="center"/>
              <w:rPr>
                <w:rFonts w:hint="eastAsia" w:ascii="宋体" w:hAnsi="宋体" w:eastAsia="宋体" w:cs="宋体"/>
                <w:sz w:val="21"/>
                <w:szCs w:val="21"/>
              </w:rPr>
            </w:pPr>
            <w:r>
              <w:rPr>
                <w:rFonts w:hint="eastAsia" w:ascii="宋体" w:hAnsi="宋体" w:eastAsia="宋体" w:cs="宋体"/>
                <w:sz w:val="21"/>
                <w:szCs w:val="21"/>
              </w:rPr>
              <w:t>车辆行驶状态、行驶方向和轨迹鉴定</w:t>
            </w:r>
          </w:p>
        </w:tc>
        <w:tc>
          <w:tcPr>
            <w:tcW w:w="4945" w:type="dxa"/>
            <w:tcBorders>
              <w:top w:val="single" w:color="auto" w:sz="4" w:space="0"/>
              <w:left w:val="single" w:color="auto" w:sz="4" w:space="0"/>
              <w:bottom w:val="single" w:color="auto" w:sz="4" w:space="0"/>
              <w:right w:val="single" w:color="auto" w:sz="4" w:space="0"/>
            </w:tcBorders>
            <w:noWrap w:val="0"/>
            <w:vAlign w:val="center"/>
          </w:tcPr>
          <w:p w14:paraId="2C25B0C6">
            <w:pPr>
              <w:spacing w:line="360" w:lineRule="auto"/>
              <w:jc w:val="center"/>
              <w:rPr>
                <w:rFonts w:hint="eastAsia" w:ascii="宋体" w:hAnsi="宋体" w:eastAsia="宋体" w:cs="宋体"/>
                <w:sz w:val="21"/>
                <w:szCs w:val="21"/>
              </w:rPr>
            </w:pPr>
            <w:r>
              <w:rPr>
                <w:rFonts w:hint="eastAsia" w:ascii="宋体" w:hAnsi="宋体" w:eastAsia="宋体" w:cs="宋体"/>
                <w:sz w:val="21"/>
                <w:szCs w:val="21"/>
              </w:rPr>
              <w:t>4000元/辆</w:t>
            </w:r>
          </w:p>
        </w:tc>
      </w:tr>
      <w:tr w14:paraId="26FB1D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994" w:type="dxa"/>
            <w:tcBorders>
              <w:top w:val="single" w:color="auto" w:sz="4" w:space="0"/>
              <w:left w:val="single" w:color="auto" w:sz="4" w:space="0"/>
              <w:bottom w:val="single" w:color="auto" w:sz="4" w:space="0"/>
              <w:right w:val="single" w:color="auto" w:sz="4" w:space="0"/>
            </w:tcBorders>
            <w:noWrap w:val="0"/>
            <w:vAlign w:val="center"/>
          </w:tcPr>
          <w:p w14:paraId="4175D6E1">
            <w:pPr>
              <w:spacing w:line="360" w:lineRule="auto"/>
              <w:jc w:val="center"/>
              <w:rPr>
                <w:rFonts w:hint="eastAsia" w:ascii="宋体" w:hAnsi="宋体" w:eastAsia="宋体" w:cs="宋体"/>
                <w:sz w:val="21"/>
                <w:szCs w:val="21"/>
              </w:rPr>
            </w:pPr>
            <w:r>
              <w:rPr>
                <w:rFonts w:hint="eastAsia" w:ascii="宋体" w:hAnsi="宋体" w:eastAsia="宋体" w:cs="宋体"/>
                <w:sz w:val="21"/>
                <w:szCs w:val="21"/>
              </w:rPr>
              <w:t>微量物证鉴定</w:t>
            </w:r>
          </w:p>
        </w:tc>
        <w:tc>
          <w:tcPr>
            <w:tcW w:w="4945" w:type="dxa"/>
            <w:tcBorders>
              <w:top w:val="single" w:color="auto" w:sz="4" w:space="0"/>
              <w:left w:val="single" w:color="auto" w:sz="4" w:space="0"/>
              <w:bottom w:val="single" w:color="auto" w:sz="4" w:space="0"/>
              <w:right w:val="single" w:color="auto" w:sz="4" w:space="0"/>
            </w:tcBorders>
            <w:noWrap w:val="0"/>
            <w:vAlign w:val="center"/>
          </w:tcPr>
          <w:p w14:paraId="77D06EC6">
            <w:pPr>
              <w:spacing w:line="360" w:lineRule="auto"/>
              <w:jc w:val="center"/>
              <w:rPr>
                <w:rFonts w:hint="eastAsia" w:ascii="宋体" w:hAnsi="宋体" w:eastAsia="宋体" w:cs="宋体"/>
                <w:sz w:val="21"/>
                <w:szCs w:val="21"/>
              </w:rPr>
            </w:pPr>
            <w:r>
              <w:rPr>
                <w:rFonts w:hint="eastAsia" w:ascii="宋体" w:hAnsi="宋体" w:eastAsia="宋体" w:cs="宋体"/>
                <w:sz w:val="21"/>
                <w:szCs w:val="21"/>
              </w:rPr>
              <w:t>3000元/组（一组为两个）</w:t>
            </w:r>
          </w:p>
        </w:tc>
      </w:tr>
      <w:tr w14:paraId="63595F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994" w:type="dxa"/>
            <w:tcBorders>
              <w:top w:val="single" w:color="auto" w:sz="4" w:space="0"/>
              <w:left w:val="single" w:color="auto" w:sz="4" w:space="0"/>
              <w:bottom w:val="single" w:color="auto" w:sz="4" w:space="0"/>
              <w:right w:val="single" w:color="auto" w:sz="4" w:space="0"/>
            </w:tcBorders>
            <w:noWrap w:val="0"/>
            <w:vAlign w:val="center"/>
          </w:tcPr>
          <w:p w14:paraId="7796E68C">
            <w:pPr>
              <w:spacing w:line="360" w:lineRule="auto"/>
              <w:jc w:val="center"/>
              <w:rPr>
                <w:rFonts w:hint="eastAsia" w:ascii="宋体" w:hAnsi="宋体" w:eastAsia="宋体" w:cs="宋体"/>
                <w:sz w:val="21"/>
                <w:szCs w:val="21"/>
              </w:rPr>
            </w:pPr>
            <w:r>
              <w:rPr>
                <w:rFonts w:hint="eastAsia" w:ascii="宋体" w:hAnsi="宋体" w:eastAsia="宋体" w:cs="宋体"/>
                <w:sz w:val="21"/>
                <w:szCs w:val="21"/>
              </w:rPr>
              <w:t>司、乘关系鉴定</w:t>
            </w:r>
          </w:p>
        </w:tc>
        <w:tc>
          <w:tcPr>
            <w:tcW w:w="4945" w:type="dxa"/>
            <w:tcBorders>
              <w:top w:val="single" w:color="auto" w:sz="4" w:space="0"/>
              <w:left w:val="single" w:color="auto" w:sz="4" w:space="0"/>
              <w:bottom w:val="single" w:color="auto" w:sz="4" w:space="0"/>
              <w:right w:val="single" w:color="auto" w:sz="4" w:space="0"/>
            </w:tcBorders>
            <w:noWrap w:val="0"/>
            <w:vAlign w:val="center"/>
          </w:tcPr>
          <w:p w14:paraId="109EF81A">
            <w:pPr>
              <w:spacing w:line="360" w:lineRule="auto"/>
              <w:jc w:val="center"/>
              <w:rPr>
                <w:rFonts w:hint="eastAsia" w:ascii="宋体" w:hAnsi="宋体" w:eastAsia="宋体" w:cs="宋体"/>
                <w:sz w:val="21"/>
                <w:szCs w:val="21"/>
              </w:rPr>
            </w:pPr>
            <w:r>
              <w:rPr>
                <w:rFonts w:hint="eastAsia" w:ascii="宋体" w:hAnsi="宋体" w:eastAsia="宋体" w:cs="宋体"/>
                <w:sz w:val="21"/>
                <w:szCs w:val="21"/>
              </w:rPr>
              <w:t>4000元/辆</w:t>
            </w:r>
          </w:p>
        </w:tc>
      </w:tr>
      <w:tr w14:paraId="5CFC19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994" w:type="dxa"/>
            <w:tcBorders>
              <w:top w:val="single" w:color="auto" w:sz="4" w:space="0"/>
              <w:left w:val="single" w:color="auto" w:sz="4" w:space="0"/>
              <w:bottom w:val="single" w:color="auto" w:sz="4" w:space="0"/>
              <w:right w:val="single" w:color="auto" w:sz="4" w:space="0"/>
            </w:tcBorders>
            <w:noWrap w:val="0"/>
            <w:vAlign w:val="center"/>
          </w:tcPr>
          <w:p w14:paraId="018617EF">
            <w:pPr>
              <w:spacing w:line="360" w:lineRule="auto"/>
              <w:jc w:val="center"/>
              <w:rPr>
                <w:rFonts w:hint="eastAsia" w:ascii="宋体" w:hAnsi="宋体" w:eastAsia="宋体" w:cs="宋体"/>
                <w:sz w:val="21"/>
                <w:szCs w:val="21"/>
              </w:rPr>
            </w:pPr>
            <w:r>
              <w:rPr>
                <w:rFonts w:hint="eastAsia" w:ascii="宋体" w:hAnsi="宋体" w:eastAsia="宋体" w:cs="宋体"/>
                <w:sz w:val="21"/>
                <w:szCs w:val="21"/>
              </w:rPr>
              <w:t>二、三轮车骑行或推行鉴定</w:t>
            </w:r>
          </w:p>
        </w:tc>
        <w:tc>
          <w:tcPr>
            <w:tcW w:w="4945" w:type="dxa"/>
            <w:tcBorders>
              <w:top w:val="single" w:color="auto" w:sz="4" w:space="0"/>
              <w:left w:val="single" w:color="auto" w:sz="4" w:space="0"/>
              <w:bottom w:val="single" w:color="auto" w:sz="4" w:space="0"/>
              <w:right w:val="single" w:color="auto" w:sz="4" w:space="0"/>
            </w:tcBorders>
            <w:noWrap w:val="0"/>
            <w:vAlign w:val="center"/>
          </w:tcPr>
          <w:p w14:paraId="772561D0">
            <w:pPr>
              <w:spacing w:line="360" w:lineRule="auto"/>
              <w:jc w:val="center"/>
              <w:rPr>
                <w:rFonts w:hint="eastAsia" w:ascii="宋体" w:hAnsi="宋体" w:eastAsia="宋体" w:cs="宋体"/>
                <w:sz w:val="21"/>
                <w:szCs w:val="21"/>
              </w:rPr>
            </w:pPr>
            <w:r>
              <w:rPr>
                <w:rFonts w:hint="eastAsia" w:ascii="宋体" w:hAnsi="宋体" w:eastAsia="宋体" w:cs="宋体"/>
                <w:sz w:val="21"/>
                <w:szCs w:val="21"/>
              </w:rPr>
              <w:t>3500元/辆</w:t>
            </w:r>
          </w:p>
        </w:tc>
      </w:tr>
      <w:tr w14:paraId="5264BE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994" w:type="dxa"/>
            <w:tcBorders>
              <w:top w:val="single" w:color="auto" w:sz="4" w:space="0"/>
              <w:left w:val="single" w:color="auto" w:sz="4" w:space="0"/>
              <w:bottom w:val="single" w:color="auto" w:sz="4" w:space="0"/>
              <w:right w:val="single" w:color="auto" w:sz="4" w:space="0"/>
            </w:tcBorders>
            <w:noWrap w:val="0"/>
            <w:vAlign w:val="center"/>
          </w:tcPr>
          <w:p w14:paraId="27B78CB5">
            <w:pPr>
              <w:spacing w:line="360" w:lineRule="auto"/>
              <w:jc w:val="center"/>
              <w:rPr>
                <w:rFonts w:hint="eastAsia" w:ascii="宋体" w:hAnsi="宋体" w:eastAsia="宋体" w:cs="宋体"/>
                <w:sz w:val="21"/>
                <w:szCs w:val="21"/>
              </w:rPr>
            </w:pPr>
            <w:r>
              <w:rPr>
                <w:rFonts w:hint="eastAsia" w:ascii="宋体" w:hAnsi="宋体" w:eastAsia="宋体" w:cs="宋体"/>
                <w:sz w:val="21"/>
                <w:szCs w:val="21"/>
              </w:rPr>
              <w:t>车辆损坏与交通事故因果关系鉴定</w:t>
            </w:r>
          </w:p>
        </w:tc>
        <w:tc>
          <w:tcPr>
            <w:tcW w:w="4945" w:type="dxa"/>
            <w:tcBorders>
              <w:top w:val="single" w:color="auto" w:sz="4" w:space="0"/>
              <w:left w:val="single" w:color="auto" w:sz="4" w:space="0"/>
              <w:bottom w:val="single" w:color="auto" w:sz="4" w:space="0"/>
              <w:right w:val="single" w:color="auto" w:sz="4" w:space="0"/>
            </w:tcBorders>
            <w:noWrap w:val="0"/>
            <w:vAlign w:val="center"/>
          </w:tcPr>
          <w:p w14:paraId="75235269">
            <w:pPr>
              <w:spacing w:line="360" w:lineRule="auto"/>
              <w:jc w:val="center"/>
              <w:rPr>
                <w:rFonts w:hint="eastAsia" w:ascii="宋体" w:hAnsi="宋体" w:eastAsia="宋体" w:cs="宋体"/>
                <w:sz w:val="21"/>
                <w:szCs w:val="21"/>
              </w:rPr>
            </w:pPr>
            <w:r>
              <w:rPr>
                <w:rFonts w:hint="eastAsia" w:ascii="宋体" w:hAnsi="宋体" w:eastAsia="宋体" w:cs="宋体"/>
                <w:sz w:val="21"/>
                <w:szCs w:val="21"/>
              </w:rPr>
              <w:t>4000元/辆</w:t>
            </w:r>
          </w:p>
        </w:tc>
      </w:tr>
      <w:tr w14:paraId="1DFD18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994" w:type="dxa"/>
            <w:tcBorders>
              <w:top w:val="single" w:color="auto" w:sz="4" w:space="0"/>
              <w:left w:val="single" w:color="auto" w:sz="4" w:space="0"/>
              <w:bottom w:val="single" w:color="auto" w:sz="4" w:space="0"/>
              <w:right w:val="single" w:color="auto" w:sz="4" w:space="0"/>
            </w:tcBorders>
            <w:noWrap w:val="0"/>
            <w:vAlign w:val="center"/>
          </w:tcPr>
          <w:p w14:paraId="5874260B">
            <w:pPr>
              <w:spacing w:line="360" w:lineRule="auto"/>
              <w:jc w:val="center"/>
              <w:rPr>
                <w:rFonts w:hint="eastAsia" w:ascii="宋体" w:hAnsi="宋体" w:eastAsia="宋体" w:cs="宋体"/>
                <w:sz w:val="21"/>
                <w:szCs w:val="21"/>
              </w:rPr>
            </w:pPr>
            <w:r>
              <w:rPr>
                <w:rFonts w:hint="eastAsia" w:ascii="宋体" w:hAnsi="宋体" w:eastAsia="宋体" w:cs="宋体"/>
                <w:sz w:val="21"/>
                <w:szCs w:val="21"/>
              </w:rPr>
              <w:t>路口交通信号灯状态鉴定</w:t>
            </w:r>
          </w:p>
        </w:tc>
        <w:tc>
          <w:tcPr>
            <w:tcW w:w="4945" w:type="dxa"/>
            <w:tcBorders>
              <w:top w:val="single" w:color="auto" w:sz="4" w:space="0"/>
              <w:left w:val="single" w:color="auto" w:sz="4" w:space="0"/>
              <w:bottom w:val="single" w:color="auto" w:sz="4" w:space="0"/>
              <w:right w:val="single" w:color="auto" w:sz="4" w:space="0"/>
            </w:tcBorders>
            <w:noWrap w:val="0"/>
            <w:vAlign w:val="center"/>
          </w:tcPr>
          <w:p w14:paraId="5B567B17">
            <w:pPr>
              <w:spacing w:line="360" w:lineRule="auto"/>
              <w:jc w:val="center"/>
              <w:rPr>
                <w:rFonts w:hint="eastAsia" w:ascii="宋体" w:hAnsi="宋体" w:eastAsia="宋体" w:cs="宋体"/>
                <w:sz w:val="21"/>
                <w:szCs w:val="21"/>
              </w:rPr>
            </w:pPr>
            <w:r>
              <w:rPr>
                <w:rFonts w:hint="eastAsia" w:ascii="宋体" w:hAnsi="宋体" w:eastAsia="宋体" w:cs="宋体"/>
                <w:sz w:val="21"/>
                <w:szCs w:val="21"/>
              </w:rPr>
              <w:t>3500元/辆</w:t>
            </w:r>
          </w:p>
        </w:tc>
      </w:tr>
      <w:tr w14:paraId="3399CA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994" w:type="dxa"/>
            <w:tcBorders>
              <w:top w:val="single" w:color="auto" w:sz="4" w:space="0"/>
              <w:left w:val="single" w:color="auto" w:sz="4" w:space="0"/>
              <w:bottom w:val="single" w:color="auto" w:sz="4" w:space="0"/>
              <w:right w:val="single" w:color="auto" w:sz="4" w:space="0"/>
            </w:tcBorders>
            <w:noWrap w:val="0"/>
            <w:vAlign w:val="center"/>
          </w:tcPr>
          <w:p w14:paraId="5D3D886D">
            <w:pPr>
              <w:spacing w:line="360" w:lineRule="auto"/>
              <w:jc w:val="center"/>
              <w:rPr>
                <w:rFonts w:hint="eastAsia" w:ascii="宋体" w:hAnsi="宋体" w:eastAsia="宋体" w:cs="宋体"/>
                <w:sz w:val="21"/>
                <w:szCs w:val="21"/>
              </w:rPr>
            </w:pPr>
            <w:r>
              <w:rPr>
                <w:rFonts w:hint="eastAsia" w:ascii="宋体" w:hAnsi="宋体" w:eastAsia="宋体" w:cs="宋体"/>
                <w:sz w:val="21"/>
                <w:szCs w:val="21"/>
              </w:rPr>
              <w:t>PC-Crash软件仿真再现鉴定</w:t>
            </w:r>
          </w:p>
        </w:tc>
        <w:tc>
          <w:tcPr>
            <w:tcW w:w="4945" w:type="dxa"/>
            <w:tcBorders>
              <w:top w:val="single" w:color="auto" w:sz="4" w:space="0"/>
              <w:left w:val="single" w:color="auto" w:sz="4" w:space="0"/>
              <w:bottom w:val="single" w:color="auto" w:sz="4" w:space="0"/>
              <w:right w:val="single" w:color="auto" w:sz="4" w:space="0"/>
            </w:tcBorders>
            <w:noWrap w:val="0"/>
            <w:vAlign w:val="center"/>
          </w:tcPr>
          <w:p w14:paraId="4FE4FBD5">
            <w:pPr>
              <w:spacing w:line="360" w:lineRule="auto"/>
              <w:jc w:val="center"/>
              <w:rPr>
                <w:rFonts w:hint="eastAsia" w:ascii="宋体" w:hAnsi="宋体" w:eastAsia="宋体" w:cs="宋体"/>
                <w:sz w:val="21"/>
                <w:szCs w:val="21"/>
              </w:rPr>
            </w:pPr>
            <w:r>
              <w:rPr>
                <w:rFonts w:hint="eastAsia" w:ascii="宋体" w:hAnsi="宋体" w:eastAsia="宋体" w:cs="宋体"/>
                <w:sz w:val="21"/>
                <w:szCs w:val="21"/>
              </w:rPr>
              <w:t>8000元/起</w:t>
            </w:r>
          </w:p>
        </w:tc>
      </w:tr>
      <w:tr w14:paraId="77493C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994" w:type="dxa"/>
            <w:tcBorders>
              <w:top w:val="single" w:color="auto" w:sz="4" w:space="0"/>
              <w:left w:val="single" w:color="auto" w:sz="4" w:space="0"/>
              <w:right w:val="single" w:color="auto" w:sz="4" w:space="0"/>
            </w:tcBorders>
            <w:noWrap w:val="0"/>
            <w:vAlign w:val="center"/>
          </w:tcPr>
          <w:p w14:paraId="3E174BE4">
            <w:pPr>
              <w:spacing w:line="360" w:lineRule="auto"/>
              <w:jc w:val="center"/>
              <w:rPr>
                <w:rFonts w:hint="eastAsia" w:ascii="宋体" w:hAnsi="宋体" w:eastAsia="宋体" w:cs="宋体"/>
                <w:sz w:val="21"/>
                <w:szCs w:val="21"/>
              </w:rPr>
            </w:pPr>
            <w:r>
              <w:rPr>
                <w:rFonts w:hint="eastAsia" w:ascii="宋体" w:hAnsi="宋体" w:eastAsia="宋体" w:cs="宋体"/>
                <w:sz w:val="21"/>
                <w:szCs w:val="21"/>
              </w:rPr>
              <w:t>其他有关交通事故车辆痕迹鉴定</w:t>
            </w:r>
          </w:p>
        </w:tc>
        <w:tc>
          <w:tcPr>
            <w:tcW w:w="4945" w:type="dxa"/>
            <w:tcBorders>
              <w:top w:val="single" w:color="auto" w:sz="4" w:space="0"/>
              <w:left w:val="single" w:color="auto" w:sz="4" w:space="0"/>
              <w:right w:val="single" w:color="auto" w:sz="4" w:space="0"/>
            </w:tcBorders>
            <w:noWrap w:val="0"/>
            <w:vAlign w:val="center"/>
          </w:tcPr>
          <w:p w14:paraId="12B0675D">
            <w:pPr>
              <w:spacing w:line="360" w:lineRule="auto"/>
              <w:jc w:val="center"/>
              <w:rPr>
                <w:rFonts w:hint="eastAsia" w:ascii="宋体" w:hAnsi="宋体" w:eastAsia="宋体" w:cs="宋体"/>
                <w:sz w:val="21"/>
                <w:szCs w:val="21"/>
              </w:rPr>
            </w:pPr>
            <w:r>
              <w:rPr>
                <w:rFonts w:hint="eastAsia" w:ascii="宋体" w:hAnsi="宋体" w:eastAsia="宋体" w:cs="宋体"/>
                <w:sz w:val="21"/>
                <w:szCs w:val="21"/>
              </w:rPr>
              <w:t>4000元/辆</w:t>
            </w:r>
          </w:p>
        </w:tc>
      </w:tr>
    </w:tbl>
    <w:p w14:paraId="74347B0B">
      <w:pPr>
        <w:keepNext w:val="0"/>
        <w:keepLines w:val="0"/>
        <w:pageBreakBefore w:val="0"/>
        <w:widowControl w:val="0"/>
        <w:kinsoku/>
        <w:wordWrap/>
        <w:overflowPunct/>
        <w:topLinePunct w:val="0"/>
        <w:autoSpaceDE/>
        <w:autoSpaceDN/>
        <w:bidi w:val="0"/>
        <w:adjustRightInd/>
        <w:spacing w:line="360" w:lineRule="auto"/>
        <w:ind w:firstLine="371" w:firstLineChars="177"/>
        <w:textAlignment w:val="auto"/>
        <w:rPr>
          <w:rFonts w:hint="eastAsia" w:ascii="宋体" w:hAnsi="宋体" w:eastAsia="宋体" w:cs="宋体"/>
          <w:b/>
          <w:bCs/>
          <w:sz w:val="21"/>
          <w:szCs w:val="21"/>
          <w:lang w:val="en-US" w:eastAsia="zh-CN"/>
        </w:rPr>
      </w:pPr>
      <w:r>
        <w:rPr>
          <w:rFonts w:hint="eastAsia" w:ascii="宋体" w:hAnsi="宋体" w:cs="宋体"/>
          <w:color w:val="auto"/>
          <w:szCs w:val="21"/>
          <w:highlight w:val="none"/>
        </w:rPr>
        <w:t>▲</w:t>
      </w:r>
      <w:r>
        <w:rPr>
          <w:rFonts w:hint="eastAsia" w:ascii="宋体" w:hAnsi="宋体" w:cs="宋体"/>
          <w:b/>
          <w:bCs/>
          <w:color w:val="auto"/>
          <w:szCs w:val="21"/>
          <w:highlight w:val="none"/>
        </w:rPr>
        <w:t>本次投标品目</w:t>
      </w:r>
      <w:r>
        <w:rPr>
          <w:rFonts w:hint="eastAsia" w:ascii="宋体" w:hAnsi="宋体" w:cs="宋体"/>
          <w:b/>
          <w:bCs/>
          <w:color w:val="auto"/>
          <w:szCs w:val="21"/>
          <w:highlight w:val="none"/>
          <w:lang w:eastAsia="zh-CN"/>
        </w:rPr>
        <w:t>采购人</w:t>
      </w:r>
      <w:r>
        <w:rPr>
          <w:rFonts w:hint="eastAsia" w:ascii="宋体" w:hAnsi="宋体" w:cs="宋体"/>
          <w:b/>
          <w:bCs/>
          <w:color w:val="auto"/>
          <w:szCs w:val="21"/>
          <w:highlight w:val="none"/>
        </w:rPr>
        <w:t>已设</w:t>
      </w:r>
      <w:r>
        <w:rPr>
          <w:rFonts w:hint="eastAsia" w:ascii="宋体" w:hAnsi="宋体" w:cs="宋体"/>
          <w:b/>
          <w:bCs/>
          <w:color w:val="auto"/>
          <w:szCs w:val="21"/>
          <w:highlight w:val="none"/>
          <w:lang w:eastAsia="zh-CN"/>
        </w:rPr>
        <w:t>最高单价限价</w:t>
      </w:r>
      <w:r>
        <w:rPr>
          <w:rFonts w:hint="eastAsia" w:ascii="宋体" w:hAnsi="宋体" w:cs="宋体"/>
          <w:b/>
          <w:bCs/>
          <w:color w:val="auto"/>
          <w:szCs w:val="21"/>
          <w:highlight w:val="none"/>
        </w:rPr>
        <w:t>，各</w:t>
      </w:r>
      <w:r>
        <w:rPr>
          <w:rFonts w:hint="eastAsia" w:ascii="宋体" w:hAnsi="宋体" w:cs="宋体"/>
          <w:b/>
          <w:bCs/>
          <w:color w:val="auto"/>
          <w:szCs w:val="21"/>
          <w:highlight w:val="none"/>
          <w:lang w:eastAsia="zh-CN"/>
        </w:rPr>
        <w:t>供应商</w:t>
      </w:r>
      <w:r>
        <w:rPr>
          <w:rFonts w:hint="eastAsia" w:ascii="宋体" w:hAnsi="宋体" w:cs="宋体"/>
          <w:b/>
          <w:bCs/>
          <w:color w:val="auto"/>
          <w:szCs w:val="21"/>
          <w:highlight w:val="none"/>
        </w:rPr>
        <w:t>在</w:t>
      </w:r>
      <w:r>
        <w:rPr>
          <w:rFonts w:hint="eastAsia" w:ascii="宋体" w:hAnsi="宋体" w:cs="宋体"/>
          <w:b/>
          <w:bCs/>
          <w:color w:val="auto"/>
          <w:szCs w:val="21"/>
          <w:highlight w:val="none"/>
          <w:lang w:eastAsia="zh-CN"/>
        </w:rPr>
        <w:t>采购人</w:t>
      </w:r>
      <w:r>
        <w:rPr>
          <w:rFonts w:hint="eastAsia" w:ascii="宋体" w:hAnsi="宋体" w:cs="宋体"/>
          <w:b/>
          <w:bCs/>
          <w:color w:val="auto"/>
          <w:szCs w:val="21"/>
          <w:highlight w:val="none"/>
        </w:rPr>
        <w:t>设定的</w:t>
      </w:r>
      <w:r>
        <w:rPr>
          <w:rFonts w:hint="eastAsia" w:ascii="宋体" w:hAnsi="宋体" w:cs="宋体"/>
          <w:b/>
          <w:bCs/>
          <w:color w:val="auto"/>
          <w:szCs w:val="21"/>
          <w:highlight w:val="none"/>
          <w:lang w:eastAsia="zh-CN"/>
        </w:rPr>
        <w:t>最高单价限价</w:t>
      </w:r>
      <w:r>
        <w:rPr>
          <w:rFonts w:hint="eastAsia" w:ascii="宋体" w:hAnsi="宋体" w:cs="宋体"/>
          <w:b/>
          <w:bCs/>
          <w:color w:val="auto"/>
          <w:szCs w:val="21"/>
          <w:highlight w:val="none"/>
        </w:rPr>
        <w:t>的基础上根据企业自身实力及市场行情自行填报投标折扣率（如8.5折填写为85.00%；7折填写为70.00%），不同投标品目要求填报统一的折扣率（即所有投标品目的折扣率均相同），报价折扣的范围为：0.00%-100.00%（小数点后保留两位小数），报价折扣超出该范围（0.00%-100.00%）的报价，按无效响应处理</w:t>
      </w:r>
      <w:r>
        <w:rPr>
          <w:rFonts w:hint="eastAsia" w:ascii="宋体" w:hAnsi="宋体" w:cs="宋体"/>
          <w:b/>
          <w:bCs/>
          <w:color w:val="auto"/>
          <w:szCs w:val="21"/>
          <w:highlight w:val="none"/>
          <w:lang w:eastAsia="zh-CN"/>
        </w:rPr>
        <w:t>。</w:t>
      </w:r>
      <w:r>
        <w:rPr>
          <w:rFonts w:hint="eastAsia" w:ascii="宋体" w:hAnsi="宋体" w:eastAsia="宋体" w:cs="宋体"/>
          <w:b/>
          <w:bCs/>
          <w:sz w:val="21"/>
          <w:szCs w:val="21"/>
          <w:lang w:val="en-US" w:eastAsia="zh-CN"/>
        </w:rPr>
        <w:t>结算方式：</w:t>
      </w:r>
      <w:r>
        <w:rPr>
          <w:rFonts w:hint="eastAsia" w:ascii="宋体" w:hAnsi="宋体" w:cs="宋体"/>
          <w:b/>
          <w:bCs/>
          <w:sz w:val="21"/>
          <w:szCs w:val="21"/>
          <w:lang w:val="en-US" w:eastAsia="zh-CN"/>
        </w:rPr>
        <w:t>供应商</w:t>
      </w:r>
      <w:r>
        <w:rPr>
          <w:rFonts w:hint="eastAsia" w:ascii="宋体" w:hAnsi="宋体" w:eastAsia="宋体" w:cs="宋体"/>
          <w:b/>
          <w:bCs/>
          <w:sz w:val="21"/>
          <w:szCs w:val="21"/>
          <w:lang w:val="en-US" w:eastAsia="zh-CN"/>
        </w:rPr>
        <w:t>的投标报价为一个不变的费率，实际结算价=投标最高限价*</w:t>
      </w:r>
      <w:r>
        <w:rPr>
          <w:rFonts w:hint="eastAsia" w:ascii="宋体" w:hAnsi="宋体" w:cs="宋体"/>
          <w:b/>
          <w:bCs/>
          <w:sz w:val="21"/>
          <w:szCs w:val="21"/>
          <w:lang w:val="en-US" w:eastAsia="zh-CN"/>
        </w:rPr>
        <w:t>中标</w:t>
      </w:r>
      <w:r>
        <w:rPr>
          <w:rFonts w:hint="eastAsia" w:ascii="宋体" w:hAnsi="宋体" w:eastAsia="宋体" w:cs="宋体"/>
          <w:b/>
          <w:bCs/>
          <w:sz w:val="21"/>
          <w:szCs w:val="21"/>
          <w:lang w:val="en-US" w:eastAsia="zh-CN"/>
        </w:rPr>
        <w:t>费率*实际数量，该实际结算价应包括完成该项目所涉及的全部费用。</w:t>
      </w:r>
    </w:p>
    <w:p w14:paraId="07187CAD">
      <w:pPr>
        <w:keepNext w:val="0"/>
        <w:keepLines w:val="0"/>
        <w:pageBreakBefore w:val="0"/>
        <w:widowControl w:val="0"/>
        <w:tabs>
          <w:tab w:val="left" w:pos="360"/>
        </w:tabs>
        <w:kinsoku/>
        <w:wordWrap/>
        <w:overflowPunct/>
        <w:topLinePunct w:val="0"/>
        <w:autoSpaceDE/>
        <w:autoSpaceDN/>
        <w:bidi w:val="0"/>
        <w:spacing w:line="360" w:lineRule="auto"/>
        <w:ind w:firstLine="422" w:firstLineChars="200"/>
        <w:textAlignment w:val="auto"/>
        <w:rPr>
          <w:rFonts w:hint="eastAsia" w:ascii="宋体" w:hAnsi="宋体" w:eastAsia="宋体" w:cs="宋体"/>
          <w:b/>
          <w:bCs/>
          <w:color w:val="000000"/>
          <w:sz w:val="21"/>
          <w:szCs w:val="21"/>
        </w:rPr>
      </w:pPr>
      <w:r>
        <w:rPr>
          <w:rFonts w:hint="eastAsia" w:ascii="宋体" w:hAnsi="宋体" w:eastAsia="宋体" w:cs="宋体"/>
          <w:b/>
          <w:bCs/>
          <w:color w:val="000000"/>
          <w:sz w:val="21"/>
          <w:szCs w:val="21"/>
          <w:lang w:val="en-US" w:eastAsia="zh-CN"/>
        </w:rPr>
        <w:t>3</w:t>
      </w:r>
      <w:r>
        <w:rPr>
          <w:rFonts w:hint="eastAsia" w:ascii="宋体" w:hAnsi="宋体" w:eastAsia="宋体" w:cs="宋体"/>
          <w:b/>
          <w:bCs/>
          <w:color w:val="000000"/>
          <w:sz w:val="21"/>
          <w:szCs w:val="21"/>
          <w:lang w:eastAsia="zh-CN"/>
        </w:rPr>
        <w:t>.</w:t>
      </w:r>
      <w:r>
        <w:rPr>
          <w:rFonts w:hint="eastAsia" w:ascii="宋体" w:hAnsi="宋体" w:eastAsia="宋体" w:cs="宋体"/>
          <w:b/>
          <w:bCs/>
          <w:color w:val="000000"/>
          <w:sz w:val="21"/>
          <w:szCs w:val="21"/>
        </w:rPr>
        <w:t>总体要求</w:t>
      </w:r>
    </w:p>
    <w:p w14:paraId="6E33DCD3">
      <w:pPr>
        <w:keepNext w:val="0"/>
        <w:keepLines w:val="0"/>
        <w:pageBreakBefore w:val="0"/>
        <w:widowControl w:val="0"/>
        <w:tabs>
          <w:tab w:val="left" w:pos="360"/>
        </w:tabs>
        <w:kinsoku/>
        <w:wordWrap/>
        <w:overflowPunct/>
        <w:topLinePunct w:val="0"/>
        <w:autoSpaceDE/>
        <w:autoSpaceDN/>
        <w:bidi w:val="0"/>
        <w:spacing w:line="360" w:lineRule="auto"/>
        <w:ind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3</w:t>
      </w:r>
      <w:r>
        <w:rPr>
          <w:rFonts w:hint="eastAsia" w:ascii="宋体" w:hAnsi="宋体" w:eastAsia="宋体" w:cs="宋体"/>
          <w:color w:val="000000"/>
          <w:sz w:val="21"/>
          <w:szCs w:val="21"/>
        </w:rPr>
        <w:t>.1供应商须对招标范围内的全部内容进行投标。</w:t>
      </w:r>
    </w:p>
    <w:p w14:paraId="6C234FE8">
      <w:pPr>
        <w:keepNext w:val="0"/>
        <w:keepLines w:val="0"/>
        <w:pageBreakBefore w:val="0"/>
        <w:widowControl w:val="0"/>
        <w:tabs>
          <w:tab w:val="left" w:pos="360"/>
        </w:tabs>
        <w:kinsoku/>
        <w:wordWrap/>
        <w:overflowPunct/>
        <w:topLinePunct w:val="0"/>
        <w:autoSpaceDE/>
        <w:autoSpaceDN/>
        <w:bidi w:val="0"/>
        <w:spacing w:line="360" w:lineRule="auto"/>
        <w:ind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3</w:t>
      </w:r>
      <w:r>
        <w:rPr>
          <w:rFonts w:hint="eastAsia" w:ascii="宋体" w:hAnsi="宋体" w:eastAsia="宋体" w:cs="宋体"/>
          <w:color w:val="000000"/>
          <w:sz w:val="21"/>
          <w:szCs w:val="21"/>
        </w:rPr>
        <w:t>.2供应商必须按照相关国家、行业标准开展鉴定工作，检验鉴定过程必须遵循合法、公平、公开原则。</w:t>
      </w:r>
    </w:p>
    <w:p w14:paraId="6DE10461">
      <w:pPr>
        <w:keepNext w:val="0"/>
        <w:keepLines w:val="0"/>
        <w:pageBreakBefore w:val="0"/>
        <w:widowControl w:val="0"/>
        <w:tabs>
          <w:tab w:val="left" w:pos="360"/>
        </w:tabs>
        <w:kinsoku/>
        <w:wordWrap/>
        <w:overflowPunct/>
        <w:topLinePunct w:val="0"/>
        <w:autoSpaceDE/>
        <w:autoSpaceDN/>
        <w:bidi w:val="0"/>
        <w:spacing w:line="360" w:lineRule="auto"/>
        <w:ind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3</w:t>
      </w:r>
      <w:r>
        <w:rPr>
          <w:rFonts w:hint="eastAsia" w:ascii="宋体" w:hAnsi="宋体" w:eastAsia="宋体" w:cs="宋体"/>
          <w:color w:val="000000"/>
          <w:sz w:val="21"/>
          <w:szCs w:val="21"/>
        </w:rPr>
        <w:t>.3接到委托后需在采购人要求的时间内到场，并在国家法律法规及上级有关文件规定时间内出具检验鉴定报告，如遇特殊情况需在采购人指定的时间内出具鉴定报告。</w:t>
      </w:r>
    </w:p>
    <w:p w14:paraId="0191980B">
      <w:pPr>
        <w:keepNext w:val="0"/>
        <w:keepLines w:val="0"/>
        <w:pageBreakBefore w:val="0"/>
        <w:widowControl w:val="0"/>
        <w:tabs>
          <w:tab w:val="left" w:pos="360"/>
        </w:tabs>
        <w:kinsoku/>
        <w:wordWrap/>
        <w:overflowPunct/>
        <w:topLinePunct w:val="0"/>
        <w:autoSpaceDE/>
        <w:autoSpaceDN/>
        <w:bidi w:val="0"/>
        <w:spacing w:line="360" w:lineRule="auto"/>
        <w:ind w:firstLine="420" w:firstLineChars="200"/>
        <w:textAlignment w:val="auto"/>
        <w:rPr>
          <w:rFonts w:hint="eastAsia" w:ascii="宋体" w:hAnsi="宋体" w:cs="宋体"/>
          <w:color w:val="000000"/>
          <w:sz w:val="21"/>
          <w:szCs w:val="21"/>
          <w:highlight w:val="none"/>
          <w:lang w:val="en-US" w:eastAsia="zh-CN"/>
        </w:rPr>
      </w:pPr>
      <w:r>
        <w:rPr>
          <w:rFonts w:hint="eastAsia" w:ascii="宋体" w:hAnsi="宋体" w:eastAsia="宋体" w:cs="宋体"/>
          <w:color w:val="000000"/>
          <w:sz w:val="21"/>
          <w:szCs w:val="21"/>
          <w:highlight w:val="none"/>
          <w:lang w:val="en-US" w:eastAsia="zh-CN"/>
        </w:rPr>
        <w:t>3</w:t>
      </w:r>
      <w:r>
        <w:rPr>
          <w:rFonts w:hint="eastAsia" w:ascii="宋体" w:hAnsi="宋体" w:eastAsia="宋体" w:cs="宋体"/>
          <w:color w:val="000000"/>
          <w:sz w:val="21"/>
          <w:szCs w:val="21"/>
          <w:highlight w:val="none"/>
        </w:rPr>
        <w:t>.</w:t>
      </w:r>
      <w:r>
        <w:rPr>
          <w:rFonts w:hint="eastAsia" w:ascii="宋体" w:hAnsi="宋体" w:eastAsia="宋体" w:cs="宋体"/>
          <w:color w:val="000000"/>
          <w:sz w:val="21"/>
          <w:szCs w:val="21"/>
          <w:highlight w:val="none"/>
          <w:lang w:val="en-US" w:eastAsia="zh-CN"/>
        </w:rPr>
        <w:t>4根据司法部司法鉴定执业类别文件，“交通事故痕迹物证鉴定”包含：车辆技术安全技术状况鉴定、交通事故痕迹鉴定、车辆速度鉴定、交通事故痕迹物证综合鉴定等，日常交通事故鉴定必须2名有全项资质的鉴定人到场鉴定</w:t>
      </w:r>
      <w:r>
        <w:rPr>
          <w:rFonts w:hint="eastAsia" w:ascii="宋体" w:hAnsi="宋体" w:cs="宋体"/>
          <w:color w:val="000000"/>
          <w:sz w:val="21"/>
          <w:szCs w:val="21"/>
          <w:highlight w:val="none"/>
          <w:lang w:val="en-US" w:eastAsia="zh-CN"/>
        </w:rPr>
        <w:t>，采购人</w:t>
      </w:r>
      <w:r>
        <w:rPr>
          <w:rFonts w:hint="eastAsia" w:ascii="宋体" w:hAnsi="宋体" w:eastAsia="宋体" w:cs="宋体"/>
          <w:color w:val="000000"/>
          <w:sz w:val="21"/>
          <w:szCs w:val="21"/>
          <w:highlight w:val="none"/>
          <w:lang w:val="en-US" w:eastAsia="zh-CN"/>
        </w:rPr>
        <w:t>管辖区域每天同时不同地发生多起以上交通事故概率较高</w:t>
      </w:r>
      <w:r>
        <w:rPr>
          <w:rFonts w:hint="eastAsia" w:ascii="宋体" w:hAnsi="宋体" w:cs="宋体"/>
          <w:color w:val="000000"/>
          <w:sz w:val="21"/>
          <w:szCs w:val="21"/>
          <w:highlight w:val="none"/>
          <w:lang w:val="en-US" w:eastAsia="zh-CN"/>
        </w:rPr>
        <w:t>。</w:t>
      </w:r>
    </w:p>
    <w:p w14:paraId="6191D50D">
      <w:pPr>
        <w:keepNext w:val="0"/>
        <w:keepLines w:val="0"/>
        <w:pageBreakBefore w:val="0"/>
        <w:widowControl w:val="0"/>
        <w:tabs>
          <w:tab w:val="left" w:pos="360"/>
        </w:tabs>
        <w:kinsoku/>
        <w:wordWrap/>
        <w:overflowPunct/>
        <w:topLinePunct w:val="0"/>
        <w:autoSpaceDE/>
        <w:autoSpaceDN/>
        <w:bidi w:val="0"/>
        <w:spacing w:line="360" w:lineRule="auto"/>
        <w:ind w:firstLine="422" w:firstLineChars="200"/>
        <w:textAlignment w:val="auto"/>
        <w:rPr>
          <w:rFonts w:hint="eastAsia" w:ascii="宋体" w:hAnsi="宋体" w:eastAsia="宋体" w:cs="宋体"/>
          <w:b/>
          <w:bCs/>
          <w:color w:val="000000"/>
          <w:sz w:val="21"/>
          <w:szCs w:val="21"/>
          <w:highlight w:val="yellow"/>
          <w:lang w:val="en-US" w:eastAsia="zh-CN"/>
        </w:rPr>
      </w:pPr>
      <w:r>
        <w:rPr>
          <w:rFonts w:hint="eastAsia" w:ascii="宋体" w:hAnsi="宋体" w:cs="宋体"/>
          <w:b/>
          <w:bCs/>
          <w:color w:val="auto"/>
          <w:szCs w:val="21"/>
          <w:highlight w:val="none"/>
        </w:rPr>
        <w:t>▲供应商须为本项目提供车辆痕迹鉴定人员全项资质人员至少4人（含项目负责人1名），每位鉴定人员执业范围必须至少包含车辆技术安全技术状况鉴定、交通事故痕迹鉴定、车辆速度鉴定</w:t>
      </w:r>
      <w:r>
        <w:rPr>
          <w:rFonts w:hint="eastAsia" w:ascii="宋体" w:hAnsi="宋体" w:cs="宋体"/>
          <w:b/>
          <w:bCs/>
          <w:color w:val="auto"/>
          <w:szCs w:val="21"/>
          <w:highlight w:val="none"/>
          <w:lang w:eastAsia="zh-CN"/>
        </w:rPr>
        <w:t>、</w:t>
      </w:r>
      <w:r>
        <w:rPr>
          <w:rFonts w:hint="eastAsia" w:ascii="宋体" w:hAnsi="宋体" w:cs="宋体"/>
          <w:b/>
          <w:bCs/>
          <w:color w:val="auto"/>
          <w:szCs w:val="21"/>
          <w:highlight w:val="none"/>
        </w:rPr>
        <w:t>交通事故痕迹物证综合鉴定等4种子类型。（注：司法部关于印发《物证类司法鉴定执业分类规定》《声像资料司法鉴定执业分类规定》的通知第三章第27条“交通事故痕迹物证鉴定”包含以上4子项。（投标时</w:t>
      </w:r>
      <w:r>
        <w:rPr>
          <w:rFonts w:hint="eastAsia" w:ascii="宋体" w:hAnsi="宋体" w:cs="宋体"/>
          <w:b/>
          <w:bCs/>
          <w:color w:val="auto"/>
          <w:szCs w:val="21"/>
          <w:highlight w:val="none"/>
          <w:lang w:eastAsia="zh-CN"/>
        </w:rPr>
        <w:t>商务技术</w:t>
      </w:r>
      <w:r>
        <w:rPr>
          <w:rFonts w:hint="eastAsia" w:ascii="宋体" w:hAnsi="宋体" w:cs="宋体"/>
          <w:b/>
          <w:bCs/>
          <w:color w:val="auto"/>
          <w:szCs w:val="21"/>
          <w:highlight w:val="none"/>
        </w:rPr>
        <w:t>文件提供鉴定人员《司法鉴定人执业证》扫描件，执业范围为：“痕迹（限交通事故痕迹物证）鉴定或包含以上4子项，否则视为</w:t>
      </w:r>
      <w:r>
        <w:rPr>
          <w:rFonts w:hint="eastAsia" w:ascii="宋体" w:hAnsi="宋体" w:cs="宋体"/>
          <w:b/>
          <w:bCs/>
          <w:color w:val="auto"/>
          <w:szCs w:val="21"/>
          <w:highlight w:val="none"/>
          <w:lang w:eastAsia="zh-CN"/>
        </w:rPr>
        <w:t>符合性审查不通过</w:t>
      </w:r>
      <w:r>
        <w:rPr>
          <w:rFonts w:hint="eastAsia" w:ascii="宋体" w:hAnsi="宋体" w:cs="宋体"/>
          <w:b/>
          <w:bCs/>
          <w:color w:val="auto"/>
          <w:szCs w:val="21"/>
          <w:highlight w:val="none"/>
        </w:rPr>
        <w:t>）</w:t>
      </w:r>
      <w:r>
        <w:rPr>
          <w:rFonts w:hint="eastAsia" w:ascii="宋体" w:hAnsi="宋体" w:cs="宋体"/>
          <w:b/>
          <w:bCs/>
          <w:color w:val="auto"/>
          <w:szCs w:val="21"/>
          <w:highlight w:val="none"/>
          <w:lang w:eastAsia="zh-CN"/>
        </w:rPr>
        <w:t>。</w:t>
      </w:r>
    </w:p>
    <w:p w14:paraId="5C2B3C04">
      <w:pPr>
        <w:keepNext w:val="0"/>
        <w:keepLines w:val="0"/>
        <w:pageBreakBefore w:val="0"/>
        <w:widowControl w:val="0"/>
        <w:tabs>
          <w:tab w:val="left" w:pos="360"/>
        </w:tabs>
        <w:kinsoku/>
        <w:wordWrap/>
        <w:overflowPunct/>
        <w:topLinePunct w:val="0"/>
        <w:autoSpaceDE/>
        <w:autoSpaceDN/>
        <w:bidi w:val="0"/>
        <w:spacing w:line="360" w:lineRule="auto"/>
        <w:ind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3</w:t>
      </w:r>
      <w:r>
        <w:rPr>
          <w:rFonts w:hint="eastAsia" w:ascii="宋体" w:hAnsi="宋体" w:eastAsia="宋体" w:cs="宋体"/>
          <w:color w:val="000000"/>
          <w:sz w:val="21"/>
          <w:szCs w:val="21"/>
        </w:rPr>
        <w:t>.</w:t>
      </w:r>
      <w:r>
        <w:rPr>
          <w:rFonts w:hint="eastAsia" w:ascii="宋体" w:hAnsi="宋体" w:eastAsia="宋体" w:cs="宋体"/>
          <w:color w:val="000000"/>
          <w:sz w:val="21"/>
          <w:szCs w:val="21"/>
          <w:lang w:val="en-US" w:eastAsia="zh-CN"/>
        </w:rPr>
        <w:t>5</w:t>
      </w:r>
      <w:r>
        <w:rPr>
          <w:rFonts w:hint="eastAsia" w:ascii="宋体" w:hAnsi="宋体" w:eastAsia="宋体" w:cs="宋体"/>
          <w:color w:val="000000"/>
          <w:sz w:val="21"/>
          <w:szCs w:val="21"/>
        </w:rPr>
        <w:t>中标供应商配备有满足相关标准要求的用于勘验和提取取证，以及进行事故车辆安全技术检验的仪器和装备。</w:t>
      </w:r>
    </w:p>
    <w:p w14:paraId="6645BF21">
      <w:pPr>
        <w:keepNext w:val="0"/>
        <w:keepLines w:val="0"/>
        <w:pageBreakBefore w:val="0"/>
        <w:widowControl w:val="0"/>
        <w:tabs>
          <w:tab w:val="left" w:pos="360"/>
        </w:tabs>
        <w:kinsoku/>
        <w:wordWrap/>
        <w:overflowPunct/>
        <w:topLinePunct w:val="0"/>
        <w:autoSpaceDE/>
        <w:autoSpaceDN/>
        <w:bidi w:val="0"/>
        <w:spacing w:line="360" w:lineRule="auto"/>
        <w:ind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3</w:t>
      </w:r>
      <w:r>
        <w:rPr>
          <w:rFonts w:hint="eastAsia" w:ascii="宋体" w:hAnsi="宋体" w:eastAsia="宋体" w:cs="宋体"/>
          <w:color w:val="000000"/>
          <w:sz w:val="21"/>
          <w:szCs w:val="21"/>
        </w:rPr>
        <w:t>.</w:t>
      </w:r>
      <w:r>
        <w:rPr>
          <w:rFonts w:hint="eastAsia" w:ascii="宋体" w:hAnsi="宋体" w:eastAsia="宋体" w:cs="宋体"/>
          <w:color w:val="000000"/>
          <w:sz w:val="21"/>
          <w:szCs w:val="21"/>
          <w:lang w:val="en-US" w:eastAsia="zh-CN"/>
        </w:rPr>
        <w:t>6</w:t>
      </w:r>
      <w:r>
        <w:rPr>
          <w:rFonts w:hint="eastAsia" w:ascii="宋体" w:hAnsi="宋体" w:eastAsia="宋体" w:cs="宋体"/>
          <w:color w:val="000000"/>
          <w:sz w:val="21"/>
          <w:szCs w:val="21"/>
        </w:rPr>
        <w:t>供应商应提供符合本技术要求和国家标准、行业标准的优质服务。供应商提供的服务应标明所执行的质量标准，若同一标准已颁发新标准，则按最新标准执行。若同时有几个标准（国际标准、国家标准、行业标准、企业标准等），则按最高层次的标准执行。</w:t>
      </w:r>
    </w:p>
    <w:p w14:paraId="5BB5B508">
      <w:pPr>
        <w:pStyle w:val="30"/>
        <w:keepNext w:val="0"/>
        <w:keepLines w:val="0"/>
        <w:pageBreakBefore w:val="0"/>
        <w:widowControl w:val="0"/>
        <w:kinsoku/>
        <w:wordWrap/>
        <w:overflowPunct/>
        <w:topLinePunct w:val="0"/>
        <w:autoSpaceDE/>
        <w:autoSpaceDN/>
        <w:bidi w:val="0"/>
        <w:spacing w:after="0" w:line="360" w:lineRule="auto"/>
        <w:ind w:left="0" w:leftChars="0" w:firstLine="422" w:firstLineChars="200"/>
        <w:textAlignment w:val="auto"/>
        <w:rPr>
          <w:rFonts w:hint="eastAsia" w:ascii="宋体" w:hAnsi="宋体" w:eastAsia="宋体" w:cs="宋体"/>
          <w:b/>
          <w:bCs/>
          <w:color w:val="000000"/>
          <w:sz w:val="21"/>
          <w:szCs w:val="21"/>
        </w:rPr>
      </w:pPr>
      <w:r>
        <w:rPr>
          <w:rFonts w:hint="eastAsia" w:ascii="宋体" w:hAnsi="宋体" w:eastAsia="宋体" w:cs="宋体"/>
          <w:b/>
          <w:bCs/>
          <w:color w:val="000000"/>
          <w:sz w:val="21"/>
          <w:szCs w:val="21"/>
        </w:rPr>
        <w:t>▲</w:t>
      </w:r>
      <w:r>
        <w:rPr>
          <w:rFonts w:hint="eastAsia" w:ascii="宋体" w:hAnsi="宋体" w:eastAsia="宋体" w:cs="宋体"/>
          <w:b/>
          <w:bCs/>
          <w:color w:val="000000"/>
          <w:sz w:val="21"/>
          <w:szCs w:val="21"/>
          <w:lang w:val="en-US" w:eastAsia="zh-CN"/>
        </w:rPr>
        <w:t>4</w:t>
      </w:r>
      <w:r>
        <w:rPr>
          <w:rFonts w:hint="eastAsia" w:ascii="宋体" w:hAnsi="宋体" w:eastAsia="宋体" w:cs="宋体"/>
          <w:b/>
          <w:bCs/>
          <w:color w:val="000000"/>
          <w:sz w:val="21"/>
          <w:szCs w:val="21"/>
          <w:lang w:eastAsia="zh-CN"/>
        </w:rPr>
        <w:t>.</w:t>
      </w:r>
      <w:r>
        <w:rPr>
          <w:rFonts w:hint="eastAsia" w:ascii="宋体" w:hAnsi="宋体" w:eastAsia="宋体" w:cs="宋体"/>
          <w:b/>
          <w:bCs/>
          <w:color w:val="000000"/>
          <w:sz w:val="21"/>
          <w:szCs w:val="21"/>
        </w:rPr>
        <w:t>服务期限</w:t>
      </w:r>
      <w:r>
        <w:rPr>
          <w:rFonts w:hint="eastAsia" w:ascii="宋体" w:hAnsi="宋体" w:eastAsia="宋体" w:cs="宋体"/>
          <w:b/>
          <w:bCs/>
          <w:color w:val="000000"/>
          <w:sz w:val="21"/>
          <w:szCs w:val="21"/>
          <w:lang w:eastAsia="zh-CN"/>
        </w:rPr>
        <w:t>：</w:t>
      </w:r>
      <w:r>
        <w:rPr>
          <w:rFonts w:hint="eastAsia" w:ascii="宋体" w:hAnsi="宋体" w:eastAsia="宋体" w:cs="宋体"/>
          <w:b/>
          <w:bCs/>
          <w:color w:val="000000"/>
          <w:sz w:val="21"/>
          <w:szCs w:val="21"/>
        </w:rPr>
        <w:t>服务期限</w:t>
      </w:r>
      <w:r>
        <w:rPr>
          <w:rFonts w:hint="eastAsia" w:ascii="宋体" w:hAnsi="宋体" w:eastAsia="宋体" w:cs="宋体"/>
          <w:b/>
          <w:bCs/>
          <w:color w:val="000000"/>
          <w:sz w:val="21"/>
          <w:szCs w:val="21"/>
          <w:lang w:val="en-US" w:eastAsia="zh-CN"/>
        </w:rPr>
        <w:t>1</w:t>
      </w:r>
      <w:r>
        <w:rPr>
          <w:rFonts w:hint="eastAsia" w:ascii="宋体" w:hAnsi="宋体" w:eastAsia="宋体" w:cs="宋体"/>
          <w:b/>
          <w:bCs/>
          <w:color w:val="000000"/>
          <w:sz w:val="21"/>
          <w:szCs w:val="21"/>
        </w:rPr>
        <w:t>年。</w:t>
      </w:r>
    </w:p>
    <w:p w14:paraId="184A370B">
      <w:pPr>
        <w:keepNext w:val="0"/>
        <w:keepLines w:val="0"/>
        <w:pageBreakBefore w:val="0"/>
        <w:widowControl w:val="0"/>
        <w:kinsoku/>
        <w:wordWrap/>
        <w:overflowPunct/>
        <w:topLinePunct w:val="0"/>
        <w:autoSpaceDE/>
        <w:autoSpaceDN/>
        <w:bidi w:val="0"/>
        <w:adjustRightInd w:val="0"/>
        <w:snapToGrid w:val="0"/>
        <w:spacing w:line="360" w:lineRule="auto"/>
        <w:ind w:firstLine="422" w:firstLineChars="200"/>
        <w:textAlignment w:val="auto"/>
        <w:outlineLvl w:val="1"/>
        <w:rPr>
          <w:rFonts w:hint="eastAsia" w:ascii="宋体" w:hAnsi="宋体" w:eastAsia="宋体" w:cs="宋体"/>
          <w:b/>
          <w:color w:val="000000"/>
          <w:sz w:val="21"/>
          <w:szCs w:val="21"/>
        </w:rPr>
      </w:pPr>
      <w:r>
        <w:rPr>
          <w:rFonts w:hint="eastAsia" w:ascii="宋体" w:hAnsi="宋体" w:eastAsia="宋体" w:cs="宋体"/>
          <w:b/>
          <w:color w:val="000000"/>
          <w:sz w:val="21"/>
          <w:szCs w:val="21"/>
        </w:rPr>
        <w:t>二、服务条款要求</w:t>
      </w:r>
    </w:p>
    <w:p w14:paraId="164D59A4">
      <w:pPr>
        <w:keepNext w:val="0"/>
        <w:keepLines w:val="0"/>
        <w:pageBreakBefore w:val="0"/>
        <w:widowControl w:val="0"/>
        <w:tabs>
          <w:tab w:val="left" w:pos="360"/>
        </w:tabs>
        <w:kinsoku/>
        <w:wordWrap/>
        <w:overflowPunct/>
        <w:topLinePunct w:val="0"/>
        <w:autoSpaceDE/>
        <w:autoSpaceDN/>
        <w:bidi w:val="0"/>
        <w:spacing w:line="360" w:lineRule="auto"/>
        <w:ind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中标供应商在接到采购人的委托书后，应按委托要求时间派技术人员准时到达指定地点，并按照委托项目对事故车辆进行检验，及时将检验鉴定书并送达采购人，检验鉴定时间不得超过法律法规及上级有关文件规定。</w:t>
      </w:r>
    </w:p>
    <w:p w14:paraId="3932488B">
      <w:pPr>
        <w:keepNext w:val="0"/>
        <w:keepLines w:val="0"/>
        <w:pageBreakBefore w:val="0"/>
        <w:widowControl w:val="0"/>
        <w:tabs>
          <w:tab w:val="left" w:pos="360"/>
        </w:tabs>
        <w:kinsoku/>
        <w:wordWrap/>
        <w:overflowPunct/>
        <w:topLinePunct w:val="0"/>
        <w:autoSpaceDE/>
        <w:autoSpaceDN/>
        <w:bidi w:val="0"/>
        <w:spacing w:line="360" w:lineRule="auto"/>
        <w:ind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2</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交通事故车辆技术检验鉴定工作应严格按照国家标准进行。</w:t>
      </w:r>
    </w:p>
    <w:p w14:paraId="0E1C48BD">
      <w:pPr>
        <w:keepNext w:val="0"/>
        <w:keepLines w:val="0"/>
        <w:pageBreakBefore w:val="0"/>
        <w:widowControl w:val="0"/>
        <w:tabs>
          <w:tab w:val="left" w:pos="360"/>
        </w:tabs>
        <w:kinsoku/>
        <w:wordWrap/>
        <w:overflowPunct/>
        <w:topLinePunct w:val="0"/>
        <w:autoSpaceDE/>
        <w:autoSpaceDN/>
        <w:bidi w:val="0"/>
        <w:spacing w:line="360" w:lineRule="auto"/>
        <w:ind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3</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保密要求：中标供应商需将勘查资料及检验、鉴定报告妥善保存，并负有保密责任，未经采购人书面同意，不得以任何方式向第三方转让、泄露关于交通事故的相关资料。</w:t>
      </w:r>
    </w:p>
    <w:p w14:paraId="20EB20EC">
      <w:pPr>
        <w:keepNext w:val="0"/>
        <w:keepLines w:val="0"/>
        <w:pageBreakBefore w:val="0"/>
        <w:widowControl w:val="0"/>
        <w:tabs>
          <w:tab w:val="left" w:pos="360"/>
        </w:tabs>
        <w:kinsoku/>
        <w:wordWrap/>
        <w:overflowPunct/>
        <w:topLinePunct w:val="0"/>
        <w:autoSpaceDE/>
        <w:autoSpaceDN/>
        <w:bidi w:val="0"/>
        <w:spacing w:line="360" w:lineRule="auto"/>
        <w:ind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4</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由检验鉴定小组2名（或以上）技术人员共同检验鉴定，并统一按规定的文字格式规范制作并注明签发日期，检验鉴定书根据实际需求出具相应份数（电脑打印），由检验鉴定该车的两名（或以上）专业技术人员共同签名并注明技术职称，并加盖检验鉴定单位印章，并附鉴定机构和人员资质。</w:t>
      </w:r>
    </w:p>
    <w:p w14:paraId="0BA9F688">
      <w:pPr>
        <w:keepNext w:val="0"/>
        <w:keepLines w:val="0"/>
        <w:pageBreakBefore w:val="0"/>
        <w:widowControl w:val="0"/>
        <w:tabs>
          <w:tab w:val="left" w:pos="360"/>
        </w:tabs>
        <w:kinsoku/>
        <w:wordWrap/>
        <w:overflowPunct/>
        <w:topLinePunct w:val="0"/>
        <w:autoSpaceDE/>
        <w:autoSpaceDN/>
        <w:bidi w:val="0"/>
        <w:spacing w:line="360" w:lineRule="auto"/>
        <w:ind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5</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对关键零部件做检验鉴定时，应同时按事故痕迹的拍照规范进行拍照固定并附照片进行文字说明，与检验鉴定书一并交采购人。</w:t>
      </w:r>
    </w:p>
    <w:p w14:paraId="4FE2A57E">
      <w:pPr>
        <w:keepNext w:val="0"/>
        <w:keepLines w:val="0"/>
        <w:pageBreakBefore w:val="0"/>
        <w:widowControl w:val="0"/>
        <w:tabs>
          <w:tab w:val="left" w:pos="360"/>
        </w:tabs>
        <w:kinsoku/>
        <w:wordWrap/>
        <w:overflowPunct/>
        <w:topLinePunct w:val="0"/>
        <w:autoSpaceDE/>
        <w:autoSpaceDN/>
        <w:bidi w:val="0"/>
        <w:spacing w:line="360" w:lineRule="auto"/>
        <w:ind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6</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检验鉴定书中的名词术语必须准确规范，不得使用俗语或外语译音。</w:t>
      </w:r>
    </w:p>
    <w:p w14:paraId="517F6476">
      <w:pPr>
        <w:keepNext w:val="0"/>
        <w:keepLines w:val="0"/>
        <w:pageBreakBefore w:val="0"/>
        <w:widowControl w:val="0"/>
        <w:tabs>
          <w:tab w:val="left" w:pos="360"/>
        </w:tabs>
        <w:kinsoku/>
        <w:wordWrap/>
        <w:overflowPunct/>
        <w:topLinePunct w:val="0"/>
        <w:autoSpaceDE/>
        <w:autoSpaceDN/>
        <w:bidi w:val="0"/>
        <w:spacing w:line="360" w:lineRule="auto"/>
        <w:ind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7</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检验鉴定书中的检验记录应具体详细， 结论应精简明确。</w:t>
      </w:r>
    </w:p>
    <w:p w14:paraId="298562FA">
      <w:pPr>
        <w:keepNext w:val="0"/>
        <w:keepLines w:val="0"/>
        <w:pageBreakBefore w:val="0"/>
        <w:widowControl w:val="0"/>
        <w:tabs>
          <w:tab w:val="left" w:pos="360"/>
        </w:tabs>
        <w:kinsoku/>
        <w:wordWrap/>
        <w:overflowPunct/>
        <w:topLinePunct w:val="0"/>
        <w:autoSpaceDE/>
        <w:autoSpaceDN/>
        <w:bidi w:val="0"/>
        <w:spacing w:line="360" w:lineRule="auto"/>
        <w:ind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8</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在承包作业期间的各项服务，其工作时间（全天二十四小时）应满足甲方的工作要求，包括</w:t>
      </w:r>
      <w:r>
        <w:rPr>
          <w:rFonts w:hint="eastAsia" w:ascii="宋体" w:hAnsi="宋体" w:eastAsia="宋体" w:cs="宋体"/>
          <w:color w:val="000000"/>
          <w:sz w:val="21"/>
          <w:szCs w:val="21"/>
          <w:lang w:eastAsia="zh-CN"/>
        </w:rPr>
        <w:t>双休日及</w:t>
      </w:r>
      <w:r>
        <w:rPr>
          <w:rFonts w:hint="eastAsia" w:ascii="宋体" w:hAnsi="宋体" w:eastAsia="宋体" w:cs="宋体"/>
          <w:color w:val="000000"/>
          <w:sz w:val="21"/>
          <w:szCs w:val="21"/>
        </w:rPr>
        <w:t>公众假期，无论乙方有任何理由，均不得拖延、停止服务工作。</w:t>
      </w:r>
    </w:p>
    <w:p w14:paraId="5E4723DB">
      <w:pPr>
        <w:keepNext w:val="0"/>
        <w:keepLines w:val="0"/>
        <w:pageBreakBefore w:val="0"/>
        <w:widowControl w:val="0"/>
        <w:tabs>
          <w:tab w:val="left" w:pos="360"/>
        </w:tabs>
        <w:kinsoku/>
        <w:wordWrap/>
        <w:overflowPunct/>
        <w:topLinePunct w:val="0"/>
        <w:autoSpaceDE/>
        <w:autoSpaceDN/>
        <w:bidi w:val="0"/>
        <w:spacing w:line="360" w:lineRule="auto"/>
        <w:ind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9</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因工作需要，采购人临时向中标供应商提出服务的要求，应全力配合，按照采购人提出标准及要求完成，不得无故拖延。</w:t>
      </w:r>
    </w:p>
    <w:p w14:paraId="2CF590AD">
      <w:pPr>
        <w:keepNext w:val="0"/>
        <w:keepLines w:val="0"/>
        <w:pageBreakBefore w:val="0"/>
        <w:widowControl w:val="0"/>
        <w:tabs>
          <w:tab w:val="left" w:pos="360"/>
        </w:tabs>
        <w:kinsoku/>
        <w:wordWrap/>
        <w:overflowPunct/>
        <w:topLinePunct w:val="0"/>
        <w:autoSpaceDE/>
        <w:autoSpaceDN/>
        <w:bidi w:val="0"/>
        <w:spacing w:line="360" w:lineRule="auto"/>
        <w:ind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10</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中标供应商必须对员工发生的事故责任以及员工计生、身份、健康等承担责任；同时对员工在作业期间做出不良行为给甲方造成影响承担责任。</w:t>
      </w:r>
    </w:p>
    <w:p w14:paraId="34D17315">
      <w:pPr>
        <w:keepNext w:val="0"/>
        <w:keepLines w:val="0"/>
        <w:pageBreakBefore w:val="0"/>
        <w:widowControl w:val="0"/>
        <w:tabs>
          <w:tab w:val="left" w:pos="360"/>
        </w:tabs>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11</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中标供应商员工发生被媒体曝光或影响采购人公众形象或违反采购人规章制度造成不良影响，而由此产生的损失及消除影响产生的费用，由中标供应商全部承担；采购人根据事件的轻重，将保留扣除中标供应商的当月合同款10%~30%的权利，单月合同款以委托书时间为准。</w:t>
      </w:r>
    </w:p>
    <w:p w14:paraId="0547E3DF">
      <w:pPr>
        <w:keepNext w:val="0"/>
        <w:keepLines w:val="0"/>
        <w:pageBreakBefore w:val="0"/>
        <w:widowControl w:val="0"/>
        <w:tabs>
          <w:tab w:val="left" w:pos="360"/>
        </w:tabs>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12</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承包期间，因中标供应商原因导致作业区域内的其他有关车辆、设施、设备损坏、由此引起的责任和损失由中标供应商承担。</w:t>
      </w:r>
    </w:p>
    <w:p w14:paraId="221F25D8">
      <w:pPr>
        <w:keepNext w:val="0"/>
        <w:keepLines w:val="0"/>
        <w:pageBreakBefore w:val="0"/>
        <w:widowControl w:val="0"/>
        <w:tabs>
          <w:tab w:val="left" w:pos="360"/>
        </w:tabs>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13</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公司的办公各类设施及费用、人员食宿、安全等均由中标供应商自行负责解决。</w:t>
      </w:r>
    </w:p>
    <w:p w14:paraId="0F3B1CCD">
      <w:pPr>
        <w:keepNext w:val="0"/>
        <w:keepLines w:val="0"/>
        <w:pageBreakBefore w:val="0"/>
        <w:widowControl w:val="0"/>
        <w:tabs>
          <w:tab w:val="left" w:pos="360"/>
        </w:tabs>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14</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中标供应商须按政府各部门有关规定为中标供应商的每位员工交纳各种社会保险及相关费用。</w:t>
      </w:r>
    </w:p>
    <w:p w14:paraId="5DD6CB1C">
      <w:pPr>
        <w:keepNext w:val="0"/>
        <w:keepLines w:val="0"/>
        <w:pageBreakBefore w:val="0"/>
        <w:widowControl w:val="0"/>
        <w:tabs>
          <w:tab w:val="left" w:pos="360"/>
        </w:tabs>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15</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在承包期限内，中标供应商所有人员的安全事故由中标供应商自行全权负责，采购人不承担任何责任。</w:t>
      </w:r>
    </w:p>
    <w:p w14:paraId="190776C0">
      <w:pPr>
        <w:keepNext w:val="0"/>
        <w:keepLines w:val="0"/>
        <w:pageBreakBefore w:val="0"/>
        <w:widowControl w:val="0"/>
        <w:tabs>
          <w:tab w:val="left" w:pos="360"/>
        </w:tabs>
        <w:kinsoku/>
        <w:wordWrap/>
        <w:overflowPunct/>
        <w:topLinePunct w:val="0"/>
        <w:autoSpaceDE/>
        <w:autoSpaceDN/>
        <w:bidi w:val="0"/>
        <w:spacing w:line="360" w:lineRule="auto"/>
        <w:ind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16</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项目负责人作为本项目的联系人不得变更，必须随时听从采购人指派、组织协调鉴定小组工作。</w:t>
      </w:r>
    </w:p>
    <w:p w14:paraId="2FCC774C">
      <w:pPr>
        <w:keepNext w:val="0"/>
        <w:keepLines w:val="0"/>
        <w:pageBreakBefore w:val="0"/>
        <w:widowControl w:val="0"/>
        <w:kinsoku/>
        <w:wordWrap/>
        <w:overflowPunct/>
        <w:topLinePunct w:val="0"/>
        <w:autoSpaceDE/>
        <w:autoSpaceDN/>
        <w:bidi w:val="0"/>
        <w:adjustRightInd w:val="0"/>
        <w:snapToGrid w:val="0"/>
        <w:spacing w:line="360" w:lineRule="auto"/>
        <w:ind w:firstLine="422" w:firstLineChars="200"/>
        <w:textAlignment w:val="auto"/>
        <w:outlineLvl w:val="1"/>
        <w:rPr>
          <w:rFonts w:hint="eastAsia" w:ascii="宋体" w:hAnsi="宋体" w:eastAsia="宋体" w:cs="宋体"/>
          <w:b/>
          <w:color w:val="000000"/>
          <w:sz w:val="21"/>
          <w:szCs w:val="21"/>
          <w:lang w:eastAsia="zh-CN"/>
        </w:rPr>
      </w:pPr>
      <w:r>
        <w:rPr>
          <w:rFonts w:hint="eastAsia" w:ascii="宋体" w:hAnsi="宋体" w:eastAsia="宋体" w:cs="宋体"/>
          <w:b/>
          <w:color w:val="000000"/>
          <w:sz w:val="21"/>
          <w:szCs w:val="21"/>
          <w:lang w:eastAsia="zh-CN"/>
        </w:rPr>
        <w:t>三</w:t>
      </w:r>
      <w:r>
        <w:rPr>
          <w:rFonts w:hint="eastAsia" w:ascii="宋体" w:hAnsi="宋体" w:eastAsia="宋体" w:cs="宋体"/>
          <w:b/>
          <w:color w:val="000000"/>
          <w:sz w:val="21"/>
          <w:szCs w:val="21"/>
        </w:rPr>
        <w:t>、</w:t>
      </w:r>
      <w:r>
        <w:rPr>
          <w:rFonts w:hint="eastAsia" w:ascii="宋体" w:hAnsi="宋体" w:eastAsia="宋体" w:cs="宋体"/>
          <w:b/>
          <w:color w:val="000000"/>
          <w:sz w:val="21"/>
          <w:szCs w:val="21"/>
          <w:lang w:eastAsia="zh-CN"/>
        </w:rPr>
        <w:t>付款方式：</w:t>
      </w:r>
    </w:p>
    <w:p w14:paraId="2ED61ED6">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outlineLvl w:val="1"/>
        <w:rPr>
          <w:rFonts w:hint="eastAsia"/>
          <w:lang w:eastAsia="zh-CN"/>
        </w:rPr>
      </w:pPr>
      <w:r>
        <w:rPr>
          <w:rFonts w:hint="eastAsia" w:ascii="宋体" w:hAnsi="宋体" w:eastAsia="宋体" w:cs="宋体"/>
          <w:color w:val="000000"/>
          <w:sz w:val="21"/>
          <w:szCs w:val="21"/>
          <w:lang w:eastAsia="zh-CN"/>
        </w:rPr>
        <w:t>付款方式：按季度支付，结算方式</w:t>
      </w:r>
      <w:r>
        <w:rPr>
          <w:rFonts w:hint="eastAsia" w:ascii="宋体" w:hAnsi="宋体" w:eastAsia="宋体" w:cs="宋体"/>
          <w:color w:val="000000"/>
          <w:sz w:val="21"/>
          <w:szCs w:val="21"/>
          <w:lang w:val="en-US" w:eastAsia="zh-CN"/>
        </w:rPr>
        <w:t>=</w:t>
      </w:r>
      <w:r>
        <w:rPr>
          <w:rFonts w:hint="eastAsia" w:ascii="宋体" w:hAnsi="宋体" w:eastAsia="宋体" w:cs="宋体"/>
          <w:color w:val="000000"/>
          <w:sz w:val="21"/>
          <w:szCs w:val="21"/>
          <w:lang w:eastAsia="zh-CN"/>
        </w:rPr>
        <w:t>最高限价*中标费率*实际数量。中标单位</w:t>
      </w:r>
      <w:r>
        <w:rPr>
          <w:rFonts w:hint="eastAsia" w:ascii="宋体" w:hAnsi="宋体" w:eastAsia="宋体" w:cs="宋体"/>
          <w:color w:val="000000"/>
          <w:sz w:val="21"/>
          <w:szCs w:val="21"/>
        </w:rPr>
        <w:t>开具正式发票</w:t>
      </w:r>
      <w:r>
        <w:rPr>
          <w:rFonts w:hint="eastAsia" w:ascii="宋体" w:hAnsi="宋体" w:eastAsia="宋体" w:cs="宋体"/>
          <w:color w:val="000000"/>
          <w:sz w:val="21"/>
          <w:szCs w:val="21"/>
          <w:lang w:eastAsia="zh-CN"/>
        </w:rPr>
        <w:t>后支付上一季度费用。</w:t>
      </w:r>
    </w:p>
    <w:p w14:paraId="1E7472FF">
      <w:pPr>
        <w:pStyle w:val="51"/>
        <w:rPr>
          <w:rFonts w:hint="eastAsia"/>
          <w:lang w:val="en-US" w:eastAsia="zh-CN"/>
        </w:rPr>
      </w:pPr>
    </w:p>
    <w:p w14:paraId="0645EBAD">
      <w:pPr>
        <w:spacing w:line="360" w:lineRule="auto"/>
        <w:rPr>
          <w:rFonts w:hint="eastAsia" w:ascii="宋体" w:hAnsi="宋体" w:cs="宋体"/>
          <w:color w:val="auto"/>
          <w:sz w:val="32"/>
          <w:szCs w:val="32"/>
          <w:highlight w:val="none"/>
          <w:lang w:eastAsia="zh-CN"/>
        </w:rPr>
      </w:pPr>
      <w:r>
        <w:rPr>
          <w:rFonts w:hint="eastAsia" w:ascii="宋体" w:hAnsi="宋体" w:cs="宋体"/>
          <w:color w:val="auto"/>
          <w:sz w:val="32"/>
          <w:szCs w:val="32"/>
          <w:highlight w:val="none"/>
          <w:lang w:eastAsia="zh-CN"/>
        </w:rPr>
        <w:br w:type="page"/>
      </w:r>
    </w:p>
    <w:p w14:paraId="68684618">
      <w:pPr>
        <w:pStyle w:val="29"/>
        <w:spacing w:line="360" w:lineRule="auto"/>
        <w:textAlignment w:val="baseline"/>
        <w:outlineLvl w:val="0"/>
        <w:rPr>
          <w:rFonts w:ascii="宋体" w:hAnsi="宋体" w:cs="宋体"/>
          <w:color w:val="auto"/>
          <w:sz w:val="32"/>
          <w:szCs w:val="32"/>
          <w:highlight w:val="none"/>
          <w:lang w:eastAsia="zh-CN"/>
        </w:rPr>
      </w:pPr>
      <w:r>
        <w:rPr>
          <w:rFonts w:hint="eastAsia" w:ascii="宋体" w:hAnsi="宋体" w:cs="宋体"/>
          <w:color w:val="auto"/>
          <w:sz w:val="32"/>
          <w:szCs w:val="32"/>
          <w:highlight w:val="none"/>
          <w:lang w:eastAsia="zh-CN"/>
        </w:rPr>
        <w:t>第四章合同格式样本</w:t>
      </w:r>
      <w:bookmarkEnd w:id="68"/>
    </w:p>
    <w:p w14:paraId="65A86415">
      <w:pPr>
        <w:autoSpaceDE w:val="0"/>
        <w:autoSpaceDN w:val="0"/>
        <w:adjustRightInd w:val="0"/>
        <w:spacing w:line="360" w:lineRule="auto"/>
        <w:jc w:val="center"/>
        <w:rPr>
          <w:rFonts w:hint="eastAsia" w:ascii="宋体" w:hAnsi="宋体" w:eastAsia="宋体" w:cs="宋体"/>
          <w:sz w:val="21"/>
          <w:szCs w:val="21"/>
          <w:highlight w:val="none"/>
        </w:rPr>
      </w:pPr>
      <w:bookmarkStart w:id="74" w:name="_Toc6691"/>
      <w:bookmarkStart w:id="75" w:name="_Toc17895"/>
      <w:r>
        <w:rPr>
          <w:rStyle w:val="80"/>
          <w:rFonts w:ascii="宋体" w:hAnsi="宋体"/>
          <w:b w:val="0"/>
          <w:i w:val="0"/>
          <w:caps w:val="0"/>
          <w:color w:val="000000"/>
          <w:spacing w:val="0"/>
          <w:w w:val="100"/>
          <w:kern w:val="2"/>
          <w:sz w:val="24"/>
          <w:szCs w:val="22"/>
          <w:highlight w:val="none"/>
          <w:lang w:val="en-US" w:eastAsia="zh-CN" w:bidi="ar-SA"/>
        </w:rPr>
        <w:t xml:space="preserve">   </w:t>
      </w:r>
      <w:r>
        <w:rPr>
          <w:rFonts w:hint="eastAsia" w:ascii="宋体" w:hAnsi="宋体" w:eastAsia="宋体" w:cs="宋体"/>
          <w:sz w:val="21"/>
          <w:szCs w:val="21"/>
          <w:highlight w:val="none"/>
        </w:rPr>
        <w:t>（以最终合同为准）</w:t>
      </w:r>
    </w:p>
    <w:p w14:paraId="3124002B">
      <w:pPr>
        <w:snapToGrid w:val="0"/>
        <w:spacing w:before="120" w:after="120"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委托方：（以下简称甲方）</w:t>
      </w:r>
    </w:p>
    <w:p w14:paraId="3FD6947F">
      <w:pPr>
        <w:snapToGrid w:val="0"/>
        <w:spacing w:before="120" w:after="120"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承接方：（以下简称乙方）</w:t>
      </w:r>
    </w:p>
    <w:p w14:paraId="2F81DCA2">
      <w:pPr>
        <w:pStyle w:val="66"/>
        <w:tabs>
          <w:tab w:val="left" w:pos="266"/>
          <w:tab w:val="left" w:pos="6039"/>
        </w:tabs>
        <w:spacing w:line="360" w:lineRule="auto"/>
        <w:ind w:left="106"/>
        <w:jc w:val="left"/>
        <w:rPr>
          <w:rFonts w:hint="eastAsia" w:ascii="宋体" w:hAnsi="宋体" w:eastAsia="宋体" w:cs="宋体"/>
          <w:color w:val="000000"/>
          <w:sz w:val="21"/>
          <w:szCs w:val="21"/>
        </w:rPr>
      </w:pPr>
      <w:r>
        <w:rPr>
          <w:rFonts w:hint="eastAsia" w:ascii="宋体" w:hAnsi="宋体" w:eastAsia="宋体" w:cs="宋体"/>
          <w:color w:val="000000"/>
          <w:sz w:val="21"/>
          <w:szCs w:val="21"/>
        </w:rPr>
        <w:t>甲、乙双方根据</w:t>
      </w:r>
      <w:r>
        <w:rPr>
          <w:rFonts w:hint="eastAsia" w:ascii="宋体" w:hAnsi="宋体" w:eastAsia="宋体" w:cs="宋体"/>
          <w:color w:val="000000"/>
          <w:sz w:val="21"/>
          <w:szCs w:val="21"/>
          <w:u w:val="single"/>
          <w:lang w:val="en-US"/>
        </w:rPr>
        <w:t xml:space="preserve">                                          项目</w:t>
      </w:r>
      <w:r>
        <w:rPr>
          <w:rFonts w:hint="eastAsia" w:ascii="宋体" w:hAnsi="宋体" w:eastAsia="宋体" w:cs="宋体"/>
          <w:color w:val="000000"/>
          <w:sz w:val="21"/>
          <w:szCs w:val="21"/>
        </w:rPr>
        <w:t>的结果，签署本合同。</w:t>
      </w:r>
    </w:p>
    <w:p w14:paraId="77C08618">
      <w:pPr>
        <w:snapToGrid w:val="0"/>
        <w:spacing w:before="156" w:beforeLines="50" w:after="156" w:afterLines="50" w:line="360" w:lineRule="auto"/>
        <w:outlineLvl w:val="1"/>
        <w:rPr>
          <w:rFonts w:hint="eastAsia" w:ascii="宋体" w:hAnsi="宋体" w:eastAsia="宋体" w:cs="宋体"/>
          <w:b/>
          <w:color w:val="000000"/>
          <w:sz w:val="21"/>
          <w:szCs w:val="21"/>
          <w:highlight w:val="none"/>
        </w:rPr>
      </w:pPr>
      <w:r>
        <w:rPr>
          <w:rFonts w:hint="eastAsia" w:ascii="宋体" w:hAnsi="宋体" w:eastAsia="宋体" w:cs="宋体"/>
          <w:b/>
          <w:color w:val="000000"/>
          <w:sz w:val="21"/>
          <w:szCs w:val="21"/>
        </w:rPr>
        <w:t>一、服务内容</w:t>
      </w:r>
      <w:r>
        <w:rPr>
          <w:rFonts w:hint="eastAsia" w:ascii="宋体" w:hAnsi="宋体" w:eastAsia="宋体" w:cs="宋体"/>
          <w:b/>
          <w:color w:val="000000"/>
          <w:sz w:val="21"/>
          <w:szCs w:val="21"/>
          <w:lang w:eastAsia="zh-CN"/>
        </w:rPr>
        <w:t>、</w:t>
      </w:r>
      <w:r>
        <w:rPr>
          <w:rFonts w:hint="eastAsia" w:ascii="宋体" w:hAnsi="宋体" w:eastAsia="宋体" w:cs="宋体"/>
          <w:b/>
          <w:color w:val="000000"/>
          <w:sz w:val="21"/>
          <w:szCs w:val="21"/>
          <w:highlight w:val="none"/>
        </w:rPr>
        <w:t>履行期限、地点和方式</w:t>
      </w:r>
    </w:p>
    <w:p w14:paraId="3FA5C756">
      <w:pPr>
        <w:spacing w:line="360" w:lineRule="auto"/>
        <w:ind w:firstLine="420" w:firstLineChars="200"/>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lang w:val="en-US" w:eastAsia="zh-CN"/>
        </w:rPr>
        <w:t>1.服务内容：详见本项目采购文件《采购需求》</w:t>
      </w:r>
    </w:p>
    <w:p w14:paraId="606C82A3">
      <w:pPr>
        <w:spacing w:line="360" w:lineRule="auto"/>
        <w:ind w:firstLine="420" w:firstLineChars="200"/>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lang w:val="en-US" w:eastAsia="zh-CN"/>
        </w:rPr>
        <w:t>2.服务期限：服务期限1年</w:t>
      </w:r>
    </w:p>
    <w:p w14:paraId="2E6683C2">
      <w:pPr>
        <w:spacing w:line="360" w:lineRule="auto"/>
        <w:ind w:firstLine="420" w:firstLineChars="200"/>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lang w:val="en-US" w:eastAsia="zh-CN"/>
        </w:rPr>
        <w:t>3.服务地点：甲方指定地点</w:t>
      </w:r>
    </w:p>
    <w:p w14:paraId="2B3D6AC1">
      <w:pPr>
        <w:pStyle w:val="18"/>
        <w:snapToGrid w:val="0"/>
        <w:spacing w:line="360" w:lineRule="auto"/>
        <w:outlineLvl w:val="1"/>
        <w:rPr>
          <w:rFonts w:hint="eastAsia" w:ascii="宋体" w:hAnsi="宋体" w:eastAsia="宋体" w:cs="宋体"/>
          <w:b/>
          <w:bCs/>
          <w:color w:val="000000"/>
          <w:sz w:val="21"/>
          <w:szCs w:val="21"/>
        </w:rPr>
      </w:pPr>
      <w:r>
        <w:rPr>
          <w:rFonts w:hint="eastAsia" w:ascii="宋体" w:hAnsi="宋体" w:eastAsia="宋体" w:cs="宋体"/>
          <w:b/>
          <w:color w:val="000000"/>
          <w:sz w:val="21"/>
          <w:szCs w:val="21"/>
        </w:rPr>
        <w:t>二、</w:t>
      </w:r>
      <w:r>
        <w:rPr>
          <w:rFonts w:hint="eastAsia" w:ascii="宋体" w:hAnsi="宋体" w:eastAsia="宋体" w:cs="宋体"/>
          <w:b/>
          <w:bCs/>
          <w:color w:val="000000"/>
          <w:sz w:val="21"/>
          <w:szCs w:val="21"/>
        </w:rPr>
        <w:t xml:space="preserve">采购商品清单及合同价格          </w:t>
      </w:r>
    </w:p>
    <w:p w14:paraId="13FFD7BA">
      <w:pPr>
        <w:keepNext w:val="0"/>
        <w:keepLines w:val="0"/>
        <w:pageBreakBefore w:val="0"/>
        <w:tabs>
          <w:tab w:val="left" w:pos="105"/>
          <w:tab w:val="left" w:pos="735"/>
          <w:tab w:val="left" w:pos="945"/>
          <w:tab w:val="left" w:pos="3360"/>
        </w:tabs>
        <w:kinsoku/>
        <w:wordWrap/>
        <w:overflowPunct/>
        <w:topLinePunct w:val="0"/>
        <w:autoSpaceDE/>
        <w:autoSpaceDN/>
        <w:bidi w:val="0"/>
        <w:spacing w:line="360" w:lineRule="auto"/>
        <w:ind w:firstLine="420" w:firstLineChars="200"/>
        <w:textAlignment w:val="auto"/>
        <w:rPr>
          <w:rFonts w:hint="eastAsia" w:ascii="宋体" w:hAnsi="宋体" w:eastAsia="宋体" w:cs="宋体"/>
          <w:b/>
          <w:bCs/>
          <w:color w:val="000000"/>
          <w:sz w:val="21"/>
          <w:szCs w:val="21"/>
        </w:rPr>
      </w:pPr>
      <w:r>
        <w:rPr>
          <w:rFonts w:hint="eastAsia" w:ascii="宋体" w:hAnsi="宋体" w:eastAsia="宋体" w:cs="宋体"/>
          <w:color w:val="000000"/>
          <w:sz w:val="21"/>
          <w:szCs w:val="21"/>
          <w:lang w:val="en-US" w:eastAsia="zh-CN"/>
        </w:rPr>
        <w:t>1.</w:t>
      </w:r>
      <w:r>
        <w:rPr>
          <w:rFonts w:hint="eastAsia" w:ascii="宋体" w:hAnsi="宋体" w:eastAsia="宋体" w:cs="宋体"/>
          <w:color w:val="000000"/>
          <w:sz w:val="21"/>
          <w:szCs w:val="21"/>
          <w:lang w:eastAsia="zh-CN"/>
        </w:rPr>
        <w:t>车辆鉴定技术服务项目包括：</w:t>
      </w:r>
      <w:r>
        <w:rPr>
          <w:rFonts w:hint="eastAsia" w:ascii="宋体" w:hAnsi="宋体" w:eastAsia="宋体" w:cs="宋体"/>
          <w:color w:val="000000"/>
          <w:sz w:val="21"/>
          <w:szCs w:val="21"/>
          <w:lang w:val="en-US" w:eastAsia="zh-CN"/>
        </w:rPr>
        <w:t>车辆安全技术状况鉴定、车辆属性鉴定等</w:t>
      </w:r>
      <w:r>
        <w:rPr>
          <w:rFonts w:hint="eastAsia" w:ascii="宋体" w:hAnsi="宋体" w:eastAsia="宋体" w:cs="宋体"/>
          <w:color w:val="000000"/>
          <w:sz w:val="21"/>
          <w:szCs w:val="21"/>
          <w:lang w:eastAsia="zh-CN"/>
        </w:rPr>
        <w:t>技术服务，</w:t>
      </w:r>
      <w:r>
        <w:rPr>
          <w:rFonts w:hint="eastAsia" w:ascii="宋体" w:hAnsi="宋体" w:eastAsia="宋体" w:cs="宋体"/>
          <w:color w:val="000000"/>
          <w:sz w:val="21"/>
          <w:szCs w:val="21"/>
        </w:rPr>
        <w:t>具体内容如下：</w:t>
      </w:r>
    </w:p>
    <w:tbl>
      <w:tblPr>
        <w:tblStyle w:val="32"/>
        <w:tblW w:w="527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3"/>
        <w:gridCol w:w="1235"/>
        <w:gridCol w:w="2867"/>
        <w:gridCol w:w="2625"/>
        <w:gridCol w:w="2422"/>
      </w:tblGrid>
      <w:tr w14:paraId="054219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8" w:hRule="atLeast"/>
          <w:jc w:val="center"/>
        </w:trPr>
        <w:tc>
          <w:tcPr>
            <w:tcW w:w="413" w:type="pct"/>
            <w:noWrap w:val="0"/>
            <w:vAlign w:val="center"/>
          </w:tcPr>
          <w:p w14:paraId="1BAE1513">
            <w:pPr>
              <w:keepNext w:val="0"/>
              <w:keepLines w:val="0"/>
              <w:pageBreakBefore w:val="0"/>
              <w:suppressLineNumbers w:val="0"/>
              <w:kinsoku/>
              <w:wordWrap/>
              <w:overflowPunct/>
              <w:topLinePunct w:val="0"/>
              <w:autoSpaceDE/>
              <w:autoSpaceDN/>
              <w:bidi w:val="0"/>
              <w:snapToGrid w:val="0"/>
              <w:spacing w:before="0" w:beforeAutospacing="0" w:after="0" w:afterAutospacing="0" w:line="360" w:lineRule="auto"/>
              <w:ind w:left="0" w:right="0"/>
              <w:jc w:val="center"/>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序号</w:t>
            </w:r>
          </w:p>
        </w:tc>
        <w:tc>
          <w:tcPr>
            <w:tcW w:w="2055" w:type="pct"/>
            <w:gridSpan w:val="2"/>
            <w:noWrap w:val="0"/>
            <w:vAlign w:val="center"/>
          </w:tcPr>
          <w:p w14:paraId="783C853A">
            <w:pPr>
              <w:keepNext w:val="0"/>
              <w:keepLines w:val="0"/>
              <w:pageBreakBefore w:val="0"/>
              <w:suppressLineNumbers w:val="0"/>
              <w:kinsoku/>
              <w:wordWrap/>
              <w:overflowPunct/>
              <w:topLinePunct w:val="0"/>
              <w:autoSpaceDE/>
              <w:autoSpaceDN/>
              <w:bidi w:val="0"/>
              <w:snapToGrid w:val="0"/>
              <w:spacing w:before="0" w:beforeAutospacing="0" w:after="0" w:afterAutospacing="0" w:line="360" w:lineRule="auto"/>
              <w:ind w:left="0" w:right="0"/>
              <w:jc w:val="center"/>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项目名称</w:t>
            </w:r>
          </w:p>
        </w:tc>
        <w:tc>
          <w:tcPr>
            <w:tcW w:w="1316" w:type="pct"/>
            <w:noWrap w:val="0"/>
            <w:vAlign w:val="center"/>
          </w:tcPr>
          <w:p w14:paraId="1FECA0C0">
            <w:pPr>
              <w:keepNext w:val="0"/>
              <w:keepLines w:val="0"/>
              <w:pageBreakBefore w:val="0"/>
              <w:suppressLineNumbers w:val="0"/>
              <w:kinsoku/>
              <w:wordWrap/>
              <w:overflowPunct/>
              <w:topLinePunct w:val="0"/>
              <w:autoSpaceDE/>
              <w:autoSpaceDN/>
              <w:bidi w:val="0"/>
              <w:snapToGrid w:val="0"/>
              <w:spacing w:before="0" w:beforeAutospacing="0" w:after="0" w:afterAutospacing="0" w:line="360" w:lineRule="auto"/>
              <w:ind w:left="0" w:right="0"/>
              <w:jc w:val="center"/>
              <w:textAlignment w:val="auto"/>
              <w:rPr>
                <w:rFonts w:hint="eastAsia" w:ascii="宋体" w:hAnsi="宋体" w:eastAsia="宋体" w:cs="宋体"/>
                <w:b w:val="0"/>
                <w:bCs/>
                <w:color w:val="auto"/>
                <w:sz w:val="21"/>
                <w:szCs w:val="21"/>
                <w:lang w:eastAsia="zh-CN"/>
              </w:rPr>
            </w:pPr>
            <w:r>
              <w:rPr>
                <w:rFonts w:hint="eastAsia" w:ascii="宋体" w:hAnsi="宋体" w:eastAsia="宋体" w:cs="宋体"/>
                <w:b w:val="0"/>
                <w:bCs/>
                <w:color w:val="auto"/>
                <w:sz w:val="21"/>
                <w:szCs w:val="21"/>
              </w:rPr>
              <w:t>最高单价限价（元</w:t>
            </w:r>
            <w:r>
              <w:rPr>
                <w:rFonts w:hint="eastAsia" w:ascii="宋体" w:hAnsi="宋体" w:eastAsia="宋体" w:cs="宋体"/>
                <w:b w:val="0"/>
                <w:bCs/>
                <w:color w:val="auto"/>
                <w:sz w:val="21"/>
                <w:szCs w:val="21"/>
                <w:lang w:val="en-US" w:eastAsia="zh-CN"/>
              </w:rPr>
              <w:t>/辆</w:t>
            </w:r>
            <w:r>
              <w:rPr>
                <w:rFonts w:hint="eastAsia" w:ascii="宋体" w:hAnsi="宋体" w:eastAsia="宋体" w:cs="宋体"/>
                <w:b w:val="0"/>
                <w:bCs/>
                <w:color w:val="auto"/>
                <w:sz w:val="21"/>
                <w:szCs w:val="21"/>
              </w:rPr>
              <w:t>）</w:t>
            </w:r>
          </w:p>
        </w:tc>
        <w:tc>
          <w:tcPr>
            <w:tcW w:w="1214" w:type="pct"/>
            <w:noWrap w:val="0"/>
            <w:vAlign w:val="center"/>
          </w:tcPr>
          <w:p w14:paraId="17CE0793">
            <w:pPr>
              <w:keepNext w:val="0"/>
              <w:keepLines w:val="0"/>
              <w:pageBreakBefore w:val="0"/>
              <w:suppressLineNumbers w:val="0"/>
              <w:kinsoku/>
              <w:wordWrap/>
              <w:overflowPunct/>
              <w:topLinePunct w:val="0"/>
              <w:autoSpaceDE/>
              <w:autoSpaceDN/>
              <w:bidi w:val="0"/>
              <w:snapToGrid w:val="0"/>
              <w:spacing w:before="0" w:beforeAutospacing="0" w:after="0" w:afterAutospacing="0" w:line="360" w:lineRule="auto"/>
              <w:ind w:left="0" w:right="0"/>
              <w:jc w:val="center"/>
              <w:textAlignment w:val="auto"/>
              <w:rPr>
                <w:rFonts w:hint="default"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eastAsia="zh-CN"/>
              </w:rPr>
              <w:t>中标费率</w:t>
            </w:r>
            <w:r>
              <w:rPr>
                <w:rFonts w:hint="eastAsia" w:ascii="宋体" w:hAnsi="宋体" w:eastAsia="宋体" w:cs="宋体"/>
                <w:b w:val="0"/>
                <w:bCs/>
                <w:color w:val="auto"/>
                <w:sz w:val="21"/>
                <w:szCs w:val="21"/>
                <w:lang w:val="en-US" w:eastAsia="zh-CN"/>
              </w:rPr>
              <w:t>（%）</w:t>
            </w:r>
          </w:p>
        </w:tc>
      </w:tr>
      <w:tr w14:paraId="389369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6" w:hRule="atLeast"/>
          <w:jc w:val="center"/>
        </w:trPr>
        <w:tc>
          <w:tcPr>
            <w:tcW w:w="413" w:type="pct"/>
            <w:vMerge w:val="restart"/>
            <w:noWrap w:val="0"/>
            <w:vAlign w:val="center"/>
          </w:tcPr>
          <w:p w14:paraId="1181FC89">
            <w:pPr>
              <w:keepNext w:val="0"/>
              <w:keepLines w:val="0"/>
              <w:pageBreakBefore w:val="0"/>
              <w:suppressLineNumbers w:val="0"/>
              <w:kinsoku/>
              <w:wordWrap/>
              <w:overflowPunct/>
              <w:topLinePunct w:val="0"/>
              <w:autoSpaceDE/>
              <w:autoSpaceDN/>
              <w:bidi w:val="0"/>
              <w:snapToGrid w:val="0"/>
              <w:spacing w:before="0" w:beforeAutospacing="0" w:after="0" w:afterAutospacing="0" w:line="360" w:lineRule="auto"/>
              <w:ind w:left="0" w:right="0"/>
              <w:jc w:val="center"/>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1</w:t>
            </w:r>
          </w:p>
        </w:tc>
        <w:tc>
          <w:tcPr>
            <w:tcW w:w="619" w:type="pct"/>
            <w:vMerge w:val="restart"/>
            <w:noWrap w:val="0"/>
            <w:vAlign w:val="center"/>
          </w:tcPr>
          <w:p w14:paraId="514FDBE1">
            <w:pPr>
              <w:keepNext w:val="0"/>
              <w:keepLines w:val="0"/>
              <w:pageBreakBefore w:val="0"/>
              <w:suppressLineNumbers w:val="0"/>
              <w:kinsoku/>
              <w:wordWrap/>
              <w:overflowPunct/>
              <w:topLinePunct w:val="0"/>
              <w:autoSpaceDE/>
              <w:autoSpaceDN/>
              <w:bidi w:val="0"/>
              <w:snapToGrid w:val="0"/>
              <w:spacing w:before="0" w:beforeAutospacing="0" w:after="0" w:afterAutospacing="0" w:line="360" w:lineRule="auto"/>
              <w:ind w:left="0" w:right="0"/>
              <w:jc w:val="center"/>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lang w:val="en-US" w:eastAsia="zh-CN"/>
              </w:rPr>
              <w:t>车辆安全技术状况鉴定</w:t>
            </w:r>
          </w:p>
        </w:tc>
        <w:tc>
          <w:tcPr>
            <w:tcW w:w="1435" w:type="pct"/>
            <w:noWrap w:val="0"/>
            <w:vAlign w:val="center"/>
          </w:tcPr>
          <w:p w14:paraId="27A95BA1">
            <w:pPr>
              <w:keepNext w:val="0"/>
              <w:keepLines w:val="0"/>
              <w:pageBreakBefore w:val="0"/>
              <w:suppressLineNumbers w:val="0"/>
              <w:kinsoku/>
              <w:wordWrap/>
              <w:overflowPunct/>
              <w:topLinePunct w:val="0"/>
              <w:autoSpaceDE/>
              <w:autoSpaceDN/>
              <w:bidi w:val="0"/>
              <w:snapToGrid w:val="0"/>
              <w:spacing w:before="0" w:beforeAutospacing="0" w:after="0" w:afterAutospacing="0" w:line="360" w:lineRule="auto"/>
              <w:ind w:left="0" w:right="0"/>
              <w:jc w:val="center"/>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两轮、三轮车类</w:t>
            </w:r>
          </w:p>
        </w:tc>
        <w:tc>
          <w:tcPr>
            <w:tcW w:w="1316" w:type="pct"/>
            <w:noWrap w:val="0"/>
            <w:vAlign w:val="center"/>
          </w:tcPr>
          <w:p w14:paraId="4D7D44C5">
            <w:pPr>
              <w:keepNext w:val="0"/>
              <w:keepLines w:val="0"/>
              <w:pageBreakBefore w:val="0"/>
              <w:suppressLineNumbers w:val="0"/>
              <w:kinsoku/>
              <w:wordWrap/>
              <w:overflowPunct/>
              <w:topLinePunct w:val="0"/>
              <w:autoSpaceDE/>
              <w:autoSpaceDN/>
              <w:bidi w:val="0"/>
              <w:snapToGrid w:val="0"/>
              <w:spacing w:before="0" w:beforeAutospacing="0" w:after="0" w:afterAutospacing="0" w:line="360" w:lineRule="auto"/>
              <w:ind w:left="0" w:right="0"/>
              <w:jc w:val="center"/>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310.00</w:t>
            </w:r>
          </w:p>
        </w:tc>
        <w:tc>
          <w:tcPr>
            <w:tcW w:w="1214" w:type="pct"/>
            <w:vMerge w:val="restart"/>
            <w:noWrap w:val="0"/>
            <w:vAlign w:val="center"/>
          </w:tcPr>
          <w:p w14:paraId="5BA4FB54">
            <w:pPr>
              <w:keepNext w:val="0"/>
              <w:keepLines w:val="0"/>
              <w:pageBreakBefore w:val="0"/>
              <w:suppressLineNumbers w:val="0"/>
              <w:kinsoku/>
              <w:wordWrap/>
              <w:overflowPunct/>
              <w:topLinePunct w:val="0"/>
              <w:autoSpaceDE/>
              <w:autoSpaceDN/>
              <w:bidi w:val="0"/>
              <w:snapToGrid w:val="0"/>
              <w:spacing w:before="0" w:beforeAutospacing="0" w:after="0" w:afterAutospacing="0" w:line="360" w:lineRule="auto"/>
              <w:ind w:left="0" w:right="0"/>
              <w:jc w:val="center"/>
              <w:textAlignment w:val="auto"/>
              <w:rPr>
                <w:rFonts w:hint="eastAsia" w:ascii="宋体" w:hAnsi="宋体" w:eastAsia="宋体" w:cs="宋体"/>
                <w:b w:val="0"/>
                <w:bCs/>
                <w:color w:val="auto"/>
                <w:sz w:val="21"/>
                <w:szCs w:val="21"/>
                <w:lang w:val="en-US" w:eastAsia="zh-CN"/>
              </w:rPr>
            </w:pPr>
          </w:p>
        </w:tc>
      </w:tr>
      <w:tr w14:paraId="239132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413" w:type="pct"/>
            <w:vMerge w:val="continue"/>
            <w:noWrap w:val="0"/>
            <w:vAlign w:val="center"/>
          </w:tcPr>
          <w:p w14:paraId="24E6DF05">
            <w:pPr>
              <w:keepNext w:val="0"/>
              <w:keepLines w:val="0"/>
              <w:pageBreakBefore w:val="0"/>
              <w:suppressLineNumbers w:val="0"/>
              <w:kinsoku/>
              <w:wordWrap/>
              <w:overflowPunct/>
              <w:topLinePunct w:val="0"/>
              <w:autoSpaceDE/>
              <w:autoSpaceDN/>
              <w:bidi w:val="0"/>
              <w:snapToGrid w:val="0"/>
              <w:spacing w:before="0" w:beforeAutospacing="0" w:after="0" w:afterAutospacing="0" w:line="360" w:lineRule="auto"/>
              <w:ind w:left="0" w:right="0"/>
              <w:jc w:val="center"/>
              <w:textAlignment w:val="auto"/>
              <w:rPr>
                <w:rFonts w:hint="eastAsia" w:ascii="宋体" w:hAnsi="宋体" w:eastAsia="宋体" w:cs="宋体"/>
                <w:b w:val="0"/>
                <w:bCs/>
                <w:color w:val="auto"/>
                <w:sz w:val="21"/>
                <w:szCs w:val="21"/>
              </w:rPr>
            </w:pPr>
          </w:p>
        </w:tc>
        <w:tc>
          <w:tcPr>
            <w:tcW w:w="619" w:type="pct"/>
            <w:vMerge w:val="continue"/>
            <w:noWrap w:val="0"/>
            <w:vAlign w:val="center"/>
          </w:tcPr>
          <w:p w14:paraId="1DA91B9D">
            <w:pPr>
              <w:keepNext w:val="0"/>
              <w:keepLines w:val="0"/>
              <w:pageBreakBefore w:val="0"/>
              <w:suppressLineNumbers w:val="0"/>
              <w:kinsoku/>
              <w:wordWrap/>
              <w:overflowPunct/>
              <w:topLinePunct w:val="0"/>
              <w:autoSpaceDE/>
              <w:autoSpaceDN/>
              <w:bidi w:val="0"/>
              <w:snapToGrid w:val="0"/>
              <w:spacing w:before="0" w:beforeAutospacing="0" w:after="0" w:afterAutospacing="0" w:line="360" w:lineRule="auto"/>
              <w:ind w:left="0" w:right="0"/>
              <w:jc w:val="center"/>
              <w:textAlignment w:val="auto"/>
              <w:rPr>
                <w:rFonts w:hint="eastAsia" w:ascii="宋体" w:hAnsi="宋体" w:eastAsia="宋体" w:cs="宋体"/>
                <w:b w:val="0"/>
                <w:bCs/>
                <w:color w:val="auto"/>
                <w:sz w:val="21"/>
                <w:szCs w:val="21"/>
                <w:lang w:val="en-US" w:eastAsia="zh-CN"/>
              </w:rPr>
            </w:pPr>
          </w:p>
        </w:tc>
        <w:tc>
          <w:tcPr>
            <w:tcW w:w="1435" w:type="pct"/>
            <w:noWrap w:val="0"/>
            <w:vAlign w:val="center"/>
          </w:tcPr>
          <w:p w14:paraId="286F58B5">
            <w:pPr>
              <w:keepNext w:val="0"/>
              <w:keepLines w:val="0"/>
              <w:pageBreakBefore w:val="0"/>
              <w:suppressLineNumbers w:val="0"/>
              <w:kinsoku/>
              <w:wordWrap/>
              <w:overflowPunct/>
              <w:topLinePunct w:val="0"/>
              <w:autoSpaceDE/>
              <w:autoSpaceDN/>
              <w:bidi w:val="0"/>
              <w:snapToGrid w:val="0"/>
              <w:spacing w:before="0" w:beforeAutospacing="0" w:after="0" w:afterAutospacing="0" w:line="360" w:lineRule="auto"/>
              <w:ind w:left="0" w:right="0"/>
              <w:jc w:val="center"/>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汽车、拖拉机、工程机械类</w:t>
            </w:r>
          </w:p>
        </w:tc>
        <w:tc>
          <w:tcPr>
            <w:tcW w:w="1316" w:type="pct"/>
            <w:noWrap w:val="0"/>
            <w:vAlign w:val="center"/>
          </w:tcPr>
          <w:p w14:paraId="3E9A3C5F">
            <w:pPr>
              <w:keepNext w:val="0"/>
              <w:keepLines w:val="0"/>
              <w:pageBreakBefore w:val="0"/>
              <w:suppressLineNumbers w:val="0"/>
              <w:kinsoku/>
              <w:wordWrap/>
              <w:overflowPunct/>
              <w:topLinePunct w:val="0"/>
              <w:autoSpaceDE/>
              <w:autoSpaceDN/>
              <w:bidi w:val="0"/>
              <w:snapToGrid w:val="0"/>
              <w:spacing w:before="0" w:beforeAutospacing="0" w:after="0" w:afterAutospacing="0" w:line="360" w:lineRule="auto"/>
              <w:ind w:left="0" w:right="0"/>
              <w:jc w:val="center"/>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500.00</w:t>
            </w:r>
          </w:p>
        </w:tc>
        <w:tc>
          <w:tcPr>
            <w:tcW w:w="1214" w:type="pct"/>
            <w:vMerge w:val="continue"/>
            <w:noWrap w:val="0"/>
            <w:vAlign w:val="center"/>
          </w:tcPr>
          <w:p w14:paraId="22B02E85">
            <w:pPr>
              <w:keepNext w:val="0"/>
              <w:keepLines w:val="0"/>
              <w:pageBreakBefore w:val="0"/>
              <w:suppressLineNumbers w:val="0"/>
              <w:kinsoku/>
              <w:wordWrap/>
              <w:overflowPunct/>
              <w:topLinePunct w:val="0"/>
              <w:autoSpaceDE/>
              <w:autoSpaceDN/>
              <w:bidi w:val="0"/>
              <w:snapToGrid w:val="0"/>
              <w:spacing w:before="0" w:beforeAutospacing="0" w:after="0" w:afterAutospacing="0" w:line="360" w:lineRule="auto"/>
              <w:ind w:left="0" w:right="0"/>
              <w:jc w:val="center"/>
              <w:textAlignment w:val="auto"/>
              <w:rPr>
                <w:rFonts w:hint="eastAsia" w:ascii="宋体" w:hAnsi="宋体" w:eastAsia="宋体" w:cs="宋体"/>
                <w:b w:val="0"/>
                <w:bCs/>
                <w:color w:val="auto"/>
                <w:sz w:val="21"/>
                <w:szCs w:val="21"/>
                <w:lang w:val="en-US" w:eastAsia="zh-CN"/>
              </w:rPr>
            </w:pPr>
          </w:p>
        </w:tc>
      </w:tr>
      <w:tr w14:paraId="160FB3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6" w:hRule="atLeast"/>
          <w:jc w:val="center"/>
        </w:trPr>
        <w:tc>
          <w:tcPr>
            <w:tcW w:w="413" w:type="pct"/>
            <w:noWrap w:val="0"/>
            <w:vAlign w:val="center"/>
          </w:tcPr>
          <w:p w14:paraId="465F58F3">
            <w:pPr>
              <w:keepNext w:val="0"/>
              <w:keepLines w:val="0"/>
              <w:pageBreakBefore w:val="0"/>
              <w:suppressLineNumbers w:val="0"/>
              <w:kinsoku/>
              <w:wordWrap/>
              <w:overflowPunct/>
              <w:topLinePunct w:val="0"/>
              <w:autoSpaceDE/>
              <w:autoSpaceDN/>
              <w:bidi w:val="0"/>
              <w:snapToGrid w:val="0"/>
              <w:spacing w:before="0" w:beforeAutospacing="0" w:after="0" w:afterAutospacing="0" w:line="360" w:lineRule="auto"/>
              <w:ind w:left="0" w:right="0"/>
              <w:jc w:val="center"/>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2</w:t>
            </w:r>
          </w:p>
        </w:tc>
        <w:tc>
          <w:tcPr>
            <w:tcW w:w="2055" w:type="pct"/>
            <w:gridSpan w:val="2"/>
            <w:noWrap w:val="0"/>
            <w:vAlign w:val="center"/>
          </w:tcPr>
          <w:p w14:paraId="2FA18746">
            <w:pPr>
              <w:keepNext w:val="0"/>
              <w:keepLines w:val="0"/>
              <w:pageBreakBefore w:val="0"/>
              <w:kinsoku/>
              <w:wordWrap/>
              <w:overflowPunct/>
              <w:topLinePunct w:val="0"/>
              <w:autoSpaceDE/>
              <w:autoSpaceDN/>
              <w:bidi w:val="0"/>
              <w:snapToGrid w:val="0"/>
              <w:spacing w:line="360" w:lineRule="auto"/>
              <w:jc w:val="center"/>
              <w:textAlignment w:val="auto"/>
              <w:rPr>
                <w:rFonts w:hint="eastAsia" w:ascii="宋体" w:hAnsi="宋体" w:eastAsia="宋体" w:cs="宋体"/>
                <w:b w:val="0"/>
                <w:bCs/>
                <w:color w:val="auto"/>
                <w:sz w:val="21"/>
                <w:szCs w:val="21"/>
                <w:lang w:val="en-US"/>
              </w:rPr>
            </w:pPr>
            <w:r>
              <w:rPr>
                <w:rFonts w:hint="eastAsia" w:ascii="宋体" w:hAnsi="宋体" w:eastAsia="宋体" w:cs="宋体"/>
                <w:b w:val="0"/>
                <w:bCs/>
                <w:color w:val="auto"/>
                <w:sz w:val="21"/>
                <w:szCs w:val="21"/>
                <w:lang w:val="en-US" w:eastAsia="zh-CN"/>
              </w:rPr>
              <w:t>车辆属性鉴定</w:t>
            </w:r>
          </w:p>
        </w:tc>
        <w:tc>
          <w:tcPr>
            <w:tcW w:w="1316" w:type="pct"/>
            <w:noWrap w:val="0"/>
            <w:vAlign w:val="center"/>
          </w:tcPr>
          <w:p w14:paraId="5CE4165D">
            <w:pPr>
              <w:keepNext w:val="0"/>
              <w:keepLines w:val="0"/>
              <w:pageBreakBefore w:val="0"/>
              <w:suppressLineNumbers w:val="0"/>
              <w:kinsoku/>
              <w:wordWrap/>
              <w:overflowPunct/>
              <w:topLinePunct w:val="0"/>
              <w:autoSpaceDE/>
              <w:autoSpaceDN/>
              <w:bidi w:val="0"/>
              <w:snapToGrid w:val="0"/>
              <w:spacing w:before="0" w:beforeAutospacing="0" w:after="0" w:afterAutospacing="0" w:line="360" w:lineRule="auto"/>
              <w:ind w:left="0" w:right="0"/>
              <w:jc w:val="center"/>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600.00</w:t>
            </w:r>
          </w:p>
        </w:tc>
        <w:tc>
          <w:tcPr>
            <w:tcW w:w="1214" w:type="pct"/>
            <w:vMerge w:val="continue"/>
            <w:noWrap w:val="0"/>
            <w:vAlign w:val="center"/>
          </w:tcPr>
          <w:p w14:paraId="7D877484">
            <w:pPr>
              <w:keepNext w:val="0"/>
              <w:keepLines w:val="0"/>
              <w:pageBreakBefore w:val="0"/>
              <w:suppressLineNumbers w:val="0"/>
              <w:kinsoku/>
              <w:wordWrap/>
              <w:overflowPunct/>
              <w:topLinePunct w:val="0"/>
              <w:autoSpaceDE/>
              <w:autoSpaceDN/>
              <w:bidi w:val="0"/>
              <w:snapToGrid w:val="0"/>
              <w:spacing w:before="0" w:beforeAutospacing="0" w:after="0" w:afterAutospacing="0" w:line="360" w:lineRule="auto"/>
              <w:ind w:left="0" w:right="0"/>
              <w:jc w:val="center"/>
              <w:textAlignment w:val="auto"/>
              <w:rPr>
                <w:rFonts w:hint="eastAsia" w:ascii="宋体" w:hAnsi="宋体" w:eastAsia="宋体" w:cs="宋体"/>
                <w:b w:val="0"/>
                <w:bCs/>
                <w:color w:val="auto"/>
                <w:sz w:val="21"/>
                <w:szCs w:val="21"/>
                <w:lang w:val="en-US" w:eastAsia="zh-CN"/>
              </w:rPr>
            </w:pPr>
          </w:p>
        </w:tc>
      </w:tr>
      <w:tr w14:paraId="46DB64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2" w:hRule="atLeast"/>
          <w:jc w:val="center"/>
        </w:trPr>
        <w:tc>
          <w:tcPr>
            <w:tcW w:w="2469" w:type="pct"/>
            <w:gridSpan w:val="3"/>
            <w:noWrap w:val="0"/>
            <w:vAlign w:val="center"/>
          </w:tcPr>
          <w:p w14:paraId="673C8F9F">
            <w:pPr>
              <w:keepNext w:val="0"/>
              <w:keepLines w:val="0"/>
              <w:pageBreakBefore w:val="0"/>
              <w:suppressLineNumbers w:val="0"/>
              <w:kinsoku/>
              <w:wordWrap/>
              <w:overflowPunct/>
              <w:topLinePunct w:val="0"/>
              <w:autoSpaceDE/>
              <w:autoSpaceDN/>
              <w:bidi w:val="0"/>
              <w:snapToGrid w:val="0"/>
              <w:spacing w:before="0" w:beforeAutospacing="0" w:after="0" w:afterAutospacing="0" w:line="360" w:lineRule="auto"/>
              <w:ind w:left="0" w:right="0"/>
              <w:jc w:val="center"/>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服务期限</w:t>
            </w:r>
          </w:p>
        </w:tc>
        <w:tc>
          <w:tcPr>
            <w:tcW w:w="1316" w:type="pct"/>
            <w:noWrap w:val="0"/>
            <w:vAlign w:val="center"/>
          </w:tcPr>
          <w:p w14:paraId="0A0DDFBC">
            <w:pPr>
              <w:keepNext w:val="0"/>
              <w:keepLines w:val="0"/>
              <w:pageBreakBefore w:val="0"/>
              <w:suppressLineNumbers w:val="0"/>
              <w:kinsoku/>
              <w:wordWrap/>
              <w:overflowPunct/>
              <w:topLinePunct w:val="0"/>
              <w:autoSpaceDE/>
              <w:autoSpaceDN/>
              <w:bidi w:val="0"/>
              <w:snapToGrid w:val="0"/>
              <w:spacing w:before="0" w:beforeAutospacing="0" w:after="0" w:afterAutospacing="0" w:line="360" w:lineRule="auto"/>
              <w:ind w:left="0" w:right="0"/>
              <w:jc w:val="center"/>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自合同签订之日起</w:t>
            </w:r>
            <w:r>
              <w:rPr>
                <w:rFonts w:hint="eastAsia" w:ascii="宋体" w:hAnsi="宋体" w:eastAsia="宋体" w:cs="宋体"/>
                <w:b w:val="0"/>
                <w:bCs/>
                <w:color w:val="auto"/>
                <w:sz w:val="21"/>
                <w:szCs w:val="21"/>
                <w:lang w:eastAsia="zh-CN"/>
              </w:rPr>
              <w:t>一年</w:t>
            </w:r>
            <w:r>
              <w:rPr>
                <w:rFonts w:hint="eastAsia" w:ascii="宋体" w:hAnsi="宋体" w:eastAsia="宋体" w:cs="宋体"/>
                <w:b w:val="0"/>
                <w:bCs/>
                <w:color w:val="auto"/>
                <w:sz w:val="21"/>
                <w:szCs w:val="21"/>
              </w:rPr>
              <w:t>。</w:t>
            </w:r>
          </w:p>
        </w:tc>
        <w:tc>
          <w:tcPr>
            <w:tcW w:w="1214" w:type="pct"/>
            <w:vMerge w:val="continue"/>
            <w:noWrap w:val="0"/>
            <w:vAlign w:val="center"/>
          </w:tcPr>
          <w:p w14:paraId="1CA7CB31">
            <w:pPr>
              <w:keepNext w:val="0"/>
              <w:keepLines w:val="0"/>
              <w:pageBreakBefore w:val="0"/>
              <w:suppressLineNumbers w:val="0"/>
              <w:kinsoku/>
              <w:wordWrap/>
              <w:overflowPunct/>
              <w:topLinePunct w:val="0"/>
              <w:autoSpaceDE/>
              <w:autoSpaceDN/>
              <w:bidi w:val="0"/>
              <w:snapToGrid w:val="0"/>
              <w:spacing w:before="0" w:beforeAutospacing="0" w:after="0" w:afterAutospacing="0" w:line="360" w:lineRule="auto"/>
              <w:ind w:left="0" w:right="0"/>
              <w:jc w:val="center"/>
              <w:textAlignment w:val="auto"/>
              <w:rPr>
                <w:rFonts w:hint="eastAsia" w:ascii="宋体" w:hAnsi="宋体" w:eastAsia="宋体" w:cs="宋体"/>
                <w:b w:val="0"/>
                <w:bCs/>
                <w:color w:val="auto"/>
                <w:sz w:val="21"/>
                <w:szCs w:val="21"/>
              </w:rPr>
            </w:pPr>
          </w:p>
        </w:tc>
      </w:tr>
      <w:tr w14:paraId="54FE78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0" w:hRule="atLeast"/>
          <w:jc w:val="center"/>
        </w:trPr>
        <w:tc>
          <w:tcPr>
            <w:tcW w:w="2469" w:type="pct"/>
            <w:gridSpan w:val="3"/>
            <w:noWrap w:val="0"/>
            <w:vAlign w:val="center"/>
          </w:tcPr>
          <w:p w14:paraId="6A5CB898">
            <w:pPr>
              <w:keepNext w:val="0"/>
              <w:keepLines w:val="0"/>
              <w:pageBreakBefore w:val="0"/>
              <w:suppressLineNumbers w:val="0"/>
              <w:kinsoku/>
              <w:wordWrap/>
              <w:overflowPunct/>
              <w:topLinePunct w:val="0"/>
              <w:autoSpaceDE/>
              <w:autoSpaceDN/>
              <w:bidi w:val="0"/>
              <w:snapToGrid w:val="0"/>
              <w:spacing w:before="0" w:beforeAutospacing="0" w:after="0" w:afterAutospacing="0" w:line="360" w:lineRule="auto"/>
              <w:ind w:left="0" w:right="0"/>
              <w:jc w:val="center"/>
              <w:textAlignment w:val="auto"/>
              <w:rPr>
                <w:rFonts w:hint="eastAsia" w:ascii="宋体" w:hAnsi="宋体" w:eastAsia="宋体" w:cs="宋体"/>
                <w:b w:val="0"/>
                <w:bCs/>
                <w:color w:val="000000"/>
                <w:sz w:val="21"/>
                <w:szCs w:val="21"/>
              </w:rPr>
            </w:pPr>
            <w:r>
              <w:rPr>
                <w:rFonts w:hint="eastAsia" w:ascii="宋体" w:hAnsi="宋体" w:eastAsia="宋体" w:cs="宋体"/>
                <w:b w:val="0"/>
                <w:bCs/>
                <w:color w:val="000000"/>
                <w:sz w:val="21"/>
                <w:szCs w:val="21"/>
              </w:rPr>
              <w:t>服务地点</w:t>
            </w:r>
          </w:p>
        </w:tc>
        <w:tc>
          <w:tcPr>
            <w:tcW w:w="1316" w:type="pct"/>
            <w:noWrap w:val="0"/>
            <w:vAlign w:val="center"/>
          </w:tcPr>
          <w:p w14:paraId="6E359D00">
            <w:pPr>
              <w:keepNext w:val="0"/>
              <w:keepLines w:val="0"/>
              <w:pageBreakBefore w:val="0"/>
              <w:suppressLineNumbers w:val="0"/>
              <w:kinsoku/>
              <w:wordWrap/>
              <w:overflowPunct/>
              <w:topLinePunct w:val="0"/>
              <w:autoSpaceDE/>
              <w:autoSpaceDN/>
              <w:bidi w:val="0"/>
              <w:snapToGrid w:val="0"/>
              <w:spacing w:before="0" w:beforeAutospacing="0" w:after="0" w:afterAutospacing="0" w:line="360" w:lineRule="auto"/>
              <w:ind w:left="0" w:right="0"/>
              <w:jc w:val="center"/>
              <w:textAlignment w:val="auto"/>
              <w:rPr>
                <w:rFonts w:hint="eastAsia" w:ascii="宋体" w:hAnsi="宋体" w:eastAsia="宋体" w:cs="宋体"/>
                <w:b w:val="0"/>
                <w:bCs/>
                <w:color w:val="000000"/>
                <w:sz w:val="21"/>
                <w:szCs w:val="21"/>
              </w:rPr>
            </w:pPr>
            <w:r>
              <w:rPr>
                <w:rFonts w:hint="eastAsia" w:ascii="宋体" w:hAnsi="宋体" w:eastAsia="宋体" w:cs="宋体"/>
                <w:b w:val="0"/>
                <w:bCs/>
                <w:color w:val="000000"/>
                <w:sz w:val="21"/>
                <w:szCs w:val="21"/>
                <w:lang w:eastAsia="zh-CN"/>
              </w:rPr>
              <w:t>采购人</w:t>
            </w:r>
            <w:r>
              <w:rPr>
                <w:rFonts w:hint="eastAsia" w:ascii="宋体" w:hAnsi="宋体" w:eastAsia="宋体" w:cs="宋体"/>
                <w:b w:val="0"/>
                <w:bCs/>
                <w:color w:val="000000"/>
                <w:sz w:val="21"/>
                <w:szCs w:val="21"/>
              </w:rPr>
              <w:t>指定地点</w:t>
            </w:r>
          </w:p>
        </w:tc>
        <w:tc>
          <w:tcPr>
            <w:tcW w:w="1214" w:type="pct"/>
            <w:vMerge w:val="continue"/>
            <w:noWrap w:val="0"/>
            <w:vAlign w:val="center"/>
          </w:tcPr>
          <w:p w14:paraId="77BDEDD3">
            <w:pPr>
              <w:keepNext w:val="0"/>
              <w:keepLines w:val="0"/>
              <w:pageBreakBefore w:val="0"/>
              <w:suppressLineNumbers w:val="0"/>
              <w:kinsoku/>
              <w:wordWrap/>
              <w:overflowPunct/>
              <w:topLinePunct w:val="0"/>
              <w:autoSpaceDE/>
              <w:autoSpaceDN/>
              <w:bidi w:val="0"/>
              <w:snapToGrid w:val="0"/>
              <w:spacing w:before="0" w:beforeAutospacing="0" w:after="0" w:afterAutospacing="0" w:line="360" w:lineRule="auto"/>
              <w:ind w:left="0" w:right="0"/>
              <w:jc w:val="center"/>
              <w:textAlignment w:val="auto"/>
              <w:rPr>
                <w:rFonts w:hint="eastAsia" w:ascii="宋体" w:hAnsi="宋体" w:eastAsia="宋体" w:cs="宋体"/>
                <w:b w:val="0"/>
                <w:bCs/>
                <w:color w:val="000000"/>
                <w:sz w:val="21"/>
                <w:szCs w:val="21"/>
                <w:lang w:eastAsia="zh-CN"/>
              </w:rPr>
            </w:pPr>
          </w:p>
        </w:tc>
      </w:tr>
    </w:tbl>
    <w:p w14:paraId="12734537">
      <w:pPr>
        <w:keepNext w:val="0"/>
        <w:keepLines w:val="0"/>
        <w:pageBreakBefore w:val="0"/>
        <w:numPr>
          <w:ilvl w:val="0"/>
          <w:numId w:val="0"/>
        </w:numPr>
        <w:tabs>
          <w:tab w:val="left" w:pos="105"/>
          <w:tab w:val="left" w:pos="735"/>
          <w:tab w:val="left" w:pos="945"/>
          <w:tab w:val="left" w:pos="3360"/>
        </w:tabs>
        <w:kinsoku/>
        <w:wordWrap/>
        <w:overflowPunct/>
        <w:topLinePunct w:val="0"/>
        <w:autoSpaceDE/>
        <w:autoSpaceDN/>
        <w:bidi w:val="0"/>
        <w:spacing w:line="360" w:lineRule="auto"/>
        <w:ind w:firstLine="420" w:firstLineChars="200"/>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2.事故痕迹鉴定项目</w:t>
      </w:r>
      <w:r>
        <w:rPr>
          <w:rFonts w:hint="eastAsia" w:ascii="宋体" w:hAnsi="宋体" w:eastAsia="宋体" w:cs="宋体"/>
          <w:color w:val="000000"/>
          <w:sz w:val="21"/>
          <w:szCs w:val="21"/>
          <w:lang w:eastAsia="zh-CN"/>
        </w:rPr>
        <w:t>，具体内容如下</w:t>
      </w:r>
      <w:r>
        <w:rPr>
          <w:rFonts w:hint="eastAsia" w:ascii="宋体" w:hAnsi="宋体" w:eastAsia="宋体" w:cs="宋体"/>
          <w:color w:val="000000"/>
          <w:sz w:val="21"/>
          <w:szCs w:val="21"/>
          <w:lang w:val="en-US" w:eastAsia="zh-CN"/>
        </w:rPr>
        <w:t>:</w:t>
      </w:r>
    </w:p>
    <w:tbl>
      <w:tblPr>
        <w:tblStyle w:val="32"/>
        <w:tblpPr w:leftFromText="180" w:rightFromText="180" w:vertAnchor="text" w:horzAnchor="page" w:tblpXSpec="center" w:tblpY="103"/>
        <w:tblOverlap w:val="never"/>
        <w:tblW w:w="99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91"/>
        <w:gridCol w:w="2670"/>
        <w:gridCol w:w="2399"/>
      </w:tblGrid>
      <w:tr w14:paraId="72101D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891" w:type="dxa"/>
            <w:tcBorders>
              <w:top w:val="single" w:color="auto" w:sz="4" w:space="0"/>
              <w:left w:val="single" w:color="auto" w:sz="4" w:space="0"/>
              <w:bottom w:val="single" w:color="auto" w:sz="4" w:space="0"/>
              <w:right w:val="single" w:color="auto" w:sz="4" w:space="0"/>
            </w:tcBorders>
            <w:noWrap w:val="0"/>
            <w:vAlign w:val="center"/>
          </w:tcPr>
          <w:p w14:paraId="199E80D2">
            <w:pPr>
              <w:spacing w:line="360" w:lineRule="auto"/>
              <w:jc w:val="center"/>
              <w:rPr>
                <w:rFonts w:hint="eastAsia" w:ascii="宋体" w:hAnsi="宋体" w:eastAsia="宋体" w:cs="宋体"/>
                <w:sz w:val="21"/>
                <w:szCs w:val="21"/>
              </w:rPr>
            </w:pPr>
            <w:r>
              <w:rPr>
                <w:rFonts w:hint="eastAsia" w:ascii="宋体" w:hAnsi="宋体" w:eastAsia="宋体" w:cs="宋体"/>
                <w:sz w:val="21"/>
                <w:szCs w:val="21"/>
              </w:rPr>
              <w:t>项目内容</w:t>
            </w:r>
          </w:p>
        </w:tc>
        <w:tc>
          <w:tcPr>
            <w:tcW w:w="2670" w:type="dxa"/>
            <w:tcBorders>
              <w:top w:val="single" w:color="auto" w:sz="4" w:space="0"/>
              <w:left w:val="single" w:color="auto" w:sz="4" w:space="0"/>
              <w:bottom w:val="single" w:color="auto" w:sz="4" w:space="0"/>
              <w:right w:val="single" w:color="auto" w:sz="4" w:space="0"/>
            </w:tcBorders>
            <w:noWrap w:val="0"/>
            <w:vAlign w:val="center"/>
          </w:tcPr>
          <w:p w14:paraId="21D20F84">
            <w:pPr>
              <w:spacing w:line="360" w:lineRule="auto"/>
              <w:jc w:val="center"/>
              <w:rPr>
                <w:rFonts w:hint="eastAsia" w:ascii="宋体" w:hAnsi="宋体" w:eastAsia="宋体" w:cs="宋体"/>
                <w:sz w:val="21"/>
                <w:szCs w:val="21"/>
              </w:rPr>
            </w:pPr>
            <w:r>
              <w:rPr>
                <w:rFonts w:hint="eastAsia" w:ascii="宋体" w:hAnsi="宋体" w:eastAsia="宋体" w:cs="宋体"/>
                <w:sz w:val="21"/>
                <w:szCs w:val="21"/>
              </w:rPr>
              <w:t>最高单价限价</w:t>
            </w:r>
          </w:p>
        </w:tc>
        <w:tc>
          <w:tcPr>
            <w:tcW w:w="2399" w:type="dxa"/>
            <w:tcBorders>
              <w:top w:val="single" w:color="auto" w:sz="4" w:space="0"/>
              <w:left w:val="single" w:color="auto" w:sz="4" w:space="0"/>
              <w:bottom w:val="single" w:color="auto" w:sz="4" w:space="0"/>
              <w:right w:val="single" w:color="auto" w:sz="4" w:space="0"/>
            </w:tcBorders>
            <w:noWrap w:val="0"/>
            <w:vAlign w:val="center"/>
          </w:tcPr>
          <w:p w14:paraId="747638E2">
            <w:pPr>
              <w:spacing w:line="360" w:lineRule="auto"/>
              <w:jc w:val="center"/>
              <w:rPr>
                <w:rFonts w:hint="eastAsia" w:ascii="宋体" w:hAnsi="宋体" w:eastAsia="宋体" w:cs="宋体"/>
                <w:sz w:val="21"/>
                <w:szCs w:val="21"/>
              </w:rPr>
            </w:pPr>
            <w:r>
              <w:rPr>
                <w:rFonts w:hint="eastAsia" w:ascii="宋体" w:hAnsi="宋体" w:eastAsia="宋体" w:cs="宋体"/>
                <w:b w:val="0"/>
                <w:bCs/>
                <w:color w:val="auto"/>
                <w:sz w:val="21"/>
                <w:szCs w:val="21"/>
                <w:lang w:eastAsia="zh-CN"/>
              </w:rPr>
              <w:t>中标费率</w:t>
            </w:r>
            <w:r>
              <w:rPr>
                <w:rFonts w:hint="eastAsia" w:ascii="宋体" w:hAnsi="宋体" w:eastAsia="宋体" w:cs="宋体"/>
                <w:b w:val="0"/>
                <w:bCs/>
                <w:color w:val="auto"/>
                <w:sz w:val="21"/>
                <w:szCs w:val="21"/>
                <w:lang w:val="en-US" w:eastAsia="zh-CN"/>
              </w:rPr>
              <w:t>（%）</w:t>
            </w:r>
          </w:p>
        </w:tc>
      </w:tr>
      <w:tr w14:paraId="4DAD06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891" w:type="dxa"/>
            <w:tcBorders>
              <w:top w:val="single" w:color="auto" w:sz="4" w:space="0"/>
              <w:left w:val="single" w:color="auto" w:sz="4" w:space="0"/>
              <w:right w:val="single" w:color="auto" w:sz="4" w:space="0"/>
            </w:tcBorders>
            <w:noWrap w:val="0"/>
            <w:vAlign w:val="center"/>
          </w:tcPr>
          <w:p w14:paraId="6442226A">
            <w:pPr>
              <w:spacing w:line="360" w:lineRule="auto"/>
              <w:jc w:val="center"/>
              <w:rPr>
                <w:rFonts w:hint="eastAsia" w:ascii="宋体" w:hAnsi="宋体" w:eastAsia="宋体" w:cs="宋体"/>
                <w:sz w:val="21"/>
                <w:szCs w:val="21"/>
              </w:rPr>
            </w:pPr>
            <w:r>
              <w:rPr>
                <w:rFonts w:hint="eastAsia" w:ascii="宋体" w:hAnsi="宋体" w:eastAsia="宋体" w:cs="宋体"/>
                <w:sz w:val="21"/>
                <w:szCs w:val="21"/>
              </w:rPr>
              <w:t>基于视频图像的车速鉴定</w:t>
            </w:r>
          </w:p>
        </w:tc>
        <w:tc>
          <w:tcPr>
            <w:tcW w:w="2670" w:type="dxa"/>
            <w:tcBorders>
              <w:top w:val="single" w:color="auto" w:sz="4" w:space="0"/>
              <w:left w:val="single" w:color="auto" w:sz="4" w:space="0"/>
              <w:right w:val="single" w:color="auto" w:sz="4" w:space="0"/>
            </w:tcBorders>
            <w:noWrap w:val="0"/>
            <w:vAlign w:val="center"/>
          </w:tcPr>
          <w:p w14:paraId="35934061">
            <w:pPr>
              <w:spacing w:line="360" w:lineRule="auto"/>
              <w:jc w:val="center"/>
              <w:rPr>
                <w:rFonts w:hint="eastAsia" w:ascii="宋体" w:hAnsi="宋体" w:eastAsia="宋体" w:cs="宋体"/>
                <w:sz w:val="21"/>
                <w:szCs w:val="21"/>
              </w:rPr>
            </w:pPr>
            <w:r>
              <w:rPr>
                <w:rFonts w:hint="eastAsia" w:ascii="宋体" w:hAnsi="宋体" w:eastAsia="宋体" w:cs="宋体"/>
                <w:sz w:val="21"/>
                <w:szCs w:val="21"/>
              </w:rPr>
              <w:t>3000元/辆</w:t>
            </w:r>
          </w:p>
        </w:tc>
        <w:tc>
          <w:tcPr>
            <w:tcW w:w="2399" w:type="dxa"/>
            <w:vMerge w:val="restart"/>
            <w:tcBorders>
              <w:top w:val="single" w:color="auto" w:sz="4" w:space="0"/>
              <w:left w:val="single" w:color="auto" w:sz="4" w:space="0"/>
              <w:right w:val="single" w:color="auto" w:sz="4" w:space="0"/>
            </w:tcBorders>
            <w:noWrap w:val="0"/>
            <w:vAlign w:val="center"/>
          </w:tcPr>
          <w:p w14:paraId="555858F5">
            <w:pPr>
              <w:spacing w:line="360" w:lineRule="auto"/>
              <w:jc w:val="center"/>
              <w:rPr>
                <w:rFonts w:hint="eastAsia" w:ascii="宋体" w:hAnsi="宋体" w:eastAsia="宋体" w:cs="宋体"/>
                <w:sz w:val="21"/>
                <w:szCs w:val="21"/>
              </w:rPr>
            </w:pPr>
          </w:p>
        </w:tc>
      </w:tr>
      <w:tr w14:paraId="4D2B55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891" w:type="dxa"/>
            <w:tcBorders>
              <w:top w:val="single" w:color="auto" w:sz="4" w:space="0"/>
              <w:left w:val="single" w:color="auto" w:sz="4" w:space="0"/>
              <w:right w:val="single" w:color="auto" w:sz="4" w:space="0"/>
            </w:tcBorders>
            <w:noWrap w:val="0"/>
            <w:vAlign w:val="center"/>
          </w:tcPr>
          <w:p w14:paraId="231982D3">
            <w:pPr>
              <w:spacing w:line="360" w:lineRule="auto"/>
              <w:jc w:val="center"/>
              <w:rPr>
                <w:rFonts w:hint="eastAsia" w:ascii="宋体" w:hAnsi="宋体" w:eastAsia="宋体" w:cs="宋体"/>
                <w:sz w:val="21"/>
                <w:szCs w:val="21"/>
              </w:rPr>
            </w:pPr>
            <w:r>
              <w:rPr>
                <w:rFonts w:hint="eastAsia" w:ascii="宋体" w:hAnsi="宋体" w:eastAsia="宋体" w:cs="宋体"/>
                <w:sz w:val="21"/>
                <w:szCs w:val="21"/>
              </w:rPr>
              <w:t>基于动力学、运动学理论的车速鉴定</w:t>
            </w:r>
          </w:p>
        </w:tc>
        <w:tc>
          <w:tcPr>
            <w:tcW w:w="2670" w:type="dxa"/>
            <w:tcBorders>
              <w:top w:val="single" w:color="auto" w:sz="4" w:space="0"/>
              <w:left w:val="single" w:color="auto" w:sz="4" w:space="0"/>
              <w:right w:val="single" w:color="auto" w:sz="4" w:space="0"/>
            </w:tcBorders>
            <w:noWrap w:val="0"/>
            <w:vAlign w:val="center"/>
          </w:tcPr>
          <w:p w14:paraId="3C6069FC">
            <w:pPr>
              <w:spacing w:line="360" w:lineRule="auto"/>
              <w:jc w:val="center"/>
              <w:rPr>
                <w:rFonts w:hint="eastAsia" w:ascii="宋体" w:hAnsi="宋体" w:eastAsia="宋体" w:cs="宋体"/>
                <w:sz w:val="21"/>
                <w:szCs w:val="21"/>
              </w:rPr>
            </w:pPr>
            <w:r>
              <w:rPr>
                <w:rFonts w:hint="eastAsia" w:ascii="宋体" w:hAnsi="宋体" w:eastAsia="宋体" w:cs="宋体"/>
                <w:sz w:val="21"/>
                <w:szCs w:val="21"/>
              </w:rPr>
              <w:t>4000元/辆</w:t>
            </w:r>
          </w:p>
        </w:tc>
        <w:tc>
          <w:tcPr>
            <w:tcW w:w="2399" w:type="dxa"/>
            <w:vMerge w:val="continue"/>
            <w:tcBorders>
              <w:left w:val="single" w:color="auto" w:sz="4" w:space="0"/>
              <w:right w:val="single" w:color="auto" w:sz="4" w:space="0"/>
            </w:tcBorders>
            <w:noWrap w:val="0"/>
            <w:vAlign w:val="center"/>
          </w:tcPr>
          <w:p w14:paraId="01862947">
            <w:pPr>
              <w:spacing w:line="360" w:lineRule="auto"/>
              <w:jc w:val="center"/>
              <w:rPr>
                <w:rFonts w:hint="eastAsia" w:ascii="宋体" w:hAnsi="宋体" w:eastAsia="宋体" w:cs="宋体"/>
                <w:sz w:val="21"/>
                <w:szCs w:val="21"/>
              </w:rPr>
            </w:pPr>
          </w:p>
        </w:tc>
      </w:tr>
      <w:tr w14:paraId="57AF63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891" w:type="dxa"/>
            <w:tcBorders>
              <w:top w:val="single" w:color="auto" w:sz="4" w:space="0"/>
              <w:left w:val="single" w:color="auto" w:sz="4" w:space="0"/>
              <w:right w:val="single" w:color="auto" w:sz="4" w:space="0"/>
            </w:tcBorders>
            <w:noWrap w:val="0"/>
            <w:vAlign w:val="center"/>
          </w:tcPr>
          <w:p w14:paraId="7CFE7361">
            <w:pPr>
              <w:spacing w:line="360" w:lineRule="auto"/>
              <w:jc w:val="center"/>
              <w:rPr>
                <w:rFonts w:hint="eastAsia" w:ascii="宋体" w:hAnsi="宋体" w:eastAsia="宋体" w:cs="宋体"/>
                <w:sz w:val="21"/>
                <w:szCs w:val="21"/>
              </w:rPr>
            </w:pPr>
            <w:r>
              <w:rPr>
                <w:rFonts w:hint="eastAsia" w:ascii="宋体" w:hAnsi="宋体" w:eastAsia="宋体" w:cs="宋体"/>
                <w:sz w:val="21"/>
                <w:szCs w:val="21"/>
              </w:rPr>
              <w:t>基于车载记录设备信息的车速鉴定</w:t>
            </w:r>
          </w:p>
        </w:tc>
        <w:tc>
          <w:tcPr>
            <w:tcW w:w="2670" w:type="dxa"/>
            <w:tcBorders>
              <w:top w:val="single" w:color="auto" w:sz="4" w:space="0"/>
              <w:left w:val="single" w:color="auto" w:sz="4" w:space="0"/>
              <w:right w:val="single" w:color="auto" w:sz="4" w:space="0"/>
            </w:tcBorders>
            <w:noWrap w:val="0"/>
            <w:vAlign w:val="center"/>
          </w:tcPr>
          <w:p w14:paraId="7646CB0E">
            <w:pPr>
              <w:spacing w:line="360" w:lineRule="auto"/>
              <w:jc w:val="center"/>
              <w:rPr>
                <w:rFonts w:hint="eastAsia" w:ascii="宋体" w:hAnsi="宋体" w:eastAsia="宋体" w:cs="宋体"/>
                <w:sz w:val="21"/>
                <w:szCs w:val="21"/>
              </w:rPr>
            </w:pPr>
            <w:r>
              <w:rPr>
                <w:rFonts w:hint="eastAsia" w:ascii="宋体" w:hAnsi="宋体" w:eastAsia="宋体" w:cs="宋体"/>
                <w:sz w:val="21"/>
                <w:szCs w:val="21"/>
              </w:rPr>
              <w:t>5000元/辆</w:t>
            </w:r>
          </w:p>
        </w:tc>
        <w:tc>
          <w:tcPr>
            <w:tcW w:w="2399" w:type="dxa"/>
            <w:vMerge w:val="continue"/>
            <w:tcBorders>
              <w:left w:val="single" w:color="auto" w:sz="4" w:space="0"/>
              <w:right w:val="single" w:color="auto" w:sz="4" w:space="0"/>
            </w:tcBorders>
            <w:noWrap w:val="0"/>
            <w:vAlign w:val="center"/>
          </w:tcPr>
          <w:p w14:paraId="086373BA">
            <w:pPr>
              <w:spacing w:line="360" w:lineRule="auto"/>
              <w:jc w:val="center"/>
              <w:rPr>
                <w:rFonts w:hint="eastAsia" w:ascii="宋体" w:hAnsi="宋体" w:eastAsia="宋体" w:cs="宋体"/>
                <w:sz w:val="21"/>
                <w:szCs w:val="21"/>
              </w:rPr>
            </w:pPr>
          </w:p>
        </w:tc>
      </w:tr>
      <w:tr w14:paraId="5828A2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891" w:type="dxa"/>
            <w:tcBorders>
              <w:top w:val="single" w:color="auto" w:sz="4" w:space="0"/>
              <w:left w:val="single" w:color="auto" w:sz="4" w:space="0"/>
              <w:right w:val="single" w:color="auto" w:sz="4" w:space="0"/>
            </w:tcBorders>
            <w:noWrap w:val="0"/>
            <w:vAlign w:val="center"/>
          </w:tcPr>
          <w:p w14:paraId="1BBE986B">
            <w:pPr>
              <w:spacing w:line="360" w:lineRule="auto"/>
              <w:jc w:val="center"/>
              <w:rPr>
                <w:rFonts w:hint="eastAsia" w:ascii="宋体" w:hAnsi="宋体" w:eastAsia="宋体" w:cs="宋体"/>
                <w:sz w:val="21"/>
                <w:szCs w:val="21"/>
              </w:rPr>
            </w:pPr>
            <w:r>
              <w:rPr>
                <w:rFonts w:hint="eastAsia" w:ascii="宋体" w:hAnsi="宋体" w:eastAsia="宋体" w:cs="宋体"/>
                <w:sz w:val="21"/>
                <w:szCs w:val="21"/>
              </w:rPr>
              <w:t>痕迹鉴定</w:t>
            </w:r>
          </w:p>
        </w:tc>
        <w:tc>
          <w:tcPr>
            <w:tcW w:w="2670" w:type="dxa"/>
            <w:tcBorders>
              <w:top w:val="single" w:color="auto" w:sz="4" w:space="0"/>
              <w:left w:val="single" w:color="auto" w:sz="4" w:space="0"/>
              <w:right w:val="single" w:color="auto" w:sz="4" w:space="0"/>
            </w:tcBorders>
            <w:noWrap w:val="0"/>
            <w:vAlign w:val="center"/>
          </w:tcPr>
          <w:p w14:paraId="0B38E7C2">
            <w:pPr>
              <w:spacing w:line="360" w:lineRule="auto"/>
              <w:jc w:val="center"/>
              <w:rPr>
                <w:rFonts w:hint="eastAsia" w:ascii="宋体" w:hAnsi="宋体" w:eastAsia="宋体" w:cs="宋体"/>
                <w:sz w:val="21"/>
                <w:szCs w:val="21"/>
              </w:rPr>
            </w:pPr>
            <w:r>
              <w:rPr>
                <w:rFonts w:hint="eastAsia" w:ascii="宋体" w:hAnsi="宋体" w:eastAsia="宋体" w:cs="宋体"/>
                <w:sz w:val="21"/>
                <w:szCs w:val="21"/>
              </w:rPr>
              <w:t>3000元/辆</w:t>
            </w:r>
          </w:p>
        </w:tc>
        <w:tc>
          <w:tcPr>
            <w:tcW w:w="2399" w:type="dxa"/>
            <w:vMerge w:val="continue"/>
            <w:tcBorders>
              <w:left w:val="single" w:color="auto" w:sz="4" w:space="0"/>
              <w:right w:val="single" w:color="auto" w:sz="4" w:space="0"/>
            </w:tcBorders>
            <w:noWrap w:val="0"/>
            <w:vAlign w:val="center"/>
          </w:tcPr>
          <w:p w14:paraId="51BDA4D0">
            <w:pPr>
              <w:spacing w:line="360" w:lineRule="auto"/>
              <w:jc w:val="center"/>
              <w:rPr>
                <w:rFonts w:hint="eastAsia" w:ascii="宋体" w:hAnsi="宋体" w:eastAsia="宋体" w:cs="宋体"/>
                <w:sz w:val="21"/>
                <w:szCs w:val="21"/>
              </w:rPr>
            </w:pPr>
          </w:p>
        </w:tc>
      </w:tr>
      <w:tr w14:paraId="7D905F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891" w:type="dxa"/>
            <w:tcBorders>
              <w:top w:val="single" w:color="auto" w:sz="4" w:space="0"/>
              <w:left w:val="single" w:color="auto" w:sz="4" w:space="0"/>
              <w:bottom w:val="single" w:color="auto" w:sz="4" w:space="0"/>
              <w:right w:val="single" w:color="auto" w:sz="4" w:space="0"/>
            </w:tcBorders>
            <w:noWrap w:val="0"/>
            <w:vAlign w:val="center"/>
          </w:tcPr>
          <w:p w14:paraId="10138BAF">
            <w:pPr>
              <w:spacing w:line="360" w:lineRule="auto"/>
              <w:jc w:val="center"/>
              <w:rPr>
                <w:rFonts w:hint="eastAsia" w:ascii="宋体" w:hAnsi="宋体" w:eastAsia="宋体" w:cs="宋体"/>
                <w:sz w:val="21"/>
                <w:szCs w:val="21"/>
              </w:rPr>
            </w:pPr>
            <w:r>
              <w:rPr>
                <w:rFonts w:hint="eastAsia" w:ascii="宋体" w:hAnsi="宋体" w:eastAsia="宋体" w:cs="宋体"/>
                <w:sz w:val="21"/>
                <w:szCs w:val="21"/>
              </w:rPr>
              <w:t>车辆行驶状态、行驶方向和轨迹鉴定</w:t>
            </w:r>
          </w:p>
        </w:tc>
        <w:tc>
          <w:tcPr>
            <w:tcW w:w="2670" w:type="dxa"/>
            <w:tcBorders>
              <w:top w:val="single" w:color="auto" w:sz="4" w:space="0"/>
              <w:left w:val="single" w:color="auto" w:sz="4" w:space="0"/>
              <w:bottom w:val="single" w:color="auto" w:sz="4" w:space="0"/>
              <w:right w:val="single" w:color="auto" w:sz="4" w:space="0"/>
            </w:tcBorders>
            <w:noWrap w:val="0"/>
            <w:vAlign w:val="center"/>
          </w:tcPr>
          <w:p w14:paraId="65B64CEE">
            <w:pPr>
              <w:spacing w:line="360" w:lineRule="auto"/>
              <w:jc w:val="center"/>
              <w:rPr>
                <w:rFonts w:hint="eastAsia" w:ascii="宋体" w:hAnsi="宋体" w:eastAsia="宋体" w:cs="宋体"/>
                <w:sz w:val="21"/>
                <w:szCs w:val="21"/>
              </w:rPr>
            </w:pPr>
            <w:r>
              <w:rPr>
                <w:rFonts w:hint="eastAsia" w:ascii="宋体" w:hAnsi="宋体" w:eastAsia="宋体" w:cs="宋体"/>
                <w:sz w:val="21"/>
                <w:szCs w:val="21"/>
              </w:rPr>
              <w:t>4000元/辆</w:t>
            </w:r>
          </w:p>
        </w:tc>
        <w:tc>
          <w:tcPr>
            <w:tcW w:w="2399" w:type="dxa"/>
            <w:vMerge w:val="continue"/>
            <w:tcBorders>
              <w:left w:val="single" w:color="auto" w:sz="4" w:space="0"/>
              <w:right w:val="single" w:color="auto" w:sz="4" w:space="0"/>
            </w:tcBorders>
            <w:noWrap w:val="0"/>
            <w:vAlign w:val="center"/>
          </w:tcPr>
          <w:p w14:paraId="145B1122">
            <w:pPr>
              <w:spacing w:line="360" w:lineRule="auto"/>
              <w:jc w:val="center"/>
              <w:rPr>
                <w:rFonts w:hint="eastAsia" w:ascii="宋体" w:hAnsi="宋体" w:eastAsia="宋体" w:cs="宋体"/>
                <w:sz w:val="21"/>
                <w:szCs w:val="21"/>
              </w:rPr>
            </w:pPr>
          </w:p>
        </w:tc>
      </w:tr>
      <w:tr w14:paraId="5B495E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891" w:type="dxa"/>
            <w:tcBorders>
              <w:top w:val="single" w:color="auto" w:sz="4" w:space="0"/>
              <w:left w:val="single" w:color="auto" w:sz="4" w:space="0"/>
              <w:bottom w:val="single" w:color="auto" w:sz="4" w:space="0"/>
              <w:right w:val="single" w:color="auto" w:sz="4" w:space="0"/>
            </w:tcBorders>
            <w:noWrap w:val="0"/>
            <w:vAlign w:val="center"/>
          </w:tcPr>
          <w:p w14:paraId="5A966533">
            <w:pPr>
              <w:spacing w:line="360" w:lineRule="auto"/>
              <w:jc w:val="center"/>
              <w:rPr>
                <w:rFonts w:hint="eastAsia" w:ascii="宋体" w:hAnsi="宋体" w:eastAsia="宋体" w:cs="宋体"/>
                <w:sz w:val="21"/>
                <w:szCs w:val="21"/>
              </w:rPr>
            </w:pPr>
            <w:r>
              <w:rPr>
                <w:rFonts w:hint="eastAsia" w:ascii="宋体" w:hAnsi="宋体" w:eastAsia="宋体" w:cs="宋体"/>
                <w:sz w:val="21"/>
                <w:szCs w:val="21"/>
              </w:rPr>
              <w:t>微量物证鉴定</w:t>
            </w:r>
          </w:p>
        </w:tc>
        <w:tc>
          <w:tcPr>
            <w:tcW w:w="2670" w:type="dxa"/>
            <w:tcBorders>
              <w:top w:val="single" w:color="auto" w:sz="4" w:space="0"/>
              <w:left w:val="single" w:color="auto" w:sz="4" w:space="0"/>
              <w:bottom w:val="single" w:color="auto" w:sz="4" w:space="0"/>
              <w:right w:val="single" w:color="auto" w:sz="4" w:space="0"/>
            </w:tcBorders>
            <w:noWrap w:val="0"/>
            <w:vAlign w:val="center"/>
          </w:tcPr>
          <w:p w14:paraId="6C6D5F33">
            <w:pPr>
              <w:spacing w:line="360" w:lineRule="auto"/>
              <w:jc w:val="center"/>
              <w:rPr>
                <w:rFonts w:hint="eastAsia" w:ascii="宋体" w:hAnsi="宋体" w:eastAsia="宋体" w:cs="宋体"/>
                <w:sz w:val="21"/>
                <w:szCs w:val="21"/>
              </w:rPr>
            </w:pPr>
            <w:r>
              <w:rPr>
                <w:rFonts w:hint="eastAsia" w:ascii="宋体" w:hAnsi="宋体" w:eastAsia="宋体" w:cs="宋体"/>
                <w:sz w:val="21"/>
                <w:szCs w:val="21"/>
              </w:rPr>
              <w:t>3000元/组（一组为两个）</w:t>
            </w:r>
          </w:p>
        </w:tc>
        <w:tc>
          <w:tcPr>
            <w:tcW w:w="2399" w:type="dxa"/>
            <w:vMerge w:val="continue"/>
            <w:tcBorders>
              <w:left w:val="single" w:color="auto" w:sz="4" w:space="0"/>
              <w:right w:val="single" w:color="auto" w:sz="4" w:space="0"/>
            </w:tcBorders>
            <w:noWrap w:val="0"/>
            <w:vAlign w:val="center"/>
          </w:tcPr>
          <w:p w14:paraId="4C4AE270">
            <w:pPr>
              <w:spacing w:line="360" w:lineRule="auto"/>
              <w:jc w:val="center"/>
              <w:rPr>
                <w:rFonts w:hint="eastAsia" w:ascii="宋体" w:hAnsi="宋体" w:eastAsia="宋体" w:cs="宋体"/>
                <w:sz w:val="21"/>
                <w:szCs w:val="21"/>
              </w:rPr>
            </w:pPr>
          </w:p>
        </w:tc>
      </w:tr>
      <w:tr w14:paraId="2740BE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4891" w:type="dxa"/>
            <w:tcBorders>
              <w:top w:val="single" w:color="auto" w:sz="4" w:space="0"/>
              <w:left w:val="single" w:color="auto" w:sz="4" w:space="0"/>
              <w:bottom w:val="single" w:color="auto" w:sz="4" w:space="0"/>
              <w:right w:val="single" w:color="auto" w:sz="4" w:space="0"/>
            </w:tcBorders>
            <w:noWrap w:val="0"/>
            <w:vAlign w:val="center"/>
          </w:tcPr>
          <w:p w14:paraId="4F12D0C2">
            <w:pPr>
              <w:spacing w:line="360" w:lineRule="auto"/>
              <w:jc w:val="center"/>
              <w:rPr>
                <w:rFonts w:hint="eastAsia" w:ascii="宋体" w:hAnsi="宋体" w:eastAsia="宋体" w:cs="宋体"/>
                <w:sz w:val="21"/>
                <w:szCs w:val="21"/>
              </w:rPr>
            </w:pPr>
            <w:r>
              <w:rPr>
                <w:rFonts w:hint="eastAsia" w:ascii="宋体" w:hAnsi="宋体" w:eastAsia="宋体" w:cs="宋体"/>
                <w:sz w:val="21"/>
                <w:szCs w:val="21"/>
              </w:rPr>
              <w:t>司、乘关系鉴定</w:t>
            </w:r>
          </w:p>
        </w:tc>
        <w:tc>
          <w:tcPr>
            <w:tcW w:w="2670" w:type="dxa"/>
            <w:tcBorders>
              <w:top w:val="single" w:color="auto" w:sz="4" w:space="0"/>
              <w:left w:val="single" w:color="auto" w:sz="4" w:space="0"/>
              <w:bottom w:val="single" w:color="auto" w:sz="4" w:space="0"/>
              <w:right w:val="single" w:color="auto" w:sz="4" w:space="0"/>
            </w:tcBorders>
            <w:noWrap w:val="0"/>
            <w:vAlign w:val="center"/>
          </w:tcPr>
          <w:p w14:paraId="1EF05A5F">
            <w:pPr>
              <w:jc w:val="center"/>
              <w:rPr>
                <w:rFonts w:hint="eastAsia"/>
              </w:rPr>
            </w:pPr>
            <w:r>
              <w:rPr>
                <w:rFonts w:hint="eastAsia"/>
              </w:rPr>
              <w:t>4000元/辆</w:t>
            </w:r>
          </w:p>
        </w:tc>
        <w:tc>
          <w:tcPr>
            <w:tcW w:w="2399" w:type="dxa"/>
            <w:vMerge w:val="continue"/>
            <w:tcBorders>
              <w:left w:val="single" w:color="auto" w:sz="4" w:space="0"/>
              <w:right w:val="single" w:color="auto" w:sz="4" w:space="0"/>
            </w:tcBorders>
            <w:noWrap w:val="0"/>
            <w:vAlign w:val="center"/>
          </w:tcPr>
          <w:p w14:paraId="38B69E9F">
            <w:pPr>
              <w:rPr>
                <w:rFonts w:hint="eastAsia"/>
              </w:rPr>
            </w:pPr>
          </w:p>
        </w:tc>
      </w:tr>
      <w:tr w14:paraId="70FAE2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891" w:type="dxa"/>
            <w:tcBorders>
              <w:top w:val="single" w:color="auto" w:sz="4" w:space="0"/>
              <w:left w:val="single" w:color="auto" w:sz="4" w:space="0"/>
              <w:bottom w:val="single" w:color="auto" w:sz="4" w:space="0"/>
              <w:right w:val="single" w:color="auto" w:sz="4" w:space="0"/>
            </w:tcBorders>
            <w:noWrap w:val="0"/>
            <w:vAlign w:val="center"/>
          </w:tcPr>
          <w:p w14:paraId="78DD2F0A">
            <w:pPr>
              <w:spacing w:line="360" w:lineRule="auto"/>
              <w:jc w:val="center"/>
              <w:rPr>
                <w:rFonts w:hint="eastAsia" w:ascii="宋体" w:hAnsi="宋体" w:eastAsia="宋体" w:cs="宋体"/>
                <w:sz w:val="21"/>
                <w:szCs w:val="21"/>
              </w:rPr>
            </w:pPr>
            <w:r>
              <w:rPr>
                <w:rFonts w:hint="eastAsia" w:ascii="宋体" w:hAnsi="宋体" w:eastAsia="宋体" w:cs="宋体"/>
                <w:sz w:val="21"/>
                <w:szCs w:val="21"/>
              </w:rPr>
              <w:t>二、三轮车骑行或推行鉴定</w:t>
            </w:r>
          </w:p>
        </w:tc>
        <w:tc>
          <w:tcPr>
            <w:tcW w:w="2670" w:type="dxa"/>
            <w:tcBorders>
              <w:top w:val="single" w:color="auto" w:sz="4" w:space="0"/>
              <w:left w:val="single" w:color="auto" w:sz="4" w:space="0"/>
              <w:bottom w:val="single" w:color="auto" w:sz="4" w:space="0"/>
              <w:right w:val="single" w:color="auto" w:sz="4" w:space="0"/>
            </w:tcBorders>
            <w:noWrap w:val="0"/>
            <w:vAlign w:val="center"/>
          </w:tcPr>
          <w:p w14:paraId="1C8B10FF">
            <w:pPr>
              <w:jc w:val="center"/>
              <w:rPr>
                <w:rFonts w:hint="eastAsia"/>
              </w:rPr>
            </w:pPr>
            <w:r>
              <w:rPr>
                <w:rFonts w:hint="eastAsia"/>
              </w:rPr>
              <w:t>3500元/辆</w:t>
            </w:r>
          </w:p>
        </w:tc>
        <w:tc>
          <w:tcPr>
            <w:tcW w:w="2399" w:type="dxa"/>
            <w:vMerge w:val="continue"/>
            <w:tcBorders>
              <w:left w:val="single" w:color="auto" w:sz="4" w:space="0"/>
              <w:right w:val="single" w:color="auto" w:sz="4" w:space="0"/>
            </w:tcBorders>
            <w:noWrap w:val="0"/>
            <w:vAlign w:val="center"/>
          </w:tcPr>
          <w:p w14:paraId="01740717">
            <w:pPr>
              <w:rPr>
                <w:rFonts w:hint="eastAsia"/>
              </w:rPr>
            </w:pPr>
          </w:p>
        </w:tc>
      </w:tr>
      <w:tr w14:paraId="5BF11F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891" w:type="dxa"/>
            <w:tcBorders>
              <w:top w:val="single" w:color="auto" w:sz="4" w:space="0"/>
              <w:left w:val="single" w:color="auto" w:sz="4" w:space="0"/>
              <w:bottom w:val="single" w:color="auto" w:sz="4" w:space="0"/>
              <w:right w:val="single" w:color="auto" w:sz="4" w:space="0"/>
            </w:tcBorders>
            <w:noWrap w:val="0"/>
            <w:vAlign w:val="center"/>
          </w:tcPr>
          <w:p w14:paraId="773FCE1A">
            <w:pPr>
              <w:spacing w:line="360" w:lineRule="auto"/>
              <w:jc w:val="center"/>
              <w:rPr>
                <w:rFonts w:hint="eastAsia" w:ascii="宋体" w:hAnsi="宋体" w:eastAsia="宋体" w:cs="宋体"/>
                <w:sz w:val="21"/>
                <w:szCs w:val="21"/>
              </w:rPr>
            </w:pPr>
            <w:r>
              <w:rPr>
                <w:rFonts w:hint="eastAsia" w:ascii="宋体" w:hAnsi="宋体" w:eastAsia="宋体" w:cs="宋体"/>
                <w:sz w:val="21"/>
                <w:szCs w:val="21"/>
              </w:rPr>
              <w:t>车辆损坏与交通事故因果关系鉴定</w:t>
            </w:r>
          </w:p>
        </w:tc>
        <w:tc>
          <w:tcPr>
            <w:tcW w:w="2670" w:type="dxa"/>
            <w:tcBorders>
              <w:top w:val="single" w:color="auto" w:sz="4" w:space="0"/>
              <w:left w:val="single" w:color="auto" w:sz="4" w:space="0"/>
              <w:bottom w:val="single" w:color="auto" w:sz="4" w:space="0"/>
              <w:right w:val="single" w:color="auto" w:sz="4" w:space="0"/>
            </w:tcBorders>
            <w:noWrap w:val="0"/>
            <w:vAlign w:val="center"/>
          </w:tcPr>
          <w:p w14:paraId="36DE616C">
            <w:pPr>
              <w:spacing w:line="360" w:lineRule="auto"/>
              <w:jc w:val="center"/>
              <w:rPr>
                <w:rFonts w:hint="eastAsia" w:ascii="宋体" w:hAnsi="宋体" w:eastAsia="宋体" w:cs="宋体"/>
                <w:sz w:val="21"/>
                <w:szCs w:val="21"/>
              </w:rPr>
            </w:pPr>
            <w:r>
              <w:rPr>
                <w:rFonts w:hint="eastAsia" w:ascii="宋体" w:hAnsi="宋体" w:eastAsia="宋体" w:cs="宋体"/>
                <w:sz w:val="21"/>
                <w:szCs w:val="21"/>
              </w:rPr>
              <w:t>4000元/辆</w:t>
            </w:r>
          </w:p>
        </w:tc>
        <w:tc>
          <w:tcPr>
            <w:tcW w:w="2399" w:type="dxa"/>
            <w:vMerge w:val="continue"/>
            <w:tcBorders>
              <w:left w:val="single" w:color="auto" w:sz="4" w:space="0"/>
              <w:right w:val="single" w:color="auto" w:sz="4" w:space="0"/>
            </w:tcBorders>
            <w:noWrap w:val="0"/>
            <w:vAlign w:val="center"/>
          </w:tcPr>
          <w:p w14:paraId="33951FE3">
            <w:pPr>
              <w:spacing w:line="360" w:lineRule="auto"/>
              <w:jc w:val="center"/>
              <w:rPr>
                <w:rFonts w:hint="eastAsia" w:ascii="宋体" w:hAnsi="宋体" w:eastAsia="宋体" w:cs="宋体"/>
                <w:sz w:val="21"/>
                <w:szCs w:val="21"/>
              </w:rPr>
            </w:pPr>
          </w:p>
        </w:tc>
      </w:tr>
      <w:tr w14:paraId="1F453B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891" w:type="dxa"/>
            <w:tcBorders>
              <w:top w:val="single" w:color="auto" w:sz="4" w:space="0"/>
              <w:left w:val="single" w:color="auto" w:sz="4" w:space="0"/>
              <w:bottom w:val="single" w:color="auto" w:sz="4" w:space="0"/>
              <w:right w:val="single" w:color="auto" w:sz="4" w:space="0"/>
            </w:tcBorders>
            <w:noWrap w:val="0"/>
            <w:vAlign w:val="center"/>
          </w:tcPr>
          <w:p w14:paraId="01544E70">
            <w:pPr>
              <w:spacing w:line="360" w:lineRule="auto"/>
              <w:jc w:val="center"/>
              <w:rPr>
                <w:rFonts w:hint="eastAsia" w:ascii="宋体" w:hAnsi="宋体" w:eastAsia="宋体" w:cs="宋体"/>
                <w:sz w:val="21"/>
                <w:szCs w:val="21"/>
              </w:rPr>
            </w:pPr>
            <w:r>
              <w:rPr>
                <w:rFonts w:hint="eastAsia" w:ascii="宋体" w:hAnsi="宋体" w:eastAsia="宋体" w:cs="宋体"/>
                <w:sz w:val="21"/>
                <w:szCs w:val="21"/>
              </w:rPr>
              <w:t>路口交通信号灯状态鉴定</w:t>
            </w:r>
          </w:p>
        </w:tc>
        <w:tc>
          <w:tcPr>
            <w:tcW w:w="2670" w:type="dxa"/>
            <w:tcBorders>
              <w:top w:val="single" w:color="auto" w:sz="4" w:space="0"/>
              <w:left w:val="single" w:color="auto" w:sz="4" w:space="0"/>
              <w:bottom w:val="single" w:color="auto" w:sz="4" w:space="0"/>
              <w:right w:val="single" w:color="auto" w:sz="4" w:space="0"/>
            </w:tcBorders>
            <w:noWrap w:val="0"/>
            <w:vAlign w:val="center"/>
          </w:tcPr>
          <w:p w14:paraId="77CFB6CF">
            <w:pPr>
              <w:spacing w:line="360" w:lineRule="auto"/>
              <w:jc w:val="center"/>
              <w:rPr>
                <w:rFonts w:hint="eastAsia" w:ascii="宋体" w:hAnsi="宋体" w:eastAsia="宋体" w:cs="宋体"/>
                <w:sz w:val="21"/>
                <w:szCs w:val="21"/>
              </w:rPr>
            </w:pPr>
            <w:r>
              <w:rPr>
                <w:rFonts w:hint="eastAsia" w:ascii="宋体" w:hAnsi="宋体" w:eastAsia="宋体" w:cs="宋体"/>
                <w:sz w:val="21"/>
                <w:szCs w:val="21"/>
              </w:rPr>
              <w:t>3500元/辆</w:t>
            </w:r>
          </w:p>
        </w:tc>
        <w:tc>
          <w:tcPr>
            <w:tcW w:w="2399" w:type="dxa"/>
            <w:vMerge w:val="continue"/>
            <w:tcBorders>
              <w:left w:val="single" w:color="auto" w:sz="4" w:space="0"/>
              <w:right w:val="single" w:color="auto" w:sz="4" w:space="0"/>
            </w:tcBorders>
            <w:noWrap w:val="0"/>
            <w:vAlign w:val="center"/>
          </w:tcPr>
          <w:p w14:paraId="4E6856B9">
            <w:pPr>
              <w:spacing w:line="360" w:lineRule="auto"/>
              <w:jc w:val="center"/>
              <w:rPr>
                <w:rFonts w:hint="eastAsia" w:ascii="宋体" w:hAnsi="宋体" w:eastAsia="宋体" w:cs="宋体"/>
                <w:sz w:val="21"/>
                <w:szCs w:val="21"/>
              </w:rPr>
            </w:pPr>
          </w:p>
        </w:tc>
      </w:tr>
      <w:tr w14:paraId="14A9FC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891" w:type="dxa"/>
            <w:tcBorders>
              <w:top w:val="single" w:color="auto" w:sz="4" w:space="0"/>
              <w:left w:val="single" w:color="auto" w:sz="4" w:space="0"/>
              <w:bottom w:val="single" w:color="auto" w:sz="4" w:space="0"/>
              <w:right w:val="single" w:color="auto" w:sz="4" w:space="0"/>
            </w:tcBorders>
            <w:noWrap w:val="0"/>
            <w:vAlign w:val="center"/>
          </w:tcPr>
          <w:p w14:paraId="12626B32">
            <w:pPr>
              <w:spacing w:line="360" w:lineRule="auto"/>
              <w:jc w:val="center"/>
              <w:rPr>
                <w:rFonts w:hint="eastAsia" w:ascii="宋体" w:hAnsi="宋体" w:eastAsia="宋体" w:cs="宋体"/>
                <w:sz w:val="21"/>
                <w:szCs w:val="21"/>
              </w:rPr>
            </w:pPr>
            <w:r>
              <w:rPr>
                <w:rFonts w:hint="eastAsia" w:ascii="宋体" w:hAnsi="宋体" w:eastAsia="宋体" w:cs="宋体"/>
                <w:sz w:val="21"/>
                <w:szCs w:val="21"/>
              </w:rPr>
              <w:t>PC-Crash软件仿真再现鉴定</w:t>
            </w:r>
          </w:p>
        </w:tc>
        <w:tc>
          <w:tcPr>
            <w:tcW w:w="2670" w:type="dxa"/>
            <w:tcBorders>
              <w:top w:val="single" w:color="auto" w:sz="4" w:space="0"/>
              <w:left w:val="single" w:color="auto" w:sz="4" w:space="0"/>
              <w:bottom w:val="single" w:color="auto" w:sz="4" w:space="0"/>
              <w:right w:val="single" w:color="auto" w:sz="4" w:space="0"/>
            </w:tcBorders>
            <w:noWrap w:val="0"/>
            <w:vAlign w:val="center"/>
          </w:tcPr>
          <w:p w14:paraId="24A01C44">
            <w:pPr>
              <w:spacing w:line="360" w:lineRule="auto"/>
              <w:jc w:val="center"/>
              <w:rPr>
                <w:rFonts w:hint="eastAsia" w:ascii="宋体" w:hAnsi="宋体" w:eastAsia="宋体" w:cs="宋体"/>
                <w:sz w:val="21"/>
                <w:szCs w:val="21"/>
              </w:rPr>
            </w:pPr>
            <w:r>
              <w:rPr>
                <w:rFonts w:hint="eastAsia" w:ascii="宋体" w:hAnsi="宋体" w:eastAsia="宋体" w:cs="宋体"/>
                <w:sz w:val="21"/>
                <w:szCs w:val="21"/>
              </w:rPr>
              <w:t>8000元/起</w:t>
            </w:r>
          </w:p>
        </w:tc>
        <w:tc>
          <w:tcPr>
            <w:tcW w:w="2399" w:type="dxa"/>
            <w:vMerge w:val="continue"/>
            <w:tcBorders>
              <w:left w:val="single" w:color="auto" w:sz="4" w:space="0"/>
              <w:right w:val="single" w:color="auto" w:sz="4" w:space="0"/>
            </w:tcBorders>
            <w:noWrap w:val="0"/>
            <w:vAlign w:val="center"/>
          </w:tcPr>
          <w:p w14:paraId="3D4988AE">
            <w:pPr>
              <w:spacing w:line="360" w:lineRule="auto"/>
              <w:jc w:val="center"/>
              <w:rPr>
                <w:rFonts w:hint="eastAsia" w:ascii="宋体" w:hAnsi="宋体" w:eastAsia="宋体" w:cs="宋体"/>
                <w:sz w:val="21"/>
                <w:szCs w:val="21"/>
              </w:rPr>
            </w:pPr>
          </w:p>
        </w:tc>
      </w:tr>
      <w:tr w14:paraId="532FEA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891" w:type="dxa"/>
            <w:tcBorders>
              <w:top w:val="single" w:color="auto" w:sz="4" w:space="0"/>
              <w:left w:val="single" w:color="auto" w:sz="4" w:space="0"/>
              <w:right w:val="single" w:color="auto" w:sz="4" w:space="0"/>
            </w:tcBorders>
            <w:noWrap w:val="0"/>
            <w:vAlign w:val="center"/>
          </w:tcPr>
          <w:p w14:paraId="4DFFEE32">
            <w:pPr>
              <w:spacing w:line="360" w:lineRule="auto"/>
              <w:jc w:val="center"/>
              <w:rPr>
                <w:rFonts w:hint="eastAsia" w:ascii="宋体" w:hAnsi="宋体" w:eastAsia="宋体" w:cs="宋体"/>
                <w:sz w:val="21"/>
                <w:szCs w:val="21"/>
              </w:rPr>
            </w:pPr>
            <w:r>
              <w:rPr>
                <w:rFonts w:hint="eastAsia" w:ascii="宋体" w:hAnsi="宋体" w:eastAsia="宋体" w:cs="宋体"/>
                <w:sz w:val="21"/>
                <w:szCs w:val="21"/>
              </w:rPr>
              <w:t>其他有关交通事故车辆痕迹鉴定</w:t>
            </w:r>
          </w:p>
        </w:tc>
        <w:tc>
          <w:tcPr>
            <w:tcW w:w="2670" w:type="dxa"/>
            <w:tcBorders>
              <w:top w:val="single" w:color="auto" w:sz="4" w:space="0"/>
              <w:left w:val="single" w:color="auto" w:sz="4" w:space="0"/>
              <w:right w:val="single" w:color="auto" w:sz="4" w:space="0"/>
            </w:tcBorders>
            <w:noWrap w:val="0"/>
            <w:vAlign w:val="center"/>
          </w:tcPr>
          <w:p w14:paraId="05669137">
            <w:pPr>
              <w:spacing w:line="360" w:lineRule="auto"/>
              <w:jc w:val="center"/>
              <w:rPr>
                <w:rFonts w:hint="eastAsia" w:ascii="宋体" w:hAnsi="宋体" w:eastAsia="宋体" w:cs="宋体"/>
                <w:sz w:val="21"/>
                <w:szCs w:val="21"/>
              </w:rPr>
            </w:pPr>
            <w:r>
              <w:rPr>
                <w:rFonts w:hint="eastAsia" w:ascii="宋体" w:hAnsi="宋体" w:eastAsia="宋体" w:cs="宋体"/>
                <w:sz w:val="21"/>
                <w:szCs w:val="21"/>
              </w:rPr>
              <w:t>4000元/辆</w:t>
            </w:r>
          </w:p>
        </w:tc>
        <w:tc>
          <w:tcPr>
            <w:tcW w:w="2399" w:type="dxa"/>
            <w:vMerge w:val="continue"/>
            <w:tcBorders>
              <w:left w:val="single" w:color="auto" w:sz="4" w:space="0"/>
              <w:right w:val="single" w:color="auto" w:sz="4" w:space="0"/>
            </w:tcBorders>
            <w:noWrap w:val="0"/>
            <w:vAlign w:val="center"/>
          </w:tcPr>
          <w:p w14:paraId="54FB02AE">
            <w:pPr>
              <w:spacing w:line="360" w:lineRule="auto"/>
              <w:jc w:val="center"/>
              <w:rPr>
                <w:rFonts w:hint="eastAsia" w:ascii="宋体" w:hAnsi="宋体" w:eastAsia="宋体" w:cs="宋体"/>
                <w:sz w:val="21"/>
                <w:szCs w:val="21"/>
              </w:rPr>
            </w:pPr>
          </w:p>
        </w:tc>
      </w:tr>
    </w:tbl>
    <w:p w14:paraId="38F0465B">
      <w:pPr>
        <w:pStyle w:val="11"/>
        <w:snapToGrid w:val="0"/>
        <w:spacing w:before="120" w:after="0" w:line="360" w:lineRule="auto"/>
        <w:ind w:firstLine="422" w:firstLineChars="200"/>
        <w:rPr>
          <w:rFonts w:hint="eastAsia" w:ascii="宋体" w:hAnsi="宋体" w:eastAsia="宋体" w:cs="宋体"/>
          <w:color w:val="000000"/>
          <w:sz w:val="21"/>
          <w:szCs w:val="21"/>
        </w:rPr>
      </w:pPr>
      <w:r>
        <w:rPr>
          <w:rFonts w:hint="eastAsia" w:ascii="宋体" w:hAnsi="宋体" w:eastAsia="宋体" w:cs="宋体"/>
          <w:b/>
          <w:bCs/>
          <w:color w:val="000000"/>
          <w:sz w:val="21"/>
          <w:szCs w:val="21"/>
          <w:highlight w:val="none"/>
          <w:lang w:val="en-US" w:eastAsia="zh-CN"/>
        </w:rPr>
        <w:t>注：▲结算方式：</w:t>
      </w:r>
      <w:r>
        <w:rPr>
          <w:rFonts w:hint="eastAsia" w:ascii="宋体" w:hAnsi="宋体" w:cs="宋体"/>
          <w:b/>
          <w:bCs/>
          <w:color w:val="000000"/>
          <w:sz w:val="21"/>
          <w:szCs w:val="21"/>
          <w:highlight w:val="none"/>
          <w:lang w:val="en-US" w:eastAsia="zh-CN"/>
        </w:rPr>
        <w:t>供应商</w:t>
      </w:r>
      <w:r>
        <w:rPr>
          <w:rFonts w:hint="eastAsia" w:ascii="宋体" w:hAnsi="宋体" w:eastAsia="宋体" w:cs="宋体"/>
          <w:b/>
          <w:bCs/>
          <w:color w:val="000000"/>
          <w:sz w:val="21"/>
          <w:szCs w:val="21"/>
          <w:highlight w:val="none"/>
          <w:lang w:val="en-US" w:eastAsia="zh-CN"/>
        </w:rPr>
        <w:t>的投标报价为一个不变的费率，实际结算价=投标最高限价*中标费率*实际数量，该实际结算价应包括完成该项目所涉及的全部费用。</w:t>
      </w:r>
    </w:p>
    <w:p w14:paraId="03EE31D3">
      <w:pPr>
        <w:snapToGrid w:val="0"/>
        <w:spacing w:before="120" w:after="120" w:line="360" w:lineRule="auto"/>
        <w:outlineLvl w:val="1"/>
        <w:rPr>
          <w:rFonts w:hint="eastAsia" w:ascii="宋体" w:hAnsi="宋体" w:eastAsia="宋体" w:cs="宋体"/>
          <w:b/>
          <w:color w:val="000000"/>
          <w:sz w:val="21"/>
          <w:szCs w:val="21"/>
        </w:rPr>
      </w:pPr>
      <w:r>
        <w:rPr>
          <w:rFonts w:hint="eastAsia" w:ascii="宋体" w:hAnsi="宋体" w:eastAsia="宋体" w:cs="宋体"/>
          <w:b/>
          <w:color w:val="000000"/>
          <w:sz w:val="21"/>
          <w:szCs w:val="21"/>
        </w:rPr>
        <w:t>三、技术资料</w:t>
      </w:r>
    </w:p>
    <w:p w14:paraId="7764C03E">
      <w:pPr>
        <w:snapToGrid w:val="0"/>
        <w:spacing w:before="120" w:after="120"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1.</w:t>
      </w:r>
      <w:r>
        <w:rPr>
          <w:rFonts w:hint="eastAsia" w:ascii="宋体" w:hAnsi="宋体" w:eastAsia="宋体" w:cs="宋体"/>
          <w:color w:val="000000"/>
          <w:sz w:val="21"/>
          <w:szCs w:val="21"/>
        </w:rPr>
        <w:t>乙方应按招标文件规定的时间向甲方提供有关技术资料。</w:t>
      </w:r>
    </w:p>
    <w:p w14:paraId="7B9E93FF">
      <w:pPr>
        <w:snapToGrid w:val="0"/>
        <w:spacing w:before="120" w:after="120"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2.没有甲方事先书面同意，乙方不得将由甲方提供的有关合同或任何合同条文、规格、计划或资料提供给与履行本合同无关的任何其他人。即使向履行本合同有关的人员提供，也应注意保密并限于履行合同的必需范围。</w:t>
      </w:r>
    </w:p>
    <w:p w14:paraId="797DF586">
      <w:pPr>
        <w:snapToGrid w:val="0"/>
        <w:spacing w:before="120" w:after="120" w:line="360" w:lineRule="auto"/>
        <w:ind w:left="361" w:leftChars="0" w:hanging="361" w:hangingChars="171"/>
        <w:outlineLvl w:val="1"/>
        <w:rPr>
          <w:rFonts w:hint="eastAsia" w:ascii="宋体" w:hAnsi="宋体" w:eastAsia="宋体" w:cs="宋体"/>
          <w:b/>
          <w:color w:val="000000"/>
          <w:sz w:val="21"/>
          <w:szCs w:val="21"/>
        </w:rPr>
      </w:pPr>
      <w:r>
        <w:rPr>
          <w:rFonts w:hint="eastAsia" w:ascii="宋体" w:hAnsi="宋体" w:eastAsia="宋体" w:cs="宋体"/>
          <w:b/>
          <w:color w:val="000000"/>
          <w:sz w:val="21"/>
          <w:szCs w:val="21"/>
        </w:rPr>
        <w:t>四、知识产权</w:t>
      </w:r>
    </w:p>
    <w:p w14:paraId="036AB5B8">
      <w:pPr>
        <w:snapToGrid w:val="0"/>
        <w:spacing w:before="120" w:after="120" w:line="360" w:lineRule="auto"/>
        <w:ind w:firstLine="420" w:firstLineChars="200"/>
        <w:rPr>
          <w:rFonts w:hint="eastAsia" w:ascii="宋体" w:hAnsi="宋体" w:eastAsia="宋体" w:cs="宋体"/>
          <w:b/>
          <w:bCs/>
          <w:color w:val="000000"/>
          <w:sz w:val="21"/>
          <w:szCs w:val="21"/>
        </w:rPr>
      </w:pPr>
      <w:r>
        <w:rPr>
          <w:rFonts w:hint="eastAsia" w:ascii="宋体" w:hAnsi="宋体" w:eastAsia="宋体" w:cs="宋体"/>
          <w:color w:val="000000"/>
          <w:sz w:val="21"/>
          <w:szCs w:val="21"/>
        </w:rPr>
        <w:t>乙方应保证提供服务过程中不会侵犯任何第三方的知识产权。</w:t>
      </w:r>
    </w:p>
    <w:p w14:paraId="0B17E0F0">
      <w:pPr>
        <w:snapToGrid w:val="0"/>
        <w:spacing w:before="156" w:beforeLines="50" w:after="156" w:afterLines="50" w:line="360" w:lineRule="auto"/>
        <w:outlineLvl w:val="1"/>
        <w:rPr>
          <w:rFonts w:hint="eastAsia" w:ascii="宋体" w:hAnsi="宋体" w:eastAsia="宋体" w:cs="宋体"/>
          <w:b/>
          <w:color w:val="000000"/>
          <w:sz w:val="21"/>
          <w:szCs w:val="21"/>
        </w:rPr>
      </w:pPr>
      <w:r>
        <w:rPr>
          <w:rFonts w:hint="eastAsia" w:ascii="宋体" w:hAnsi="宋体" w:eastAsia="宋体" w:cs="宋体"/>
          <w:b/>
          <w:color w:val="000000"/>
          <w:sz w:val="21"/>
          <w:szCs w:val="21"/>
        </w:rPr>
        <w:t>五、转包或分包</w:t>
      </w:r>
    </w:p>
    <w:p w14:paraId="68EA2971">
      <w:pPr>
        <w:snapToGrid w:val="0"/>
        <w:spacing w:before="156" w:beforeLines="50" w:after="156" w:afterLines="50"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1.本合同范围的服务，应由乙方直接供应，不得转让他人供应；</w:t>
      </w:r>
    </w:p>
    <w:p w14:paraId="72FA35D6">
      <w:pPr>
        <w:snapToGrid w:val="0"/>
        <w:spacing w:before="156" w:beforeLines="50" w:after="156" w:afterLines="50"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2.如有转让和分包行为，甲方有权解除合同，并追究乙方的违约责任。</w:t>
      </w:r>
    </w:p>
    <w:p w14:paraId="67437EE7">
      <w:pPr>
        <w:snapToGrid w:val="0"/>
        <w:spacing w:before="120" w:after="120" w:line="360" w:lineRule="auto"/>
        <w:ind w:left="358" w:leftChars="0" w:hanging="358" w:hangingChars="170"/>
        <w:outlineLvl w:val="1"/>
        <w:rPr>
          <w:rFonts w:hint="eastAsia" w:ascii="宋体" w:hAnsi="宋体" w:eastAsia="宋体" w:cs="宋体"/>
          <w:b/>
          <w:color w:val="000000"/>
          <w:sz w:val="21"/>
          <w:szCs w:val="21"/>
        </w:rPr>
      </w:pPr>
      <w:r>
        <w:rPr>
          <w:rFonts w:hint="eastAsia" w:ascii="宋体" w:hAnsi="宋体" w:eastAsia="宋体" w:cs="宋体"/>
          <w:b/>
          <w:color w:val="000000"/>
          <w:sz w:val="21"/>
          <w:szCs w:val="21"/>
        </w:rPr>
        <w:t>六、履约保证金</w:t>
      </w:r>
    </w:p>
    <w:p w14:paraId="0A2269EC">
      <w:pPr>
        <w:snapToGrid w:val="0"/>
        <w:spacing w:before="120" w:after="120" w:line="360" w:lineRule="auto"/>
        <w:ind w:firstLine="420" w:firstLineChars="200"/>
        <w:rPr>
          <w:rFonts w:hint="eastAsia" w:ascii="宋体" w:hAnsi="宋体" w:eastAsia="宋体" w:cs="宋体"/>
          <w:b/>
          <w:color w:val="000000"/>
          <w:sz w:val="21"/>
          <w:szCs w:val="21"/>
        </w:rPr>
      </w:pPr>
      <w:r>
        <w:rPr>
          <w:rFonts w:hint="default" w:ascii="宋体" w:hAnsi="宋体" w:cs="宋体"/>
          <w:b w:val="0"/>
          <w:bCs w:val="0"/>
          <w:color w:val="auto"/>
          <w:kern w:val="0"/>
          <w:szCs w:val="21"/>
          <w:highlight w:val="none"/>
          <w:lang w:val="en-US" w:eastAsia="zh-CN"/>
        </w:rPr>
        <w:t>中标人在合同签订前向采购单位交纳中标金额1%的履约保证金。供应商可以银行、保险公司出具的保函形式提交。在项目验收结束后退还履约保证金（不计息）。</w:t>
      </w:r>
    </w:p>
    <w:p w14:paraId="5C78AC40">
      <w:pPr>
        <w:spacing w:line="360" w:lineRule="auto"/>
        <w:outlineLvl w:val="1"/>
        <w:rPr>
          <w:rFonts w:hint="eastAsia" w:ascii="宋体" w:hAnsi="宋体" w:eastAsia="宋体" w:cs="宋体"/>
          <w:b/>
          <w:bCs/>
          <w:color w:val="000000"/>
          <w:sz w:val="21"/>
          <w:szCs w:val="21"/>
        </w:rPr>
      </w:pPr>
      <w:r>
        <w:rPr>
          <w:rFonts w:hint="eastAsia" w:ascii="宋体" w:hAnsi="宋体" w:eastAsia="宋体" w:cs="宋体"/>
          <w:b/>
          <w:bCs/>
          <w:color w:val="000000"/>
          <w:sz w:val="21"/>
          <w:szCs w:val="21"/>
          <w:lang w:eastAsia="zh-CN"/>
        </w:rPr>
        <w:t>七</w:t>
      </w:r>
      <w:r>
        <w:rPr>
          <w:rFonts w:hint="eastAsia" w:ascii="宋体" w:hAnsi="宋体" w:eastAsia="宋体" w:cs="宋体"/>
          <w:b/>
          <w:bCs/>
          <w:color w:val="000000"/>
          <w:sz w:val="21"/>
          <w:szCs w:val="21"/>
        </w:rPr>
        <w:t>、付款方式</w:t>
      </w:r>
    </w:p>
    <w:p w14:paraId="29614C18">
      <w:pPr>
        <w:spacing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lang w:eastAsia="zh-CN"/>
        </w:rPr>
        <w:t>付款方式：按季度支付，结算方式</w:t>
      </w:r>
      <w:r>
        <w:rPr>
          <w:rFonts w:hint="eastAsia" w:ascii="宋体" w:hAnsi="宋体" w:eastAsia="宋体" w:cs="宋体"/>
          <w:color w:val="000000"/>
          <w:sz w:val="21"/>
          <w:szCs w:val="21"/>
          <w:lang w:val="en-US" w:eastAsia="zh-CN"/>
        </w:rPr>
        <w:t>=</w:t>
      </w:r>
      <w:r>
        <w:rPr>
          <w:rFonts w:hint="eastAsia" w:ascii="宋体" w:hAnsi="宋体" w:eastAsia="宋体" w:cs="宋体"/>
          <w:color w:val="000000"/>
          <w:sz w:val="21"/>
          <w:szCs w:val="21"/>
          <w:lang w:eastAsia="zh-CN"/>
        </w:rPr>
        <w:t>最高限价*中标费率*实际数量。中标单位</w:t>
      </w:r>
      <w:r>
        <w:rPr>
          <w:rFonts w:hint="eastAsia" w:ascii="宋体" w:hAnsi="宋体" w:eastAsia="宋体" w:cs="宋体"/>
          <w:color w:val="000000"/>
          <w:sz w:val="21"/>
          <w:szCs w:val="21"/>
        </w:rPr>
        <w:t>开具正式发票</w:t>
      </w:r>
      <w:r>
        <w:rPr>
          <w:rFonts w:hint="eastAsia" w:ascii="宋体" w:hAnsi="宋体" w:eastAsia="宋体" w:cs="宋体"/>
          <w:color w:val="000000"/>
          <w:sz w:val="21"/>
          <w:szCs w:val="21"/>
          <w:lang w:eastAsia="zh-CN"/>
        </w:rPr>
        <w:t>后支付上一季度费用</w:t>
      </w:r>
      <w:r>
        <w:rPr>
          <w:rFonts w:hint="eastAsia" w:ascii="宋体" w:hAnsi="宋体" w:eastAsia="宋体" w:cs="宋体"/>
          <w:color w:val="000000"/>
          <w:sz w:val="21"/>
          <w:szCs w:val="21"/>
        </w:rPr>
        <w:t>。</w:t>
      </w:r>
    </w:p>
    <w:p w14:paraId="4ADCD891">
      <w:pPr>
        <w:spacing w:line="360" w:lineRule="auto"/>
        <w:outlineLvl w:val="1"/>
        <w:rPr>
          <w:rFonts w:hint="eastAsia" w:ascii="宋体" w:hAnsi="宋体" w:eastAsia="宋体" w:cs="宋体"/>
          <w:b/>
          <w:bCs/>
          <w:color w:val="000000"/>
          <w:sz w:val="21"/>
          <w:szCs w:val="21"/>
        </w:rPr>
      </w:pPr>
      <w:r>
        <w:rPr>
          <w:rFonts w:hint="eastAsia" w:ascii="宋体" w:hAnsi="宋体" w:eastAsia="宋体" w:cs="宋体"/>
          <w:b/>
          <w:bCs/>
          <w:color w:val="000000"/>
          <w:sz w:val="21"/>
          <w:szCs w:val="21"/>
          <w:lang w:eastAsia="zh-CN"/>
        </w:rPr>
        <w:t>八</w:t>
      </w:r>
      <w:r>
        <w:rPr>
          <w:rFonts w:hint="eastAsia" w:ascii="宋体" w:hAnsi="宋体" w:eastAsia="宋体" w:cs="宋体"/>
          <w:b/>
          <w:bCs/>
          <w:color w:val="000000"/>
          <w:sz w:val="21"/>
          <w:szCs w:val="21"/>
        </w:rPr>
        <w:t>、甲方责任条款</w:t>
      </w:r>
    </w:p>
    <w:p w14:paraId="48A30737">
      <w:pPr>
        <w:spacing w:line="360" w:lineRule="auto"/>
        <w:ind w:firstLine="250"/>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1.</w:t>
      </w:r>
      <w:r>
        <w:rPr>
          <w:rFonts w:hint="eastAsia" w:ascii="宋体" w:hAnsi="宋体" w:eastAsia="宋体" w:cs="宋体"/>
          <w:color w:val="000000"/>
          <w:sz w:val="21"/>
          <w:szCs w:val="21"/>
        </w:rPr>
        <w:t>在交通事故检验鉴定</w:t>
      </w:r>
      <w:r>
        <w:rPr>
          <w:rFonts w:hint="eastAsia" w:ascii="宋体" w:hAnsi="宋体" w:eastAsia="宋体" w:cs="宋体"/>
          <w:color w:val="000000"/>
          <w:sz w:val="21"/>
          <w:szCs w:val="21"/>
          <w:lang w:eastAsia="zh-CN"/>
        </w:rPr>
        <w:t>等</w:t>
      </w:r>
      <w:r>
        <w:rPr>
          <w:rFonts w:hint="eastAsia" w:ascii="宋体" w:hAnsi="宋体" w:eastAsia="宋体" w:cs="宋体"/>
          <w:color w:val="000000"/>
          <w:sz w:val="21"/>
          <w:szCs w:val="21"/>
        </w:rPr>
        <w:t>委托书中明确乙方的工作内容及要求；</w:t>
      </w:r>
    </w:p>
    <w:p w14:paraId="19A7A1E3">
      <w:pPr>
        <w:spacing w:line="360" w:lineRule="auto"/>
        <w:ind w:firstLine="250"/>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2.</w:t>
      </w:r>
      <w:r>
        <w:rPr>
          <w:rFonts w:hint="eastAsia" w:ascii="宋体" w:hAnsi="宋体" w:eastAsia="宋体" w:cs="宋体"/>
          <w:color w:val="000000"/>
          <w:sz w:val="21"/>
          <w:szCs w:val="21"/>
        </w:rPr>
        <w:t>如果乙方需要，协调办案单位为乙方提供相关材料；</w:t>
      </w:r>
    </w:p>
    <w:p w14:paraId="135D52D4">
      <w:pPr>
        <w:spacing w:line="360" w:lineRule="auto"/>
        <w:ind w:firstLine="250"/>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3.</w:t>
      </w:r>
      <w:r>
        <w:rPr>
          <w:rFonts w:hint="eastAsia" w:ascii="宋体" w:hAnsi="宋体" w:eastAsia="宋体" w:cs="宋体"/>
          <w:color w:val="000000"/>
          <w:sz w:val="21"/>
          <w:szCs w:val="21"/>
        </w:rPr>
        <w:t>对乙方出具的鉴定</w:t>
      </w:r>
      <w:r>
        <w:rPr>
          <w:rFonts w:hint="eastAsia" w:ascii="宋体" w:hAnsi="宋体" w:eastAsia="宋体" w:cs="宋体"/>
          <w:color w:val="000000"/>
          <w:sz w:val="21"/>
          <w:szCs w:val="21"/>
          <w:lang w:eastAsia="zh-CN"/>
        </w:rPr>
        <w:t>等</w:t>
      </w:r>
      <w:r>
        <w:rPr>
          <w:rFonts w:hint="eastAsia" w:ascii="宋体" w:hAnsi="宋体" w:eastAsia="宋体" w:cs="宋体"/>
          <w:color w:val="000000"/>
          <w:sz w:val="21"/>
          <w:szCs w:val="21"/>
        </w:rPr>
        <w:t>意见书或检验报告书进行日常监督，及时发现问题。</w:t>
      </w:r>
    </w:p>
    <w:p w14:paraId="027623F0">
      <w:pPr>
        <w:spacing w:line="360" w:lineRule="auto"/>
        <w:outlineLvl w:val="1"/>
        <w:rPr>
          <w:rFonts w:hint="eastAsia" w:ascii="宋体" w:hAnsi="宋体" w:eastAsia="宋体" w:cs="宋体"/>
          <w:b/>
          <w:bCs/>
          <w:color w:val="000000"/>
          <w:sz w:val="21"/>
          <w:szCs w:val="21"/>
        </w:rPr>
      </w:pPr>
      <w:r>
        <w:rPr>
          <w:rFonts w:hint="eastAsia" w:ascii="宋体" w:hAnsi="宋体" w:eastAsia="宋体" w:cs="宋体"/>
          <w:b/>
          <w:bCs/>
          <w:color w:val="000000"/>
          <w:sz w:val="21"/>
          <w:szCs w:val="21"/>
          <w:lang w:eastAsia="zh-CN"/>
        </w:rPr>
        <w:t>九</w:t>
      </w:r>
      <w:r>
        <w:rPr>
          <w:rFonts w:hint="eastAsia" w:ascii="宋体" w:hAnsi="宋体" w:eastAsia="宋体" w:cs="宋体"/>
          <w:b/>
          <w:bCs/>
          <w:color w:val="000000"/>
          <w:sz w:val="21"/>
          <w:szCs w:val="21"/>
        </w:rPr>
        <w:t>、乙方责任条款</w:t>
      </w:r>
    </w:p>
    <w:p w14:paraId="1FBC5B2F">
      <w:pPr>
        <w:snapToGrid w:val="0"/>
        <w:spacing w:line="360" w:lineRule="auto"/>
        <w:ind w:firstLine="420"/>
        <w:textAlignment w:val="bottom"/>
        <w:rPr>
          <w:rFonts w:hint="eastAsia" w:ascii="宋体" w:hAnsi="宋体" w:eastAsia="宋体" w:cs="宋体"/>
          <w:color w:val="000000"/>
          <w:sz w:val="21"/>
          <w:szCs w:val="21"/>
        </w:rPr>
      </w:pPr>
      <w:r>
        <w:rPr>
          <w:rFonts w:hint="eastAsia" w:ascii="宋体" w:hAnsi="宋体" w:eastAsia="宋体" w:cs="宋体"/>
          <w:color w:val="000000"/>
          <w:sz w:val="21"/>
          <w:szCs w:val="21"/>
        </w:rPr>
        <w:t>1</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乙方应按照相关司法鉴定</w:t>
      </w:r>
      <w:r>
        <w:rPr>
          <w:rFonts w:hint="eastAsia" w:ascii="宋体" w:hAnsi="宋体" w:eastAsia="宋体" w:cs="宋体"/>
          <w:color w:val="000000"/>
          <w:sz w:val="21"/>
          <w:szCs w:val="21"/>
          <w:lang w:eastAsia="zh-CN"/>
        </w:rPr>
        <w:t>等</w:t>
      </w:r>
      <w:r>
        <w:rPr>
          <w:rFonts w:hint="eastAsia" w:ascii="宋体" w:hAnsi="宋体" w:eastAsia="宋体" w:cs="宋体"/>
          <w:color w:val="000000"/>
          <w:sz w:val="21"/>
          <w:szCs w:val="21"/>
        </w:rPr>
        <w:t>法律法规对每宗委托案件进行司法鉴定工作，并对出具的鉴定报告的有效性承担相关的法律责任。</w:t>
      </w:r>
    </w:p>
    <w:p w14:paraId="5D6A6393">
      <w:pPr>
        <w:snapToGrid w:val="0"/>
        <w:spacing w:line="360" w:lineRule="auto"/>
        <w:ind w:firstLine="420"/>
        <w:textAlignment w:val="bottom"/>
        <w:rPr>
          <w:rFonts w:hint="eastAsia" w:ascii="宋体" w:hAnsi="宋体" w:eastAsia="宋体" w:cs="宋体"/>
          <w:color w:val="000000"/>
          <w:sz w:val="21"/>
          <w:szCs w:val="21"/>
          <w:lang w:eastAsia="zh-CN"/>
        </w:rPr>
      </w:pPr>
      <w:r>
        <w:rPr>
          <w:rFonts w:hint="eastAsia" w:ascii="宋体" w:hAnsi="宋体" w:eastAsia="宋体" w:cs="宋体"/>
          <w:color w:val="000000"/>
          <w:sz w:val="21"/>
          <w:szCs w:val="21"/>
        </w:rPr>
        <w:t>2</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乙方应在每宗委托鉴定案件所规定的时限内出具鉴定报告，逾期无法完成将承担由此引起的一切责任，包括但不限于给甲方造成的一切经济损失</w:t>
      </w:r>
      <w:r>
        <w:rPr>
          <w:rFonts w:hint="eastAsia" w:ascii="宋体" w:hAnsi="宋体" w:eastAsia="宋体" w:cs="宋体"/>
          <w:color w:val="000000"/>
          <w:sz w:val="21"/>
          <w:szCs w:val="21"/>
          <w:lang w:eastAsia="zh-CN"/>
        </w:rPr>
        <w:t>。</w:t>
      </w:r>
    </w:p>
    <w:p w14:paraId="56EDFE4C">
      <w:pPr>
        <w:snapToGrid w:val="0"/>
        <w:spacing w:line="360" w:lineRule="auto"/>
        <w:ind w:firstLine="420"/>
        <w:textAlignment w:val="bottom"/>
        <w:rPr>
          <w:rFonts w:hint="eastAsia" w:ascii="宋体" w:hAnsi="宋体" w:eastAsia="宋体" w:cs="宋体"/>
          <w:color w:val="000000"/>
          <w:sz w:val="21"/>
          <w:szCs w:val="21"/>
        </w:rPr>
      </w:pPr>
      <w:r>
        <w:rPr>
          <w:rFonts w:hint="eastAsia" w:ascii="宋体" w:hAnsi="宋体" w:eastAsia="宋体" w:cs="宋体"/>
          <w:color w:val="000000"/>
          <w:sz w:val="21"/>
          <w:szCs w:val="21"/>
        </w:rPr>
        <w:t>3</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乙方应遵守鉴定案件信息保密规定，不得向无关人员透露与鉴定案件有关的一切信息，未经甲方同意不得接受任何新闻媒体的访问，一经发现，严肃处理相关责任人。</w:t>
      </w:r>
    </w:p>
    <w:p w14:paraId="3CADF158">
      <w:pPr>
        <w:snapToGrid w:val="0"/>
        <w:spacing w:line="360" w:lineRule="auto"/>
        <w:ind w:firstLine="420"/>
        <w:textAlignment w:val="bottom"/>
        <w:rPr>
          <w:rFonts w:hint="eastAsia" w:ascii="宋体" w:hAnsi="宋体" w:eastAsia="宋体" w:cs="宋体"/>
          <w:color w:val="000000"/>
          <w:sz w:val="21"/>
          <w:szCs w:val="21"/>
        </w:rPr>
      </w:pPr>
      <w:r>
        <w:rPr>
          <w:rFonts w:hint="eastAsia" w:ascii="宋体" w:hAnsi="宋体" w:eastAsia="宋体" w:cs="宋体"/>
          <w:color w:val="000000"/>
          <w:sz w:val="21"/>
          <w:szCs w:val="21"/>
        </w:rPr>
        <w:t>4</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乙方应对甲方提供的检材进行妥善保管，保管的要求及期限严格按照国家相关规定执行。</w:t>
      </w:r>
    </w:p>
    <w:p w14:paraId="3B65ED09">
      <w:pPr>
        <w:snapToGrid w:val="0"/>
        <w:spacing w:line="360" w:lineRule="auto"/>
        <w:ind w:firstLine="420"/>
        <w:textAlignment w:val="bottom"/>
        <w:rPr>
          <w:rFonts w:hint="eastAsia" w:ascii="宋体" w:hAnsi="宋体" w:eastAsia="宋体" w:cs="宋体"/>
          <w:color w:val="000000"/>
          <w:sz w:val="21"/>
          <w:szCs w:val="21"/>
        </w:rPr>
      </w:pPr>
      <w:r>
        <w:rPr>
          <w:rFonts w:hint="eastAsia" w:ascii="宋体" w:hAnsi="宋体" w:eastAsia="宋体" w:cs="宋体"/>
          <w:color w:val="000000"/>
          <w:sz w:val="21"/>
          <w:szCs w:val="21"/>
        </w:rPr>
        <w:t>5</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乙方向甲方收取的报酬，是其关于本合同书的唯一报酬，乙方及其工作人员不得另外向当事人收取任何检验鉴定服务费用。</w:t>
      </w:r>
    </w:p>
    <w:p w14:paraId="26BA0B50">
      <w:pPr>
        <w:snapToGrid w:val="0"/>
        <w:spacing w:line="360" w:lineRule="auto"/>
        <w:ind w:firstLine="420"/>
        <w:textAlignment w:val="bottom"/>
        <w:rPr>
          <w:rFonts w:hint="eastAsia" w:ascii="宋体" w:hAnsi="宋体" w:eastAsia="宋体" w:cs="宋体"/>
          <w:color w:val="000000"/>
          <w:sz w:val="21"/>
          <w:szCs w:val="21"/>
        </w:rPr>
      </w:pPr>
      <w:r>
        <w:rPr>
          <w:rFonts w:hint="eastAsia" w:ascii="宋体" w:hAnsi="宋体" w:eastAsia="宋体" w:cs="宋体"/>
          <w:color w:val="000000"/>
          <w:sz w:val="21"/>
          <w:szCs w:val="21"/>
        </w:rPr>
        <w:t>6</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乙方在经营资质改变、发生诉讼或仲裁、被相应机关查处、资产发生重大变化以及出现其他足以影响甲方与其签订委托合同情形时，应在事件发生后的五个工作日内向甲方书面报告。</w:t>
      </w:r>
    </w:p>
    <w:p w14:paraId="0410DDE3">
      <w:pPr>
        <w:snapToGrid w:val="0"/>
        <w:spacing w:line="360" w:lineRule="auto"/>
        <w:ind w:firstLine="420"/>
        <w:textAlignment w:val="bottom"/>
        <w:rPr>
          <w:rFonts w:hint="eastAsia" w:ascii="宋体" w:hAnsi="宋体" w:eastAsia="宋体" w:cs="宋体"/>
          <w:color w:val="000000"/>
          <w:sz w:val="21"/>
          <w:szCs w:val="21"/>
        </w:rPr>
      </w:pPr>
      <w:r>
        <w:rPr>
          <w:rFonts w:hint="eastAsia" w:ascii="宋体" w:hAnsi="宋体" w:eastAsia="宋体" w:cs="宋体"/>
          <w:color w:val="000000"/>
          <w:sz w:val="21"/>
          <w:szCs w:val="21"/>
        </w:rPr>
        <w:t>7</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服务期限内，因乙方资质原因导致出具的鉴定报告引起复议及败诉的，相关责任由中标人承担。</w:t>
      </w:r>
    </w:p>
    <w:p w14:paraId="3BD34E01">
      <w:pPr>
        <w:snapToGrid w:val="0"/>
        <w:spacing w:line="360" w:lineRule="auto"/>
        <w:ind w:firstLine="420"/>
        <w:textAlignment w:val="bottom"/>
        <w:rPr>
          <w:rFonts w:hint="eastAsia" w:ascii="宋体" w:hAnsi="宋体" w:eastAsia="宋体" w:cs="宋体"/>
          <w:color w:val="000000"/>
          <w:sz w:val="21"/>
          <w:szCs w:val="21"/>
        </w:rPr>
      </w:pPr>
      <w:r>
        <w:rPr>
          <w:rFonts w:hint="eastAsia" w:ascii="宋体" w:hAnsi="宋体" w:eastAsia="宋体" w:cs="宋体"/>
          <w:color w:val="000000"/>
          <w:sz w:val="21"/>
          <w:szCs w:val="21"/>
        </w:rPr>
        <w:t>8</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遇到突发事件或自然灾害，必须服从甲方指挥与安排。协助甲方调查、处理有关投诉，并根据甲方要求及时处理。</w:t>
      </w:r>
    </w:p>
    <w:p w14:paraId="4564F758">
      <w:pPr>
        <w:snapToGrid w:val="0"/>
        <w:spacing w:line="360" w:lineRule="auto"/>
        <w:ind w:firstLine="420"/>
        <w:textAlignment w:val="bottom"/>
        <w:rPr>
          <w:rFonts w:hint="eastAsia" w:ascii="宋体" w:hAnsi="宋体" w:eastAsia="宋体" w:cs="宋体"/>
          <w:color w:val="000000"/>
          <w:sz w:val="21"/>
          <w:szCs w:val="21"/>
        </w:rPr>
      </w:pPr>
      <w:r>
        <w:rPr>
          <w:rFonts w:hint="eastAsia" w:ascii="宋体" w:hAnsi="宋体" w:eastAsia="宋体" w:cs="宋体"/>
          <w:color w:val="000000"/>
          <w:sz w:val="21"/>
          <w:szCs w:val="21"/>
        </w:rPr>
        <w:t>9</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未经甲方同意，乙方无权在工作区域内私自进行检验鉴定服务，否则，甲方有权依照法律法规和甲方相关的规定责令乙方限期改正，并接受甲方处罚。</w:t>
      </w:r>
    </w:p>
    <w:p w14:paraId="01DF5CE1">
      <w:pPr>
        <w:snapToGrid w:val="0"/>
        <w:spacing w:line="360" w:lineRule="auto"/>
        <w:ind w:firstLine="420"/>
        <w:textAlignment w:val="bottom"/>
        <w:rPr>
          <w:rFonts w:hint="eastAsia" w:ascii="宋体" w:hAnsi="宋体" w:eastAsia="宋体" w:cs="宋体"/>
          <w:color w:val="000000"/>
          <w:sz w:val="21"/>
          <w:szCs w:val="21"/>
        </w:rPr>
      </w:pPr>
      <w:r>
        <w:rPr>
          <w:rFonts w:hint="eastAsia" w:ascii="宋体" w:hAnsi="宋体" w:eastAsia="宋体" w:cs="宋体"/>
          <w:color w:val="000000"/>
          <w:sz w:val="21"/>
          <w:szCs w:val="21"/>
        </w:rPr>
        <w:t>10</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未经甲方同意，乙方不得以任何形式转让、抵押承包合同内容，在作业区域内只从事甲方认可的检验鉴定服务工作；否则甲方有权单方面终止合同，并保留进一步追究乙方责任的权利。在承包期间，乙方任何重大变动或法律事宜均应通知甲方。</w:t>
      </w:r>
    </w:p>
    <w:p w14:paraId="54B3AE69">
      <w:pPr>
        <w:snapToGrid w:val="0"/>
        <w:spacing w:line="360" w:lineRule="auto"/>
        <w:ind w:firstLine="420"/>
        <w:textAlignment w:val="bottom"/>
        <w:rPr>
          <w:rFonts w:hint="eastAsia" w:ascii="宋体" w:hAnsi="宋体" w:eastAsia="宋体" w:cs="宋体"/>
          <w:color w:val="000000"/>
          <w:sz w:val="21"/>
          <w:szCs w:val="21"/>
        </w:rPr>
      </w:pPr>
      <w:r>
        <w:rPr>
          <w:rFonts w:hint="eastAsia" w:ascii="宋体" w:hAnsi="宋体" w:eastAsia="宋体" w:cs="宋体"/>
          <w:color w:val="000000"/>
          <w:sz w:val="21"/>
          <w:szCs w:val="21"/>
        </w:rPr>
        <w:t>11</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乙方必须信守承包承诺，认真落实具有相应的固定服务人员，挂牌上岗并建立健全的管理制度。</w:t>
      </w:r>
    </w:p>
    <w:p w14:paraId="061A4CF7">
      <w:pPr>
        <w:snapToGrid w:val="0"/>
        <w:spacing w:line="360" w:lineRule="auto"/>
        <w:ind w:firstLine="420"/>
        <w:textAlignment w:val="bottom"/>
        <w:rPr>
          <w:rFonts w:hint="eastAsia" w:ascii="宋体" w:hAnsi="宋体" w:eastAsia="宋体" w:cs="宋体"/>
          <w:color w:val="000000"/>
          <w:sz w:val="21"/>
          <w:szCs w:val="21"/>
        </w:rPr>
      </w:pPr>
      <w:r>
        <w:rPr>
          <w:rFonts w:hint="eastAsia" w:ascii="宋体" w:hAnsi="宋体" w:eastAsia="宋体" w:cs="宋体"/>
          <w:color w:val="000000"/>
          <w:sz w:val="21"/>
          <w:szCs w:val="21"/>
        </w:rPr>
        <w:t>12</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在承包作业期间的各项服务，其工作时间应满足甲方的工作要求，包括星期天及公众假期，无论乙方有任何理由，均不得拖延、停止服务工作。甲方任何应提供方便或提高服务质量时，可要求乙方调整工作时间直至全天二十四小时工作。</w:t>
      </w:r>
    </w:p>
    <w:p w14:paraId="66C5A112">
      <w:pPr>
        <w:keepNext w:val="0"/>
        <w:keepLines w:val="0"/>
        <w:pageBreakBefore w:val="0"/>
        <w:kinsoku/>
        <w:wordWrap/>
        <w:overflowPunct/>
        <w:topLinePunct w:val="0"/>
        <w:bidi w:val="0"/>
        <w:adjustRightInd/>
        <w:snapToGrid w:val="0"/>
        <w:spacing w:line="360" w:lineRule="auto"/>
        <w:ind w:firstLine="420"/>
        <w:textAlignment w:val="bottom"/>
        <w:rPr>
          <w:rFonts w:hint="eastAsia" w:ascii="宋体" w:hAnsi="宋体" w:eastAsia="宋体" w:cs="宋体"/>
          <w:color w:val="000000"/>
          <w:sz w:val="21"/>
          <w:szCs w:val="21"/>
        </w:rPr>
      </w:pPr>
      <w:r>
        <w:rPr>
          <w:rFonts w:hint="eastAsia" w:ascii="宋体" w:hAnsi="宋体" w:eastAsia="宋体" w:cs="宋体"/>
          <w:color w:val="000000"/>
          <w:sz w:val="21"/>
          <w:szCs w:val="21"/>
        </w:rPr>
        <w:t>13</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因工作需要，甲方临时向乙方提出服务的要求，乙方应全力配合，按照甲方提出标准及要求完成任何，不得无故拖延。</w:t>
      </w:r>
    </w:p>
    <w:p w14:paraId="3BFA8037">
      <w:pPr>
        <w:keepNext w:val="0"/>
        <w:keepLines w:val="0"/>
        <w:pageBreakBefore w:val="0"/>
        <w:kinsoku/>
        <w:wordWrap/>
        <w:overflowPunct/>
        <w:topLinePunct w:val="0"/>
        <w:bidi w:val="0"/>
        <w:adjustRightInd/>
        <w:snapToGrid w:val="0"/>
        <w:spacing w:line="360" w:lineRule="auto"/>
        <w:ind w:firstLine="420"/>
        <w:textAlignment w:val="bottom"/>
        <w:rPr>
          <w:rFonts w:hint="eastAsia" w:ascii="宋体" w:hAnsi="宋体" w:eastAsia="宋体" w:cs="宋体"/>
          <w:color w:val="000000"/>
          <w:sz w:val="21"/>
          <w:szCs w:val="21"/>
        </w:rPr>
      </w:pPr>
      <w:r>
        <w:rPr>
          <w:rFonts w:hint="eastAsia" w:ascii="宋体" w:hAnsi="宋体" w:eastAsia="宋体" w:cs="宋体"/>
          <w:color w:val="000000"/>
          <w:sz w:val="21"/>
          <w:szCs w:val="21"/>
        </w:rPr>
        <w:t>14</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乙方必须对员工发生的事故责任以及员工计生、身份、健康等承担责任；同时对员工在作业期间做出不良行为给甲方造成影响承担责任。</w:t>
      </w:r>
    </w:p>
    <w:p w14:paraId="28C06575">
      <w:pPr>
        <w:keepNext w:val="0"/>
        <w:keepLines w:val="0"/>
        <w:pageBreakBefore w:val="0"/>
        <w:kinsoku/>
        <w:wordWrap/>
        <w:overflowPunct/>
        <w:topLinePunct w:val="0"/>
        <w:bidi w:val="0"/>
        <w:adjustRightInd/>
        <w:snapToGrid w:val="0"/>
        <w:spacing w:line="360" w:lineRule="auto"/>
        <w:ind w:firstLine="420"/>
        <w:textAlignment w:val="bottom"/>
        <w:rPr>
          <w:rFonts w:hint="eastAsia" w:ascii="宋体" w:hAnsi="宋体" w:eastAsia="宋体" w:cs="宋体"/>
          <w:color w:val="000000"/>
          <w:sz w:val="21"/>
          <w:szCs w:val="21"/>
        </w:rPr>
      </w:pPr>
      <w:r>
        <w:rPr>
          <w:rFonts w:hint="eastAsia" w:ascii="宋体" w:hAnsi="宋体" w:eastAsia="宋体" w:cs="宋体"/>
          <w:color w:val="000000"/>
          <w:sz w:val="21"/>
          <w:szCs w:val="21"/>
        </w:rPr>
        <w:t>15</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乙方员工发生被媒体曝光或影响甲方公众形象或违反采购人规章制度造成不良影响，而由此产生的损失及消除影响产生的费用，由乙方全部承担；情节严重的，甲方还可以要求乙方赔偿损失或另处罚款。</w:t>
      </w:r>
    </w:p>
    <w:p w14:paraId="75858A96">
      <w:pPr>
        <w:keepNext w:val="0"/>
        <w:keepLines w:val="0"/>
        <w:pageBreakBefore w:val="0"/>
        <w:kinsoku/>
        <w:wordWrap/>
        <w:overflowPunct/>
        <w:topLinePunct w:val="0"/>
        <w:bidi w:val="0"/>
        <w:adjustRightInd/>
        <w:snapToGrid w:val="0"/>
        <w:spacing w:line="360" w:lineRule="auto"/>
        <w:ind w:firstLine="420"/>
        <w:textAlignment w:val="bottom"/>
        <w:rPr>
          <w:rFonts w:hint="eastAsia" w:ascii="宋体" w:hAnsi="宋体" w:eastAsia="宋体" w:cs="宋体"/>
          <w:color w:val="000000"/>
          <w:sz w:val="21"/>
          <w:szCs w:val="21"/>
        </w:rPr>
      </w:pPr>
      <w:r>
        <w:rPr>
          <w:rFonts w:hint="eastAsia" w:ascii="宋体" w:hAnsi="宋体" w:eastAsia="宋体" w:cs="宋体"/>
          <w:color w:val="000000"/>
          <w:sz w:val="21"/>
          <w:szCs w:val="21"/>
        </w:rPr>
        <w:t>16</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乙方须按政府各部门有关规定为乙方的每位员工交纳各种社会保险及相关费用。在承包期限内，乙方所有人员的安全事故由乙方自行全权负责，甲方不承担任何责任。</w:t>
      </w:r>
    </w:p>
    <w:p w14:paraId="5273B62A">
      <w:pPr>
        <w:keepNext w:val="0"/>
        <w:keepLines w:val="0"/>
        <w:pageBreakBefore w:val="0"/>
        <w:kinsoku/>
        <w:wordWrap/>
        <w:overflowPunct/>
        <w:topLinePunct w:val="0"/>
        <w:bidi w:val="0"/>
        <w:adjustRightInd/>
        <w:snapToGrid w:val="0"/>
        <w:spacing w:line="360" w:lineRule="auto"/>
        <w:ind w:firstLine="420"/>
        <w:textAlignment w:val="bottom"/>
        <w:rPr>
          <w:rFonts w:hint="eastAsia" w:ascii="宋体" w:hAnsi="宋体" w:eastAsia="宋体" w:cs="宋体"/>
          <w:color w:val="000000"/>
          <w:sz w:val="21"/>
          <w:szCs w:val="21"/>
          <w:lang w:eastAsia="zh-CN"/>
        </w:rPr>
      </w:pPr>
      <w:r>
        <w:rPr>
          <w:rFonts w:hint="eastAsia" w:ascii="宋体" w:hAnsi="宋体" w:eastAsia="宋体" w:cs="宋体"/>
          <w:color w:val="000000"/>
          <w:sz w:val="21"/>
          <w:szCs w:val="21"/>
        </w:rPr>
        <w:t>17</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项目负责人作为本项目的联系人不得变更，必须随时听从采购人指派、组织协调鉴定小组工作</w:t>
      </w:r>
      <w:r>
        <w:rPr>
          <w:rFonts w:hint="eastAsia" w:ascii="宋体" w:hAnsi="宋体" w:eastAsia="宋体" w:cs="宋体"/>
          <w:color w:val="000000"/>
          <w:sz w:val="21"/>
          <w:szCs w:val="21"/>
          <w:lang w:eastAsia="zh-CN"/>
        </w:rPr>
        <w:t>。</w:t>
      </w:r>
    </w:p>
    <w:p w14:paraId="3B4D9BEC">
      <w:pPr>
        <w:snapToGrid w:val="0"/>
        <w:spacing w:before="156" w:beforeLines="50" w:after="156" w:afterLines="50" w:line="360" w:lineRule="auto"/>
        <w:ind w:firstLine="0" w:firstLineChars="0"/>
        <w:outlineLvl w:val="1"/>
        <w:rPr>
          <w:rFonts w:hint="eastAsia" w:ascii="宋体" w:hAnsi="宋体" w:eastAsia="宋体" w:cs="宋体"/>
          <w:b/>
          <w:color w:val="000000"/>
          <w:sz w:val="21"/>
          <w:szCs w:val="21"/>
        </w:rPr>
      </w:pPr>
      <w:r>
        <w:rPr>
          <w:rFonts w:hint="eastAsia" w:ascii="宋体" w:hAnsi="宋体" w:eastAsia="宋体" w:cs="宋体"/>
          <w:b/>
          <w:color w:val="000000"/>
          <w:sz w:val="21"/>
          <w:szCs w:val="21"/>
          <w:lang w:eastAsia="zh-CN"/>
        </w:rPr>
        <w:t>十、</w:t>
      </w:r>
      <w:r>
        <w:rPr>
          <w:rFonts w:hint="eastAsia" w:ascii="宋体" w:hAnsi="宋体" w:eastAsia="宋体" w:cs="宋体"/>
          <w:b/>
          <w:color w:val="000000"/>
          <w:sz w:val="21"/>
          <w:szCs w:val="21"/>
        </w:rPr>
        <w:t>技术情报和资料的保密</w:t>
      </w:r>
    </w:p>
    <w:p w14:paraId="47DD0909">
      <w:pPr>
        <w:widowControl/>
        <w:overflowPunct/>
        <w:spacing w:line="360" w:lineRule="auto"/>
        <w:ind w:firstLine="384" w:firstLineChars="183"/>
        <w:jc w:val="left"/>
        <w:rPr>
          <w:rFonts w:hint="eastAsia" w:ascii="宋体" w:hAnsi="宋体" w:eastAsia="宋体" w:cs="宋体"/>
          <w:color w:val="000000"/>
          <w:sz w:val="21"/>
          <w:szCs w:val="21"/>
          <w:lang w:bidi="en-US"/>
        </w:rPr>
      </w:pPr>
      <w:r>
        <w:rPr>
          <w:rFonts w:hint="eastAsia" w:ascii="宋体" w:hAnsi="宋体" w:eastAsia="宋体" w:cs="宋体"/>
          <w:color w:val="000000"/>
          <w:sz w:val="21"/>
          <w:szCs w:val="21"/>
        </w:rPr>
        <w:t>乙方需将勘查资料及鉴定报告妥善保存，甲乙双方对交通事故资料负有保密责任。未经甲方书面同意，乙方不得除履行本合同目的外以任何方式使用或向第三方转让、泄漏任何关于交通事故的相关资料。</w:t>
      </w:r>
    </w:p>
    <w:p w14:paraId="72CE5E60">
      <w:pPr>
        <w:snapToGrid w:val="0"/>
        <w:spacing w:before="156" w:beforeLines="50" w:after="156" w:afterLines="50" w:line="360" w:lineRule="auto"/>
        <w:outlineLvl w:val="1"/>
        <w:rPr>
          <w:rFonts w:hint="eastAsia" w:ascii="宋体" w:hAnsi="宋体" w:eastAsia="宋体" w:cs="宋体"/>
          <w:b/>
          <w:color w:val="000000"/>
          <w:sz w:val="21"/>
          <w:szCs w:val="21"/>
        </w:rPr>
      </w:pPr>
      <w:r>
        <w:rPr>
          <w:rFonts w:hint="eastAsia" w:ascii="宋体" w:hAnsi="宋体" w:eastAsia="宋体" w:cs="宋体"/>
          <w:b/>
          <w:color w:val="000000"/>
          <w:sz w:val="21"/>
          <w:szCs w:val="21"/>
          <w:lang w:eastAsia="zh-CN"/>
        </w:rPr>
        <w:t>十一</w:t>
      </w:r>
      <w:r>
        <w:rPr>
          <w:rFonts w:hint="eastAsia" w:ascii="宋体" w:hAnsi="宋体" w:eastAsia="宋体" w:cs="宋体"/>
          <w:b/>
          <w:color w:val="000000"/>
          <w:sz w:val="21"/>
          <w:szCs w:val="21"/>
        </w:rPr>
        <w:t>、税费</w:t>
      </w:r>
    </w:p>
    <w:p w14:paraId="0FC64898">
      <w:pPr>
        <w:snapToGrid w:val="0"/>
        <w:spacing w:before="156" w:beforeLines="50" w:after="156" w:afterLines="50" w:line="360" w:lineRule="auto"/>
        <w:ind w:firstLine="210" w:firstLineChars="100"/>
        <w:rPr>
          <w:rFonts w:hint="eastAsia" w:ascii="宋体" w:hAnsi="宋体" w:eastAsia="宋体" w:cs="宋体"/>
          <w:color w:val="000000"/>
          <w:sz w:val="21"/>
          <w:szCs w:val="21"/>
        </w:rPr>
      </w:pPr>
      <w:r>
        <w:rPr>
          <w:rFonts w:hint="eastAsia" w:ascii="宋体" w:hAnsi="宋体" w:eastAsia="宋体" w:cs="宋体"/>
          <w:color w:val="000000"/>
          <w:sz w:val="21"/>
          <w:szCs w:val="21"/>
        </w:rPr>
        <w:t>本合同执行中相关的一切税费均由乙方负担。</w:t>
      </w:r>
    </w:p>
    <w:p w14:paraId="52AF7706">
      <w:pPr>
        <w:spacing w:line="360" w:lineRule="auto"/>
        <w:outlineLvl w:val="1"/>
        <w:rPr>
          <w:rFonts w:hint="eastAsia" w:ascii="宋体" w:hAnsi="宋体" w:eastAsia="宋体" w:cs="宋体"/>
          <w:b/>
          <w:color w:val="000000"/>
          <w:sz w:val="21"/>
          <w:szCs w:val="21"/>
        </w:rPr>
      </w:pPr>
      <w:r>
        <w:rPr>
          <w:rFonts w:hint="eastAsia" w:ascii="宋体" w:hAnsi="宋体" w:eastAsia="宋体" w:cs="宋体"/>
          <w:b/>
          <w:color w:val="000000"/>
          <w:sz w:val="21"/>
          <w:szCs w:val="21"/>
        </w:rPr>
        <w:t>十</w:t>
      </w:r>
      <w:r>
        <w:rPr>
          <w:rFonts w:hint="eastAsia" w:ascii="宋体" w:hAnsi="宋体" w:eastAsia="宋体" w:cs="宋体"/>
          <w:b/>
          <w:color w:val="000000"/>
          <w:sz w:val="21"/>
          <w:szCs w:val="21"/>
          <w:lang w:eastAsia="zh-CN"/>
        </w:rPr>
        <w:t>二</w:t>
      </w:r>
      <w:r>
        <w:rPr>
          <w:rFonts w:hint="eastAsia" w:ascii="宋体" w:hAnsi="宋体" w:eastAsia="宋体" w:cs="宋体"/>
          <w:b/>
          <w:color w:val="000000"/>
          <w:sz w:val="21"/>
          <w:szCs w:val="21"/>
        </w:rPr>
        <w:t>、验收</w:t>
      </w:r>
    </w:p>
    <w:p w14:paraId="16ABCB08">
      <w:pPr>
        <w:spacing w:line="360" w:lineRule="auto"/>
        <w:ind w:firstLine="384" w:firstLineChars="183"/>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1.</w:t>
      </w:r>
      <w:r>
        <w:rPr>
          <w:rFonts w:hint="eastAsia" w:ascii="宋体" w:hAnsi="宋体" w:eastAsia="宋体" w:cs="宋体"/>
          <w:color w:val="000000"/>
          <w:sz w:val="21"/>
          <w:szCs w:val="21"/>
        </w:rPr>
        <w:t>递交甲方本项目中的鉴定报告及原始记录文件的复印件。</w:t>
      </w:r>
    </w:p>
    <w:p w14:paraId="4859D8B2">
      <w:pPr>
        <w:spacing w:line="360" w:lineRule="auto"/>
        <w:ind w:firstLine="384" w:firstLineChars="183"/>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2.</w:t>
      </w:r>
      <w:r>
        <w:rPr>
          <w:rFonts w:hint="eastAsia" w:ascii="宋体" w:hAnsi="宋体" w:eastAsia="宋体" w:cs="宋体"/>
          <w:color w:val="000000"/>
          <w:sz w:val="21"/>
          <w:szCs w:val="21"/>
        </w:rPr>
        <w:t>甲方通过对乙方递交的数据、资料结果进行检查、校核，如发现质量问题，甲方有权要求乙方对相应问题进行解释并完善。</w:t>
      </w:r>
    </w:p>
    <w:p w14:paraId="34DFD4C5">
      <w:pPr>
        <w:snapToGrid w:val="0"/>
        <w:spacing w:before="120" w:after="120" w:line="360" w:lineRule="auto"/>
        <w:outlineLvl w:val="1"/>
        <w:rPr>
          <w:rFonts w:hint="eastAsia" w:ascii="宋体" w:hAnsi="宋体" w:eastAsia="宋体" w:cs="宋体"/>
          <w:b/>
          <w:color w:val="000000"/>
          <w:sz w:val="21"/>
          <w:szCs w:val="21"/>
        </w:rPr>
      </w:pPr>
      <w:r>
        <w:rPr>
          <w:rFonts w:hint="eastAsia" w:ascii="宋体" w:hAnsi="宋体" w:eastAsia="宋体" w:cs="宋体"/>
          <w:b/>
          <w:color w:val="000000"/>
          <w:sz w:val="21"/>
          <w:szCs w:val="21"/>
        </w:rPr>
        <w:t>十一、违约责任</w:t>
      </w:r>
    </w:p>
    <w:p w14:paraId="10AD254A">
      <w:pPr>
        <w:spacing w:line="360" w:lineRule="auto"/>
        <w:ind w:firstLine="560"/>
        <w:rPr>
          <w:rFonts w:hint="eastAsia" w:ascii="宋体" w:hAnsi="宋体" w:eastAsia="宋体" w:cs="宋体"/>
          <w:color w:val="000000"/>
          <w:sz w:val="21"/>
          <w:szCs w:val="21"/>
        </w:rPr>
      </w:pPr>
      <w:r>
        <w:rPr>
          <w:rFonts w:hint="eastAsia" w:ascii="宋体" w:hAnsi="宋体" w:eastAsia="宋体" w:cs="宋体"/>
          <w:color w:val="000000"/>
          <w:sz w:val="21"/>
          <w:szCs w:val="21"/>
        </w:rPr>
        <w:t>1</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乙方应按照合同约定提供交通事故检验鉴定服务，如乙方没有履行责任，给甲方造成损失的，甲方可视情况要求乙方承担合同总价款5%的违约金，如损失超过合同总价5%，可要求乙方按照实际损失予以赔偿。</w:t>
      </w:r>
    </w:p>
    <w:p w14:paraId="3D2A4D6E">
      <w:pPr>
        <w:spacing w:line="360" w:lineRule="auto"/>
        <w:ind w:firstLine="560"/>
        <w:rPr>
          <w:rFonts w:hint="eastAsia" w:ascii="宋体" w:hAnsi="宋体" w:eastAsia="宋体" w:cs="宋体"/>
          <w:color w:val="000000"/>
          <w:sz w:val="21"/>
          <w:szCs w:val="21"/>
        </w:rPr>
      </w:pPr>
      <w:r>
        <w:rPr>
          <w:rFonts w:hint="eastAsia" w:ascii="宋体" w:hAnsi="宋体" w:eastAsia="宋体" w:cs="宋体"/>
          <w:color w:val="000000"/>
          <w:sz w:val="21"/>
          <w:szCs w:val="21"/>
        </w:rPr>
        <w:t>2</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乙方未在规定或约定时限内出具鉴定意见书或检验报告书，且甲方认为没有补救价值的，甲方不支付相应费用。</w:t>
      </w:r>
    </w:p>
    <w:p w14:paraId="2E5069B3">
      <w:pPr>
        <w:spacing w:line="360" w:lineRule="auto"/>
        <w:ind w:firstLine="560"/>
        <w:rPr>
          <w:rFonts w:hint="eastAsia" w:ascii="宋体" w:hAnsi="宋体" w:eastAsia="宋体" w:cs="宋体"/>
          <w:color w:val="000000"/>
          <w:sz w:val="21"/>
          <w:szCs w:val="21"/>
        </w:rPr>
      </w:pPr>
      <w:r>
        <w:rPr>
          <w:rFonts w:hint="eastAsia" w:ascii="宋体" w:hAnsi="宋体" w:eastAsia="宋体" w:cs="宋体"/>
          <w:color w:val="000000"/>
          <w:sz w:val="21"/>
          <w:szCs w:val="21"/>
        </w:rPr>
        <w:t>3</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经审查，发现有下列情形之一的，甲方有权不支付相应费用。</w:t>
      </w:r>
    </w:p>
    <w:p w14:paraId="2EA2F258">
      <w:pPr>
        <w:spacing w:line="360" w:lineRule="auto"/>
        <w:ind w:firstLine="560"/>
        <w:rPr>
          <w:rFonts w:hint="eastAsia" w:ascii="宋体" w:hAnsi="宋体" w:eastAsia="宋体" w:cs="宋体"/>
          <w:color w:val="000000"/>
          <w:sz w:val="21"/>
          <w:szCs w:val="21"/>
        </w:rPr>
      </w:pPr>
      <w:r>
        <w:rPr>
          <w:rFonts w:hint="eastAsia" w:ascii="宋体" w:hAnsi="宋体" w:eastAsia="宋体" w:cs="宋体"/>
          <w:color w:val="000000"/>
          <w:sz w:val="21"/>
          <w:szCs w:val="21"/>
        </w:rPr>
        <w:t>（一）检验鉴定程序违法或者违反相关专业技术要求的；</w:t>
      </w:r>
    </w:p>
    <w:p w14:paraId="4421CB00">
      <w:pPr>
        <w:spacing w:line="360" w:lineRule="auto"/>
        <w:ind w:firstLine="560"/>
        <w:rPr>
          <w:rFonts w:hint="eastAsia" w:ascii="宋体" w:hAnsi="宋体" w:eastAsia="宋体" w:cs="宋体"/>
          <w:color w:val="000000"/>
          <w:sz w:val="21"/>
          <w:szCs w:val="21"/>
        </w:rPr>
      </w:pPr>
      <w:r>
        <w:rPr>
          <w:rFonts w:hint="eastAsia" w:ascii="宋体" w:hAnsi="宋体" w:eastAsia="宋体" w:cs="宋体"/>
          <w:color w:val="000000"/>
          <w:sz w:val="21"/>
          <w:szCs w:val="21"/>
        </w:rPr>
        <w:t>（二）鉴定人故意作虚假鉴定或者违反回避规定的；</w:t>
      </w:r>
    </w:p>
    <w:p w14:paraId="7B780091">
      <w:pPr>
        <w:spacing w:line="360" w:lineRule="auto"/>
        <w:ind w:firstLine="560"/>
        <w:rPr>
          <w:rFonts w:hint="eastAsia" w:ascii="宋体" w:hAnsi="宋体" w:eastAsia="宋体" w:cs="宋体"/>
          <w:color w:val="000000"/>
          <w:sz w:val="21"/>
          <w:szCs w:val="21"/>
        </w:rPr>
      </w:pPr>
      <w:r>
        <w:rPr>
          <w:rFonts w:hint="eastAsia" w:ascii="宋体" w:hAnsi="宋体" w:eastAsia="宋体" w:cs="宋体"/>
          <w:color w:val="000000"/>
          <w:sz w:val="21"/>
          <w:szCs w:val="21"/>
        </w:rPr>
        <w:t>（三）鉴定意见书或检验报告书错误的。</w:t>
      </w:r>
    </w:p>
    <w:p w14:paraId="49ED699A">
      <w:pPr>
        <w:snapToGrid w:val="0"/>
        <w:spacing w:before="120" w:after="120" w:line="360" w:lineRule="auto"/>
        <w:ind w:firstLine="0" w:firstLineChars="0"/>
        <w:outlineLvl w:val="1"/>
        <w:rPr>
          <w:rFonts w:hint="eastAsia" w:ascii="宋体" w:hAnsi="宋体" w:eastAsia="宋体" w:cs="宋体"/>
          <w:b/>
          <w:color w:val="000000"/>
          <w:sz w:val="21"/>
          <w:szCs w:val="21"/>
        </w:rPr>
      </w:pPr>
      <w:r>
        <w:rPr>
          <w:rFonts w:hint="eastAsia" w:ascii="宋体" w:hAnsi="宋体" w:eastAsia="宋体" w:cs="宋体"/>
          <w:b/>
          <w:color w:val="000000"/>
          <w:sz w:val="21"/>
          <w:szCs w:val="21"/>
          <w:lang w:eastAsia="zh-CN"/>
        </w:rPr>
        <w:t>十三</w:t>
      </w:r>
      <w:r>
        <w:rPr>
          <w:rFonts w:hint="eastAsia" w:ascii="宋体" w:hAnsi="宋体" w:eastAsia="宋体" w:cs="宋体"/>
          <w:b/>
          <w:color w:val="000000"/>
          <w:sz w:val="21"/>
          <w:szCs w:val="21"/>
        </w:rPr>
        <w:t xml:space="preserve">、合同解除 </w:t>
      </w:r>
    </w:p>
    <w:p w14:paraId="0E03277B">
      <w:pPr>
        <w:spacing w:line="360" w:lineRule="auto"/>
        <w:ind w:firstLine="560"/>
        <w:rPr>
          <w:rFonts w:hint="eastAsia" w:ascii="宋体" w:hAnsi="宋体" w:eastAsia="宋体" w:cs="宋体"/>
          <w:color w:val="000000"/>
          <w:sz w:val="21"/>
          <w:szCs w:val="21"/>
        </w:rPr>
      </w:pPr>
      <w:r>
        <w:rPr>
          <w:rFonts w:hint="eastAsia" w:ascii="宋体" w:hAnsi="宋体" w:eastAsia="宋体" w:cs="宋体"/>
          <w:color w:val="000000"/>
          <w:sz w:val="21"/>
          <w:szCs w:val="21"/>
        </w:rPr>
        <w:t>经审查，乙方有下列情形之一的，甲方可以解除合同：</w:t>
      </w:r>
    </w:p>
    <w:p w14:paraId="7AE88EAF">
      <w:pPr>
        <w:spacing w:line="360" w:lineRule="auto"/>
        <w:ind w:firstLine="560"/>
        <w:rPr>
          <w:rFonts w:hint="eastAsia" w:ascii="宋体" w:hAnsi="宋体" w:eastAsia="宋体" w:cs="宋体"/>
          <w:color w:val="000000"/>
          <w:sz w:val="21"/>
          <w:szCs w:val="21"/>
        </w:rPr>
      </w:pPr>
      <w:r>
        <w:rPr>
          <w:rFonts w:hint="eastAsia" w:ascii="宋体" w:hAnsi="宋体" w:eastAsia="宋体" w:cs="宋体"/>
          <w:color w:val="000000"/>
          <w:sz w:val="21"/>
          <w:szCs w:val="21"/>
        </w:rPr>
        <w:t>1</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乙方弄虚作假，故意出具与事实不符的鉴定意见的；</w:t>
      </w:r>
    </w:p>
    <w:p w14:paraId="3979695B">
      <w:pPr>
        <w:spacing w:line="360" w:lineRule="auto"/>
        <w:ind w:firstLine="560"/>
        <w:rPr>
          <w:rFonts w:hint="eastAsia" w:ascii="宋体" w:hAnsi="宋体" w:eastAsia="宋体" w:cs="宋体"/>
          <w:color w:val="000000"/>
          <w:sz w:val="21"/>
          <w:szCs w:val="21"/>
        </w:rPr>
      </w:pPr>
      <w:r>
        <w:rPr>
          <w:rFonts w:hint="eastAsia" w:ascii="宋体" w:hAnsi="宋体" w:eastAsia="宋体" w:cs="宋体"/>
          <w:color w:val="000000"/>
          <w:sz w:val="21"/>
          <w:szCs w:val="21"/>
        </w:rPr>
        <w:t>2</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乙方由于过失出具与事实不符的鉴定意见达到 2次的；</w:t>
      </w:r>
    </w:p>
    <w:p w14:paraId="69D2C698">
      <w:pPr>
        <w:spacing w:line="360" w:lineRule="auto"/>
        <w:ind w:firstLine="560"/>
        <w:rPr>
          <w:rFonts w:hint="eastAsia" w:ascii="宋体" w:hAnsi="宋体" w:eastAsia="宋体" w:cs="宋体"/>
          <w:color w:val="000000"/>
          <w:sz w:val="21"/>
          <w:szCs w:val="21"/>
        </w:rPr>
      </w:pPr>
      <w:r>
        <w:rPr>
          <w:rFonts w:hint="eastAsia" w:ascii="宋体" w:hAnsi="宋体" w:eastAsia="宋体" w:cs="宋体"/>
          <w:color w:val="000000"/>
          <w:sz w:val="21"/>
          <w:szCs w:val="21"/>
        </w:rPr>
        <w:t>3</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乙方未在规定或约定的时限内出具鉴定意见书或检验报告书达到 4 次的；</w:t>
      </w:r>
    </w:p>
    <w:p w14:paraId="676EFDA0">
      <w:pPr>
        <w:spacing w:line="360" w:lineRule="auto"/>
        <w:ind w:firstLine="560"/>
        <w:rPr>
          <w:rFonts w:hint="eastAsia" w:ascii="宋体" w:hAnsi="宋体" w:eastAsia="宋体" w:cs="宋体"/>
          <w:color w:val="000000"/>
          <w:sz w:val="21"/>
          <w:szCs w:val="21"/>
        </w:rPr>
      </w:pPr>
      <w:r>
        <w:rPr>
          <w:rFonts w:hint="eastAsia" w:ascii="宋体" w:hAnsi="宋体" w:eastAsia="宋体" w:cs="宋体"/>
          <w:color w:val="000000"/>
          <w:sz w:val="21"/>
          <w:szCs w:val="21"/>
        </w:rPr>
        <w:t>4</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乙方不能按甲方要求提供应急检验鉴定服务的；</w:t>
      </w:r>
    </w:p>
    <w:p w14:paraId="4479F460">
      <w:pPr>
        <w:spacing w:line="360" w:lineRule="auto"/>
        <w:ind w:firstLine="560"/>
        <w:rPr>
          <w:rFonts w:hint="eastAsia" w:ascii="宋体" w:hAnsi="宋体" w:eastAsia="宋体" w:cs="宋体"/>
          <w:color w:val="000000"/>
          <w:sz w:val="21"/>
          <w:szCs w:val="21"/>
          <w:lang w:eastAsia="zh-CN"/>
        </w:rPr>
      </w:pPr>
      <w:r>
        <w:rPr>
          <w:rFonts w:hint="eastAsia" w:ascii="宋体" w:hAnsi="宋体" w:eastAsia="宋体" w:cs="宋体"/>
          <w:color w:val="000000"/>
          <w:sz w:val="21"/>
          <w:szCs w:val="21"/>
        </w:rPr>
        <w:t>5</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乙方违反技术情报和资料保密条款，造成不良影响的</w:t>
      </w:r>
      <w:r>
        <w:rPr>
          <w:rFonts w:hint="eastAsia" w:ascii="宋体" w:hAnsi="宋体" w:eastAsia="宋体" w:cs="宋体"/>
          <w:color w:val="000000"/>
          <w:sz w:val="21"/>
          <w:szCs w:val="21"/>
          <w:lang w:eastAsia="zh-CN"/>
        </w:rPr>
        <w:t>。</w:t>
      </w:r>
    </w:p>
    <w:p w14:paraId="7D1A6835">
      <w:pPr>
        <w:snapToGrid w:val="0"/>
        <w:spacing w:before="120" w:after="120" w:line="360" w:lineRule="auto"/>
        <w:outlineLvl w:val="1"/>
        <w:rPr>
          <w:rFonts w:hint="eastAsia" w:ascii="宋体" w:hAnsi="宋体" w:eastAsia="宋体" w:cs="宋体"/>
          <w:b/>
          <w:color w:val="000000"/>
          <w:sz w:val="21"/>
          <w:szCs w:val="21"/>
        </w:rPr>
      </w:pPr>
      <w:r>
        <w:rPr>
          <w:rFonts w:hint="eastAsia" w:ascii="宋体" w:hAnsi="宋体" w:eastAsia="宋体" w:cs="宋体"/>
          <w:b/>
          <w:color w:val="000000"/>
          <w:sz w:val="21"/>
          <w:szCs w:val="21"/>
        </w:rPr>
        <w:t>十</w:t>
      </w:r>
      <w:r>
        <w:rPr>
          <w:rFonts w:hint="eastAsia" w:ascii="宋体" w:hAnsi="宋体" w:eastAsia="宋体" w:cs="宋体"/>
          <w:b/>
          <w:color w:val="000000"/>
          <w:sz w:val="21"/>
          <w:szCs w:val="21"/>
          <w:lang w:eastAsia="zh-CN"/>
        </w:rPr>
        <w:t>四</w:t>
      </w:r>
      <w:r>
        <w:rPr>
          <w:rFonts w:hint="eastAsia" w:ascii="宋体" w:hAnsi="宋体" w:eastAsia="宋体" w:cs="宋体"/>
          <w:b/>
          <w:color w:val="000000"/>
          <w:sz w:val="21"/>
          <w:szCs w:val="21"/>
        </w:rPr>
        <w:t>、不可抗力事件处理</w:t>
      </w:r>
    </w:p>
    <w:p w14:paraId="47F89931">
      <w:pPr>
        <w:snapToGrid w:val="0"/>
        <w:spacing w:before="120" w:after="120" w:line="360" w:lineRule="auto"/>
        <w:ind w:firstLine="210" w:firstLineChars="100"/>
        <w:rPr>
          <w:rFonts w:hint="eastAsia" w:ascii="宋体" w:hAnsi="宋体" w:eastAsia="宋体" w:cs="宋体"/>
          <w:color w:val="000000"/>
          <w:sz w:val="21"/>
          <w:szCs w:val="21"/>
        </w:rPr>
      </w:pPr>
      <w:r>
        <w:rPr>
          <w:rFonts w:hint="eastAsia" w:ascii="宋体" w:hAnsi="宋体" w:eastAsia="宋体" w:cs="宋体"/>
          <w:color w:val="000000"/>
          <w:sz w:val="21"/>
          <w:szCs w:val="21"/>
        </w:rPr>
        <w:t>1．在合同有效期内，任何一方因不可抗力事件导致不能履行合同，则合同履行期可延</w:t>
      </w:r>
    </w:p>
    <w:p w14:paraId="5894F758">
      <w:pPr>
        <w:snapToGrid w:val="0"/>
        <w:spacing w:before="120" w:after="120"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长，其延长期与不可抗力影响期相同。</w:t>
      </w:r>
    </w:p>
    <w:p w14:paraId="155D69D9">
      <w:pPr>
        <w:snapToGrid w:val="0"/>
        <w:spacing w:before="120" w:after="120" w:line="360" w:lineRule="auto"/>
        <w:ind w:firstLine="210" w:firstLineChars="100"/>
        <w:rPr>
          <w:rFonts w:hint="eastAsia" w:ascii="宋体" w:hAnsi="宋体" w:eastAsia="宋体" w:cs="宋体"/>
          <w:color w:val="000000"/>
          <w:sz w:val="21"/>
          <w:szCs w:val="21"/>
        </w:rPr>
      </w:pPr>
      <w:r>
        <w:rPr>
          <w:rFonts w:hint="eastAsia" w:ascii="宋体" w:hAnsi="宋体" w:eastAsia="宋体" w:cs="宋体"/>
          <w:color w:val="000000"/>
          <w:sz w:val="21"/>
          <w:szCs w:val="21"/>
        </w:rPr>
        <w:t>2．不可抗力事件发生后，应立即通知对方，并寄送有关权威机构出具的证明。</w:t>
      </w:r>
    </w:p>
    <w:p w14:paraId="47F5ADBC">
      <w:pPr>
        <w:snapToGrid w:val="0"/>
        <w:spacing w:before="120" w:after="120" w:line="360" w:lineRule="auto"/>
        <w:ind w:firstLine="210" w:firstLineChars="100"/>
        <w:rPr>
          <w:rFonts w:hint="eastAsia" w:ascii="宋体" w:hAnsi="宋体" w:eastAsia="宋体" w:cs="宋体"/>
          <w:color w:val="000000"/>
          <w:sz w:val="21"/>
          <w:szCs w:val="21"/>
        </w:rPr>
      </w:pPr>
      <w:r>
        <w:rPr>
          <w:rFonts w:hint="eastAsia" w:ascii="宋体" w:hAnsi="宋体" w:eastAsia="宋体" w:cs="宋体"/>
          <w:color w:val="000000"/>
          <w:sz w:val="21"/>
          <w:szCs w:val="21"/>
        </w:rPr>
        <w:t>3．不可抗力事件延续120天以上，双方应通过友好协商，确定是否继续履行合同。</w:t>
      </w:r>
    </w:p>
    <w:p w14:paraId="5F380391">
      <w:pPr>
        <w:pStyle w:val="18"/>
        <w:snapToGrid w:val="0"/>
        <w:spacing w:line="360" w:lineRule="auto"/>
        <w:outlineLvl w:val="1"/>
        <w:rPr>
          <w:rFonts w:hint="eastAsia" w:ascii="宋体" w:hAnsi="宋体" w:eastAsia="宋体" w:cs="宋体"/>
          <w:b/>
          <w:color w:val="000000"/>
          <w:sz w:val="21"/>
          <w:szCs w:val="21"/>
        </w:rPr>
      </w:pPr>
      <w:r>
        <w:rPr>
          <w:rFonts w:hint="eastAsia" w:ascii="宋体" w:hAnsi="宋体" w:eastAsia="宋体" w:cs="宋体"/>
          <w:b/>
          <w:color w:val="000000"/>
          <w:sz w:val="21"/>
          <w:szCs w:val="21"/>
        </w:rPr>
        <w:t>十</w:t>
      </w:r>
      <w:r>
        <w:rPr>
          <w:rFonts w:hint="eastAsia" w:ascii="宋体" w:hAnsi="宋体" w:eastAsia="宋体" w:cs="宋体"/>
          <w:b/>
          <w:color w:val="000000"/>
          <w:sz w:val="21"/>
          <w:szCs w:val="21"/>
          <w:lang w:eastAsia="zh-CN"/>
        </w:rPr>
        <w:t>五</w:t>
      </w:r>
      <w:r>
        <w:rPr>
          <w:rFonts w:hint="eastAsia" w:ascii="宋体" w:hAnsi="宋体" w:eastAsia="宋体" w:cs="宋体"/>
          <w:b/>
          <w:color w:val="000000"/>
          <w:sz w:val="21"/>
          <w:szCs w:val="21"/>
        </w:rPr>
        <w:t>、诉讼</w:t>
      </w:r>
    </w:p>
    <w:p w14:paraId="2536C4EA">
      <w:pPr>
        <w:pStyle w:val="18"/>
        <w:snapToGrid w:val="0"/>
        <w:spacing w:line="360" w:lineRule="auto"/>
        <w:ind w:firstLine="420" w:firstLineChars="200"/>
        <w:rPr>
          <w:rFonts w:hint="eastAsia" w:ascii="宋体" w:hAnsi="宋体" w:eastAsia="宋体" w:cs="宋体"/>
          <w:bCs/>
          <w:color w:val="000000"/>
          <w:sz w:val="21"/>
          <w:szCs w:val="21"/>
        </w:rPr>
      </w:pPr>
      <w:r>
        <w:rPr>
          <w:rFonts w:hint="eastAsia" w:ascii="宋体" w:hAnsi="宋体" w:eastAsia="宋体" w:cs="宋体"/>
          <w:color w:val="000000"/>
          <w:sz w:val="21"/>
          <w:szCs w:val="21"/>
        </w:rPr>
        <w:t>双方在执行合同中所发生的一切争议，应通过协商解决。如协商不成，可向甲方所在地法院起诉。</w:t>
      </w:r>
    </w:p>
    <w:p w14:paraId="4A124413">
      <w:pPr>
        <w:pStyle w:val="66"/>
        <w:tabs>
          <w:tab w:val="left" w:pos="266"/>
          <w:tab w:val="left" w:pos="6039"/>
        </w:tabs>
        <w:spacing w:line="360" w:lineRule="auto"/>
        <w:ind w:left="106" w:leftChars="0"/>
        <w:jc w:val="left"/>
        <w:outlineLvl w:val="1"/>
        <w:rPr>
          <w:rFonts w:hint="eastAsia" w:ascii="宋体" w:hAnsi="宋体" w:eastAsia="宋体" w:cs="宋体"/>
          <w:b/>
          <w:color w:val="000000"/>
          <w:sz w:val="21"/>
          <w:szCs w:val="21"/>
          <w:lang w:val="en-US"/>
        </w:rPr>
      </w:pPr>
      <w:r>
        <w:rPr>
          <w:rFonts w:hint="eastAsia" w:ascii="宋体" w:hAnsi="宋体" w:eastAsia="宋体" w:cs="宋体"/>
          <w:b/>
          <w:color w:val="000000"/>
          <w:sz w:val="21"/>
          <w:szCs w:val="21"/>
          <w:lang w:val="en-US"/>
        </w:rPr>
        <w:t>十</w:t>
      </w:r>
      <w:r>
        <w:rPr>
          <w:rFonts w:hint="eastAsia" w:ascii="宋体" w:hAnsi="宋体" w:eastAsia="宋体" w:cs="宋体"/>
          <w:b/>
          <w:color w:val="000000"/>
          <w:sz w:val="21"/>
          <w:szCs w:val="21"/>
          <w:lang w:val="en-US" w:eastAsia="zh-CN"/>
        </w:rPr>
        <w:t>六</w:t>
      </w:r>
      <w:r>
        <w:rPr>
          <w:rFonts w:hint="eastAsia" w:ascii="宋体" w:hAnsi="宋体" w:eastAsia="宋体" w:cs="宋体"/>
          <w:b/>
          <w:color w:val="000000"/>
          <w:sz w:val="21"/>
          <w:szCs w:val="21"/>
          <w:lang w:val="en-US"/>
        </w:rPr>
        <w:t>、合同生效及其它</w:t>
      </w:r>
    </w:p>
    <w:p w14:paraId="3D1EB626">
      <w:pPr>
        <w:spacing w:line="360" w:lineRule="auto"/>
        <w:rPr>
          <w:rFonts w:hint="eastAsia" w:ascii="宋体" w:hAnsi="宋体" w:eastAsia="宋体" w:cs="宋体"/>
          <w:snapToGrid w:val="0"/>
          <w:color w:val="000000"/>
          <w:sz w:val="21"/>
          <w:szCs w:val="21"/>
        </w:rPr>
      </w:pPr>
      <w:r>
        <w:rPr>
          <w:rFonts w:hint="eastAsia" w:ascii="宋体" w:hAnsi="宋体" w:eastAsia="宋体" w:cs="宋体"/>
          <w:snapToGrid w:val="0"/>
          <w:color w:val="000000"/>
          <w:sz w:val="21"/>
          <w:szCs w:val="21"/>
        </w:rPr>
        <w:t>1.本合同经甲方、乙方法定代表人或其委托人签字并加盖双方公章后生效。</w:t>
      </w:r>
    </w:p>
    <w:p w14:paraId="77859CA0">
      <w:pPr>
        <w:pStyle w:val="18"/>
        <w:snapToGrid w:val="0"/>
        <w:spacing w:before="120" w:after="120" w:line="360" w:lineRule="auto"/>
        <w:rPr>
          <w:rFonts w:hint="eastAsia" w:ascii="宋体" w:hAnsi="宋体" w:eastAsia="宋体" w:cs="宋体"/>
          <w:snapToGrid w:val="0"/>
          <w:color w:val="000000"/>
          <w:sz w:val="21"/>
          <w:szCs w:val="21"/>
        </w:rPr>
      </w:pPr>
      <w:r>
        <w:rPr>
          <w:rFonts w:hint="eastAsia" w:ascii="宋体" w:hAnsi="宋体" w:eastAsia="宋体" w:cs="宋体"/>
          <w:snapToGrid w:val="0"/>
          <w:color w:val="000000"/>
          <w:sz w:val="21"/>
          <w:szCs w:val="21"/>
          <w:lang w:val="en-US" w:eastAsia="zh-CN"/>
        </w:rPr>
        <w:t>2</w:t>
      </w:r>
      <w:r>
        <w:rPr>
          <w:rFonts w:hint="eastAsia" w:ascii="宋体" w:hAnsi="宋体" w:eastAsia="宋体" w:cs="宋体"/>
          <w:snapToGrid w:val="0"/>
          <w:color w:val="000000"/>
          <w:sz w:val="21"/>
          <w:szCs w:val="21"/>
        </w:rPr>
        <w:t>.招标文件、</w:t>
      </w:r>
      <w:r>
        <w:rPr>
          <w:rFonts w:hint="eastAsia" w:hAnsi="宋体" w:cs="宋体"/>
          <w:snapToGrid w:val="0"/>
          <w:color w:val="000000"/>
          <w:sz w:val="21"/>
          <w:szCs w:val="21"/>
          <w:lang w:eastAsia="zh-CN"/>
        </w:rPr>
        <w:t>响应文件</w:t>
      </w:r>
      <w:r>
        <w:rPr>
          <w:rFonts w:hint="eastAsia" w:ascii="宋体" w:hAnsi="宋体" w:eastAsia="宋体" w:cs="宋体"/>
          <w:snapToGrid w:val="0"/>
          <w:color w:val="000000"/>
          <w:sz w:val="21"/>
          <w:szCs w:val="21"/>
        </w:rPr>
        <w:t>与本合同具有同等法律效力。</w:t>
      </w:r>
    </w:p>
    <w:p w14:paraId="6610A647">
      <w:pPr>
        <w:pStyle w:val="18"/>
        <w:snapToGrid w:val="0"/>
        <w:spacing w:before="120" w:after="120" w:line="360" w:lineRule="auto"/>
        <w:rPr>
          <w:rFonts w:hint="eastAsia" w:ascii="宋体" w:hAnsi="宋体" w:eastAsia="宋体" w:cs="宋体"/>
          <w:snapToGrid w:val="0"/>
          <w:color w:val="000000"/>
          <w:sz w:val="21"/>
          <w:szCs w:val="21"/>
        </w:rPr>
      </w:pPr>
      <w:r>
        <w:rPr>
          <w:rFonts w:hint="eastAsia" w:ascii="宋体" w:hAnsi="宋体" w:eastAsia="宋体" w:cs="宋体"/>
          <w:snapToGrid w:val="0"/>
          <w:color w:val="000000"/>
          <w:sz w:val="21"/>
          <w:szCs w:val="21"/>
        </w:rPr>
        <w:t>4.本合同未尽事宜，遵照《</w:t>
      </w:r>
      <w:r>
        <w:rPr>
          <w:rFonts w:hint="eastAsia" w:ascii="宋体" w:hAnsi="宋体" w:eastAsia="宋体" w:cs="宋体"/>
          <w:snapToGrid w:val="0"/>
          <w:color w:val="000000"/>
          <w:sz w:val="21"/>
          <w:szCs w:val="21"/>
          <w:lang w:eastAsia="zh-CN"/>
        </w:rPr>
        <w:t>中华人民共和国民法典</w:t>
      </w:r>
      <w:r>
        <w:rPr>
          <w:rFonts w:hint="eastAsia" w:ascii="宋体" w:hAnsi="宋体" w:eastAsia="宋体" w:cs="宋体"/>
          <w:snapToGrid w:val="0"/>
          <w:color w:val="000000"/>
          <w:sz w:val="21"/>
          <w:szCs w:val="21"/>
        </w:rPr>
        <w:t>》有关条文执行。</w:t>
      </w:r>
    </w:p>
    <w:p w14:paraId="2A5627E6">
      <w:pPr>
        <w:pStyle w:val="18"/>
        <w:snapToGrid w:val="0"/>
        <w:spacing w:before="120" w:after="120" w:line="360" w:lineRule="auto"/>
        <w:rPr>
          <w:rFonts w:hint="eastAsia" w:ascii="宋体" w:hAnsi="宋体" w:eastAsia="宋体" w:cs="宋体"/>
          <w:snapToGrid w:val="0"/>
          <w:color w:val="000000"/>
          <w:sz w:val="21"/>
          <w:szCs w:val="21"/>
        </w:rPr>
      </w:pPr>
      <w:r>
        <w:rPr>
          <w:rFonts w:hint="eastAsia" w:ascii="宋体" w:hAnsi="宋体" w:eastAsia="宋体" w:cs="宋体"/>
          <w:snapToGrid w:val="0"/>
          <w:color w:val="000000"/>
          <w:sz w:val="21"/>
          <w:szCs w:val="21"/>
        </w:rPr>
        <w:t>5.本合同正本壹式</w:t>
      </w:r>
      <w:r>
        <w:rPr>
          <w:rFonts w:hint="eastAsia" w:ascii="宋体" w:hAnsi="宋体" w:eastAsia="宋体" w:cs="宋体"/>
          <w:snapToGrid w:val="0"/>
          <w:color w:val="000000"/>
          <w:sz w:val="21"/>
          <w:szCs w:val="21"/>
          <w:lang w:eastAsia="zh-CN"/>
        </w:rPr>
        <w:t>五</w:t>
      </w:r>
      <w:r>
        <w:rPr>
          <w:rFonts w:hint="eastAsia" w:ascii="宋体" w:hAnsi="宋体" w:eastAsia="宋体" w:cs="宋体"/>
          <w:snapToGrid w:val="0"/>
          <w:color w:val="000000"/>
          <w:sz w:val="21"/>
          <w:szCs w:val="21"/>
        </w:rPr>
        <w:t>份，具有同等法律效力，甲方执</w:t>
      </w:r>
      <w:r>
        <w:rPr>
          <w:rFonts w:hint="eastAsia" w:ascii="宋体" w:hAnsi="宋体" w:eastAsia="宋体" w:cs="宋体"/>
          <w:snapToGrid w:val="0"/>
          <w:color w:val="000000"/>
          <w:sz w:val="21"/>
          <w:szCs w:val="21"/>
          <w:lang w:eastAsia="zh-CN"/>
        </w:rPr>
        <w:t>二</w:t>
      </w:r>
      <w:r>
        <w:rPr>
          <w:rFonts w:hint="eastAsia" w:ascii="宋体" w:hAnsi="宋体" w:eastAsia="宋体" w:cs="宋体"/>
          <w:snapToGrid w:val="0"/>
          <w:color w:val="000000"/>
          <w:sz w:val="21"/>
          <w:szCs w:val="21"/>
        </w:rPr>
        <w:t>份，乙方执</w:t>
      </w:r>
      <w:r>
        <w:rPr>
          <w:rFonts w:hint="eastAsia" w:ascii="宋体" w:hAnsi="宋体" w:eastAsia="宋体" w:cs="宋体"/>
          <w:snapToGrid w:val="0"/>
          <w:color w:val="000000"/>
          <w:sz w:val="21"/>
          <w:szCs w:val="21"/>
          <w:lang w:eastAsia="zh-CN"/>
        </w:rPr>
        <w:t>二</w:t>
      </w:r>
      <w:r>
        <w:rPr>
          <w:rFonts w:hint="eastAsia" w:ascii="宋体" w:hAnsi="宋体" w:eastAsia="宋体" w:cs="宋体"/>
          <w:snapToGrid w:val="0"/>
          <w:color w:val="000000"/>
          <w:sz w:val="21"/>
          <w:szCs w:val="21"/>
        </w:rPr>
        <w:t>份，采购代理机构执壹份。</w:t>
      </w:r>
    </w:p>
    <w:p w14:paraId="6697CB33">
      <w:pPr>
        <w:pStyle w:val="66"/>
        <w:tabs>
          <w:tab w:val="left" w:pos="266"/>
          <w:tab w:val="left" w:pos="6039"/>
        </w:tabs>
        <w:spacing w:line="360" w:lineRule="auto"/>
        <w:ind w:left="106"/>
        <w:jc w:val="left"/>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甲方（盖章）：                             乙方（盖章）：        </w:t>
      </w:r>
    </w:p>
    <w:p w14:paraId="2C11F8E7">
      <w:pPr>
        <w:pStyle w:val="66"/>
        <w:tabs>
          <w:tab w:val="left" w:pos="266"/>
          <w:tab w:val="left" w:pos="6039"/>
        </w:tabs>
        <w:spacing w:line="360" w:lineRule="auto"/>
        <w:ind w:left="106"/>
        <w:jc w:val="left"/>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法定代表人                                法定代表人  </w:t>
      </w:r>
    </w:p>
    <w:p w14:paraId="53A20994">
      <w:pPr>
        <w:pStyle w:val="66"/>
        <w:tabs>
          <w:tab w:val="left" w:pos="266"/>
          <w:tab w:val="left" w:pos="6039"/>
        </w:tabs>
        <w:spacing w:line="360" w:lineRule="auto"/>
        <w:ind w:left="106"/>
        <w:jc w:val="left"/>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或受委托人（签字）：                       或受委托人（签字）：  </w:t>
      </w:r>
    </w:p>
    <w:p w14:paraId="4EB41F2D">
      <w:pPr>
        <w:pStyle w:val="66"/>
        <w:tabs>
          <w:tab w:val="left" w:pos="266"/>
          <w:tab w:val="left" w:pos="6039"/>
        </w:tabs>
        <w:spacing w:line="360" w:lineRule="auto"/>
        <w:ind w:left="106"/>
        <w:jc w:val="left"/>
        <w:rPr>
          <w:rFonts w:hint="eastAsia" w:ascii="宋体" w:hAnsi="宋体" w:eastAsia="宋体" w:cs="宋体"/>
          <w:color w:val="000000"/>
          <w:sz w:val="21"/>
          <w:szCs w:val="21"/>
        </w:rPr>
      </w:pPr>
      <w:r>
        <w:rPr>
          <w:rFonts w:hint="eastAsia" w:ascii="宋体" w:hAnsi="宋体" w:eastAsia="宋体" w:cs="宋体"/>
          <w:color w:val="000000"/>
          <w:sz w:val="21"/>
          <w:szCs w:val="21"/>
        </w:rPr>
        <w:t>联系人：                                  联系人：</w:t>
      </w:r>
    </w:p>
    <w:p w14:paraId="63102D92">
      <w:pPr>
        <w:pStyle w:val="66"/>
        <w:tabs>
          <w:tab w:val="left" w:pos="266"/>
          <w:tab w:val="left" w:pos="6039"/>
        </w:tabs>
        <w:spacing w:line="360" w:lineRule="auto"/>
        <w:ind w:left="106"/>
        <w:jc w:val="left"/>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地址：                                    地址： </w:t>
      </w:r>
    </w:p>
    <w:p w14:paraId="74927669">
      <w:pPr>
        <w:pStyle w:val="66"/>
        <w:tabs>
          <w:tab w:val="left" w:pos="266"/>
          <w:tab w:val="left" w:pos="6039"/>
        </w:tabs>
        <w:spacing w:line="360" w:lineRule="auto"/>
        <w:ind w:left="106"/>
        <w:jc w:val="left"/>
        <w:rPr>
          <w:rFonts w:hint="eastAsia" w:ascii="宋体" w:hAnsi="宋体" w:eastAsia="宋体" w:cs="宋体"/>
          <w:sz w:val="21"/>
          <w:szCs w:val="21"/>
        </w:rPr>
      </w:pPr>
      <w:r>
        <w:rPr>
          <w:rFonts w:hint="eastAsia" w:ascii="宋体" w:hAnsi="宋体" w:eastAsia="宋体" w:cs="宋体"/>
          <w:color w:val="000000"/>
          <w:sz w:val="21"/>
          <w:szCs w:val="21"/>
        </w:rPr>
        <w:t>电话：                                    电话：</w:t>
      </w:r>
    </w:p>
    <w:p w14:paraId="65C7AA0E">
      <w:pPr>
        <w:rPr>
          <w:rFonts w:hint="eastAsia" w:ascii="宋体" w:hAnsi="宋体" w:cs="宋体"/>
          <w:szCs w:val="21"/>
        </w:rPr>
      </w:pPr>
    </w:p>
    <w:p w14:paraId="348F0D62">
      <w:pPr>
        <w:spacing w:line="560" w:lineRule="exact"/>
        <w:ind w:firstLine="720" w:firstLineChars="300"/>
        <w:rPr>
          <w:rFonts w:hint="eastAsia" w:ascii="宋体" w:hAnsi="宋体" w:eastAsia="宋体" w:cs="宋体"/>
          <w:b/>
          <w:bCs/>
          <w:sz w:val="21"/>
          <w:szCs w:val="21"/>
          <w:highlight w:val="none"/>
        </w:rPr>
      </w:pPr>
      <w:r>
        <w:rPr>
          <w:rStyle w:val="80"/>
          <w:rFonts w:ascii="宋体" w:hAnsi="宋体"/>
          <w:b w:val="0"/>
          <w:i w:val="0"/>
          <w:caps w:val="0"/>
          <w:color w:val="000000"/>
          <w:spacing w:val="0"/>
          <w:w w:val="100"/>
          <w:kern w:val="2"/>
          <w:sz w:val="24"/>
          <w:szCs w:val="22"/>
          <w:highlight w:val="none"/>
          <w:lang w:val="en-US" w:eastAsia="zh-CN" w:bidi="ar-SA"/>
        </w:rPr>
        <w:t xml:space="preserve">  </w:t>
      </w:r>
    </w:p>
    <w:p w14:paraId="530C3756">
      <w:pPr>
        <w:rPr>
          <w:rFonts w:hint="eastAsia" w:ascii="宋体" w:hAnsi="宋体" w:eastAsia="宋体" w:cs="宋体"/>
          <w:sz w:val="21"/>
          <w:szCs w:val="21"/>
          <w:highlight w:val="none"/>
          <w:lang w:val="zh-CN"/>
        </w:rPr>
      </w:pPr>
    </w:p>
    <w:p w14:paraId="68795E09">
      <w:pPr>
        <w:rPr>
          <w:rFonts w:hint="eastAsia" w:ascii="宋体" w:hAnsi="宋体" w:cs="宋体"/>
          <w:color w:val="auto"/>
          <w:sz w:val="32"/>
          <w:szCs w:val="32"/>
          <w:highlight w:val="none"/>
          <w:lang w:eastAsia="zh-CN"/>
        </w:rPr>
      </w:pPr>
      <w:r>
        <w:rPr>
          <w:rFonts w:hint="eastAsia" w:ascii="宋体" w:hAnsi="宋体" w:cs="宋体"/>
          <w:color w:val="auto"/>
          <w:sz w:val="32"/>
          <w:szCs w:val="32"/>
          <w:highlight w:val="none"/>
          <w:lang w:eastAsia="zh-CN"/>
        </w:rPr>
        <w:br w:type="page"/>
      </w:r>
    </w:p>
    <w:p w14:paraId="15C02EB5">
      <w:pPr>
        <w:pStyle w:val="29"/>
        <w:spacing w:line="360" w:lineRule="auto"/>
        <w:textAlignment w:val="baseline"/>
        <w:outlineLvl w:val="0"/>
        <w:rPr>
          <w:rFonts w:ascii="宋体" w:hAnsi="宋体" w:cs="宋体"/>
          <w:color w:val="auto"/>
          <w:sz w:val="30"/>
          <w:szCs w:val="32"/>
          <w:highlight w:val="none"/>
          <w:lang w:val="zh-CN" w:eastAsia="zh-CN"/>
        </w:rPr>
      </w:pPr>
      <w:r>
        <w:rPr>
          <w:rFonts w:hint="eastAsia" w:ascii="宋体" w:hAnsi="宋体" w:cs="宋体"/>
          <w:color w:val="auto"/>
          <w:sz w:val="32"/>
          <w:szCs w:val="32"/>
          <w:highlight w:val="none"/>
          <w:lang w:eastAsia="zh-CN"/>
        </w:rPr>
        <w:t xml:space="preserve">第五章  </w:t>
      </w:r>
      <w:r>
        <w:rPr>
          <w:rFonts w:hint="eastAsia" w:ascii="宋体" w:hAnsi="宋体" w:cs="宋体"/>
          <w:color w:val="auto"/>
          <w:sz w:val="30"/>
          <w:szCs w:val="32"/>
          <w:highlight w:val="none"/>
          <w:lang w:val="zh-CN" w:eastAsia="zh-CN"/>
        </w:rPr>
        <w:t>评标办法</w:t>
      </w:r>
      <w:bookmarkEnd w:id="74"/>
      <w:bookmarkEnd w:id="75"/>
    </w:p>
    <w:p w14:paraId="5215B69F">
      <w:pPr>
        <w:spacing w:line="360" w:lineRule="auto"/>
        <w:ind w:left="439" w:leftChars="209"/>
        <w:textAlignment w:val="baseline"/>
        <w:rPr>
          <w:rFonts w:ascii="宋体" w:hAnsi="宋体" w:cs="宋体"/>
          <w:color w:val="auto"/>
          <w:sz w:val="20"/>
          <w:highlight w:val="none"/>
        </w:rPr>
      </w:pPr>
      <w:r>
        <w:rPr>
          <w:rFonts w:hint="eastAsia" w:ascii="宋体" w:hAnsi="宋体" w:cs="宋体"/>
          <w:b/>
          <w:color w:val="auto"/>
          <w:szCs w:val="21"/>
          <w:highlight w:val="none"/>
        </w:rPr>
        <w:t>据《中华人民共和国政府采购法》等相关法规特制定以下评标办法。</w:t>
      </w:r>
    </w:p>
    <w:p w14:paraId="5349C4BF">
      <w:pPr>
        <w:spacing w:line="360" w:lineRule="auto"/>
        <w:ind w:firstLine="422" w:firstLineChars="200"/>
        <w:textAlignment w:val="baseline"/>
        <w:rPr>
          <w:rFonts w:ascii="宋体" w:hAnsi="宋体" w:cs="宋体"/>
          <w:b/>
          <w:color w:val="auto"/>
          <w:sz w:val="20"/>
          <w:szCs w:val="21"/>
          <w:highlight w:val="none"/>
        </w:rPr>
      </w:pPr>
      <w:r>
        <w:rPr>
          <w:rFonts w:hint="eastAsia" w:ascii="宋体" w:hAnsi="宋体" w:cs="宋体"/>
          <w:b/>
          <w:color w:val="auto"/>
          <w:szCs w:val="21"/>
          <w:highlight w:val="none"/>
        </w:rPr>
        <w:t>一、评标组织</w:t>
      </w:r>
    </w:p>
    <w:p w14:paraId="3A0783A7">
      <w:pPr>
        <w:snapToGrid w:val="0"/>
        <w:spacing w:line="540" w:lineRule="exact"/>
        <w:ind w:firstLine="420" w:firstLineChars="200"/>
        <w:textAlignment w:val="baseline"/>
        <w:rPr>
          <w:rFonts w:ascii="宋体" w:hAnsi="宋体" w:cs="宋体"/>
          <w:color w:val="auto"/>
          <w:sz w:val="20"/>
          <w:highlight w:val="none"/>
        </w:rPr>
      </w:pPr>
      <w:r>
        <w:rPr>
          <w:rFonts w:hint="eastAsia" w:ascii="宋体" w:hAnsi="宋体" w:cs="宋体"/>
          <w:color w:val="auto"/>
          <w:highlight w:val="none"/>
        </w:rPr>
        <w:t>1.采购人依法组建磋商小组，共3人组成，</w:t>
      </w:r>
      <w:r>
        <w:rPr>
          <w:rFonts w:hint="eastAsia" w:ascii="宋体" w:hAnsi="宋体" w:cs="宋体"/>
          <w:bCs/>
          <w:color w:val="auto"/>
          <w:kern w:val="0"/>
          <w:szCs w:val="21"/>
          <w:highlight w:val="none"/>
        </w:rPr>
        <w:t>由</w:t>
      </w:r>
      <w:r>
        <w:rPr>
          <w:rFonts w:hint="eastAsia" w:ascii="宋体" w:hAnsi="宋体" w:cs="宋体"/>
          <w:bCs/>
          <w:color w:val="auto"/>
          <w:kern w:val="0"/>
          <w:szCs w:val="21"/>
          <w:highlight w:val="none"/>
          <w:lang w:val="en-US" w:eastAsia="zh-CN"/>
        </w:rPr>
        <w:t>2</w:t>
      </w:r>
      <w:r>
        <w:rPr>
          <w:rFonts w:hint="eastAsia" w:ascii="宋体" w:hAnsi="宋体" w:cs="宋体"/>
          <w:bCs/>
          <w:color w:val="auto"/>
          <w:kern w:val="0"/>
          <w:szCs w:val="21"/>
          <w:highlight w:val="none"/>
        </w:rPr>
        <w:t>名有关经济、技术专家</w:t>
      </w:r>
      <w:r>
        <w:rPr>
          <w:rFonts w:hint="eastAsia" w:ascii="宋体" w:hAnsi="宋体" w:cs="宋体"/>
          <w:bCs/>
          <w:color w:val="auto"/>
          <w:kern w:val="0"/>
          <w:szCs w:val="21"/>
          <w:highlight w:val="none"/>
          <w:lang w:val="en-US" w:eastAsia="zh-CN"/>
        </w:rPr>
        <w:t>和采购人代表1人</w:t>
      </w:r>
      <w:r>
        <w:rPr>
          <w:rFonts w:hint="eastAsia" w:ascii="宋体" w:hAnsi="宋体" w:cs="宋体"/>
          <w:bCs/>
          <w:color w:val="auto"/>
          <w:kern w:val="0"/>
          <w:szCs w:val="21"/>
          <w:highlight w:val="none"/>
        </w:rPr>
        <w:t>组成。</w:t>
      </w:r>
    </w:p>
    <w:p w14:paraId="3753161B">
      <w:pPr>
        <w:spacing w:line="360" w:lineRule="auto"/>
        <w:ind w:firstLine="420" w:firstLineChars="200"/>
        <w:textAlignment w:val="baseline"/>
        <w:rPr>
          <w:rFonts w:ascii="宋体" w:hAnsi="宋体" w:cs="宋体"/>
          <w:color w:val="auto"/>
          <w:sz w:val="20"/>
          <w:szCs w:val="21"/>
          <w:highlight w:val="none"/>
        </w:rPr>
      </w:pPr>
      <w:r>
        <w:rPr>
          <w:rFonts w:hint="eastAsia" w:ascii="宋体" w:hAnsi="宋体" w:cs="宋体"/>
          <w:color w:val="auto"/>
          <w:szCs w:val="21"/>
          <w:highlight w:val="none"/>
        </w:rPr>
        <w:t>2.询标（如有）期间，磋商供应商法定代表人或法人委托人必须在场，负责解答有关事宜。如不在场，则事后不得对采购过程及结果提出异议。</w:t>
      </w:r>
    </w:p>
    <w:p w14:paraId="3E0A93BE">
      <w:pPr>
        <w:spacing w:line="360" w:lineRule="auto"/>
        <w:ind w:firstLine="422" w:firstLineChars="200"/>
        <w:textAlignment w:val="baseline"/>
        <w:rPr>
          <w:rFonts w:ascii="宋体" w:hAnsi="宋体" w:cs="宋体"/>
          <w:b/>
          <w:color w:val="auto"/>
          <w:sz w:val="20"/>
          <w:szCs w:val="21"/>
          <w:highlight w:val="none"/>
        </w:rPr>
      </w:pPr>
      <w:r>
        <w:rPr>
          <w:rFonts w:hint="eastAsia" w:ascii="宋体" w:hAnsi="宋体" w:cs="宋体"/>
          <w:b/>
          <w:color w:val="auto"/>
          <w:szCs w:val="21"/>
          <w:highlight w:val="none"/>
        </w:rPr>
        <w:t>二、评标原则</w:t>
      </w:r>
    </w:p>
    <w:p w14:paraId="6976DC15">
      <w:pPr>
        <w:spacing w:line="360" w:lineRule="auto"/>
        <w:ind w:firstLine="420" w:firstLineChars="200"/>
        <w:textAlignment w:val="baseline"/>
        <w:rPr>
          <w:rFonts w:ascii="宋体" w:hAnsi="宋体" w:cs="宋体"/>
          <w:color w:val="auto"/>
          <w:sz w:val="20"/>
          <w:szCs w:val="21"/>
          <w:highlight w:val="none"/>
        </w:rPr>
      </w:pPr>
      <w:r>
        <w:rPr>
          <w:rFonts w:hint="eastAsia" w:ascii="宋体" w:hAnsi="宋体" w:cs="宋体"/>
          <w:color w:val="auto"/>
          <w:szCs w:val="21"/>
          <w:highlight w:val="none"/>
        </w:rPr>
        <w:t>评标工作遵循公平、公正、科学、择优原则和诚实、信誉、效率的服务原则。本着科学、严谨的态度，认真进行评标。择优选用，推进技术进步，确保</w:t>
      </w:r>
      <w:r>
        <w:rPr>
          <w:rFonts w:hint="eastAsia" w:ascii="宋体" w:hAnsi="宋体" w:cs="宋体"/>
          <w:color w:val="auto"/>
          <w:szCs w:val="21"/>
          <w:highlight w:val="none"/>
          <w:lang w:val="en-US" w:eastAsia="zh-CN"/>
        </w:rPr>
        <w:t>服务</w:t>
      </w:r>
      <w:r>
        <w:rPr>
          <w:rFonts w:hint="eastAsia" w:ascii="宋体" w:hAnsi="宋体" w:cs="宋体"/>
          <w:color w:val="auto"/>
          <w:szCs w:val="21"/>
          <w:highlight w:val="none"/>
        </w:rPr>
        <w:t>质量、交货按期，节约投资，最大限度的保护当事人权益。严格按照竞争性磋商文件的商务、技术要求，对响应文件进行综合评定，提出优选方案，编写评标报告。对落标单位，磋商小组不做任何落标解释。磋商供应商不得以任何方式干扰招投标工作的进行，一经发现其响应文件将被拒绝。</w:t>
      </w:r>
    </w:p>
    <w:p w14:paraId="32EC00EB">
      <w:pPr>
        <w:spacing w:line="360" w:lineRule="auto"/>
        <w:ind w:firstLine="422" w:firstLineChars="200"/>
        <w:textAlignment w:val="baseline"/>
        <w:rPr>
          <w:rFonts w:ascii="宋体" w:hAnsi="宋体" w:cs="宋体"/>
          <w:b/>
          <w:color w:val="auto"/>
          <w:sz w:val="20"/>
          <w:szCs w:val="21"/>
          <w:highlight w:val="none"/>
        </w:rPr>
      </w:pPr>
      <w:r>
        <w:rPr>
          <w:rFonts w:hint="eastAsia" w:ascii="宋体" w:hAnsi="宋体" w:cs="宋体"/>
          <w:b/>
          <w:color w:val="auto"/>
          <w:szCs w:val="21"/>
          <w:highlight w:val="none"/>
        </w:rPr>
        <w:t>三、评标办法</w:t>
      </w:r>
    </w:p>
    <w:p w14:paraId="1B5EE9E9">
      <w:pPr>
        <w:spacing w:line="360" w:lineRule="auto"/>
        <w:ind w:firstLine="420" w:firstLineChars="200"/>
        <w:textAlignment w:val="baseline"/>
        <w:rPr>
          <w:rFonts w:ascii="宋体" w:hAnsi="宋体" w:cs="宋体"/>
          <w:color w:val="auto"/>
          <w:sz w:val="20"/>
          <w:szCs w:val="21"/>
          <w:highlight w:val="none"/>
        </w:rPr>
      </w:pPr>
      <w:r>
        <w:rPr>
          <w:rFonts w:hint="eastAsia" w:ascii="宋体" w:hAnsi="宋体" w:cs="宋体"/>
          <w:color w:val="auto"/>
          <w:szCs w:val="21"/>
          <w:highlight w:val="none"/>
        </w:rPr>
        <w:t>1.投标报价是指报价合计。</w:t>
      </w:r>
    </w:p>
    <w:p w14:paraId="55B836D1">
      <w:pPr>
        <w:spacing w:line="360" w:lineRule="auto"/>
        <w:ind w:firstLine="420" w:firstLineChars="200"/>
        <w:textAlignment w:val="baseline"/>
        <w:rPr>
          <w:rFonts w:ascii="宋体" w:hAnsi="宋体" w:cs="宋体"/>
          <w:color w:val="auto"/>
          <w:sz w:val="20"/>
          <w:szCs w:val="21"/>
          <w:highlight w:val="none"/>
        </w:rPr>
      </w:pPr>
      <w:r>
        <w:rPr>
          <w:rFonts w:hint="eastAsia" w:ascii="宋体" w:hAnsi="宋体" w:cs="宋体"/>
          <w:color w:val="auto"/>
          <w:szCs w:val="21"/>
          <w:highlight w:val="none"/>
        </w:rPr>
        <w:t>2.本项目采用综合评分法，即以</w:t>
      </w:r>
      <w:r>
        <w:rPr>
          <w:rFonts w:hint="eastAsia" w:ascii="宋体" w:hAnsi="宋体" w:cs="宋体"/>
          <w:color w:val="auto"/>
          <w:szCs w:val="21"/>
          <w:highlight w:val="none"/>
          <w:lang w:eastAsia="zh-CN"/>
        </w:rPr>
        <w:t>供应商</w:t>
      </w:r>
      <w:r>
        <w:rPr>
          <w:rFonts w:hint="eastAsia" w:ascii="宋体" w:hAnsi="宋体" w:cs="宋体"/>
          <w:color w:val="auto"/>
          <w:szCs w:val="21"/>
          <w:highlight w:val="none"/>
        </w:rPr>
        <w:t>完全响应招标文件设定的全部责任条款为前提。由磋商小组按招标文件中规定的各项因素进行综合评审，确定综合得分最高的</w:t>
      </w:r>
      <w:r>
        <w:rPr>
          <w:rFonts w:hint="eastAsia" w:ascii="宋体" w:hAnsi="宋体" w:cs="宋体"/>
          <w:color w:val="auto"/>
          <w:szCs w:val="21"/>
          <w:highlight w:val="none"/>
          <w:lang w:eastAsia="zh-CN"/>
        </w:rPr>
        <w:t>供应商</w:t>
      </w:r>
      <w:r>
        <w:rPr>
          <w:rFonts w:hint="eastAsia" w:ascii="宋体" w:hAnsi="宋体" w:cs="宋体"/>
          <w:color w:val="auto"/>
          <w:szCs w:val="21"/>
          <w:highlight w:val="none"/>
        </w:rPr>
        <w:t>为中标人。如最高综合得分相同，投标报价低者为中标人；如综合得分和投标报价均相同，则采购单位现场抽签确定中标人。计算结果按四舍五入取小数点后一位。</w:t>
      </w:r>
    </w:p>
    <w:p w14:paraId="022B67D3">
      <w:pPr>
        <w:spacing w:line="360" w:lineRule="auto"/>
        <w:ind w:firstLine="422" w:firstLineChars="200"/>
        <w:textAlignment w:val="baseline"/>
        <w:rPr>
          <w:rFonts w:hint="eastAsia" w:ascii="宋体" w:hAnsi="宋体" w:eastAsia="宋体" w:cs="宋体"/>
          <w:b/>
          <w:bCs/>
          <w:color w:val="auto"/>
          <w:sz w:val="20"/>
          <w:highlight w:val="none"/>
          <w:lang w:eastAsia="zh-CN"/>
        </w:rPr>
      </w:pPr>
      <w:r>
        <w:rPr>
          <w:rFonts w:hint="eastAsia" w:ascii="宋体" w:hAnsi="宋体" w:cs="宋体"/>
          <w:b/>
          <w:bCs/>
          <w:color w:val="auto"/>
          <w:highlight w:val="none"/>
        </w:rPr>
        <w:t>3.评标标准</w:t>
      </w:r>
    </w:p>
    <w:p w14:paraId="59239FAA">
      <w:pPr>
        <w:spacing w:line="500" w:lineRule="exact"/>
        <w:ind w:firstLine="420" w:firstLineChars="200"/>
        <w:textAlignment w:val="baseline"/>
        <w:rPr>
          <w:rFonts w:ascii="宋体" w:hAnsi="宋体" w:cs="宋体"/>
          <w:color w:val="auto"/>
          <w:sz w:val="20"/>
          <w:highlight w:val="none"/>
        </w:rPr>
      </w:pPr>
      <w:r>
        <w:rPr>
          <w:rFonts w:hint="eastAsia" w:ascii="宋体" w:hAnsi="宋体" w:cs="宋体"/>
          <w:color w:val="auto"/>
          <w:highlight w:val="none"/>
        </w:rPr>
        <w:t>各</w:t>
      </w:r>
      <w:r>
        <w:rPr>
          <w:rFonts w:hint="eastAsia" w:ascii="宋体" w:hAnsi="宋体" w:cs="宋体"/>
          <w:color w:val="auto"/>
          <w:highlight w:val="none"/>
          <w:lang w:eastAsia="zh-CN"/>
        </w:rPr>
        <w:t>供应商</w:t>
      </w:r>
      <w:r>
        <w:rPr>
          <w:rFonts w:hint="eastAsia" w:ascii="宋体" w:hAnsi="宋体" w:cs="宋体"/>
          <w:color w:val="auto"/>
          <w:highlight w:val="none"/>
        </w:rPr>
        <w:t>的综合得分为报价得分和技术资信得分之和，总分为100分，其中：报价分</w:t>
      </w:r>
      <w:r>
        <w:rPr>
          <w:rFonts w:hint="eastAsia" w:ascii="宋体" w:hAnsi="宋体" w:cs="宋体"/>
          <w:color w:val="auto"/>
          <w:highlight w:val="none"/>
          <w:lang w:val="en-US" w:eastAsia="zh-CN"/>
        </w:rPr>
        <w:t>20</w:t>
      </w:r>
      <w:r>
        <w:rPr>
          <w:rFonts w:hint="eastAsia" w:ascii="宋体" w:hAnsi="宋体" w:cs="宋体"/>
          <w:color w:val="auto"/>
          <w:highlight w:val="none"/>
        </w:rPr>
        <w:t>分，技术资信分</w:t>
      </w:r>
      <w:r>
        <w:rPr>
          <w:rFonts w:hint="eastAsia" w:ascii="宋体" w:hAnsi="宋体" w:cs="宋体"/>
          <w:color w:val="auto"/>
          <w:highlight w:val="none"/>
          <w:lang w:val="en-US" w:eastAsia="zh-CN"/>
        </w:rPr>
        <w:t>80</w:t>
      </w:r>
      <w:r>
        <w:rPr>
          <w:rFonts w:hint="eastAsia" w:ascii="宋体" w:hAnsi="宋体" w:cs="宋体"/>
          <w:color w:val="auto"/>
          <w:highlight w:val="none"/>
        </w:rPr>
        <w:t>分。各</w:t>
      </w:r>
      <w:r>
        <w:rPr>
          <w:rFonts w:hint="eastAsia" w:ascii="宋体" w:hAnsi="宋体" w:cs="宋体"/>
          <w:color w:val="auto"/>
          <w:highlight w:val="none"/>
          <w:lang w:eastAsia="zh-CN"/>
        </w:rPr>
        <w:t>供应商</w:t>
      </w:r>
      <w:r>
        <w:rPr>
          <w:rFonts w:hint="eastAsia" w:ascii="宋体" w:hAnsi="宋体" w:cs="宋体"/>
          <w:color w:val="auto"/>
          <w:highlight w:val="none"/>
        </w:rPr>
        <w:t>的资信评分由磋商小组统一打分，技术评分按照磋商小组成员的独立评分结果汇总后的算术平均分计算；各</w:t>
      </w:r>
      <w:r>
        <w:rPr>
          <w:rFonts w:hint="eastAsia" w:ascii="宋体" w:hAnsi="宋体" w:cs="宋体"/>
          <w:color w:val="auto"/>
          <w:highlight w:val="none"/>
          <w:lang w:eastAsia="zh-CN"/>
        </w:rPr>
        <w:t>供应商</w:t>
      </w:r>
      <w:r>
        <w:rPr>
          <w:rFonts w:hint="eastAsia" w:ascii="宋体" w:hAnsi="宋体" w:cs="宋体"/>
          <w:color w:val="auto"/>
          <w:highlight w:val="none"/>
        </w:rPr>
        <w:t>的报价分得分按低价优先法计算。</w:t>
      </w:r>
    </w:p>
    <w:p w14:paraId="301D50C0">
      <w:pPr>
        <w:spacing w:line="500" w:lineRule="exact"/>
        <w:ind w:firstLine="420" w:firstLineChars="200"/>
        <w:textAlignment w:val="baseline"/>
        <w:rPr>
          <w:rFonts w:ascii="宋体" w:hAnsi="宋体" w:cs="宋体"/>
          <w:color w:val="auto"/>
          <w:sz w:val="20"/>
          <w:highlight w:val="none"/>
        </w:rPr>
      </w:pPr>
      <w:r>
        <w:rPr>
          <w:rFonts w:hint="eastAsia" w:ascii="宋体" w:hAnsi="宋体" w:cs="宋体"/>
          <w:color w:val="auto"/>
          <w:highlight w:val="none"/>
        </w:rPr>
        <w:t>3.1报价分（</w:t>
      </w:r>
      <w:r>
        <w:rPr>
          <w:rFonts w:hint="eastAsia" w:ascii="宋体" w:hAnsi="宋体" w:cs="宋体"/>
          <w:color w:val="auto"/>
          <w:highlight w:val="none"/>
          <w:lang w:val="en-US" w:eastAsia="zh-CN"/>
        </w:rPr>
        <w:t>20</w:t>
      </w:r>
      <w:r>
        <w:rPr>
          <w:rFonts w:hint="eastAsia" w:ascii="宋体" w:hAnsi="宋体" w:cs="宋体"/>
          <w:color w:val="auto"/>
          <w:highlight w:val="none"/>
        </w:rPr>
        <w:t>分）：</w:t>
      </w:r>
    </w:p>
    <w:p w14:paraId="03FB811E">
      <w:pPr>
        <w:spacing w:line="500" w:lineRule="exact"/>
        <w:ind w:firstLine="420" w:firstLineChars="200"/>
        <w:textAlignment w:val="baseline"/>
        <w:rPr>
          <w:rFonts w:ascii="宋体" w:hAnsi="宋体" w:cs="宋体"/>
          <w:color w:val="auto"/>
          <w:sz w:val="20"/>
          <w:highlight w:val="none"/>
        </w:rPr>
      </w:pPr>
      <w:r>
        <w:rPr>
          <w:rFonts w:hint="eastAsia" w:ascii="宋体" w:hAnsi="宋体" w:cs="宋体"/>
          <w:color w:val="auto"/>
          <w:highlight w:val="none"/>
        </w:rPr>
        <w:t>3.1.1报价分采用低价优先法计算，即满足磋商文件要求且最后报价最低的供应商的价格为磋商基准价。</w:t>
      </w:r>
    </w:p>
    <w:p w14:paraId="6F85E7B1">
      <w:pPr>
        <w:spacing w:line="500" w:lineRule="exact"/>
        <w:ind w:firstLine="420" w:firstLineChars="200"/>
        <w:textAlignment w:val="baseline"/>
        <w:rPr>
          <w:rFonts w:ascii="宋体" w:hAnsi="宋体" w:cs="宋体"/>
          <w:color w:val="auto"/>
          <w:sz w:val="20"/>
          <w:highlight w:val="none"/>
        </w:rPr>
      </w:pPr>
      <w:r>
        <w:rPr>
          <w:rFonts w:hint="eastAsia" w:ascii="宋体" w:hAnsi="宋体" w:cs="宋体"/>
          <w:color w:val="auto"/>
          <w:highlight w:val="none"/>
        </w:rPr>
        <w:t>3.1.2其他供应商的报价分按照下列公式计算：</w:t>
      </w:r>
    </w:p>
    <w:p w14:paraId="059578E0">
      <w:pPr>
        <w:spacing w:line="500" w:lineRule="exact"/>
        <w:ind w:firstLine="420" w:firstLineChars="200"/>
        <w:textAlignment w:val="baseline"/>
        <w:rPr>
          <w:rFonts w:ascii="宋体" w:hAnsi="宋体" w:cs="宋体"/>
          <w:color w:val="auto"/>
          <w:sz w:val="20"/>
          <w:highlight w:val="none"/>
          <w:lang w:val="zh-CN"/>
        </w:rPr>
      </w:pPr>
      <w:r>
        <w:rPr>
          <w:rFonts w:hint="eastAsia" w:ascii="宋体" w:hAnsi="宋体" w:cs="宋体"/>
          <w:color w:val="auto"/>
          <w:highlight w:val="none"/>
        </w:rPr>
        <w:t>磋商报价得分=(磋商基准价／最后磋商报价)×</w:t>
      </w:r>
      <w:r>
        <w:rPr>
          <w:rFonts w:hint="eastAsia" w:ascii="宋体" w:hAnsi="宋体" w:cs="宋体"/>
          <w:color w:val="auto"/>
          <w:highlight w:val="none"/>
          <w:lang w:val="en-US" w:eastAsia="zh-CN"/>
        </w:rPr>
        <w:t>20</w:t>
      </w:r>
      <w:r>
        <w:rPr>
          <w:rFonts w:hint="eastAsia" w:ascii="宋体" w:hAnsi="宋体" w:cs="宋体"/>
          <w:color w:val="auto"/>
          <w:highlight w:val="none"/>
        </w:rPr>
        <w:t>%×100，结果四舍五入后保留两位小数</w:t>
      </w:r>
      <w:r>
        <w:rPr>
          <w:rFonts w:hint="eastAsia" w:ascii="宋体" w:hAnsi="宋体" w:cs="宋体"/>
          <w:color w:val="auto"/>
          <w:highlight w:val="none"/>
          <w:lang w:val="zh-CN"/>
        </w:rPr>
        <w:t>。</w:t>
      </w:r>
    </w:p>
    <w:p w14:paraId="354184ED">
      <w:pPr>
        <w:spacing w:line="420" w:lineRule="exact"/>
        <w:ind w:firstLine="422" w:firstLineChars="200"/>
        <w:jc w:val="left"/>
        <w:textAlignment w:val="baseline"/>
        <w:rPr>
          <w:rFonts w:hint="eastAsia" w:ascii="宋体" w:hAnsi="宋体" w:cs="宋体"/>
          <w:b/>
          <w:bCs/>
          <w:color w:val="auto"/>
          <w:szCs w:val="21"/>
          <w:highlight w:val="none"/>
        </w:rPr>
      </w:pPr>
      <w:r>
        <w:rPr>
          <w:rFonts w:hint="eastAsia" w:ascii="宋体" w:hAnsi="宋体" w:cs="宋体"/>
          <w:b/>
          <w:bCs/>
          <w:color w:val="auto"/>
          <w:szCs w:val="21"/>
          <w:highlight w:val="none"/>
        </w:rPr>
        <w:t>3.2商务资信技术分(</w:t>
      </w:r>
      <w:r>
        <w:rPr>
          <w:rFonts w:hint="eastAsia" w:ascii="宋体" w:hAnsi="宋体" w:cs="宋体"/>
          <w:b/>
          <w:bCs/>
          <w:color w:val="auto"/>
          <w:szCs w:val="21"/>
          <w:highlight w:val="none"/>
          <w:lang w:val="en-US" w:eastAsia="zh-CN"/>
        </w:rPr>
        <w:t>80</w:t>
      </w:r>
      <w:r>
        <w:rPr>
          <w:rFonts w:hint="eastAsia" w:ascii="宋体" w:hAnsi="宋体" w:cs="宋体"/>
          <w:b/>
          <w:bCs/>
          <w:color w:val="auto"/>
          <w:szCs w:val="21"/>
          <w:highlight w:val="none"/>
        </w:rPr>
        <w:t>分）</w:t>
      </w:r>
    </w:p>
    <w:tbl>
      <w:tblPr>
        <w:tblStyle w:val="32"/>
        <w:tblW w:w="94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9"/>
        <w:gridCol w:w="1310"/>
        <w:gridCol w:w="7048"/>
      </w:tblGrid>
      <w:tr w14:paraId="7F2390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jc w:val="center"/>
        </w:trPr>
        <w:tc>
          <w:tcPr>
            <w:tcW w:w="1139" w:type="dxa"/>
            <w:noWrap/>
          </w:tcPr>
          <w:p w14:paraId="4FA1ECC7">
            <w:pPr>
              <w:pStyle w:val="117"/>
              <w:shd w:val="clear"/>
              <w:spacing w:line="360" w:lineRule="auto"/>
              <w:ind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序号</w:t>
            </w:r>
          </w:p>
        </w:tc>
        <w:tc>
          <w:tcPr>
            <w:tcW w:w="1310" w:type="dxa"/>
            <w:noWrap/>
            <w:vAlign w:val="center"/>
          </w:tcPr>
          <w:p w14:paraId="130F6605">
            <w:pPr>
              <w:pStyle w:val="117"/>
              <w:shd w:val="clear"/>
              <w:spacing w:line="360" w:lineRule="auto"/>
              <w:ind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评审内容</w:t>
            </w:r>
          </w:p>
        </w:tc>
        <w:tc>
          <w:tcPr>
            <w:tcW w:w="7048" w:type="dxa"/>
            <w:noWrap/>
            <w:vAlign w:val="center"/>
          </w:tcPr>
          <w:p w14:paraId="33D54747">
            <w:pPr>
              <w:pStyle w:val="117"/>
              <w:shd w:val="clear"/>
              <w:spacing w:line="360" w:lineRule="auto"/>
              <w:ind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评分标准</w:t>
            </w:r>
          </w:p>
        </w:tc>
      </w:tr>
      <w:tr w14:paraId="68F2B2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1139" w:type="dxa"/>
            <w:vMerge w:val="restart"/>
            <w:noWrap/>
            <w:vAlign w:val="center"/>
          </w:tcPr>
          <w:p w14:paraId="7D5AC1AB">
            <w:pPr>
              <w:pStyle w:val="117"/>
              <w:shd w:val="clear"/>
              <w:spacing w:line="360" w:lineRule="auto"/>
              <w:ind w:firstLine="0" w:firstLineChars="0"/>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商务</w:t>
            </w:r>
            <w:r>
              <w:rPr>
                <w:rFonts w:hint="eastAsia" w:ascii="宋体" w:hAnsi="宋体" w:eastAsia="宋体" w:cs="宋体"/>
                <w:color w:val="auto"/>
                <w:sz w:val="21"/>
                <w:szCs w:val="21"/>
                <w:highlight w:val="none"/>
              </w:rPr>
              <w:t>资信</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10分</w:t>
            </w:r>
            <w:r>
              <w:rPr>
                <w:rFonts w:hint="eastAsia" w:ascii="宋体" w:hAnsi="宋体" w:eastAsia="宋体" w:cs="宋体"/>
                <w:color w:val="auto"/>
                <w:sz w:val="21"/>
                <w:szCs w:val="21"/>
                <w:highlight w:val="none"/>
                <w:lang w:eastAsia="zh-CN"/>
              </w:rPr>
              <w:t>）</w:t>
            </w:r>
          </w:p>
        </w:tc>
        <w:tc>
          <w:tcPr>
            <w:tcW w:w="1310" w:type="dxa"/>
            <w:shd w:val="clear" w:color="auto" w:fill="auto"/>
            <w:vAlign w:val="center"/>
          </w:tcPr>
          <w:p w14:paraId="0C865D09">
            <w:pPr>
              <w:widowControl/>
              <w:shd w:val="clear"/>
              <w:spacing w:line="360" w:lineRule="auto"/>
              <w:jc w:val="left"/>
              <w:rPr>
                <w:rFonts w:hint="eastAsia" w:ascii="宋体" w:hAnsi="宋体" w:eastAsia="宋体" w:cs="宋体"/>
                <w:kern w:val="2"/>
                <w:sz w:val="21"/>
                <w:szCs w:val="21"/>
                <w:lang w:val="en-US" w:eastAsia="zh-CN" w:bidi="ar-SA"/>
              </w:rPr>
            </w:pPr>
            <w:r>
              <w:rPr>
                <w:rFonts w:hint="eastAsia" w:ascii="宋体" w:hAnsi="宋体" w:eastAsia="宋体" w:cs="宋体"/>
                <w:color w:val="auto"/>
                <w:kern w:val="0"/>
                <w:sz w:val="21"/>
                <w:szCs w:val="21"/>
                <w:highlight w:val="none"/>
              </w:rPr>
              <w:t>业绩</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1分</w:t>
            </w:r>
            <w:r>
              <w:rPr>
                <w:rFonts w:hint="eastAsia" w:ascii="宋体" w:hAnsi="宋体" w:eastAsia="宋体" w:cs="宋体"/>
                <w:color w:val="auto"/>
                <w:kern w:val="0"/>
                <w:sz w:val="21"/>
                <w:szCs w:val="21"/>
                <w:highlight w:val="none"/>
                <w:lang w:eastAsia="zh-CN"/>
              </w:rPr>
              <w:t>）</w:t>
            </w:r>
          </w:p>
        </w:tc>
        <w:tc>
          <w:tcPr>
            <w:tcW w:w="7048" w:type="dxa"/>
            <w:shd w:val="clear" w:color="auto" w:fill="auto"/>
            <w:vAlign w:val="center"/>
          </w:tcPr>
          <w:p w14:paraId="6A61B81A">
            <w:pPr>
              <w:widowControl/>
              <w:shd w:val="clear"/>
              <w:spacing w:line="360" w:lineRule="auto"/>
              <w:jc w:val="left"/>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0"/>
                <w:sz w:val="21"/>
                <w:szCs w:val="21"/>
                <w:highlight w:val="none"/>
                <w:lang w:eastAsia="zh-CN"/>
              </w:rPr>
              <w:t>供应商</w:t>
            </w:r>
            <w:r>
              <w:rPr>
                <w:rFonts w:hint="eastAsia" w:ascii="宋体" w:hAnsi="宋体" w:eastAsia="宋体" w:cs="宋体"/>
                <w:color w:val="auto"/>
                <w:kern w:val="0"/>
                <w:sz w:val="21"/>
                <w:szCs w:val="21"/>
                <w:highlight w:val="none"/>
              </w:rPr>
              <w:t>自 202</w:t>
            </w:r>
            <w:r>
              <w:rPr>
                <w:rFonts w:hint="eastAsia" w:ascii="宋体" w:hAnsi="宋体" w:cs="宋体"/>
                <w:color w:val="auto"/>
                <w:kern w:val="0"/>
                <w:sz w:val="21"/>
                <w:szCs w:val="21"/>
                <w:highlight w:val="none"/>
                <w:lang w:val="en-US" w:eastAsia="zh-CN"/>
              </w:rPr>
              <w:t>0</w:t>
            </w:r>
            <w:r>
              <w:rPr>
                <w:rFonts w:hint="eastAsia" w:ascii="宋体" w:hAnsi="宋体" w:eastAsia="宋体" w:cs="宋体"/>
                <w:color w:val="auto"/>
                <w:kern w:val="0"/>
                <w:sz w:val="21"/>
                <w:szCs w:val="21"/>
                <w:highlight w:val="none"/>
              </w:rPr>
              <w:t xml:space="preserve"> 年 1 月 1 日以来（以合同签订时间为准）具有类似项目</w:t>
            </w:r>
            <w:r>
              <w:rPr>
                <w:rFonts w:hint="eastAsia" w:ascii="宋体" w:hAnsi="宋体" w:cs="宋体"/>
                <w:color w:val="auto"/>
                <w:kern w:val="0"/>
                <w:sz w:val="21"/>
                <w:szCs w:val="21"/>
                <w:highlight w:val="none"/>
                <w:lang w:eastAsia="zh-CN"/>
              </w:rPr>
              <w:t>业绩</w:t>
            </w:r>
            <w:r>
              <w:rPr>
                <w:rFonts w:hint="eastAsia" w:ascii="宋体" w:hAnsi="宋体" w:eastAsia="宋体" w:cs="宋体"/>
                <w:color w:val="auto"/>
                <w:kern w:val="0"/>
                <w:sz w:val="21"/>
                <w:szCs w:val="21"/>
                <w:highlight w:val="none"/>
              </w:rPr>
              <w:t xml:space="preserve">，每提供一个合同得 </w:t>
            </w:r>
            <w:r>
              <w:rPr>
                <w:rFonts w:hint="eastAsia" w:ascii="宋体" w:hAnsi="宋体" w:eastAsia="宋体" w:cs="宋体"/>
                <w:color w:val="auto"/>
                <w:kern w:val="0"/>
                <w:sz w:val="21"/>
                <w:szCs w:val="21"/>
                <w:highlight w:val="none"/>
                <w:lang w:val="en-US" w:eastAsia="zh-CN"/>
              </w:rPr>
              <w:t>0.5</w:t>
            </w:r>
            <w:r>
              <w:rPr>
                <w:rFonts w:hint="eastAsia" w:ascii="宋体" w:hAnsi="宋体" w:eastAsia="宋体" w:cs="宋体"/>
                <w:color w:val="auto"/>
                <w:kern w:val="0"/>
                <w:sz w:val="21"/>
                <w:szCs w:val="21"/>
                <w:highlight w:val="none"/>
              </w:rPr>
              <w:t>分，最</w:t>
            </w:r>
            <w:r>
              <w:rPr>
                <w:rFonts w:hint="eastAsia" w:ascii="宋体" w:hAnsi="宋体" w:eastAsia="宋体" w:cs="宋体"/>
                <w:color w:val="auto"/>
                <w:kern w:val="0"/>
                <w:sz w:val="21"/>
                <w:szCs w:val="21"/>
                <w:highlight w:val="none"/>
                <w:lang w:eastAsia="zh-CN"/>
              </w:rPr>
              <w:t>高</w:t>
            </w:r>
            <w:r>
              <w:rPr>
                <w:rFonts w:hint="eastAsia" w:ascii="宋体" w:hAnsi="宋体" w:eastAsia="宋体" w:cs="宋体"/>
                <w:color w:val="auto"/>
                <w:kern w:val="0"/>
                <w:sz w:val="21"/>
                <w:szCs w:val="21"/>
                <w:highlight w:val="none"/>
              </w:rPr>
              <w:t xml:space="preserve">得 </w:t>
            </w:r>
            <w:r>
              <w:rPr>
                <w:rFonts w:hint="eastAsia" w:ascii="宋体" w:hAnsi="宋体" w:eastAsia="宋体" w:cs="宋体"/>
                <w:color w:val="auto"/>
                <w:kern w:val="0"/>
                <w:sz w:val="21"/>
                <w:szCs w:val="21"/>
                <w:highlight w:val="none"/>
                <w:lang w:val="en-US" w:eastAsia="zh-CN"/>
              </w:rPr>
              <w:t>1</w:t>
            </w:r>
            <w:r>
              <w:rPr>
                <w:rFonts w:hint="eastAsia" w:ascii="宋体" w:hAnsi="宋体" w:eastAsia="宋体" w:cs="宋体"/>
                <w:color w:val="auto"/>
                <w:kern w:val="0"/>
                <w:sz w:val="21"/>
                <w:szCs w:val="21"/>
                <w:highlight w:val="none"/>
              </w:rPr>
              <w:t xml:space="preserve"> 分。</w:t>
            </w:r>
            <w:r>
              <w:rPr>
                <w:rFonts w:hint="eastAsia" w:ascii="宋体" w:hAnsi="宋体" w:eastAsia="宋体" w:cs="宋体"/>
                <w:color w:val="auto"/>
                <w:kern w:val="0"/>
                <w:sz w:val="21"/>
                <w:szCs w:val="21"/>
                <w:highlight w:val="none"/>
                <w:lang w:eastAsia="zh-CN"/>
              </w:rPr>
              <w:t>注：</w:t>
            </w:r>
            <w:r>
              <w:rPr>
                <w:rFonts w:hint="eastAsia" w:ascii="宋体" w:hAnsi="宋体" w:eastAsia="宋体" w:cs="宋体"/>
                <w:color w:val="auto"/>
                <w:kern w:val="0"/>
                <w:sz w:val="21"/>
                <w:szCs w:val="21"/>
                <w:highlight w:val="none"/>
              </w:rPr>
              <w:t>提供合同</w:t>
            </w:r>
            <w:r>
              <w:rPr>
                <w:rFonts w:hint="eastAsia" w:ascii="宋体" w:hAnsi="宋体" w:eastAsia="宋体" w:cs="宋体"/>
                <w:color w:val="auto"/>
                <w:kern w:val="0"/>
                <w:sz w:val="21"/>
                <w:szCs w:val="21"/>
                <w:highlight w:val="none"/>
                <w:lang w:eastAsia="zh-CN"/>
              </w:rPr>
              <w:t>扫描件</w:t>
            </w:r>
            <w:r>
              <w:rPr>
                <w:rFonts w:hint="eastAsia" w:ascii="宋体" w:hAnsi="宋体" w:eastAsia="宋体" w:cs="宋体"/>
                <w:color w:val="auto"/>
                <w:kern w:val="0"/>
                <w:sz w:val="21"/>
                <w:szCs w:val="21"/>
                <w:highlight w:val="none"/>
              </w:rPr>
              <w:t>并加盖</w:t>
            </w:r>
            <w:r>
              <w:rPr>
                <w:rFonts w:hint="eastAsia" w:ascii="宋体" w:hAnsi="宋体" w:eastAsia="宋体" w:cs="宋体"/>
                <w:color w:val="auto"/>
                <w:kern w:val="0"/>
                <w:sz w:val="21"/>
                <w:szCs w:val="21"/>
                <w:highlight w:val="none"/>
                <w:lang w:eastAsia="zh-CN"/>
              </w:rPr>
              <w:t>供应商</w:t>
            </w:r>
            <w:r>
              <w:rPr>
                <w:rFonts w:hint="eastAsia" w:ascii="宋体" w:hAnsi="宋体" w:eastAsia="宋体" w:cs="宋体"/>
                <w:color w:val="auto"/>
                <w:kern w:val="0"/>
                <w:sz w:val="21"/>
                <w:szCs w:val="21"/>
                <w:highlight w:val="none"/>
              </w:rPr>
              <w:t>公章</w:t>
            </w:r>
            <w:r>
              <w:rPr>
                <w:rFonts w:hint="eastAsia" w:ascii="宋体" w:hAnsi="宋体" w:eastAsia="宋体" w:cs="宋体"/>
                <w:color w:val="auto"/>
                <w:kern w:val="0"/>
                <w:sz w:val="21"/>
                <w:szCs w:val="21"/>
                <w:highlight w:val="none"/>
                <w:lang w:eastAsia="zh-CN"/>
              </w:rPr>
              <w:t>。</w:t>
            </w:r>
          </w:p>
        </w:tc>
      </w:tr>
      <w:tr w14:paraId="2B213E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1139" w:type="dxa"/>
            <w:vMerge w:val="continue"/>
            <w:noWrap/>
            <w:vAlign w:val="center"/>
          </w:tcPr>
          <w:p w14:paraId="02730C61">
            <w:pPr>
              <w:pStyle w:val="117"/>
              <w:shd w:val="clear"/>
              <w:spacing w:line="360" w:lineRule="auto"/>
              <w:ind w:firstLine="0" w:firstLineChars="0"/>
              <w:jc w:val="center"/>
              <w:rPr>
                <w:rFonts w:hint="eastAsia" w:ascii="宋体" w:hAnsi="宋体" w:eastAsia="宋体" w:cs="宋体"/>
                <w:color w:val="auto"/>
                <w:sz w:val="21"/>
                <w:szCs w:val="21"/>
                <w:highlight w:val="none"/>
                <w:lang w:eastAsia="zh-CN"/>
              </w:rPr>
            </w:pPr>
          </w:p>
        </w:tc>
        <w:tc>
          <w:tcPr>
            <w:tcW w:w="1310" w:type="dxa"/>
            <w:shd w:val="clear" w:color="auto" w:fill="auto"/>
            <w:vAlign w:val="center"/>
          </w:tcPr>
          <w:p w14:paraId="326E0668">
            <w:pPr>
              <w:widowControl/>
              <w:shd w:val="clear"/>
              <w:spacing w:line="360" w:lineRule="auto"/>
              <w:jc w:val="left"/>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lang w:eastAsia="zh-CN"/>
              </w:rPr>
              <w:t>综合实力（</w:t>
            </w:r>
            <w:r>
              <w:rPr>
                <w:rFonts w:hint="eastAsia" w:ascii="宋体" w:hAnsi="宋体" w:cs="宋体"/>
                <w:color w:val="auto"/>
                <w:kern w:val="0"/>
                <w:sz w:val="21"/>
                <w:szCs w:val="21"/>
                <w:highlight w:val="none"/>
                <w:lang w:val="en-US" w:eastAsia="zh-CN"/>
              </w:rPr>
              <w:t>2</w:t>
            </w:r>
            <w:r>
              <w:rPr>
                <w:rFonts w:hint="eastAsia" w:ascii="宋体" w:hAnsi="宋体" w:eastAsia="宋体" w:cs="宋体"/>
                <w:color w:val="auto"/>
                <w:kern w:val="0"/>
                <w:sz w:val="21"/>
                <w:szCs w:val="21"/>
                <w:highlight w:val="none"/>
                <w:lang w:val="en-US" w:eastAsia="zh-CN"/>
              </w:rPr>
              <w:t>分</w:t>
            </w:r>
            <w:r>
              <w:rPr>
                <w:rFonts w:hint="eastAsia" w:ascii="宋体" w:hAnsi="宋体" w:eastAsia="宋体" w:cs="宋体"/>
                <w:color w:val="auto"/>
                <w:kern w:val="0"/>
                <w:sz w:val="21"/>
                <w:szCs w:val="21"/>
                <w:highlight w:val="none"/>
                <w:lang w:eastAsia="zh-CN"/>
              </w:rPr>
              <w:t>）</w:t>
            </w:r>
          </w:p>
          <w:p w14:paraId="49DB7E43">
            <w:pPr>
              <w:widowControl/>
              <w:shd w:val="clear"/>
              <w:spacing w:line="360" w:lineRule="auto"/>
              <w:jc w:val="left"/>
              <w:rPr>
                <w:rFonts w:hint="eastAsia" w:ascii="宋体" w:hAnsi="宋体" w:eastAsia="宋体" w:cs="宋体"/>
                <w:color w:val="auto"/>
                <w:kern w:val="0"/>
                <w:sz w:val="21"/>
                <w:szCs w:val="21"/>
                <w:highlight w:val="none"/>
                <w:lang w:val="en-US" w:eastAsia="zh-CN"/>
              </w:rPr>
            </w:pPr>
          </w:p>
        </w:tc>
        <w:tc>
          <w:tcPr>
            <w:tcW w:w="7048" w:type="dxa"/>
            <w:shd w:val="clear" w:color="auto" w:fill="auto"/>
            <w:vAlign w:val="center"/>
          </w:tcPr>
          <w:p w14:paraId="095EB352">
            <w:pPr>
              <w:widowControl/>
              <w:shd w:val="clear"/>
              <w:spacing w:line="360" w:lineRule="auto"/>
              <w:jc w:val="left"/>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eastAsia="zh-CN"/>
              </w:rPr>
              <w:t>具有2020年至今由司法部司法鉴定科学技术研究所颁发的道理交通事故</w:t>
            </w:r>
            <w:r>
              <w:rPr>
                <w:rFonts w:hint="eastAsia" w:ascii="宋体" w:hAnsi="宋体" w:eastAsia="宋体" w:cs="宋体"/>
                <w:color w:val="auto"/>
                <w:kern w:val="0"/>
                <w:sz w:val="21"/>
                <w:szCs w:val="21"/>
                <w:highlight w:val="none"/>
                <w:lang w:val="en-US" w:eastAsia="zh-CN"/>
              </w:rPr>
              <w:t>相关的</w:t>
            </w:r>
            <w:r>
              <w:rPr>
                <w:rFonts w:hint="eastAsia" w:ascii="宋体" w:hAnsi="宋体" w:eastAsia="宋体" w:cs="宋体"/>
                <w:color w:val="auto"/>
                <w:kern w:val="0"/>
                <w:sz w:val="21"/>
                <w:szCs w:val="21"/>
                <w:highlight w:val="none"/>
                <w:lang w:eastAsia="zh-CN"/>
              </w:rPr>
              <w:t>《能力验证结果通知》每提供一项能力验证结果通知得</w:t>
            </w:r>
            <w:r>
              <w:rPr>
                <w:rFonts w:hint="eastAsia" w:ascii="宋体" w:hAnsi="宋体" w:eastAsia="宋体" w:cs="宋体"/>
                <w:color w:val="auto"/>
                <w:kern w:val="0"/>
                <w:sz w:val="21"/>
                <w:szCs w:val="21"/>
                <w:highlight w:val="none"/>
                <w:lang w:val="en-US" w:eastAsia="zh-CN"/>
              </w:rPr>
              <w:t>1</w:t>
            </w:r>
            <w:r>
              <w:rPr>
                <w:rFonts w:hint="eastAsia" w:ascii="宋体" w:hAnsi="宋体" w:eastAsia="宋体" w:cs="宋体"/>
                <w:color w:val="auto"/>
                <w:kern w:val="0"/>
                <w:sz w:val="21"/>
                <w:szCs w:val="21"/>
                <w:highlight w:val="none"/>
                <w:lang w:eastAsia="zh-CN"/>
              </w:rPr>
              <w:t>分，最高得</w:t>
            </w:r>
            <w:r>
              <w:rPr>
                <w:rFonts w:hint="eastAsia" w:ascii="宋体" w:hAnsi="宋体" w:cs="宋体"/>
                <w:color w:val="auto"/>
                <w:kern w:val="0"/>
                <w:sz w:val="21"/>
                <w:szCs w:val="21"/>
                <w:highlight w:val="none"/>
                <w:lang w:val="en-US" w:eastAsia="zh-CN"/>
              </w:rPr>
              <w:t>2</w:t>
            </w:r>
            <w:r>
              <w:rPr>
                <w:rFonts w:hint="eastAsia" w:ascii="宋体" w:hAnsi="宋体" w:eastAsia="宋体" w:cs="宋体"/>
                <w:color w:val="auto"/>
                <w:kern w:val="0"/>
                <w:sz w:val="21"/>
                <w:szCs w:val="21"/>
                <w:highlight w:val="none"/>
                <w:lang w:eastAsia="zh-CN"/>
              </w:rPr>
              <w:t>分。</w:t>
            </w:r>
            <w:r>
              <w:rPr>
                <w:rFonts w:hint="eastAsia" w:ascii="宋体" w:hAnsi="宋体" w:eastAsia="宋体" w:cs="宋体"/>
                <w:color w:val="auto"/>
                <w:kern w:val="0"/>
                <w:sz w:val="21"/>
                <w:szCs w:val="21"/>
                <w:highlight w:val="none"/>
                <w:lang w:val="en-US" w:eastAsia="zh-CN"/>
              </w:rPr>
              <w:t>注：</w:t>
            </w:r>
            <w:r>
              <w:rPr>
                <w:rFonts w:hint="eastAsia" w:ascii="宋体" w:hAnsi="宋体" w:eastAsia="宋体" w:cs="宋体"/>
                <w:color w:val="auto"/>
                <w:kern w:val="0"/>
                <w:sz w:val="21"/>
                <w:szCs w:val="21"/>
                <w:highlight w:val="none"/>
                <w:lang w:eastAsia="zh-CN"/>
              </w:rPr>
              <w:t>提供司法部司法鉴定科学技术研究所颁发的《能力验证结果通知》</w:t>
            </w:r>
            <w:r>
              <w:rPr>
                <w:rFonts w:hint="eastAsia" w:ascii="宋体" w:hAnsi="宋体" w:cs="宋体"/>
                <w:color w:val="auto"/>
                <w:kern w:val="0"/>
                <w:sz w:val="21"/>
                <w:szCs w:val="21"/>
                <w:highlight w:val="none"/>
                <w:lang w:eastAsia="zh-CN"/>
              </w:rPr>
              <w:t>扫描件</w:t>
            </w:r>
            <w:r>
              <w:rPr>
                <w:rFonts w:hint="eastAsia" w:ascii="宋体" w:hAnsi="宋体" w:eastAsia="宋体" w:cs="宋体"/>
                <w:color w:val="auto"/>
                <w:kern w:val="0"/>
                <w:sz w:val="21"/>
                <w:szCs w:val="21"/>
                <w:highlight w:val="none"/>
                <w:lang w:eastAsia="zh-CN"/>
              </w:rPr>
              <w:t>，不提供不得分。</w:t>
            </w:r>
          </w:p>
        </w:tc>
      </w:tr>
      <w:tr w14:paraId="19B042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1139" w:type="dxa"/>
            <w:vMerge w:val="continue"/>
            <w:noWrap/>
            <w:vAlign w:val="center"/>
          </w:tcPr>
          <w:p w14:paraId="5DA9A213">
            <w:pPr>
              <w:pStyle w:val="117"/>
              <w:shd w:val="clear"/>
              <w:spacing w:line="360" w:lineRule="auto"/>
              <w:ind w:firstLine="0" w:firstLineChars="0"/>
              <w:jc w:val="center"/>
              <w:rPr>
                <w:rFonts w:hint="eastAsia" w:ascii="宋体" w:hAnsi="宋体" w:eastAsia="宋体" w:cs="宋体"/>
                <w:color w:val="auto"/>
                <w:sz w:val="21"/>
                <w:szCs w:val="21"/>
                <w:highlight w:val="none"/>
                <w:lang w:eastAsia="zh-CN"/>
              </w:rPr>
            </w:pPr>
          </w:p>
        </w:tc>
        <w:tc>
          <w:tcPr>
            <w:tcW w:w="1310" w:type="dxa"/>
            <w:vMerge w:val="restart"/>
            <w:shd w:val="clear" w:color="auto" w:fill="auto"/>
            <w:vAlign w:val="center"/>
          </w:tcPr>
          <w:p w14:paraId="49BAB2DF">
            <w:pPr>
              <w:widowControl/>
              <w:shd w:val="clear"/>
              <w:spacing w:line="360" w:lineRule="auto"/>
              <w:jc w:val="left"/>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lang w:eastAsia="zh-CN"/>
              </w:rPr>
              <w:t>拟投入鉴定人员（</w:t>
            </w:r>
            <w:r>
              <w:rPr>
                <w:rFonts w:hint="eastAsia" w:ascii="宋体" w:hAnsi="宋体" w:cs="宋体"/>
                <w:color w:val="auto"/>
                <w:kern w:val="0"/>
                <w:sz w:val="21"/>
                <w:szCs w:val="21"/>
                <w:highlight w:val="none"/>
                <w:lang w:val="en-US" w:eastAsia="zh-CN"/>
              </w:rPr>
              <w:t>7</w:t>
            </w:r>
            <w:r>
              <w:rPr>
                <w:rFonts w:hint="eastAsia" w:ascii="宋体" w:hAnsi="宋体" w:eastAsia="宋体" w:cs="宋体"/>
                <w:color w:val="auto"/>
                <w:kern w:val="0"/>
                <w:sz w:val="21"/>
                <w:szCs w:val="21"/>
                <w:highlight w:val="none"/>
                <w:lang w:val="en-US" w:eastAsia="zh-CN"/>
              </w:rPr>
              <w:t>分</w:t>
            </w:r>
            <w:r>
              <w:rPr>
                <w:rFonts w:hint="eastAsia" w:ascii="宋体" w:hAnsi="宋体" w:eastAsia="宋体" w:cs="宋体"/>
                <w:color w:val="auto"/>
                <w:kern w:val="0"/>
                <w:sz w:val="21"/>
                <w:szCs w:val="21"/>
                <w:highlight w:val="none"/>
                <w:lang w:eastAsia="zh-CN"/>
              </w:rPr>
              <w:t>）</w:t>
            </w:r>
          </w:p>
          <w:p w14:paraId="2DD849E3">
            <w:pPr>
              <w:widowControl/>
              <w:shd w:val="clear"/>
              <w:spacing w:line="360" w:lineRule="auto"/>
              <w:jc w:val="left"/>
              <w:rPr>
                <w:rFonts w:hint="eastAsia" w:ascii="宋体" w:hAnsi="宋体" w:eastAsia="宋体" w:cs="宋体"/>
                <w:color w:val="auto"/>
                <w:kern w:val="0"/>
                <w:sz w:val="21"/>
                <w:szCs w:val="21"/>
                <w:highlight w:val="none"/>
                <w:lang w:eastAsia="zh-CN"/>
              </w:rPr>
            </w:pPr>
          </w:p>
        </w:tc>
        <w:tc>
          <w:tcPr>
            <w:tcW w:w="7048" w:type="dxa"/>
            <w:shd w:val="clear" w:color="auto" w:fill="auto"/>
            <w:vAlign w:val="center"/>
          </w:tcPr>
          <w:p w14:paraId="7246EAD6">
            <w:pPr>
              <w:widowControl/>
              <w:shd w:val="clear"/>
              <w:spacing w:line="360" w:lineRule="auto"/>
              <w:jc w:val="left"/>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lang w:eastAsia="zh-CN"/>
              </w:rPr>
              <w:t>供应商拟派的项目负责人具有相关专业学历的得</w:t>
            </w:r>
            <w:r>
              <w:rPr>
                <w:rFonts w:hint="eastAsia" w:ascii="宋体" w:hAnsi="宋体" w:eastAsia="宋体" w:cs="宋体"/>
                <w:color w:val="auto"/>
                <w:kern w:val="0"/>
                <w:sz w:val="21"/>
                <w:szCs w:val="21"/>
                <w:highlight w:val="none"/>
                <w:lang w:val="en-US" w:eastAsia="zh-CN"/>
              </w:rPr>
              <w:t>1</w:t>
            </w:r>
            <w:r>
              <w:rPr>
                <w:rFonts w:hint="eastAsia" w:ascii="宋体" w:hAnsi="宋体" w:eastAsia="宋体" w:cs="宋体"/>
                <w:color w:val="auto"/>
                <w:kern w:val="0"/>
                <w:sz w:val="21"/>
                <w:szCs w:val="21"/>
                <w:highlight w:val="none"/>
                <w:lang w:eastAsia="zh-CN"/>
              </w:rPr>
              <w:t>分；（相关专业指：学历证书专业需为司法部门登记评审要求规定的车辆工程、交通工程、汽车服务工程、交通运输工程、交通管理工程专业其中之一）。注：提供项目负责人学历证书和社保缴纳证明扫描件并加盖投标人公章。</w:t>
            </w:r>
          </w:p>
        </w:tc>
      </w:tr>
      <w:tr w14:paraId="23CED5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1139" w:type="dxa"/>
            <w:vMerge w:val="continue"/>
            <w:noWrap/>
            <w:vAlign w:val="center"/>
          </w:tcPr>
          <w:p w14:paraId="06CC67B7">
            <w:pPr>
              <w:pStyle w:val="117"/>
              <w:shd w:val="clear"/>
              <w:spacing w:line="360" w:lineRule="auto"/>
              <w:ind w:firstLine="0" w:firstLineChars="0"/>
              <w:jc w:val="center"/>
              <w:rPr>
                <w:rFonts w:hint="eastAsia" w:ascii="宋体" w:hAnsi="宋体" w:eastAsia="宋体" w:cs="宋体"/>
                <w:color w:val="auto"/>
                <w:sz w:val="21"/>
                <w:szCs w:val="21"/>
                <w:highlight w:val="none"/>
                <w:lang w:eastAsia="zh-CN"/>
              </w:rPr>
            </w:pPr>
          </w:p>
        </w:tc>
        <w:tc>
          <w:tcPr>
            <w:tcW w:w="1310" w:type="dxa"/>
            <w:vMerge w:val="continue"/>
            <w:shd w:val="clear" w:color="auto" w:fill="auto"/>
            <w:vAlign w:val="center"/>
          </w:tcPr>
          <w:p w14:paraId="694894E9">
            <w:pPr>
              <w:widowControl/>
              <w:shd w:val="clear"/>
              <w:spacing w:line="360" w:lineRule="auto"/>
              <w:jc w:val="left"/>
              <w:rPr>
                <w:rFonts w:hint="eastAsia" w:ascii="宋体" w:hAnsi="宋体" w:eastAsia="宋体" w:cs="宋体"/>
                <w:color w:val="auto"/>
                <w:kern w:val="0"/>
                <w:sz w:val="21"/>
                <w:szCs w:val="21"/>
                <w:highlight w:val="none"/>
                <w:lang w:eastAsia="zh-CN"/>
              </w:rPr>
            </w:pPr>
          </w:p>
        </w:tc>
        <w:tc>
          <w:tcPr>
            <w:tcW w:w="7048" w:type="dxa"/>
            <w:shd w:val="clear" w:color="auto" w:fill="auto"/>
            <w:vAlign w:val="center"/>
          </w:tcPr>
          <w:p w14:paraId="4D9439C8">
            <w:pPr>
              <w:widowControl/>
              <w:shd w:val="clear"/>
              <w:spacing w:line="360" w:lineRule="auto"/>
              <w:jc w:val="left"/>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lang w:val="en-US" w:eastAsia="zh-CN"/>
              </w:rPr>
              <w:t>供应商拟派的交通事故痕迹类的司法鉴定人员具有专业技术职称中级的每人得</w:t>
            </w:r>
            <w:r>
              <w:rPr>
                <w:rFonts w:hint="eastAsia" w:ascii="宋体" w:hAnsi="宋体" w:cs="宋体"/>
                <w:color w:val="auto"/>
                <w:kern w:val="0"/>
                <w:sz w:val="21"/>
                <w:szCs w:val="21"/>
                <w:highlight w:val="none"/>
                <w:lang w:val="en-US" w:eastAsia="zh-CN"/>
              </w:rPr>
              <w:t>0.5</w:t>
            </w:r>
            <w:r>
              <w:rPr>
                <w:rFonts w:hint="eastAsia" w:ascii="宋体" w:hAnsi="宋体" w:eastAsia="宋体" w:cs="宋体"/>
                <w:color w:val="auto"/>
                <w:kern w:val="0"/>
                <w:sz w:val="21"/>
                <w:szCs w:val="21"/>
                <w:highlight w:val="none"/>
                <w:lang w:val="en-US" w:eastAsia="zh-CN"/>
              </w:rPr>
              <w:t>分，高级职称及以上人员的得</w:t>
            </w:r>
            <w:r>
              <w:rPr>
                <w:rFonts w:hint="eastAsia" w:ascii="宋体" w:hAnsi="宋体" w:cs="宋体"/>
                <w:color w:val="auto"/>
                <w:kern w:val="0"/>
                <w:sz w:val="21"/>
                <w:szCs w:val="21"/>
                <w:highlight w:val="none"/>
                <w:lang w:val="en-US" w:eastAsia="zh-CN"/>
              </w:rPr>
              <w:t>1</w:t>
            </w:r>
            <w:r>
              <w:rPr>
                <w:rFonts w:hint="eastAsia" w:ascii="宋体" w:hAnsi="宋体" w:eastAsia="宋体" w:cs="宋体"/>
                <w:color w:val="auto"/>
                <w:kern w:val="0"/>
                <w:sz w:val="21"/>
                <w:szCs w:val="21"/>
                <w:highlight w:val="none"/>
                <w:lang w:val="en-US" w:eastAsia="zh-CN"/>
              </w:rPr>
              <w:t>分，最高得</w:t>
            </w:r>
            <w:r>
              <w:rPr>
                <w:rFonts w:hint="eastAsia" w:ascii="宋体" w:hAnsi="宋体" w:cs="宋体"/>
                <w:color w:val="auto"/>
                <w:kern w:val="0"/>
                <w:sz w:val="21"/>
                <w:szCs w:val="21"/>
                <w:highlight w:val="none"/>
                <w:lang w:val="en-US" w:eastAsia="zh-CN"/>
              </w:rPr>
              <w:t>1</w:t>
            </w:r>
            <w:r>
              <w:rPr>
                <w:rFonts w:hint="eastAsia" w:ascii="宋体" w:hAnsi="宋体" w:eastAsia="宋体" w:cs="宋体"/>
                <w:color w:val="auto"/>
                <w:kern w:val="0"/>
                <w:sz w:val="21"/>
                <w:szCs w:val="21"/>
                <w:highlight w:val="none"/>
                <w:lang w:val="en-US" w:eastAsia="zh-CN"/>
              </w:rPr>
              <w:t>分。注：提供投入人员司法鉴定人执业的职称证</w:t>
            </w:r>
            <w:r>
              <w:rPr>
                <w:rFonts w:hint="eastAsia" w:ascii="宋体" w:hAnsi="宋体" w:eastAsia="宋体" w:cs="宋体"/>
                <w:color w:val="auto"/>
                <w:kern w:val="0"/>
                <w:sz w:val="21"/>
                <w:szCs w:val="21"/>
                <w:highlight w:val="none"/>
                <w:lang w:eastAsia="zh-CN"/>
              </w:rPr>
              <w:t>（执业证的执业机构必须与投标单位一致）扫描件加盖投标人公章。</w:t>
            </w:r>
          </w:p>
        </w:tc>
      </w:tr>
      <w:tr w14:paraId="25461F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1139" w:type="dxa"/>
            <w:vMerge w:val="continue"/>
            <w:noWrap/>
            <w:vAlign w:val="center"/>
          </w:tcPr>
          <w:p w14:paraId="279D975A">
            <w:pPr>
              <w:pStyle w:val="117"/>
              <w:shd w:val="clear"/>
              <w:spacing w:line="360" w:lineRule="auto"/>
              <w:ind w:firstLine="0" w:firstLineChars="0"/>
              <w:jc w:val="center"/>
              <w:rPr>
                <w:rFonts w:hint="eastAsia" w:ascii="宋体" w:hAnsi="宋体" w:eastAsia="宋体" w:cs="宋体"/>
                <w:color w:val="auto"/>
                <w:sz w:val="21"/>
                <w:szCs w:val="21"/>
                <w:highlight w:val="none"/>
                <w:lang w:eastAsia="zh-CN"/>
              </w:rPr>
            </w:pPr>
          </w:p>
        </w:tc>
        <w:tc>
          <w:tcPr>
            <w:tcW w:w="1310" w:type="dxa"/>
            <w:vMerge w:val="continue"/>
            <w:shd w:val="clear" w:color="auto" w:fill="auto"/>
            <w:vAlign w:val="center"/>
          </w:tcPr>
          <w:p w14:paraId="5084F97C">
            <w:pPr>
              <w:widowControl/>
              <w:shd w:val="clear"/>
              <w:spacing w:line="360" w:lineRule="auto"/>
              <w:jc w:val="center"/>
              <w:rPr>
                <w:rFonts w:hint="eastAsia" w:ascii="宋体" w:hAnsi="宋体" w:eastAsia="宋体" w:cs="宋体"/>
                <w:color w:val="auto"/>
                <w:kern w:val="0"/>
                <w:sz w:val="21"/>
                <w:szCs w:val="21"/>
                <w:highlight w:val="none"/>
              </w:rPr>
            </w:pPr>
          </w:p>
        </w:tc>
        <w:tc>
          <w:tcPr>
            <w:tcW w:w="7048" w:type="dxa"/>
            <w:shd w:val="clear" w:color="auto" w:fill="auto"/>
            <w:vAlign w:val="center"/>
          </w:tcPr>
          <w:p w14:paraId="60960B00">
            <w:pPr>
              <w:widowControl/>
              <w:shd w:val="clear"/>
              <w:spacing w:line="360" w:lineRule="auto"/>
              <w:jc w:val="left"/>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lang w:eastAsia="zh-CN"/>
              </w:rPr>
              <w:t>供应商拟派的交通事故痕迹鉴定人在满足采购需求4名的基础上，每额外增加1名符合采购需求的鉴定人得</w:t>
            </w:r>
            <w:r>
              <w:rPr>
                <w:rFonts w:hint="eastAsia" w:ascii="宋体" w:hAnsi="宋体" w:cs="宋体"/>
                <w:color w:val="auto"/>
                <w:kern w:val="0"/>
                <w:sz w:val="21"/>
                <w:szCs w:val="21"/>
                <w:highlight w:val="none"/>
                <w:lang w:val="en-US" w:eastAsia="zh-CN"/>
              </w:rPr>
              <w:t>0.5</w:t>
            </w:r>
            <w:r>
              <w:rPr>
                <w:rFonts w:hint="eastAsia" w:ascii="宋体" w:hAnsi="宋体" w:eastAsia="宋体" w:cs="宋体"/>
                <w:color w:val="auto"/>
                <w:kern w:val="0"/>
                <w:sz w:val="21"/>
                <w:szCs w:val="21"/>
                <w:highlight w:val="none"/>
                <w:lang w:eastAsia="zh-CN"/>
              </w:rPr>
              <w:t>分；最高得</w:t>
            </w:r>
            <w:r>
              <w:rPr>
                <w:rFonts w:hint="eastAsia" w:ascii="宋体" w:hAnsi="宋体" w:cs="宋体"/>
                <w:color w:val="auto"/>
                <w:kern w:val="0"/>
                <w:sz w:val="21"/>
                <w:szCs w:val="21"/>
                <w:highlight w:val="none"/>
                <w:lang w:val="en-US" w:eastAsia="zh-CN"/>
              </w:rPr>
              <w:t>5</w:t>
            </w:r>
            <w:r>
              <w:rPr>
                <w:rFonts w:hint="eastAsia" w:ascii="宋体" w:hAnsi="宋体" w:eastAsia="宋体" w:cs="宋体"/>
                <w:color w:val="auto"/>
                <w:kern w:val="0"/>
                <w:sz w:val="21"/>
                <w:szCs w:val="21"/>
                <w:highlight w:val="none"/>
                <w:lang w:eastAsia="zh-CN"/>
              </w:rPr>
              <w:t>分。注：提供人员清单及司法鉴定人执业证（执业证的执业机构必须与投标单位一致）</w:t>
            </w:r>
            <w:r>
              <w:rPr>
                <w:rFonts w:hint="eastAsia" w:ascii="宋体" w:hAnsi="宋体" w:cs="宋体"/>
                <w:color w:val="auto"/>
                <w:kern w:val="0"/>
                <w:sz w:val="21"/>
                <w:szCs w:val="21"/>
                <w:highlight w:val="none"/>
                <w:lang w:eastAsia="zh-CN"/>
              </w:rPr>
              <w:t>扫描件</w:t>
            </w:r>
            <w:r>
              <w:rPr>
                <w:rFonts w:hint="eastAsia" w:ascii="宋体" w:hAnsi="宋体" w:eastAsia="宋体" w:cs="宋体"/>
                <w:color w:val="auto"/>
                <w:kern w:val="0"/>
                <w:sz w:val="21"/>
                <w:szCs w:val="21"/>
                <w:highlight w:val="none"/>
                <w:lang w:eastAsia="zh-CN"/>
              </w:rPr>
              <w:t>加盖投标人公章。</w:t>
            </w:r>
          </w:p>
        </w:tc>
      </w:tr>
      <w:tr w14:paraId="01FB82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1139" w:type="dxa"/>
            <w:vMerge w:val="restart"/>
            <w:noWrap/>
            <w:vAlign w:val="center"/>
          </w:tcPr>
          <w:p w14:paraId="763FC4C8">
            <w:pPr>
              <w:pStyle w:val="117"/>
              <w:shd w:val="clear"/>
              <w:spacing w:line="360" w:lineRule="auto"/>
              <w:ind w:left="0" w:leftChars="0" w:firstLine="0" w:firstLineChars="0"/>
              <w:jc w:val="both"/>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技术分</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70分</w:t>
            </w:r>
            <w:r>
              <w:rPr>
                <w:rFonts w:hint="eastAsia" w:ascii="宋体" w:hAnsi="宋体" w:eastAsia="宋体" w:cs="宋体"/>
                <w:color w:val="auto"/>
                <w:sz w:val="21"/>
                <w:szCs w:val="21"/>
                <w:highlight w:val="none"/>
                <w:lang w:eastAsia="zh-CN"/>
              </w:rPr>
              <w:t>）</w:t>
            </w:r>
          </w:p>
        </w:tc>
        <w:tc>
          <w:tcPr>
            <w:tcW w:w="1310" w:type="dxa"/>
            <w:vMerge w:val="restart"/>
            <w:noWrap/>
            <w:vAlign w:val="center"/>
          </w:tcPr>
          <w:p w14:paraId="2C14BEF8">
            <w:pPr>
              <w:pStyle w:val="117"/>
              <w:shd w:val="clear"/>
              <w:spacing w:line="360" w:lineRule="auto"/>
              <w:ind w:firstLine="0" w:firstLineChars="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服务方案</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35分</w:t>
            </w:r>
            <w:r>
              <w:rPr>
                <w:rFonts w:hint="eastAsia" w:ascii="宋体" w:hAnsi="宋体" w:eastAsia="宋体" w:cs="宋体"/>
                <w:color w:val="auto"/>
                <w:sz w:val="21"/>
                <w:szCs w:val="21"/>
                <w:highlight w:val="none"/>
                <w:lang w:eastAsia="zh-CN"/>
              </w:rPr>
              <w:t>）</w:t>
            </w:r>
          </w:p>
          <w:p w14:paraId="22B3FB8A">
            <w:pPr>
              <w:pStyle w:val="117"/>
              <w:shd w:val="clear"/>
              <w:spacing w:line="360" w:lineRule="auto"/>
              <w:ind w:firstLine="0" w:firstLineChars="0"/>
              <w:jc w:val="left"/>
              <w:rPr>
                <w:rFonts w:hint="eastAsia" w:ascii="宋体" w:hAnsi="宋体" w:eastAsia="宋体" w:cs="宋体"/>
                <w:color w:val="auto"/>
                <w:sz w:val="21"/>
                <w:szCs w:val="21"/>
                <w:highlight w:val="none"/>
              </w:rPr>
            </w:pPr>
          </w:p>
        </w:tc>
        <w:tc>
          <w:tcPr>
            <w:tcW w:w="7048" w:type="dxa"/>
            <w:noWrap/>
            <w:vAlign w:val="center"/>
          </w:tcPr>
          <w:p w14:paraId="10D1E017">
            <w:pPr>
              <w:pStyle w:val="117"/>
              <w:shd w:val="clear"/>
              <w:spacing w:line="360" w:lineRule="auto"/>
              <w:ind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鉴定实施方案（5分）</w:t>
            </w:r>
          </w:p>
          <w:p w14:paraId="55653E46">
            <w:pPr>
              <w:pStyle w:val="117"/>
              <w:shd w:val="clear"/>
              <w:spacing w:line="360" w:lineRule="auto"/>
              <w:ind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供应商</w:t>
            </w:r>
            <w:r>
              <w:rPr>
                <w:rFonts w:hint="eastAsia" w:ascii="宋体" w:hAnsi="宋体" w:eastAsia="宋体" w:cs="宋体"/>
                <w:color w:val="auto"/>
                <w:sz w:val="21"/>
                <w:szCs w:val="21"/>
                <w:highlight w:val="none"/>
                <w:lang w:val="en-US" w:eastAsia="zh-CN"/>
              </w:rPr>
              <w:t>提供</w:t>
            </w:r>
            <w:r>
              <w:rPr>
                <w:rFonts w:hint="eastAsia" w:ascii="宋体" w:hAnsi="宋体" w:eastAsia="宋体" w:cs="宋体"/>
                <w:color w:val="auto"/>
                <w:sz w:val="21"/>
                <w:szCs w:val="21"/>
                <w:highlight w:val="none"/>
              </w:rPr>
              <w:t>针对本项目的鉴定实施方案</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包括但不限于实施方案、具体流程、鉴定关键节点分析、具体解决措施等内容，并</w:t>
            </w:r>
            <w:r>
              <w:rPr>
                <w:rFonts w:hint="eastAsia" w:ascii="宋体" w:hAnsi="宋体" w:eastAsia="宋体" w:cs="宋体"/>
                <w:color w:val="auto"/>
                <w:sz w:val="21"/>
                <w:szCs w:val="21"/>
                <w:highlight w:val="none"/>
              </w:rPr>
              <w:t>进行评议：方案完全符合本项目需求</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分析准确、把控得当</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解决措施合理有效</w:t>
            </w:r>
            <w:r>
              <w:rPr>
                <w:rFonts w:hint="eastAsia" w:ascii="宋体" w:hAnsi="宋体" w:eastAsia="宋体" w:cs="宋体"/>
                <w:color w:val="auto"/>
                <w:sz w:val="21"/>
                <w:szCs w:val="21"/>
                <w:highlight w:val="none"/>
              </w:rPr>
              <w:t>的得</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5分；方案能够满足项目需求，鉴定关键节点分析粗略、把控欠缺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措施基本能够解决问题</w:t>
            </w:r>
            <w:r>
              <w:rPr>
                <w:rFonts w:hint="eastAsia" w:ascii="宋体" w:hAnsi="宋体" w:eastAsia="宋体" w:cs="宋体"/>
                <w:color w:val="auto"/>
                <w:sz w:val="21"/>
                <w:szCs w:val="21"/>
                <w:highlight w:val="none"/>
              </w:rPr>
              <w:t>的得</w:t>
            </w: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3分；方案有明显缺项漏项、针对性不高、难以保证鉴定需求的得</w:t>
            </w:r>
            <w:r>
              <w:rPr>
                <w:rFonts w:hint="eastAsia" w:ascii="宋体" w:hAnsi="宋体" w:eastAsia="宋体" w:cs="宋体"/>
                <w:color w:val="auto"/>
                <w:sz w:val="21"/>
                <w:szCs w:val="21"/>
                <w:highlight w:val="none"/>
                <w:lang w:val="en-US" w:eastAsia="zh-CN"/>
              </w:rPr>
              <w:t>0-</w:t>
            </w:r>
            <w:r>
              <w:rPr>
                <w:rFonts w:hint="eastAsia" w:ascii="宋体" w:hAnsi="宋体" w:eastAsia="宋体" w:cs="宋体"/>
                <w:color w:val="auto"/>
                <w:sz w:val="21"/>
                <w:szCs w:val="21"/>
                <w:highlight w:val="none"/>
              </w:rPr>
              <w:t>1分。</w:t>
            </w:r>
          </w:p>
        </w:tc>
      </w:tr>
      <w:tr w14:paraId="01FD7E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1139" w:type="dxa"/>
            <w:vMerge w:val="continue"/>
            <w:noWrap/>
            <w:vAlign w:val="center"/>
          </w:tcPr>
          <w:p w14:paraId="67D2B48D">
            <w:pPr>
              <w:pStyle w:val="117"/>
              <w:shd w:val="clear"/>
              <w:spacing w:line="360" w:lineRule="auto"/>
              <w:ind w:firstLine="480"/>
              <w:jc w:val="center"/>
              <w:rPr>
                <w:rFonts w:hint="eastAsia" w:ascii="宋体" w:hAnsi="宋体" w:eastAsia="宋体" w:cs="宋体"/>
                <w:color w:val="auto"/>
                <w:sz w:val="21"/>
                <w:szCs w:val="21"/>
                <w:highlight w:val="none"/>
              </w:rPr>
            </w:pPr>
          </w:p>
        </w:tc>
        <w:tc>
          <w:tcPr>
            <w:tcW w:w="1310" w:type="dxa"/>
            <w:vMerge w:val="continue"/>
            <w:noWrap/>
            <w:vAlign w:val="center"/>
          </w:tcPr>
          <w:p w14:paraId="1E95D119">
            <w:pPr>
              <w:pStyle w:val="117"/>
              <w:shd w:val="clear"/>
              <w:spacing w:line="360" w:lineRule="auto"/>
              <w:ind w:firstLine="0" w:firstLineChars="0"/>
              <w:jc w:val="center"/>
              <w:rPr>
                <w:rFonts w:hint="eastAsia" w:ascii="宋体" w:hAnsi="宋体" w:eastAsia="宋体" w:cs="宋体"/>
                <w:color w:val="auto"/>
                <w:sz w:val="21"/>
                <w:szCs w:val="21"/>
                <w:highlight w:val="none"/>
              </w:rPr>
            </w:pPr>
          </w:p>
        </w:tc>
        <w:tc>
          <w:tcPr>
            <w:tcW w:w="7048" w:type="dxa"/>
            <w:noWrap/>
            <w:vAlign w:val="center"/>
          </w:tcPr>
          <w:p w14:paraId="29E08687">
            <w:pPr>
              <w:pStyle w:val="117"/>
              <w:shd w:val="clear"/>
              <w:spacing w:line="360" w:lineRule="auto"/>
              <w:ind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鉴定工作实施计划（5分）</w:t>
            </w:r>
          </w:p>
          <w:p w14:paraId="60EF30DB">
            <w:pPr>
              <w:pStyle w:val="117"/>
              <w:shd w:val="clear"/>
              <w:spacing w:line="360" w:lineRule="auto"/>
              <w:ind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供应商</w:t>
            </w:r>
            <w:r>
              <w:rPr>
                <w:rFonts w:hint="eastAsia" w:ascii="宋体" w:hAnsi="宋体" w:eastAsia="宋体" w:cs="宋体"/>
                <w:color w:val="auto"/>
                <w:sz w:val="21"/>
                <w:szCs w:val="21"/>
                <w:highlight w:val="none"/>
                <w:lang w:val="en-US" w:eastAsia="zh-CN"/>
              </w:rPr>
              <w:t>提供</w:t>
            </w:r>
            <w:r>
              <w:rPr>
                <w:rFonts w:hint="eastAsia" w:ascii="宋体" w:hAnsi="宋体" w:eastAsia="宋体" w:cs="宋体"/>
                <w:color w:val="auto"/>
                <w:sz w:val="21"/>
                <w:szCs w:val="21"/>
                <w:highlight w:val="none"/>
              </w:rPr>
              <w:t>针对本项目的鉴定工作实施计划</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包括但不限于时间计划方案、事件分级制度、进度保障方案等内容，并</w:t>
            </w:r>
            <w:r>
              <w:rPr>
                <w:rFonts w:hint="eastAsia" w:ascii="宋体" w:hAnsi="宋体" w:eastAsia="宋体" w:cs="宋体"/>
                <w:color w:val="auto"/>
                <w:sz w:val="21"/>
                <w:szCs w:val="21"/>
                <w:highlight w:val="none"/>
              </w:rPr>
              <w:t>进行评议：能根据事件轻重程度计划安排得当，各实施节点明确，进度有效保障的得</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5分；计划安排欠合理，各实施节点不明确，进度保障能力弱的得</w:t>
            </w: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3分；计划安排存在明显不合理，各实施节点混乱，鉴定工作时效性难以保证的得</w:t>
            </w:r>
            <w:r>
              <w:rPr>
                <w:rFonts w:hint="eastAsia" w:ascii="宋体" w:hAnsi="宋体" w:eastAsia="宋体" w:cs="宋体"/>
                <w:color w:val="auto"/>
                <w:sz w:val="21"/>
                <w:szCs w:val="21"/>
                <w:highlight w:val="none"/>
                <w:lang w:val="en-US" w:eastAsia="zh-CN"/>
              </w:rPr>
              <w:t>0-</w:t>
            </w:r>
            <w:r>
              <w:rPr>
                <w:rFonts w:hint="eastAsia" w:ascii="宋体" w:hAnsi="宋体" w:eastAsia="宋体" w:cs="宋体"/>
                <w:color w:val="auto"/>
                <w:sz w:val="21"/>
                <w:szCs w:val="21"/>
                <w:highlight w:val="none"/>
              </w:rPr>
              <w:t>1分。</w:t>
            </w:r>
          </w:p>
        </w:tc>
      </w:tr>
      <w:tr w14:paraId="27A774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1139" w:type="dxa"/>
            <w:vMerge w:val="continue"/>
            <w:noWrap/>
            <w:vAlign w:val="center"/>
          </w:tcPr>
          <w:p w14:paraId="0C02060B">
            <w:pPr>
              <w:pStyle w:val="117"/>
              <w:shd w:val="clear"/>
              <w:spacing w:line="360" w:lineRule="auto"/>
              <w:ind w:firstLine="480"/>
              <w:jc w:val="center"/>
              <w:rPr>
                <w:rFonts w:hint="eastAsia" w:ascii="宋体" w:hAnsi="宋体" w:eastAsia="宋体" w:cs="宋体"/>
                <w:color w:val="auto"/>
                <w:sz w:val="21"/>
                <w:szCs w:val="21"/>
                <w:highlight w:val="none"/>
              </w:rPr>
            </w:pPr>
          </w:p>
        </w:tc>
        <w:tc>
          <w:tcPr>
            <w:tcW w:w="1310" w:type="dxa"/>
            <w:vMerge w:val="continue"/>
            <w:noWrap/>
            <w:vAlign w:val="center"/>
          </w:tcPr>
          <w:p w14:paraId="3A8EF631">
            <w:pPr>
              <w:pStyle w:val="117"/>
              <w:shd w:val="clear"/>
              <w:spacing w:line="360" w:lineRule="auto"/>
              <w:ind w:firstLine="0" w:firstLineChars="0"/>
              <w:jc w:val="center"/>
              <w:rPr>
                <w:rFonts w:hint="eastAsia" w:ascii="宋体" w:hAnsi="宋体" w:eastAsia="宋体" w:cs="宋体"/>
                <w:color w:val="auto"/>
                <w:sz w:val="21"/>
                <w:szCs w:val="21"/>
                <w:highlight w:val="none"/>
              </w:rPr>
            </w:pPr>
          </w:p>
        </w:tc>
        <w:tc>
          <w:tcPr>
            <w:tcW w:w="7048" w:type="dxa"/>
            <w:noWrap/>
            <w:vAlign w:val="center"/>
          </w:tcPr>
          <w:p w14:paraId="5C98D25C">
            <w:pPr>
              <w:pStyle w:val="117"/>
              <w:shd w:val="clear"/>
              <w:spacing w:line="360" w:lineRule="auto"/>
              <w:ind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项目管理流程（5分）</w:t>
            </w:r>
          </w:p>
          <w:p w14:paraId="52384C82">
            <w:pPr>
              <w:pStyle w:val="117"/>
              <w:shd w:val="clear"/>
              <w:spacing w:line="360" w:lineRule="auto"/>
              <w:ind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供应商</w:t>
            </w:r>
            <w:r>
              <w:rPr>
                <w:rFonts w:hint="eastAsia" w:ascii="宋体" w:hAnsi="宋体" w:eastAsia="宋体" w:cs="宋体"/>
                <w:color w:val="auto"/>
                <w:sz w:val="21"/>
                <w:szCs w:val="21"/>
                <w:highlight w:val="none"/>
                <w:lang w:val="en-US" w:eastAsia="zh-CN"/>
              </w:rPr>
              <w:t>提供</w:t>
            </w:r>
            <w:r>
              <w:rPr>
                <w:rFonts w:hint="eastAsia" w:ascii="宋体" w:hAnsi="宋体" w:eastAsia="宋体" w:cs="宋体"/>
                <w:color w:val="auto"/>
                <w:sz w:val="21"/>
                <w:szCs w:val="21"/>
                <w:highlight w:val="none"/>
              </w:rPr>
              <w:t>针对本项目的项目管理流程</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包括但不限于项目具体流程、管理制度、控制方案等内容，并</w:t>
            </w:r>
            <w:r>
              <w:rPr>
                <w:rFonts w:hint="eastAsia" w:ascii="宋体" w:hAnsi="宋体" w:eastAsia="宋体" w:cs="宋体"/>
                <w:color w:val="auto"/>
                <w:sz w:val="21"/>
                <w:szCs w:val="21"/>
                <w:highlight w:val="none"/>
              </w:rPr>
              <w:t>进行评议：项目管理流程健全、</w:t>
            </w:r>
            <w:r>
              <w:rPr>
                <w:rFonts w:hint="eastAsia" w:ascii="宋体" w:hAnsi="宋体" w:eastAsia="宋体" w:cs="宋体"/>
                <w:color w:val="auto"/>
                <w:sz w:val="21"/>
                <w:szCs w:val="21"/>
                <w:highlight w:val="none"/>
                <w:lang w:val="en-US" w:eastAsia="zh-CN"/>
              </w:rPr>
              <w:t>管理制度</w:t>
            </w:r>
            <w:r>
              <w:rPr>
                <w:rFonts w:hint="eastAsia" w:ascii="宋体" w:hAnsi="宋体" w:eastAsia="宋体" w:cs="宋体"/>
                <w:color w:val="auto"/>
                <w:sz w:val="21"/>
                <w:szCs w:val="21"/>
                <w:highlight w:val="none"/>
              </w:rPr>
              <w:t>规范、具体细致，符合各个事件管理需求的得</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5分；项目管理流程基本完整，</w:t>
            </w:r>
            <w:r>
              <w:rPr>
                <w:rFonts w:hint="eastAsia" w:ascii="宋体" w:hAnsi="宋体" w:eastAsia="宋体" w:cs="宋体"/>
                <w:color w:val="auto"/>
                <w:sz w:val="21"/>
                <w:szCs w:val="21"/>
                <w:highlight w:val="none"/>
                <w:lang w:val="en-US" w:eastAsia="zh-CN"/>
              </w:rPr>
              <w:t>管理制度</w:t>
            </w:r>
            <w:r>
              <w:rPr>
                <w:rFonts w:hint="eastAsia" w:ascii="宋体" w:hAnsi="宋体" w:eastAsia="宋体" w:cs="宋体"/>
                <w:color w:val="auto"/>
                <w:sz w:val="21"/>
                <w:szCs w:val="21"/>
                <w:highlight w:val="none"/>
              </w:rPr>
              <w:t>细节考虑不全面，基本符合各个事件管理需求的得</w:t>
            </w: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3分；项目管理流程有所欠缺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管理制度</w:t>
            </w:r>
            <w:r>
              <w:rPr>
                <w:rFonts w:hint="eastAsia" w:ascii="宋体" w:hAnsi="宋体" w:eastAsia="宋体" w:cs="宋体"/>
                <w:color w:val="auto"/>
                <w:sz w:val="21"/>
                <w:szCs w:val="21"/>
                <w:highlight w:val="none"/>
              </w:rPr>
              <w:t>不完善，有可能影响各个事件管理的得</w:t>
            </w:r>
            <w:r>
              <w:rPr>
                <w:rFonts w:hint="eastAsia" w:ascii="宋体" w:hAnsi="宋体" w:eastAsia="宋体" w:cs="宋体"/>
                <w:color w:val="auto"/>
                <w:sz w:val="21"/>
                <w:szCs w:val="21"/>
                <w:highlight w:val="none"/>
                <w:lang w:val="en-US" w:eastAsia="zh-CN"/>
              </w:rPr>
              <w:t>0-</w:t>
            </w:r>
            <w:r>
              <w:rPr>
                <w:rFonts w:hint="eastAsia" w:ascii="宋体" w:hAnsi="宋体" w:eastAsia="宋体" w:cs="宋体"/>
                <w:color w:val="auto"/>
                <w:sz w:val="21"/>
                <w:szCs w:val="21"/>
                <w:highlight w:val="none"/>
              </w:rPr>
              <w:t>1分。</w:t>
            </w:r>
          </w:p>
        </w:tc>
      </w:tr>
      <w:tr w14:paraId="3835D7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1139" w:type="dxa"/>
            <w:vMerge w:val="continue"/>
            <w:noWrap/>
            <w:vAlign w:val="center"/>
          </w:tcPr>
          <w:p w14:paraId="5AEFAC94">
            <w:pPr>
              <w:pStyle w:val="117"/>
              <w:shd w:val="clear"/>
              <w:spacing w:line="360" w:lineRule="auto"/>
              <w:ind w:firstLine="480"/>
              <w:jc w:val="center"/>
              <w:rPr>
                <w:rFonts w:hint="eastAsia" w:ascii="宋体" w:hAnsi="宋体" w:eastAsia="宋体" w:cs="宋体"/>
                <w:color w:val="auto"/>
                <w:sz w:val="21"/>
                <w:szCs w:val="21"/>
                <w:highlight w:val="none"/>
              </w:rPr>
            </w:pPr>
          </w:p>
        </w:tc>
        <w:tc>
          <w:tcPr>
            <w:tcW w:w="1310" w:type="dxa"/>
            <w:vMerge w:val="continue"/>
            <w:noWrap/>
            <w:vAlign w:val="center"/>
          </w:tcPr>
          <w:p w14:paraId="21478C58">
            <w:pPr>
              <w:pStyle w:val="117"/>
              <w:shd w:val="clear"/>
              <w:spacing w:line="360" w:lineRule="auto"/>
              <w:ind w:firstLine="0" w:firstLineChars="0"/>
              <w:jc w:val="center"/>
              <w:rPr>
                <w:rFonts w:hint="eastAsia" w:ascii="宋体" w:hAnsi="宋体" w:eastAsia="宋体" w:cs="宋体"/>
                <w:color w:val="auto"/>
                <w:sz w:val="21"/>
                <w:szCs w:val="21"/>
                <w:highlight w:val="none"/>
              </w:rPr>
            </w:pPr>
          </w:p>
        </w:tc>
        <w:tc>
          <w:tcPr>
            <w:tcW w:w="7048" w:type="dxa"/>
            <w:noWrap/>
            <w:vAlign w:val="center"/>
          </w:tcPr>
          <w:p w14:paraId="173EEA6F">
            <w:pPr>
              <w:pStyle w:val="117"/>
              <w:shd w:val="clear"/>
              <w:spacing w:line="360" w:lineRule="auto"/>
              <w:ind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服务技术规范及措施（5分）</w:t>
            </w:r>
          </w:p>
          <w:p w14:paraId="527F7E85">
            <w:pPr>
              <w:pStyle w:val="117"/>
              <w:shd w:val="clear"/>
              <w:spacing w:line="360" w:lineRule="auto"/>
              <w:ind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供应商</w:t>
            </w:r>
            <w:r>
              <w:rPr>
                <w:rFonts w:hint="eastAsia" w:ascii="宋体" w:hAnsi="宋体" w:eastAsia="宋体" w:cs="宋体"/>
                <w:color w:val="auto"/>
                <w:sz w:val="21"/>
                <w:szCs w:val="21"/>
                <w:highlight w:val="none"/>
                <w:lang w:val="en-US" w:eastAsia="zh-CN"/>
              </w:rPr>
              <w:t>提供</w:t>
            </w:r>
            <w:r>
              <w:rPr>
                <w:rFonts w:hint="eastAsia" w:ascii="宋体" w:hAnsi="宋体" w:eastAsia="宋体" w:cs="宋体"/>
                <w:color w:val="auto"/>
                <w:sz w:val="21"/>
                <w:szCs w:val="21"/>
                <w:highlight w:val="none"/>
              </w:rPr>
              <w:t>针对本项目的服务技术规范及措施</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包括但不限于服务技术规范、服务标准、具体服务措施等内容，并</w:t>
            </w:r>
            <w:r>
              <w:rPr>
                <w:rFonts w:hint="eastAsia" w:ascii="宋体" w:hAnsi="宋体" w:eastAsia="宋体" w:cs="宋体"/>
                <w:color w:val="auto"/>
                <w:sz w:val="21"/>
                <w:szCs w:val="21"/>
                <w:highlight w:val="none"/>
              </w:rPr>
              <w:t>进行评议：服务技术规范化、标准化，各项措施保障有力</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制定标准</w:t>
            </w:r>
            <w:r>
              <w:rPr>
                <w:rFonts w:hint="eastAsia" w:ascii="宋体" w:hAnsi="宋体" w:eastAsia="宋体" w:cs="宋体"/>
                <w:color w:val="auto"/>
                <w:sz w:val="21"/>
                <w:szCs w:val="21"/>
                <w:highlight w:val="none"/>
              </w:rPr>
              <w:t>符合相关行业标准或规范的得</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5分；服务技术规范化、标准化，各项措施保障力度弱、</w:t>
            </w:r>
            <w:r>
              <w:rPr>
                <w:rFonts w:hint="eastAsia" w:ascii="宋体" w:hAnsi="宋体" w:eastAsia="宋体" w:cs="宋体"/>
                <w:color w:val="auto"/>
                <w:sz w:val="21"/>
                <w:szCs w:val="21"/>
                <w:highlight w:val="none"/>
                <w:lang w:val="en-US" w:eastAsia="zh-CN"/>
              </w:rPr>
              <w:t>服务标准</w:t>
            </w:r>
            <w:r>
              <w:rPr>
                <w:rFonts w:hint="eastAsia" w:ascii="宋体" w:hAnsi="宋体" w:eastAsia="宋体" w:cs="宋体"/>
                <w:color w:val="auto"/>
                <w:sz w:val="21"/>
                <w:szCs w:val="21"/>
                <w:highlight w:val="none"/>
              </w:rPr>
              <w:t>基本符合相关行业标准或规范</w:t>
            </w:r>
            <w:r>
              <w:rPr>
                <w:rFonts w:hint="eastAsia" w:ascii="宋体" w:hAnsi="宋体" w:eastAsia="宋体" w:cs="宋体"/>
                <w:color w:val="auto"/>
                <w:sz w:val="21"/>
                <w:szCs w:val="21"/>
                <w:highlight w:val="none"/>
                <w:lang w:val="en-US" w:eastAsia="zh-CN"/>
              </w:rPr>
              <w:t>但</w:t>
            </w:r>
            <w:r>
              <w:rPr>
                <w:rFonts w:hint="eastAsia" w:ascii="宋体" w:hAnsi="宋体" w:eastAsia="宋体" w:cs="宋体"/>
                <w:color w:val="auto"/>
                <w:sz w:val="21"/>
                <w:szCs w:val="21"/>
                <w:highlight w:val="none"/>
              </w:rPr>
              <w:t>不影响项目实施的得</w:t>
            </w: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3分；服务技术规范化、标准化欠缺，各项措施缺漏，</w:t>
            </w:r>
            <w:r>
              <w:rPr>
                <w:rFonts w:hint="eastAsia" w:ascii="宋体" w:hAnsi="宋体" w:eastAsia="宋体" w:cs="宋体"/>
                <w:color w:val="auto"/>
                <w:sz w:val="21"/>
                <w:szCs w:val="21"/>
                <w:highlight w:val="none"/>
                <w:lang w:val="en-US" w:eastAsia="zh-CN"/>
              </w:rPr>
              <w:t>服务标准不统一，</w:t>
            </w:r>
            <w:r>
              <w:rPr>
                <w:rFonts w:hint="eastAsia" w:ascii="宋体" w:hAnsi="宋体" w:eastAsia="宋体" w:cs="宋体"/>
                <w:color w:val="auto"/>
                <w:sz w:val="21"/>
                <w:szCs w:val="21"/>
                <w:highlight w:val="none"/>
              </w:rPr>
              <w:t>难以保障项目实施的得</w:t>
            </w:r>
            <w:r>
              <w:rPr>
                <w:rFonts w:hint="eastAsia" w:ascii="宋体" w:hAnsi="宋体" w:eastAsia="宋体" w:cs="宋体"/>
                <w:color w:val="auto"/>
                <w:sz w:val="21"/>
                <w:szCs w:val="21"/>
                <w:highlight w:val="none"/>
                <w:lang w:val="en-US" w:eastAsia="zh-CN"/>
              </w:rPr>
              <w:t>0-</w:t>
            </w:r>
            <w:r>
              <w:rPr>
                <w:rFonts w:hint="eastAsia" w:ascii="宋体" w:hAnsi="宋体" w:eastAsia="宋体" w:cs="宋体"/>
                <w:color w:val="auto"/>
                <w:sz w:val="21"/>
                <w:szCs w:val="21"/>
                <w:highlight w:val="none"/>
              </w:rPr>
              <w:t>1分。</w:t>
            </w:r>
          </w:p>
        </w:tc>
      </w:tr>
      <w:tr w14:paraId="361FCA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1139" w:type="dxa"/>
            <w:vMerge w:val="continue"/>
            <w:noWrap/>
            <w:vAlign w:val="center"/>
          </w:tcPr>
          <w:p w14:paraId="225F40C4">
            <w:pPr>
              <w:pStyle w:val="117"/>
              <w:shd w:val="clear"/>
              <w:spacing w:line="360" w:lineRule="auto"/>
              <w:ind w:firstLine="480"/>
              <w:jc w:val="center"/>
              <w:rPr>
                <w:rFonts w:hint="eastAsia" w:ascii="宋体" w:hAnsi="宋体" w:eastAsia="宋体" w:cs="宋体"/>
                <w:color w:val="auto"/>
                <w:sz w:val="21"/>
                <w:szCs w:val="21"/>
                <w:highlight w:val="none"/>
              </w:rPr>
            </w:pPr>
          </w:p>
        </w:tc>
        <w:tc>
          <w:tcPr>
            <w:tcW w:w="1310" w:type="dxa"/>
            <w:vMerge w:val="continue"/>
            <w:noWrap/>
            <w:vAlign w:val="center"/>
          </w:tcPr>
          <w:p w14:paraId="577675C1">
            <w:pPr>
              <w:pStyle w:val="117"/>
              <w:shd w:val="clear"/>
              <w:spacing w:line="360" w:lineRule="auto"/>
              <w:ind w:firstLine="0" w:firstLineChars="0"/>
              <w:jc w:val="center"/>
              <w:rPr>
                <w:rFonts w:hint="eastAsia" w:ascii="宋体" w:hAnsi="宋体" w:eastAsia="宋体" w:cs="宋体"/>
                <w:color w:val="auto"/>
                <w:sz w:val="21"/>
                <w:szCs w:val="21"/>
                <w:highlight w:val="none"/>
              </w:rPr>
            </w:pPr>
          </w:p>
        </w:tc>
        <w:tc>
          <w:tcPr>
            <w:tcW w:w="7048" w:type="dxa"/>
            <w:noWrap/>
            <w:vAlign w:val="center"/>
          </w:tcPr>
          <w:p w14:paraId="30AB3671">
            <w:pPr>
              <w:pStyle w:val="117"/>
              <w:shd w:val="clear"/>
              <w:spacing w:line="360" w:lineRule="auto"/>
              <w:ind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突发事件处理方案（5分）</w:t>
            </w:r>
          </w:p>
          <w:p w14:paraId="052B91E5">
            <w:pPr>
              <w:pStyle w:val="117"/>
              <w:shd w:val="clear"/>
              <w:spacing w:line="360" w:lineRule="auto"/>
              <w:ind w:firstLine="0" w:firstLineChars="0"/>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eastAsia="zh-CN"/>
              </w:rPr>
              <w:t>供应商</w:t>
            </w:r>
            <w:r>
              <w:rPr>
                <w:rFonts w:hint="eastAsia" w:ascii="宋体" w:hAnsi="宋体" w:eastAsia="宋体" w:cs="宋体"/>
                <w:color w:val="auto"/>
                <w:sz w:val="21"/>
                <w:szCs w:val="21"/>
                <w:highlight w:val="none"/>
                <w:lang w:val="en-US" w:eastAsia="zh-CN"/>
              </w:rPr>
              <w:t>提供</w:t>
            </w:r>
            <w:r>
              <w:rPr>
                <w:rFonts w:hint="eastAsia" w:ascii="宋体" w:hAnsi="宋体" w:eastAsia="宋体" w:cs="宋体"/>
                <w:color w:val="auto"/>
                <w:sz w:val="21"/>
                <w:szCs w:val="21"/>
                <w:highlight w:val="none"/>
              </w:rPr>
              <w:t>针对本项目的突发事件处理方案</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包括但不限于过往工作经验总结、突发事件处理流程、突发事件处理预案等内容，并进行评议：</w:t>
            </w:r>
          </w:p>
          <w:p w14:paraId="4BDA6C67">
            <w:pPr>
              <w:pStyle w:val="117"/>
              <w:shd w:val="clear"/>
              <w:spacing w:line="360" w:lineRule="auto"/>
              <w:ind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方案</w:t>
            </w:r>
            <w:r>
              <w:rPr>
                <w:rFonts w:hint="eastAsia" w:ascii="宋体" w:hAnsi="宋体" w:eastAsia="宋体" w:cs="宋体"/>
                <w:color w:val="auto"/>
                <w:sz w:val="21"/>
                <w:szCs w:val="21"/>
                <w:highlight w:val="none"/>
                <w:lang w:val="en-US" w:eastAsia="zh-CN"/>
              </w:rPr>
              <w:t>内容</w:t>
            </w:r>
            <w:r>
              <w:rPr>
                <w:rFonts w:hint="eastAsia" w:ascii="宋体" w:hAnsi="宋体" w:eastAsia="宋体" w:cs="宋体"/>
                <w:color w:val="auto"/>
                <w:sz w:val="21"/>
                <w:szCs w:val="21"/>
                <w:highlight w:val="none"/>
              </w:rPr>
              <w:t>贴合实际</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详细完整</w:t>
            </w:r>
            <w:r>
              <w:rPr>
                <w:rFonts w:hint="eastAsia" w:ascii="宋体" w:hAnsi="宋体" w:eastAsia="宋体" w:cs="宋体"/>
                <w:color w:val="auto"/>
                <w:sz w:val="21"/>
                <w:szCs w:val="21"/>
                <w:highlight w:val="none"/>
              </w:rPr>
              <w:t>，处理方式</w:t>
            </w:r>
            <w:r>
              <w:rPr>
                <w:rFonts w:hint="eastAsia" w:ascii="宋体" w:hAnsi="宋体" w:eastAsia="宋体" w:cs="宋体"/>
                <w:color w:val="auto"/>
                <w:sz w:val="21"/>
                <w:szCs w:val="21"/>
                <w:highlight w:val="none"/>
                <w:lang w:val="en-US" w:eastAsia="zh-CN"/>
              </w:rPr>
              <w:t>合理可行</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处理措施</w:t>
            </w:r>
            <w:r>
              <w:rPr>
                <w:rFonts w:hint="eastAsia" w:ascii="宋体" w:hAnsi="宋体" w:eastAsia="宋体" w:cs="宋体"/>
                <w:color w:val="auto"/>
                <w:sz w:val="21"/>
                <w:szCs w:val="21"/>
                <w:highlight w:val="none"/>
              </w:rPr>
              <w:t>可实施性强的得</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5分；</w:t>
            </w:r>
            <w:r>
              <w:rPr>
                <w:rFonts w:hint="eastAsia" w:ascii="宋体" w:hAnsi="宋体" w:eastAsia="宋体" w:cs="宋体"/>
                <w:color w:val="auto"/>
                <w:sz w:val="21"/>
                <w:szCs w:val="21"/>
                <w:highlight w:val="none"/>
                <w:lang w:val="en-US" w:eastAsia="zh-CN"/>
              </w:rPr>
              <w:t>方案内容</w:t>
            </w:r>
            <w:r>
              <w:rPr>
                <w:rFonts w:hint="eastAsia" w:ascii="宋体" w:hAnsi="宋体" w:eastAsia="宋体" w:cs="宋体"/>
                <w:color w:val="auto"/>
                <w:sz w:val="21"/>
                <w:szCs w:val="21"/>
                <w:highlight w:val="none"/>
              </w:rPr>
              <w:t>基本完善</w:t>
            </w:r>
            <w:r>
              <w:rPr>
                <w:rFonts w:hint="eastAsia" w:ascii="宋体" w:hAnsi="宋体" w:eastAsia="宋体" w:cs="宋体"/>
                <w:color w:val="auto"/>
                <w:sz w:val="21"/>
                <w:szCs w:val="21"/>
                <w:highlight w:val="none"/>
                <w:lang w:val="en-US" w:eastAsia="zh-CN"/>
              </w:rPr>
              <w:t>且符合实际情况</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处理方式基本满足要求，处理措施</w:t>
            </w:r>
            <w:r>
              <w:rPr>
                <w:rFonts w:hint="eastAsia" w:ascii="宋体" w:hAnsi="宋体" w:eastAsia="宋体" w:cs="宋体"/>
                <w:color w:val="auto"/>
                <w:sz w:val="21"/>
                <w:szCs w:val="21"/>
                <w:highlight w:val="none"/>
              </w:rPr>
              <w:t>可实施性不高的得</w:t>
            </w: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3分；处理方式简单，方案可行性低，难以满足突发事件处理要求的得</w:t>
            </w:r>
            <w:r>
              <w:rPr>
                <w:rFonts w:hint="eastAsia" w:ascii="宋体" w:hAnsi="宋体" w:eastAsia="宋体" w:cs="宋体"/>
                <w:color w:val="auto"/>
                <w:sz w:val="21"/>
                <w:szCs w:val="21"/>
                <w:highlight w:val="none"/>
                <w:lang w:val="en-US" w:eastAsia="zh-CN"/>
              </w:rPr>
              <w:t>0-</w:t>
            </w:r>
            <w:r>
              <w:rPr>
                <w:rFonts w:hint="eastAsia" w:ascii="宋体" w:hAnsi="宋体" w:eastAsia="宋体" w:cs="宋体"/>
                <w:color w:val="auto"/>
                <w:sz w:val="21"/>
                <w:szCs w:val="21"/>
                <w:highlight w:val="none"/>
              </w:rPr>
              <w:t>1分。</w:t>
            </w:r>
          </w:p>
        </w:tc>
      </w:tr>
      <w:tr w14:paraId="3EA4B9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1139" w:type="dxa"/>
            <w:vMerge w:val="continue"/>
            <w:noWrap/>
            <w:vAlign w:val="center"/>
          </w:tcPr>
          <w:p w14:paraId="6BEAA40C">
            <w:pPr>
              <w:pStyle w:val="117"/>
              <w:shd w:val="clear"/>
              <w:spacing w:line="360" w:lineRule="auto"/>
              <w:ind w:firstLine="480"/>
              <w:jc w:val="center"/>
              <w:rPr>
                <w:rFonts w:hint="eastAsia" w:ascii="宋体" w:hAnsi="宋体" w:eastAsia="宋体" w:cs="宋体"/>
                <w:color w:val="auto"/>
                <w:sz w:val="21"/>
                <w:szCs w:val="21"/>
                <w:highlight w:val="none"/>
              </w:rPr>
            </w:pPr>
          </w:p>
        </w:tc>
        <w:tc>
          <w:tcPr>
            <w:tcW w:w="1310" w:type="dxa"/>
            <w:vMerge w:val="continue"/>
            <w:noWrap/>
            <w:vAlign w:val="center"/>
          </w:tcPr>
          <w:p w14:paraId="1724F280">
            <w:pPr>
              <w:pStyle w:val="117"/>
              <w:shd w:val="clear"/>
              <w:spacing w:line="360" w:lineRule="auto"/>
              <w:ind w:firstLine="0" w:firstLineChars="0"/>
              <w:jc w:val="center"/>
              <w:rPr>
                <w:rFonts w:hint="eastAsia" w:ascii="宋体" w:hAnsi="宋体" w:eastAsia="宋体" w:cs="宋体"/>
                <w:color w:val="auto"/>
                <w:sz w:val="21"/>
                <w:szCs w:val="21"/>
                <w:highlight w:val="none"/>
              </w:rPr>
            </w:pPr>
          </w:p>
        </w:tc>
        <w:tc>
          <w:tcPr>
            <w:tcW w:w="7048" w:type="dxa"/>
            <w:noWrap/>
            <w:vAlign w:val="center"/>
          </w:tcPr>
          <w:p w14:paraId="179B60A5">
            <w:pPr>
              <w:pStyle w:val="117"/>
              <w:shd w:val="clear"/>
              <w:spacing w:line="360" w:lineRule="auto"/>
              <w:ind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事故沟通方案（5分）</w:t>
            </w:r>
          </w:p>
          <w:p w14:paraId="1F7C1445">
            <w:pPr>
              <w:pStyle w:val="117"/>
              <w:shd w:val="clear"/>
              <w:spacing w:line="360" w:lineRule="auto"/>
              <w:ind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供应商</w:t>
            </w:r>
            <w:r>
              <w:rPr>
                <w:rFonts w:hint="eastAsia" w:ascii="宋体" w:hAnsi="宋体" w:eastAsia="宋体" w:cs="宋体"/>
                <w:color w:val="auto"/>
                <w:sz w:val="21"/>
                <w:szCs w:val="21"/>
                <w:highlight w:val="none"/>
                <w:lang w:val="en-US" w:eastAsia="zh-CN"/>
              </w:rPr>
              <w:t>提供</w:t>
            </w:r>
            <w:r>
              <w:rPr>
                <w:rFonts w:hint="eastAsia" w:ascii="宋体" w:hAnsi="宋体" w:eastAsia="宋体" w:cs="宋体"/>
                <w:color w:val="auto"/>
                <w:sz w:val="21"/>
                <w:szCs w:val="21"/>
                <w:highlight w:val="none"/>
              </w:rPr>
              <w:t>针对本项目的事故沟通方案</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包括但不限于具体沟通方案、沟通形式与方法、沟通保障措施等内容，并</w:t>
            </w:r>
            <w:r>
              <w:rPr>
                <w:rFonts w:hint="eastAsia" w:ascii="宋体" w:hAnsi="宋体" w:eastAsia="宋体" w:cs="宋体"/>
                <w:color w:val="auto"/>
                <w:sz w:val="21"/>
                <w:szCs w:val="21"/>
                <w:highlight w:val="none"/>
              </w:rPr>
              <w:t>进行评议：能够根据事故的大小提供形式多样、灵活机动的沟通方案，提供专员定期与采购人沟通，保障措施有力的得</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5分；根据事故的大小提供的沟通方案形式单一、缺乏机动性，有专员定期与采购人沟通，保障措施力度低的得</w:t>
            </w: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3分；方案无等级之分、笼统不完整，缺乏与采购人沟通，保障措施差的得</w:t>
            </w:r>
            <w:r>
              <w:rPr>
                <w:rFonts w:hint="eastAsia" w:ascii="宋体" w:hAnsi="宋体" w:eastAsia="宋体" w:cs="宋体"/>
                <w:color w:val="auto"/>
                <w:sz w:val="21"/>
                <w:szCs w:val="21"/>
                <w:highlight w:val="none"/>
                <w:lang w:val="en-US" w:eastAsia="zh-CN"/>
              </w:rPr>
              <w:t>0-</w:t>
            </w:r>
            <w:r>
              <w:rPr>
                <w:rFonts w:hint="eastAsia" w:ascii="宋体" w:hAnsi="宋体" w:eastAsia="宋体" w:cs="宋体"/>
                <w:color w:val="auto"/>
                <w:sz w:val="21"/>
                <w:szCs w:val="21"/>
                <w:highlight w:val="none"/>
              </w:rPr>
              <w:t>1分。</w:t>
            </w:r>
          </w:p>
        </w:tc>
      </w:tr>
      <w:tr w14:paraId="1B32CA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1139" w:type="dxa"/>
            <w:vMerge w:val="continue"/>
            <w:noWrap/>
            <w:vAlign w:val="center"/>
          </w:tcPr>
          <w:p w14:paraId="05590904">
            <w:pPr>
              <w:pStyle w:val="117"/>
              <w:shd w:val="clear"/>
              <w:spacing w:line="360" w:lineRule="auto"/>
              <w:ind w:firstLine="480"/>
              <w:jc w:val="center"/>
              <w:rPr>
                <w:rFonts w:hint="eastAsia" w:ascii="宋体" w:hAnsi="宋体" w:eastAsia="宋体" w:cs="宋体"/>
                <w:color w:val="auto"/>
                <w:sz w:val="21"/>
                <w:szCs w:val="21"/>
                <w:highlight w:val="none"/>
              </w:rPr>
            </w:pPr>
          </w:p>
        </w:tc>
        <w:tc>
          <w:tcPr>
            <w:tcW w:w="1310" w:type="dxa"/>
            <w:vMerge w:val="continue"/>
            <w:noWrap/>
            <w:vAlign w:val="center"/>
          </w:tcPr>
          <w:p w14:paraId="3C17F0B1">
            <w:pPr>
              <w:pStyle w:val="117"/>
              <w:shd w:val="clear"/>
              <w:spacing w:line="360" w:lineRule="auto"/>
              <w:ind w:firstLine="0" w:firstLineChars="0"/>
              <w:jc w:val="center"/>
              <w:rPr>
                <w:rFonts w:hint="eastAsia" w:ascii="宋体" w:hAnsi="宋体" w:eastAsia="宋体" w:cs="宋体"/>
                <w:color w:val="auto"/>
                <w:sz w:val="21"/>
                <w:szCs w:val="21"/>
                <w:highlight w:val="none"/>
              </w:rPr>
            </w:pPr>
          </w:p>
        </w:tc>
        <w:tc>
          <w:tcPr>
            <w:tcW w:w="7048" w:type="dxa"/>
            <w:noWrap/>
            <w:vAlign w:val="center"/>
          </w:tcPr>
          <w:p w14:paraId="488D060A">
            <w:pPr>
              <w:pStyle w:val="117"/>
              <w:shd w:val="clear"/>
              <w:spacing w:line="360" w:lineRule="auto"/>
              <w:ind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质量保证措施（5 分）</w:t>
            </w:r>
          </w:p>
          <w:p w14:paraId="228FC910">
            <w:pPr>
              <w:pStyle w:val="117"/>
              <w:shd w:val="clear"/>
              <w:spacing w:line="360" w:lineRule="auto"/>
              <w:ind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供应商</w:t>
            </w:r>
            <w:r>
              <w:rPr>
                <w:rFonts w:hint="eastAsia" w:ascii="宋体" w:hAnsi="宋体" w:eastAsia="宋体" w:cs="宋体"/>
                <w:color w:val="auto"/>
                <w:sz w:val="21"/>
                <w:szCs w:val="21"/>
                <w:highlight w:val="none"/>
                <w:lang w:val="en-US" w:eastAsia="zh-CN"/>
              </w:rPr>
              <w:t>提供</w:t>
            </w:r>
            <w:r>
              <w:rPr>
                <w:rFonts w:hint="eastAsia" w:ascii="宋体" w:hAnsi="宋体" w:eastAsia="宋体" w:cs="宋体"/>
                <w:color w:val="auto"/>
                <w:sz w:val="21"/>
                <w:szCs w:val="21"/>
                <w:highlight w:val="none"/>
              </w:rPr>
              <w:t>针对本项目的质量保证措施</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包括但不限于质量管理体系、监督机制、责任制度、保障措施等内容，并</w:t>
            </w:r>
            <w:r>
              <w:rPr>
                <w:rFonts w:hint="eastAsia" w:ascii="宋体" w:hAnsi="宋体" w:eastAsia="宋体" w:cs="宋体"/>
                <w:color w:val="auto"/>
                <w:sz w:val="21"/>
                <w:szCs w:val="21"/>
                <w:highlight w:val="none"/>
              </w:rPr>
              <w:t xml:space="preserve">进行评议：质量体系健全有效，建有岗位责任制和质量监督制度，职责分工明确，大小事故各项保障措施有力的得 </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5 分；体系及保障措施有部分欠妥，</w:t>
            </w:r>
            <w:r>
              <w:rPr>
                <w:rFonts w:hint="eastAsia" w:ascii="宋体" w:hAnsi="宋体" w:eastAsia="宋体" w:cs="宋体"/>
                <w:color w:val="auto"/>
                <w:sz w:val="21"/>
                <w:szCs w:val="21"/>
                <w:highlight w:val="none"/>
                <w:lang w:val="en-US" w:eastAsia="zh-CN"/>
              </w:rPr>
              <w:t>制度内容基本完善、责任基本明确</w:t>
            </w:r>
            <w:r>
              <w:rPr>
                <w:rFonts w:hint="eastAsia" w:ascii="宋体" w:hAnsi="宋体" w:eastAsia="宋体" w:cs="宋体"/>
                <w:color w:val="auto"/>
                <w:sz w:val="21"/>
                <w:szCs w:val="21"/>
                <w:highlight w:val="none"/>
              </w:rPr>
              <w:t xml:space="preserve">但不影响大小事故履约的得 </w:t>
            </w: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3 分；体系及措施过于笼统</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制度内容不合理，责任划分不明确，</w:t>
            </w:r>
            <w:r>
              <w:rPr>
                <w:rFonts w:hint="eastAsia" w:ascii="宋体" w:hAnsi="宋体" w:eastAsia="宋体" w:cs="宋体"/>
                <w:color w:val="auto"/>
                <w:sz w:val="21"/>
                <w:szCs w:val="21"/>
                <w:highlight w:val="none"/>
              </w:rPr>
              <w:t xml:space="preserve">无法保洁事故鉴定实施的得 </w:t>
            </w:r>
            <w:r>
              <w:rPr>
                <w:rFonts w:hint="eastAsia" w:ascii="宋体" w:hAnsi="宋体" w:eastAsia="宋体" w:cs="宋体"/>
                <w:color w:val="auto"/>
                <w:sz w:val="21"/>
                <w:szCs w:val="21"/>
                <w:highlight w:val="none"/>
                <w:lang w:val="en-US" w:eastAsia="zh-CN"/>
              </w:rPr>
              <w:t>0-</w:t>
            </w:r>
            <w:r>
              <w:rPr>
                <w:rFonts w:hint="eastAsia" w:ascii="宋体" w:hAnsi="宋体" w:eastAsia="宋体" w:cs="宋体"/>
                <w:color w:val="auto"/>
                <w:sz w:val="21"/>
                <w:szCs w:val="21"/>
                <w:highlight w:val="none"/>
              </w:rPr>
              <w:t>1 分。</w:t>
            </w:r>
          </w:p>
        </w:tc>
      </w:tr>
      <w:tr w14:paraId="096BFF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3" w:hRule="atLeast"/>
          <w:jc w:val="center"/>
        </w:trPr>
        <w:tc>
          <w:tcPr>
            <w:tcW w:w="1139" w:type="dxa"/>
            <w:vMerge w:val="continue"/>
            <w:noWrap/>
            <w:vAlign w:val="center"/>
          </w:tcPr>
          <w:p w14:paraId="4DCDA2A2">
            <w:pPr>
              <w:pStyle w:val="117"/>
              <w:shd w:val="clear"/>
              <w:spacing w:line="360" w:lineRule="auto"/>
              <w:ind w:firstLine="480"/>
              <w:jc w:val="center"/>
              <w:rPr>
                <w:rFonts w:hint="eastAsia" w:ascii="宋体" w:hAnsi="宋体" w:eastAsia="宋体" w:cs="宋体"/>
                <w:color w:val="auto"/>
                <w:sz w:val="21"/>
                <w:szCs w:val="21"/>
                <w:highlight w:val="none"/>
              </w:rPr>
            </w:pPr>
          </w:p>
        </w:tc>
        <w:tc>
          <w:tcPr>
            <w:tcW w:w="1310" w:type="dxa"/>
            <w:noWrap/>
            <w:vAlign w:val="center"/>
          </w:tcPr>
          <w:p w14:paraId="0294A3B5">
            <w:pPr>
              <w:widowControl/>
              <w:shd w:val="clear"/>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人员管理制度（</w:t>
            </w:r>
            <w:r>
              <w:rPr>
                <w:rFonts w:hint="eastAsia" w:ascii="宋体" w:hAnsi="宋体" w:cs="宋体"/>
                <w:color w:val="auto"/>
                <w:kern w:val="0"/>
                <w:sz w:val="21"/>
                <w:szCs w:val="21"/>
                <w:highlight w:val="none"/>
                <w:lang w:val="en-US" w:eastAsia="zh-CN"/>
              </w:rPr>
              <w:t>4</w:t>
            </w:r>
            <w:r>
              <w:rPr>
                <w:rFonts w:hint="eastAsia" w:ascii="宋体" w:hAnsi="宋体" w:eastAsia="宋体" w:cs="宋体"/>
                <w:color w:val="auto"/>
                <w:kern w:val="0"/>
                <w:sz w:val="21"/>
                <w:szCs w:val="21"/>
                <w:highlight w:val="none"/>
              </w:rPr>
              <w:t xml:space="preserve"> 分）</w:t>
            </w:r>
          </w:p>
        </w:tc>
        <w:tc>
          <w:tcPr>
            <w:tcW w:w="7048" w:type="dxa"/>
            <w:noWrap/>
            <w:vAlign w:val="center"/>
          </w:tcPr>
          <w:p w14:paraId="45A7CC24">
            <w:pPr>
              <w:widowControl/>
              <w:shd w:val="clear"/>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人员管理制度（</w:t>
            </w:r>
            <w:r>
              <w:rPr>
                <w:rFonts w:hint="eastAsia" w:ascii="宋体" w:hAnsi="宋体" w:cs="宋体"/>
                <w:color w:val="auto"/>
                <w:kern w:val="0"/>
                <w:sz w:val="21"/>
                <w:szCs w:val="21"/>
                <w:highlight w:val="none"/>
                <w:lang w:val="en-US" w:eastAsia="zh-CN"/>
              </w:rPr>
              <w:t>4</w:t>
            </w:r>
            <w:r>
              <w:rPr>
                <w:rFonts w:hint="eastAsia" w:ascii="宋体" w:hAnsi="宋体" w:eastAsia="宋体" w:cs="宋体"/>
                <w:color w:val="auto"/>
                <w:kern w:val="0"/>
                <w:sz w:val="21"/>
                <w:szCs w:val="21"/>
                <w:highlight w:val="none"/>
              </w:rPr>
              <w:t xml:space="preserve"> 分） </w:t>
            </w:r>
          </w:p>
          <w:p w14:paraId="2004D0DA">
            <w:pPr>
              <w:widowControl/>
              <w:shd w:val="clear"/>
              <w:spacing w:line="360" w:lineRule="auto"/>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供应商</w:t>
            </w:r>
            <w:r>
              <w:rPr>
                <w:rFonts w:hint="eastAsia" w:ascii="宋体" w:hAnsi="宋体" w:eastAsia="宋体" w:cs="宋体"/>
                <w:color w:val="auto"/>
                <w:sz w:val="21"/>
                <w:szCs w:val="21"/>
                <w:highlight w:val="none"/>
                <w:lang w:val="en-US" w:eastAsia="zh-CN"/>
              </w:rPr>
              <w:t>提供</w:t>
            </w:r>
            <w:r>
              <w:rPr>
                <w:rFonts w:hint="eastAsia" w:ascii="宋体" w:hAnsi="宋体" w:eastAsia="宋体" w:cs="宋体"/>
                <w:color w:val="auto"/>
                <w:sz w:val="21"/>
                <w:szCs w:val="21"/>
                <w:highlight w:val="none"/>
              </w:rPr>
              <w:t>针对本项目的</w:t>
            </w:r>
            <w:r>
              <w:rPr>
                <w:rFonts w:hint="eastAsia" w:ascii="宋体" w:hAnsi="宋体" w:eastAsia="宋体" w:cs="宋体"/>
                <w:color w:val="auto"/>
                <w:kern w:val="0"/>
                <w:sz w:val="21"/>
                <w:szCs w:val="21"/>
                <w:highlight w:val="none"/>
              </w:rPr>
              <w:t>人员管理制度</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包括但不限于管理方案</w:t>
            </w:r>
            <w:r>
              <w:rPr>
                <w:rFonts w:hint="eastAsia" w:ascii="宋体" w:hAnsi="宋体" w:cs="宋体"/>
                <w:color w:val="auto"/>
                <w:sz w:val="21"/>
                <w:szCs w:val="21"/>
                <w:highlight w:val="none"/>
                <w:lang w:val="en-US" w:eastAsia="zh-CN"/>
              </w:rPr>
              <w:t>0-1分</w:t>
            </w:r>
            <w:r>
              <w:rPr>
                <w:rFonts w:hint="eastAsia" w:ascii="宋体" w:hAnsi="宋体" w:eastAsia="宋体" w:cs="宋体"/>
                <w:color w:val="auto"/>
                <w:sz w:val="21"/>
                <w:szCs w:val="21"/>
                <w:highlight w:val="none"/>
                <w:lang w:val="en-US" w:eastAsia="zh-CN"/>
              </w:rPr>
              <w:t>、内部考核方案</w:t>
            </w:r>
            <w:r>
              <w:rPr>
                <w:rFonts w:hint="eastAsia" w:ascii="宋体" w:hAnsi="宋体" w:cs="宋体"/>
                <w:color w:val="auto"/>
                <w:sz w:val="21"/>
                <w:szCs w:val="21"/>
                <w:highlight w:val="none"/>
                <w:lang w:val="en-US" w:eastAsia="zh-CN"/>
              </w:rPr>
              <w:t>0-1分</w:t>
            </w:r>
            <w:r>
              <w:rPr>
                <w:rFonts w:hint="eastAsia" w:ascii="宋体" w:hAnsi="宋体" w:eastAsia="宋体" w:cs="宋体"/>
                <w:color w:val="auto"/>
                <w:sz w:val="21"/>
                <w:szCs w:val="21"/>
                <w:highlight w:val="none"/>
                <w:lang w:val="en-US" w:eastAsia="zh-CN"/>
              </w:rPr>
              <w:t>、奖惩制度等内容进行评审0-</w:t>
            </w:r>
            <w:r>
              <w:rPr>
                <w:rFonts w:hint="eastAsia" w:ascii="宋体" w:hAnsi="宋体" w:cs="宋体"/>
                <w:color w:val="auto"/>
                <w:sz w:val="21"/>
                <w:szCs w:val="21"/>
                <w:highlight w:val="none"/>
                <w:lang w:val="en-US" w:eastAsia="zh-CN"/>
              </w:rPr>
              <w:t>2</w:t>
            </w:r>
            <w:r>
              <w:rPr>
                <w:rFonts w:hint="eastAsia" w:ascii="宋体" w:hAnsi="宋体" w:eastAsia="宋体" w:cs="宋体"/>
                <w:color w:val="auto"/>
                <w:sz w:val="21"/>
                <w:szCs w:val="21"/>
                <w:highlight w:val="none"/>
                <w:lang w:val="en-US" w:eastAsia="zh-CN"/>
              </w:rPr>
              <w:t>分</w:t>
            </w:r>
            <w:r>
              <w:rPr>
                <w:rFonts w:hint="eastAsia" w:ascii="宋体" w:hAnsi="宋体" w:eastAsia="宋体" w:cs="宋体"/>
                <w:color w:val="auto"/>
                <w:sz w:val="21"/>
                <w:szCs w:val="21"/>
                <w:highlight w:val="none"/>
                <w:lang w:eastAsia="zh-CN"/>
              </w:rPr>
              <w:t>。</w:t>
            </w:r>
          </w:p>
        </w:tc>
      </w:tr>
      <w:tr w14:paraId="42C400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3" w:hRule="atLeast"/>
          <w:jc w:val="center"/>
        </w:trPr>
        <w:tc>
          <w:tcPr>
            <w:tcW w:w="1139" w:type="dxa"/>
            <w:vMerge w:val="continue"/>
            <w:noWrap/>
            <w:vAlign w:val="center"/>
          </w:tcPr>
          <w:p w14:paraId="5F10A215">
            <w:pPr>
              <w:pStyle w:val="117"/>
              <w:shd w:val="clear"/>
              <w:spacing w:line="360" w:lineRule="auto"/>
              <w:ind w:firstLine="480"/>
              <w:jc w:val="center"/>
              <w:rPr>
                <w:rFonts w:hint="eastAsia" w:ascii="宋体" w:hAnsi="宋体" w:eastAsia="宋体" w:cs="宋体"/>
                <w:color w:val="auto"/>
                <w:sz w:val="21"/>
                <w:szCs w:val="21"/>
                <w:highlight w:val="none"/>
              </w:rPr>
            </w:pPr>
          </w:p>
        </w:tc>
        <w:tc>
          <w:tcPr>
            <w:tcW w:w="1310" w:type="dxa"/>
            <w:noWrap/>
            <w:vAlign w:val="center"/>
          </w:tcPr>
          <w:p w14:paraId="11A1C0C0">
            <w:pPr>
              <w:widowControl/>
              <w:shd w:val="clear"/>
              <w:spacing w:line="360" w:lineRule="auto"/>
              <w:jc w:val="left"/>
              <w:rPr>
                <w:rFonts w:hint="eastAsia" w:ascii="宋体" w:hAnsi="宋体" w:eastAsia="宋体" w:cs="宋体"/>
                <w:color w:val="auto"/>
                <w:kern w:val="0"/>
                <w:sz w:val="21"/>
                <w:szCs w:val="21"/>
                <w:highlight w:val="none"/>
                <w:lang w:eastAsia="zh-CN"/>
              </w:rPr>
            </w:pPr>
            <w:r>
              <w:rPr>
                <w:rFonts w:hint="eastAsia" w:ascii="宋体" w:hAnsi="宋体" w:cs="宋体"/>
                <w:color w:val="auto"/>
                <w:kern w:val="0"/>
                <w:sz w:val="21"/>
                <w:szCs w:val="21"/>
                <w:highlight w:val="none"/>
                <w:lang w:eastAsia="zh-CN"/>
              </w:rPr>
              <w:t>重点</w:t>
            </w:r>
            <w:r>
              <w:rPr>
                <w:rFonts w:hint="eastAsia" w:ascii="宋体" w:hAnsi="宋体" w:eastAsia="宋体" w:cs="宋体"/>
                <w:color w:val="auto"/>
                <w:kern w:val="0"/>
                <w:sz w:val="21"/>
                <w:szCs w:val="21"/>
                <w:highlight w:val="none"/>
              </w:rPr>
              <w:t>和难点</w:t>
            </w:r>
            <w:r>
              <w:rPr>
                <w:rFonts w:hint="eastAsia" w:ascii="宋体" w:hAnsi="宋体" w:cs="宋体"/>
                <w:color w:val="auto"/>
                <w:kern w:val="0"/>
                <w:sz w:val="21"/>
                <w:szCs w:val="21"/>
                <w:highlight w:val="none"/>
                <w:lang w:eastAsia="zh-CN"/>
              </w:rPr>
              <w:t>方案</w:t>
            </w:r>
            <w:r>
              <w:rPr>
                <w:rFonts w:hint="eastAsia" w:ascii="宋体" w:hAnsi="宋体" w:eastAsia="宋体" w:cs="宋体"/>
                <w:color w:val="auto"/>
                <w:kern w:val="0"/>
                <w:sz w:val="21"/>
                <w:szCs w:val="21"/>
                <w:highlight w:val="none"/>
              </w:rPr>
              <w:t>分析</w:t>
            </w:r>
            <w:r>
              <w:rPr>
                <w:rFonts w:hint="eastAsia" w:ascii="宋体" w:hAnsi="宋体" w:eastAsia="宋体" w:cs="宋体"/>
                <w:color w:val="auto"/>
                <w:kern w:val="0"/>
                <w:sz w:val="21"/>
                <w:szCs w:val="21"/>
                <w:highlight w:val="none"/>
                <w:lang w:eastAsia="zh-CN"/>
              </w:rPr>
              <w:t>（</w:t>
            </w:r>
            <w:r>
              <w:rPr>
                <w:rFonts w:hint="eastAsia" w:ascii="宋体" w:hAnsi="宋体" w:cs="宋体"/>
                <w:color w:val="auto"/>
                <w:kern w:val="0"/>
                <w:sz w:val="21"/>
                <w:szCs w:val="21"/>
                <w:highlight w:val="none"/>
                <w:lang w:val="en-US" w:eastAsia="zh-CN"/>
              </w:rPr>
              <w:t>5</w:t>
            </w:r>
            <w:r>
              <w:rPr>
                <w:rFonts w:hint="eastAsia" w:ascii="宋体" w:hAnsi="宋体" w:eastAsia="宋体" w:cs="宋体"/>
                <w:color w:val="auto"/>
                <w:kern w:val="0"/>
                <w:sz w:val="21"/>
                <w:szCs w:val="21"/>
                <w:highlight w:val="none"/>
                <w:lang w:val="en-US" w:eastAsia="zh-CN"/>
              </w:rPr>
              <w:t>分</w:t>
            </w:r>
            <w:r>
              <w:rPr>
                <w:rFonts w:hint="eastAsia" w:ascii="宋体" w:hAnsi="宋体" w:eastAsia="宋体" w:cs="宋体"/>
                <w:color w:val="auto"/>
                <w:kern w:val="0"/>
                <w:sz w:val="21"/>
                <w:szCs w:val="21"/>
                <w:highlight w:val="none"/>
                <w:lang w:eastAsia="zh-CN"/>
              </w:rPr>
              <w:t>）</w:t>
            </w:r>
          </w:p>
        </w:tc>
        <w:tc>
          <w:tcPr>
            <w:tcW w:w="7048" w:type="dxa"/>
            <w:noWrap/>
            <w:vAlign w:val="center"/>
          </w:tcPr>
          <w:p w14:paraId="0F10B96B">
            <w:pPr>
              <w:widowControl/>
              <w:shd w:val="clear"/>
              <w:spacing w:line="360" w:lineRule="auto"/>
              <w:jc w:val="left"/>
              <w:rPr>
                <w:rFonts w:hint="eastAsia" w:ascii="宋体" w:hAnsi="宋体" w:eastAsia="宋体" w:cs="宋体"/>
                <w:color w:val="auto"/>
                <w:sz w:val="21"/>
                <w:szCs w:val="21"/>
                <w:highlight w:val="none"/>
                <w:lang w:eastAsia="zh-CN"/>
              </w:rPr>
            </w:pPr>
            <w:r>
              <w:rPr>
                <w:rFonts w:hint="eastAsia" w:ascii="宋体" w:hAnsi="宋体" w:cs="仿宋"/>
                <w:szCs w:val="21"/>
              </w:rPr>
              <w:t>针对本项目的</w:t>
            </w:r>
            <w:r>
              <w:rPr>
                <w:rFonts w:hint="eastAsia" w:ascii="宋体" w:hAnsi="宋体" w:cs="仿宋"/>
                <w:szCs w:val="21"/>
                <w:lang w:eastAsia="zh-CN"/>
              </w:rPr>
              <w:t>重点</w:t>
            </w:r>
            <w:r>
              <w:rPr>
                <w:rFonts w:hint="eastAsia" w:ascii="宋体" w:hAnsi="宋体" w:cs="仿宋"/>
                <w:szCs w:val="21"/>
              </w:rPr>
              <w:t>和难点分析：有针对本项目的特点和难点分析</w:t>
            </w:r>
            <w:r>
              <w:rPr>
                <w:rFonts w:hint="eastAsia" w:ascii="宋体" w:hAnsi="宋体" w:cs="仿宋"/>
                <w:szCs w:val="21"/>
                <w:lang w:eastAsia="zh-CN"/>
              </w:rPr>
              <w:t>方案（</w:t>
            </w:r>
            <w:r>
              <w:rPr>
                <w:rFonts w:hint="eastAsia" w:ascii="宋体" w:hAnsi="宋体" w:cs="仿宋"/>
                <w:szCs w:val="21"/>
                <w:lang w:val="en-US" w:eastAsia="zh-CN"/>
              </w:rPr>
              <w:t>0-2分</w:t>
            </w:r>
            <w:r>
              <w:rPr>
                <w:rFonts w:hint="eastAsia" w:ascii="宋体" w:hAnsi="宋体" w:cs="仿宋"/>
                <w:szCs w:val="21"/>
                <w:lang w:eastAsia="zh-CN"/>
              </w:rPr>
              <w:t>）</w:t>
            </w:r>
            <w:r>
              <w:rPr>
                <w:rFonts w:hint="eastAsia" w:ascii="宋体" w:hAnsi="宋体" w:cs="仿宋"/>
                <w:szCs w:val="21"/>
              </w:rPr>
              <w:t>，并提出解决</w:t>
            </w:r>
            <w:r>
              <w:rPr>
                <w:rFonts w:hint="eastAsia" w:ascii="宋体" w:hAnsi="宋体" w:cs="仿宋"/>
                <w:szCs w:val="21"/>
                <w:lang w:eastAsia="zh-CN"/>
              </w:rPr>
              <w:t>重点、难点</w:t>
            </w:r>
            <w:r>
              <w:rPr>
                <w:rFonts w:hint="eastAsia" w:ascii="宋体" w:hAnsi="宋体" w:cs="仿宋"/>
                <w:szCs w:val="21"/>
              </w:rPr>
              <w:t>问题的措施</w:t>
            </w:r>
            <w:r>
              <w:rPr>
                <w:rFonts w:hint="eastAsia" w:ascii="宋体" w:hAnsi="宋体" w:cs="仿宋"/>
                <w:szCs w:val="21"/>
                <w:lang w:eastAsia="zh-CN"/>
              </w:rPr>
              <w:t>（</w:t>
            </w:r>
            <w:r>
              <w:rPr>
                <w:rFonts w:hint="eastAsia" w:ascii="宋体" w:hAnsi="宋体" w:cs="仿宋"/>
                <w:szCs w:val="21"/>
                <w:lang w:val="en-US" w:eastAsia="zh-CN"/>
              </w:rPr>
              <w:t>0-3分）</w:t>
            </w:r>
            <w:r>
              <w:rPr>
                <w:rFonts w:hint="eastAsia" w:ascii="宋体" w:hAnsi="宋体" w:cs="仿宋"/>
                <w:szCs w:val="21"/>
                <w:lang w:val="zh-CN"/>
              </w:rPr>
              <w:t>。</w:t>
            </w:r>
          </w:p>
        </w:tc>
      </w:tr>
      <w:tr w14:paraId="26AE4E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3" w:hRule="atLeast"/>
          <w:jc w:val="center"/>
        </w:trPr>
        <w:tc>
          <w:tcPr>
            <w:tcW w:w="1139" w:type="dxa"/>
            <w:vMerge w:val="continue"/>
            <w:noWrap/>
            <w:vAlign w:val="center"/>
          </w:tcPr>
          <w:p w14:paraId="4A53D844">
            <w:pPr>
              <w:pStyle w:val="117"/>
              <w:shd w:val="clear"/>
              <w:spacing w:line="360" w:lineRule="auto"/>
              <w:ind w:firstLine="480"/>
              <w:jc w:val="center"/>
              <w:rPr>
                <w:rFonts w:hint="eastAsia" w:ascii="宋体" w:hAnsi="宋体" w:eastAsia="宋体" w:cs="宋体"/>
                <w:color w:val="auto"/>
                <w:sz w:val="21"/>
                <w:szCs w:val="21"/>
                <w:highlight w:val="none"/>
              </w:rPr>
            </w:pPr>
          </w:p>
        </w:tc>
        <w:tc>
          <w:tcPr>
            <w:tcW w:w="1310" w:type="dxa"/>
            <w:noWrap/>
            <w:vAlign w:val="center"/>
          </w:tcPr>
          <w:p w14:paraId="672259A7">
            <w:pPr>
              <w:widowControl/>
              <w:shd w:val="clear"/>
              <w:spacing w:line="360" w:lineRule="auto"/>
              <w:jc w:val="left"/>
              <w:rPr>
                <w:rFonts w:hint="eastAsia" w:ascii="宋体" w:hAnsi="宋体" w:eastAsia="宋体" w:cs="宋体"/>
                <w:color w:val="auto"/>
                <w:kern w:val="0"/>
                <w:sz w:val="21"/>
                <w:szCs w:val="21"/>
                <w:highlight w:val="none"/>
                <w:lang w:eastAsia="zh-CN"/>
              </w:rPr>
            </w:pPr>
            <w:r>
              <w:rPr>
                <w:rFonts w:hint="eastAsia" w:ascii="宋体" w:hAnsi="宋体" w:cs="仿宋"/>
                <w:szCs w:val="21"/>
              </w:rPr>
              <w:t>响应时间</w:t>
            </w:r>
            <w:r>
              <w:rPr>
                <w:rFonts w:hint="eastAsia" w:ascii="宋体" w:hAnsi="宋体" w:cs="仿宋"/>
                <w:szCs w:val="21"/>
                <w:lang w:eastAsia="zh-CN"/>
              </w:rPr>
              <w:t>（</w:t>
            </w:r>
            <w:r>
              <w:rPr>
                <w:rFonts w:hint="eastAsia" w:ascii="宋体" w:hAnsi="宋体" w:cs="仿宋"/>
                <w:szCs w:val="21"/>
                <w:lang w:val="en-US" w:eastAsia="zh-CN"/>
              </w:rPr>
              <w:t>3分</w:t>
            </w:r>
            <w:r>
              <w:rPr>
                <w:rFonts w:hint="eastAsia" w:ascii="宋体" w:hAnsi="宋体" w:cs="仿宋"/>
                <w:szCs w:val="21"/>
                <w:lang w:eastAsia="zh-CN"/>
              </w:rPr>
              <w:t>）</w:t>
            </w:r>
          </w:p>
        </w:tc>
        <w:tc>
          <w:tcPr>
            <w:tcW w:w="7048" w:type="dxa"/>
            <w:noWrap/>
            <w:vAlign w:val="center"/>
          </w:tcPr>
          <w:p w14:paraId="25FBB38B">
            <w:pPr>
              <w:rPr>
                <w:rFonts w:hint="eastAsia" w:ascii="宋体" w:hAnsi="宋体" w:cs="仿宋"/>
                <w:szCs w:val="21"/>
              </w:rPr>
            </w:pPr>
            <w:r>
              <w:rPr>
                <w:rFonts w:hint="eastAsia" w:ascii="宋体" w:hAnsi="宋体" w:cs="仿宋"/>
                <w:szCs w:val="21"/>
              </w:rPr>
              <w:t>响应时间：根据投标人承诺在接到招标人通知后，派人赴现场接洽、鉴定的响应时间进行评分。</w:t>
            </w:r>
          </w:p>
          <w:p w14:paraId="6517D1A0">
            <w:pPr>
              <w:rPr>
                <w:rFonts w:hint="eastAsia" w:ascii="宋体" w:hAnsi="宋体" w:cs="仿宋"/>
                <w:szCs w:val="21"/>
              </w:rPr>
            </w:pPr>
            <w:r>
              <w:rPr>
                <w:rFonts w:hint="eastAsia" w:ascii="宋体" w:hAnsi="宋体" w:cs="仿宋"/>
                <w:szCs w:val="21"/>
              </w:rPr>
              <w:t>①对采购人提出的服务要求应在≤0.5时内到达采购人项目所在地，满足要求得3分；</w:t>
            </w:r>
          </w:p>
          <w:p w14:paraId="4AA0E6DF">
            <w:pPr>
              <w:rPr>
                <w:rFonts w:hint="eastAsia" w:ascii="宋体" w:hAnsi="宋体" w:cs="仿宋"/>
                <w:szCs w:val="21"/>
              </w:rPr>
            </w:pPr>
            <w:r>
              <w:rPr>
                <w:rFonts w:hint="eastAsia" w:ascii="宋体" w:hAnsi="宋体" w:cs="仿宋"/>
                <w:szCs w:val="21"/>
              </w:rPr>
              <w:t>②对采购人提出的服务要求在≤1时到达采购人项目所在地，满足要求得2分；</w:t>
            </w:r>
          </w:p>
          <w:p w14:paraId="57F821D3">
            <w:pPr>
              <w:rPr>
                <w:rFonts w:hint="eastAsia" w:ascii="宋体" w:hAnsi="宋体" w:cs="仿宋"/>
                <w:szCs w:val="21"/>
              </w:rPr>
            </w:pPr>
            <w:r>
              <w:rPr>
                <w:rFonts w:hint="eastAsia" w:ascii="宋体" w:hAnsi="宋体" w:cs="仿宋"/>
                <w:szCs w:val="21"/>
              </w:rPr>
              <w:t>③对采购人提出的服务要求在≤2时到达采购人项目所在地，满足要求得1分。</w:t>
            </w:r>
          </w:p>
          <w:p w14:paraId="0D33C6AD">
            <w:pPr>
              <w:rPr>
                <w:rFonts w:hint="eastAsia" w:ascii="宋体" w:hAnsi="宋体" w:eastAsia="宋体" w:cs="仿宋"/>
                <w:szCs w:val="21"/>
                <w:lang w:eastAsia="zh-CN"/>
              </w:rPr>
            </w:pPr>
            <w:r>
              <w:rPr>
                <w:rFonts w:hint="eastAsia" w:ascii="宋体" w:hAnsi="宋体" w:cs="仿宋"/>
                <w:szCs w:val="21"/>
              </w:rPr>
              <w:t>④其余到达时间不得分</w:t>
            </w:r>
            <w:r>
              <w:rPr>
                <w:rFonts w:hint="eastAsia" w:ascii="宋体" w:hAnsi="宋体" w:cs="仿宋"/>
                <w:szCs w:val="21"/>
                <w:lang w:eastAsia="zh-CN"/>
              </w:rPr>
              <w:t>。</w:t>
            </w:r>
          </w:p>
        </w:tc>
      </w:tr>
      <w:tr w14:paraId="32B9D8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139" w:type="dxa"/>
            <w:vMerge w:val="continue"/>
            <w:noWrap/>
            <w:vAlign w:val="center"/>
          </w:tcPr>
          <w:p w14:paraId="79A7AF28">
            <w:pPr>
              <w:pStyle w:val="117"/>
              <w:shd w:val="clear"/>
              <w:spacing w:line="360" w:lineRule="auto"/>
              <w:ind w:firstLine="480"/>
              <w:jc w:val="center"/>
              <w:rPr>
                <w:rFonts w:hint="eastAsia" w:ascii="宋体" w:hAnsi="宋体" w:eastAsia="宋体" w:cs="宋体"/>
                <w:color w:val="auto"/>
                <w:sz w:val="21"/>
                <w:szCs w:val="21"/>
                <w:highlight w:val="none"/>
              </w:rPr>
            </w:pPr>
          </w:p>
        </w:tc>
        <w:tc>
          <w:tcPr>
            <w:tcW w:w="1310" w:type="dxa"/>
            <w:noWrap/>
            <w:vAlign w:val="center"/>
          </w:tcPr>
          <w:p w14:paraId="0B1BDF4E">
            <w:pPr>
              <w:widowControl/>
              <w:shd w:val="clear"/>
              <w:spacing w:line="360" w:lineRule="auto"/>
              <w:jc w:val="left"/>
              <w:rPr>
                <w:rFonts w:hint="eastAsia" w:ascii="宋体" w:hAnsi="宋体" w:cs="仿宋"/>
                <w:szCs w:val="21"/>
              </w:rPr>
            </w:pPr>
            <w:r>
              <w:rPr>
                <w:rFonts w:hint="eastAsia" w:ascii="宋体" w:hAnsi="宋体" w:cs="仿宋"/>
                <w:szCs w:val="21"/>
              </w:rPr>
              <w:t>管理控制</w:t>
            </w:r>
            <w:r>
              <w:rPr>
                <w:rFonts w:hint="eastAsia" w:ascii="宋体" w:hAnsi="宋体" w:eastAsia="宋体" w:cs="宋体"/>
                <w:color w:val="auto"/>
                <w:kern w:val="0"/>
                <w:sz w:val="21"/>
                <w:szCs w:val="21"/>
                <w:highlight w:val="none"/>
              </w:rPr>
              <w:t>（</w:t>
            </w:r>
            <w:r>
              <w:rPr>
                <w:rFonts w:hint="eastAsia" w:ascii="宋体" w:hAnsi="宋体" w:cs="宋体"/>
                <w:color w:val="auto"/>
                <w:kern w:val="0"/>
                <w:sz w:val="21"/>
                <w:szCs w:val="21"/>
                <w:highlight w:val="none"/>
                <w:lang w:val="en-US" w:eastAsia="zh-CN"/>
              </w:rPr>
              <w:t>10</w:t>
            </w:r>
            <w:r>
              <w:rPr>
                <w:rFonts w:hint="eastAsia" w:ascii="宋体" w:hAnsi="宋体" w:eastAsia="宋体" w:cs="宋体"/>
                <w:color w:val="auto"/>
                <w:kern w:val="0"/>
                <w:sz w:val="21"/>
                <w:szCs w:val="21"/>
                <w:highlight w:val="none"/>
              </w:rPr>
              <w:t>分）</w:t>
            </w:r>
          </w:p>
        </w:tc>
        <w:tc>
          <w:tcPr>
            <w:tcW w:w="7048" w:type="dxa"/>
            <w:noWrap/>
            <w:vAlign w:val="center"/>
          </w:tcPr>
          <w:p w14:paraId="2D24ADEB">
            <w:pPr>
              <w:rPr>
                <w:rFonts w:hint="eastAsia" w:ascii="宋体" w:hAnsi="宋体" w:cs="仿宋"/>
                <w:szCs w:val="21"/>
              </w:rPr>
            </w:pPr>
            <w:r>
              <w:rPr>
                <w:rFonts w:hint="eastAsia" w:ascii="宋体" w:hAnsi="宋体" w:cs="仿宋"/>
                <w:szCs w:val="21"/>
              </w:rPr>
              <w:t>管理控制：保密制度</w:t>
            </w:r>
            <w:r>
              <w:rPr>
                <w:rFonts w:hint="eastAsia" w:ascii="宋体" w:hAnsi="宋体" w:cs="仿宋"/>
                <w:szCs w:val="21"/>
                <w:lang w:eastAsia="zh-CN"/>
              </w:rPr>
              <w:t>（</w:t>
            </w:r>
            <w:r>
              <w:rPr>
                <w:rFonts w:hint="eastAsia" w:ascii="宋体" w:hAnsi="宋体" w:cs="仿宋"/>
                <w:szCs w:val="21"/>
                <w:lang w:val="en-US" w:eastAsia="zh-CN"/>
              </w:rPr>
              <w:t>0-1分</w:t>
            </w:r>
            <w:r>
              <w:rPr>
                <w:rFonts w:hint="eastAsia" w:ascii="宋体" w:hAnsi="宋体" w:cs="仿宋"/>
                <w:szCs w:val="21"/>
                <w:lang w:eastAsia="zh-CN"/>
              </w:rPr>
              <w:t>）</w:t>
            </w:r>
            <w:r>
              <w:rPr>
                <w:rFonts w:hint="eastAsia" w:ascii="宋体" w:hAnsi="宋体" w:cs="仿宋"/>
                <w:szCs w:val="21"/>
              </w:rPr>
              <w:t>、回避管理制度</w:t>
            </w:r>
            <w:r>
              <w:rPr>
                <w:rFonts w:hint="eastAsia" w:ascii="宋体" w:hAnsi="宋体" w:cs="仿宋"/>
                <w:szCs w:val="21"/>
                <w:lang w:eastAsia="zh-CN"/>
              </w:rPr>
              <w:t>（</w:t>
            </w:r>
            <w:r>
              <w:rPr>
                <w:rFonts w:hint="eastAsia" w:ascii="宋体" w:hAnsi="宋体" w:cs="仿宋"/>
                <w:szCs w:val="21"/>
                <w:lang w:val="en-US" w:eastAsia="zh-CN"/>
              </w:rPr>
              <w:t>0-1分</w:t>
            </w:r>
            <w:r>
              <w:rPr>
                <w:rFonts w:hint="eastAsia" w:ascii="宋体" w:hAnsi="宋体" w:cs="仿宋"/>
                <w:szCs w:val="21"/>
                <w:lang w:eastAsia="zh-CN"/>
              </w:rPr>
              <w:t>）</w:t>
            </w:r>
            <w:r>
              <w:rPr>
                <w:rFonts w:hint="eastAsia" w:ascii="宋体" w:hAnsi="宋体" w:cs="仿宋"/>
                <w:szCs w:val="21"/>
              </w:rPr>
              <w:t>、仪器设备管理制度</w:t>
            </w:r>
            <w:r>
              <w:rPr>
                <w:rFonts w:hint="eastAsia" w:ascii="宋体" w:hAnsi="宋体" w:cs="仿宋"/>
                <w:szCs w:val="21"/>
                <w:lang w:eastAsia="zh-CN"/>
              </w:rPr>
              <w:t>（</w:t>
            </w:r>
            <w:r>
              <w:rPr>
                <w:rFonts w:hint="eastAsia" w:ascii="宋体" w:hAnsi="宋体" w:cs="仿宋"/>
                <w:szCs w:val="21"/>
                <w:lang w:val="en-US" w:eastAsia="zh-CN"/>
              </w:rPr>
              <w:t>0-1分</w:t>
            </w:r>
            <w:r>
              <w:rPr>
                <w:rFonts w:hint="eastAsia" w:ascii="宋体" w:hAnsi="宋体" w:cs="仿宋"/>
                <w:szCs w:val="21"/>
                <w:lang w:eastAsia="zh-CN"/>
              </w:rPr>
              <w:t>）</w:t>
            </w:r>
            <w:r>
              <w:rPr>
                <w:rFonts w:hint="eastAsia" w:ascii="宋体" w:hAnsi="宋体" w:cs="仿宋"/>
                <w:szCs w:val="21"/>
              </w:rPr>
              <w:t>、出庭制度</w:t>
            </w:r>
            <w:r>
              <w:rPr>
                <w:rFonts w:hint="eastAsia" w:ascii="宋体" w:hAnsi="宋体" w:cs="仿宋"/>
                <w:szCs w:val="21"/>
                <w:lang w:eastAsia="zh-CN"/>
              </w:rPr>
              <w:t>（</w:t>
            </w:r>
            <w:r>
              <w:rPr>
                <w:rFonts w:hint="eastAsia" w:ascii="宋体" w:hAnsi="宋体" w:cs="仿宋"/>
                <w:szCs w:val="21"/>
                <w:lang w:val="en-US" w:eastAsia="zh-CN"/>
              </w:rPr>
              <w:t>0-1分</w:t>
            </w:r>
            <w:r>
              <w:rPr>
                <w:rFonts w:hint="eastAsia" w:ascii="宋体" w:hAnsi="宋体" w:cs="仿宋"/>
                <w:szCs w:val="21"/>
                <w:lang w:eastAsia="zh-CN"/>
              </w:rPr>
              <w:t>）</w:t>
            </w:r>
            <w:r>
              <w:rPr>
                <w:rFonts w:hint="eastAsia" w:ascii="宋体" w:hAnsi="宋体" w:cs="仿宋"/>
                <w:szCs w:val="21"/>
              </w:rPr>
              <w:t>、重大事项报告制度</w:t>
            </w:r>
            <w:r>
              <w:rPr>
                <w:rFonts w:hint="eastAsia" w:ascii="宋体" w:hAnsi="宋体" w:cs="仿宋"/>
                <w:szCs w:val="21"/>
                <w:lang w:eastAsia="zh-CN"/>
              </w:rPr>
              <w:t>（</w:t>
            </w:r>
            <w:r>
              <w:rPr>
                <w:rFonts w:hint="eastAsia" w:ascii="宋体" w:hAnsi="宋体" w:cs="仿宋"/>
                <w:szCs w:val="21"/>
                <w:lang w:val="en-US" w:eastAsia="zh-CN"/>
              </w:rPr>
              <w:t>0-1分</w:t>
            </w:r>
            <w:r>
              <w:rPr>
                <w:rFonts w:hint="eastAsia" w:ascii="宋体" w:hAnsi="宋体" w:cs="仿宋"/>
                <w:szCs w:val="21"/>
                <w:lang w:eastAsia="zh-CN"/>
              </w:rPr>
              <w:t>）</w:t>
            </w:r>
            <w:r>
              <w:rPr>
                <w:rFonts w:hint="eastAsia" w:ascii="宋体" w:hAnsi="宋体" w:cs="仿宋"/>
                <w:szCs w:val="21"/>
              </w:rPr>
              <w:t>、教育培训制度</w:t>
            </w:r>
            <w:r>
              <w:rPr>
                <w:rFonts w:hint="eastAsia" w:ascii="宋体" w:hAnsi="宋体" w:cs="仿宋"/>
                <w:szCs w:val="21"/>
                <w:lang w:eastAsia="zh-CN"/>
              </w:rPr>
              <w:t>（</w:t>
            </w:r>
            <w:r>
              <w:rPr>
                <w:rFonts w:hint="eastAsia" w:ascii="宋体" w:hAnsi="宋体" w:cs="仿宋"/>
                <w:szCs w:val="21"/>
                <w:lang w:val="en-US" w:eastAsia="zh-CN"/>
              </w:rPr>
              <w:t>0-1分</w:t>
            </w:r>
            <w:r>
              <w:rPr>
                <w:rFonts w:hint="eastAsia" w:ascii="宋体" w:hAnsi="宋体" w:cs="仿宋"/>
                <w:szCs w:val="21"/>
                <w:lang w:eastAsia="zh-CN"/>
              </w:rPr>
              <w:t>）</w:t>
            </w:r>
            <w:r>
              <w:rPr>
                <w:rFonts w:hint="eastAsia" w:ascii="宋体" w:hAnsi="宋体" w:cs="仿宋"/>
                <w:szCs w:val="21"/>
              </w:rPr>
              <w:t>、机构风险评估管控制度</w:t>
            </w:r>
            <w:r>
              <w:rPr>
                <w:rFonts w:hint="eastAsia" w:ascii="宋体" w:hAnsi="宋体" w:cs="仿宋"/>
                <w:szCs w:val="21"/>
                <w:lang w:eastAsia="zh-CN"/>
              </w:rPr>
              <w:t>（</w:t>
            </w:r>
            <w:r>
              <w:rPr>
                <w:rFonts w:hint="eastAsia" w:ascii="宋体" w:hAnsi="宋体" w:cs="仿宋"/>
                <w:szCs w:val="21"/>
                <w:lang w:val="en-US" w:eastAsia="zh-CN"/>
              </w:rPr>
              <w:t>0-1分</w:t>
            </w:r>
            <w:r>
              <w:rPr>
                <w:rFonts w:hint="eastAsia" w:ascii="宋体" w:hAnsi="宋体" w:cs="仿宋"/>
                <w:szCs w:val="21"/>
                <w:lang w:eastAsia="zh-CN"/>
              </w:rPr>
              <w:t>）</w:t>
            </w:r>
            <w:r>
              <w:rPr>
                <w:rFonts w:hint="eastAsia" w:ascii="宋体" w:hAnsi="宋体" w:cs="仿宋"/>
                <w:szCs w:val="21"/>
              </w:rPr>
              <w:t>、错鉴纠错内部责任追究制度</w:t>
            </w:r>
            <w:r>
              <w:rPr>
                <w:rFonts w:hint="eastAsia" w:ascii="宋体" w:hAnsi="宋体" w:cs="仿宋"/>
                <w:szCs w:val="21"/>
                <w:lang w:eastAsia="zh-CN"/>
              </w:rPr>
              <w:t>（</w:t>
            </w:r>
            <w:r>
              <w:rPr>
                <w:rFonts w:hint="eastAsia" w:ascii="宋体" w:hAnsi="宋体" w:cs="仿宋"/>
                <w:szCs w:val="21"/>
                <w:lang w:val="en-US" w:eastAsia="zh-CN"/>
              </w:rPr>
              <w:t>0-1分</w:t>
            </w:r>
            <w:r>
              <w:rPr>
                <w:rFonts w:hint="eastAsia" w:ascii="宋体" w:hAnsi="宋体" w:cs="仿宋"/>
                <w:szCs w:val="21"/>
                <w:lang w:eastAsia="zh-CN"/>
              </w:rPr>
              <w:t>）</w:t>
            </w:r>
            <w:r>
              <w:rPr>
                <w:rFonts w:hint="eastAsia" w:ascii="宋体" w:hAnsi="宋体" w:cs="仿宋"/>
                <w:szCs w:val="21"/>
              </w:rPr>
              <w:t>、外聘专家管理制度</w:t>
            </w:r>
            <w:r>
              <w:rPr>
                <w:rFonts w:hint="eastAsia" w:ascii="宋体" w:hAnsi="宋体" w:cs="仿宋"/>
                <w:szCs w:val="21"/>
                <w:lang w:eastAsia="zh-CN"/>
              </w:rPr>
              <w:t>（</w:t>
            </w:r>
            <w:r>
              <w:rPr>
                <w:rFonts w:hint="eastAsia" w:ascii="宋体" w:hAnsi="宋体" w:cs="仿宋"/>
                <w:szCs w:val="21"/>
                <w:lang w:val="en-US" w:eastAsia="zh-CN"/>
              </w:rPr>
              <w:t>0-1分</w:t>
            </w:r>
            <w:r>
              <w:rPr>
                <w:rFonts w:hint="eastAsia" w:ascii="宋体" w:hAnsi="宋体" w:cs="仿宋"/>
                <w:szCs w:val="21"/>
                <w:lang w:eastAsia="zh-CN"/>
              </w:rPr>
              <w:t>）</w:t>
            </w:r>
            <w:r>
              <w:rPr>
                <w:rFonts w:hint="eastAsia" w:ascii="宋体" w:hAnsi="宋体" w:cs="仿宋"/>
                <w:szCs w:val="21"/>
              </w:rPr>
              <w:t>、投诉处理制度</w:t>
            </w:r>
            <w:r>
              <w:rPr>
                <w:rFonts w:hint="eastAsia" w:ascii="宋体" w:hAnsi="宋体" w:cs="仿宋"/>
                <w:szCs w:val="21"/>
                <w:lang w:eastAsia="zh-CN"/>
              </w:rPr>
              <w:t>（</w:t>
            </w:r>
            <w:r>
              <w:rPr>
                <w:rFonts w:hint="eastAsia" w:ascii="宋体" w:hAnsi="宋体" w:cs="仿宋"/>
                <w:szCs w:val="21"/>
                <w:lang w:val="en-US" w:eastAsia="zh-CN"/>
              </w:rPr>
              <w:t>0-1分</w:t>
            </w:r>
            <w:r>
              <w:rPr>
                <w:rFonts w:hint="eastAsia" w:ascii="宋体" w:hAnsi="宋体" w:cs="仿宋"/>
                <w:szCs w:val="21"/>
                <w:lang w:eastAsia="zh-CN"/>
              </w:rPr>
              <w:t>）</w:t>
            </w:r>
            <w:r>
              <w:rPr>
                <w:rFonts w:hint="eastAsia" w:ascii="宋体" w:hAnsi="宋体" w:cs="仿宋"/>
                <w:szCs w:val="21"/>
              </w:rPr>
              <w:t>。根据以上制度的完整性、可行性等进行评分。</w:t>
            </w:r>
          </w:p>
        </w:tc>
      </w:tr>
      <w:tr w14:paraId="61EEA7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1139" w:type="dxa"/>
            <w:vMerge w:val="continue"/>
            <w:noWrap/>
            <w:vAlign w:val="center"/>
          </w:tcPr>
          <w:p w14:paraId="2FECA73E">
            <w:pPr>
              <w:pStyle w:val="117"/>
              <w:shd w:val="clear"/>
              <w:spacing w:line="360" w:lineRule="auto"/>
              <w:ind w:firstLine="480"/>
              <w:jc w:val="center"/>
              <w:rPr>
                <w:rFonts w:hint="eastAsia" w:ascii="宋体" w:hAnsi="宋体" w:eastAsia="宋体" w:cs="宋体"/>
                <w:color w:val="auto"/>
                <w:sz w:val="21"/>
                <w:szCs w:val="21"/>
                <w:highlight w:val="none"/>
              </w:rPr>
            </w:pPr>
          </w:p>
        </w:tc>
        <w:tc>
          <w:tcPr>
            <w:tcW w:w="1310" w:type="dxa"/>
            <w:noWrap/>
            <w:vAlign w:val="center"/>
          </w:tcPr>
          <w:p w14:paraId="400741CB">
            <w:pPr>
              <w:widowControl/>
              <w:shd w:val="clear"/>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重大交通事故经验</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分）</w:t>
            </w:r>
          </w:p>
        </w:tc>
        <w:tc>
          <w:tcPr>
            <w:tcW w:w="7048" w:type="dxa"/>
            <w:noWrap/>
            <w:vAlign w:val="center"/>
          </w:tcPr>
          <w:p w14:paraId="1A1343A5">
            <w:pPr>
              <w:widowControl/>
              <w:shd w:val="clear"/>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投标人2022年1月1日至今有参与死亡人数3人及以上的道路交通事故鉴定经验的，每个案例得2分，本项最高得4分。</w:t>
            </w:r>
            <w:r>
              <w:rPr>
                <w:rFonts w:hint="eastAsia" w:ascii="宋体" w:hAnsi="宋体" w:cs="宋体"/>
                <w:color w:val="auto"/>
                <w:sz w:val="21"/>
                <w:szCs w:val="21"/>
                <w:highlight w:val="none"/>
                <w:lang w:val="en-US" w:eastAsia="zh-CN"/>
              </w:rPr>
              <w:t>注</w:t>
            </w:r>
            <w:r>
              <w:rPr>
                <w:rFonts w:hint="eastAsia" w:ascii="宋体" w:hAnsi="宋体" w:eastAsia="宋体" w:cs="宋体"/>
                <w:color w:val="auto"/>
                <w:sz w:val="21"/>
                <w:szCs w:val="21"/>
                <w:highlight w:val="none"/>
                <w:lang w:val="en-US" w:eastAsia="zh-CN"/>
              </w:rPr>
              <w:t>：提供委托书扫描件，未提供不得分。</w:t>
            </w:r>
          </w:p>
        </w:tc>
      </w:tr>
      <w:tr w14:paraId="24B365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1139" w:type="dxa"/>
            <w:vMerge w:val="continue"/>
            <w:noWrap/>
            <w:vAlign w:val="center"/>
          </w:tcPr>
          <w:p w14:paraId="317FBC22">
            <w:pPr>
              <w:pStyle w:val="117"/>
              <w:shd w:val="clear"/>
              <w:spacing w:line="360" w:lineRule="auto"/>
              <w:ind w:firstLine="480"/>
              <w:jc w:val="center"/>
              <w:rPr>
                <w:rFonts w:hint="eastAsia" w:ascii="宋体" w:hAnsi="宋体" w:eastAsia="宋体" w:cs="宋体"/>
                <w:color w:val="auto"/>
                <w:sz w:val="21"/>
                <w:szCs w:val="21"/>
                <w:highlight w:val="none"/>
              </w:rPr>
            </w:pPr>
          </w:p>
        </w:tc>
        <w:tc>
          <w:tcPr>
            <w:tcW w:w="1310" w:type="dxa"/>
            <w:noWrap/>
            <w:vAlign w:val="center"/>
          </w:tcPr>
          <w:p w14:paraId="458C8B1C">
            <w:pPr>
              <w:widowControl/>
              <w:shd w:val="clear"/>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合理化建议（</w:t>
            </w:r>
            <w:r>
              <w:rPr>
                <w:rFonts w:hint="eastAsia" w:ascii="宋体" w:hAnsi="宋体" w:cs="宋体"/>
                <w:color w:val="auto"/>
                <w:kern w:val="0"/>
                <w:sz w:val="21"/>
                <w:szCs w:val="21"/>
                <w:highlight w:val="none"/>
                <w:lang w:val="en-US" w:eastAsia="zh-CN"/>
              </w:rPr>
              <w:t>5</w:t>
            </w:r>
            <w:r>
              <w:rPr>
                <w:rFonts w:hint="eastAsia" w:ascii="宋体" w:hAnsi="宋体" w:eastAsia="宋体" w:cs="宋体"/>
                <w:color w:val="auto"/>
                <w:kern w:val="0"/>
                <w:sz w:val="21"/>
                <w:szCs w:val="21"/>
                <w:highlight w:val="none"/>
              </w:rPr>
              <w:t>分）</w:t>
            </w:r>
          </w:p>
        </w:tc>
        <w:tc>
          <w:tcPr>
            <w:tcW w:w="7048" w:type="dxa"/>
            <w:noWrap/>
            <w:vAlign w:val="center"/>
          </w:tcPr>
          <w:p w14:paraId="1BCB802B">
            <w:pPr>
              <w:widowControl/>
              <w:shd w:val="clear"/>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根据</w:t>
            </w:r>
            <w:r>
              <w:rPr>
                <w:rFonts w:hint="eastAsia" w:ascii="宋体" w:hAnsi="宋体" w:eastAsia="宋体" w:cs="宋体"/>
                <w:color w:val="auto"/>
                <w:sz w:val="21"/>
                <w:szCs w:val="21"/>
                <w:highlight w:val="none"/>
                <w:lang w:eastAsia="zh-CN"/>
              </w:rPr>
              <w:t>供应商</w:t>
            </w:r>
            <w:r>
              <w:rPr>
                <w:rFonts w:hint="eastAsia" w:ascii="宋体" w:hAnsi="宋体" w:eastAsia="宋体" w:cs="宋体"/>
                <w:color w:val="auto"/>
                <w:sz w:val="21"/>
                <w:szCs w:val="21"/>
                <w:highlight w:val="none"/>
              </w:rPr>
              <w:t>对本项目提出的合理化建议进行评分，针对本项目实际情况提供的合理化建议和措施切实有效（0-</w:t>
            </w:r>
            <w:r>
              <w:rPr>
                <w:rFonts w:hint="eastAsia" w:ascii="宋体" w:hAnsi="宋体" w:cs="宋体"/>
                <w:color w:val="auto"/>
                <w:sz w:val="21"/>
                <w:szCs w:val="21"/>
                <w:highlight w:val="none"/>
                <w:lang w:val="en-US" w:eastAsia="zh-CN"/>
              </w:rPr>
              <w:t>2</w:t>
            </w:r>
            <w:r>
              <w:rPr>
                <w:rFonts w:hint="eastAsia" w:ascii="宋体" w:hAnsi="宋体" w:eastAsia="宋体" w:cs="宋体"/>
                <w:color w:val="auto"/>
                <w:sz w:val="21"/>
                <w:szCs w:val="21"/>
                <w:highlight w:val="none"/>
              </w:rPr>
              <w:t>分），投标人的合理化建议或措施有利于项目</w:t>
            </w:r>
            <w:r>
              <w:rPr>
                <w:rFonts w:hint="eastAsia" w:ascii="宋体" w:hAnsi="宋体" w:eastAsia="宋体" w:cs="宋体"/>
                <w:color w:val="auto"/>
                <w:sz w:val="21"/>
                <w:szCs w:val="21"/>
                <w:highlight w:val="none"/>
                <w:lang w:eastAsia="zh-CN"/>
              </w:rPr>
              <w:t>实施</w:t>
            </w:r>
            <w:r>
              <w:rPr>
                <w:rFonts w:hint="eastAsia" w:ascii="宋体" w:hAnsi="宋体" w:eastAsia="宋体" w:cs="宋体"/>
                <w:color w:val="auto"/>
                <w:sz w:val="21"/>
                <w:szCs w:val="21"/>
                <w:highlight w:val="none"/>
              </w:rPr>
              <w:t>（0-</w:t>
            </w:r>
            <w:r>
              <w:rPr>
                <w:rFonts w:hint="eastAsia" w:ascii="宋体" w:hAnsi="宋体" w:cs="宋体"/>
                <w:color w:val="auto"/>
                <w:sz w:val="21"/>
                <w:szCs w:val="21"/>
                <w:highlight w:val="none"/>
                <w:lang w:val="en-US" w:eastAsia="zh-CN"/>
              </w:rPr>
              <w:t>3</w:t>
            </w:r>
            <w:r>
              <w:rPr>
                <w:rFonts w:hint="eastAsia" w:ascii="宋体" w:hAnsi="宋体" w:eastAsia="宋体" w:cs="宋体"/>
                <w:color w:val="auto"/>
                <w:sz w:val="21"/>
                <w:szCs w:val="21"/>
                <w:highlight w:val="none"/>
              </w:rPr>
              <w:t>分）。</w:t>
            </w:r>
          </w:p>
        </w:tc>
      </w:tr>
      <w:tr w14:paraId="1D4625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1139" w:type="dxa"/>
            <w:vMerge w:val="continue"/>
            <w:noWrap/>
            <w:vAlign w:val="center"/>
          </w:tcPr>
          <w:p w14:paraId="684318E0">
            <w:pPr>
              <w:pStyle w:val="117"/>
              <w:shd w:val="clear"/>
              <w:spacing w:line="360" w:lineRule="auto"/>
              <w:ind w:firstLine="480"/>
              <w:jc w:val="center"/>
              <w:rPr>
                <w:rFonts w:hint="eastAsia" w:ascii="宋体" w:hAnsi="宋体" w:eastAsia="宋体" w:cs="宋体"/>
                <w:color w:val="auto"/>
                <w:sz w:val="21"/>
                <w:szCs w:val="21"/>
                <w:highlight w:val="none"/>
              </w:rPr>
            </w:pPr>
          </w:p>
        </w:tc>
        <w:tc>
          <w:tcPr>
            <w:tcW w:w="1310" w:type="dxa"/>
            <w:vMerge w:val="restart"/>
            <w:noWrap/>
            <w:vAlign w:val="center"/>
          </w:tcPr>
          <w:p w14:paraId="618BF586">
            <w:pPr>
              <w:widowControl/>
              <w:shd w:val="clear"/>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lang w:val="zh-TW" w:eastAsia="zh-TW"/>
              </w:rPr>
              <w:t>服务便利性（</w:t>
            </w:r>
            <w:r>
              <w:rPr>
                <w:rFonts w:hint="eastAsia" w:ascii="宋体" w:hAnsi="宋体" w:cs="宋体"/>
                <w:color w:val="auto"/>
                <w:sz w:val="21"/>
                <w:szCs w:val="21"/>
                <w:highlight w:val="none"/>
                <w:lang w:val="en-US" w:eastAsia="zh-CN"/>
              </w:rPr>
              <w:t>4</w:t>
            </w:r>
            <w:r>
              <w:rPr>
                <w:rFonts w:hint="eastAsia" w:ascii="宋体" w:hAnsi="宋体" w:eastAsia="宋体" w:cs="宋体"/>
                <w:color w:val="auto"/>
                <w:sz w:val="21"/>
                <w:szCs w:val="21"/>
                <w:highlight w:val="none"/>
                <w:lang w:val="zh-TW" w:eastAsia="zh-TW"/>
              </w:rPr>
              <w:t xml:space="preserve"> 分）</w:t>
            </w:r>
          </w:p>
        </w:tc>
        <w:tc>
          <w:tcPr>
            <w:tcW w:w="7048" w:type="dxa"/>
            <w:shd w:val="clear" w:color="auto" w:fill="auto"/>
            <w:noWrap/>
            <w:vAlign w:val="center"/>
          </w:tcPr>
          <w:p w14:paraId="7C561000">
            <w:pPr>
              <w:widowControl/>
              <w:shd w:val="clear"/>
              <w:spacing w:line="360" w:lineRule="auto"/>
              <w:jc w:val="left"/>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投标人为本项目提供的工作场所及分布情况是否有利于本项目的开展（如投标人在当地是否有办公场所，如有需提供场地证明或租用协议。如没有，投标人需承诺中标后在当地提供办公场所及相应设备，格式自拟），最高得</w:t>
            </w:r>
            <w:r>
              <w:rPr>
                <w:rFonts w:hint="eastAsia" w:ascii="宋体" w:hAnsi="宋体" w:cs="宋体"/>
                <w:color w:val="auto"/>
                <w:kern w:val="2"/>
                <w:sz w:val="21"/>
                <w:szCs w:val="21"/>
                <w:highlight w:val="none"/>
                <w:lang w:val="en-US" w:eastAsia="zh-CN" w:bidi="ar-SA"/>
              </w:rPr>
              <w:t>1</w:t>
            </w:r>
            <w:r>
              <w:rPr>
                <w:rFonts w:hint="eastAsia" w:ascii="宋体" w:hAnsi="宋体" w:eastAsia="宋体" w:cs="宋体"/>
                <w:color w:val="auto"/>
                <w:kern w:val="2"/>
                <w:sz w:val="21"/>
                <w:szCs w:val="21"/>
                <w:highlight w:val="none"/>
                <w:lang w:val="en-US" w:eastAsia="zh-CN" w:bidi="ar-SA"/>
              </w:rPr>
              <w:t>分。</w:t>
            </w:r>
          </w:p>
        </w:tc>
      </w:tr>
      <w:tr w14:paraId="025B7C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1139" w:type="dxa"/>
            <w:vMerge w:val="continue"/>
            <w:noWrap/>
            <w:vAlign w:val="center"/>
          </w:tcPr>
          <w:p w14:paraId="1FC0E7A9">
            <w:pPr>
              <w:pStyle w:val="117"/>
              <w:shd w:val="clear"/>
              <w:spacing w:line="360" w:lineRule="auto"/>
              <w:ind w:firstLine="480"/>
              <w:jc w:val="center"/>
              <w:rPr>
                <w:rFonts w:hint="eastAsia" w:ascii="宋体" w:hAnsi="宋体" w:eastAsia="宋体" w:cs="宋体"/>
                <w:color w:val="auto"/>
                <w:sz w:val="21"/>
                <w:szCs w:val="21"/>
                <w:highlight w:val="none"/>
              </w:rPr>
            </w:pPr>
          </w:p>
        </w:tc>
        <w:tc>
          <w:tcPr>
            <w:tcW w:w="1310" w:type="dxa"/>
            <w:vMerge w:val="continue"/>
            <w:noWrap/>
            <w:vAlign w:val="center"/>
          </w:tcPr>
          <w:p w14:paraId="044F80E6">
            <w:pPr>
              <w:widowControl/>
              <w:shd w:val="clear"/>
              <w:spacing w:line="360" w:lineRule="auto"/>
              <w:jc w:val="left"/>
              <w:rPr>
                <w:rFonts w:hint="eastAsia" w:ascii="宋体" w:hAnsi="宋体" w:eastAsia="宋体" w:cs="宋体"/>
                <w:color w:val="auto"/>
                <w:kern w:val="0"/>
                <w:sz w:val="21"/>
                <w:szCs w:val="21"/>
                <w:highlight w:val="none"/>
              </w:rPr>
            </w:pPr>
          </w:p>
        </w:tc>
        <w:tc>
          <w:tcPr>
            <w:tcW w:w="7048" w:type="dxa"/>
            <w:shd w:val="clear" w:color="auto" w:fill="auto"/>
            <w:noWrap/>
            <w:vAlign w:val="center"/>
          </w:tcPr>
          <w:p w14:paraId="59587188">
            <w:pPr>
              <w:widowControl/>
              <w:shd w:val="clear"/>
              <w:spacing w:line="360" w:lineRule="auto"/>
              <w:jc w:val="left"/>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lang w:val="zh-TW" w:eastAsia="zh-TW"/>
              </w:rPr>
              <w:t>根据投标人提供的售后服务方案</w:t>
            </w:r>
            <w:r>
              <w:rPr>
                <w:rFonts w:hint="eastAsia" w:ascii="宋体" w:hAnsi="宋体" w:cs="宋体"/>
                <w:color w:val="auto"/>
                <w:sz w:val="21"/>
                <w:szCs w:val="21"/>
                <w:highlight w:val="none"/>
                <w:lang w:val="en-US" w:eastAsia="zh-CN"/>
              </w:rPr>
              <w:t>0-1分</w:t>
            </w:r>
            <w:r>
              <w:rPr>
                <w:rFonts w:hint="eastAsia" w:ascii="宋体" w:hAnsi="宋体" w:eastAsia="宋体" w:cs="宋体"/>
                <w:color w:val="auto"/>
                <w:sz w:val="21"/>
                <w:szCs w:val="21"/>
                <w:highlight w:val="none"/>
                <w:lang w:val="zh-TW" w:eastAsia="zh-TW"/>
              </w:rPr>
              <w:t>、服务内容</w:t>
            </w:r>
            <w:r>
              <w:rPr>
                <w:rFonts w:hint="eastAsia" w:ascii="宋体" w:hAnsi="宋体" w:cs="宋体"/>
                <w:color w:val="auto"/>
                <w:sz w:val="21"/>
                <w:szCs w:val="21"/>
                <w:highlight w:val="none"/>
                <w:lang w:val="en-US" w:eastAsia="zh-CN"/>
              </w:rPr>
              <w:t>0-1分</w:t>
            </w:r>
            <w:r>
              <w:rPr>
                <w:rFonts w:hint="eastAsia" w:ascii="宋体" w:hAnsi="宋体" w:eastAsia="宋体" w:cs="宋体"/>
                <w:color w:val="auto"/>
                <w:sz w:val="21"/>
                <w:szCs w:val="21"/>
                <w:highlight w:val="none"/>
                <w:lang w:val="zh-TW" w:eastAsia="zh-TW"/>
              </w:rPr>
              <w:t>、服务承诺落实的保障措施</w:t>
            </w:r>
            <w:r>
              <w:rPr>
                <w:rFonts w:hint="eastAsia" w:ascii="宋体" w:hAnsi="宋体" w:cs="宋体"/>
                <w:color w:val="auto"/>
                <w:sz w:val="21"/>
                <w:szCs w:val="21"/>
                <w:highlight w:val="none"/>
                <w:lang w:val="en-US" w:eastAsia="zh-CN"/>
              </w:rPr>
              <w:t>0-1分</w:t>
            </w:r>
            <w:r>
              <w:rPr>
                <w:rFonts w:hint="eastAsia" w:ascii="宋体" w:hAnsi="宋体" w:eastAsia="宋体" w:cs="宋体"/>
                <w:color w:val="auto"/>
                <w:sz w:val="21"/>
                <w:szCs w:val="21"/>
                <w:highlight w:val="none"/>
                <w:lang w:val="zh-TW" w:eastAsia="zh-TW"/>
              </w:rPr>
              <w:t>等进行打分。</w:t>
            </w:r>
          </w:p>
        </w:tc>
      </w:tr>
    </w:tbl>
    <w:p w14:paraId="415E8125">
      <w:pPr>
        <w:keepNext w:val="0"/>
        <w:keepLines w:val="0"/>
        <w:pageBreakBefore w:val="0"/>
        <w:widowControl w:val="0"/>
        <w:kinsoku/>
        <w:wordWrap/>
        <w:overflowPunct/>
        <w:topLinePunct w:val="0"/>
        <w:autoSpaceDE/>
        <w:autoSpaceDN/>
        <w:bidi w:val="0"/>
        <w:adjustRightInd/>
        <w:spacing w:line="440" w:lineRule="exact"/>
        <w:ind w:firstLine="422" w:firstLineChars="200"/>
        <w:textAlignment w:val="baseline"/>
        <w:rPr>
          <w:rFonts w:hint="eastAsia" w:ascii="宋体" w:hAnsi="宋体" w:eastAsia="宋体" w:cs="宋体"/>
          <w:b/>
          <w:color w:val="auto"/>
          <w:sz w:val="20"/>
          <w:szCs w:val="21"/>
          <w:highlight w:val="none"/>
          <w:lang w:eastAsia="zh-CN"/>
        </w:rPr>
      </w:pPr>
      <w:r>
        <w:rPr>
          <w:rFonts w:hint="eastAsia" w:ascii="宋体" w:hAnsi="宋体" w:cs="宋体"/>
          <w:b/>
          <w:bCs/>
          <w:color w:val="auto"/>
          <w:highlight w:val="none"/>
        </w:rPr>
        <w:t>四、</w:t>
      </w:r>
      <w:r>
        <w:rPr>
          <w:rFonts w:hint="eastAsia" w:ascii="宋体" w:hAnsi="宋体" w:cs="宋体"/>
          <w:b/>
          <w:color w:val="auto"/>
          <w:szCs w:val="21"/>
          <w:highlight w:val="none"/>
        </w:rPr>
        <w:t>定标办法</w:t>
      </w:r>
    </w:p>
    <w:p w14:paraId="7FB9F617">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baseline"/>
        <w:rPr>
          <w:rFonts w:ascii="宋体" w:hAnsi="宋体" w:cs="宋体"/>
          <w:color w:val="auto"/>
          <w:sz w:val="20"/>
          <w:szCs w:val="21"/>
          <w:highlight w:val="none"/>
        </w:rPr>
      </w:pPr>
      <w:r>
        <w:rPr>
          <w:rFonts w:hint="eastAsia" w:ascii="宋体" w:hAnsi="宋体" w:cs="宋体"/>
          <w:color w:val="auto"/>
          <w:szCs w:val="21"/>
          <w:highlight w:val="none"/>
        </w:rPr>
        <w:t>1.本次招标由磋商小组推荐成交候选人，采购单位根据磋商小组的推荐结果进行最终确认。</w:t>
      </w:r>
    </w:p>
    <w:p w14:paraId="11B924C5">
      <w:pPr>
        <w:keepNext w:val="0"/>
        <w:keepLines w:val="0"/>
        <w:pageBreakBefore w:val="0"/>
        <w:widowControl w:val="0"/>
        <w:tabs>
          <w:tab w:val="left" w:pos="540"/>
        </w:tabs>
        <w:kinsoku/>
        <w:wordWrap/>
        <w:overflowPunct/>
        <w:topLinePunct w:val="0"/>
        <w:autoSpaceDE/>
        <w:autoSpaceDN/>
        <w:bidi w:val="0"/>
        <w:adjustRightInd/>
        <w:spacing w:line="440" w:lineRule="exact"/>
        <w:ind w:firstLine="420" w:firstLineChars="200"/>
        <w:textAlignment w:val="baseline"/>
        <w:rPr>
          <w:rFonts w:ascii="宋体" w:hAnsi="宋体" w:cs="宋体"/>
          <w:color w:val="auto"/>
          <w:sz w:val="20"/>
          <w:szCs w:val="21"/>
          <w:highlight w:val="none"/>
        </w:rPr>
      </w:pPr>
      <w:r>
        <w:rPr>
          <w:rFonts w:hint="eastAsia" w:ascii="宋体" w:hAnsi="宋体" w:cs="宋体"/>
          <w:color w:val="auto"/>
          <w:szCs w:val="21"/>
          <w:highlight w:val="none"/>
        </w:rPr>
        <w:t>2.磋商小组依据法律、法规及招标文件有关规定在有效标中按</w:t>
      </w:r>
      <w:r>
        <w:rPr>
          <w:rFonts w:hint="eastAsia" w:ascii="宋体" w:hAnsi="宋体" w:cs="宋体"/>
          <w:color w:val="auto"/>
          <w:szCs w:val="21"/>
          <w:highlight w:val="none"/>
          <w:lang w:eastAsia="zh-CN"/>
        </w:rPr>
        <w:t>供应商</w:t>
      </w:r>
      <w:r>
        <w:rPr>
          <w:rFonts w:hint="eastAsia" w:ascii="宋体" w:hAnsi="宋体" w:cs="宋体"/>
          <w:color w:val="auto"/>
          <w:szCs w:val="21"/>
          <w:highlight w:val="none"/>
        </w:rPr>
        <w:t>的最终得分【即技术资信分与报价分之和】）由高到低进行排序，综合得分最高的</w:t>
      </w:r>
      <w:r>
        <w:rPr>
          <w:rFonts w:hint="eastAsia" w:ascii="宋体" w:hAnsi="宋体" w:cs="宋体"/>
          <w:color w:val="auto"/>
          <w:szCs w:val="21"/>
          <w:highlight w:val="none"/>
          <w:lang w:eastAsia="zh-CN"/>
        </w:rPr>
        <w:t>供应商</w:t>
      </w:r>
      <w:r>
        <w:rPr>
          <w:rFonts w:hint="eastAsia" w:ascii="宋体" w:hAnsi="宋体" w:cs="宋体"/>
          <w:color w:val="auto"/>
          <w:szCs w:val="21"/>
          <w:highlight w:val="none"/>
        </w:rPr>
        <w:t>作为本项目的成交候选人（得分相同的，按投标报价由低到高顺序排列；得分且投标报价相同的，由</w:t>
      </w:r>
      <w:r>
        <w:rPr>
          <w:rFonts w:hint="eastAsia" w:ascii="宋体" w:hAnsi="宋体" w:cs="宋体"/>
          <w:color w:val="auto"/>
          <w:szCs w:val="21"/>
          <w:highlight w:val="none"/>
          <w:lang w:eastAsia="zh-CN"/>
        </w:rPr>
        <w:t>采购人</w:t>
      </w:r>
      <w:r>
        <w:rPr>
          <w:rFonts w:hint="eastAsia" w:ascii="宋体" w:hAnsi="宋体" w:cs="宋体"/>
          <w:color w:val="auto"/>
          <w:szCs w:val="21"/>
          <w:highlight w:val="none"/>
        </w:rPr>
        <w:t>现场抽签产生成交候选人）。</w:t>
      </w:r>
    </w:p>
    <w:p w14:paraId="56C07122">
      <w:pPr>
        <w:keepNext w:val="0"/>
        <w:keepLines w:val="0"/>
        <w:pageBreakBefore w:val="0"/>
        <w:widowControl w:val="0"/>
        <w:tabs>
          <w:tab w:val="left" w:pos="540"/>
        </w:tabs>
        <w:kinsoku/>
        <w:wordWrap/>
        <w:overflowPunct/>
        <w:topLinePunct w:val="0"/>
        <w:autoSpaceDE/>
        <w:autoSpaceDN/>
        <w:bidi w:val="0"/>
        <w:adjustRightInd/>
        <w:spacing w:line="440" w:lineRule="exact"/>
        <w:ind w:firstLine="420" w:firstLineChars="200"/>
        <w:textAlignment w:val="baseline"/>
        <w:rPr>
          <w:rFonts w:ascii="宋体" w:hAnsi="宋体" w:cs="宋体"/>
          <w:color w:val="auto"/>
          <w:sz w:val="20"/>
          <w:highlight w:val="none"/>
        </w:rPr>
      </w:pPr>
      <w:r>
        <w:rPr>
          <w:rFonts w:hint="eastAsia" w:ascii="宋体" w:hAnsi="宋体" w:cs="宋体"/>
          <w:color w:val="auto"/>
          <w:szCs w:val="21"/>
          <w:highlight w:val="none"/>
        </w:rPr>
        <w:t>3.排名第一的中标候选人因不可抗力提出不能履行合同；或者采购文件规定应当提交履约保证金而在规定的期限内未能提交的；或未能在规定时间内与采购单位签订合同的；或者经质疑，采购单位审查后，确因排名第一的候选人在本次采购活动中存在违法违规行为或其他原因使质疑成立的，采购单位可以按照评标委员会提出的中标候选人名单排序依次确定其他中标候选人为中标人，也可以重新招标。</w:t>
      </w:r>
    </w:p>
    <w:p w14:paraId="5095F55B">
      <w:pPr>
        <w:keepNext w:val="0"/>
        <w:keepLines w:val="0"/>
        <w:pageBreakBefore w:val="0"/>
        <w:widowControl w:val="0"/>
        <w:kinsoku/>
        <w:wordWrap/>
        <w:overflowPunct/>
        <w:topLinePunct w:val="0"/>
        <w:autoSpaceDE/>
        <w:autoSpaceDN/>
        <w:bidi w:val="0"/>
        <w:adjustRightInd/>
        <w:snapToGrid w:val="0"/>
        <w:spacing w:line="440" w:lineRule="exact"/>
        <w:ind w:firstLine="422" w:firstLineChars="200"/>
        <w:textAlignment w:val="baseline"/>
        <w:rPr>
          <w:rFonts w:ascii="宋体" w:hAnsi="宋体" w:cs="宋体"/>
          <w:b/>
          <w:bCs/>
          <w:color w:val="auto"/>
          <w:sz w:val="20"/>
          <w:szCs w:val="21"/>
          <w:highlight w:val="none"/>
          <w:lang w:val="zh-CN"/>
        </w:rPr>
      </w:pPr>
      <w:r>
        <w:rPr>
          <w:rFonts w:hint="eastAsia" w:ascii="宋体" w:hAnsi="宋体" w:cs="宋体"/>
          <w:b/>
          <w:bCs/>
          <w:color w:val="auto"/>
          <w:szCs w:val="21"/>
          <w:highlight w:val="none"/>
        </w:rPr>
        <w:t>五</w:t>
      </w:r>
      <w:r>
        <w:rPr>
          <w:rFonts w:hint="eastAsia" w:ascii="宋体" w:hAnsi="宋体" w:cs="宋体"/>
          <w:b/>
          <w:bCs/>
          <w:color w:val="auto"/>
          <w:szCs w:val="21"/>
          <w:highlight w:val="none"/>
          <w:lang w:val="zh-CN"/>
        </w:rPr>
        <w:t>、</w:t>
      </w:r>
      <w:bookmarkStart w:id="76" w:name="注意事项"/>
      <w:r>
        <w:rPr>
          <w:rFonts w:hint="eastAsia" w:ascii="宋体" w:hAnsi="宋体" w:cs="宋体"/>
          <w:b/>
          <w:bCs/>
          <w:color w:val="auto"/>
          <w:szCs w:val="21"/>
          <w:highlight w:val="none"/>
          <w:lang w:val="zh-CN"/>
        </w:rPr>
        <w:t>注意事项</w:t>
      </w:r>
      <w:bookmarkEnd w:id="76"/>
    </w:p>
    <w:p w14:paraId="3F4BBD72">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baseline"/>
        <w:rPr>
          <w:rFonts w:ascii="宋体" w:hAnsi="宋体" w:cs="宋体"/>
          <w:color w:val="auto"/>
          <w:sz w:val="20"/>
          <w:szCs w:val="21"/>
          <w:highlight w:val="none"/>
        </w:rPr>
      </w:pPr>
      <w:r>
        <w:rPr>
          <w:rFonts w:hint="eastAsia" w:ascii="宋体" w:hAnsi="宋体" w:cs="宋体"/>
          <w:color w:val="auto"/>
          <w:szCs w:val="21"/>
          <w:highlight w:val="none"/>
        </w:rPr>
        <w:t>评审时磋商小组认为</w:t>
      </w:r>
      <w:r>
        <w:rPr>
          <w:rFonts w:hint="eastAsia" w:ascii="宋体" w:hAnsi="宋体" w:cs="宋体"/>
          <w:color w:val="auto"/>
          <w:szCs w:val="21"/>
          <w:highlight w:val="none"/>
          <w:lang w:eastAsia="zh-CN"/>
        </w:rPr>
        <w:t>供应商</w:t>
      </w:r>
      <w:r>
        <w:rPr>
          <w:rFonts w:hint="eastAsia" w:ascii="宋体" w:hAnsi="宋体" w:cs="宋体"/>
          <w:color w:val="auto"/>
          <w:szCs w:val="21"/>
          <w:highlight w:val="none"/>
        </w:rPr>
        <w:t>的报价明显低于其他通过符合性审查</w:t>
      </w:r>
      <w:r>
        <w:rPr>
          <w:rFonts w:hint="eastAsia" w:ascii="宋体" w:hAnsi="宋体" w:cs="宋体"/>
          <w:color w:val="auto"/>
          <w:szCs w:val="21"/>
          <w:highlight w:val="none"/>
          <w:lang w:eastAsia="zh-CN"/>
        </w:rPr>
        <w:t>供应商</w:t>
      </w:r>
      <w:r>
        <w:rPr>
          <w:rFonts w:hint="eastAsia" w:ascii="宋体" w:hAnsi="宋体" w:cs="宋体"/>
          <w:color w:val="auto"/>
          <w:szCs w:val="21"/>
          <w:highlight w:val="none"/>
        </w:rPr>
        <w:t>的报价，有可能影响产品质量或者不能诚信履约的，应当要求其在评标现场合理的时间内提供书面说明，必要时提交相关证明材料；</w:t>
      </w:r>
      <w:r>
        <w:rPr>
          <w:rFonts w:hint="eastAsia" w:ascii="宋体" w:hAnsi="宋体" w:cs="宋体"/>
          <w:color w:val="auto"/>
          <w:szCs w:val="21"/>
          <w:highlight w:val="none"/>
          <w:lang w:eastAsia="zh-CN"/>
        </w:rPr>
        <w:t>供应商</w:t>
      </w:r>
      <w:r>
        <w:rPr>
          <w:rFonts w:hint="eastAsia" w:ascii="宋体" w:hAnsi="宋体" w:cs="宋体"/>
          <w:color w:val="auto"/>
          <w:szCs w:val="21"/>
          <w:highlight w:val="none"/>
        </w:rPr>
        <w:t>不能证明其报价合理性的，磋商小组应当将其作为无效投标处理。</w:t>
      </w:r>
    </w:p>
    <w:p w14:paraId="7872F618">
      <w:pPr>
        <w:keepNext w:val="0"/>
        <w:keepLines w:val="0"/>
        <w:pageBreakBefore w:val="0"/>
        <w:widowControl w:val="0"/>
        <w:kinsoku/>
        <w:wordWrap/>
        <w:overflowPunct/>
        <w:topLinePunct w:val="0"/>
        <w:autoSpaceDE/>
        <w:autoSpaceDN/>
        <w:bidi w:val="0"/>
        <w:adjustRightInd/>
        <w:snapToGrid w:val="0"/>
        <w:spacing w:line="440" w:lineRule="exact"/>
        <w:ind w:firstLine="422" w:firstLineChars="200"/>
        <w:textAlignment w:val="baseline"/>
        <w:rPr>
          <w:rFonts w:ascii="宋体" w:hAnsi="宋体" w:cs="宋体"/>
          <w:b/>
          <w:color w:val="auto"/>
          <w:sz w:val="20"/>
          <w:szCs w:val="21"/>
          <w:highlight w:val="none"/>
        </w:rPr>
      </w:pPr>
      <w:r>
        <w:rPr>
          <w:rFonts w:hint="eastAsia" w:ascii="宋体" w:hAnsi="宋体" w:cs="宋体"/>
          <w:b/>
          <w:color w:val="auto"/>
          <w:szCs w:val="21"/>
          <w:highlight w:val="none"/>
        </w:rPr>
        <w:t>六、</w:t>
      </w:r>
      <w:bookmarkStart w:id="77" w:name="_Toc221356905"/>
      <w:bookmarkStart w:id="78" w:name="_Toc221356968"/>
      <w:r>
        <w:rPr>
          <w:rFonts w:hint="eastAsia" w:ascii="宋体" w:hAnsi="宋体" w:cs="宋体"/>
          <w:b/>
          <w:color w:val="auto"/>
          <w:szCs w:val="21"/>
          <w:highlight w:val="none"/>
          <w:lang w:eastAsia="zh-CN"/>
        </w:rPr>
        <w:t>供应商</w:t>
      </w:r>
      <w:r>
        <w:rPr>
          <w:rFonts w:hint="eastAsia" w:ascii="宋体" w:hAnsi="宋体" w:cs="宋体"/>
          <w:b/>
          <w:color w:val="auto"/>
          <w:szCs w:val="21"/>
          <w:highlight w:val="none"/>
        </w:rPr>
        <w:t>义务</w:t>
      </w:r>
      <w:bookmarkEnd w:id="77"/>
      <w:bookmarkEnd w:id="78"/>
    </w:p>
    <w:p w14:paraId="26CBB892">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baseline"/>
        <w:rPr>
          <w:rFonts w:ascii="宋体" w:hAnsi="宋体" w:cs="宋体"/>
          <w:color w:val="auto"/>
          <w:sz w:val="32"/>
          <w:szCs w:val="32"/>
          <w:highlight w:val="none"/>
        </w:rPr>
      </w:pPr>
      <w:r>
        <w:rPr>
          <w:rFonts w:hint="eastAsia" w:ascii="宋体" w:hAnsi="宋体" w:cs="宋体"/>
          <w:color w:val="auto"/>
          <w:szCs w:val="21"/>
          <w:highlight w:val="none"/>
          <w:lang w:eastAsia="zh-CN"/>
        </w:rPr>
        <w:t>供应商</w:t>
      </w:r>
      <w:r>
        <w:rPr>
          <w:rFonts w:hint="eastAsia" w:ascii="宋体" w:hAnsi="宋体" w:cs="宋体"/>
          <w:color w:val="auto"/>
          <w:szCs w:val="21"/>
          <w:highlight w:val="none"/>
        </w:rPr>
        <w:t>应随时接受磋商小组的询标，解答包括有关的商务、技术问题等。评标结束，所有评标资料存</w:t>
      </w:r>
      <w:r>
        <w:rPr>
          <w:rFonts w:hint="eastAsia" w:ascii="宋体" w:hAnsi="宋体" w:cs="宋体"/>
          <w:color w:val="auto"/>
          <w:szCs w:val="21"/>
          <w:highlight w:val="none"/>
          <w:lang w:eastAsia="zh-CN"/>
        </w:rPr>
        <w:t>采购人</w:t>
      </w:r>
      <w:r>
        <w:rPr>
          <w:rFonts w:hint="eastAsia" w:ascii="宋体" w:hAnsi="宋体" w:cs="宋体"/>
          <w:color w:val="auto"/>
          <w:szCs w:val="21"/>
          <w:highlight w:val="none"/>
        </w:rPr>
        <w:t>备查。</w:t>
      </w:r>
    </w:p>
    <w:p w14:paraId="25FE12D2">
      <w:pPr>
        <w:spacing w:line="360" w:lineRule="auto"/>
        <w:jc w:val="center"/>
        <w:textAlignment w:val="baseline"/>
        <w:rPr>
          <w:rFonts w:ascii="宋体" w:hAnsi="宋体" w:cs="宋体"/>
          <w:color w:val="auto"/>
          <w:sz w:val="32"/>
          <w:szCs w:val="32"/>
          <w:highlight w:val="none"/>
        </w:rPr>
      </w:pPr>
      <w:r>
        <w:rPr>
          <w:rFonts w:hint="eastAsia" w:ascii="宋体" w:hAnsi="宋体" w:cs="宋体"/>
          <w:color w:val="auto"/>
          <w:sz w:val="32"/>
          <w:szCs w:val="32"/>
          <w:highlight w:val="none"/>
        </w:rPr>
        <w:br w:type="page"/>
      </w:r>
    </w:p>
    <w:p w14:paraId="71CA7A13">
      <w:pPr>
        <w:spacing w:line="360" w:lineRule="auto"/>
        <w:jc w:val="center"/>
        <w:textAlignment w:val="baseline"/>
        <w:outlineLvl w:val="0"/>
        <w:rPr>
          <w:rFonts w:ascii="宋体" w:hAnsi="宋体" w:cs="宋体"/>
          <w:b/>
          <w:bCs/>
          <w:color w:val="auto"/>
          <w:sz w:val="36"/>
          <w:szCs w:val="36"/>
          <w:highlight w:val="none"/>
        </w:rPr>
      </w:pPr>
      <w:bookmarkStart w:id="79" w:name="_Toc4286"/>
      <w:r>
        <w:rPr>
          <w:rFonts w:hint="eastAsia" w:ascii="宋体" w:hAnsi="宋体" w:cs="宋体"/>
          <w:b/>
          <w:bCs/>
          <w:color w:val="auto"/>
          <w:sz w:val="32"/>
          <w:szCs w:val="32"/>
          <w:highlight w:val="none"/>
        </w:rPr>
        <w:t>第六章   响应文件格式</w:t>
      </w:r>
      <w:bookmarkEnd w:id="79"/>
    </w:p>
    <w:p w14:paraId="5DD9D450">
      <w:pPr>
        <w:spacing w:line="460" w:lineRule="exact"/>
        <w:textAlignment w:val="baseline"/>
        <w:rPr>
          <w:rFonts w:ascii="宋体" w:hAnsi="宋体" w:cs="宋体"/>
          <w:b/>
          <w:color w:val="auto"/>
          <w:sz w:val="24"/>
          <w:highlight w:val="none"/>
        </w:rPr>
      </w:pPr>
      <w:bookmarkStart w:id="80" w:name="_Toc1460"/>
      <w:bookmarkStart w:id="81" w:name="_Toc20872"/>
      <w:bookmarkStart w:id="82" w:name="_Toc4973"/>
      <w:bookmarkStart w:id="83" w:name="_Toc17187"/>
      <w:r>
        <w:rPr>
          <w:rFonts w:hint="eastAsia" w:ascii="宋体" w:hAnsi="宋体" w:cs="宋体"/>
          <w:b/>
          <w:color w:val="auto"/>
          <w:sz w:val="24"/>
          <w:highlight w:val="none"/>
        </w:rPr>
        <w:t>响应文件封面格式：</w:t>
      </w:r>
      <w:bookmarkEnd w:id="80"/>
      <w:bookmarkEnd w:id="81"/>
      <w:bookmarkEnd w:id="82"/>
      <w:bookmarkEnd w:id="83"/>
      <w:r>
        <w:rPr>
          <w:rFonts w:hint="eastAsia" w:ascii="宋体" w:hAnsi="宋体" w:cs="宋体"/>
          <w:b/>
          <w:color w:val="auto"/>
          <w:sz w:val="24"/>
          <w:highlight w:val="none"/>
        </w:rPr>
        <w:t xml:space="preserve">          </w:t>
      </w:r>
    </w:p>
    <w:p w14:paraId="26ADA8CC">
      <w:pPr>
        <w:pStyle w:val="67"/>
        <w:jc w:val="right"/>
        <w:rPr>
          <w:rFonts w:ascii="宋体" w:hAnsi="宋体" w:cs="宋体"/>
          <w:color w:val="auto"/>
          <w:sz w:val="32"/>
          <w:szCs w:val="32"/>
          <w:highlight w:val="none"/>
        </w:rPr>
      </w:pPr>
    </w:p>
    <w:p w14:paraId="53F9BE09">
      <w:pPr>
        <w:spacing w:before="185"/>
        <w:ind w:right="210"/>
        <w:jc w:val="center"/>
        <w:textAlignment w:val="baseline"/>
        <w:rPr>
          <w:rFonts w:ascii="宋体" w:hAnsi="宋体" w:cs="宋体"/>
          <w:b/>
          <w:bCs/>
          <w:color w:val="auto"/>
          <w:sz w:val="22"/>
          <w:highlight w:val="none"/>
        </w:rPr>
      </w:pPr>
    </w:p>
    <w:p w14:paraId="62977EBE">
      <w:pPr>
        <w:spacing w:before="185"/>
        <w:ind w:right="210"/>
        <w:jc w:val="center"/>
        <w:textAlignment w:val="baseline"/>
        <w:outlineLvl w:val="0"/>
        <w:rPr>
          <w:rFonts w:ascii="宋体" w:hAnsi="宋体" w:cs="宋体"/>
          <w:b/>
          <w:color w:val="auto"/>
          <w:sz w:val="52"/>
          <w:highlight w:val="none"/>
        </w:rPr>
      </w:pPr>
      <w:bookmarkStart w:id="84" w:name="_Toc11145"/>
      <w:bookmarkStart w:id="85" w:name="_Toc24957"/>
      <w:bookmarkStart w:id="86" w:name="_Toc4036"/>
      <w:r>
        <w:rPr>
          <w:rFonts w:hint="eastAsia" w:ascii="宋体" w:hAnsi="宋体" w:cs="宋体"/>
          <w:b/>
          <w:color w:val="auto"/>
          <w:sz w:val="52"/>
          <w:highlight w:val="none"/>
        </w:rPr>
        <w:t>投 标 文 件</w:t>
      </w:r>
      <w:bookmarkEnd w:id="84"/>
      <w:bookmarkEnd w:id="85"/>
      <w:bookmarkEnd w:id="86"/>
    </w:p>
    <w:p w14:paraId="2CD02AB2">
      <w:pPr>
        <w:pStyle w:val="11"/>
        <w:spacing w:before="11"/>
        <w:textAlignment w:val="baseline"/>
        <w:rPr>
          <w:rFonts w:ascii="宋体" w:hAnsi="宋体" w:cs="宋体"/>
          <w:b/>
          <w:color w:val="auto"/>
          <w:sz w:val="69"/>
          <w:highlight w:val="none"/>
        </w:rPr>
      </w:pPr>
    </w:p>
    <w:p w14:paraId="50DBCC4C">
      <w:pPr>
        <w:ind w:right="208"/>
        <w:jc w:val="center"/>
        <w:textAlignment w:val="baseline"/>
        <w:outlineLvl w:val="0"/>
        <w:rPr>
          <w:rFonts w:ascii="宋体" w:hAnsi="宋体" w:cs="宋体"/>
          <w:b/>
          <w:color w:val="auto"/>
          <w:sz w:val="32"/>
          <w:highlight w:val="none"/>
        </w:rPr>
      </w:pPr>
      <w:bookmarkStart w:id="87" w:name="_Toc6466"/>
      <w:bookmarkStart w:id="88" w:name="_Toc29951"/>
      <w:r>
        <w:rPr>
          <w:rFonts w:hint="eastAsia" w:ascii="宋体" w:hAnsi="宋体" w:cs="宋体"/>
          <w:b/>
          <w:color w:val="auto"/>
          <w:sz w:val="32"/>
          <w:highlight w:val="none"/>
          <w:lang w:eastAsia="zh-CN"/>
        </w:rPr>
        <w:t>资格审查文件</w:t>
      </w:r>
      <w:bookmarkEnd w:id="87"/>
      <w:bookmarkEnd w:id="88"/>
    </w:p>
    <w:p w14:paraId="5A216426">
      <w:pPr>
        <w:pStyle w:val="67"/>
        <w:rPr>
          <w:rFonts w:ascii="宋体" w:hAnsi="宋体" w:cs="宋体"/>
          <w:b/>
          <w:color w:val="auto"/>
          <w:sz w:val="32"/>
          <w:highlight w:val="none"/>
        </w:rPr>
      </w:pPr>
    </w:p>
    <w:p w14:paraId="47B46797">
      <w:pPr>
        <w:pStyle w:val="67"/>
        <w:rPr>
          <w:rFonts w:ascii="宋体" w:hAnsi="宋体" w:cs="宋体"/>
          <w:b/>
          <w:color w:val="auto"/>
          <w:sz w:val="32"/>
          <w:highlight w:val="none"/>
        </w:rPr>
      </w:pPr>
    </w:p>
    <w:p w14:paraId="02A6E75E">
      <w:pPr>
        <w:snapToGrid w:val="0"/>
        <w:spacing w:line="720" w:lineRule="auto"/>
        <w:ind w:firstLine="1120" w:firstLineChars="400"/>
        <w:textAlignment w:val="baseline"/>
        <w:rPr>
          <w:rFonts w:ascii="宋体" w:hAnsi="宋体" w:cs="宋体"/>
          <w:color w:val="auto"/>
          <w:sz w:val="28"/>
          <w:szCs w:val="28"/>
          <w:highlight w:val="none"/>
          <w:u w:val="single" w:color="000000"/>
        </w:rPr>
      </w:pPr>
      <w:r>
        <w:rPr>
          <w:rFonts w:hint="eastAsia" w:ascii="宋体" w:hAnsi="宋体" w:cs="宋体"/>
          <w:color w:val="auto"/>
          <w:sz w:val="28"/>
          <w:szCs w:val="28"/>
          <w:highlight w:val="none"/>
        </w:rPr>
        <w:t>项目名称：</w:t>
      </w:r>
      <w:r>
        <w:rPr>
          <w:rFonts w:hint="eastAsia" w:ascii="宋体" w:hAnsi="宋体" w:cs="宋体"/>
          <w:color w:val="auto"/>
          <w:sz w:val="28"/>
          <w:szCs w:val="28"/>
          <w:highlight w:val="none"/>
          <w:u w:val="single" w:color="000000"/>
        </w:rPr>
        <w:t xml:space="preserve">                       </w:t>
      </w:r>
    </w:p>
    <w:p w14:paraId="344864E5">
      <w:pPr>
        <w:snapToGrid w:val="0"/>
        <w:spacing w:line="720" w:lineRule="auto"/>
        <w:ind w:firstLine="1120" w:firstLineChars="400"/>
        <w:textAlignment w:val="baseline"/>
        <w:rPr>
          <w:rFonts w:ascii="宋体" w:hAnsi="宋体" w:cs="宋体"/>
          <w:color w:val="auto"/>
          <w:sz w:val="28"/>
          <w:szCs w:val="28"/>
          <w:highlight w:val="none"/>
        </w:rPr>
      </w:pPr>
      <w:r>
        <w:rPr>
          <w:rFonts w:hint="eastAsia" w:ascii="宋体" w:hAnsi="宋体" w:cs="宋体"/>
          <w:color w:val="auto"/>
          <w:sz w:val="28"/>
          <w:szCs w:val="28"/>
          <w:highlight w:val="none"/>
        </w:rPr>
        <w:t>项目编号：</w:t>
      </w:r>
      <w:r>
        <w:rPr>
          <w:rFonts w:hint="eastAsia" w:ascii="宋体" w:hAnsi="宋体" w:cs="宋体"/>
          <w:color w:val="auto"/>
          <w:sz w:val="28"/>
          <w:szCs w:val="28"/>
          <w:highlight w:val="none"/>
          <w:u w:val="single" w:color="000000"/>
        </w:rPr>
        <w:t>                       </w:t>
      </w:r>
      <w:r>
        <w:rPr>
          <w:rFonts w:hint="eastAsia" w:ascii="宋体" w:hAnsi="宋体" w:cs="宋体"/>
          <w:color w:val="auto"/>
          <w:sz w:val="28"/>
          <w:szCs w:val="28"/>
          <w:highlight w:val="none"/>
        </w:rPr>
        <w:t xml:space="preserve"> </w:t>
      </w:r>
    </w:p>
    <w:p w14:paraId="48622117">
      <w:pPr>
        <w:snapToGrid w:val="0"/>
        <w:spacing w:line="720" w:lineRule="auto"/>
        <w:ind w:firstLine="1120" w:firstLineChars="400"/>
        <w:textAlignment w:val="baseline"/>
        <w:rPr>
          <w:rFonts w:ascii="宋体" w:hAnsi="宋体" w:cs="宋体"/>
          <w:color w:val="auto"/>
          <w:sz w:val="28"/>
          <w:szCs w:val="28"/>
          <w:highlight w:val="none"/>
        </w:rPr>
      </w:pPr>
      <w:r>
        <w:rPr>
          <w:rFonts w:hint="eastAsia" w:ascii="宋体" w:hAnsi="宋体" w:cs="宋体"/>
          <w:color w:val="auto"/>
          <w:sz w:val="28"/>
          <w:szCs w:val="28"/>
          <w:highlight w:val="none"/>
          <w:lang w:eastAsia="zh-CN"/>
        </w:rPr>
        <w:t>供应商</w:t>
      </w:r>
      <w:r>
        <w:rPr>
          <w:rFonts w:hint="eastAsia" w:ascii="宋体" w:hAnsi="宋体" w:cs="宋体"/>
          <w:color w:val="auto"/>
          <w:sz w:val="28"/>
          <w:szCs w:val="28"/>
          <w:highlight w:val="none"/>
        </w:rPr>
        <w:t>（全称）：</w:t>
      </w:r>
      <w:r>
        <w:rPr>
          <w:rFonts w:hint="eastAsia" w:ascii="宋体" w:hAnsi="宋体" w:cs="宋体"/>
          <w:color w:val="auto"/>
          <w:sz w:val="28"/>
          <w:szCs w:val="28"/>
          <w:highlight w:val="none"/>
          <w:u w:val="single" w:color="000000"/>
        </w:rPr>
        <w:t>            （盖章）</w:t>
      </w:r>
    </w:p>
    <w:p w14:paraId="5D335ECB">
      <w:pPr>
        <w:snapToGrid w:val="0"/>
        <w:spacing w:line="720" w:lineRule="auto"/>
        <w:ind w:firstLine="1120" w:firstLineChars="400"/>
        <w:textAlignment w:val="baseline"/>
        <w:rPr>
          <w:rFonts w:ascii="宋体" w:hAnsi="宋体" w:cs="宋体"/>
          <w:color w:val="auto"/>
          <w:sz w:val="28"/>
          <w:szCs w:val="28"/>
          <w:highlight w:val="none"/>
          <w:u w:val="single" w:color="000000"/>
        </w:rPr>
      </w:pPr>
      <w:r>
        <w:rPr>
          <w:rFonts w:hint="eastAsia" w:ascii="宋体" w:hAnsi="宋体" w:cs="宋体"/>
          <w:color w:val="auto"/>
          <w:sz w:val="28"/>
          <w:szCs w:val="28"/>
          <w:highlight w:val="none"/>
          <w:lang w:eastAsia="zh-CN"/>
        </w:rPr>
        <w:t>供应商</w:t>
      </w:r>
      <w:r>
        <w:rPr>
          <w:rFonts w:hint="eastAsia" w:ascii="宋体" w:hAnsi="宋体" w:cs="宋体"/>
          <w:color w:val="auto"/>
          <w:sz w:val="28"/>
          <w:szCs w:val="28"/>
          <w:highlight w:val="none"/>
        </w:rPr>
        <w:t>地址：</w:t>
      </w:r>
      <w:r>
        <w:rPr>
          <w:rFonts w:hint="eastAsia" w:ascii="宋体" w:hAnsi="宋体" w:cs="宋体"/>
          <w:color w:val="auto"/>
          <w:sz w:val="28"/>
          <w:szCs w:val="28"/>
          <w:highlight w:val="none"/>
          <w:u w:val="single" w:color="000000"/>
        </w:rPr>
        <w:t>                     </w:t>
      </w:r>
    </w:p>
    <w:p w14:paraId="50540116">
      <w:pPr>
        <w:pStyle w:val="67"/>
        <w:rPr>
          <w:rFonts w:ascii="宋体" w:hAnsi="宋体" w:cs="宋体"/>
          <w:color w:val="auto"/>
          <w:sz w:val="28"/>
          <w:szCs w:val="28"/>
          <w:highlight w:val="none"/>
          <w:u w:val="single"/>
        </w:rPr>
      </w:pPr>
    </w:p>
    <w:p w14:paraId="537CBD8D">
      <w:pPr>
        <w:pStyle w:val="30"/>
        <w:spacing w:line="360" w:lineRule="auto"/>
        <w:ind w:firstLine="44"/>
        <w:textAlignment w:val="baseline"/>
        <w:rPr>
          <w:rFonts w:ascii="宋体" w:hAnsi="宋体" w:eastAsia="宋体"/>
          <w:color w:val="auto"/>
          <w:sz w:val="22"/>
          <w:szCs w:val="22"/>
          <w:highlight w:val="none"/>
          <w:u w:val="single"/>
        </w:rPr>
      </w:pPr>
      <w:r>
        <w:rPr>
          <w:rFonts w:hint="eastAsia" w:ascii="宋体" w:hAnsi="宋体" w:eastAsia="宋体"/>
          <w:b/>
          <w:bCs/>
          <w:color w:val="auto"/>
          <w:sz w:val="22"/>
          <w:szCs w:val="22"/>
          <w:highlight w:val="none"/>
        </w:rPr>
        <w:br w:type="page"/>
      </w:r>
    </w:p>
    <w:p w14:paraId="089EB52B">
      <w:pPr>
        <w:spacing w:line="460" w:lineRule="exact"/>
        <w:textAlignment w:val="baseline"/>
        <w:outlineLvl w:val="0"/>
        <w:rPr>
          <w:rFonts w:hint="default" w:ascii="宋体" w:hAnsi="宋体" w:eastAsia="宋体" w:cs="宋体"/>
          <w:b/>
          <w:bCs/>
          <w:color w:val="auto"/>
          <w:sz w:val="22"/>
          <w:highlight w:val="none"/>
          <w:lang w:val="en-US" w:eastAsia="zh-CN"/>
        </w:rPr>
      </w:pPr>
      <w:bookmarkStart w:id="89" w:name="_Toc23446"/>
      <w:r>
        <w:rPr>
          <w:rFonts w:hint="eastAsia" w:ascii="宋体" w:hAnsi="宋体" w:cs="宋体"/>
          <w:b/>
          <w:bCs/>
          <w:color w:val="auto"/>
          <w:sz w:val="22"/>
          <w:highlight w:val="none"/>
          <w:lang w:val="en-US" w:eastAsia="zh-CN"/>
        </w:rPr>
        <w:t>资格审查文件内容</w:t>
      </w:r>
    </w:p>
    <w:p w14:paraId="1DB93447">
      <w:pPr>
        <w:spacing w:line="460" w:lineRule="exact"/>
        <w:textAlignment w:val="baseline"/>
        <w:outlineLvl w:val="0"/>
        <w:rPr>
          <w:rFonts w:ascii="宋体" w:hAnsi="宋体" w:cs="宋体"/>
          <w:b/>
          <w:bCs/>
          <w:color w:val="auto"/>
          <w:sz w:val="22"/>
          <w:highlight w:val="none"/>
        </w:rPr>
      </w:pPr>
      <w:r>
        <w:rPr>
          <w:rFonts w:hint="eastAsia" w:ascii="宋体" w:hAnsi="宋体" w:cs="宋体"/>
          <w:b/>
          <w:bCs/>
          <w:color w:val="auto"/>
          <w:sz w:val="22"/>
          <w:highlight w:val="none"/>
        </w:rPr>
        <w:t>附件1</w:t>
      </w:r>
      <w:bookmarkEnd w:id="89"/>
    </w:p>
    <w:p w14:paraId="54DEF48A">
      <w:pPr>
        <w:spacing w:line="460" w:lineRule="exact"/>
        <w:textAlignment w:val="baseline"/>
        <w:rPr>
          <w:rFonts w:ascii="宋体" w:hAnsi="宋体" w:cs="宋体"/>
          <w:color w:val="auto"/>
          <w:sz w:val="22"/>
          <w:highlight w:val="none"/>
        </w:rPr>
      </w:pPr>
    </w:p>
    <w:p w14:paraId="460D16DD">
      <w:pPr>
        <w:widowControl/>
        <w:spacing w:line="420" w:lineRule="atLeast"/>
        <w:jc w:val="center"/>
        <w:rPr>
          <w:rFonts w:hint="eastAsia" w:ascii="宋体" w:hAnsi="宋体" w:eastAsia="宋体" w:cs="宋体"/>
          <w:b/>
          <w:bCs/>
          <w:color w:val="auto"/>
          <w:kern w:val="0"/>
          <w:sz w:val="30"/>
          <w:szCs w:val="30"/>
          <w:highlight w:val="none"/>
        </w:rPr>
      </w:pPr>
      <w:r>
        <w:rPr>
          <w:rFonts w:hint="eastAsia" w:ascii="宋体" w:hAnsi="宋体" w:cs="宋体"/>
          <w:b/>
          <w:bCs/>
          <w:color w:val="auto"/>
          <w:kern w:val="0"/>
          <w:sz w:val="30"/>
          <w:szCs w:val="30"/>
          <w:highlight w:val="none"/>
          <w:lang w:eastAsia="zh-CN"/>
        </w:rPr>
        <w:t>供应商</w:t>
      </w:r>
      <w:r>
        <w:rPr>
          <w:rFonts w:hint="eastAsia" w:ascii="宋体" w:hAnsi="宋体" w:eastAsia="宋体" w:cs="宋体"/>
          <w:b/>
          <w:bCs/>
          <w:color w:val="auto"/>
          <w:kern w:val="0"/>
          <w:sz w:val="30"/>
          <w:szCs w:val="30"/>
          <w:highlight w:val="none"/>
        </w:rPr>
        <w:t>资格承诺函</w:t>
      </w:r>
    </w:p>
    <w:p w14:paraId="30F5D1F4">
      <w:pPr>
        <w:keepNext w:val="0"/>
        <w:keepLines w:val="0"/>
        <w:pageBreakBefore w:val="0"/>
        <w:widowControl w:val="0"/>
        <w:kinsoku/>
        <w:wordWrap/>
        <w:overflowPunct/>
        <w:topLinePunct w:val="0"/>
        <w:autoSpaceDE/>
        <w:autoSpaceDN/>
        <w:bidi w:val="0"/>
        <w:adjustRightInd/>
        <w:snapToGrid w:val="0"/>
        <w:spacing w:line="560" w:lineRule="exact"/>
        <w:ind w:firstLine="48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致：</w:t>
      </w:r>
      <w:r>
        <w:rPr>
          <w:rFonts w:hint="eastAsia" w:ascii="宋体" w:hAnsi="宋体" w:eastAsia="宋体" w:cs="宋体"/>
          <w:color w:val="auto"/>
          <w:sz w:val="21"/>
          <w:szCs w:val="21"/>
          <w:highlight w:val="none"/>
          <w:u w:val="single"/>
        </w:rPr>
        <w:t xml:space="preserve"> </w:t>
      </w:r>
      <w:r>
        <w:rPr>
          <w:rFonts w:hint="eastAsia" w:ascii="宋体" w:hAnsi="宋体" w:cs="宋体"/>
          <w:color w:val="auto"/>
          <w:sz w:val="21"/>
          <w:szCs w:val="21"/>
          <w:highlight w:val="none"/>
          <w:u w:val="single"/>
          <w:lang w:val="en-US" w:eastAsia="zh-CN"/>
        </w:rPr>
        <w:t>常山县公安局交通警察大队</w:t>
      </w:r>
      <w:r>
        <w:rPr>
          <w:rFonts w:hint="eastAsia" w:ascii="宋体" w:hAnsi="宋体" w:eastAsia="宋体" w:cs="宋体"/>
          <w:color w:val="auto"/>
          <w:sz w:val="21"/>
          <w:szCs w:val="21"/>
          <w:highlight w:val="none"/>
        </w:rPr>
        <w:t>：</w:t>
      </w:r>
    </w:p>
    <w:p w14:paraId="769B44D1">
      <w:pPr>
        <w:keepNext w:val="0"/>
        <w:keepLines w:val="0"/>
        <w:pageBreakBefore w:val="0"/>
        <w:widowControl w:val="0"/>
        <w:kinsoku/>
        <w:wordWrap/>
        <w:overflowPunct/>
        <w:topLinePunct w:val="0"/>
        <w:autoSpaceDE/>
        <w:autoSpaceDN/>
        <w:bidi w:val="0"/>
        <w:adjustRightInd/>
        <w:snapToGrid w:val="0"/>
        <w:spacing w:line="560" w:lineRule="exact"/>
        <w:ind w:firstLine="630" w:firstLineChars="3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r>
        <w:rPr>
          <w:rFonts w:hint="eastAsia" w:ascii="宋体" w:hAnsi="宋体" w:cs="宋体"/>
          <w:color w:val="auto"/>
          <w:sz w:val="21"/>
          <w:szCs w:val="21"/>
          <w:highlight w:val="none"/>
          <w:lang w:eastAsia="zh-CN"/>
        </w:rPr>
        <w:t>供应商</w:t>
      </w:r>
      <w:r>
        <w:rPr>
          <w:rFonts w:hint="eastAsia" w:ascii="宋体" w:hAnsi="宋体" w:eastAsia="宋体" w:cs="宋体"/>
          <w:color w:val="auto"/>
          <w:sz w:val="21"/>
          <w:szCs w:val="21"/>
          <w:highlight w:val="none"/>
        </w:rPr>
        <w:t>名称）符合参加本次政府采购活动的资格条件并承诺如下。</w:t>
      </w:r>
    </w:p>
    <w:p w14:paraId="3E6EB300">
      <w:pPr>
        <w:keepNext w:val="0"/>
        <w:keepLines w:val="0"/>
        <w:pageBreakBefore w:val="0"/>
        <w:widowControl w:val="0"/>
        <w:kinsoku/>
        <w:wordWrap/>
        <w:overflowPunct/>
        <w:topLinePunct w:val="0"/>
        <w:autoSpaceDE/>
        <w:autoSpaceDN/>
        <w:bidi w:val="0"/>
        <w:adjustRightInd/>
        <w:snapToGrid w:val="0"/>
        <w:spacing w:line="560" w:lineRule="exact"/>
        <w:ind w:firstLine="48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一、满足《中华人民共和国政府采购法》第二十二条规定</w:t>
      </w:r>
    </w:p>
    <w:p w14:paraId="56A57908">
      <w:pPr>
        <w:keepNext w:val="0"/>
        <w:keepLines w:val="0"/>
        <w:pageBreakBefore w:val="0"/>
        <w:widowControl w:val="0"/>
        <w:kinsoku/>
        <w:wordWrap/>
        <w:overflowPunct/>
        <w:topLinePunct w:val="0"/>
        <w:autoSpaceDE/>
        <w:autoSpaceDN/>
        <w:bidi w:val="0"/>
        <w:adjustRightInd/>
        <w:snapToGrid w:val="0"/>
        <w:spacing w:line="560" w:lineRule="exact"/>
        <w:ind w:firstLine="480"/>
        <w:textAlignment w:val="auto"/>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1、具有独立承担民事责任的能力；</w:t>
      </w:r>
    </w:p>
    <w:p w14:paraId="5944AA76">
      <w:pPr>
        <w:keepNext w:val="0"/>
        <w:keepLines w:val="0"/>
        <w:pageBreakBefore w:val="0"/>
        <w:widowControl w:val="0"/>
        <w:kinsoku/>
        <w:wordWrap/>
        <w:overflowPunct/>
        <w:topLinePunct w:val="0"/>
        <w:autoSpaceDE/>
        <w:autoSpaceDN/>
        <w:bidi w:val="0"/>
        <w:adjustRightInd/>
        <w:snapToGrid w:val="0"/>
        <w:spacing w:line="560" w:lineRule="exact"/>
        <w:ind w:firstLine="480"/>
        <w:textAlignment w:val="auto"/>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lang w:val="en-US" w:eastAsia="zh-CN"/>
        </w:rPr>
        <w:t>2</w:t>
      </w:r>
      <w:r>
        <w:rPr>
          <w:rFonts w:hint="eastAsia" w:ascii="宋体" w:hAnsi="宋体" w:eastAsia="宋体" w:cs="宋体"/>
          <w:color w:val="auto"/>
          <w:kern w:val="0"/>
          <w:sz w:val="21"/>
          <w:szCs w:val="21"/>
          <w:highlight w:val="none"/>
        </w:rPr>
        <w:t>、具有良好的商业信誉和健全的财务会计制度；</w:t>
      </w:r>
    </w:p>
    <w:p w14:paraId="41BE1AB0">
      <w:pPr>
        <w:keepNext w:val="0"/>
        <w:keepLines w:val="0"/>
        <w:pageBreakBefore w:val="0"/>
        <w:widowControl w:val="0"/>
        <w:kinsoku/>
        <w:wordWrap/>
        <w:overflowPunct/>
        <w:topLinePunct w:val="0"/>
        <w:autoSpaceDE/>
        <w:autoSpaceDN/>
        <w:bidi w:val="0"/>
        <w:adjustRightInd/>
        <w:snapToGrid w:val="0"/>
        <w:spacing w:line="560" w:lineRule="exact"/>
        <w:ind w:firstLine="480"/>
        <w:textAlignment w:val="auto"/>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3、具有履行合同所必需的设备和专业技术能力；</w:t>
      </w:r>
    </w:p>
    <w:p w14:paraId="37D27857">
      <w:pPr>
        <w:keepNext w:val="0"/>
        <w:keepLines w:val="0"/>
        <w:pageBreakBefore w:val="0"/>
        <w:widowControl w:val="0"/>
        <w:kinsoku/>
        <w:wordWrap/>
        <w:overflowPunct/>
        <w:topLinePunct w:val="0"/>
        <w:autoSpaceDE/>
        <w:autoSpaceDN/>
        <w:bidi w:val="0"/>
        <w:adjustRightInd/>
        <w:snapToGrid w:val="0"/>
        <w:spacing w:line="560" w:lineRule="exact"/>
        <w:ind w:firstLine="480"/>
        <w:textAlignment w:val="auto"/>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4、有依法缴纳税收和社会保障资金的良好记录；</w:t>
      </w:r>
    </w:p>
    <w:p w14:paraId="10778FC2">
      <w:pPr>
        <w:keepNext w:val="0"/>
        <w:keepLines w:val="0"/>
        <w:pageBreakBefore w:val="0"/>
        <w:widowControl w:val="0"/>
        <w:kinsoku/>
        <w:wordWrap/>
        <w:overflowPunct/>
        <w:topLinePunct w:val="0"/>
        <w:autoSpaceDE/>
        <w:autoSpaceDN/>
        <w:bidi w:val="0"/>
        <w:adjustRightInd/>
        <w:snapToGrid w:val="0"/>
        <w:spacing w:line="560" w:lineRule="exact"/>
        <w:ind w:firstLine="48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5、参加政府采购活动前三年内，在经营活动中没有重大违法记录；</w:t>
      </w:r>
    </w:p>
    <w:p w14:paraId="5086AEA3">
      <w:pPr>
        <w:keepNext w:val="0"/>
        <w:keepLines w:val="0"/>
        <w:pageBreakBefore w:val="0"/>
        <w:widowControl w:val="0"/>
        <w:kinsoku/>
        <w:wordWrap/>
        <w:overflowPunct/>
        <w:topLinePunct w:val="0"/>
        <w:autoSpaceDE/>
        <w:autoSpaceDN/>
        <w:bidi w:val="0"/>
        <w:adjustRightInd/>
        <w:snapToGrid w:val="0"/>
        <w:spacing w:line="560" w:lineRule="exact"/>
        <w:ind w:firstLine="48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二、未被“信用中国”（www.creditchina.gov.cn)、中国政府采购网（www.ccgp.gov.cn）列入失信被执行人、</w:t>
      </w:r>
      <w:r>
        <w:rPr>
          <w:rFonts w:hint="eastAsia" w:ascii="宋体" w:hAnsi="宋体" w:cs="宋体"/>
          <w:color w:val="auto"/>
          <w:kern w:val="0"/>
          <w:sz w:val="21"/>
          <w:szCs w:val="21"/>
          <w:highlight w:val="none"/>
          <w:lang w:eastAsia="zh-CN"/>
        </w:rPr>
        <w:t>重大税收违法失信主体名单</w:t>
      </w:r>
      <w:r>
        <w:rPr>
          <w:rFonts w:hint="eastAsia" w:ascii="宋体" w:hAnsi="宋体" w:eastAsia="宋体" w:cs="宋体"/>
          <w:color w:val="auto"/>
          <w:kern w:val="0"/>
          <w:sz w:val="21"/>
          <w:szCs w:val="21"/>
          <w:highlight w:val="none"/>
        </w:rPr>
        <w:t>、政府采购严重违法失信行为记录名单。</w:t>
      </w:r>
    </w:p>
    <w:p w14:paraId="09FDEDA5">
      <w:pPr>
        <w:keepNext w:val="0"/>
        <w:keepLines w:val="0"/>
        <w:pageBreakBefore w:val="0"/>
        <w:widowControl w:val="0"/>
        <w:kinsoku/>
        <w:wordWrap/>
        <w:overflowPunct/>
        <w:topLinePunct w:val="0"/>
        <w:autoSpaceDE/>
        <w:autoSpaceDN/>
        <w:bidi w:val="0"/>
        <w:adjustRightInd/>
        <w:snapToGrid w:val="0"/>
        <w:spacing w:line="560" w:lineRule="exact"/>
        <w:ind w:firstLine="480"/>
        <w:textAlignment w:val="auto"/>
        <w:rPr>
          <w:rFonts w:hint="eastAsia" w:ascii="宋体" w:hAnsi="宋体" w:eastAsia="宋体" w:cs="宋体"/>
          <w:color w:val="auto"/>
          <w:kern w:val="0"/>
          <w:sz w:val="21"/>
          <w:szCs w:val="21"/>
          <w:highlight w:val="none"/>
          <w:lang w:val="en-US" w:eastAsia="zh-CN"/>
        </w:rPr>
      </w:pPr>
    </w:p>
    <w:p w14:paraId="3A26C60C">
      <w:pPr>
        <w:rPr>
          <w:rFonts w:hint="eastAsia" w:ascii="宋体" w:hAnsi="宋体" w:cs="宋体"/>
          <w:color w:val="auto"/>
          <w:sz w:val="21"/>
          <w:szCs w:val="21"/>
          <w:highlight w:val="none"/>
        </w:rPr>
      </w:pPr>
    </w:p>
    <w:p w14:paraId="0128FB95">
      <w:pPr>
        <w:pStyle w:val="23"/>
        <w:rPr>
          <w:rFonts w:hint="eastAsia" w:ascii="宋体" w:hAnsi="宋体" w:cs="宋体"/>
          <w:color w:val="auto"/>
          <w:sz w:val="21"/>
          <w:szCs w:val="21"/>
          <w:highlight w:val="none"/>
        </w:rPr>
      </w:pPr>
    </w:p>
    <w:p w14:paraId="11E46A11">
      <w:pPr>
        <w:rPr>
          <w:rFonts w:hint="eastAsia" w:ascii="宋体" w:hAnsi="宋体" w:cs="宋体"/>
          <w:color w:val="auto"/>
          <w:sz w:val="21"/>
          <w:szCs w:val="21"/>
          <w:highlight w:val="none"/>
        </w:rPr>
      </w:pPr>
    </w:p>
    <w:p w14:paraId="2C4D2CE9">
      <w:pPr>
        <w:pStyle w:val="23"/>
        <w:rPr>
          <w:rFonts w:hint="eastAsia" w:ascii="宋体" w:hAnsi="宋体" w:cs="宋体"/>
          <w:color w:val="auto"/>
          <w:sz w:val="21"/>
          <w:szCs w:val="21"/>
          <w:highlight w:val="none"/>
        </w:rPr>
      </w:pPr>
    </w:p>
    <w:p w14:paraId="61EC33C8">
      <w:pPr>
        <w:rPr>
          <w:rFonts w:hint="eastAsia" w:ascii="宋体" w:hAnsi="宋体" w:cs="宋体"/>
          <w:color w:val="auto"/>
          <w:sz w:val="21"/>
          <w:szCs w:val="21"/>
          <w:highlight w:val="none"/>
        </w:rPr>
      </w:pPr>
    </w:p>
    <w:p w14:paraId="656F5039">
      <w:pPr>
        <w:pStyle w:val="23"/>
        <w:rPr>
          <w:rFonts w:hint="eastAsia" w:ascii="宋体" w:hAnsi="宋体" w:cs="宋体"/>
          <w:color w:val="auto"/>
          <w:sz w:val="21"/>
          <w:szCs w:val="21"/>
          <w:highlight w:val="none"/>
        </w:rPr>
      </w:pPr>
    </w:p>
    <w:p w14:paraId="58E2F8C3">
      <w:pPr>
        <w:rPr>
          <w:rFonts w:hint="eastAsia"/>
          <w:highlight w:val="none"/>
        </w:rPr>
      </w:pPr>
    </w:p>
    <w:p w14:paraId="7718C69E">
      <w:pPr>
        <w:widowControl/>
        <w:ind w:firstLine="480"/>
        <w:jc w:val="left"/>
        <w:rPr>
          <w:rFonts w:hint="eastAsia" w:ascii="宋体" w:hAnsi="宋体" w:cs="宋体"/>
          <w:color w:val="auto"/>
          <w:kern w:val="0"/>
          <w:sz w:val="21"/>
          <w:szCs w:val="21"/>
          <w:highlight w:val="none"/>
        </w:rPr>
      </w:pPr>
      <w:r>
        <w:rPr>
          <w:rFonts w:hint="eastAsia" w:ascii="宋体" w:hAnsi="宋体" w:cs="宋体"/>
          <w:b/>
          <w:bCs/>
          <w:color w:val="auto"/>
          <w:sz w:val="24"/>
          <w:highlight w:val="none"/>
        </w:rPr>
        <w:t>供应商名称（盖章）</w:t>
      </w:r>
      <w:r>
        <w:rPr>
          <w:rFonts w:hint="eastAsia" w:ascii="宋体" w:hAnsi="宋体" w:cs="宋体"/>
          <w:color w:val="auto"/>
          <w:sz w:val="21"/>
          <w:szCs w:val="21"/>
          <w:highlight w:val="none"/>
        </w:rPr>
        <w:t>：</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u w:val="single"/>
          <w:lang w:val="en-US" w:eastAsia="zh-CN"/>
        </w:rPr>
        <w:t xml:space="preserve">   </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 xml:space="preserve">                      年    月    日</w:t>
      </w:r>
    </w:p>
    <w:p w14:paraId="0E1E0C96">
      <w:pPr>
        <w:widowControl/>
        <w:spacing w:line="420" w:lineRule="atLeast"/>
        <w:rPr>
          <w:rFonts w:hint="eastAsia" w:ascii="宋体" w:hAnsi="宋体" w:eastAsia="宋体" w:cs="宋体"/>
          <w:b/>
          <w:bCs/>
          <w:color w:val="auto"/>
          <w:kern w:val="0"/>
          <w:sz w:val="21"/>
          <w:szCs w:val="21"/>
          <w:highlight w:val="none"/>
        </w:rPr>
      </w:pPr>
    </w:p>
    <w:p w14:paraId="291D6305">
      <w:pPr>
        <w:widowControl/>
        <w:spacing w:line="420" w:lineRule="atLeast"/>
        <w:textAlignment w:val="baseline"/>
        <w:rPr>
          <w:rFonts w:ascii="宋体" w:hAnsi="宋体" w:cs="宋体"/>
          <w:b/>
          <w:bCs/>
          <w:color w:val="auto"/>
          <w:kern w:val="0"/>
          <w:sz w:val="24"/>
          <w:highlight w:val="none"/>
        </w:rPr>
      </w:pPr>
    </w:p>
    <w:p w14:paraId="36853C74">
      <w:pPr>
        <w:widowControl/>
        <w:spacing w:line="420" w:lineRule="atLeast"/>
        <w:textAlignment w:val="baseline"/>
        <w:rPr>
          <w:rFonts w:ascii="宋体" w:hAnsi="宋体" w:cs="宋体"/>
          <w:b/>
          <w:bCs/>
          <w:color w:val="auto"/>
          <w:kern w:val="0"/>
          <w:sz w:val="24"/>
          <w:highlight w:val="none"/>
        </w:rPr>
      </w:pPr>
    </w:p>
    <w:p w14:paraId="73FAFC0A">
      <w:pPr>
        <w:spacing w:line="420" w:lineRule="atLeast"/>
        <w:jc w:val="left"/>
        <w:textAlignment w:val="baseline"/>
        <w:outlineLvl w:val="0"/>
        <w:rPr>
          <w:rFonts w:hint="eastAsia" w:ascii="宋体" w:hAnsi="宋体" w:cs="宋体"/>
          <w:b/>
          <w:bCs/>
          <w:color w:val="auto"/>
          <w:sz w:val="22"/>
          <w:highlight w:val="none"/>
        </w:rPr>
      </w:pPr>
      <w:bookmarkStart w:id="90" w:name="_Toc340777668"/>
      <w:bookmarkEnd w:id="90"/>
    </w:p>
    <w:p w14:paraId="1BAE7123">
      <w:pPr>
        <w:rPr>
          <w:rFonts w:hint="eastAsia" w:ascii="宋体" w:hAnsi="宋体" w:cs="宋体"/>
          <w:b/>
          <w:bCs/>
          <w:color w:val="auto"/>
          <w:sz w:val="22"/>
          <w:highlight w:val="none"/>
        </w:rPr>
      </w:pPr>
      <w:r>
        <w:rPr>
          <w:rFonts w:hint="eastAsia" w:ascii="宋体" w:hAnsi="宋体" w:cs="宋体"/>
          <w:b/>
          <w:bCs/>
          <w:color w:val="auto"/>
          <w:sz w:val="22"/>
          <w:highlight w:val="none"/>
        </w:rPr>
        <w:br w:type="page"/>
      </w:r>
    </w:p>
    <w:p w14:paraId="6CECC697">
      <w:pPr>
        <w:spacing w:line="420" w:lineRule="atLeast"/>
        <w:jc w:val="left"/>
        <w:textAlignment w:val="baseline"/>
        <w:outlineLvl w:val="0"/>
        <w:rPr>
          <w:rFonts w:ascii="宋体" w:hAnsi="宋体" w:cs="宋体"/>
          <w:b/>
          <w:color w:val="auto"/>
          <w:sz w:val="30"/>
          <w:highlight w:val="none"/>
        </w:rPr>
      </w:pPr>
      <w:r>
        <w:rPr>
          <w:rFonts w:hint="eastAsia" w:ascii="宋体" w:hAnsi="宋体" w:cs="宋体"/>
          <w:b/>
          <w:bCs/>
          <w:color w:val="auto"/>
          <w:sz w:val="22"/>
          <w:highlight w:val="none"/>
        </w:rPr>
        <w:t>附件</w:t>
      </w:r>
      <w:r>
        <w:rPr>
          <w:rFonts w:hint="eastAsia" w:ascii="宋体" w:hAnsi="宋体" w:cs="宋体"/>
          <w:b/>
          <w:bCs/>
          <w:color w:val="auto"/>
          <w:sz w:val="22"/>
          <w:highlight w:val="none"/>
          <w:lang w:val="en-US" w:eastAsia="zh-CN"/>
        </w:rPr>
        <w:t>2</w:t>
      </w:r>
    </w:p>
    <w:p w14:paraId="335D2AE0">
      <w:pPr>
        <w:widowControl/>
        <w:spacing w:line="420" w:lineRule="atLeast"/>
        <w:jc w:val="center"/>
        <w:textAlignment w:val="baseline"/>
        <w:rPr>
          <w:rFonts w:hint="eastAsia" w:ascii="宋体" w:hAnsi="宋体" w:cs="宋体"/>
          <w:b/>
          <w:bCs/>
          <w:color w:val="auto"/>
          <w:kern w:val="0"/>
          <w:sz w:val="30"/>
          <w:szCs w:val="30"/>
          <w:highlight w:val="none"/>
        </w:rPr>
      </w:pPr>
    </w:p>
    <w:p w14:paraId="31F57223">
      <w:pPr>
        <w:widowControl/>
        <w:spacing w:line="420" w:lineRule="atLeast"/>
        <w:jc w:val="center"/>
        <w:textAlignment w:val="baseline"/>
        <w:rPr>
          <w:rFonts w:ascii="宋体" w:hAnsi="宋体" w:cs="宋体"/>
          <w:b/>
          <w:bCs/>
          <w:color w:val="auto"/>
          <w:kern w:val="0"/>
          <w:sz w:val="30"/>
          <w:szCs w:val="30"/>
          <w:highlight w:val="none"/>
        </w:rPr>
      </w:pPr>
      <w:r>
        <w:rPr>
          <w:rFonts w:hint="eastAsia" w:ascii="宋体" w:hAnsi="宋体" w:cs="宋体"/>
          <w:b/>
          <w:bCs/>
          <w:color w:val="auto"/>
          <w:kern w:val="0"/>
          <w:sz w:val="30"/>
          <w:szCs w:val="30"/>
          <w:highlight w:val="none"/>
        </w:rPr>
        <w:t xml:space="preserve">   </w:t>
      </w:r>
      <w:bookmarkStart w:id="91" w:name="_Toc22404_WPSOffice_Level1"/>
      <w:r>
        <w:rPr>
          <w:rFonts w:hint="eastAsia" w:ascii="宋体" w:hAnsi="宋体" w:cs="宋体"/>
          <w:b/>
          <w:bCs/>
          <w:color w:val="auto"/>
          <w:kern w:val="0"/>
          <w:sz w:val="30"/>
          <w:szCs w:val="30"/>
          <w:highlight w:val="none"/>
        </w:rPr>
        <w:t>法定代表人身份证明</w:t>
      </w:r>
      <w:bookmarkEnd w:id="91"/>
    </w:p>
    <w:p w14:paraId="103A153F">
      <w:pPr>
        <w:widowControl/>
        <w:spacing w:line="420" w:lineRule="atLeast"/>
        <w:jc w:val="center"/>
        <w:textAlignment w:val="baseline"/>
        <w:rPr>
          <w:rFonts w:ascii="宋体" w:hAnsi="宋体" w:cs="宋体"/>
          <w:b/>
          <w:bCs/>
          <w:color w:val="auto"/>
          <w:kern w:val="0"/>
          <w:sz w:val="24"/>
          <w:highlight w:val="none"/>
        </w:rPr>
      </w:pPr>
      <w:r>
        <w:rPr>
          <w:rFonts w:hint="eastAsia" w:ascii="宋体" w:hAnsi="宋体" w:cs="宋体"/>
          <w:b/>
          <w:bCs/>
          <w:color w:val="auto"/>
          <w:kern w:val="0"/>
          <w:sz w:val="24"/>
          <w:highlight w:val="none"/>
        </w:rPr>
        <w:t xml:space="preserve"> </w:t>
      </w:r>
    </w:p>
    <w:p w14:paraId="31D2D7C3">
      <w:pPr>
        <w:widowControl/>
        <w:spacing w:line="420" w:lineRule="atLeast"/>
        <w:ind w:firstLine="480"/>
        <w:jc w:val="left"/>
        <w:textAlignment w:val="baseline"/>
        <w:rPr>
          <w:rFonts w:ascii="宋体" w:hAnsi="宋体" w:cs="宋体"/>
          <w:color w:val="auto"/>
          <w:kern w:val="0"/>
          <w:sz w:val="24"/>
          <w:highlight w:val="none"/>
        </w:rPr>
      </w:pPr>
      <w:r>
        <w:rPr>
          <w:rFonts w:hint="eastAsia" w:ascii="宋体" w:hAnsi="宋体" w:cs="宋体"/>
          <w:color w:val="auto"/>
          <w:kern w:val="0"/>
          <w:sz w:val="24"/>
          <w:highlight w:val="none"/>
        </w:rPr>
        <w:t xml:space="preserve"> </w:t>
      </w:r>
    </w:p>
    <w:p w14:paraId="450469CF">
      <w:pPr>
        <w:widowControl/>
        <w:spacing w:line="440" w:lineRule="exact"/>
        <w:ind w:firstLine="1077"/>
        <w:textAlignment w:val="baseline"/>
        <w:rPr>
          <w:rFonts w:ascii="宋体" w:hAnsi="宋体" w:cs="宋体"/>
          <w:color w:val="auto"/>
          <w:kern w:val="0"/>
          <w:sz w:val="20"/>
          <w:szCs w:val="21"/>
          <w:highlight w:val="none"/>
        </w:rPr>
      </w:pPr>
      <w:r>
        <w:rPr>
          <w:rFonts w:hint="eastAsia" w:ascii="宋体" w:hAnsi="宋体" w:cs="宋体"/>
          <w:color w:val="auto"/>
          <w:kern w:val="0"/>
          <w:szCs w:val="21"/>
          <w:highlight w:val="none"/>
        </w:rPr>
        <w:t>单位名称：</w:t>
      </w:r>
      <w:r>
        <w:rPr>
          <w:rFonts w:hint="eastAsia" w:ascii="宋体" w:hAnsi="宋体" w:cs="宋体"/>
          <w:color w:val="auto"/>
          <w:kern w:val="0"/>
          <w:szCs w:val="21"/>
          <w:highlight w:val="none"/>
          <w:u w:val="single" w:color="000000"/>
        </w:rPr>
        <w:t xml:space="preserve">                                               </w:t>
      </w:r>
    </w:p>
    <w:p w14:paraId="1ECBDECD">
      <w:pPr>
        <w:widowControl/>
        <w:spacing w:line="440" w:lineRule="exact"/>
        <w:ind w:firstLine="1077"/>
        <w:textAlignment w:val="baseline"/>
        <w:rPr>
          <w:rFonts w:ascii="宋体" w:hAnsi="宋体" w:cs="宋体"/>
          <w:color w:val="auto"/>
          <w:kern w:val="0"/>
          <w:sz w:val="20"/>
          <w:szCs w:val="21"/>
          <w:highlight w:val="none"/>
          <w:u w:val="single"/>
        </w:rPr>
      </w:pPr>
      <w:r>
        <w:rPr>
          <w:rFonts w:hint="eastAsia" w:ascii="宋体" w:hAnsi="宋体" w:cs="宋体"/>
          <w:color w:val="auto"/>
          <w:kern w:val="0"/>
          <w:szCs w:val="21"/>
          <w:highlight w:val="none"/>
        </w:rPr>
        <w:t>单位性质：</w:t>
      </w:r>
      <w:r>
        <w:rPr>
          <w:rFonts w:hint="eastAsia" w:ascii="宋体" w:hAnsi="宋体" w:cs="宋体"/>
          <w:color w:val="auto"/>
          <w:kern w:val="0"/>
          <w:szCs w:val="21"/>
          <w:highlight w:val="none"/>
          <w:u w:val="single" w:color="000000"/>
        </w:rPr>
        <w:t xml:space="preserve">                                               </w:t>
      </w:r>
    </w:p>
    <w:p w14:paraId="6AFF7DFB">
      <w:pPr>
        <w:widowControl/>
        <w:spacing w:line="440" w:lineRule="exact"/>
        <w:ind w:firstLine="1077"/>
        <w:textAlignment w:val="baseline"/>
        <w:rPr>
          <w:rFonts w:ascii="宋体" w:hAnsi="宋体" w:cs="宋体"/>
          <w:color w:val="auto"/>
          <w:kern w:val="0"/>
          <w:sz w:val="20"/>
          <w:szCs w:val="21"/>
          <w:highlight w:val="none"/>
          <w:u w:val="single"/>
        </w:rPr>
      </w:pPr>
      <w:r>
        <w:rPr>
          <w:rFonts w:hint="eastAsia" w:ascii="宋体" w:hAnsi="宋体" w:cs="宋体"/>
          <w:color w:val="auto"/>
          <w:kern w:val="0"/>
          <w:szCs w:val="21"/>
          <w:highlight w:val="none"/>
        </w:rPr>
        <w:t>地    址：</w:t>
      </w:r>
      <w:r>
        <w:rPr>
          <w:rFonts w:hint="eastAsia" w:ascii="宋体" w:hAnsi="宋体" w:cs="宋体"/>
          <w:color w:val="auto"/>
          <w:kern w:val="0"/>
          <w:szCs w:val="21"/>
          <w:highlight w:val="none"/>
          <w:u w:val="single" w:color="000000"/>
        </w:rPr>
        <w:t xml:space="preserve">                                               </w:t>
      </w:r>
    </w:p>
    <w:p w14:paraId="6DDF3821">
      <w:pPr>
        <w:widowControl/>
        <w:spacing w:line="440" w:lineRule="exact"/>
        <w:ind w:firstLine="1077"/>
        <w:textAlignment w:val="baseline"/>
        <w:rPr>
          <w:rFonts w:ascii="宋体" w:hAnsi="宋体" w:cs="宋体"/>
          <w:color w:val="auto"/>
          <w:kern w:val="0"/>
          <w:sz w:val="20"/>
          <w:szCs w:val="21"/>
          <w:highlight w:val="none"/>
        </w:rPr>
      </w:pPr>
      <w:r>
        <w:rPr>
          <w:rFonts w:hint="eastAsia" w:ascii="宋体" w:hAnsi="宋体" w:cs="宋体"/>
          <w:color w:val="auto"/>
          <w:kern w:val="0"/>
          <w:szCs w:val="21"/>
          <w:highlight w:val="none"/>
        </w:rPr>
        <w:t>成立时间：</w:t>
      </w:r>
      <w:r>
        <w:rPr>
          <w:rFonts w:hint="eastAsia" w:ascii="宋体" w:hAnsi="宋体" w:cs="宋体"/>
          <w:color w:val="auto"/>
          <w:kern w:val="0"/>
          <w:szCs w:val="21"/>
          <w:highlight w:val="none"/>
          <w:u w:val="single" w:color="000000"/>
        </w:rPr>
        <w:t xml:space="preserve">             </w:t>
      </w:r>
      <w:r>
        <w:rPr>
          <w:rFonts w:hint="eastAsia" w:ascii="宋体" w:hAnsi="宋体" w:cs="宋体"/>
          <w:color w:val="auto"/>
          <w:kern w:val="0"/>
          <w:szCs w:val="21"/>
          <w:highlight w:val="none"/>
        </w:rPr>
        <w:t>年</w:t>
      </w:r>
      <w:r>
        <w:rPr>
          <w:rFonts w:hint="eastAsia" w:ascii="宋体" w:hAnsi="宋体" w:cs="宋体"/>
          <w:color w:val="auto"/>
          <w:kern w:val="0"/>
          <w:szCs w:val="21"/>
          <w:highlight w:val="none"/>
          <w:u w:val="single" w:color="000000"/>
        </w:rPr>
        <w:t xml:space="preserve">               </w:t>
      </w:r>
      <w:r>
        <w:rPr>
          <w:rFonts w:hint="eastAsia" w:ascii="宋体" w:hAnsi="宋体" w:cs="宋体"/>
          <w:color w:val="auto"/>
          <w:kern w:val="0"/>
          <w:szCs w:val="21"/>
          <w:highlight w:val="none"/>
        </w:rPr>
        <w:t>月</w:t>
      </w:r>
      <w:r>
        <w:rPr>
          <w:rFonts w:hint="eastAsia" w:ascii="宋体" w:hAnsi="宋体" w:cs="宋体"/>
          <w:color w:val="auto"/>
          <w:kern w:val="0"/>
          <w:szCs w:val="21"/>
          <w:highlight w:val="none"/>
          <w:u w:val="single" w:color="000000"/>
        </w:rPr>
        <w:t xml:space="preserve">               </w:t>
      </w:r>
      <w:r>
        <w:rPr>
          <w:rFonts w:hint="eastAsia" w:ascii="宋体" w:hAnsi="宋体" w:cs="宋体"/>
          <w:color w:val="auto"/>
          <w:kern w:val="0"/>
          <w:szCs w:val="21"/>
          <w:highlight w:val="none"/>
        </w:rPr>
        <w:t>日</w:t>
      </w:r>
    </w:p>
    <w:p w14:paraId="68685DEF">
      <w:pPr>
        <w:widowControl/>
        <w:spacing w:line="440" w:lineRule="exact"/>
        <w:ind w:firstLine="1077"/>
        <w:textAlignment w:val="baseline"/>
        <w:rPr>
          <w:rFonts w:ascii="宋体" w:hAnsi="宋体" w:cs="宋体"/>
          <w:color w:val="auto"/>
          <w:kern w:val="0"/>
          <w:sz w:val="20"/>
          <w:szCs w:val="21"/>
          <w:highlight w:val="none"/>
          <w:u w:val="single"/>
        </w:rPr>
      </w:pPr>
      <w:r>
        <w:rPr>
          <w:rFonts w:hint="eastAsia" w:ascii="宋体" w:hAnsi="宋体" w:cs="宋体"/>
          <w:color w:val="auto"/>
          <w:kern w:val="0"/>
          <w:szCs w:val="21"/>
          <w:highlight w:val="none"/>
        </w:rPr>
        <w:t>经营期限：</w:t>
      </w:r>
      <w:r>
        <w:rPr>
          <w:rFonts w:hint="eastAsia" w:ascii="宋体" w:hAnsi="宋体" w:cs="宋体"/>
          <w:color w:val="auto"/>
          <w:kern w:val="0"/>
          <w:szCs w:val="21"/>
          <w:highlight w:val="none"/>
          <w:u w:val="single" w:color="000000"/>
        </w:rPr>
        <w:t xml:space="preserve">                                               </w:t>
      </w:r>
    </w:p>
    <w:p w14:paraId="19C17E04">
      <w:pPr>
        <w:widowControl/>
        <w:spacing w:line="440" w:lineRule="exact"/>
        <w:ind w:firstLine="1077"/>
        <w:textAlignment w:val="baseline"/>
        <w:rPr>
          <w:rFonts w:ascii="宋体" w:hAnsi="宋体" w:cs="宋体"/>
          <w:color w:val="auto"/>
          <w:kern w:val="0"/>
          <w:sz w:val="20"/>
          <w:szCs w:val="21"/>
          <w:highlight w:val="none"/>
          <w:u w:val="single"/>
        </w:rPr>
      </w:pPr>
      <w:r>
        <w:rPr>
          <w:rFonts w:hint="eastAsia" w:ascii="宋体" w:hAnsi="宋体" w:cs="宋体"/>
          <w:color w:val="auto"/>
          <w:kern w:val="0"/>
          <w:szCs w:val="21"/>
          <w:highlight w:val="none"/>
        </w:rPr>
        <w:t>姓    名：</w:t>
      </w:r>
      <w:r>
        <w:rPr>
          <w:rFonts w:hint="eastAsia" w:ascii="宋体" w:hAnsi="宋体" w:cs="宋体"/>
          <w:color w:val="auto"/>
          <w:kern w:val="0"/>
          <w:szCs w:val="21"/>
          <w:highlight w:val="none"/>
          <w:u w:val="single" w:color="000000"/>
        </w:rPr>
        <w:t xml:space="preserve">                          </w:t>
      </w:r>
      <w:r>
        <w:rPr>
          <w:rFonts w:hint="eastAsia" w:ascii="宋体" w:hAnsi="宋体" w:cs="宋体"/>
          <w:color w:val="auto"/>
          <w:kern w:val="0"/>
          <w:szCs w:val="21"/>
          <w:highlight w:val="none"/>
        </w:rPr>
        <w:t>性    别：</w:t>
      </w:r>
      <w:r>
        <w:rPr>
          <w:rFonts w:hint="eastAsia" w:ascii="宋体" w:hAnsi="宋体" w:cs="宋体"/>
          <w:color w:val="auto"/>
          <w:kern w:val="0"/>
          <w:szCs w:val="21"/>
          <w:highlight w:val="none"/>
          <w:u w:val="single" w:color="000000"/>
        </w:rPr>
        <w:t xml:space="preserve">            </w:t>
      </w:r>
    </w:p>
    <w:p w14:paraId="584D2C8C">
      <w:pPr>
        <w:widowControl/>
        <w:spacing w:line="440" w:lineRule="exact"/>
        <w:ind w:firstLine="1077"/>
        <w:textAlignment w:val="baseline"/>
        <w:rPr>
          <w:rFonts w:ascii="宋体" w:hAnsi="宋体" w:cs="宋体"/>
          <w:color w:val="auto"/>
          <w:kern w:val="0"/>
          <w:sz w:val="20"/>
          <w:szCs w:val="21"/>
          <w:highlight w:val="none"/>
          <w:u w:val="single"/>
        </w:rPr>
      </w:pPr>
      <w:r>
        <w:rPr>
          <w:rFonts w:hint="eastAsia" w:ascii="宋体" w:hAnsi="宋体" w:cs="宋体"/>
          <w:color w:val="auto"/>
          <w:kern w:val="0"/>
          <w:szCs w:val="21"/>
          <w:highlight w:val="none"/>
        </w:rPr>
        <w:t>年    龄：</w:t>
      </w:r>
      <w:r>
        <w:rPr>
          <w:rFonts w:hint="eastAsia" w:ascii="宋体" w:hAnsi="宋体" w:cs="宋体"/>
          <w:color w:val="auto"/>
          <w:kern w:val="0"/>
          <w:szCs w:val="21"/>
          <w:highlight w:val="none"/>
          <w:u w:val="single" w:color="000000"/>
        </w:rPr>
        <w:t xml:space="preserve">                          </w:t>
      </w:r>
      <w:r>
        <w:rPr>
          <w:rFonts w:hint="eastAsia" w:ascii="宋体" w:hAnsi="宋体" w:cs="宋体"/>
          <w:color w:val="auto"/>
          <w:kern w:val="0"/>
          <w:szCs w:val="21"/>
          <w:highlight w:val="none"/>
        </w:rPr>
        <w:t>职    务：</w:t>
      </w:r>
      <w:r>
        <w:rPr>
          <w:rFonts w:hint="eastAsia" w:ascii="宋体" w:hAnsi="宋体" w:cs="宋体"/>
          <w:color w:val="auto"/>
          <w:kern w:val="0"/>
          <w:szCs w:val="21"/>
          <w:highlight w:val="none"/>
          <w:u w:val="single" w:color="000000"/>
        </w:rPr>
        <w:t xml:space="preserve">            </w:t>
      </w:r>
    </w:p>
    <w:p w14:paraId="0C31FD9F">
      <w:pPr>
        <w:widowControl/>
        <w:spacing w:line="440" w:lineRule="exact"/>
        <w:ind w:firstLine="1077"/>
        <w:textAlignment w:val="baseline"/>
        <w:rPr>
          <w:rFonts w:ascii="宋体" w:hAnsi="宋体" w:cs="宋体"/>
          <w:color w:val="auto"/>
          <w:kern w:val="0"/>
          <w:sz w:val="20"/>
          <w:szCs w:val="21"/>
          <w:highlight w:val="none"/>
        </w:rPr>
      </w:pPr>
      <w:r>
        <w:rPr>
          <w:rFonts w:hint="eastAsia" w:ascii="宋体" w:hAnsi="宋体" w:cs="宋体"/>
          <w:color w:val="auto"/>
          <w:kern w:val="0"/>
          <w:szCs w:val="21"/>
          <w:highlight w:val="none"/>
        </w:rPr>
        <w:t>系</w:t>
      </w:r>
      <w:r>
        <w:rPr>
          <w:rFonts w:hint="eastAsia" w:ascii="宋体" w:hAnsi="宋体" w:cs="宋体"/>
          <w:color w:val="auto"/>
          <w:kern w:val="0"/>
          <w:szCs w:val="21"/>
          <w:highlight w:val="none"/>
          <w:u w:val="single" w:color="000000"/>
        </w:rPr>
        <w:t xml:space="preserve">                             </w:t>
      </w:r>
      <w:r>
        <w:rPr>
          <w:rFonts w:hint="eastAsia" w:ascii="宋体" w:hAnsi="宋体" w:cs="宋体"/>
          <w:color w:val="auto"/>
          <w:kern w:val="0"/>
          <w:szCs w:val="21"/>
          <w:highlight w:val="none"/>
        </w:rPr>
        <w:t>（</w:t>
      </w:r>
      <w:r>
        <w:rPr>
          <w:rFonts w:hint="eastAsia" w:ascii="宋体" w:hAnsi="宋体" w:cs="宋体"/>
          <w:color w:val="auto"/>
          <w:kern w:val="0"/>
          <w:szCs w:val="21"/>
          <w:highlight w:val="none"/>
          <w:lang w:eastAsia="zh-CN"/>
        </w:rPr>
        <w:t>供应商</w:t>
      </w:r>
      <w:r>
        <w:rPr>
          <w:rFonts w:hint="eastAsia" w:ascii="宋体" w:hAnsi="宋体" w:cs="宋体"/>
          <w:color w:val="auto"/>
          <w:kern w:val="0"/>
          <w:szCs w:val="21"/>
          <w:highlight w:val="none"/>
        </w:rPr>
        <w:t>名称）的法定代表人。</w:t>
      </w:r>
    </w:p>
    <w:p w14:paraId="4F3B1283">
      <w:pPr>
        <w:widowControl/>
        <w:spacing w:line="440" w:lineRule="exact"/>
        <w:ind w:firstLine="1077"/>
        <w:textAlignment w:val="baseline"/>
        <w:rPr>
          <w:rFonts w:ascii="宋体" w:hAnsi="宋体" w:cs="宋体"/>
          <w:color w:val="auto"/>
          <w:kern w:val="0"/>
          <w:sz w:val="20"/>
          <w:szCs w:val="21"/>
          <w:highlight w:val="none"/>
        </w:rPr>
      </w:pPr>
      <w:r>
        <w:rPr>
          <w:rFonts w:hint="eastAsia" w:ascii="宋体" w:hAnsi="宋体" w:cs="宋体"/>
          <w:color w:val="auto"/>
          <w:kern w:val="0"/>
          <w:szCs w:val="21"/>
          <w:highlight w:val="none"/>
        </w:rPr>
        <w:t>特此证明。</w:t>
      </w:r>
    </w:p>
    <w:p w14:paraId="2C6F3C96">
      <w:pPr>
        <w:widowControl/>
        <w:spacing w:line="420" w:lineRule="atLeast"/>
        <w:textAlignment w:val="baseline"/>
        <w:rPr>
          <w:rFonts w:ascii="宋体" w:hAnsi="宋体" w:cs="宋体"/>
          <w:color w:val="auto"/>
          <w:kern w:val="0"/>
          <w:sz w:val="20"/>
          <w:szCs w:val="21"/>
          <w:highlight w:val="none"/>
        </w:rPr>
      </w:pPr>
      <w:r>
        <w:rPr>
          <w:rFonts w:hint="eastAsia" w:ascii="宋体" w:hAnsi="宋体" w:cs="宋体"/>
          <w:color w:val="auto"/>
          <w:kern w:val="0"/>
          <w:szCs w:val="21"/>
          <w:highlight w:val="none"/>
        </w:rPr>
        <w:t xml:space="preserve">  </w:t>
      </w:r>
    </w:p>
    <w:p w14:paraId="6D4A65F1">
      <w:pPr>
        <w:widowControl/>
        <w:spacing w:line="420" w:lineRule="atLeast"/>
        <w:ind w:right="-64" w:firstLine="3600"/>
        <w:textAlignment w:val="baseline"/>
        <w:rPr>
          <w:rFonts w:ascii="宋体" w:hAnsi="宋体" w:cs="宋体"/>
          <w:color w:val="auto"/>
          <w:kern w:val="0"/>
          <w:sz w:val="20"/>
          <w:szCs w:val="21"/>
          <w:highlight w:val="none"/>
        </w:rPr>
      </w:pPr>
      <w:r>
        <w:rPr>
          <w:rFonts w:hint="eastAsia" w:ascii="宋体" w:hAnsi="宋体" w:cs="宋体"/>
          <w:b/>
          <w:bCs/>
          <w:color w:val="auto"/>
          <w:szCs w:val="21"/>
          <w:highlight w:val="none"/>
        </w:rPr>
        <w:t>供应商</w:t>
      </w:r>
      <w:r>
        <w:rPr>
          <w:rFonts w:hint="eastAsia" w:ascii="宋体" w:hAnsi="宋体" w:cs="宋体"/>
          <w:b/>
          <w:bCs/>
          <w:color w:val="auto"/>
          <w:kern w:val="0"/>
          <w:szCs w:val="21"/>
          <w:highlight w:val="none"/>
        </w:rPr>
        <w:t>：</w:t>
      </w:r>
      <w:r>
        <w:rPr>
          <w:rFonts w:hint="eastAsia" w:ascii="宋体" w:hAnsi="宋体" w:cs="宋体"/>
          <w:color w:val="auto"/>
          <w:kern w:val="0"/>
          <w:szCs w:val="21"/>
          <w:highlight w:val="none"/>
          <w:u w:val="single" w:color="000000"/>
        </w:rPr>
        <w:t xml:space="preserve">                      </w:t>
      </w:r>
      <w:r>
        <w:rPr>
          <w:rFonts w:hint="eastAsia" w:ascii="宋体" w:hAnsi="宋体" w:cs="宋体"/>
          <w:color w:val="auto"/>
          <w:kern w:val="0"/>
          <w:szCs w:val="21"/>
          <w:highlight w:val="none"/>
        </w:rPr>
        <w:t>（盖单位章）</w:t>
      </w:r>
    </w:p>
    <w:p w14:paraId="1A570BBB">
      <w:pPr>
        <w:widowControl/>
        <w:spacing w:line="420" w:lineRule="atLeast"/>
        <w:ind w:right="420"/>
        <w:textAlignment w:val="baseline"/>
        <w:rPr>
          <w:rFonts w:ascii="宋体" w:hAnsi="宋体" w:cs="宋体"/>
          <w:color w:val="auto"/>
          <w:kern w:val="0"/>
          <w:sz w:val="20"/>
          <w:szCs w:val="21"/>
          <w:highlight w:val="none"/>
          <w:u w:val="single"/>
        </w:rPr>
      </w:pPr>
    </w:p>
    <w:p w14:paraId="2BD73D99">
      <w:pPr>
        <w:widowControl/>
        <w:spacing w:line="420" w:lineRule="atLeast"/>
        <w:ind w:right="-64" w:firstLine="4320"/>
        <w:textAlignment w:val="baseline"/>
        <w:rPr>
          <w:rFonts w:ascii="宋体" w:hAnsi="宋体" w:cs="宋体"/>
          <w:color w:val="auto"/>
          <w:kern w:val="0"/>
          <w:sz w:val="20"/>
          <w:szCs w:val="21"/>
          <w:highlight w:val="none"/>
        </w:rPr>
      </w:pPr>
      <w:r>
        <w:rPr>
          <w:rFonts w:hint="eastAsia" w:ascii="宋体" w:hAnsi="宋体" w:cs="宋体"/>
          <w:color w:val="auto"/>
          <w:kern w:val="0"/>
          <w:szCs w:val="21"/>
          <w:highlight w:val="none"/>
          <w:u w:val="single" w:color="000000"/>
        </w:rPr>
        <w:t xml:space="preserve">          </w:t>
      </w:r>
      <w:r>
        <w:rPr>
          <w:rFonts w:hint="eastAsia" w:ascii="宋体" w:hAnsi="宋体" w:cs="宋体"/>
          <w:color w:val="auto"/>
          <w:kern w:val="0"/>
          <w:szCs w:val="21"/>
          <w:highlight w:val="none"/>
        </w:rPr>
        <w:t>年</w:t>
      </w:r>
      <w:r>
        <w:rPr>
          <w:rFonts w:hint="eastAsia" w:ascii="宋体" w:hAnsi="宋体" w:cs="宋体"/>
          <w:color w:val="auto"/>
          <w:kern w:val="0"/>
          <w:szCs w:val="21"/>
          <w:highlight w:val="none"/>
          <w:u w:val="single" w:color="000000"/>
        </w:rPr>
        <w:t xml:space="preserve">      </w:t>
      </w:r>
      <w:r>
        <w:rPr>
          <w:rFonts w:hint="eastAsia" w:ascii="宋体" w:hAnsi="宋体" w:cs="宋体"/>
          <w:color w:val="auto"/>
          <w:kern w:val="0"/>
          <w:szCs w:val="21"/>
          <w:highlight w:val="none"/>
        </w:rPr>
        <w:t>月</w:t>
      </w:r>
      <w:r>
        <w:rPr>
          <w:rFonts w:hint="eastAsia" w:ascii="宋体" w:hAnsi="宋体" w:cs="宋体"/>
          <w:color w:val="auto"/>
          <w:kern w:val="0"/>
          <w:szCs w:val="21"/>
          <w:highlight w:val="none"/>
          <w:u w:val="single" w:color="000000"/>
        </w:rPr>
        <w:t xml:space="preserve">        </w:t>
      </w:r>
      <w:r>
        <w:rPr>
          <w:rFonts w:hint="eastAsia" w:ascii="宋体" w:hAnsi="宋体" w:cs="宋体"/>
          <w:color w:val="auto"/>
          <w:kern w:val="0"/>
          <w:szCs w:val="21"/>
          <w:highlight w:val="none"/>
        </w:rPr>
        <w:t xml:space="preserve">日 </w:t>
      </w:r>
    </w:p>
    <w:p w14:paraId="4CACEFCC">
      <w:pPr>
        <w:widowControl/>
        <w:spacing w:line="420" w:lineRule="atLeast"/>
        <w:jc w:val="center"/>
        <w:textAlignment w:val="baseline"/>
        <w:rPr>
          <w:rFonts w:ascii="宋体" w:hAnsi="宋体" w:cs="宋体"/>
          <w:color w:val="auto"/>
          <w:kern w:val="0"/>
          <w:sz w:val="20"/>
          <w:szCs w:val="21"/>
          <w:highlight w:val="none"/>
        </w:rPr>
      </w:pPr>
    </w:p>
    <w:p w14:paraId="48DC5387">
      <w:pPr>
        <w:widowControl/>
        <w:spacing w:line="420" w:lineRule="atLeast"/>
        <w:textAlignment w:val="baseline"/>
        <w:rPr>
          <w:rFonts w:ascii="宋体" w:hAnsi="宋体" w:cs="宋体"/>
          <w:b/>
          <w:color w:val="auto"/>
          <w:kern w:val="0"/>
          <w:sz w:val="20"/>
          <w:szCs w:val="21"/>
          <w:highlight w:val="none"/>
        </w:rPr>
      </w:pPr>
      <w:r>
        <w:rPr>
          <w:rFonts w:hint="eastAsia" w:ascii="宋体" w:hAnsi="宋体" w:cs="宋体"/>
          <w:b/>
          <w:color w:val="auto"/>
          <w:kern w:val="0"/>
          <w:szCs w:val="21"/>
          <w:highlight w:val="none"/>
        </w:rPr>
        <w:t xml:space="preserve">后附法定代表人身份证复印件： </w:t>
      </w:r>
    </w:p>
    <w:p w14:paraId="4CEFB890">
      <w:pPr>
        <w:widowControl/>
        <w:spacing w:line="420" w:lineRule="atLeast"/>
        <w:textAlignment w:val="baseline"/>
        <w:rPr>
          <w:rFonts w:ascii="宋体" w:hAnsi="宋体" w:cs="宋体"/>
          <w:color w:val="auto"/>
          <w:kern w:val="0"/>
          <w:sz w:val="20"/>
          <w:szCs w:val="21"/>
          <w:highlight w:val="none"/>
        </w:rPr>
      </w:pPr>
    </w:p>
    <w:p w14:paraId="211441CD">
      <w:pPr>
        <w:widowControl/>
        <w:spacing w:line="420" w:lineRule="atLeast"/>
        <w:textAlignment w:val="baseline"/>
        <w:rPr>
          <w:rFonts w:ascii="宋体" w:hAnsi="宋体" w:cs="宋体"/>
          <w:color w:val="auto"/>
          <w:kern w:val="0"/>
          <w:sz w:val="20"/>
          <w:szCs w:val="21"/>
          <w:highlight w:val="none"/>
        </w:rPr>
      </w:pPr>
    </w:p>
    <w:p w14:paraId="313A2260">
      <w:pPr>
        <w:pStyle w:val="11"/>
        <w:ind w:left="1020"/>
        <w:textAlignment w:val="baseline"/>
        <w:rPr>
          <w:rFonts w:ascii="宋体" w:hAnsi="宋体" w:cs="宋体"/>
          <w:color w:val="auto"/>
          <w:highlight w:val="none"/>
        </w:rPr>
      </w:pPr>
    </w:p>
    <w:p w14:paraId="388DAB27">
      <w:pPr>
        <w:pStyle w:val="11"/>
        <w:textAlignment w:val="baseline"/>
        <w:rPr>
          <w:rFonts w:ascii="宋体" w:hAnsi="宋体" w:cs="宋体"/>
          <w:color w:val="auto"/>
          <w:kern w:val="0"/>
          <w:sz w:val="24"/>
          <w:highlight w:val="none"/>
        </w:rPr>
      </w:pPr>
    </w:p>
    <w:p w14:paraId="73F21157">
      <w:pPr>
        <w:widowControl/>
        <w:spacing w:line="420" w:lineRule="atLeast"/>
        <w:jc w:val="left"/>
        <w:textAlignment w:val="baseline"/>
        <w:rPr>
          <w:rFonts w:ascii="宋体" w:hAnsi="宋体" w:cs="宋体"/>
          <w:b/>
          <w:bCs/>
          <w:color w:val="auto"/>
          <w:kern w:val="0"/>
          <w:sz w:val="30"/>
          <w:szCs w:val="30"/>
          <w:highlight w:val="none"/>
        </w:rPr>
      </w:pPr>
      <w:r>
        <w:rPr>
          <w:rFonts w:hint="eastAsia" w:ascii="宋体" w:hAnsi="宋体" w:cs="宋体"/>
          <w:b/>
          <w:bCs/>
          <w:color w:val="auto"/>
          <w:kern w:val="0"/>
          <w:sz w:val="30"/>
          <w:szCs w:val="30"/>
          <w:highlight w:val="none"/>
        </w:rPr>
        <w:br w:type="page"/>
      </w:r>
    </w:p>
    <w:p w14:paraId="198C2728">
      <w:pPr>
        <w:spacing w:line="420" w:lineRule="atLeast"/>
        <w:jc w:val="left"/>
        <w:textAlignment w:val="baseline"/>
        <w:outlineLvl w:val="0"/>
        <w:rPr>
          <w:rFonts w:hint="default" w:ascii="宋体" w:hAnsi="宋体" w:eastAsia="宋体" w:cs="宋体"/>
          <w:b/>
          <w:color w:val="auto"/>
          <w:sz w:val="30"/>
          <w:highlight w:val="none"/>
          <w:lang w:val="en-US" w:eastAsia="zh-CN"/>
        </w:rPr>
      </w:pPr>
      <w:bookmarkStart w:id="92" w:name="_Toc28011"/>
      <w:r>
        <w:rPr>
          <w:rFonts w:hint="eastAsia" w:ascii="宋体" w:hAnsi="宋体" w:cs="宋体"/>
          <w:b/>
          <w:bCs/>
          <w:color w:val="auto"/>
          <w:sz w:val="22"/>
          <w:highlight w:val="none"/>
        </w:rPr>
        <w:t>附件</w:t>
      </w:r>
      <w:bookmarkEnd w:id="92"/>
      <w:r>
        <w:rPr>
          <w:rFonts w:hint="eastAsia" w:ascii="宋体" w:hAnsi="宋体" w:cs="宋体"/>
          <w:b/>
          <w:bCs/>
          <w:color w:val="auto"/>
          <w:sz w:val="22"/>
          <w:highlight w:val="none"/>
          <w:lang w:val="en-US" w:eastAsia="zh-CN"/>
        </w:rPr>
        <w:t>2-2</w:t>
      </w:r>
    </w:p>
    <w:p w14:paraId="4BE585C8">
      <w:pPr>
        <w:widowControl/>
        <w:spacing w:line="420" w:lineRule="atLeast"/>
        <w:jc w:val="center"/>
        <w:textAlignment w:val="baseline"/>
        <w:rPr>
          <w:rFonts w:ascii="宋体" w:hAnsi="宋体" w:cs="宋体"/>
          <w:b/>
          <w:bCs/>
          <w:color w:val="auto"/>
          <w:kern w:val="0"/>
          <w:sz w:val="30"/>
          <w:szCs w:val="30"/>
          <w:highlight w:val="none"/>
        </w:rPr>
      </w:pPr>
      <w:r>
        <w:rPr>
          <w:rFonts w:hint="eastAsia" w:ascii="宋体" w:hAnsi="宋体" w:cs="宋体"/>
          <w:b/>
          <w:bCs/>
          <w:color w:val="auto"/>
          <w:kern w:val="0"/>
          <w:sz w:val="30"/>
          <w:szCs w:val="30"/>
          <w:highlight w:val="none"/>
        </w:rPr>
        <w:t>法定代表人授权委托书</w:t>
      </w:r>
    </w:p>
    <w:p w14:paraId="1DC30321">
      <w:pPr>
        <w:widowControl/>
        <w:spacing w:line="420" w:lineRule="atLeast"/>
        <w:ind w:left="120"/>
        <w:jc w:val="left"/>
        <w:textAlignment w:val="baseline"/>
        <w:rPr>
          <w:rFonts w:ascii="宋体" w:hAnsi="宋体" w:cs="宋体"/>
          <w:color w:val="auto"/>
          <w:kern w:val="0"/>
          <w:sz w:val="24"/>
          <w:highlight w:val="none"/>
        </w:rPr>
      </w:pPr>
    </w:p>
    <w:p w14:paraId="52D18E2E">
      <w:pPr>
        <w:widowControl/>
        <w:spacing w:line="460" w:lineRule="exact"/>
        <w:ind w:left="120" w:firstLine="482"/>
        <w:jc w:val="left"/>
        <w:textAlignment w:val="baseline"/>
        <w:rPr>
          <w:rFonts w:ascii="宋体" w:hAnsi="宋体" w:cs="宋体"/>
          <w:color w:val="auto"/>
          <w:kern w:val="0"/>
          <w:sz w:val="20"/>
          <w:szCs w:val="21"/>
          <w:highlight w:val="none"/>
        </w:rPr>
      </w:pPr>
      <w:r>
        <w:rPr>
          <w:rFonts w:hint="eastAsia" w:ascii="宋体" w:hAnsi="宋体" w:cs="宋体"/>
          <w:color w:val="auto"/>
          <w:kern w:val="0"/>
          <w:szCs w:val="21"/>
          <w:highlight w:val="none"/>
        </w:rPr>
        <w:t>本授权书声明：我</w:t>
      </w:r>
      <w:r>
        <w:rPr>
          <w:rFonts w:hint="eastAsia" w:ascii="宋体" w:hAnsi="宋体" w:cs="宋体"/>
          <w:color w:val="auto"/>
          <w:kern w:val="0"/>
          <w:szCs w:val="21"/>
          <w:highlight w:val="none"/>
          <w:u w:val="single" w:color="000000"/>
        </w:rPr>
        <w:t xml:space="preserve">             </w:t>
      </w:r>
      <w:r>
        <w:rPr>
          <w:rFonts w:hint="eastAsia" w:ascii="宋体" w:hAnsi="宋体" w:cs="宋体"/>
          <w:color w:val="auto"/>
          <w:kern w:val="0"/>
          <w:szCs w:val="21"/>
          <w:highlight w:val="none"/>
        </w:rPr>
        <w:t>（法人代表姓名、职务）是</w:t>
      </w:r>
      <w:r>
        <w:rPr>
          <w:rFonts w:hint="eastAsia" w:ascii="宋体" w:hAnsi="宋体" w:cs="宋体"/>
          <w:color w:val="auto"/>
          <w:kern w:val="0"/>
          <w:szCs w:val="21"/>
          <w:highlight w:val="none"/>
          <w:u w:val="single" w:color="000000"/>
        </w:rPr>
        <w:t xml:space="preserve">                                </w:t>
      </w:r>
      <w:r>
        <w:rPr>
          <w:rFonts w:hint="eastAsia" w:ascii="宋体" w:hAnsi="宋体" w:cs="宋体"/>
          <w:color w:val="auto"/>
          <w:kern w:val="0"/>
          <w:szCs w:val="21"/>
          <w:highlight w:val="none"/>
        </w:rPr>
        <w:t>（单位名称）的法人代表，现代表本单位授权</w:t>
      </w:r>
      <w:r>
        <w:rPr>
          <w:rFonts w:hint="eastAsia" w:ascii="宋体" w:hAnsi="宋体" w:cs="宋体"/>
          <w:color w:val="auto"/>
          <w:kern w:val="0"/>
          <w:szCs w:val="21"/>
          <w:highlight w:val="none"/>
          <w:u w:val="single" w:color="000000"/>
        </w:rPr>
        <w:t xml:space="preserve">                   </w:t>
      </w:r>
      <w:r>
        <w:rPr>
          <w:rFonts w:hint="eastAsia" w:ascii="宋体" w:hAnsi="宋体" w:cs="宋体"/>
          <w:color w:val="auto"/>
          <w:kern w:val="0"/>
          <w:szCs w:val="21"/>
          <w:highlight w:val="none"/>
        </w:rPr>
        <w:t>（被授权人的姓名、职务）为本单位的合法代理人，就参加</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u w:val="single"/>
          <w:lang w:eastAsia="zh-CN"/>
        </w:rPr>
        <w:t>2025年交通事故痕迹鉴定及车辆鉴定技术服务项目</w:t>
      </w:r>
      <w:r>
        <w:rPr>
          <w:rFonts w:hint="eastAsia" w:ascii="宋体" w:hAnsi="宋体" w:cs="宋体"/>
          <w:color w:val="auto"/>
          <w:kern w:val="0"/>
          <w:szCs w:val="21"/>
          <w:highlight w:val="none"/>
          <w:u w:val="single"/>
        </w:rPr>
        <w:t>（项目编号：</w:t>
      </w:r>
      <w:r>
        <w:rPr>
          <w:rFonts w:hint="eastAsia" w:ascii="宋体" w:hAnsi="宋体" w:cs="宋体"/>
          <w:color w:val="auto"/>
          <w:kern w:val="0"/>
          <w:szCs w:val="21"/>
          <w:highlight w:val="none"/>
          <w:u w:val="single"/>
          <w:lang w:eastAsia="zh-CN"/>
        </w:rPr>
        <w:t>CSKC-CS202504</w:t>
      </w:r>
      <w:r>
        <w:rPr>
          <w:rFonts w:hint="eastAsia" w:ascii="宋体" w:hAnsi="宋体" w:cs="宋体"/>
          <w:color w:val="auto"/>
          <w:kern w:val="0"/>
          <w:szCs w:val="21"/>
          <w:highlight w:val="none"/>
          <w:u w:val="single"/>
        </w:rPr>
        <w:t>）</w:t>
      </w:r>
      <w:r>
        <w:rPr>
          <w:rFonts w:hint="eastAsia" w:ascii="宋体" w:hAnsi="宋体" w:cs="宋体"/>
          <w:color w:val="auto"/>
          <w:kern w:val="0"/>
          <w:szCs w:val="21"/>
          <w:highlight w:val="none"/>
        </w:rPr>
        <w:t>招标的投标、签订合同以及合同的执行、完成和服务，及以本单位名义处理一切与之有关的事务。</w:t>
      </w:r>
    </w:p>
    <w:p w14:paraId="78E33471">
      <w:pPr>
        <w:widowControl/>
        <w:spacing w:line="460" w:lineRule="exact"/>
        <w:ind w:firstLine="482"/>
        <w:jc w:val="left"/>
        <w:textAlignment w:val="baseline"/>
        <w:rPr>
          <w:rFonts w:ascii="宋体" w:hAnsi="宋体" w:cs="宋体"/>
          <w:color w:val="auto"/>
          <w:kern w:val="0"/>
          <w:sz w:val="20"/>
          <w:szCs w:val="21"/>
          <w:highlight w:val="none"/>
        </w:rPr>
      </w:pPr>
      <w:r>
        <w:rPr>
          <w:rFonts w:hint="eastAsia" w:ascii="宋体" w:hAnsi="宋体" w:cs="宋体"/>
          <w:color w:val="auto"/>
          <w:kern w:val="0"/>
          <w:szCs w:val="21"/>
          <w:highlight w:val="none"/>
        </w:rPr>
        <w:t xml:space="preserve"> 本授权书于</w:t>
      </w:r>
      <w:r>
        <w:rPr>
          <w:rFonts w:hint="eastAsia" w:ascii="宋体" w:hAnsi="宋体" w:cs="宋体"/>
          <w:color w:val="auto"/>
          <w:kern w:val="0"/>
          <w:szCs w:val="21"/>
          <w:highlight w:val="none"/>
          <w:u w:val="single" w:color="000000"/>
        </w:rPr>
        <w:t xml:space="preserve">     </w:t>
      </w:r>
      <w:r>
        <w:rPr>
          <w:rFonts w:hint="eastAsia" w:ascii="宋体" w:hAnsi="宋体" w:cs="宋体"/>
          <w:color w:val="auto"/>
          <w:kern w:val="0"/>
          <w:szCs w:val="21"/>
          <w:highlight w:val="none"/>
        </w:rPr>
        <w:t>年</w:t>
      </w:r>
      <w:r>
        <w:rPr>
          <w:rFonts w:hint="eastAsia" w:ascii="宋体" w:hAnsi="宋体" w:cs="宋体"/>
          <w:color w:val="auto"/>
          <w:kern w:val="0"/>
          <w:szCs w:val="21"/>
          <w:highlight w:val="none"/>
          <w:u w:val="single" w:color="000000"/>
        </w:rPr>
        <w:t xml:space="preserve">      </w:t>
      </w:r>
      <w:r>
        <w:rPr>
          <w:rFonts w:hint="eastAsia" w:ascii="宋体" w:hAnsi="宋体" w:cs="宋体"/>
          <w:color w:val="auto"/>
          <w:kern w:val="0"/>
          <w:szCs w:val="21"/>
          <w:highlight w:val="none"/>
        </w:rPr>
        <w:t>月</w:t>
      </w:r>
      <w:r>
        <w:rPr>
          <w:rFonts w:hint="eastAsia" w:ascii="宋体" w:hAnsi="宋体" w:cs="宋体"/>
          <w:color w:val="auto"/>
          <w:kern w:val="0"/>
          <w:szCs w:val="21"/>
          <w:highlight w:val="none"/>
          <w:u w:val="single" w:color="000000"/>
        </w:rPr>
        <w:t xml:space="preserve">      </w:t>
      </w:r>
      <w:r>
        <w:rPr>
          <w:rFonts w:hint="eastAsia" w:ascii="宋体" w:hAnsi="宋体" w:cs="宋体"/>
          <w:color w:val="auto"/>
          <w:kern w:val="0"/>
          <w:szCs w:val="21"/>
          <w:highlight w:val="none"/>
        </w:rPr>
        <w:t>日签字生效，特此声明。</w:t>
      </w:r>
    </w:p>
    <w:p w14:paraId="53D75FE5">
      <w:pPr>
        <w:pStyle w:val="67"/>
        <w:rPr>
          <w:rFonts w:ascii="宋体" w:hAnsi="宋体" w:cs="宋体"/>
          <w:color w:val="auto"/>
          <w:highlight w:val="none"/>
        </w:rPr>
      </w:pPr>
    </w:p>
    <w:p w14:paraId="195B7AC4">
      <w:pPr>
        <w:widowControl/>
        <w:spacing w:line="360" w:lineRule="auto"/>
        <w:ind w:firstLine="600"/>
        <w:jc w:val="left"/>
        <w:textAlignment w:val="baseline"/>
        <w:rPr>
          <w:rFonts w:ascii="宋体" w:hAnsi="宋体" w:cs="宋体"/>
          <w:b/>
          <w:bCs/>
          <w:color w:val="auto"/>
          <w:kern w:val="0"/>
          <w:sz w:val="20"/>
          <w:szCs w:val="21"/>
          <w:highlight w:val="none"/>
        </w:rPr>
      </w:pPr>
      <w:r>
        <w:rPr>
          <w:rFonts w:hint="eastAsia" w:ascii="宋体" w:hAnsi="宋体" w:cs="宋体"/>
          <w:b/>
          <w:bCs/>
          <w:color w:val="auto"/>
          <w:kern w:val="0"/>
          <w:szCs w:val="21"/>
          <w:highlight w:val="none"/>
        </w:rPr>
        <w:t>法人代表（签字）</w:t>
      </w:r>
      <w:r>
        <w:rPr>
          <w:rFonts w:hint="eastAsia" w:ascii="宋体" w:hAnsi="宋体" w:cs="宋体"/>
          <w:b/>
          <w:bCs/>
          <w:color w:val="auto"/>
          <w:kern w:val="0"/>
          <w:szCs w:val="21"/>
          <w:highlight w:val="none"/>
          <w:u w:val="single" w:color="000000"/>
        </w:rPr>
        <w:t xml:space="preserve">                          </w:t>
      </w:r>
    </w:p>
    <w:p w14:paraId="53EBE977">
      <w:pPr>
        <w:widowControl/>
        <w:spacing w:line="360" w:lineRule="auto"/>
        <w:ind w:firstLine="600"/>
        <w:jc w:val="left"/>
        <w:textAlignment w:val="baseline"/>
        <w:rPr>
          <w:rFonts w:ascii="宋体" w:hAnsi="宋体" w:cs="宋体"/>
          <w:b/>
          <w:bCs/>
          <w:color w:val="auto"/>
          <w:kern w:val="0"/>
          <w:sz w:val="20"/>
          <w:szCs w:val="21"/>
          <w:highlight w:val="none"/>
        </w:rPr>
      </w:pPr>
      <w:r>
        <w:rPr>
          <w:rFonts w:hint="eastAsia" w:ascii="宋体" w:hAnsi="宋体" w:cs="宋体"/>
          <w:b/>
          <w:bCs/>
          <w:color w:val="auto"/>
          <w:kern w:val="0"/>
          <w:szCs w:val="21"/>
          <w:highlight w:val="none"/>
        </w:rPr>
        <w:t>授权委托人（签字）</w:t>
      </w:r>
      <w:r>
        <w:rPr>
          <w:rFonts w:hint="eastAsia" w:ascii="宋体" w:hAnsi="宋体" w:cs="宋体"/>
          <w:b/>
          <w:bCs/>
          <w:color w:val="auto"/>
          <w:kern w:val="0"/>
          <w:szCs w:val="21"/>
          <w:highlight w:val="none"/>
          <w:u w:val="single" w:color="000000"/>
        </w:rPr>
        <w:t xml:space="preserve">                        </w:t>
      </w:r>
    </w:p>
    <w:p w14:paraId="66D88927">
      <w:pPr>
        <w:widowControl/>
        <w:spacing w:line="360" w:lineRule="auto"/>
        <w:ind w:firstLine="600"/>
        <w:jc w:val="left"/>
        <w:textAlignment w:val="baseline"/>
        <w:rPr>
          <w:rFonts w:ascii="宋体" w:hAnsi="宋体" w:cs="宋体"/>
          <w:b/>
          <w:bCs/>
          <w:color w:val="auto"/>
          <w:kern w:val="0"/>
          <w:sz w:val="20"/>
          <w:szCs w:val="21"/>
          <w:highlight w:val="none"/>
        </w:rPr>
      </w:pPr>
      <w:r>
        <w:rPr>
          <w:rFonts w:hint="eastAsia" w:ascii="宋体" w:hAnsi="宋体" w:cs="宋体"/>
          <w:b/>
          <w:bCs/>
          <w:color w:val="auto"/>
          <w:kern w:val="0"/>
          <w:szCs w:val="21"/>
          <w:highlight w:val="none"/>
        </w:rPr>
        <w:t>单位名称（公章）</w:t>
      </w:r>
      <w:r>
        <w:rPr>
          <w:rFonts w:hint="eastAsia" w:ascii="宋体" w:hAnsi="宋体" w:cs="宋体"/>
          <w:b/>
          <w:bCs/>
          <w:color w:val="auto"/>
          <w:kern w:val="0"/>
          <w:szCs w:val="21"/>
          <w:highlight w:val="none"/>
          <w:u w:val="single" w:color="000000"/>
        </w:rPr>
        <w:t xml:space="preserve">                              </w:t>
      </w:r>
    </w:p>
    <w:p w14:paraId="6252A63D">
      <w:pPr>
        <w:widowControl/>
        <w:spacing w:line="360" w:lineRule="auto"/>
        <w:ind w:firstLine="480"/>
        <w:jc w:val="left"/>
        <w:textAlignment w:val="baseline"/>
        <w:rPr>
          <w:rFonts w:ascii="宋体" w:hAnsi="宋体" w:cs="宋体"/>
          <w:b/>
          <w:bCs/>
          <w:color w:val="auto"/>
          <w:kern w:val="0"/>
          <w:sz w:val="20"/>
          <w:szCs w:val="21"/>
          <w:highlight w:val="none"/>
        </w:rPr>
      </w:pPr>
      <w:r>
        <w:rPr>
          <w:rFonts w:hint="eastAsia" w:ascii="宋体" w:hAnsi="宋体" w:cs="宋体"/>
          <w:b/>
          <w:bCs/>
          <w:color w:val="auto"/>
          <w:kern w:val="0"/>
          <w:szCs w:val="21"/>
          <w:highlight w:val="none"/>
        </w:rPr>
        <w:t xml:space="preserve"> 日    期：</w:t>
      </w:r>
      <w:r>
        <w:rPr>
          <w:rFonts w:hint="eastAsia" w:ascii="宋体" w:hAnsi="宋体" w:cs="宋体"/>
          <w:b/>
          <w:bCs/>
          <w:color w:val="auto"/>
          <w:kern w:val="0"/>
          <w:szCs w:val="21"/>
          <w:highlight w:val="none"/>
          <w:u w:val="single" w:color="000000"/>
        </w:rPr>
        <w:t xml:space="preserve">                                    </w:t>
      </w:r>
    </w:p>
    <w:p w14:paraId="6EB933DC">
      <w:pPr>
        <w:widowControl/>
        <w:spacing w:line="360" w:lineRule="auto"/>
        <w:ind w:firstLine="600"/>
        <w:jc w:val="left"/>
        <w:textAlignment w:val="baseline"/>
        <w:rPr>
          <w:rFonts w:ascii="宋体" w:hAnsi="宋体" w:cs="宋体"/>
          <w:color w:val="auto"/>
          <w:kern w:val="0"/>
          <w:sz w:val="20"/>
          <w:szCs w:val="21"/>
          <w:highlight w:val="none"/>
        </w:rPr>
      </w:pPr>
    </w:p>
    <w:p w14:paraId="6FB6E335">
      <w:pPr>
        <w:widowControl/>
        <w:spacing w:line="360" w:lineRule="auto"/>
        <w:textAlignment w:val="baseline"/>
        <w:rPr>
          <w:rFonts w:ascii="宋体" w:hAnsi="宋体" w:cs="宋体"/>
          <w:b/>
          <w:color w:val="auto"/>
          <w:kern w:val="0"/>
          <w:sz w:val="20"/>
          <w:szCs w:val="21"/>
          <w:highlight w:val="none"/>
        </w:rPr>
      </w:pPr>
      <w:r>
        <w:rPr>
          <w:rFonts w:hint="eastAsia" w:ascii="宋体" w:hAnsi="宋体" w:cs="宋体"/>
          <w:b/>
          <w:color w:val="auto"/>
          <w:kern w:val="0"/>
          <w:szCs w:val="21"/>
          <w:highlight w:val="none"/>
        </w:rPr>
        <w:t>后附委托代理人身份证复印件：</w:t>
      </w:r>
    </w:p>
    <w:p w14:paraId="46E9F492">
      <w:pPr>
        <w:pStyle w:val="11"/>
        <w:textAlignment w:val="baseline"/>
        <w:rPr>
          <w:rFonts w:ascii="宋体" w:hAnsi="宋体" w:cs="宋体"/>
          <w:color w:val="auto"/>
          <w:kern w:val="0"/>
          <w:sz w:val="24"/>
          <w:highlight w:val="none"/>
        </w:rPr>
      </w:pPr>
    </w:p>
    <w:p w14:paraId="50E86882">
      <w:pPr>
        <w:spacing w:line="460" w:lineRule="exact"/>
        <w:jc w:val="left"/>
        <w:textAlignment w:val="baseline"/>
        <w:rPr>
          <w:rFonts w:ascii="宋体" w:hAnsi="宋体" w:cs="宋体"/>
          <w:b/>
          <w:bCs/>
          <w:color w:val="auto"/>
          <w:sz w:val="22"/>
          <w:highlight w:val="none"/>
        </w:rPr>
      </w:pPr>
    </w:p>
    <w:p w14:paraId="75D359CC">
      <w:pPr>
        <w:pStyle w:val="30"/>
        <w:spacing w:line="360" w:lineRule="auto"/>
        <w:ind w:firstLine="60"/>
        <w:textAlignment w:val="baseline"/>
        <w:rPr>
          <w:rFonts w:ascii="宋体" w:hAnsi="宋体" w:eastAsia="宋体"/>
          <w:color w:val="auto"/>
          <w:sz w:val="22"/>
          <w:szCs w:val="22"/>
          <w:highlight w:val="none"/>
          <w:u w:val="single"/>
        </w:rPr>
      </w:pPr>
      <w:r>
        <w:rPr>
          <w:rFonts w:hint="eastAsia" w:ascii="宋体" w:hAnsi="宋体" w:eastAsia="宋体"/>
          <w:b/>
          <w:color w:val="auto"/>
          <w:sz w:val="30"/>
          <w:highlight w:val="none"/>
        </w:rPr>
        <w:br w:type="page"/>
      </w:r>
    </w:p>
    <w:p w14:paraId="5E2FD3A7">
      <w:pPr>
        <w:widowControl/>
        <w:spacing w:line="420" w:lineRule="atLeast"/>
        <w:textAlignment w:val="baseline"/>
        <w:outlineLvl w:val="0"/>
        <w:rPr>
          <w:rFonts w:hint="eastAsia" w:ascii="宋体" w:hAnsi="宋体" w:eastAsia="宋体" w:cs="宋体"/>
          <w:b/>
          <w:bCs/>
          <w:color w:val="auto"/>
          <w:sz w:val="28"/>
          <w:szCs w:val="28"/>
          <w:highlight w:val="none"/>
        </w:rPr>
      </w:pPr>
      <w:bookmarkStart w:id="93" w:name="_Toc14559"/>
      <w:r>
        <w:rPr>
          <w:rFonts w:hint="eastAsia" w:ascii="宋体" w:hAnsi="宋体" w:cs="宋体"/>
          <w:b/>
          <w:bCs/>
          <w:color w:val="auto"/>
          <w:kern w:val="0"/>
          <w:sz w:val="24"/>
          <w:szCs w:val="24"/>
          <w:highlight w:val="none"/>
        </w:rPr>
        <w:t>附件</w:t>
      </w:r>
      <w:r>
        <w:rPr>
          <w:rFonts w:hint="eastAsia" w:ascii="宋体" w:hAnsi="宋体" w:cs="宋体"/>
          <w:b/>
          <w:bCs/>
          <w:color w:val="auto"/>
          <w:kern w:val="0"/>
          <w:sz w:val="24"/>
          <w:szCs w:val="24"/>
          <w:highlight w:val="none"/>
          <w:lang w:val="en-US" w:eastAsia="zh-CN"/>
        </w:rPr>
        <w:t>3</w:t>
      </w:r>
    </w:p>
    <w:p w14:paraId="3F47E277">
      <w:pPr>
        <w:jc w:val="center"/>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rPr>
        <w:t>中小企业声明函</w:t>
      </w:r>
      <w:r>
        <w:rPr>
          <w:rFonts w:hint="eastAsia" w:ascii="宋体" w:hAnsi="宋体" w:cs="宋体"/>
          <w:b/>
          <w:bCs/>
          <w:color w:val="auto"/>
          <w:sz w:val="28"/>
          <w:szCs w:val="28"/>
          <w:highlight w:val="none"/>
          <w:lang w:eastAsia="zh-CN"/>
        </w:rPr>
        <w:t>（服务）</w:t>
      </w:r>
    </w:p>
    <w:p w14:paraId="18A5AA2F">
      <w:pPr>
        <w:pStyle w:val="20"/>
        <w:spacing w:line="360" w:lineRule="auto"/>
        <w:jc w:val="center"/>
        <w:rPr>
          <w:rFonts w:hint="eastAsia" w:ascii="宋体" w:hAnsi="宋体" w:eastAsia="宋体" w:cs="宋体"/>
          <w:bCs/>
          <w:color w:val="auto"/>
          <w:sz w:val="18"/>
          <w:szCs w:val="18"/>
          <w:highlight w:val="none"/>
          <w:u w:val="single"/>
        </w:rPr>
      </w:pPr>
    </w:p>
    <w:p w14:paraId="5C4096AB">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本公司</w:t>
      </w:r>
      <w:r>
        <w:rPr>
          <w:rFonts w:hint="eastAsia" w:ascii="宋体" w:hAnsi="宋体" w:cs="宋体"/>
          <w:color w:val="auto"/>
          <w:szCs w:val="21"/>
          <w:highlight w:val="none"/>
          <w:lang w:eastAsia="zh-CN"/>
        </w:rPr>
        <w:t>（联合体）</w:t>
      </w:r>
      <w:r>
        <w:rPr>
          <w:rFonts w:hint="eastAsia" w:ascii="宋体" w:hAnsi="宋体" w:eastAsia="宋体" w:cs="宋体"/>
          <w:color w:val="auto"/>
          <w:szCs w:val="21"/>
          <w:highlight w:val="none"/>
        </w:rPr>
        <w:t>郑重声明，根据《政府采购促进中小企业发展管理办法》（财库 ﹝2020﹞46号）的规定，本公司</w:t>
      </w:r>
      <w:r>
        <w:rPr>
          <w:rFonts w:hint="eastAsia" w:ascii="宋体" w:hAnsi="宋体" w:cs="宋体"/>
          <w:color w:val="auto"/>
          <w:szCs w:val="21"/>
          <w:highlight w:val="none"/>
          <w:lang w:eastAsia="zh-CN"/>
        </w:rPr>
        <w:t>（联合体）</w:t>
      </w:r>
      <w:r>
        <w:rPr>
          <w:rFonts w:hint="eastAsia" w:ascii="宋体" w:hAnsi="宋体" w:eastAsia="宋体" w:cs="宋体"/>
          <w:color w:val="auto"/>
          <w:szCs w:val="21"/>
          <w:highlight w:val="none"/>
        </w:rPr>
        <w:t>参加</w:t>
      </w:r>
      <w:r>
        <w:rPr>
          <w:rFonts w:hint="eastAsia" w:ascii="宋体" w:hAnsi="宋体" w:eastAsia="宋体" w:cs="宋体"/>
          <w:color w:val="auto"/>
          <w:szCs w:val="21"/>
          <w:highlight w:val="none"/>
          <w:u w:val="single"/>
        </w:rPr>
        <w:t>（单位名称）</w:t>
      </w:r>
      <w:r>
        <w:rPr>
          <w:rFonts w:hint="eastAsia" w:ascii="宋体" w:hAnsi="宋体" w:eastAsia="宋体" w:cs="宋体"/>
          <w:color w:val="auto"/>
          <w:szCs w:val="21"/>
          <w:highlight w:val="none"/>
        </w:rPr>
        <w:t>的</w:t>
      </w:r>
      <w:r>
        <w:rPr>
          <w:rFonts w:hint="eastAsia"/>
          <w:color w:val="auto"/>
          <w:szCs w:val="21"/>
          <w:highlight w:val="none"/>
          <w:u w:val="single"/>
        </w:rPr>
        <w:t>（项目名称）</w:t>
      </w:r>
      <w:r>
        <w:rPr>
          <w:rFonts w:hint="eastAsia"/>
          <w:color w:val="auto"/>
          <w:szCs w:val="21"/>
          <w:highlight w:val="none"/>
          <w:u w:val="single"/>
          <w:lang w:eastAsia="zh-CN"/>
        </w:rPr>
        <w:t>（项目编号）</w:t>
      </w:r>
      <w:r>
        <w:rPr>
          <w:rFonts w:hint="eastAsia" w:ascii="宋体" w:hAnsi="宋体" w:eastAsia="宋体" w:cs="宋体"/>
          <w:color w:val="auto"/>
          <w:szCs w:val="21"/>
          <w:highlight w:val="none"/>
        </w:rPr>
        <w:t>采购活动，工程的施工单位全部为符合政策要求的中小企业（或者∶服务全部由符合政策要求的中小企业承接）。相关企业（含联合体中的中小企业、签订分包意向协议的中小企业）的具体情况如下∶</w:t>
      </w:r>
    </w:p>
    <w:p w14:paraId="3A2D5951">
      <w:pPr>
        <w:spacing w:line="300" w:lineRule="auto"/>
        <w:ind w:firstLine="420" w:firstLineChars="200"/>
        <w:rPr>
          <w:rFonts w:hint="eastAsia" w:asciiTheme="minorEastAsia" w:hAnsiTheme="minorEastAsia" w:eastAsiaTheme="minorEastAsia" w:cstheme="minorEastAsia"/>
          <w:color w:val="auto"/>
          <w:szCs w:val="21"/>
          <w:highlight w:val="none"/>
        </w:rPr>
      </w:pPr>
      <w:r>
        <w:rPr>
          <w:rFonts w:hint="eastAsia" w:ascii="宋体" w:hAnsi="宋体" w:eastAsia="宋体" w:cs="宋体"/>
          <w:color w:val="auto"/>
          <w:szCs w:val="21"/>
          <w:highlight w:val="none"/>
          <w:u w:val="none"/>
          <w:lang w:val="en-US" w:eastAsia="zh-CN"/>
        </w:rPr>
        <w:t>1.</w:t>
      </w:r>
      <w:r>
        <w:rPr>
          <w:rFonts w:hint="eastAsia" w:ascii="宋体" w:hAnsi="宋体" w:eastAsia="宋体" w:cs="宋体"/>
          <w:color w:val="auto"/>
          <w:szCs w:val="21"/>
          <w:highlight w:val="none"/>
          <w:u w:val="single"/>
        </w:rPr>
        <w:t xml:space="preserve">（标的名称） </w:t>
      </w:r>
      <w:r>
        <w:rPr>
          <w:rFonts w:hint="eastAsia" w:ascii="宋体" w:hAnsi="宋体" w:eastAsia="宋体" w:cs="宋体"/>
          <w:color w:val="auto"/>
          <w:szCs w:val="21"/>
          <w:highlight w:val="none"/>
        </w:rPr>
        <w:t>，属于</w:t>
      </w:r>
      <w:r>
        <w:rPr>
          <w:rFonts w:hint="eastAsia" w:ascii="宋体" w:hAnsi="宋体" w:eastAsia="宋体" w:cs="宋体"/>
          <w:color w:val="auto"/>
          <w:szCs w:val="21"/>
          <w:highlight w:val="none"/>
          <w:u w:val="single"/>
        </w:rPr>
        <w:t xml:space="preserve">  （采购文件中明确的所属行业）  </w:t>
      </w:r>
      <w:r>
        <w:rPr>
          <w:rFonts w:hint="eastAsia" w:ascii="宋体" w:hAnsi="宋体" w:eastAsia="宋体" w:cs="宋体"/>
          <w:color w:val="auto"/>
          <w:szCs w:val="21"/>
          <w:highlight w:val="none"/>
        </w:rPr>
        <w:t>行业；制造商</w:t>
      </w:r>
      <w:r>
        <w:rPr>
          <w:rFonts w:hint="eastAsia" w:ascii="宋体" w:hAnsi="宋体" w:eastAsia="宋体" w:cs="宋体"/>
          <w:color w:val="auto"/>
          <w:szCs w:val="21"/>
          <w:highlight w:val="none"/>
          <w:lang w:val="en-US" w:eastAsia="zh-CN"/>
        </w:rPr>
        <w:t>或服务承接商</w:t>
      </w:r>
      <w:r>
        <w:rPr>
          <w:rFonts w:hint="eastAsia" w:ascii="宋体" w:hAnsi="宋体" w:eastAsia="宋体" w:cs="宋体"/>
          <w:color w:val="auto"/>
          <w:szCs w:val="21"/>
          <w:highlight w:val="none"/>
        </w:rPr>
        <w:t>为</w:t>
      </w:r>
      <w:r>
        <w:rPr>
          <w:rFonts w:hint="eastAsia" w:ascii="宋体" w:hAnsi="宋体" w:eastAsia="宋体" w:cs="宋体"/>
          <w:color w:val="auto"/>
          <w:szCs w:val="21"/>
          <w:highlight w:val="none"/>
          <w:u w:val="single"/>
        </w:rPr>
        <w:t>（企业名称）</w:t>
      </w:r>
      <w:r>
        <w:rPr>
          <w:rFonts w:hint="eastAsia" w:ascii="宋体" w:hAnsi="宋体" w:eastAsia="宋体" w:cs="宋体"/>
          <w:color w:val="auto"/>
          <w:szCs w:val="21"/>
          <w:highlight w:val="none"/>
        </w:rPr>
        <w:t>，从业人员</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人，营业收入为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万元，资产总额为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万元，</w:t>
      </w:r>
      <w:r>
        <w:rPr>
          <w:rFonts w:hint="eastAsia" w:asciiTheme="minorEastAsia" w:hAnsiTheme="minorEastAsia" w:eastAsiaTheme="minorEastAsia" w:cstheme="minorEastAsia"/>
          <w:color w:val="auto"/>
          <w:szCs w:val="21"/>
          <w:highlight w:val="none"/>
        </w:rPr>
        <w:t>属于</w:t>
      </w:r>
      <w:r>
        <w:rPr>
          <w:rFonts w:hint="eastAsia" w:asciiTheme="minorEastAsia" w:hAnsiTheme="minorEastAsia" w:eastAsiaTheme="minorEastAsia" w:cstheme="minorEastAsia"/>
          <w:color w:val="auto"/>
          <w:szCs w:val="21"/>
          <w:highlight w:val="none"/>
          <w:u w:val="single"/>
          <w:lang w:val="en-US" w:eastAsia="zh-CN"/>
        </w:rPr>
        <w:t xml:space="preserve">      </w:t>
      </w:r>
      <w:r>
        <w:rPr>
          <w:rFonts w:hint="eastAsia" w:asciiTheme="minorEastAsia" w:hAnsiTheme="minorEastAsia" w:eastAsiaTheme="minorEastAsia" w:cstheme="minorEastAsia"/>
          <w:color w:val="auto"/>
          <w:szCs w:val="21"/>
          <w:highlight w:val="none"/>
          <w:u w:val="none"/>
          <w:lang w:val="en-US" w:eastAsia="zh-CN"/>
        </w:rPr>
        <w:t>型企业</w:t>
      </w:r>
      <w:r>
        <w:rPr>
          <w:rFonts w:hint="eastAsia" w:asciiTheme="minorEastAsia" w:hAnsiTheme="minorEastAsia" w:eastAsiaTheme="minorEastAsia" w:cstheme="minorEastAsia"/>
          <w:color w:val="auto"/>
          <w:szCs w:val="21"/>
          <w:highlight w:val="none"/>
          <w:u w:val="none"/>
          <w:lang w:eastAsia="zh-CN"/>
        </w:rPr>
        <w:t>（选填：</w:t>
      </w:r>
      <w:r>
        <w:rPr>
          <w:rFonts w:hint="eastAsia" w:asciiTheme="minorEastAsia" w:hAnsiTheme="minorEastAsia" w:eastAsiaTheme="minorEastAsia" w:cstheme="minorEastAsia"/>
          <w:color w:val="auto"/>
          <w:szCs w:val="20"/>
          <w:highlight w:val="none"/>
          <w:u w:val="none"/>
        </w:rPr>
        <w:t>①</w:t>
      </w:r>
      <w:r>
        <w:rPr>
          <w:rFonts w:hint="eastAsia" w:asciiTheme="minorEastAsia" w:hAnsiTheme="minorEastAsia" w:eastAsiaTheme="minorEastAsia" w:cstheme="minorEastAsia"/>
          <w:color w:val="auto"/>
          <w:szCs w:val="21"/>
          <w:highlight w:val="none"/>
          <w:u w:val="none"/>
        </w:rPr>
        <w:t>中型企业、</w:t>
      </w:r>
      <w:r>
        <w:rPr>
          <w:rFonts w:hint="eastAsia" w:asciiTheme="minorEastAsia" w:hAnsiTheme="minorEastAsia" w:eastAsiaTheme="minorEastAsia" w:cstheme="minorEastAsia"/>
          <w:color w:val="auto"/>
          <w:szCs w:val="20"/>
          <w:highlight w:val="none"/>
          <w:u w:val="none"/>
        </w:rPr>
        <w:t>②</w:t>
      </w:r>
      <w:r>
        <w:rPr>
          <w:rFonts w:hint="eastAsia" w:asciiTheme="minorEastAsia" w:hAnsiTheme="minorEastAsia" w:eastAsiaTheme="minorEastAsia" w:cstheme="minorEastAsia"/>
          <w:color w:val="auto"/>
          <w:szCs w:val="21"/>
          <w:highlight w:val="none"/>
          <w:u w:val="none"/>
        </w:rPr>
        <w:t>小型企业、</w:t>
      </w:r>
      <w:r>
        <w:rPr>
          <w:rFonts w:hint="eastAsia" w:asciiTheme="minorEastAsia" w:hAnsiTheme="minorEastAsia" w:eastAsiaTheme="minorEastAsia" w:cstheme="minorEastAsia"/>
          <w:color w:val="auto"/>
          <w:szCs w:val="20"/>
          <w:highlight w:val="none"/>
          <w:u w:val="none"/>
        </w:rPr>
        <w:t>③</w:t>
      </w:r>
      <w:r>
        <w:rPr>
          <w:rFonts w:hint="eastAsia" w:asciiTheme="minorEastAsia" w:hAnsiTheme="minorEastAsia" w:eastAsiaTheme="minorEastAsia" w:cstheme="minorEastAsia"/>
          <w:color w:val="auto"/>
          <w:szCs w:val="21"/>
          <w:highlight w:val="none"/>
          <w:u w:val="none"/>
        </w:rPr>
        <w:t>微型企业）</w:t>
      </w:r>
      <w:r>
        <w:rPr>
          <w:rFonts w:hint="eastAsia" w:asciiTheme="minorEastAsia" w:hAnsiTheme="minorEastAsia" w:eastAsiaTheme="minorEastAsia" w:cstheme="minorEastAsia"/>
          <w:color w:val="auto"/>
          <w:szCs w:val="21"/>
          <w:highlight w:val="none"/>
        </w:rPr>
        <w:t>；</w:t>
      </w:r>
    </w:p>
    <w:p w14:paraId="7A027DBB">
      <w:pPr>
        <w:spacing w:line="300" w:lineRule="auto"/>
        <w:ind w:firstLine="420" w:firstLineChars="200"/>
        <w:rPr>
          <w:rFonts w:hint="eastAsia" w:asciiTheme="minorEastAsia" w:hAnsiTheme="minorEastAsia" w:eastAsiaTheme="minorEastAsia" w:cstheme="minorEastAsia"/>
          <w:color w:val="auto"/>
          <w:szCs w:val="21"/>
          <w:highlight w:val="none"/>
        </w:rPr>
      </w:pPr>
      <w:r>
        <w:rPr>
          <w:rFonts w:hint="eastAsia" w:ascii="宋体" w:hAnsi="宋体" w:eastAsia="宋体" w:cs="宋体"/>
          <w:color w:val="auto"/>
          <w:szCs w:val="21"/>
          <w:highlight w:val="none"/>
        </w:rPr>
        <w:t>2.</w:t>
      </w:r>
      <w:r>
        <w:rPr>
          <w:rFonts w:hint="eastAsia" w:ascii="宋体" w:hAnsi="宋体" w:eastAsia="宋体" w:cs="宋体"/>
          <w:color w:val="auto"/>
          <w:szCs w:val="21"/>
          <w:highlight w:val="none"/>
          <w:u w:val="single"/>
        </w:rPr>
        <w:t xml:space="preserve">（标的名称） </w:t>
      </w:r>
      <w:r>
        <w:rPr>
          <w:rFonts w:hint="eastAsia" w:ascii="宋体" w:hAnsi="宋体" w:eastAsia="宋体" w:cs="宋体"/>
          <w:color w:val="auto"/>
          <w:szCs w:val="21"/>
          <w:highlight w:val="none"/>
        </w:rPr>
        <w:t>，属于</w:t>
      </w:r>
      <w:r>
        <w:rPr>
          <w:rFonts w:hint="eastAsia" w:ascii="宋体" w:hAnsi="宋体" w:eastAsia="宋体" w:cs="宋体"/>
          <w:color w:val="auto"/>
          <w:szCs w:val="21"/>
          <w:highlight w:val="none"/>
          <w:u w:val="single"/>
        </w:rPr>
        <w:t xml:space="preserve">  （采购文件中明确的所属行业）   </w:t>
      </w:r>
      <w:r>
        <w:rPr>
          <w:rFonts w:hint="eastAsia" w:ascii="宋体" w:hAnsi="宋体" w:eastAsia="宋体" w:cs="宋体"/>
          <w:color w:val="auto"/>
          <w:szCs w:val="21"/>
          <w:highlight w:val="none"/>
        </w:rPr>
        <w:t>行业；制造商</w:t>
      </w:r>
      <w:r>
        <w:rPr>
          <w:rFonts w:hint="eastAsia" w:ascii="宋体" w:hAnsi="宋体" w:eastAsia="宋体" w:cs="宋体"/>
          <w:color w:val="auto"/>
          <w:szCs w:val="21"/>
          <w:highlight w:val="none"/>
          <w:lang w:val="en-US" w:eastAsia="zh-CN"/>
        </w:rPr>
        <w:t>或服务承接商</w:t>
      </w:r>
      <w:r>
        <w:rPr>
          <w:rFonts w:hint="eastAsia" w:ascii="宋体" w:hAnsi="宋体" w:eastAsia="宋体" w:cs="宋体"/>
          <w:color w:val="auto"/>
          <w:szCs w:val="21"/>
          <w:highlight w:val="none"/>
        </w:rPr>
        <w:t>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none"/>
          <w:lang w:val="en-US" w:eastAsia="zh-CN"/>
        </w:rPr>
        <w:t>企</w:t>
      </w:r>
      <w:r>
        <w:rPr>
          <w:rFonts w:hint="eastAsia" w:ascii="宋体" w:hAnsi="宋体" w:eastAsia="宋体" w:cs="宋体"/>
          <w:color w:val="auto"/>
          <w:szCs w:val="21"/>
          <w:highlight w:val="none"/>
          <w:u w:val="single"/>
          <w:lang w:val="en-US" w:eastAsia="zh-CN"/>
        </w:rPr>
        <w:t>业名</w:t>
      </w:r>
      <w:r>
        <w:rPr>
          <w:rFonts w:hint="eastAsia" w:ascii="宋体" w:hAnsi="宋体" w:eastAsia="宋体" w:cs="宋体"/>
          <w:color w:val="auto"/>
          <w:szCs w:val="21"/>
          <w:highlight w:val="none"/>
          <w:u w:val="single"/>
        </w:rPr>
        <w:t xml:space="preserve">称） </w:t>
      </w:r>
      <w:r>
        <w:rPr>
          <w:rFonts w:hint="eastAsia" w:ascii="宋体" w:hAnsi="宋体" w:eastAsia="宋体" w:cs="宋体"/>
          <w:color w:val="auto"/>
          <w:szCs w:val="21"/>
          <w:highlight w:val="none"/>
        </w:rPr>
        <w:t>，从业人员</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人，营业收入为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万元，资产总额为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万元</w:t>
      </w:r>
      <w:r>
        <w:rPr>
          <w:rStyle w:val="46"/>
          <w:rFonts w:ascii="宋体" w:hAnsi="宋体"/>
          <w:highlight w:val="none"/>
        </w:rPr>
        <w:footnoteReference w:id="0"/>
      </w:r>
      <w:r>
        <w:rPr>
          <w:rFonts w:hint="eastAsia" w:ascii="宋体" w:hAnsi="宋体" w:eastAsia="宋体" w:cs="宋体"/>
          <w:color w:val="auto"/>
          <w:szCs w:val="21"/>
          <w:highlight w:val="none"/>
        </w:rPr>
        <w:t>，</w:t>
      </w:r>
      <w:r>
        <w:rPr>
          <w:rFonts w:hint="eastAsia" w:asciiTheme="minorEastAsia" w:hAnsiTheme="minorEastAsia" w:eastAsiaTheme="minorEastAsia" w:cstheme="minorEastAsia"/>
          <w:color w:val="auto"/>
          <w:szCs w:val="21"/>
          <w:highlight w:val="none"/>
        </w:rPr>
        <w:t>属于</w:t>
      </w:r>
      <w:r>
        <w:rPr>
          <w:rFonts w:hint="eastAsia" w:asciiTheme="minorEastAsia" w:hAnsiTheme="minorEastAsia" w:eastAsiaTheme="minorEastAsia" w:cstheme="minorEastAsia"/>
          <w:color w:val="auto"/>
          <w:szCs w:val="21"/>
          <w:highlight w:val="none"/>
          <w:u w:val="single"/>
          <w:lang w:val="en-US" w:eastAsia="zh-CN"/>
        </w:rPr>
        <w:t xml:space="preserve">      </w:t>
      </w:r>
      <w:r>
        <w:rPr>
          <w:rFonts w:hint="eastAsia" w:asciiTheme="minorEastAsia" w:hAnsiTheme="minorEastAsia" w:eastAsiaTheme="minorEastAsia" w:cstheme="minorEastAsia"/>
          <w:color w:val="auto"/>
          <w:szCs w:val="21"/>
          <w:highlight w:val="none"/>
          <w:u w:val="none"/>
          <w:lang w:val="en-US" w:eastAsia="zh-CN"/>
        </w:rPr>
        <w:t>型企业</w:t>
      </w:r>
      <w:r>
        <w:rPr>
          <w:rFonts w:hint="eastAsia" w:asciiTheme="minorEastAsia" w:hAnsiTheme="minorEastAsia" w:eastAsiaTheme="minorEastAsia" w:cstheme="minorEastAsia"/>
          <w:color w:val="auto"/>
          <w:szCs w:val="21"/>
          <w:highlight w:val="none"/>
          <w:u w:val="none"/>
          <w:lang w:eastAsia="zh-CN"/>
        </w:rPr>
        <w:t>（选填：</w:t>
      </w:r>
      <w:r>
        <w:rPr>
          <w:rFonts w:hint="eastAsia" w:asciiTheme="minorEastAsia" w:hAnsiTheme="minorEastAsia" w:eastAsiaTheme="minorEastAsia" w:cstheme="minorEastAsia"/>
          <w:color w:val="auto"/>
          <w:szCs w:val="20"/>
          <w:highlight w:val="none"/>
          <w:u w:val="none"/>
        </w:rPr>
        <w:t>①</w:t>
      </w:r>
      <w:r>
        <w:rPr>
          <w:rFonts w:hint="eastAsia" w:asciiTheme="minorEastAsia" w:hAnsiTheme="minorEastAsia" w:eastAsiaTheme="minorEastAsia" w:cstheme="minorEastAsia"/>
          <w:color w:val="auto"/>
          <w:szCs w:val="21"/>
          <w:highlight w:val="none"/>
          <w:u w:val="none"/>
        </w:rPr>
        <w:t>中型企业、</w:t>
      </w:r>
      <w:r>
        <w:rPr>
          <w:rFonts w:hint="eastAsia" w:asciiTheme="minorEastAsia" w:hAnsiTheme="minorEastAsia" w:eastAsiaTheme="minorEastAsia" w:cstheme="minorEastAsia"/>
          <w:color w:val="auto"/>
          <w:szCs w:val="20"/>
          <w:highlight w:val="none"/>
          <w:u w:val="none"/>
        </w:rPr>
        <w:t>②</w:t>
      </w:r>
      <w:r>
        <w:rPr>
          <w:rFonts w:hint="eastAsia" w:asciiTheme="minorEastAsia" w:hAnsiTheme="minorEastAsia" w:eastAsiaTheme="minorEastAsia" w:cstheme="minorEastAsia"/>
          <w:color w:val="auto"/>
          <w:szCs w:val="21"/>
          <w:highlight w:val="none"/>
          <w:u w:val="none"/>
        </w:rPr>
        <w:t>小型企业、</w:t>
      </w:r>
      <w:r>
        <w:rPr>
          <w:rFonts w:hint="eastAsia" w:asciiTheme="minorEastAsia" w:hAnsiTheme="minorEastAsia" w:eastAsiaTheme="minorEastAsia" w:cstheme="minorEastAsia"/>
          <w:color w:val="auto"/>
          <w:szCs w:val="20"/>
          <w:highlight w:val="none"/>
          <w:u w:val="none"/>
        </w:rPr>
        <w:t>③</w:t>
      </w:r>
      <w:r>
        <w:rPr>
          <w:rFonts w:hint="eastAsia" w:asciiTheme="minorEastAsia" w:hAnsiTheme="minorEastAsia" w:eastAsiaTheme="minorEastAsia" w:cstheme="minorEastAsia"/>
          <w:color w:val="auto"/>
          <w:szCs w:val="21"/>
          <w:highlight w:val="none"/>
          <w:u w:val="none"/>
        </w:rPr>
        <w:t>微型企业）</w:t>
      </w:r>
      <w:r>
        <w:rPr>
          <w:rFonts w:hint="eastAsia" w:asciiTheme="minorEastAsia" w:hAnsiTheme="minorEastAsia" w:eastAsiaTheme="minorEastAsia" w:cstheme="minorEastAsia"/>
          <w:color w:val="auto"/>
          <w:szCs w:val="21"/>
          <w:highlight w:val="none"/>
        </w:rPr>
        <w:t>；</w:t>
      </w:r>
    </w:p>
    <w:p w14:paraId="41B29DD0">
      <w:pPr>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p>
    <w:p w14:paraId="3EBCC151">
      <w:pPr>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以上企业，不属于大企业的分支机构，不存在控股股东为大企业的情形，也不存在与大企业的负责人为同一人的情形。</w:t>
      </w:r>
    </w:p>
    <w:p w14:paraId="22EA0EB0">
      <w:pPr>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本企业对上述声明内容的真实性负责。如有虚假，将依法承担相应责任。</w:t>
      </w:r>
    </w:p>
    <w:p w14:paraId="47AAAD8A">
      <w:pPr>
        <w:rPr>
          <w:rFonts w:hint="eastAsia" w:ascii="宋体" w:hAnsi="宋体" w:eastAsia="宋体" w:cs="宋体"/>
          <w:b/>
          <w:color w:val="auto"/>
          <w:szCs w:val="21"/>
          <w:highlight w:val="none"/>
        </w:rPr>
      </w:pPr>
    </w:p>
    <w:p w14:paraId="739D4F82">
      <w:pPr>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供应商名称（盖章）</w:t>
      </w:r>
      <w:r>
        <w:rPr>
          <w:rFonts w:hint="eastAsia"/>
          <w:highlight w:val="none"/>
        </w:rPr>
        <w:t xml:space="preserve">：                           </w:t>
      </w:r>
    </w:p>
    <w:p w14:paraId="5FF731BC">
      <w:pPr>
        <w:spacing w:line="360" w:lineRule="auto"/>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日期：      年   月   日</w:t>
      </w:r>
    </w:p>
    <w:p w14:paraId="37BCBFDA">
      <w:pPr>
        <w:pStyle w:val="30"/>
        <w:rPr>
          <w:rFonts w:hint="eastAsia" w:ascii="宋体" w:hAnsi="宋体" w:eastAsia="宋体" w:cs="宋体"/>
          <w:color w:val="auto"/>
          <w:szCs w:val="21"/>
          <w:highlight w:val="none"/>
        </w:rPr>
      </w:pPr>
    </w:p>
    <w:p w14:paraId="5B7A3794">
      <w:pPr>
        <w:rPr>
          <w:rFonts w:hint="eastAsia"/>
          <w:highlight w:val="none"/>
        </w:rPr>
      </w:pPr>
    </w:p>
    <w:p w14:paraId="57226F53">
      <w:pPr>
        <w:rPr>
          <w:highlight w:val="none"/>
        </w:rPr>
      </w:pPr>
    </w:p>
    <w:p w14:paraId="73E9CF86">
      <w:pPr>
        <w:rPr>
          <w:highlight w:val="none"/>
        </w:rPr>
      </w:pPr>
      <w:r>
        <w:rPr>
          <w:highlight w:val="none"/>
        </w:rPr>
        <w:br w:type="page"/>
      </w:r>
    </w:p>
    <w:p w14:paraId="5B5E26E4">
      <w:pPr>
        <w:widowControl/>
        <w:spacing w:line="420" w:lineRule="atLeast"/>
        <w:textAlignment w:val="baseline"/>
        <w:outlineLvl w:val="0"/>
        <w:rPr>
          <w:rFonts w:hint="default" w:ascii="宋体" w:hAnsi="宋体" w:cs="宋体"/>
          <w:b/>
          <w:bCs/>
          <w:color w:val="auto"/>
          <w:kern w:val="0"/>
          <w:sz w:val="24"/>
          <w:szCs w:val="24"/>
          <w:highlight w:val="none"/>
          <w:lang w:val="en-US"/>
        </w:rPr>
      </w:pPr>
      <w:r>
        <w:rPr>
          <w:rFonts w:hint="eastAsia" w:ascii="宋体" w:hAnsi="宋体" w:cs="宋体"/>
          <w:b/>
          <w:bCs/>
          <w:color w:val="auto"/>
          <w:kern w:val="0"/>
          <w:sz w:val="24"/>
          <w:szCs w:val="24"/>
          <w:highlight w:val="none"/>
        </w:rPr>
        <w:t>附件</w:t>
      </w:r>
      <w:r>
        <w:rPr>
          <w:rFonts w:hint="eastAsia" w:ascii="宋体" w:hAnsi="宋体" w:cs="宋体"/>
          <w:b/>
          <w:bCs/>
          <w:color w:val="auto"/>
          <w:kern w:val="0"/>
          <w:sz w:val="24"/>
          <w:szCs w:val="24"/>
          <w:highlight w:val="none"/>
          <w:lang w:val="en-US" w:eastAsia="zh-CN"/>
        </w:rPr>
        <w:t>4</w:t>
      </w:r>
    </w:p>
    <w:p w14:paraId="7FA6FAAA">
      <w:pPr>
        <w:keepNext w:val="0"/>
        <w:keepLines w:val="0"/>
        <w:pageBreakBefore w:val="0"/>
        <w:widowControl/>
        <w:tabs>
          <w:tab w:val="left" w:pos="4860"/>
        </w:tabs>
        <w:kinsoku/>
        <w:wordWrap/>
        <w:overflowPunct/>
        <w:topLinePunct w:val="0"/>
        <w:autoSpaceDE/>
        <w:autoSpaceDN/>
        <w:bidi w:val="0"/>
        <w:adjustRightInd/>
        <w:snapToGrid/>
        <w:spacing w:line="288" w:lineRule="auto"/>
        <w:ind w:firstLine="420" w:firstLineChars="200"/>
        <w:jc w:val="center"/>
        <w:textAlignment w:val="auto"/>
        <w:rPr>
          <w:rFonts w:ascii="宋体" w:cs="宋体"/>
          <w:color w:val="auto"/>
          <w:szCs w:val="21"/>
          <w:highlight w:val="none"/>
        </w:rPr>
      </w:pPr>
    </w:p>
    <w:p w14:paraId="58076CE8">
      <w:pPr>
        <w:keepNext w:val="0"/>
        <w:keepLines w:val="0"/>
        <w:pageBreakBefore w:val="0"/>
        <w:widowControl/>
        <w:tabs>
          <w:tab w:val="left" w:pos="4860"/>
        </w:tabs>
        <w:kinsoku/>
        <w:wordWrap/>
        <w:overflowPunct/>
        <w:topLinePunct w:val="0"/>
        <w:autoSpaceDE/>
        <w:autoSpaceDN/>
        <w:bidi w:val="0"/>
        <w:adjustRightInd/>
        <w:snapToGrid/>
        <w:spacing w:line="288" w:lineRule="auto"/>
        <w:ind w:firstLine="562" w:firstLineChars="200"/>
        <w:jc w:val="center"/>
        <w:textAlignment w:val="auto"/>
        <w:rPr>
          <w:rFonts w:ascii="宋体" w:hAnsi="宋体" w:cs="宋体"/>
          <w:b/>
          <w:bCs/>
          <w:color w:val="auto"/>
          <w:sz w:val="28"/>
          <w:szCs w:val="28"/>
          <w:highlight w:val="none"/>
        </w:rPr>
      </w:pPr>
      <w:r>
        <w:rPr>
          <w:rFonts w:hint="eastAsia" w:ascii="宋体" w:hAnsi="宋体" w:cs="宋体"/>
          <w:b/>
          <w:bCs/>
          <w:color w:val="auto"/>
          <w:sz w:val="28"/>
          <w:szCs w:val="28"/>
          <w:highlight w:val="none"/>
        </w:rPr>
        <w:t>残疾人福利性单位声明函</w:t>
      </w:r>
    </w:p>
    <w:p w14:paraId="31DC8468">
      <w:pPr>
        <w:pStyle w:val="20"/>
        <w:spacing w:line="360" w:lineRule="auto"/>
        <w:ind w:firstLine="2835" w:firstLineChars="1350"/>
        <w:rPr>
          <w:rFonts w:ascii="宋体" w:hAnsi="宋体" w:cs="宋体"/>
          <w:color w:val="auto"/>
          <w:sz w:val="21"/>
          <w:szCs w:val="21"/>
          <w:highlight w:val="none"/>
        </w:rPr>
      </w:pPr>
      <w:r>
        <w:rPr>
          <w:rFonts w:hint="eastAsia" w:ascii="宋体" w:hAnsi="宋体" w:cs="宋体"/>
          <w:color w:val="auto"/>
          <w:sz w:val="21"/>
          <w:szCs w:val="21"/>
          <w:highlight w:val="none"/>
        </w:rPr>
        <w:t>【不属于残疾人福利性单位无需提供】</w:t>
      </w:r>
    </w:p>
    <w:p w14:paraId="2697E8EF">
      <w:pPr>
        <w:widowControl/>
        <w:wordWrap w:val="0"/>
        <w:spacing w:line="360" w:lineRule="auto"/>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本单位郑重声明，根据《财政部 民政部 中国残疾人联合会关于促进残疾人就业政府采购政策的通知》（财库〔2017〕 141号）的规定，本单位为符合条件的残疾人福利性单位，且本单位参加</w:t>
      </w:r>
      <w:r>
        <w:rPr>
          <w:rFonts w:hint="eastAsia" w:ascii="宋体" w:hAnsi="宋体" w:cs="宋体"/>
          <w:color w:val="auto"/>
          <w:szCs w:val="21"/>
          <w:highlight w:val="none"/>
          <w:u w:val="single"/>
        </w:rPr>
        <w:t>（单位名称）</w:t>
      </w:r>
      <w:r>
        <w:rPr>
          <w:rFonts w:hint="eastAsia" w:ascii="宋体" w:hAnsi="宋体" w:cs="宋体"/>
          <w:color w:val="auto"/>
          <w:szCs w:val="21"/>
          <w:highlight w:val="none"/>
        </w:rPr>
        <w:t>的</w:t>
      </w:r>
      <w:r>
        <w:rPr>
          <w:rFonts w:hint="eastAsia" w:ascii="宋体" w:hAnsi="宋体" w:cs="宋体"/>
          <w:color w:val="auto"/>
          <w:szCs w:val="21"/>
          <w:highlight w:val="none"/>
          <w:u w:val="single"/>
        </w:rPr>
        <w:t>（项目名称）</w:t>
      </w:r>
      <w:r>
        <w:rPr>
          <w:rFonts w:hint="eastAsia" w:ascii="宋体" w:hAnsi="宋体" w:cs="宋体"/>
          <w:color w:val="auto"/>
          <w:szCs w:val="21"/>
          <w:highlight w:val="none"/>
        </w:rPr>
        <w:t>采购活动提供本单位制造的货物（由本单位承担工程/提供服务），或者提供其他残疾人福利性单位制造的货物（不包括使用非残疾人福利性单位注册商标的货物）。</w:t>
      </w:r>
    </w:p>
    <w:p w14:paraId="7EB464B5">
      <w:pPr>
        <w:widowControl/>
        <w:spacing w:line="360" w:lineRule="auto"/>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本单位对上述声明的真实性负责。如有虚假，将依法承担相应责任。</w:t>
      </w:r>
    </w:p>
    <w:p w14:paraId="12FD27DC">
      <w:pPr>
        <w:spacing w:line="360" w:lineRule="auto"/>
        <w:jc w:val="left"/>
        <w:rPr>
          <w:rFonts w:ascii="宋体" w:hAnsi="宋体" w:cs="宋体"/>
          <w:color w:val="auto"/>
          <w:szCs w:val="21"/>
          <w:highlight w:val="none"/>
        </w:rPr>
      </w:pPr>
    </w:p>
    <w:p w14:paraId="11370F50">
      <w:pPr>
        <w:spacing w:line="360" w:lineRule="auto"/>
        <w:jc w:val="left"/>
        <w:rPr>
          <w:rFonts w:ascii="宋体" w:hAnsi="宋体" w:cs="宋体"/>
          <w:color w:val="auto"/>
          <w:szCs w:val="21"/>
          <w:highlight w:val="none"/>
        </w:rPr>
      </w:pPr>
    </w:p>
    <w:p w14:paraId="499EC57D">
      <w:pPr>
        <w:spacing w:line="360" w:lineRule="auto"/>
        <w:jc w:val="left"/>
        <w:rPr>
          <w:rFonts w:ascii="宋体" w:hAnsi="宋体" w:cs="宋体"/>
          <w:color w:val="auto"/>
          <w:szCs w:val="21"/>
          <w:highlight w:val="none"/>
          <w:u w:val="single"/>
        </w:rPr>
      </w:pPr>
      <w:r>
        <w:rPr>
          <w:rFonts w:hint="eastAsia" w:ascii="宋体" w:hAnsi="宋体" w:cs="宋体"/>
          <w:color w:val="auto"/>
          <w:szCs w:val="21"/>
          <w:highlight w:val="none"/>
        </w:rPr>
        <w:t xml:space="preserve">供应商名称（盖章）： </w:t>
      </w:r>
      <w:r>
        <w:rPr>
          <w:rFonts w:hint="eastAsia" w:ascii="宋体" w:hAnsi="宋体" w:cs="宋体"/>
          <w:color w:val="auto"/>
          <w:szCs w:val="21"/>
          <w:highlight w:val="none"/>
          <w:u w:val="single"/>
        </w:rPr>
        <w:t xml:space="preserve">                          </w:t>
      </w:r>
    </w:p>
    <w:p w14:paraId="0C4DCFE2">
      <w:pPr>
        <w:spacing w:line="360" w:lineRule="auto"/>
        <w:jc w:val="left"/>
        <w:rPr>
          <w:rFonts w:ascii="宋体" w:hAnsi="宋体" w:cs="宋体"/>
          <w:color w:val="auto"/>
          <w:szCs w:val="21"/>
          <w:highlight w:val="none"/>
        </w:rPr>
      </w:pPr>
      <w:r>
        <w:rPr>
          <w:rFonts w:hint="eastAsia" w:ascii="宋体" w:hAnsi="宋体" w:cs="宋体"/>
          <w:color w:val="auto"/>
          <w:szCs w:val="21"/>
          <w:highlight w:val="none"/>
        </w:rPr>
        <w:t>日期：      年   月   日</w:t>
      </w:r>
    </w:p>
    <w:p w14:paraId="4DB684A9">
      <w:pPr>
        <w:rPr>
          <w:rFonts w:ascii="宋体" w:hAnsi="宋体" w:cs="宋体"/>
          <w:color w:val="auto"/>
          <w:highlight w:val="none"/>
        </w:rPr>
      </w:pPr>
    </w:p>
    <w:p w14:paraId="5F7074EA">
      <w:pPr>
        <w:tabs>
          <w:tab w:val="left" w:pos="4860"/>
        </w:tabs>
        <w:ind w:right="1560"/>
        <w:jc w:val="left"/>
        <w:rPr>
          <w:rFonts w:ascii="宋体" w:hAnsi="宋体" w:cs="宋体"/>
          <w:b/>
          <w:color w:val="auto"/>
          <w:sz w:val="22"/>
          <w:highlight w:val="none"/>
        </w:rPr>
      </w:pPr>
      <w:r>
        <w:rPr>
          <w:rFonts w:hint="eastAsia" w:ascii="宋体" w:hAnsi="宋体" w:cs="宋体"/>
          <w:b/>
          <w:color w:val="auto"/>
          <w:sz w:val="22"/>
          <w:highlight w:val="none"/>
        </w:rPr>
        <w:t>说明：</w:t>
      </w:r>
    </w:p>
    <w:p w14:paraId="3DB10A71">
      <w:pPr>
        <w:widowControl/>
        <w:tabs>
          <w:tab w:val="left" w:pos="4860"/>
        </w:tabs>
        <w:ind w:right="-21" w:firstLine="422" w:firstLineChars="200"/>
        <w:jc w:val="left"/>
        <w:rPr>
          <w:rFonts w:ascii="宋体" w:hAnsi="宋体" w:cs="宋体"/>
          <w:b/>
          <w:color w:val="auto"/>
          <w:szCs w:val="21"/>
          <w:highlight w:val="none"/>
        </w:rPr>
      </w:pPr>
      <w:r>
        <w:rPr>
          <w:rFonts w:hint="eastAsia" w:ascii="宋体" w:hAnsi="宋体" w:cs="宋体"/>
          <w:b/>
          <w:color w:val="auto"/>
          <w:szCs w:val="21"/>
          <w:highlight w:val="none"/>
        </w:rPr>
        <w:t>1.如成交，将在成交公示中将此残疾人福利性单位声明函予以公示，接受社会监督；</w:t>
      </w:r>
    </w:p>
    <w:p w14:paraId="742889CA">
      <w:pPr>
        <w:widowControl/>
        <w:tabs>
          <w:tab w:val="left" w:pos="4860"/>
        </w:tabs>
        <w:ind w:right="-21" w:firstLine="422" w:firstLineChars="200"/>
        <w:jc w:val="left"/>
        <w:rPr>
          <w:rFonts w:ascii="宋体" w:hAnsi="宋体" w:cs="宋体"/>
          <w:b/>
          <w:color w:val="auto"/>
          <w:spacing w:val="6"/>
          <w:szCs w:val="21"/>
          <w:highlight w:val="none"/>
        </w:rPr>
      </w:pPr>
      <w:r>
        <w:rPr>
          <w:rFonts w:hint="eastAsia" w:ascii="宋体" w:hAnsi="宋体" w:cs="宋体"/>
          <w:b/>
          <w:color w:val="auto"/>
          <w:szCs w:val="21"/>
          <w:highlight w:val="none"/>
        </w:rPr>
        <w:t>2.供应商提供的《残疾人福利性单位声明函》与事实不符的，依照《</w:t>
      </w:r>
      <w:r>
        <w:rPr>
          <w:rFonts w:hint="eastAsia" w:ascii="宋体" w:hAnsi="宋体" w:cs="宋体"/>
          <w:b/>
          <w:color w:val="auto"/>
          <w:szCs w:val="21"/>
          <w:highlight w:val="none"/>
          <w:lang w:eastAsia="zh-CN"/>
        </w:rPr>
        <w:t>中华人民共和国</w:t>
      </w:r>
      <w:r>
        <w:rPr>
          <w:rFonts w:hint="eastAsia" w:ascii="宋体" w:hAnsi="宋体" w:cs="宋体"/>
          <w:b/>
          <w:color w:val="auto"/>
          <w:szCs w:val="21"/>
          <w:highlight w:val="none"/>
        </w:rPr>
        <w:t>政府采购法》第七十七条第一款的规定追究法律责任。</w:t>
      </w:r>
    </w:p>
    <w:p w14:paraId="0BB45BFF">
      <w:pPr>
        <w:spacing w:line="360" w:lineRule="auto"/>
        <w:jc w:val="left"/>
        <w:textAlignment w:val="baseline"/>
        <w:outlineLvl w:val="0"/>
        <w:rPr>
          <w:rFonts w:hint="eastAsia" w:ascii="宋体" w:hAnsi="宋体" w:cs="宋体"/>
          <w:b/>
          <w:bCs/>
          <w:color w:val="auto"/>
          <w:sz w:val="24"/>
          <w:szCs w:val="24"/>
          <w:highlight w:val="none"/>
        </w:rPr>
      </w:pPr>
    </w:p>
    <w:p w14:paraId="6D014E50">
      <w:pPr>
        <w:spacing w:line="360" w:lineRule="auto"/>
        <w:jc w:val="left"/>
        <w:textAlignment w:val="baseline"/>
        <w:outlineLvl w:val="0"/>
        <w:rPr>
          <w:rFonts w:hint="eastAsia" w:ascii="宋体" w:hAnsi="宋体" w:cs="宋体"/>
          <w:b/>
          <w:bCs/>
          <w:color w:val="auto"/>
          <w:sz w:val="24"/>
          <w:szCs w:val="24"/>
          <w:highlight w:val="none"/>
        </w:rPr>
      </w:pPr>
    </w:p>
    <w:p w14:paraId="5726DD06">
      <w:pPr>
        <w:spacing w:line="360" w:lineRule="auto"/>
        <w:jc w:val="left"/>
        <w:textAlignment w:val="baseline"/>
        <w:outlineLvl w:val="0"/>
        <w:rPr>
          <w:rFonts w:hint="eastAsia" w:ascii="宋体" w:hAnsi="宋体" w:cs="宋体"/>
          <w:b/>
          <w:bCs/>
          <w:color w:val="auto"/>
          <w:sz w:val="24"/>
          <w:szCs w:val="24"/>
          <w:highlight w:val="none"/>
        </w:rPr>
      </w:pPr>
    </w:p>
    <w:p w14:paraId="7FB8409D">
      <w:pPr>
        <w:spacing w:line="360" w:lineRule="auto"/>
        <w:jc w:val="left"/>
        <w:textAlignment w:val="baseline"/>
        <w:outlineLvl w:val="0"/>
        <w:rPr>
          <w:rFonts w:hint="eastAsia" w:ascii="宋体" w:hAnsi="宋体" w:cs="宋体"/>
          <w:b/>
          <w:bCs/>
          <w:color w:val="auto"/>
          <w:sz w:val="24"/>
          <w:szCs w:val="24"/>
          <w:highlight w:val="none"/>
        </w:rPr>
      </w:pPr>
    </w:p>
    <w:p w14:paraId="37761713">
      <w:pPr>
        <w:spacing w:line="360" w:lineRule="auto"/>
        <w:jc w:val="left"/>
        <w:textAlignment w:val="baseline"/>
        <w:outlineLvl w:val="0"/>
        <w:rPr>
          <w:rFonts w:hint="eastAsia" w:ascii="宋体" w:hAnsi="宋体" w:cs="宋体"/>
          <w:b/>
          <w:bCs/>
          <w:color w:val="auto"/>
          <w:sz w:val="24"/>
          <w:szCs w:val="24"/>
          <w:highlight w:val="none"/>
        </w:rPr>
      </w:pPr>
    </w:p>
    <w:p w14:paraId="1B4E4741">
      <w:pPr>
        <w:spacing w:line="360" w:lineRule="auto"/>
        <w:jc w:val="left"/>
        <w:textAlignment w:val="baseline"/>
        <w:outlineLvl w:val="0"/>
        <w:rPr>
          <w:rFonts w:hint="eastAsia" w:ascii="宋体" w:hAnsi="宋体" w:cs="宋体"/>
          <w:b/>
          <w:bCs/>
          <w:color w:val="auto"/>
          <w:sz w:val="24"/>
          <w:szCs w:val="24"/>
          <w:highlight w:val="none"/>
        </w:rPr>
      </w:pPr>
    </w:p>
    <w:p w14:paraId="20655ADE">
      <w:pPr>
        <w:spacing w:line="360" w:lineRule="auto"/>
        <w:jc w:val="left"/>
        <w:textAlignment w:val="baseline"/>
        <w:outlineLvl w:val="0"/>
        <w:rPr>
          <w:rFonts w:hint="eastAsia" w:ascii="宋体" w:hAnsi="宋体" w:cs="宋体"/>
          <w:b/>
          <w:bCs/>
          <w:color w:val="auto"/>
          <w:sz w:val="24"/>
          <w:szCs w:val="24"/>
          <w:highlight w:val="none"/>
        </w:rPr>
      </w:pPr>
    </w:p>
    <w:p w14:paraId="5A05C6E2">
      <w:pPr>
        <w:spacing w:line="360" w:lineRule="auto"/>
        <w:jc w:val="left"/>
        <w:textAlignment w:val="baseline"/>
        <w:outlineLvl w:val="0"/>
        <w:rPr>
          <w:rFonts w:hint="eastAsia" w:ascii="宋体" w:hAnsi="宋体" w:cs="宋体"/>
          <w:b/>
          <w:bCs/>
          <w:color w:val="auto"/>
          <w:sz w:val="24"/>
          <w:szCs w:val="24"/>
          <w:highlight w:val="none"/>
        </w:rPr>
      </w:pPr>
    </w:p>
    <w:p w14:paraId="2E06BA3C">
      <w:pPr>
        <w:spacing w:line="360" w:lineRule="auto"/>
        <w:jc w:val="left"/>
        <w:textAlignment w:val="baseline"/>
        <w:outlineLvl w:val="0"/>
        <w:rPr>
          <w:rFonts w:hint="eastAsia" w:ascii="宋体" w:hAnsi="宋体" w:cs="宋体"/>
          <w:b/>
          <w:bCs/>
          <w:color w:val="auto"/>
          <w:sz w:val="24"/>
          <w:szCs w:val="24"/>
          <w:highlight w:val="none"/>
        </w:rPr>
      </w:pPr>
    </w:p>
    <w:p w14:paraId="62449E9C">
      <w:pPr>
        <w:spacing w:line="360" w:lineRule="auto"/>
        <w:ind w:left="216" w:leftChars="103" w:firstLine="0" w:firstLineChars="0"/>
        <w:rPr>
          <w:rFonts w:hint="eastAsia" w:ascii="宋体" w:hAnsi="宋体" w:eastAsia="宋体" w:cs="宋体"/>
          <w:b/>
          <w:color w:val="000000"/>
          <w:sz w:val="21"/>
          <w:szCs w:val="21"/>
          <w:highlight w:val="none"/>
        </w:rPr>
      </w:pPr>
    </w:p>
    <w:p w14:paraId="0EB95ED7">
      <w:pPr>
        <w:pStyle w:val="3"/>
        <w:numPr>
          <w:ilvl w:val="1"/>
          <w:numId w:val="0"/>
        </w:numPr>
        <w:ind w:leftChars="0"/>
        <w:rPr>
          <w:rFonts w:hint="eastAsia" w:ascii="宋体" w:hAnsi="宋体" w:eastAsia="宋体" w:cs="宋体"/>
          <w:b w:val="0"/>
          <w:color w:val="000000"/>
          <w:szCs w:val="21"/>
          <w:highlight w:val="none"/>
        </w:rPr>
      </w:pPr>
    </w:p>
    <w:p w14:paraId="5E724E22">
      <w:pPr>
        <w:rPr>
          <w:rFonts w:hint="eastAsia"/>
        </w:rPr>
      </w:pPr>
      <w:r>
        <w:rPr>
          <w:rFonts w:hint="eastAsia" w:ascii="仿宋" w:hAnsi="仿宋" w:eastAsia="仿宋" w:cs="仿宋"/>
        </w:rPr>
        <w:drawing>
          <wp:inline distT="0" distB="0" distL="114300" distR="114300">
            <wp:extent cx="5595620" cy="8126095"/>
            <wp:effectExtent l="0" t="0" r="5080" b="825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8"/>
                    <a:stretch>
                      <a:fillRect/>
                    </a:stretch>
                  </pic:blipFill>
                  <pic:spPr>
                    <a:xfrm>
                      <a:off x="0" y="0"/>
                      <a:ext cx="5595620" cy="8126095"/>
                    </a:xfrm>
                    <a:prstGeom prst="rect">
                      <a:avLst/>
                    </a:prstGeom>
                    <a:noFill/>
                    <a:ln>
                      <a:noFill/>
                    </a:ln>
                  </pic:spPr>
                </pic:pic>
              </a:graphicData>
            </a:graphic>
          </wp:inline>
        </w:drawing>
      </w:r>
    </w:p>
    <w:p w14:paraId="63FC5014">
      <w:pPr>
        <w:spacing w:line="440" w:lineRule="atLeast"/>
        <w:rPr>
          <w:rFonts w:hint="eastAsia" w:ascii="宋体" w:hAnsi="宋体" w:cs="宋体"/>
          <w:color w:val="000000"/>
          <w:szCs w:val="21"/>
          <w:highlight w:val="none"/>
        </w:rPr>
      </w:pPr>
    </w:p>
    <w:p w14:paraId="5C311889">
      <w:pPr>
        <w:pStyle w:val="88"/>
        <w:rPr>
          <w:rFonts w:hint="eastAsia" w:ascii="宋体" w:hAnsi="宋体" w:cs="宋体"/>
          <w:color w:val="000000"/>
          <w:highlight w:val="none"/>
        </w:rPr>
      </w:pPr>
      <w:r>
        <w:rPr>
          <w:rFonts w:hint="eastAsia" w:ascii="仿宋" w:hAnsi="仿宋" w:eastAsia="仿宋" w:cs="仿宋"/>
        </w:rPr>
        <w:drawing>
          <wp:inline distT="0" distB="0" distL="114300" distR="114300">
            <wp:extent cx="5600700" cy="7705725"/>
            <wp:effectExtent l="0" t="0" r="0" b="9525"/>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9"/>
                    <a:stretch>
                      <a:fillRect/>
                    </a:stretch>
                  </pic:blipFill>
                  <pic:spPr>
                    <a:xfrm>
                      <a:off x="0" y="0"/>
                      <a:ext cx="5600700" cy="7705725"/>
                    </a:xfrm>
                    <a:prstGeom prst="rect">
                      <a:avLst/>
                    </a:prstGeom>
                    <a:noFill/>
                    <a:ln>
                      <a:noFill/>
                    </a:ln>
                  </pic:spPr>
                </pic:pic>
              </a:graphicData>
            </a:graphic>
          </wp:inline>
        </w:drawing>
      </w:r>
    </w:p>
    <w:p w14:paraId="50E1439E">
      <w:pPr>
        <w:pStyle w:val="11"/>
        <w:rPr>
          <w:rFonts w:hint="eastAsia" w:ascii="宋体" w:hAnsi="宋体" w:cs="宋体"/>
          <w:color w:val="000000"/>
          <w:highlight w:val="none"/>
        </w:rPr>
      </w:pPr>
    </w:p>
    <w:p w14:paraId="4FE96654">
      <w:pPr>
        <w:spacing w:line="360" w:lineRule="auto"/>
        <w:jc w:val="left"/>
        <w:textAlignment w:val="baseline"/>
        <w:outlineLvl w:val="0"/>
        <w:rPr>
          <w:rFonts w:hint="eastAsia" w:ascii="宋体" w:hAnsi="宋体" w:cs="宋体"/>
          <w:b/>
          <w:bCs/>
          <w:color w:val="auto"/>
          <w:sz w:val="24"/>
          <w:szCs w:val="24"/>
          <w:highlight w:val="none"/>
        </w:rPr>
      </w:pPr>
      <w:r>
        <w:rPr>
          <w:rFonts w:hint="eastAsia" w:ascii="仿宋" w:hAnsi="仿宋" w:eastAsia="仿宋" w:cs="仿宋"/>
        </w:rPr>
        <w:drawing>
          <wp:inline distT="0" distB="0" distL="114300" distR="114300">
            <wp:extent cx="5597525" cy="7550785"/>
            <wp:effectExtent l="0" t="0" r="3175" b="12065"/>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pic:cNvPicPr>
                  </pic:nvPicPr>
                  <pic:blipFill>
                    <a:blip r:embed="rId10"/>
                    <a:stretch>
                      <a:fillRect/>
                    </a:stretch>
                  </pic:blipFill>
                  <pic:spPr>
                    <a:xfrm>
                      <a:off x="0" y="0"/>
                      <a:ext cx="5597525" cy="7550785"/>
                    </a:xfrm>
                    <a:prstGeom prst="rect">
                      <a:avLst/>
                    </a:prstGeom>
                    <a:noFill/>
                    <a:ln>
                      <a:noFill/>
                    </a:ln>
                  </pic:spPr>
                </pic:pic>
              </a:graphicData>
            </a:graphic>
          </wp:inline>
        </w:drawing>
      </w:r>
      <w:r>
        <w:rPr>
          <w:rFonts w:hint="eastAsia" w:ascii="仿宋" w:hAnsi="仿宋" w:eastAsia="仿宋" w:cs="仿宋"/>
        </w:rPr>
        <w:drawing>
          <wp:inline distT="0" distB="0" distL="114300" distR="114300">
            <wp:extent cx="5748020" cy="8096250"/>
            <wp:effectExtent l="0" t="0" r="508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1"/>
                    <a:stretch>
                      <a:fillRect/>
                    </a:stretch>
                  </pic:blipFill>
                  <pic:spPr>
                    <a:xfrm>
                      <a:off x="0" y="0"/>
                      <a:ext cx="5748020" cy="8096250"/>
                    </a:xfrm>
                    <a:prstGeom prst="rect">
                      <a:avLst/>
                    </a:prstGeom>
                    <a:noFill/>
                    <a:ln>
                      <a:noFill/>
                    </a:ln>
                  </pic:spPr>
                </pic:pic>
              </a:graphicData>
            </a:graphic>
          </wp:inline>
        </w:drawing>
      </w:r>
    </w:p>
    <w:p w14:paraId="1A2AE48E">
      <w:pPr>
        <w:spacing w:line="360" w:lineRule="auto"/>
        <w:jc w:val="left"/>
        <w:textAlignment w:val="baseline"/>
        <w:outlineLvl w:val="0"/>
        <w:rPr>
          <w:rFonts w:hint="eastAsia" w:ascii="宋体" w:hAnsi="宋体" w:cs="宋体"/>
          <w:b/>
          <w:bCs/>
          <w:color w:val="auto"/>
          <w:sz w:val="24"/>
          <w:szCs w:val="24"/>
          <w:highlight w:val="none"/>
        </w:rPr>
      </w:pPr>
    </w:p>
    <w:bookmarkEnd w:id="93"/>
    <w:p w14:paraId="7485153A">
      <w:pPr>
        <w:rPr>
          <w:rFonts w:hint="eastAsia" w:ascii="宋体" w:hAnsi="宋体" w:cs="宋体"/>
          <w:b/>
          <w:bCs/>
          <w:color w:val="auto"/>
          <w:sz w:val="36"/>
          <w:szCs w:val="36"/>
          <w:highlight w:val="none"/>
          <w:lang w:val="en-US" w:eastAsia="zh-CN"/>
        </w:rPr>
      </w:pPr>
      <w:r>
        <w:rPr>
          <w:rFonts w:hint="eastAsia" w:ascii="宋体" w:hAnsi="宋体" w:cs="宋体"/>
          <w:b/>
          <w:bCs/>
          <w:color w:val="auto"/>
          <w:sz w:val="36"/>
          <w:szCs w:val="36"/>
          <w:highlight w:val="none"/>
          <w:lang w:val="en-US" w:eastAsia="zh-CN"/>
        </w:rPr>
        <w:br w:type="page"/>
      </w:r>
    </w:p>
    <w:p w14:paraId="5D5EB7E6">
      <w:pPr>
        <w:spacing w:line="360" w:lineRule="auto"/>
        <w:jc w:val="center"/>
        <w:textAlignment w:val="baseline"/>
        <w:outlineLvl w:val="0"/>
        <w:rPr>
          <w:rFonts w:hint="eastAsia" w:ascii="宋体" w:hAnsi="宋体" w:cs="宋体"/>
          <w:b/>
          <w:bCs/>
          <w:color w:val="auto"/>
          <w:sz w:val="36"/>
          <w:szCs w:val="36"/>
          <w:highlight w:val="none"/>
          <w:lang w:val="en-US" w:eastAsia="zh-CN"/>
        </w:rPr>
      </w:pPr>
    </w:p>
    <w:p w14:paraId="2A043CE2">
      <w:pPr>
        <w:spacing w:line="360" w:lineRule="auto"/>
        <w:jc w:val="center"/>
        <w:textAlignment w:val="baseline"/>
        <w:outlineLvl w:val="0"/>
        <w:rPr>
          <w:rFonts w:hint="default" w:ascii="宋体" w:hAnsi="宋体" w:eastAsia="宋体" w:cs="宋体"/>
          <w:b/>
          <w:bCs/>
          <w:color w:val="auto"/>
          <w:sz w:val="36"/>
          <w:szCs w:val="36"/>
          <w:highlight w:val="none"/>
          <w:lang w:val="en-US" w:eastAsia="zh-CN"/>
        </w:rPr>
      </w:pPr>
      <w:r>
        <w:rPr>
          <w:rFonts w:hint="eastAsia" w:ascii="宋体" w:hAnsi="宋体" w:cs="宋体"/>
          <w:b/>
          <w:bCs/>
          <w:color w:val="auto"/>
          <w:sz w:val="36"/>
          <w:szCs w:val="36"/>
          <w:highlight w:val="none"/>
          <w:lang w:val="en-US" w:eastAsia="zh-CN"/>
        </w:rPr>
        <w:t>商务技术文件格式</w:t>
      </w:r>
    </w:p>
    <w:p w14:paraId="01045318">
      <w:pPr>
        <w:spacing w:before="185"/>
        <w:ind w:right="210"/>
        <w:jc w:val="center"/>
        <w:textAlignment w:val="baseline"/>
        <w:outlineLvl w:val="0"/>
        <w:rPr>
          <w:rFonts w:hint="eastAsia" w:ascii="宋体" w:hAnsi="宋体" w:cs="宋体"/>
          <w:b/>
          <w:color w:val="auto"/>
          <w:sz w:val="52"/>
          <w:highlight w:val="none"/>
        </w:rPr>
      </w:pPr>
      <w:bookmarkStart w:id="94" w:name="_Toc9861"/>
    </w:p>
    <w:p w14:paraId="7BDFF103">
      <w:pPr>
        <w:spacing w:before="185"/>
        <w:ind w:right="210"/>
        <w:jc w:val="center"/>
        <w:textAlignment w:val="baseline"/>
        <w:outlineLvl w:val="0"/>
        <w:rPr>
          <w:rFonts w:ascii="宋体" w:hAnsi="宋体" w:cs="宋体"/>
          <w:b/>
          <w:color w:val="auto"/>
          <w:sz w:val="52"/>
          <w:highlight w:val="none"/>
        </w:rPr>
      </w:pPr>
      <w:r>
        <w:rPr>
          <w:rFonts w:hint="eastAsia" w:ascii="宋体" w:hAnsi="宋体" w:cs="宋体"/>
          <w:b/>
          <w:color w:val="auto"/>
          <w:sz w:val="52"/>
          <w:highlight w:val="none"/>
        </w:rPr>
        <w:t>投 标 文 件</w:t>
      </w:r>
    </w:p>
    <w:p w14:paraId="1C02B10C">
      <w:pPr>
        <w:pStyle w:val="11"/>
        <w:spacing w:before="11"/>
        <w:textAlignment w:val="baseline"/>
        <w:rPr>
          <w:rFonts w:ascii="宋体" w:hAnsi="宋体" w:cs="宋体"/>
          <w:b/>
          <w:color w:val="auto"/>
          <w:sz w:val="69"/>
          <w:highlight w:val="none"/>
        </w:rPr>
      </w:pPr>
    </w:p>
    <w:p w14:paraId="5B7C7599">
      <w:pPr>
        <w:ind w:right="208"/>
        <w:jc w:val="center"/>
        <w:textAlignment w:val="baseline"/>
        <w:outlineLvl w:val="0"/>
        <w:rPr>
          <w:rFonts w:ascii="宋体" w:hAnsi="宋体" w:cs="宋体"/>
          <w:b/>
          <w:color w:val="auto"/>
          <w:sz w:val="32"/>
          <w:highlight w:val="none"/>
        </w:rPr>
      </w:pPr>
      <w:r>
        <w:rPr>
          <w:rFonts w:hint="eastAsia" w:ascii="宋体" w:hAnsi="宋体" w:cs="宋体"/>
          <w:b/>
          <w:color w:val="auto"/>
          <w:sz w:val="32"/>
          <w:highlight w:val="none"/>
        </w:rPr>
        <w:t>商务技术文件</w:t>
      </w:r>
    </w:p>
    <w:p w14:paraId="0B672E1C">
      <w:pPr>
        <w:pStyle w:val="67"/>
        <w:rPr>
          <w:rFonts w:ascii="宋体" w:hAnsi="宋体" w:cs="宋体"/>
          <w:b/>
          <w:color w:val="auto"/>
          <w:sz w:val="32"/>
          <w:highlight w:val="none"/>
        </w:rPr>
      </w:pPr>
    </w:p>
    <w:p w14:paraId="0C75EA44">
      <w:pPr>
        <w:pStyle w:val="67"/>
        <w:rPr>
          <w:rFonts w:ascii="宋体" w:hAnsi="宋体" w:cs="宋体"/>
          <w:b/>
          <w:color w:val="auto"/>
          <w:sz w:val="32"/>
          <w:highlight w:val="none"/>
        </w:rPr>
      </w:pPr>
    </w:p>
    <w:p w14:paraId="44A5DE37">
      <w:pPr>
        <w:snapToGrid w:val="0"/>
        <w:spacing w:line="720" w:lineRule="auto"/>
        <w:ind w:firstLine="1120" w:firstLineChars="400"/>
        <w:textAlignment w:val="baseline"/>
        <w:rPr>
          <w:rFonts w:ascii="宋体" w:hAnsi="宋体" w:cs="宋体"/>
          <w:color w:val="auto"/>
          <w:sz w:val="28"/>
          <w:szCs w:val="28"/>
          <w:highlight w:val="none"/>
          <w:u w:val="single" w:color="000000"/>
        </w:rPr>
      </w:pPr>
      <w:r>
        <w:rPr>
          <w:rFonts w:hint="eastAsia" w:ascii="宋体" w:hAnsi="宋体" w:cs="宋体"/>
          <w:color w:val="auto"/>
          <w:sz w:val="28"/>
          <w:szCs w:val="28"/>
          <w:highlight w:val="none"/>
        </w:rPr>
        <w:t>项目名称：</w:t>
      </w:r>
      <w:r>
        <w:rPr>
          <w:rFonts w:hint="eastAsia" w:ascii="宋体" w:hAnsi="宋体" w:cs="宋体"/>
          <w:color w:val="auto"/>
          <w:sz w:val="28"/>
          <w:szCs w:val="28"/>
          <w:highlight w:val="none"/>
          <w:u w:val="single" w:color="000000"/>
        </w:rPr>
        <w:t xml:space="preserve">                       </w:t>
      </w:r>
    </w:p>
    <w:p w14:paraId="302F8174">
      <w:pPr>
        <w:snapToGrid w:val="0"/>
        <w:spacing w:line="720" w:lineRule="auto"/>
        <w:ind w:firstLine="1120" w:firstLineChars="400"/>
        <w:textAlignment w:val="baseline"/>
        <w:rPr>
          <w:rFonts w:ascii="宋体" w:hAnsi="宋体" w:cs="宋体"/>
          <w:color w:val="auto"/>
          <w:sz w:val="28"/>
          <w:szCs w:val="28"/>
          <w:highlight w:val="none"/>
        </w:rPr>
      </w:pPr>
      <w:r>
        <w:rPr>
          <w:rFonts w:hint="eastAsia" w:ascii="宋体" w:hAnsi="宋体" w:cs="宋体"/>
          <w:color w:val="auto"/>
          <w:sz w:val="28"/>
          <w:szCs w:val="28"/>
          <w:highlight w:val="none"/>
        </w:rPr>
        <w:t>项目编号：</w:t>
      </w:r>
      <w:r>
        <w:rPr>
          <w:rFonts w:hint="eastAsia" w:ascii="宋体" w:hAnsi="宋体" w:cs="宋体"/>
          <w:color w:val="auto"/>
          <w:sz w:val="28"/>
          <w:szCs w:val="28"/>
          <w:highlight w:val="none"/>
          <w:u w:val="single" w:color="000000"/>
        </w:rPr>
        <w:t>                       </w:t>
      </w:r>
      <w:r>
        <w:rPr>
          <w:rFonts w:hint="eastAsia" w:ascii="宋体" w:hAnsi="宋体" w:cs="宋体"/>
          <w:color w:val="auto"/>
          <w:sz w:val="28"/>
          <w:szCs w:val="28"/>
          <w:highlight w:val="none"/>
        </w:rPr>
        <w:t xml:space="preserve"> </w:t>
      </w:r>
    </w:p>
    <w:p w14:paraId="77671230">
      <w:pPr>
        <w:snapToGrid w:val="0"/>
        <w:spacing w:line="720" w:lineRule="auto"/>
        <w:ind w:firstLine="1120" w:firstLineChars="400"/>
        <w:textAlignment w:val="baseline"/>
        <w:rPr>
          <w:rFonts w:ascii="宋体" w:hAnsi="宋体" w:cs="宋体"/>
          <w:color w:val="auto"/>
          <w:sz w:val="28"/>
          <w:szCs w:val="28"/>
          <w:highlight w:val="none"/>
        </w:rPr>
      </w:pPr>
      <w:r>
        <w:rPr>
          <w:rFonts w:hint="eastAsia" w:ascii="宋体" w:hAnsi="宋体" w:cs="宋体"/>
          <w:color w:val="auto"/>
          <w:sz w:val="28"/>
          <w:szCs w:val="28"/>
          <w:highlight w:val="none"/>
          <w:lang w:eastAsia="zh-CN"/>
        </w:rPr>
        <w:t>供应商</w:t>
      </w:r>
      <w:r>
        <w:rPr>
          <w:rFonts w:hint="eastAsia" w:ascii="宋体" w:hAnsi="宋体" w:cs="宋体"/>
          <w:color w:val="auto"/>
          <w:sz w:val="28"/>
          <w:szCs w:val="28"/>
          <w:highlight w:val="none"/>
        </w:rPr>
        <w:t>（全称）：</w:t>
      </w:r>
      <w:r>
        <w:rPr>
          <w:rFonts w:hint="eastAsia" w:ascii="宋体" w:hAnsi="宋体" w:cs="宋体"/>
          <w:color w:val="auto"/>
          <w:sz w:val="28"/>
          <w:szCs w:val="28"/>
          <w:highlight w:val="none"/>
          <w:u w:val="single" w:color="000000"/>
        </w:rPr>
        <w:t>            （盖章）</w:t>
      </w:r>
    </w:p>
    <w:p w14:paraId="0C3734D1">
      <w:pPr>
        <w:snapToGrid w:val="0"/>
        <w:spacing w:line="720" w:lineRule="auto"/>
        <w:ind w:firstLine="1120" w:firstLineChars="400"/>
        <w:textAlignment w:val="baseline"/>
        <w:rPr>
          <w:rFonts w:ascii="宋体" w:hAnsi="宋体" w:cs="宋体"/>
          <w:color w:val="auto"/>
          <w:sz w:val="28"/>
          <w:szCs w:val="28"/>
          <w:highlight w:val="none"/>
          <w:u w:val="single" w:color="000000"/>
        </w:rPr>
      </w:pPr>
      <w:r>
        <w:rPr>
          <w:rFonts w:hint="eastAsia" w:ascii="宋体" w:hAnsi="宋体" w:cs="宋体"/>
          <w:color w:val="auto"/>
          <w:sz w:val="28"/>
          <w:szCs w:val="28"/>
          <w:highlight w:val="none"/>
          <w:lang w:eastAsia="zh-CN"/>
        </w:rPr>
        <w:t>供应商</w:t>
      </w:r>
      <w:r>
        <w:rPr>
          <w:rFonts w:hint="eastAsia" w:ascii="宋体" w:hAnsi="宋体" w:cs="宋体"/>
          <w:color w:val="auto"/>
          <w:sz w:val="28"/>
          <w:szCs w:val="28"/>
          <w:highlight w:val="none"/>
        </w:rPr>
        <w:t>地址：</w:t>
      </w:r>
      <w:r>
        <w:rPr>
          <w:rFonts w:hint="eastAsia" w:ascii="宋体" w:hAnsi="宋体" w:cs="宋体"/>
          <w:color w:val="auto"/>
          <w:sz w:val="28"/>
          <w:szCs w:val="28"/>
          <w:highlight w:val="none"/>
          <w:u w:val="single" w:color="000000"/>
        </w:rPr>
        <w:t>                     </w:t>
      </w:r>
    </w:p>
    <w:p w14:paraId="5052F42D">
      <w:pPr>
        <w:spacing w:line="360" w:lineRule="auto"/>
        <w:jc w:val="left"/>
        <w:textAlignment w:val="baseline"/>
        <w:outlineLvl w:val="0"/>
        <w:rPr>
          <w:rFonts w:hint="eastAsia" w:ascii="宋体" w:hAnsi="宋体" w:cs="宋体"/>
          <w:b/>
          <w:bCs/>
          <w:color w:val="auto"/>
          <w:sz w:val="24"/>
          <w:szCs w:val="24"/>
          <w:highlight w:val="none"/>
        </w:rPr>
      </w:pPr>
    </w:p>
    <w:p w14:paraId="214A89BB">
      <w:pPr>
        <w:pStyle w:val="23"/>
        <w:rPr>
          <w:rFonts w:hint="eastAsia" w:ascii="宋体" w:hAnsi="宋体" w:cs="宋体"/>
          <w:b/>
          <w:bCs/>
          <w:color w:val="auto"/>
          <w:sz w:val="24"/>
          <w:szCs w:val="24"/>
          <w:highlight w:val="none"/>
        </w:rPr>
      </w:pPr>
    </w:p>
    <w:p w14:paraId="403472F8">
      <w:pPr>
        <w:rPr>
          <w:rFonts w:hint="eastAsia" w:ascii="宋体" w:hAnsi="宋体" w:cs="宋体"/>
          <w:b/>
          <w:bCs/>
          <w:color w:val="auto"/>
          <w:sz w:val="24"/>
          <w:szCs w:val="24"/>
          <w:highlight w:val="none"/>
        </w:rPr>
      </w:pPr>
    </w:p>
    <w:p w14:paraId="00CB402F">
      <w:pPr>
        <w:pStyle w:val="23"/>
        <w:rPr>
          <w:rFonts w:hint="eastAsia" w:ascii="宋体" w:hAnsi="宋体" w:cs="宋体"/>
          <w:b/>
          <w:bCs/>
          <w:color w:val="auto"/>
          <w:sz w:val="24"/>
          <w:szCs w:val="24"/>
          <w:highlight w:val="none"/>
        </w:rPr>
      </w:pPr>
    </w:p>
    <w:p w14:paraId="696EB827">
      <w:pPr>
        <w:rPr>
          <w:rFonts w:hint="eastAsia" w:ascii="宋体" w:hAnsi="宋体" w:cs="宋体"/>
          <w:b/>
          <w:bCs/>
          <w:color w:val="auto"/>
          <w:sz w:val="24"/>
          <w:szCs w:val="24"/>
          <w:highlight w:val="none"/>
        </w:rPr>
      </w:pPr>
    </w:p>
    <w:p w14:paraId="7FC1475B">
      <w:pPr>
        <w:pStyle w:val="23"/>
        <w:rPr>
          <w:rFonts w:hint="eastAsia" w:ascii="宋体" w:hAnsi="宋体" w:cs="宋体"/>
          <w:b/>
          <w:bCs/>
          <w:color w:val="auto"/>
          <w:sz w:val="24"/>
          <w:szCs w:val="24"/>
          <w:highlight w:val="none"/>
        </w:rPr>
      </w:pPr>
    </w:p>
    <w:p w14:paraId="114BA214">
      <w:pPr>
        <w:rPr>
          <w:rFonts w:hint="eastAsia" w:ascii="宋体" w:hAnsi="宋体" w:cs="宋体"/>
          <w:b/>
          <w:bCs/>
          <w:color w:val="auto"/>
          <w:sz w:val="24"/>
          <w:szCs w:val="24"/>
          <w:highlight w:val="none"/>
        </w:rPr>
      </w:pPr>
    </w:p>
    <w:p w14:paraId="39F2BC95">
      <w:pPr>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br w:type="page"/>
      </w:r>
    </w:p>
    <w:p w14:paraId="24655BAD">
      <w:pPr>
        <w:spacing w:line="360" w:lineRule="auto"/>
        <w:jc w:val="left"/>
        <w:textAlignment w:val="baseline"/>
        <w:outlineLvl w:val="0"/>
        <w:rPr>
          <w:rFonts w:ascii="宋体" w:hAnsi="宋体" w:cs="宋体"/>
          <w:b/>
          <w:bCs/>
          <w:color w:val="auto"/>
          <w:sz w:val="24"/>
          <w:szCs w:val="24"/>
          <w:highlight w:val="none"/>
        </w:rPr>
      </w:pPr>
      <w:r>
        <w:rPr>
          <w:rFonts w:hint="eastAsia" w:ascii="宋体" w:hAnsi="宋体" w:cs="宋体"/>
          <w:b/>
          <w:bCs/>
          <w:color w:val="auto"/>
          <w:sz w:val="24"/>
          <w:szCs w:val="24"/>
          <w:highlight w:val="none"/>
        </w:rPr>
        <w:t>附件</w:t>
      </w:r>
      <w:r>
        <w:rPr>
          <w:rFonts w:hint="eastAsia" w:ascii="宋体" w:hAnsi="宋体" w:cs="宋体"/>
          <w:b/>
          <w:bCs/>
          <w:color w:val="auto"/>
          <w:sz w:val="24"/>
          <w:szCs w:val="24"/>
          <w:highlight w:val="none"/>
          <w:lang w:val="en-US" w:eastAsia="zh-CN"/>
        </w:rPr>
        <w:t>5</w:t>
      </w:r>
      <w:r>
        <w:rPr>
          <w:rFonts w:hint="eastAsia" w:ascii="宋体" w:hAnsi="宋体" w:cs="宋体"/>
          <w:b/>
          <w:bCs/>
          <w:color w:val="auto"/>
          <w:sz w:val="24"/>
          <w:szCs w:val="24"/>
          <w:highlight w:val="none"/>
        </w:rPr>
        <w:t xml:space="preserve">                     </w:t>
      </w:r>
    </w:p>
    <w:p w14:paraId="7C50B723">
      <w:pPr>
        <w:spacing w:line="360" w:lineRule="auto"/>
        <w:jc w:val="center"/>
        <w:textAlignment w:val="baseline"/>
        <w:rPr>
          <w:rFonts w:ascii="宋体" w:hAnsi="宋体" w:cs="宋体"/>
          <w:b/>
          <w:bCs/>
          <w:color w:val="auto"/>
          <w:sz w:val="32"/>
          <w:szCs w:val="32"/>
          <w:highlight w:val="none"/>
        </w:rPr>
      </w:pPr>
      <w:r>
        <w:rPr>
          <w:rFonts w:hint="eastAsia" w:ascii="宋体" w:hAnsi="宋体" w:cs="宋体"/>
          <w:b/>
          <w:bCs/>
          <w:color w:val="auto"/>
          <w:sz w:val="32"/>
          <w:szCs w:val="32"/>
          <w:highlight w:val="none"/>
        </w:rPr>
        <w:t>供应商自评表</w:t>
      </w:r>
    </w:p>
    <w:tbl>
      <w:tblPr>
        <w:tblStyle w:val="32"/>
        <w:tblW w:w="9806" w:type="dxa"/>
        <w:tblInd w:w="-328" w:type="dxa"/>
        <w:tblLayout w:type="fixed"/>
        <w:tblCellMar>
          <w:top w:w="15" w:type="dxa"/>
          <w:left w:w="15" w:type="dxa"/>
          <w:bottom w:w="15" w:type="dxa"/>
          <w:right w:w="15" w:type="dxa"/>
        </w:tblCellMar>
      </w:tblPr>
      <w:tblGrid>
        <w:gridCol w:w="1276"/>
        <w:gridCol w:w="4057"/>
        <w:gridCol w:w="933"/>
        <w:gridCol w:w="1117"/>
        <w:gridCol w:w="989"/>
        <w:gridCol w:w="1434"/>
      </w:tblGrid>
      <w:tr w14:paraId="1C1BBDD4">
        <w:tblPrEx>
          <w:tblCellMar>
            <w:top w:w="15" w:type="dxa"/>
            <w:left w:w="15" w:type="dxa"/>
            <w:bottom w:w="15" w:type="dxa"/>
            <w:right w:w="15" w:type="dxa"/>
          </w:tblCellMar>
        </w:tblPrEx>
        <w:trPr>
          <w:trHeight w:val="440" w:hRule="atLeast"/>
        </w:trPr>
        <w:tc>
          <w:tcPr>
            <w:tcW w:w="1276" w:type="dxa"/>
            <w:tcBorders>
              <w:top w:val="single" w:color="auto" w:sz="4" w:space="0"/>
              <w:left w:val="single" w:color="auto" w:sz="4" w:space="0"/>
              <w:bottom w:val="single" w:color="auto" w:sz="4" w:space="0"/>
              <w:right w:val="single" w:color="auto" w:sz="4" w:space="0"/>
            </w:tcBorders>
            <w:vAlign w:val="center"/>
          </w:tcPr>
          <w:p w14:paraId="5EF89DC5">
            <w:pPr>
              <w:widowControl/>
              <w:spacing w:line="360" w:lineRule="auto"/>
              <w:jc w:val="center"/>
              <w:textAlignment w:val="center"/>
              <w:rPr>
                <w:rFonts w:ascii="宋体" w:hAnsi="宋体" w:cs="宋体"/>
                <w:b/>
                <w:bCs/>
                <w:color w:val="auto"/>
                <w:sz w:val="20"/>
                <w:szCs w:val="21"/>
                <w:highlight w:val="none"/>
              </w:rPr>
            </w:pPr>
            <w:r>
              <w:rPr>
                <w:rFonts w:hint="eastAsia" w:ascii="宋体" w:hAnsi="宋体" w:cs="宋体"/>
                <w:b/>
                <w:bCs/>
                <w:color w:val="auto"/>
                <w:szCs w:val="21"/>
                <w:highlight w:val="none"/>
              </w:rPr>
              <w:t>评审项目</w:t>
            </w:r>
          </w:p>
        </w:tc>
        <w:tc>
          <w:tcPr>
            <w:tcW w:w="4057" w:type="dxa"/>
            <w:tcBorders>
              <w:top w:val="single" w:color="auto" w:sz="4" w:space="0"/>
              <w:left w:val="single" w:color="auto" w:sz="4" w:space="0"/>
              <w:bottom w:val="single" w:color="auto" w:sz="4" w:space="0"/>
              <w:right w:val="single" w:color="auto" w:sz="4" w:space="0"/>
            </w:tcBorders>
            <w:vAlign w:val="center"/>
          </w:tcPr>
          <w:p w14:paraId="6A8631DC">
            <w:pPr>
              <w:widowControl/>
              <w:spacing w:line="360" w:lineRule="auto"/>
              <w:jc w:val="center"/>
              <w:textAlignment w:val="center"/>
              <w:rPr>
                <w:rFonts w:ascii="宋体" w:hAnsi="宋体" w:cs="宋体"/>
                <w:b/>
                <w:bCs/>
                <w:color w:val="auto"/>
                <w:sz w:val="20"/>
                <w:szCs w:val="21"/>
                <w:highlight w:val="none"/>
              </w:rPr>
            </w:pPr>
            <w:r>
              <w:rPr>
                <w:rFonts w:hint="eastAsia" w:ascii="宋体" w:hAnsi="宋体" w:cs="宋体"/>
                <w:b/>
                <w:bCs/>
                <w:color w:val="auto"/>
                <w:szCs w:val="21"/>
                <w:highlight w:val="none"/>
              </w:rPr>
              <w:t>评分标准</w:t>
            </w:r>
          </w:p>
        </w:tc>
        <w:tc>
          <w:tcPr>
            <w:tcW w:w="933" w:type="dxa"/>
            <w:tcBorders>
              <w:top w:val="single" w:color="auto" w:sz="4" w:space="0"/>
              <w:left w:val="single" w:color="auto" w:sz="4" w:space="0"/>
              <w:bottom w:val="single" w:color="auto" w:sz="4" w:space="0"/>
              <w:right w:val="single" w:color="auto" w:sz="4" w:space="0"/>
            </w:tcBorders>
            <w:vAlign w:val="center"/>
          </w:tcPr>
          <w:p w14:paraId="208ED2B4">
            <w:pPr>
              <w:widowControl/>
              <w:spacing w:line="360" w:lineRule="auto"/>
              <w:jc w:val="center"/>
              <w:textAlignment w:val="center"/>
              <w:rPr>
                <w:rFonts w:ascii="宋体" w:hAnsi="宋体" w:cs="宋体"/>
                <w:b/>
                <w:bCs/>
                <w:color w:val="auto"/>
                <w:sz w:val="20"/>
                <w:szCs w:val="21"/>
                <w:highlight w:val="none"/>
              </w:rPr>
            </w:pPr>
            <w:r>
              <w:rPr>
                <w:rFonts w:hint="eastAsia" w:ascii="宋体" w:hAnsi="宋体" w:cs="宋体"/>
                <w:b/>
                <w:bCs/>
                <w:color w:val="auto"/>
                <w:szCs w:val="21"/>
                <w:highlight w:val="none"/>
              </w:rPr>
              <w:t>分值</w:t>
            </w:r>
          </w:p>
        </w:tc>
        <w:tc>
          <w:tcPr>
            <w:tcW w:w="1117" w:type="dxa"/>
            <w:tcBorders>
              <w:top w:val="single" w:color="auto" w:sz="4" w:space="0"/>
              <w:left w:val="single" w:color="auto" w:sz="4" w:space="0"/>
              <w:bottom w:val="single" w:color="auto" w:sz="4" w:space="0"/>
              <w:right w:val="single" w:color="auto" w:sz="4" w:space="0"/>
            </w:tcBorders>
            <w:vAlign w:val="center"/>
          </w:tcPr>
          <w:p w14:paraId="6DA8F41F">
            <w:pPr>
              <w:widowControl/>
              <w:spacing w:line="360" w:lineRule="auto"/>
              <w:jc w:val="center"/>
              <w:textAlignment w:val="center"/>
              <w:rPr>
                <w:rFonts w:ascii="宋体" w:hAnsi="宋体" w:cs="宋体"/>
                <w:b/>
                <w:bCs/>
                <w:color w:val="auto"/>
                <w:sz w:val="20"/>
                <w:szCs w:val="21"/>
                <w:highlight w:val="none"/>
              </w:rPr>
            </w:pPr>
            <w:r>
              <w:rPr>
                <w:rFonts w:hint="eastAsia" w:ascii="宋体" w:hAnsi="宋体" w:cs="宋体"/>
                <w:b/>
                <w:bCs/>
                <w:color w:val="auto"/>
                <w:szCs w:val="21"/>
                <w:highlight w:val="none"/>
              </w:rPr>
              <w:t>自评</w:t>
            </w:r>
          </w:p>
          <w:p w14:paraId="19793CD7">
            <w:pPr>
              <w:widowControl/>
              <w:spacing w:line="360" w:lineRule="auto"/>
              <w:jc w:val="center"/>
              <w:textAlignment w:val="center"/>
              <w:rPr>
                <w:rFonts w:ascii="宋体" w:hAnsi="宋体" w:cs="宋体"/>
                <w:b/>
                <w:bCs/>
                <w:color w:val="auto"/>
                <w:sz w:val="20"/>
                <w:szCs w:val="21"/>
                <w:highlight w:val="none"/>
              </w:rPr>
            </w:pPr>
            <w:r>
              <w:rPr>
                <w:rFonts w:hint="eastAsia" w:ascii="宋体" w:hAnsi="宋体" w:cs="宋体"/>
                <w:b/>
                <w:bCs/>
                <w:color w:val="auto"/>
                <w:szCs w:val="21"/>
                <w:highlight w:val="none"/>
              </w:rPr>
              <w:t>分值</w:t>
            </w:r>
          </w:p>
        </w:tc>
        <w:tc>
          <w:tcPr>
            <w:tcW w:w="989" w:type="dxa"/>
            <w:tcBorders>
              <w:top w:val="single" w:color="auto" w:sz="4" w:space="0"/>
              <w:left w:val="single" w:color="auto" w:sz="4" w:space="0"/>
              <w:bottom w:val="single" w:color="auto" w:sz="4" w:space="0"/>
              <w:right w:val="single" w:color="auto" w:sz="4" w:space="0"/>
            </w:tcBorders>
            <w:vAlign w:val="center"/>
          </w:tcPr>
          <w:p w14:paraId="2619BDD0">
            <w:pPr>
              <w:widowControl/>
              <w:spacing w:line="360" w:lineRule="auto"/>
              <w:jc w:val="center"/>
              <w:textAlignment w:val="center"/>
              <w:rPr>
                <w:rFonts w:ascii="宋体" w:hAnsi="宋体" w:cs="宋体"/>
                <w:b/>
                <w:bCs/>
                <w:color w:val="auto"/>
                <w:sz w:val="20"/>
                <w:szCs w:val="21"/>
                <w:highlight w:val="none"/>
              </w:rPr>
            </w:pPr>
            <w:r>
              <w:rPr>
                <w:rFonts w:hint="eastAsia" w:ascii="宋体" w:hAnsi="宋体" w:cs="宋体"/>
                <w:b/>
                <w:bCs/>
                <w:color w:val="auto"/>
                <w:szCs w:val="21"/>
                <w:highlight w:val="none"/>
              </w:rPr>
              <w:t>评分</w:t>
            </w:r>
          </w:p>
          <w:p w14:paraId="6E0E615D">
            <w:pPr>
              <w:widowControl/>
              <w:spacing w:line="360" w:lineRule="auto"/>
              <w:jc w:val="center"/>
              <w:textAlignment w:val="center"/>
              <w:rPr>
                <w:rFonts w:ascii="宋体" w:hAnsi="宋体" w:cs="宋体"/>
                <w:b/>
                <w:bCs/>
                <w:color w:val="auto"/>
                <w:sz w:val="20"/>
                <w:szCs w:val="21"/>
                <w:highlight w:val="none"/>
              </w:rPr>
            </w:pPr>
            <w:r>
              <w:rPr>
                <w:rFonts w:hint="eastAsia" w:ascii="宋体" w:hAnsi="宋体" w:cs="宋体"/>
                <w:b/>
                <w:bCs/>
                <w:color w:val="auto"/>
                <w:szCs w:val="21"/>
                <w:highlight w:val="none"/>
              </w:rPr>
              <w:t>依据</w:t>
            </w:r>
          </w:p>
        </w:tc>
        <w:tc>
          <w:tcPr>
            <w:tcW w:w="1434" w:type="dxa"/>
            <w:tcBorders>
              <w:top w:val="single" w:color="auto" w:sz="4" w:space="0"/>
              <w:left w:val="single" w:color="auto" w:sz="4" w:space="0"/>
              <w:bottom w:val="single" w:color="auto" w:sz="4" w:space="0"/>
              <w:right w:val="single" w:color="auto" w:sz="4" w:space="0"/>
            </w:tcBorders>
            <w:vAlign w:val="center"/>
          </w:tcPr>
          <w:p w14:paraId="433E1618">
            <w:pPr>
              <w:widowControl/>
              <w:spacing w:line="360" w:lineRule="auto"/>
              <w:jc w:val="center"/>
              <w:textAlignment w:val="center"/>
              <w:rPr>
                <w:rFonts w:ascii="宋体" w:hAnsi="宋体" w:cs="宋体"/>
                <w:b/>
                <w:bCs/>
                <w:color w:val="auto"/>
                <w:sz w:val="20"/>
                <w:szCs w:val="21"/>
                <w:highlight w:val="none"/>
              </w:rPr>
            </w:pPr>
            <w:r>
              <w:rPr>
                <w:rFonts w:hint="eastAsia" w:ascii="宋体" w:hAnsi="宋体" w:cs="宋体"/>
                <w:b/>
                <w:bCs/>
                <w:color w:val="auto"/>
                <w:szCs w:val="21"/>
                <w:highlight w:val="none"/>
              </w:rPr>
              <w:t>评分对</w:t>
            </w:r>
          </w:p>
          <w:p w14:paraId="216A92C1">
            <w:pPr>
              <w:widowControl/>
              <w:spacing w:line="360" w:lineRule="auto"/>
              <w:jc w:val="center"/>
              <w:textAlignment w:val="center"/>
              <w:rPr>
                <w:rFonts w:ascii="宋体" w:hAnsi="宋体" w:cs="宋体"/>
                <w:b/>
                <w:bCs/>
                <w:color w:val="auto"/>
                <w:sz w:val="20"/>
                <w:szCs w:val="21"/>
                <w:highlight w:val="none"/>
              </w:rPr>
            </w:pPr>
            <w:r>
              <w:rPr>
                <w:rFonts w:hint="eastAsia" w:ascii="宋体" w:hAnsi="宋体" w:cs="宋体"/>
                <w:b/>
                <w:bCs/>
                <w:color w:val="auto"/>
                <w:szCs w:val="21"/>
                <w:highlight w:val="none"/>
              </w:rPr>
              <w:t>应页码</w:t>
            </w:r>
          </w:p>
        </w:tc>
      </w:tr>
      <w:tr w14:paraId="2D1EEAD5">
        <w:tblPrEx>
          <w:tblCellMar>
            <w:top w:w="15" w:type="dxa"/>
            <w:left w:w="15" w:type="dxa"/>
            <w:bottom w:w="15" w:type="dxa"/>
            <w:right w:w="15" w:type="dxa"/>
          </w:tblCellMar>
        </w:tblPrEx>
        <w:trPr>
          <w:trHeight w:val="1279" w:hRule="atLeast"/>
        </w:trPr>
        <w:tc>
          <w:tcPr>
            <w:tcW w:w="1276" w:type="dxa"/>
            <w:tcBorders>
              <w:top w:val="single" w:color="auto" w:sz="4" w:space="0"/>
              <w:left w:val="single" w:color="auto" w:sz="4" w:space="0"/>
              <w:bottom w:val="single" w:color="auto" w:sz="4" w:space="0"/>
              <w:right w:val="single" w:color="auto" w:sz="4" w:space="0"/>
            </w:tcBorders>
            <w:vAlign w:val="center"/>
          </w:tcPr>
          <w:p w14:paraId="74C0FC3E">
            <w:pPr>
              <w:widowControl/>
              <w:spacing w:line="360" w:lineRule="auto"/>
              <w:jc w:val="center"/>
              <w:textAlignment w:val="center"/>
              <w:rPr>
                <w:rFonts w:ascii="宋体" w:hAnsi="宋体" w:cs="宋体"/>
                <w:color w:val="auto"/>
                <w:sz w:val="20"/>
                <w:szCs w:val="21"/>
                <w:highlight w:val="none"/>
              </w:rPr>
            </w:pPr>
          </w:p>
        </w:tc>
        <w:tc>
          <w:tcPr>
            <w:tcW w:w="4057" w:type="dxa"/>
            <w:tcBorders>
              <w:top w:val="single" w:color="auto" w:sz="4" w:space="0"/>
              <w:left w:val="single" w:color="auto" w:sz="4" w:space="0"/>
              <w:bottom w:val="single" w:color="auto" w:sz="4" w:space="0"/>
              <w:right w:val="single" w:color="auto" w:sz="4" w:space="0"/>
            </w:tcBorders>
            <w:vAlign w:val="center"/>
          </w:tcPr>
          <w:p w14:paraId="5040DEFC">
            <w:pPr>
              <w:widowControl/>
              <w:spacing w:line="360" w:lineRule="auto"/>
              <w:jc w:val="left"/>
              <w:textAlignment w:val="center"/>
              <w:rPr>
                <w:rFonts w:ascii="宋体" w:hAnsi="宋体" w:cs="宋体"/>
                <w:color w:val="auto"/>
                <w:sz w:val="20"/>
                <w:highlight w:val="none"/>
              </w:rPr>
            </w:pPr>
          </w:p>
        </w:tc>
        <w:tc>
          <w:tcPr>
            <w:tcW w:w="933" w:type="dxa"/>
            <w:tcBorders>
              <w:top w:val="single" w:color="auto" w:sz="4" w:space="0"/>
              <w:left w:val="single" w:color="auto" w:sz="4" w:space="0"/>
              <w:bottom w:val="single" w:color="auto" w:sz="4" w:space="0"/>
              <w:right w:val="single" w:color="auto" w:sz="4" w:space="0"/>
            </w:tcBorders>
            <w:vAlign w:val="center"/>
          </w:tcPr>
          <w:p w14:paraId="2A182CB7">
            <w:pPr>
              <w:widowControl/>
              <w:spacing w:line="360" w:lineRule="auto"/>
              <w:jc w:val="center"/>
              <w:textAlignment w:val="baseline"/>
              <w:rPr>
                <w:rFonts w:ascii="宋体" w:hAnsi="宋体" w:cs="宋体"/>
                <w:color w:val="auto"/>
                <w:sz w:val="20"/>
                <w:szCs w:val="21"/>
                <w:highlight w:val="none"/>
              </w:rPr>
            </w:pPr>
          </w:p>
        </w:tc>
        <w:tc>
          <w:tcPr>
            <w:tcW w:w="1117" w:type="dxa"/>
            <w:tcBorders>
              <w:top w:val="single" w:color="auto" w:sz="4" w:space="0"/>
              <w:left w:val="single" w:color="auto" w:sz="4" w:space="0"/>
              <w:bottom w:val="single" w:color="auto" w:sz="4" w:space="0"/>
              <w:right w:val="single" w:color="auto" w:sz="4" w:space="0"/>
            </w:tcBorders>
            <w:vAlign w:val="center"/>
          </w:tcPr>
          <w:p w14:paraId="735B1DA6">
            <w:pPr>
              <w:widowControl/>
              <w:spacing w:line="360" w:lineRule="auto"/>
              <w:jc w:val="center"/>
              <w:textAlignment w:val="baseline"/>
              <w:rPr>
                <w:rFonts w:ascii="宋体" w:hAnsi="宋体" w:cs="宋体"/>
                <w:color w:val="auto"/>
                <w:sz w:val="20"/>
                <w:szCs w:val="21"/>
                <w:highlight w:val="none"/>
              </w:rPr>
            </w:pPr>
          </w:p>
        </w:tc>
        <w:tc>
          <w:tcPr>
            <w:tcW w:w="989" w:type="dxa"/>
            <w:tcBorders>
              <w:top w:val="single" w:color="auto" w:sz="4" w:space="0"/>
              <w:left w:val="single" w:color="auto" w:sz="4" w:space="0"/>
              <w:bottom w:val="single" w:color="auto" w:sz="4" w:space="0"/>
              <w:right w:val="single" w:color="auto" w:sz="4" w:space="0"/>
            </w:tcBorders>
            <w:vAlign w:val="center"/>
          </w:tcPr>
          <w:p w14:paraId="4BA2B596">
            <w:pPr>
              <w:widowControl/>
              <w:spacing w:line="360" w:lineRule="auto"/>
              <w:jc w:val="center"/>
              <w:textAlignment w:val="baseline"/>
              <w:rPr>
                <w:rFonts w:ascii="宋体" w:hAnsi="宋体" w:cs="宋体"/>
                <w:color w:val="auto"/>
                <w:sz w:val="20"/>
                <w:szCs w:val="21"/>
                <w:highlight w:val="none"/>
              </w:rPr>
            </w:pPr>
          </w:p>
        </w:tc>
        <w:tc>
          <w:tcPr>
            <w:tcW w:w="1434" w:type="dxa"/>
            <w:tcBorders>
              <w:top w:val="single" w:color="auto" w:sz="4" w:space="0"/>
              <w:left w:val="single" w:color="auto" w:sz="4" w:space="0"/>
              <w:bottom w:val="single" w:color="auto" w:sz="4" w:space="0"/>
              <w:right w:val="single" w:color="auto" w:sz="4" w:space="0"/>
            </w:tcBorders>
            <w:vAlign w:val="center"/>
          </w:tcPr>
          <w:p w14:paraId="2087846E">
            <w:pPr>
              <w:widowControl/>
              <w:spacing w:line="360" w:lineRule="auto"/>
              <w:jc w:val="center"/>
              <w:textAlignment w:val="baseline"/>
              <w:rPr>
                <w:rFonts w:ascii="宋体" w:hAnsi="宋体" w:cs="宋体"/>
                <w:color w:val="auto"/>
                <w:sz w:val="20"/>
                <w:szCs w:val="21"/>
                <w:highlight w:val="none"/>
              </w:rPr>
            </w:pPr>
          </w:p>
        </w:tc>
      </w:tr>
      <w:tr w14:paraId="67885776">
        <w:tblPrEx>
          <w:tblCellMar>
            <w:top w:w="15" w:type="dxa"/>
            <w:left w:w="15" w:type="dxa"/>
            <w:bottom w:w="15" w:type="dxa"/>
            <w:right w:w="15" w:type="dxa"/>
          </w:tblCellMar>
        </w:tblPrEx>
        <w:trPr>
          <w:trHeight w:val="1597" w:hRule="atLeast"/>
        </w:trPr>
        <w:tc>
          <w:tcPr>
            <w:tcW w:w="1276" w:type="dxa"/>
            <w:tcBorders>
              <w:top w:val="single" w:color="auto" w:sz="4" w:space="0"/>
              <w:left w:val="single" w:color="auto" w:sz="4" w:space="0"/>
              <w:bottom w:val="single" w:color="auto" w:sz="4" w:space="0"/>
              <w:right w:val="single" w:color="auto" w:sz="4" w:space="0"/>
            </w:tcBorders>
            <w:vAlign w:val="center"/>
          </w:tcPr>
          <w:p w14:paraId="505580D8">
            <w:pPr>
              <w:widowControl/>
              <w:spacing w:line="360" w:lineRule="auto"/>
              <w:jc w:val="center"/>
              <w:textAlignment w:val="center"/>
              <w:rPr>
                <w:rFonts w:ascii="宋体" w:hAnsi="宋体" w:cs="宋体"/>
                <w:color w:val="auto"/>
                <w:sz w:val="20"/>
                <w:szCs w:val="21"/>
                <w:highlight w:val="none"/>
              </w:rPr>
            </w:pPr>
          </w:p>
        </w:tc>
        <w:tc>
          <w:tcPr>
            <w:tcW w:w="4057" w:type="dxa"/>
            <w:tcBorders>
              <w:top w:val="single" w:color="auto" w:sz="4" w:space="0"/>
              <w:left w:val="single" w:color="auto" w:sz="4" w:space="0"/>
              <w:bottom w:val="single" w:color="auto" w:sz="4" w:space="0"/>
              <w:right w:val="single" w:color="auto" w:sz="4" w:space="0"/>
            </w:tcBorders>
            <w:vAlign w:val="center"/>
          </w:tcPr>
          <w:p w14:paraId="141BA8B3">
            <w:pPr>
              <w:widowControl/>
              <w:spacing w:line="360" w:lineRule="auto"/>
              <w:jc w:val="left"/>
              <w:textAlignment w:val="center"/>
              <w:rPr>
                <w:rFonts w:ascii="宋体" w:hAnsi="宋体" w:cs="宋体"/>
                <w:color w:val="auto"/>
                <w:sz w:val="20"/>
                <w:szCs w:val="21"/>
                <w:highlight w:val="none"/>
              </w:rPr>
            </w:pPr>
          </w:p>
        </w:tc>
        <w:tc>
          <w:tcPr>
            <w:tcW w:w="933" w:type="dxa"/>
            <w:tcBorders>
              <w:top w:val="single" w:color="auto" w:sz="4" w:space="0"/>
              <w:left w:val="single" w:color="auto" w:sz="4" w:space="0"/>
              <w:bottom w:val="single" w:color="auto" w:sz="4" w:space="0"/>
              <w:right w:val="single" w:color="auto" w:sz="4" w:space="0"/>
            </w:tcBorders>
            <w:vAlign w:val="center"/>
          </w:tcPr>
          <w:p w14:paraId="760CED37">
            <w:pPr>
              <w:widowControl/>
              <w:spacing w:line="360" w:lineRule="auto"/>
              <w:jc w:val="center"/>
              <w:textAlignment w:val="center"/>
              <w:rPr>
                <w:rFonts w:ascii="宋体" w:hAnsi="宋体" w:cs="宋体"/>
                <w:color w:val="auto"/>
                <w:sz w:val="20"/>
                <w:szCs w:val="21"/>
                <w:highlight w:val="none"/>
              </w:rPr>
            </w:pPr>
          </w:p>
        </w:tc>
        <w:tc>
          <w:tcPr>
            <w:tcW w:w="1117" w:type="dxa"/>
            <w:tcBorders>
              <w:top w:val="single" w:color="auto" w:sz="4" w:space="0"/>
              <w:left w:val="single" w:color="auto" w:sz="4" w:space="0"/>
              <w:bottom w:val="single" w:color="auto" w:sz="4" w:space="0"/>
              <w:right w:val="single" w:color="auto" w:sz="4" w:space="0"/>
            </w:tcBorders>
            <w:vAlign w:val="center"/>
          </w:tcPr>
          <w:p w14:paraId="7F972807">
            <w:pPr>
              <w:widowControl/>
              <w:spacing w:line="360" w:lineRule="auto"/>
              <w:jc w:val="center"/>
              <w:textAlignment w:val="center"/>
              <w:rPr>
                <w:rFonts w:ascii="宋体" w:hAnsi="宋体" w:cs="宋体"/>
                <w:color w:val="auto"/>
                <w:sz w:val="20"/>
                <w:szCs w:val="21"/>
                <w:highlight w:val="none"/>
              </w:rPr>
            </w:pPr>
          </w:p>
        </w:tc>
        <w:tc>
          <w:tcPr>
            <w:tcW w:w="989" w:type="dxa"/>
            <w:tcBorders>
              <w:top w:val="single" w:color="auto" w:sz="4" w:space="0"/>
              <w:left w:val="single" w:color="auto" w:sz="4" w:space="0"/>
              <w:bottom w:val="single" w:color="auto" w:sz="4" w:space="0"/>
              <w:right w:val="single" w:color="auto" w:sz="4" w:space="0"/>
            </w:tcBorders>
            <w:vAlign w:val="center"/>
          </w:tcPr>
          <w:p w14:paraId="34E3F729">
            <w:pPr>
              <w:widowControl/>
              <w:spacing w:line="360" w:lineRule="auto"/>
              <w:jc w:val="center"/>
              <w:textAlignment w:val="center"/>
              <w:rPr>
                <w:rFonts w:ascii="宋体" w:hAnsi="宋体" w:cs="宋体"/>
                <w:color w:val="auto"/>
                <w:sz w:val="20"/>
                <w:szCs w:val="21"/>
                <w:highlight w:val="none"/>
              </w:rPr>
            </w:pPr>
          </w:p>
        </w:tc>
        <w:tc>
          <w:tcPr>
            <w:tcW w:w="1434" w:type="dxa"/>
            <w:tcBorders>
              <w:top w:val="single" w:color="auto" w:sz="4" w:space="0"/>
              <w:left w:val="single" w:color="auto" w:sz="4" w:space="0"/>
              <w:bottom w:val="single" w:color="auto" w:sz="4" w:space="0"/>
              <w:right w:val="single" w:color="auto" w:sz="4" w:space="0"/>
            </w:tcBorders>
            <w:vAlign w:val="center"/>
          </w:tcPr>
          <w:p w14:paraId="24794EDF">
            <w:pPr>
              <w:widowControl/>
              <w:spacing w:line="360" w:lineRule="auto"/>
              <w:jc w:val="center"/>
              <w:textAlignment w:val="center"/>
              <w:rPr>
                <w:rFonts w:ascii="宋体" w:hAnsi="宋体" w:cs="宋体"/>
                <w:color w:val="auto"/>
                <w:sz w:val="20"/>
                <w:szCs w:val="21"/>
                <w:highlight w:val="none"/>
              </w:rPr>
            </w:pPr>
          </w:p>
        </w:tc>
      </w:tr>
      <w:tr w14:paraId="33FDFC2F">
        <w:tblPrEx>
          <w:tblCellMar>
            <w:top w:w="15" w:type="dxa"/>
            <w:left w:w="15" w:type="dxa"/>
            <w:bottom w:w="15" w:type="dxa"/>
            <w:right w:w="15" w:type="dxa"/>
          </w:tblCellMar>
        </w:tblPrEx>
        <w:trPr>
          <w:trHeight w:val="1545" w:hRule="atLeast"/>
        </w:trPr>
        <w:tc>
          <w:tcPr>
            <w:tcW w:w="1276" w:type="dxa"/>
            <w:tcBorders>
              <w:top w:val="single" w:color="auto" w:sz="4" w:space="0"/>
              <w:left w:val="single" w:color="auto" w:sz="4" w:space="0"/>
              <w:bottom w:val="single" w:color="auto" w:sz="4" w:space="0"/>
              <w:right w:val="single" w:color="auto" w:sz="4" w:space="0"/>
            </w:tcBorders>
            <w:vAlign w:val="center"/>
          </w:tcPr>
          <w:p w14:paraId="0F3E73C4">
            <w:pPr>
              <w:widowControl/>
              <w:spacing w:line="360" w:lineRule="auto"/>
              <w:jc w:val="center"/>
              <w:textAlignment w:val="baseline"/>
              <w:rPr>
                <w:rFonts w:ascii="宋体" w:hAnsi="宋体" w:cs="宋体"/>
                <w:color w:val="auto"/>
                <w:sz w:val="20"/>
                <w:highlight w:val="none"/>
              </w:rPr>
            </w:pPr>
          </w:p>
        </w:tc>
        <w:tc>
          <w:tcPr>
            <w:tcW w:w="4057" w:type="dxa"/>
            <w:tcBorders>
              <w:top w:val="single" w:color="auto" w:sz="4" w:space="0"/>
              <w:left w:val="single" w:color="auto" w:sz="4" w:space="0"/>
              <w:bottom w:val="single" w:color="auto" w:sz="4" w:space="0"/>
              <w:right w:val="single" w:color="auto" w:sz="4" w:space="0"/>
            </w:tcBorders>
            <w:vAlign w:val="center"/>
          </w:tcPr>
          <w:p w14:paraId="63064224">
            <w:pPr>
              <w:widowControl/>
              <w:spacing w:line="360" w:lineRule="auto"/>
              <w:textAlignment w:val="baseline"/>
              <w:rPr>
                <w:rFonts w:ascii="宋体" w:hAnsi="宋体" w:cs="宋体"/>
                <w:color w:val="auto"/>
                <w:sz w:val="20"/>
                <w:highlight w:val="none"/>
              </w:rPr>
            </w:pPr>
          </w:p>
        </w:tc>
        <w:tc>
          <w:tcPr>
            <w:tcW w:w="933" w:type="dxa"/>
            <w:tcBorders>
              <w:top w:val="single" w:color="auto" w:sz="4" w:space="0"/>
              <w:left w:val="single" w:color="auto" w:sz="4" w:space="0"/>
              <w:bottom w:val="single" w:color="auto" w:sz="4" w:space="0"/>
              <w:right w:val="single" w:color="auto" w:sz="4" w:space="0"/>
            </w:tcBorders>
            <w:vAlign w:val="center"/>
          </w:tcPr>
          <w:p w14:paraId="252C1BD2">
            <w:pPr>
              <w:widowControl/>
              <w:spacing w:line="360" w:lineRule="auto"/>
              <w:jc w:val="center"/>
              <w:textAlignment w:val="center"/>
              <w:rPr>
                <w:rFonts w:ascii="宋体" w:hAnsi="宋体" w:cs="宋体"/>
                <w:color w:val="auto"/>
                <w:sz w:val="20"/>
                <w:szCs w:val="21"/>
                <w:highlight w:val="none"/>
              </w:rPr>
            </w:pPr>
          </w:p>
        </w:tc>
        <w:tc>
          <w:tcPr>
            <w:tcW w:w="1117" w:type="dxa"/>
            <w:tcBorders>
              <w:top w:val="single" w:color="auto" w:sz="4" w:space="0"/>
              <w:left w:val="single" w:color="auto" w:sz="4" w:space="0"/>
              <w:bottom w:val="single" w:color="auto" w:sz="4" w:space="0"/>
              <w:right w:val="single" w:color="auto" w:sz="4" w:space="0"/>
            </w:tcBorders>
            <w:vAlign w:val="center"/>
          </w:tcPr>
          <w:p w14:paraId="2A68D3B1">
            <w:pPr>
              <w:widowControl/>
              <w:spacing w:line="360" w:lineRule="auto"/>
              <w:jc w:val="center"/>
              <w:textAlignment w:val="center"/>
              <w:rPr>
                <w:rFonts w:ascii="宋体" w:hAnsi="宋体" w:cs="宋体"/>
                <w:color w:val="auto"/>
                <w:sz w:val="20"/>
                <w:szCs w:val="21"/>
                <w:highlight w:val="none"/>
              </w:rPr>
            </w:pPr>
          </w:p>
        </w:tc>
        <w:tc>
          <w:tcPr>
            <w:tcW w:w="989" w:type="dxa"/>
            <w:tcBorders>
              <w:top w:val="single" w:color="auto" w:sz="4" w:space="0"/>
              <w:left w:val="single" w:color="auto" w:sz="4" w:space="0"/>
              <w:bottom w:val="single" w:color="auto" w:sz="4" w:space="0"/>
              <w:right w:val="single" w:color="auto" w:sz="4" w:space="0"/>
            </w:tcBorders>
            <w:vAlign w:val="center"/>
          </w:tcPr>
          <w:p w14:paraId="1B9A95E0">
            <w:pPr>
              <w:widowControl/>
              <w:spacing w:line="360" w:lineRule="auto"/>
              <w:jc w:val="center"/>
              <w:textAlignment w:val="center"/>
              <w:rPr>
                <w:rFonts w:ascii="宋体" w:hAnsi="宋体" w:cs="宋体"/>
                <w:color w:val="auto"/>
                <w:sz w:val="20"/>
                <w:szCs w:val="21"/>
                <w:highlight w:val="none"/>
              </w:rPr>
            </w:pPr>
          </w:p>
        </w:tc>
        <w:tc>
          <w:tcPr>
            <w:tcW w:w="1434" w:type="dxa"/>
            <w:tcBorders>
              <w:top w:val="single" w:color="auto" w:sz="4" w:space="0"/>
              <w:left w:val="single" w:color="auto" w:sz="4" w:space="0"/>
              <w:bottom w:val="single" w:color="auto" w:sz="4" w:space="0"/>
              <w:right w:val="single" w:color="auto" w:sz="4" w:space="0"/>
            </w:tcBorders>
            <w:vAlign w:val="center"/>
          </w:tcPr>
          <w:p w14:paraId="752AB9F5">
            <w:pPr>
              <w:widowControl/>
              <w:spacing w:line="360" w:lineRule="auto"/>
              <w:jc w:val="center"/>
              <w:textAlignment w:val="center"/>
              <w:rPr>
                <w:rFonts w:ascii="宋体" w:hAnsi="宋体" w:cs="宋体"/>
                <w:color w:val="auto"/>
                <w:sz w:val="20"/>
                <w:szCs w:val="21"/>
                <w:highlight w:val="none"/>
              </w:rPr>
            </w:pPr>
          </w:p>
        </w:tc>
      </w:tr>
      <w:tr w14:paraId="38425236">
        <w:tblPrEx>
          <w:tblCellMar>
            <w:top w:w="15" w:type="dxa"/>
            <w:left w:w="15" w:type="dxa"/>
            <w:bottom w:w="15" w:type="dxa"/>
            <w:right w:w="15" w:type="dxa"/>
          </w:tblCellMar>
        </w:tblPrEx>
        <w:trPr>
          <w:trHeight w:val="1320" w:hRule="atLeast"/>
        </w:trPr>
        <w:tc>
          <w:tcPr>
            <w:tcW w:w="1276" w:type="dxa"/>
            <w:tcBorders>
              <w:top w:val="single" w:color="auto" w:sz="4" w:space="0"/>
              <w:left w:val="single" w:color="auto" w:sz="4" w:space="0"/>
              <w:bottom w:val="single" w:color="auto" w:sz="4" w:space="0"/>
              <w:right w:val="single" w:color="auto" w:sz="4" w:space="0"/>
            </w:tcBorders>
            <w:vAlign w:val="center"/>
          </w:tcPr>
          <w:p w14:paraId="67B74856">
            <w:pPr>
              <w:widowControl/>
              <w:spacing w:line="360" w:lineRule="auto"/>
              <w:jc w:val="center"/>
              <w:textAlignment w:val="baseline"/>
              <w:rPr>
                <w:rFonts w:ascii="宋体" w:hAnsi="宋体" w:cs="宋体"/>
                <w:color w:val="auto"/>
                <w:sz w:val="20"/>
                <w:highlight w:val="none"/>
              </w:rPr>
            </w:pPr>
            <w:r>
              <w:rPr>
                <w:rFonts w:hint="eastAsia" w:ascii="宋体" w:hAnsi="宋体" w:cs="宋体"/>
                <w:color w:val="auto"/>
                <w:sz w:val="20"/>
                <w:highlight w:val="none"/>
              </w:rPr>
              <w:t>…</w:t>
            </w:r>
          </w:p>
        </w:tc>
        <w:tc>
          <w:tcPr>
            <w:tcW w:w="4057" w:type="dxa"/>
            <w:tcBorders>
              <w:top w:val="single" w:color="auto" w:sz="4" w:space="0"/>
              <w:left w:val="single" w:color="auto" w:sz="4" w:space="0"/>
              <w:bottom w:val="single" w:color="auto" w:sz="4" w:space="0"/>
              <w:right w:val="single" w:color="auto" w:sz="4" w:space="0"/>
            </w:tcBorders>
            <w:vAlign w:val="center"/>
          </w:tcPr>
          <w:p w14:paraId="6AB299C7">
            <w:pPr>
              <w:widowControl/>
              <w:spacing w:line="380" w:lineRule="exact"/>
              <w:jc w:val="left"/>
              <w:textAlignment w:val="baseline"/>
              <w:rPr>
                <w:rFonts w:ascii="宋体" w:hAnsi="宋体" w:cs="宋体"/>
                <w:color w:val="auto"/>
                <w:sz w:val="20"/>
                <w:highlight w:val="none"/>
              </w:rPr>
            </w:pPr>
          </w:p>
        </w:tc>
        <w:tc>
          <w:tcPr>
            <w:tcW w:w="933" w:type="dxa"/>
            <w:tcBorders>
              <w:top w:val="single" w:color="auto" w:sz="4" w:space="0"/>
              <w:left w:val="single" w:color="auto" w:sz="4" w:space="0"/>
              <w:bottom w:val="single" w:color="auto" w:sz="4" w:space="0"/>
              <w:right w:val="single" w:color="auto" w:sz="4" w:space="0"/>
            </w:tcBorders>
            <w:vAlign w:val="center"/>
          </w:tcPr>
          <w:p w14:paraId="31358264">
            <w:pPr>
              <w:widowControl/>
              <w:spacing w:line="360" w:lineRule="auto"/>
              <w:jc w:val="center"/>
              <w:textAlignment w:val="center"/>
              <w:rPr>
                <w:rFonts w:ascii="宋体" w:hAnsi="宋体" w:cs="宋体"/>
                <w:color w:val="auto"/>
                <w:sz w:val="20"/>
                <w:szCs w:val="21"/>
                <w:highlight w:val="none"/>
              </w:rPr>
            </w:pPr>
          </w:p>
        </w:tc>
        <w:tc>
          <w:tcPr>
            <w:tcW w:w="1117" w:type="dxa"/>
            <w:tcBorders>
              <w:top w:val="single" w:color="auto" w:sz="4" w:space="0"/>
              <w:left w:val="single" w:color="auto" w:sz="4" w:space="0"/>
              <w:bottom w:val="single" w:color="auto" w:sz="4" w:space="0"/>
              <w:right w:val="single" w:color="auto" w:sz="4" w:space="0"/>
            </w:tcBorders>
            <w:vAlign w:val="center"/>
          </w:tcPr>
          <w:p w14:paraId="64AFD60E">
            <w:pPr>
              <w:widowControl/>
              <w:spacing w:line="360" w:lineRule="auto"/>
              <w:jc w:val="center"/>
              <w:textAlignment w:val="center"/>
              <w:rPr>
                <w:rFonts w:ascii="宋体" w:hAnsi="宋体" w:cs="宋体"/>
                <w:color w:val="auto"/>
                <w:sz w:val="20"/>
                <w:szCs w:val="21"/>
                <w:highlight w:val="none"/>
              </w:rPr>
            </w:pPr>
          </w:p>
        </w:tc>
        <w:tc>
          <w:tcPr>
            <w:tcW w:w="989" w:type="dxa"/>
            <w:tcBorders>
              <w:top w:val="single" w:color="auto" w:sz="4" w:space="0"/>
              <w:left w:val="single" w:color="auto" w:sz="4" w:space="0"/>
              <w:bottom w:val="single" w:color="auto" w:sz="4" w:space="0"/>
              <w:right w:val="single" w:color="auto" w:sz="4" w:space="0"/>
            </w:tcBorders>
            <w:vAlign w:val="center"/>
          </w:tcPr>
          <w:p w14:paraId="3D08FBDC">
            <w:pPr>
              <w:widowControl/>
              <w:spacing w:line="360" w:lineRule="auto"/>
              <w:jc w:val="center"/>
              <w:textAlignment w:val="center"/>
              <w:rPr>
                <w:rFonts w:ascii="宋体" w:hAnsi="宋体" w:cs="宋体"/>
                <w:color w:val="auto"/>
                <w:sz w:val="20"/>
                <w:szCs w:val="21"/>
                <w:highlight w:val="none"/>
              </w:rPr>
            </w:pPr>
          </w:p>
        </w:tc>
        <w:tc>
          <w:tcPr>
            <w:tcW w:w="1434" w:type="dxa"/>
            <w:tcBorders>
              <w:top w:val="single" w:color="auto" w:sz="4" w:space="0"/>
              <w:left w:val="single" w:color="auto" w:sz="4" w:space="0"/>
              <w:bottom w:val="single" w:color="auto" w:sz="4" w:space="0"/>
              <w:right w:val="single" w:color="auto" w:sz="4" w:space="0"/>
            </w:tcBorders>
            <w:vAlign w:val="center"/>
          </w:tcPr>
          <w:p w14:paraId="095C05C6">
            <w:pPr>
              <w:widowControl/>
              <w:spacing w:line="360" w:lineRule="auto"/>
              <w:jc w:val="center"/>
              <w:textAlignment w:val="center"/>
              <w:rPr>
                <w:rFonts w:ascii="宋体" w:hAnsi="宋体" w:cs="宋体"/>
                <w:color w:val="auto"/>
                <w:sz w:val="20"/>
                <w:szCs w:val="21"/>
                <w:highlight w:val="none"/>
              </w:rPr>
            </w:pPr>
          </w:p>
        </w:tc>
      </w:tr>
    </w:tbl>
    <w:p w14:paraId="026D5F95">
      <w:pPr>
        <w:spacing w:line="440" w:lineRule="exact"/>
        <w:textAlignment w:val="baseline"/>
        <w:rPr>
          <w:rFonts w:ascii="宋体" w:hAnsi="宋体" w:cs="宋体"/>
          <w:b/>
          <w:bCs/>
          <w:color w:val="auto"/>
          <w:sz w:val="20"/>
          <w:szCs w:val="21"/>
          <w:highlight w:val="none"/>
        </w:rPr>
      </w:pPr>
      <w:r>
        <w:rPr>
          <w:rFonts w:hint="eastAsia" w:ascii="宋体" w:hAnsi="宋体" w:cs="宋体"/>
          <w:b/>
          <w:bCs/>
          <w:color w:val="auto"/>
          <w:szCs w:val="21"/>
          <w:highlight w:val="none"/>
        </w:rPr>
        <w:t>注：评审项目、评分标准、分值对应“第五章  评标原则及方法”技术资信分评审内容。</w:t>
      </w:r>
    </w:p>
    <w:p w14:paraId="596FD6C5">
      <w:pPr>
        <w:spacing w:line="440" w:lineRule="exact"/>
        <w:ind w:firstLine="4860"/>
        <w:textAlignment w:val="baseline"/>
        <w:rPr>
          <w:rFonts w:ascii="宋体" w:hAnsi="宋体" w:cs="宋体"/>
          <w:b/>
          <w:bCs/>
          <w:color w:val="auto"/>
          <w:sz w:val="20"/>
          <w:szCs w:val="21"/>
          <w:highlight w:val="none"/>
        </w:rPr>
      </w:pPr>
    </w:p>
    <w:p w14:paraId="15F8BCD2">
      <w:pPr>
        <w:spacing w:line="440" w:lineRule="exact"/>
        <w:ind w:firstLine="4860"/>
        <w:textAlignment w:val="baseline"/>
        <w:rPr>
          <w:rFonts w:ascii="宋体" w:hAnsi="宋体" w:cs="宋体"/>
          <w:b/>
          <w:bCs/>
          <w:color w:val="auto"/>
          <w:sz w:val="20"/>
          <w:szCs w:val="21"/>
          <w:highlight w:val="none"/>
        </w:rPr>
      </w:pPr>
    </w:p>
    <w:p w14:paraId="19C5173D">
      <w:pPr>
        <w:spacing w:line="440" w:lineRule="exact"/>
        <w:ind w:firstLine="4860"/>
        <w:jc w:val="left"/>
        <w:textAlignment w:val="baseline"/>
        <w:rPr>
          <w:rFonts w:ascii="宋体" w:hAnsi="宋体" w:cs="宋体"/>
          <w:b/>
          <w:bCs/>
          <w:color w:val="auto"/>
          <w:sz w:val="20"/>
          <w:szCs w:val="21"/>
          <w:highlight w:val="none"/>
          <w:u w:val="single" w:color="000000"/>
        </w:rPr>
      </w:pPr>
      <w:r>
        <w:rPr>
          <w:rFonts w:hint="eastAsia" w:ascii="宋体" w:hAnsi="宋体" w:cs="宋体"/>
          <w:b/>
          <w:bCs/>
          <w:color w:val="auto"/>
          <w:sz w:val="24"/>
          <w:highlight w:val="none"/>
        </w:rPr>
        <w:t>供应商名称（盖章）：</w:t>
      </w:r>
      <w:r>
        <w:rPr>
          <w:rFonts w:hint="eastAsia" w:ascii="宋体" w:hAnsi="宋体" w:cs="宋体"/>
          <w:b/>
          <w:bCs/>
          <w:color w:val="auto"/>
          <w:szCs w:val="21"/>
          <w:highlight w:val="none"/>
          <w:u w:val="single" w:color="000000"/>
        </w:rPr>
        <w:t xml:space="preserve">                               </w:t>
      </w:r>
    </w:p>
    <w:p w14:paraId="1A30B029">
      <w:pPr>
        <w:spacing w:line="440" w:lineRule="exact"/>
        <w:ind w:firstLine="4860"/>
        <w:jc w:val="left"/>
        <w:textAlignment w:val="baseline"/>
        <w:rPr>
          <w:rFonts w:ascii="宋体" w:hAnsi="宋体" w:cs="宋体"/>
          <w:color w:val="auto"/>
          <w:sz w:val="20"/>
          <w:szCs w:val="21"/>
          <w:highlight w:val="none"/>
          <w:u w:val="single" w:color="000000"/>
        </w:rPr>
      </w:pPr>
      <w:r>
        <w:rPr>
          <w:rFonts w:hint="eastAsia" w:ascii="宋体" w:hAnsi="宋体" w:cs="宋体"/>
          <w:b/>
          <w:bCs/>
          <w:color w:val="auto"/>
          <w:szCs w:val="21"/>
          <w:highlight w:val="none"/>
        </w:rPr>
        <w:t>日   期：    年     月     日</w:t>
      </w:r>
      <w:r>
        <w:rPr>
          <w:rFonts w:hint="eastAsia" w:ascii="宋体" w:hAnsi="宋体" w:cs="宋体"/>
          <w:color w:val="auto"/>
          <w:szCs w:val="21"/>
          <w:highlight w:val="none"/>
        </w:rPr>
        <w:t xml:space="preserve">                            </w:t>
      </w:r>
    </w:p>
    <w:p w14:paraId="01CDCE2A">
      <w:pPr>
        <w:pStyle w:val="30"/>
        <w:spacing w:line="360" w:lineRule="auto"/>
        <w:ind w:firstLine="44"/>
        <w:textAlignment w:val="baseline"/>
        <w:rPr>
          <w:rFonts w:ascii="宋体" w:hAnsi="宋体" w:eastAsia="宋体"/>
          <w:color w:val="auto"/>
          <w:sz w:val="22"/>
          <w:szCs w:val="22"/>
          <w:highlight w:val="none"/>
          <w:u w:val="single" w:color="000000"/>
        </w:rPr>
      </w:pPr>
    </w:p>
    <w:p w14:paraId="4874633B">
      <w:pPr>
        <w:spacing w:line="360" w:lineRule="auto"/>
        <w:ind w:firstLine="442" w:firstLineChars="200"/>
        <w:jc w:val="left"/>
        <w:textAlignment w:val="baseline"/>
        <w:outlineLvl w:val="0"/>
        <w:rPr>
          <w:rFonts w:hint="eastAsia" w:ascii="宋体" w:hAnsi="宋体" w:cs="宋体"/>
          <w:b/>
          <w:bCs/>
          <w:color w:val="auto"/>
          <w:sz w:val="22"/>
          <w:highlight w:val="none"/>
        </w:rPr>
      </w:pPr>
    </w:p>
    <w:p w14:paraId="35F5663E">
      <w:pPr>
        <w:pStyle w:val="11"/>
        <w:rPr>
          <w:rFonts w:hint="eastAsia" w:ascii="宋体" w:hAnsi="宋体" w:cs="宋体"/>
          <w:b/>
          <w:bCs/>
          <w:color w:val="auto"/>
          <w:sz w:val="22"/>
          <w:highlight w:val="none"/>
        </w:rPr>
      </w:pPr>
    </w:p>
    <w:p w14:paraId="2D63F6B4">
      <w:pPr>
        <w:pStyle w:val="49"/>
        <w:rPr>
          <w:rFonts w:hint="eastAsia" w:ascii="宋体" w:hAnsi="宋体" w:cs="宋体"/>
          <w:b/>
          <w:bCs/>
          <w:color w:val="auto"/>
          <w:sz w:val="22"/>
          <w:highlight w:val="none"/>
        </w:rPr>
      </w:pPr>
    </w:p>
    <w:p w14:paraId="6EE0CE87">
      <w:pPr>
        <w:pStyle w:val="53"/>
        <w:rPr>
          <w:rFonts w:hint="eastAsia" w:ascii="宋体" w:hAnsi="宋体" w:cs="宋体"/>
          <w:b/>
          <w:bCs/>
          <w:color w:val="auto"/>
          <w:sz w:val="22"/>
          <w:highlight w:val="none"/>
        </w:rPr>
      </w:pPr>
    </w:p>
    <w:p w14:paraId="4A477CB3">
      <w:pPr>
        <w:rPr>
          <w:rFonts w:hint="eastAsia" w:ascii="宋体" w:hAnsi="宋体" w:cs="宋体"/>
          <w:b/>
          <w:bCs/>
          <w:color w:val="auto"/>
          <w:sz w:val="22"/>
          <w:highlight w:val="none"/>
        </w:rPr>
      </w:pPr>
    </w:p>
    <w:p w14:paraId="6521A99D">
      <w:pPr>
        <w:pStyle w:val="11"/>
        <w:rPr>
          <w:rFonts w:hint="eastAsia"/>
          <w:color w:val="auto"/>
          <w:highlight w:val="none"/>
        </w:rPr>
      </w:pPr>
    </w:p>
    <w:p w14:paraId="25C7ECD4">
      <w:pPr>
        <w:spacing w:line="360" w:lineRule="auto"/>
        <w:ind w:firstLine="442" w:firstLineChars="200"/>
        <w:jc w:val="left"/>
        <w:textAlignment w:val="baseline"/>
        <w:outlineLvl w:val="0"/>
        <w:rPr>
          <w:rFonts w:hint="eastAsia" w:ascii="宋体" w:hAnsi="宋体" w:cs="宋体"/>
          <w:b/>
          <w:bCs/>
          <w:color w:val="auto"/>
          <w:sz w:val="22"/>
          <w:highlight w:val="none"/>
        </w:rPr>
      </w:pPr>
    </w:p>
    <w:p w14:paraId="15F1778B">
      <w:pPr>
        <w:spacing w:line="360" w:lineRule="auto"/>
        <w:ind w:firstLine="442" w:firstLineChars="200"/>
        <w:jc w:val="left"/>
        <w:textAlignment w:val="baseline"/>
        <w:outlineLvl w:val="0"/>
        <w:rPr>
          <w:rFonts w:hint="default" w:ascii="宋体" w:hAnsi="宋体" w:eastAsia="宋体" w:cs="宋体"/>
          <w:b/>
          <w:bCs/>
          <w:color w:val="auto"/>
          <w:sz w:val="22"/>
          <w:highlight w:val="none"/>
          <w:lang w:val="en-US" w:eastAsia="zh-CN"/>
        </w:rPr>
      </w:pPr>
      <w:r>
        <w:rPr>
          <w:rFonts w:hint="eastAsia" w:ascii="宋体" w:hAnsi="宋体" w:cs="宋体"/>
          <w:b/>
          <w:bCs/>
          <w:color w:val="auto"/>
          <w:sz w:val="22"/>
          <w:highlight w:val="none"/>
        </w:rPr>
        <w:t>附件</w:t>
      </w:r>
      <w:bookmarkEnd w:id="94"/>
      <w:r>
        <w:rPr>
          <w:rFonts w:hint="eastAsia" w:ascii="宋体" w:hAnsi="宋体" w:cs="宋体"/>
          <w:b/>
          <w:bCs/>
          <w:color w:val="auto"/>
          <w:sz w:val="22"/>
          <w:highlight w:val="none"/>
          <w:lang w:val="en-US" w:eastAsia="zh-CN"/>
        </w:rPr>
        <w:t>6</w:t>
      </w:r>
    </w:p>
    <w:p w14:paraId="2691F555">
      <w:pPr>
        <w:widowControl/>
        <w:spacing w:line="420" w:lineRule="atLeast"/>
        <w:jc w:val="center"/>
        <w:textAlignment w:val="baseline"/>
        <w:rPr>
          <w:rFonts w:ascii="宋体" w:hAnsi="宋体" w:cs="宋体"/>
          <w:b/>
          <w:bCs/>
          <w:color w:val="auto"/>
          <w:kern w:val="0"/>
          <w:sz w:val="30"/>
          <w:szCs w:val="30"/>
          <w:highlight w:val="none"/>
        </w:rPr>
      </w:pPr>
      <w:r>
        <w:rPr>
          <w:rFonts w:hint="eastAsia" w:ascii="宋体" w:hAnsi="宋体" w:cs="宋体"/>
          <w:b/>
          <w:bCs/>
          <w:color w:val="auto"/>
          <w:kern w:val="0"/>
          <w:sz w:val="30"/>
          <w:szCs w:val="30"/>
          <w:highlight w:val="none"/>
        </w:rPr>
        <w:t>投标声明书</w:t>
      </w:r>
    </w:p>
    <w:p w14:paraId="6A8AE1F7">
      <w:pPr>
        <w:widowControl w:val="0"/>
        <w:spacing w:line="360" w:lineRule="auto"/>
        <w:ind w:firstLine="420" w:firstLineChars="200"/>
        <w:jc w:val="both"/>
        <w:textAlignment w:val="baseline"/>
        <w:rPr>
          <w:rFonts w:ascii="宋体" w:hAnsi="宋体" w:cs="宋体"/>
          <w:color w:val="auto"/>
          <w:sz w:val="20"/>
          <w:szCs w:val="21"/>
          <w:highlight w:val="none"/>
        </w:rPr>
      </w:pPr>
      <w:r>
        <w:rPr>
          <w:rFonts w:hint="eastAsia" w:ascii="宋体" w:hAnsi="宋体" w:cs="宋体"/>
          <w:color w:val="auto"/>
          <w:szCs w:val="21"/>
          <w:highlight w:val="none"/>
          <w:lang w:eastAsia="zh-CN"/>
        </w:rPr>
        <w:t>常山县公安局交通警察大队</w:t>
      </w:r>
      <w:r>
        <w:rPr>
          <w:rFonts w:hint="eastAsia" w:ascii="宋体" w:hAnsi="宋体" w:cs="宋体"/>
          <w:color w:val="auto"/>
          <w:szCs w:val="21"/>
          <w:highlight w:val="none"/>
        </w:rPr>
        <w:t>：</w:t>
      </w:r>
    </w:p>
    <w:p w14:paraId="76CD7FB9">
      <w:pPr>
        <w:spacing w:line="440" w:lineRule="exact"/>
        <w:ind w:firstLine="420" w:firstLineChars="200"/>
        <w:textAlignment w:val="baseline"/>
        <w:rPr>
          <w:rFonts w:ascii="宋体" w:hAnsi="宋体" w:cs="宋体"/>
          <w:color w:val="auto"/>
          <w:sz w:val="20"/>
          <w:szCs w:val="21"/>
          <w:highlight w:val="none"/>
        </w:rPr>
      </w:pPr>
      <w:r>
        <w:rPr>
          <w:rFonts w:hint="eastAsia" w:ascii="宋体" w:hAnsi="宋体" w:cs="宋体"/>
          <w:color w:val="auto"/>
          <w:szCs w:val="21"/>
          <w:highlight w:val="none"/>
        </w:rPr>
        <w:t>根据贵方为</w:t>
      </w:r>
      <w:r>
        <w:rPr>
          <w:rFonts w:hint="eastAsia" w:ascii="宋体" w:hAnsi="宋体" w:cs="宋体"/>
          <w:color w:val="auto"/>
          <w:szCs w:val="21"/>
          <w:highlight w:val="none"/>
          <w:u w:val="single"/>
          <w:lang w:eastAsia="zh-CN"/>
        </w:rPr>
        <w:t>2025年交通事故痕迹鉴定及车辆鉴定技术服务项目</w:t>
      </w:r>
      <w:r>
        <w:rPr>
          <w:rFonts w:hint="eastAsia" w:ascii="宋体" w:hAnsi="宋体" w:cs="宋体"/>
          <w:color w:val="auto"/>
          <w:szCs w:val="21"/>
          <w:highlight w:val="none"/>
          <w:u w:val="single"/>
          <w:lang w:val="en-US" w:eastAsia="zh-CN"/>
        </w:rPr>
        <w:t xml:space="preserve"> ，</w:t>
      </w:r>
      <w:r>
        <w:rPr>
          <w:rFonts w:hint="eastAsia" w:ascii="宋体" w:hAnsi="宋体" w:cs="宋体"/>
          <w:color w:val="auto"/>
          <w:kern w:val="0"/>
          <w:szCs w:val="21"/>
          <w:highlight w:val="none"/>
          <w:u w:val="single"/>
        </w:rPr>
        <w:t>（项目编号：</w:t>
      </w:r>
      <w:r>
        <w:rPr>
          <w:rFonts w:hint="eastAsia" w:ascii="宋体" w:hAnsi="宋体" w:cs="宋体"/>
          <w:color w:val="auto"/>
          <w:kern w:val="0"/>
          <w:szCs w:val="21"/>
          <w:highlight w:val="none"/>
          <w:u w:val="single"/>
          <w:lang w:eastAsia="zh-CN"/>
        </w:rPr>
        <w:t>CSKC-CS202504</w:t>
      </w:r>
      <w:r>
        <w:rPr>
          <w:rFonts w:hint="eastAsia" w:ascii="宋体" w:hAnsi="宋体" w:cs="宋体"/>
          <w:color w:val="auto"/>
          <w:kern w:val="0"/>
          <w:szCs w:val="21"/>
          <w:highlight w:val="none"/>
          <w:u w:val="single"/>
        </w:rPr>
        <w:t>）</w:t>
      </w:r>
      <w:r>
        <w:rPr>
          <w:rFonts w:hint="eastAsia" w:ascii="宋体" w:hAnsi="宋体" w:cs="宋体"/>
          <w:color w:val="auto"/>
          <w:szCs w:val="21"/>
          <w:highlight w:val="none"/>
        </w:rPr>
        <w:t>的招标文件，我方</w:t>
      </w:r>
      <w:r>
        <w:rPr>
          <w:rFonts w:hint="eastAsia" w:ascii="宋体" w:hAnsi="宋体" w:cs="宋体"/>
          <w:color w:val="auto"/>
          <w:szCs w:val="21"/>
          <w:highlight w:val="none"/>
          <w:u w:val="single" w:color="000000"/>
        </w:rPr>
        <w:t>　　</w:t>
      </w:r>
      <w:r>
        <w:rPr>
          <w:rFonts w:hint="eastAsia" w:ascii="宋体" w:hAnsi="宋体" w:cs="宋体"/>
          <w:color w:val="auto"/>
          <w:szCs w:val="21"/>
          <w:highlight w:val="none"/>
          <w:u w:val="single" w:color="000000"/>
          <w:lang w:val="en-US" w:eastAsia="zh-CN"/>
        </w:rPr>
        <w:t xml:space="preserve">     </w:t>
      </w:r>
      <w:r>
        <w:rPr>
          <w:rFonts w:hint="eastAsia" w:ascii="宋体" w:hAnsi="宋体" w:cs="宋体"/>
          <w:color w:val="auto"/>
          <w:szCs w:val="21"/>
          <w:highlight w:val="none"/>
        </w:rPr>
        <w:t>（</w:t>
      </w:r>
      <w:r>
        <w:rPr>
          <w:rFonts w:hint="eastAsia" w:ascii="宋体" w:hAnsi="宋体" w:cs="宋体"/>
          <w:color w:val="auto"/>
          <w:szCs w:val="21"/>
          <w:highlight w:val="none"/>
          <w:lang w:eastAsia="zh-CN"/>
        </w:rPr>
        <w:t>供应商</w:t>
      </w:r>
      <w:r>
        <w:rPr>
          <w:rFonts w:hint="eastAsia" w:ascii="宋体" w:hAnsi="宋体" w:cs="宋体"/>
          <w:color w:val="auto"/>
          <w:szCs w:val="21"/>
          <w:highlight w:val="none"/>
        </w:rPr>
        <w:t>名称）作为</w:t>
      </w:r>
      <w:r>
        <w:rPr>
          <w:rFonts w:hint="eastAsia" w:ascii="宋体" w:hAnsi="宋体" w:cs="宋体"/>
          <w:color w:val="auto"/>
          <w:szCs w:val="21"/>
          <w:highlight w:val="none"/>
          <w:lang w:eastAsia="zh-CN"/>
        </w:rPr>
        <w:t>供应商</w:t>
      </w:r>
      <w:r>
        <w:rPr>
          <w:rFonts w:hint="eastAsia" w:ascii="宋体" w:hAnsi="宋体" w:cs="宋体"/>
          <w:color w:val="auto"/>
          <w:szCs w:val="21"/>
          <w:highlight w:val="none"/>
        </w:rPr>
        <w:t>正式授权</w:t>
      </w:r>
      <w:r>
        <w:rPr>
          <w:rFonts w:hint="eastAsia" w:ascii="宋体" w:hAnsi="宋体" w:cs="宋体"/>
          <w:color w:val="auto"/>
          <w:szCs w:val="21"/>
          <w:highlight w:val="none"/>
          <w:u w:val="single" w:color="000000"/>
        </w:rPr>
        <w:t>　   （</w:t>
      </w:r>
      <w:r>
        <w:rPr>
          <w:rFonts w:hint="eastAsia" w:ascii="宋体" w:hAnsi="宋体" w:cs="宋体"/>
          <w:color w:val="auto"/>
          <w:szCs w:val="21"/>
          <w:highlight w:val="none"/>
        </w:rPr>
        <w:t>授权代表全名，职务）代表我方处理有关本投标的一切事宜。</w:t>
      </w:r>
    </w:p>
    <w:p w14:paraId="21CF6EC9">
      <w:pPr>
        <w:pStyle w:val="8"/>
        <w:spacing w:line="440" w:lineRule="exact"/>
        <w:ind w:firstLine="440"/>
        <w:textAlignment w:val="baseline"/>
        <w:rPr>
          <w:rFonts w:ascii="宋体" w:hAnsi="宋体" w:cs="宋体"/>
          <w:color w:val="auto"/>
          <w:szCs w:val="21"/>
          <w:highlight w:val="none"/>
        </w:rPr>
      </w:pPr>
      <w:r>
        <w:rPr>
          <w:rFonts w:hint="eastAsia" w:ascii="宋体" w:hAnsi="宋体" w:cs="宋体"/>
          <w:color w:val="auto"/>
          <w:szCs w:val="21"/>
          <w:highlight w:val="none"/>
        </w:rPr>
        <w:t>在此</w:t>
      </w:r>
      <w:r>
        <w:rPr>
          <w:rFonts w:hint="eastAsia" w:ascii="宋体" w:hAnsi="宋体" w:cs="宋体"/>
          <w:color w:val="auto"/>
          <w:spacing w:val="-3"/>
          <w:highlight w:val="none"/>
        </w:rPr>
        <w:t>提</w:t>
      </w:r>
      <w:r>
        <w:rPr>
          <w:rFonts w:hint="eastAsia" w:ascii="宋体" w:hAnsi="宋体" w:cs="宋体"/>
          <w:color w:val="auto"/>
          <w:highlight w:val="none"/>
        </w:rPr>
        <w:t>供</w:t>
      </w:r>
      <w:r>
        <w:rPr>
          <w:rFonts w:hint="eastAsia" w:ascii="宋体" w:hAnsi="宋体" w:cs="宋体"/>
          <w:color w:val="auto"/>
          <w:spacing w:val="-3"/>
          <w:highlight w:val="none"/>
          <w:lang w:eastAsia="zh-CN"/>
        </w:rPr>
        <w:t>供应商</w:t>
      </w:r>
      <w:r>
        <w:rPr>
          <w:rFonts w:hint="eastAsia" w:ascii="宋体" w:hAnsi="宋体" w:cs="宋体"/>
          <w:color w:val="auto"/>
          <w:highlight w:val="none"/>
        </w:rPr>
        <w:t>须知规</w:t>
      </w:r>
      <w:r>
        <w:rPr>
          <w:rFonts w:hint="eastAsia" w:ascii="宋体" w:hAnsi="宋体" w:cs="宋体"/>
          <w:color w:val="auto"/>
          <w:spacing w:val="-3"/>
          <w:highlight w:val="none"/>
        </w:rPr>
        <w:t>定的</w:t>
      </w:r>
      <w:r>
        <w:rPr>
          <w:rFonts w:hint="eastAsia" w:ascii="宋体" w:hAnsi="宋体" w:cs="宋体"/>
          <w:color w:val="auto"/>
          <w:highlight w:val="none"/>
        </w:rPr>
        <w:t>全部</w:t>
      </w:r>
      <w:r>
        <w:rPr>
          <w:rFonts w:hint="eastAsia" w:ascii="宋体" w:hAnsi="宋体" w:cs="宋体"/>
          <w:color w:val="auto"/>
          <w:spacing w:val="-3"/>
          <w:highlight w:val="none"/>
          <w:lang w:eastAsia="zh-CN"/>
        </w:rPr>
        <w:t>响应文件</w:t>
      </w:r>
      <w:r>
        <w:rPr>
          <w:rFonts w:hint="eastAsia" w:ascii="宋体" w:hAnsi="宋体" w:cs="宋体"/>
          <w:color w:val="auto"/>
          <w:highlight w:val="none"/>
        </w:rPr>
        <w:t>。</w:t>
      </w:r>
    </w:p>
    <w:p w14:paraId="593B1D9B">
      <w:pPr>
        <w:spacing w:line="440" w:lineRule="exact"/>
        <w:ind w:firstLine="420" w:firstLineChars="200"/>
        <w:textAlignment w:val="baseline"/>
        <w:rPr>
          <w:rFonts w:ascii="宋体" w:hAnsi="宋体" w:cs="宋体"/>
          <w:color w:val="auto"/>
          <w:sz w:val="20"/>
          <w:szCs w:val="21"/>
          <w:highlight w:val="none"/>
        </w:rPr>
      </w:pPr>
      <w:r>
        <w:rPr>
          <w:rFonts w:hint="eastAsia" w:ascii="宋体" w:hAnsi="宋体" w:cs="宋体"/>
          <w:color w:val="auto"/>
          <w:szCs w:val="21"/>
          <w:highlight w:val="none"/>
        </w:rPr>
        <w:t>我方己完全明白招标文件的所有条款要求，并重申以下几点：</w:t>
      </w:r>
    </w:p>
    <w:p w14:paraId="16823141">
      <w:pPr>
        <w:spacing w:line="440" w:lineRule="exact"/>
        <w:ind w:firstLine="420" w:firstLineChars="200"/>
        <w:textAlignment w:val="baseline"/>
        <w:rPr>
          <w:rFonts w:ascii="宋体" w:hAnsi="宋体" w:cs="宋体"/>
          <w:color w:val="auto"/>
          <w:sz w:val="20"/>
          <w:szCs w:val="21"/>
          <w:highlight w:val="none"/>
        </w:rPr>
      </w:pPr>
      <w:r>
        <w:rPr>
          <w:rFonts w:hint="eastAsia" w:ascii="宋体" w:hAnsi="宋体" w:cs="宋体"/>
          <w:color w:val="auto"/>
          <w:szCs w:val="21"/>
          <w:highlight w:val="none"/>
        </w:rPr>
        <w:t>（一）</w:t>
      </w:r>
      <w:r>
        <w:rPr>
          <w:rFonts w:hint="eastAsia" w:ascii="宋体" w:hAnsi="宋体" w:cs="宋体"/>
          <w:color w:val="auto"/>
          <w:szCs w:val="21"/>
          <w:highlight w:val="none"/>
          <w:lang w:eastAsia="zh-CN"/>
        </w:rPr>
        <w:t>供应商</w:t>
      </w:r>
      <w:r>
        <w:rPr>
          <w:rFonts w:hint="eastAsia" w:ascii="宋体" w:hAnsi="宋体" w:cs="宋体"/>
          <w:color w:val="auto"/>
          <w:szCs w:val="21"/>
          <w:highlight w:val="none"/>
        </w:rPr>
        <w:t>已详细审查全部“</w:t>
      </w:r>
      <w:r>
        <w:rPr>
          <w:rFonts w:hint="eastAsia" w:ascii="宋体" w:hAnsi="宋体" w:cs="宋体"/>
          <w:color w:val="auto"/>
          <w:szCs w:val="21"/>
          <w:highlight w:val="none"/>
          <w:lang w:eastAsia="zh-CN"/>
        </w:rPr>
        <w:t>磋商</w:t>
      </w:r>
      <w:r>
        <w:rPr>
          <w:rFonts w:hint="eastAsia" w:ascii="宋体" w:hAnsi="宋体" w:cs="宋体"/>
          <w:color w:val="auto"/>
          <w:szCs w:val="21"/>
          <w:highlight w:val="none"/>
        </w:rPr>
        <w:t>文件”，包括修改、澄清文件（如有的话）以及全部参考资料和有关附件，已经了解我方对于招标文件、采购过程、采购结果有依法进行询问、质疑、投诉的权利及相关渠道和要求。</w:t>
      </w:r>
    </w:p>
    <w:p w14:paraId="7035E239">
      <w:pPr>
        <w:spacing w:line="440" w:lineRule="exact"/>
        <w:ind w:firstLine="420" w:firstLineChars="200"/>
        <w:textAlignment w:val="baseline"/>
        <w:rPr>
          <w:rFonts w:ascii="宋体" w:hAnsi="宋体" w:cs="宋体"/>
          <w:color w:val="auto"/>
          <w:sz w:val="20"/>
          <w:szCs w:val="21"/>
          <w:highlight w:val="none"/>
        </w:rPr>
      </w:pPr>
      <w:r>
        <w:rPr>
          <w:rFonts w:hint="eastAsia" w:ascii="宋体" w:hAnsi="宋体" w:cs="宋体"/>
          <w:color w:val="auto"/>
          <w:szCs w:val="21"/>
          <w:highlight w:val="none"/>
        </w:rPr>
        <w:t>（二）</w:t>
      </w:r>
      <w:r>
        <w:rPr>
          <w:rFonts w:hint="eastAsia" w:ascii="宋体" w:hAnsi="宋体" w:cs="宋体"/>
          <w:color w:val="auto"/>
          <w:szCs w:val="21"/>
          <w:highlight w:val="none"/>
          <w:lang w:eastAsia="zh-CN"/>
        </w:rPr>
        <w:t>供应商</w:t>
      </w:r>
      <w:r>
        <w:rPr>
          <w:rFonts w:hint="eastAsia" w:ascii="宋体" w:hAnsi="宋体" w:cs="宋体"/>
          <w:color w:val="auto"/>
          <w:szCs w:val="21"/>
          <w:highlight w:val="none"/>
        </w:rPr>
        <w:t>在投标之前已经与贵方进行了充分的沟通，完全理解并接受招标文件的各项规定和要求，对招标文件的合理性、合法性不再有异议。</w:t>
      </w:r>
    </w:p>
    <w:p w14:paraId="430AD288">
      <w:pPr>
        <w:spacing w:line="440" w:lineRule="exact"/>
        <w:ind w:firstLine="420" w:firstLineChars="200"/>
        <w:textAlignment w:val="baseline"/>
        <w:rPr>
          <w:rFonts w:ascii="宋体" w:hAnsi="宋体" w:cs="宋体"/>
          <w:color w:val="auto"/>
          <w:sz w:val="20"/>
          <w:szCs w:val="21"/>
          <w:highlight w:val="none"/>
        </w:rPr>
      </w:pPr>
      <w:r>
        <w:rPr>
          <w:rFonts w:hint="eastAsia" w:ascii="宋体" w:hAnsi="宋体" w:cs="宋体"/>
          <w:color w:val="auto"/>
          <w:szCs w:val="21"/>
          <w:highlight w:val="none"/>
        </w:rPr>
        <w:t>（三）本投标有效期自开标日起90日。</w:t>
      </w:r>
    </w:p>
    <w:p w14:paraId="4B59C5D6">
      <w:pPr>
        <w:spacing w:line="440" w:lineRule="exact"/>
        <w:ind w:firstLine="420" w:firstLineChars="200"/>
        <w:textAlignment w:val="baseline"/>
        <w:rPr>
          <w:rFonts w:ascii="宋体" w:hAnsi="宋体" w:cs="宋体"/>
          <w:color w:val="auto"/>
          <w:sz w:val="20"/>
          <w:szCs w:val="21"/>
          <w:highlight w:val="none"/>
        </w:rPr>
      </w:pPr>
      <w:r>
        <w:rPr>
          <w:rFonts w:hint="eastAsia" w:ascii="宋体" w:hAnsi="宋体" w:cs="宋体"/>
          <w:color w:val="auto"/>
          <w:szCs w:val="21"/>
          <w:highlight w:val="none"/>
        </w:rPr>
        <w:t>（四）如中标，本</w:t>
      </w:r>
      <w:r>
        <w:rPr>
          <w:rFonts w:hint="eastAsia" w:ascii="宋体" w:hAnsi="宋体" w:cs="宋体"/>
          <w:color w:val="auto"/>
          <w:szCs w:val="21"/>
          <w:highlight w:val="none"/>
          <w:lang w:eastAsia="zh-CN"/>
        </w:rPr>
        <w:t>响应文件</w:t>
      </w:r>
      <w:r>
        <w:rPr>
          <w:rFonts w:hint="eastAsia" w:ascii="宋体" w:hAnsi="宋体" w:cs="宋体"/>
          <w:color w:val="auto"/>
          <w:szCs w:val="21"/>
          <w:highlight w:val="none"/>
        </w:rPr>
        <w:t>至本项目合同履行完毕止均保持有效，本</w:t>
      </w:r>
      <w:r>
        <w:rPr>
          <w:rFonts w:hint="eastAsia" w:ascii="宋体" w:hAnsi="宋体" w:cs="宋体"/>
          <w:color w:val="auto"/>
          <w:szCs w:val="21"/>
          <w:highlight w:val="none"/>
          <w:lang w:eastAsia="zh-CN"/>
        </w:rPr>
        <w:t>供应商</w:t>
      </w:r>
      <w:r>
        <w:rPr>
          <w:rFonts w:hint="eastAsia" w:ascii="宋体" w:hAnsi="宋体" w:cs="宋体"/>
          <w:color w:val="auto"/>
          <w:szCs w:val="21"/>
          <w:highlight w:val="none"/>
        </w:rPr>
        <w:t>将按“招标文件”及政府采购法律、法规的规定履行合同责任和义务。</w:t>
      </w:r>
    </w:p>
    <w:p w14:paraId="42997BD0">
      <w:pPr>
        <w:spacing w:line="440" w:lineRule="exact"/>
        <w:ind w:firstLine="420" w:firstLineChars="200"/>
        <w:textAlignment w:val="baseline"/>
        <w:rPr>
          <w:rFonts w:ascii="宋体" w:hAnsi="宋体" w:cs="宋体"/>
          <w:color w:val="auto"/>
          <w:sz w:val="20"/>
          <w:szCs w:val="21"/>
          <w:highlight w:val="none"/>
        </w:rPr>
      </w:pPr>
      <w:r>
        <w:rPr>
          <w:rFonts w:hint="eastAsia" w:ascii="宋体" w:hAnsi="宋体" w:cs="宋体"/>
          <w:color w:val="auto"/>
          <w:szCs w:val="21"/>
          <w:highlight w:val="none"/>
        </w:rPr>
        <w:t>（五）</w:t>
      </w:r>
      <w:r>
        <w:rPr>
          <w:rFonts w:hint="eastAsia" w:ascii="宋体" w:hAnsi="宋体" w:cs="宋体"/>
          <w:color w:val="auto"/>
          <w:szCs w:val="21"/>
          <w:highlight w:val="none"/>
          <w:lang w:eastAsia="zh-CN"/>
        </w:rPr>
        <w:t>供应商</w:t>
      </w:r>
      <w:r>
        <w:rPr>
          <w:rFonts w:hint="eastAsia" w:ascii="宋体" w:hAnsi="宋体" w:cs="宋体"/>
          <w:color w:val="auto"/>
          <w:szCs w:val="21"/>
          <w:highlight w:val="none"/>
        </w:rPr>
        <w:t>同意按照贵方要求提供与投标有关的一切数据或资料。</w:t>
      </w:r>
    </w:p>
    <w:p w14:paraId="140C8D5B">
      <w:pPr>
        <w:spacing w:line="440" w:lineRule="exact"/>
        <w:ind w:firstLine="420" w:firstLineChars="200"/>
        <w:textAlignment w:val="baseline"/>
        <w:rPr>
          <w:rFonts w:ascii="宋体" w:hAnsi="宋体" w:cs="宋体"/>
          <w:color w:val="auto"/>
          <w:sz w:val="20"/>
          <w:szCs w:val="21"/>
          <w:highlight w:val="none"/>
        </w:rPr>
      </w:pPr>
      <w:r>
        <w:rPr>
          <w:rFonts w:hint="eastAsia" w:ascii="宋体" w:hAnsi="宋体" w:cs="宋体"/>
          <w:color w:val="auto"/>
          <w:szCs w:val="21"/>
          <w:highlight w:val="none"/>
        </w:rPr>
        <w:t>（六）我方向贵方提交的所有</w:t>
      </w:r>
      <w:r>
        <w:rPr>
          <w:rFonts w:hint="eastAsia" w:ascii="宋体" w:hAnsi="宋体" w:cs="宋体"/>
          <w:color w:val="auto"/>
          <w:szCs w:val="21"/>
          <w:highlight w:val="none"/>
          <w:lang w:eastAsia="zh-CN"/>
        </w:rPr>
        <w:t>响应文件</w:t>
      </w:r>
      <w:r>
        <w:rPr>
          <w:rFonts w:hint="eastAsia" w:ascii="宋体" w:hAnsi="宋体" w:cs="宋体"/>
          <w:color w:val="auto"/>
          <w:szCs w:val="21"/>
          <w:highlight w:val="none"/>
        </w:rPr>
        <w:t>、资料都是准确的和真实的。</w:t>
      </w:r>
    </w:p>
    <w:p w14:paraId="22FD830B">
      <w:pPr>
        <w:spacing w:line="440" w:lineRule="exact"/>
        <w:ind w:firstLine="420" w:firstLineChars="200"/>
        <w:textAlignment w:val="baseline"/>
        <w:rPr>
          <w:rFonts w:ascii="宋体" w:hAnsi="宋体" w:cs="宋体"/>
          <w:color w:val="auto"/>
          <w:sz w:val="20"/>
          <w:szCs w:val="21"/>
          <w:highlight w:val="none"/>
        </w:rPr>
      </w:pPr>
      <w:r>
        <w:rPr>
          <w:rFonts w:hint="eastAsia" w:ascii="宋体" w:hAnsi="宋体" w:cs="宋体"/>
          <w:color w:val="auto"/>
          <w:szCs w:val="21"/>
          <w:highlight w:val="none"/>
        </w:rPr>
        <w:t>（七）我方不是采购人的附属机构；在获知本项目采购信息后，与采购人聘请的为此项目提供咨询服务的公司及其附属机构没有任何联系。</w:t>
      </w:r>
    </w:p>
    <w:p w14:paraId="36DC9A5B">
      <w:pPr>
        <w:spacing w:line="440" w:lineRule="exact"/>
        <w:ind w:firstLine="420" w:firstLineChars="200"/>
        <w:textAlignment w:val="baseline"/>
        <w:rPr>
          <w:rFonts w:ascii="宋体" w:hAnsi="宋体" w:cs="宋体"/>
          <w:color w:val="auto"/>
          <w:sz w:val="20"/>
          <w:szCs w:val="21"/>
          <w:highlight w:val="none"/>
          <w:u w:val="single"/>
        </w:rPr>
      </w:pPr>
      <w:r>
        <w:rPr>
          <w:rFonts w:hint="eastAsia" w:ascii="宋体" w:hAnsi="宋体" w:cs="宋体"/>
          <w:color w:val="auto"/>
          <w:szCs w:val="21"/>
          <w:highlight w:val="none"/>
        </w:rPr>
        <w:t>（八）以上事项如有虚假或隐瞒，我方愿意承担一切后果，并不再寻求任何旨在减轻或免除法律责任的辩解。</w:t>
      </w:r>
    </w:p>
    <w:p w14:paraId="26B82B7E">
      <w:pPr>
        <w:spacing w:line="440" w:lineRule="exact"/>
        <w:ind w:firstLine="420" w:firstLineChars="200"/>
        <w:textAlignment w:val="baseline"/>
        <w:rPr>
          <w:rFonts w:ascii="宋体" w:hAnsi="宋体" w:cs="宋体"/>
          <w:color w:val="auto"/>
          <w:sz w:val="20"/>
          <w:szCs w:val="21"/>
          <w:highlight w:val="none"/>
        </w:rPr>
      </w:pPr>
      <w:r>
        <w:rPr>
          <w:rFonts w:hint="eastAsia" w:ascii="宋体" w:hAnsi="宋体" w:cs="宋体"/>
          <w:color w:val="auto"/>
          <w:szCs w:val="21"/>
          <w:highlight w:val="none"/>
        </w:rPr>
        <w:t>（九）本投标有关的一切正式往来信函请寄：</w:t>
      </w:r>
    </w:p>
    <w:p w14:paraId="7BD45F41">
      <w:pPr>
        <w:spacing w:line="440" w:lineRule="exact"/>
        <w:ind w:firstLine="435"/>
        <w:textAlignment w:val="baseline"/>
        <w:rPr>
          <w:rFonts w:ascii="宋体" w:hAnsi="宋体" w:cs="宋体"/>
          <w:color w:val="auto"/>
          <w:sz w:val="20"/>
          <w:szCs w:val="21"/>
          <w:highlight w:val="none"/>
          <w:u w:val="single"/>
        </w:rPr>
      </w:pPr>
      <w:r>
        <w:rPr>
          <w:rFonts w:hint="eastAsia" w:ascii="宋体" w:hAnsi="宋体" w:cs="宋体"/>
          <w:color w:val="auto"/>
          <w:szCs w:val="21"/>
          <w:highlight w:val="none"/>
        </w:rPr>
        <w:t>地址：</w:t>
      </w:r>
    </w:p>
    <w:p w14:paraId="7DF83B4A">
      <w:pPr>
        <w:spacing w:line="440" w:lineRule="exact"/>
        <w:ind w:firstLine="435"/>
        <w:textAlignment w:val="baseline"/>
        <w:rPr>
          <w:rFonts w:ascii="宋体" w:hAnsi="宋体" w:cs="宋体"/>
          <w:color w:val="auto"/>
          <w:sz w:val="20"/>
          <w:szCs w:val="21"/>
          <w:highlight w:val="none"/>
        </w:rPr>
      </w:pPr>
      <w:r>
        <w:rPr>
          <w:rFonts w:hint="eastAsia" w:ascii="宋体" w:hAnsi="宋体" w:cs="宋体"/>
          <w:color w:val="auto"/>
          <w:szCs w:val="21"/>
          <w:highlight w:val="none"/>
        </w:rPr>
        <w:t>电话：</w:t>
      </w:r>
    </w:p>
    <w:p w14:paraId="6E1D4F7C">
      <w:pPr>
        <w:spacing w:line="440" w:lineRule="exact"/>
        <w:ind w:firstLine="435"/>
        <w:textAlignment w:val="baseline"/>
        <w:rPr>
          <w:rFonts w:ascii="宋体" w:hAnsi="宋体" w:cs="宋体"/>
          <w:color w:val="auto"/>
          <w:sz w:val="20"/>
          <w:szCs w:val="21"/>
          <w:highlight w:val="none"/>
        </w:rPr>
      </w:pPr>
      <w:r>
        <w:rPr>
          <w:rFonts w:hint="eastAsia" w:ascii="宋体" w:hAnsi="宋体" w:cs="宋体"/>
          <w:color w:val="auto"/>
          <w:szCs w:val="21"/>
          <w:highlight w:val="none"/>
        </w:rPr>
        <w:t>传真：</w:t>
      </w:r>
    </w:p>
    <w:p w14:paraId="1B11B2B2">
      <w:pPr>
        <w:spacing w:line="440" w:lineRule="exact"/>
        <w:ind w:firstLine="420" w:firstLineChars="200"/>
        <w:textAlignment w:val="baseline"/>
        <w:rPr>
          <w:rFonts w:ascii="宋体" w:hAnsi="宋体" w:cs="宋体"/>
          <w:color w:val="auto"/>
          <w:sz w:val="20"/>
          <w:szCs w:val="21"/>
          <w:highlight w:val="none"/>
        </w:rPr>
      </w:pPr>
      <w:r>
        <w:rPr>
          <w:rFonts w:hint="eastAsia" w:ascii="宋体" w:hAnsi="宋体" w:cs="宋体"/>
          <w:color w:val="auto"/>
          <w:szCs w:val="21"/>
          <w:highlight w:val="none"/>
        </w:rPr>
        <w:t>电子邮件：</w:t>
      </w:r>
    </w:p>
    <w:p w14:paraId="532D05C7">
      <w:pPr>
        <w:spacing w:line="440" w:lineRule="exact"/>
        <w:ind w:firstLine="4860"/>
        <w:jc w:val="left"/>
        <w:textAlignment w:val="baseline"/>
        <w:rPr>
          <w:rFonts w:hint="eastAsia" w:ascii="宋体" w:hAnsi="宋体" w:cs="宋体"/>
          <w:b/>
          <w:bCs/>
          <w:color w:val="auto"/>
          <w:sz w:val="24"/>
          <w:highlight w:val="none"/>
        </w:rPr>
      </w:pPr>
    </w:p>
    <w:p w14:paraId="1A334D98">
      <w:pPr>
        <w:spacing w:line="440" w:lineRule="exact"/>
        <w:ind w:firstLine="4860"/>
        <w:jc w:val="left"/>
        <w:textAlignment w:val="baseline"/>
        <w:rPr>
          <w:rFonts w:ascii="宋体" w:hAnsi="宋体" w:cs="宋体"/>
          <w:b/>
          <w:bCs/>
          <w:color w:val="auto"/>
          <w:sz w:val="20"/>
          <w:szCs w:val="21"/>
          <w:highlight w:val="none"/>
          <w:u w:val="single" w:color="000000"/>
        </w:rPr>
      </w:pPr>
      <w:r>
        <w:rPr>
          <w:rFonts w:hint="eastAsia" w:ascii="宋体" w:hAnsi="宋体" w:cs="宋体"/>
          <w:b/>
          <w:bCs/>
          <w:color w:val="auto"/>
          <w:sz w:val="24"/>
          <w:highlight w:val="none"/>
        </w:rPr>
        <w:t>供应商名称（盖章）：</w:t>
      </w:r>
    </w:p>
    <w:p w14:paraId="0CA38252">
      <w:pPr>
        <w:spacing w:line="440" w:lineRule="exact"/>
        <w:ind w:firstLine="4860"/>
        <w:jc w:val="left"/>
        <w:textAlignment w:val="baseline"/>
        <w:rPr>
          <w:rFonts w:ascii="宋体" w:hAnsi="宋体" w:cs="宋体"/>
          <w:color w:val="auto"/>
          <w:sz w:val="20"/>
          <w:szCs w:val="21"/>
          <w:highlight w:val="none"/>
          <w:u w:val="single" w:color="000000"/>
        </w:rPr>
      </w:pPr>
      <w:r>
        <w:rPr>
          <w:rFonts w:hint="eastAsia" w:ascii="宋体" w:hAnsi="宋体" w:cs="宋体"/>
          <w:b/>
          <w:bCs/>
          <w:color w:val="auto"/>
          <w:szCs w:val="21"/>
          <w:highlight w:val="none"/>
        </w:rPr>
        <w:t>日期：</w:t>
      </w:r>
      <w:r>
        <w:rPr>
          <w:rFonts w:hint="eastAsia" w:ascii="宋体" w:hAnsi="宋体" w:cs="宋体"/>
          <w:b/>
          <w:bCs/>
          <w:color w:val="auto"/>
          <w:szCs w:val="21"/>
          <w:highlight w:val="none"/>
          <w:lang w:val="en-US" w:eastAsia="zh-CN"/>
        </w:rPr>
        <w:t xml:space="preserve">   </w:t>
      </w:r>
      <w:r>
        <w:rPr>
          <w:rFonts w:hint="eastAsia" w:ascii="宋体" w:hAnsi="宋体" w:cs="宋体"/>
          <w:b/>
          <w:bCs/>
          <w:color w:val="auto"/>
          <w:szCs w:val="21"/>
          <w:highlight w:val="none"/>
        </w:rPr>
        <w:t>年</w:t>
      </w:r>
      <w:r>
        <w:rPr>
          <w:rFonts w:hint="eastAsia" w:ascii="宋体" w:hAnsi="宋体" w:cs="宋体"/>
          <w:b/>
          <w:bCs/>
          <w:color w:val="auto"/>
          <w:szCs w:val="21"/>
          <w:highlight w:val="none"/>
          <w:lang w:val="en-US" w:eastAsia="zh-CN"/>
        </w:rPr>
        <w:t xml:space="preserve">  </w:t>
      </w:r>
      <w:r>
        <w:rPr>
          <w:rFonts w:hint="eastAsia" w:ascii="宋体" w:hAnsi="宋体" w:cs="宋体"/>
          <w:b/>
          <w:bCs/>
          <w:color w:val="auto"/>
          <w:szCs w:val="21"/>
          <w:highlight w:val="none"/>
        </w:rPr>
        <w:t>月</w:t>
      </w:r>
      <w:r>
        <w:rPr>
          <w:rFonts w:hint="eastAsia" w:ascii="宋体" w:hAnsi="宋体" w:cs="宋体"/>
          <w:b/>
          <w:bCs/>
          <w:color w:val="auto"/>
          <w:szCs w:val="21"/>
          <w:highlight w:val="none"/>
          <w:lang w:val="en-US" w:eastAsia="zh-CN"/>
        </w:rPr>
        <w:t xml:space="preserve">   </w:t>
      </w:r>
      <w:r>
        <w:rPr>
          <w:rFonts w:hint="eastAsia" w:ascii="宋体" w:hAnsi="宋体" w:cs="宋体"/>
          <w:b/>
          <w:bCs/>
          <w:color w:val="auto"/>
          <w:szCs w:val="21"/>
          <w:highlight w:val="none"/>
        </w:rPr>
        <w:t>日</w:t>
      </w:r>
    </w:p>
    <w:p w14:paraId="507E6E82">
      <w:pPr>
        <w:pStyle w:val="30"/>
        <w:ind w:left="0" w:leftChars="0" w:firstLine="0" w:firstLineChars="0"/>
        <w:textAlignment w:val="baseline"/>
        <w:rPr>
          <w:rFonts w:ascii="宋体" w:hAnsi="宋体" w:eastAsia="宋体"/>
          <w:b/>
          <w:bCs/>
          <w:color w:val="auto"/>
          <w:sz w:val="22"/>
          <w:highlight w:val="none"/>
        </w:rPr>
      </w:pPr>
    </w:p>
    <w:p w14:paraId="133FD61C">
      <w:pPr>
        <w:rPr>
          <w:rFonts w:hint="eastAsia" w:ascii="宋体" w:hAnsi="宋体" w:cs="宋体"/>
          <w:b/>
          <w:bCs/>
          <w:color w:val="auto"/>
          <w:sz w:val="22"/>
          <w:highlight w:val="none"/>
        </w:rPr>
      </w:pPr>
      <w:bookmarkStart w:id="95" w:name="_Toc231"/>
      <w:r>
        <w:rPr>
          <w:rFonts w:hint="eastAsia" w:ascii="宋体" w:hAnsi="宋体" w:cs="宋体"/>
          <w:b/>
          <w:bCs/>
          <w:color w:val="auto"/>
          <w:sz w:val="22"/>
          <w:highlight w:val="none"/>
        </w:rPr>
        <w:br w:type="page"/>
      </w:r>
    </w:p>
    <w:p w14:paraId="59F101B6">
      <w:pPr>
        <w:spacing w:line="360" w:lineRule="auto"/>
        <w:textAlignment w:val="baseline"/>
        <w:outlineLvl w:val="0"/>
        <w:rPr>
          <w:rFonts w:hint="eastAsia" w:ascii="宋体" w:hAnsi="宋体" w:eastAsia="宋体" w:cs="宋体"/>
          <w:b/>
          <w:bCs/>
          <w:color w:val="auto"/>
          <w:sz w:val="22"/>
          <w:highlight w:val="none"/>
          <w:lang w:eastAsia="zh-CN"/>
        </w:rPr>
      </w:pPr>
      <w:r>
        <w:rPr>
          <w:rFonts w:hint="eastAsia" w:ascii="宋体" w:hAnsi="宋体" w:cs="宋体"/>
          <w:b/>
          <w:bCs/>
          <w:color w:val="auto"/>
          <w:sz w:val="22"/>
          <w:highlight w:val="none"/>
        </w:rPr>
        <w:t>附件</w:t>
      </w:r>
      <w:bookmarkEnd w:id="95"/>
      <w:r>
        <w:rPr>
          <w:rFonts w:hint="eastAsia" w:ascii="宋体" w:hAnsi="宋体" w:cs="宋体"/>
          <w:b/>
          <w:bCs/>
          <w:color w:val="auto"/>
          <w:sz w:val="22"/>
          <w:highlight w:val="none"/>
          <w:lang w:val="en-US" w:eastAsia="zh-CN"/>
        </w:rPr>
        <w:t>7</w:t>
      </w:r>
    </w:p>
    <w:p w14:paraId="70F5769B">
      <w:pPr>
        <w:widowControl/>
        <w:spacing w:line="360" w:lineRule="auto"/>
        <w:jc w:val="center"/>
        <w:textAlignment w:val="baseline"/>
        <w:rPr>
          <w:rFonts w:ascii="宋体" w:hAnsi="宋体" w:cs="宋体"/>
          <w:b/>
          <w:bCs/>
          <w:color w:val="auto"/>
          <w:kern w:val="0"/>
          <w:sz w:val="30"/>
          <w:szCs w:val="30"/>
          <w:highlight w:val="none"/>
        </w:rPr>
      </w:pPr>
      <w:bookmarkStart w:id="96" w:name="_Toc8847_WPSOffice_Level1"/>
      <w:bookmarkStart w:id="97" w:name="_Toc13405_WPSOffice_Level1"/>
      <w:r>
        <w:rPr>
          <w:rFonts w:hint="eastAsia" w:ascii="宋体" w:hAnsi="宋体" w:cs="宋体"/>
          <w:b/>
          <w:bCs/>
          <w:color w:val="auto"/>
          <w:kern w:val="0"/>
          <w:sz w:val="30"/>
          <w:szCs w:val="30"/>
          <w:highlight w:val="none"/>
        </w:rPr>
        <w:t>磋商供应商基本情况表</w:t>
      </w:r>
      <w:bookmarkEnd w:id="96"/>
      <w:bookmarkEnd w:id="97"/>
    </w:p>
    <w:tbl>
      <w:tblPr>
        <w:tblStyle w:val="32"/>
        <w:tblW w:w="924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68"/>
        <w:gridCol w:w="1209"/>
        <w:gridCol w:w="1423"/>
        <w:gridCol w:w="1431"/>
        <w:gridCol w:w="1533"/>
        <w:gridCol w:w="308"/>
        <w:gridCol w:w="1571"/>
      </w:tblGrid>
      <w:tr w14:paraId="7241CF1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4" w:hRule="atLeast"/>
          <w:jc w:val="center"/>
        </w:trPr>
        <w:tc>
          <w:tcPr>
            <w:tcW w:w="1768" w:type="dxa"/>
            <w:tcBorders>
              <w:top w:val="single" w:color="auto" w:sz="4" w:space="0"/>
              <w:bottom w:val="single" w:color="auto" w:sz="4" w:space="0"/>
              <w:right w:val="single" w:color="auto" w:sz="4" w:space="0"/>
            </w:tcBorders>
            <w:vAlign w:val="center"/>
          </w:tcPr>
          <w:p w14:paraId="6305A642">
            <w:pPr>
              <w:spacing w:line="360" w:lineRule="auto"/>
              <w:jc w:val="center"/>
              <w:textAlignment w:val="baseline"/>
              <w:rPr>
                <w:rFonts w:ascii="宋体" w:hAnsi="宋体" w:cs="宋体"/>
                <w:bCs/>
                <w:color w:val="auto"/>
                <w:sz w:val="20"/>
                <w:szCs w:val="21"/>
                <w:highlight w:val="none"/>
              </w:rPr>
            </w:pPr>
            <w:r>
              <w:rPr>
                <w:rFonts w:hint="eastAsia" w:ascii="宋体" w:hAnsi="宋体" w:cs="宋体"/>
                <w:bCs/>
                <w:color w:val="auto"/>
                <w:szCs w:val="21"/>
                <w:highlight w:val="none"/>
              </w:rPr>
              <w:t>磋商供应商名称</w:t>
            </w:r>
          </w:p>
        </w:tc>
        <w:tc>
          <w:tcPr>
            <w:tcW w:w="7475" w:type="dxa"/>
            <w:gridSpan w:val="6"/>
            <w:tcBorders>
              <w:top w:val="single" w:color="auto" w:sz="4" w:space="0"/>
              <w:left w:val="single" w:color="auto" w:sz="4" w:space="0"/>
              <w:bottom w:val="single" w:color="auto" w:sz="4" w:space="0"/>
            </w:tcBorders>
            <w:vAlign w:val="center"/>
          </w:tcPr>
          <w:p w14:paraId="2ED6F003">
            <w:pPr>
              <w:spacing w:line="360" w:lineRule="auto"/>
              <w:textAlignment w:val="baseline"/>
              <w:rPr>
                <w:rFonts w:ascii="宋体" w:hAnsi="宋体" w:cs="宋体"/>
                <w:color w:val="auto"/>
                <w:sz w:val="20"/>
                <w:szCs w:val="21"/>
                <w:highlight w:val="none"/>
              </w:rPr>
            </w:pPr>
          </w:p>
        </w:tc>
      </w:tr>
      <w:tr w14:paraId="5050CD0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4" w:hRule="atLeast"/>
          <w:jc w:val="center"/>
        </w:trPr>
        <w:tc>
          <w:tcPr>
            <w:tcW w:w="1768" w:type="dxa"/>
            <w:tcBorders>
              <w:top w:val="single" w:color="auto" w:sz="4" w:space="0"/>
              <w:bottom w:val="single" w:color="auto" w:sz="4" w:space="0"/>
              <w:right w:val="single" w:color="auto" w:sz="4" w:space="0"/>
            </w:tcBorders>
            <w:vAlign w:val="center"/>
          </w:tcPr>
          <w:p w14:paraId="71461696">
            <w:pPr>
              <w:spacing w:line="360" w:lineRule="auto"/>
              <w:ind w:left="-38" w:leftChars="-51" w:right="-107" w:hanging="69" w:hangingChars="33"/>
              <w:jc w:val="center"/>
              <w:textAlignment w:val="baseline"/>
              <w:rPr>
                <w:rFonts w:ascii="宋体" w:hAnsi="宋体" w:cs="宋体"/>
                <w:bCs/>
                <w:color w:val="auto"/>
                <w:sz w:val="20"/>
                <w:szCs w:val="21"/>
                <w:highlight w:val="none"/>
              </w:rPr>
            </w:pPr>
            <w:r>
              <w:rPr>
                <w:rFonts w:hint="eastAsia" w:ascii="宋体" w:hAnsi="宋体" w:cs="宋体"/>
                <w:bCs/>
                <w:color w:val="auto"/>
                <w:szCs w:val="21"/>
                <w:highlight w:val="none"/>
              </w:rPr>
              <w:t>法定代表人</w:t>
            </w:r>
          </w:p>
        </w:tc>
        <w:tc>
          <w:tcPr>
            <w:tcW w:w="1209" w:type="dxa"/>
            <w:tcBorders>
              <w:top w:val="single" w:color="auto" w:sz="4" w:space="0"/>
              <w:left w:val="single" w:color="auto" w:sz="4" w:space="0"/>
              <w:bottom w:val="single" w:color="auto" w:sz="4" w:space="0"/>
              <w:right w:val="single" w:color="auto" w:sz="4" w:space="0"/>
            </w:tcBorders>
            <w:vAlign w:val="center"/>
          </w:tcPr>
          <w:p w14:paraId="31C8A139">
            <w:pPr>
              <w:spacing w:line="360" w:lineRule="auto"/>
              <w:jc w:val="center"/>
              <w:textAlignment w:val="baseline"/>
              <w:rPr>
                <w:rFonts w:ascii="宋体" w:hAnsi="宋体" w:cs="宋体"/>
                <w:bCs/>
                <w:color w:val="auto"/>
                <w:sz w:val="20"/>
                <w:szCs w:val="21"/>
                <w:highlight w:val="none"/>
              </w:rPr>
            </w:pPr>
          </w:p>
        </w:tc>
        <w:tc>
          <w:tcPr>
            <w:tcW w:w="1423" w:type="dxa"/>
            <w:tcBorders>
              <w:top w:val="single" w:color="auto" w:sz="4" w:space="0"/>
              <w:left w:val="single" w:color="auto" w:sz="4" w:space="0"/>
              <w:bottom w:val="single" w:color="auto" w:sz="4" w:space="0"/>
              <w:right w:val="single" w:color="auto" w:sz="4" w:space="0"/>
            </w:tcBorders>
            <w:vAlign w:val="center"/>
          </w:tcPr>
          <w:p w14:paraId="49564268">
            <w:pPr>
              <w:spacing w:line="360" w:lineRule="auto"/>
              <w:ind w:left="-38" w:leftChars="-51" w:right="-107" w:hanging="69" w:hangingChars="33"/>
              <w:jc w:val="center"/>
              <w:textAlignment w:val="baseline"/>
              <w:rPr>
                <w:rFonts w:ascii="宋体" w:hAnsi="宋体" w:cs="宋体"/>
                <w:bCs/>
                <w:color w:val="auto"/>
                <w:sz w:val="20"/>
                <w:szCs w:val="21"/>
                <w:highlight w:val="none"/>
              </w:rPr>
            </w:pPr>
            <w:r>
              <w:rPr>
                <w:rFonts w:hint="eastAsia" w:ascii="宋体" w:hAnsi="宋体" w:cs="宋体"/>
                <w:bCs/>
                <w:color w:val="auto"/>
                <w:szCs w:val="21"/>
                <w:highlight w:val="none"/>
              </w:rPr>
              <w:t>授权代表人</w:t>
            </w:r>
          </w:p>
        </w:tc>
        <w:tc>
          <w:tcPr>
            <w:tcW w:w="1431" w:type="dxa"/>
            <w:tcBorders>
              <w:top w:val="single" w:color="auto" w:sz="4" w:space="0"/>
              <w:left w:val="single" w:color="auto" w:sz="4" w:space="0"/>
              <w:bottom w:val="single" w:color="auto" w:sz="4" w:space="0"/>
              <w:right w:val="single" w:color="auto" w:sz="4" w:space="0"/>
            </w:tcBorders>
            <w:vAlign w:val="center"/>
          </w:tcPr>
          <w:p w14:paraId="4D5431F2">
            <w:pPr>
              <w:spacing w:line="360" w:lineRule="auto"/>
              <w:jc w:val="center"/>
              <w:textAlignment w:val="baseline"/>
              <w:rPr>
                <w:rFonts w:ascii="宋体" w:hAnsi="宋体" w:cs="宋体"/>
                <w:bCs/>
                <w:color w:val="auto"/>
                <w:sz w:val="20"/>
                <w:szCs w:val="21"/>
                <w:highlight w:val="none"/>
              </w:rPr>
            </w:pPr>
          </w:p>
        </w:tc>
        <w:tc>
          <w:tcPr>
            <w:tcW w:w="1533" w:type="dxa"/>
            <w:tcBorders>
              <w:top w:val="single" w:color="auto" w:sz="4" w:space="0"/>
              <w:left w:val="single" w:color="auto" w:sz="4" w:space="0"/>
              <w:bottom w:val="single" w:color="auto" w:sz="4" w:space="0"/>
              <w:right w:val="single" w:color="auto" w:sz="4" w:space="0"/>
            </w:tcBorders>
            <w:vAlign w:val="center"/>
          </w:tcPr>
          <w:p w14:paraId="48B13CBA">
            <w:pPr>
              <w:spacing w:line="360" w:lineRule="auto"/>
              <w:jc w:val="center"/>
              <w:textAlignment w:val="baseline"/>
              <w:rPr>
                <w:rFonts w:ascii="宋体" w:hAnsi="宋体" w:cs="宋体"/>
                <w:bCs/>
                <w:color w:val="auto"/>
                <w:sz w:val="20"/>
                <w:szCs w:val="21"/>
                <w:highlight w:val="none"/>
              </w:rPr>
            </w:pPr>
            <w:r>
              <w:rPr>
                <w:rFonts w:hint="eastAsia" w:ascii="宋体" w:hAnsi="宋体" w:cs="宋体"/>
                <w:bCs/>
                <w:color w:val="auto"/>
                <w:szCs w:val="21"/>
                <w:highlight w:val="none"/>
              </w:rPr>
              <w:t>营业（经营）执照号码</w:t>
            </w:r>
          </w:p>
        </w:tc>
        <w:tc>
          <w:tcPr>
            <w:tcW w:w="1879" w:type="dxa"/>
            <w:gridSpan w:val="2"/>
            <w:tcBorders>
              <w:top w:val="single" w:color="auto" w:sz="4" w:space="0"/>
              <w:left w:val="single" w:color="auto" w:sz="4" w:space="0"/>
              <w:bottom w:val="single" w:color="auto" w:sz="4" w:space="0"/>
            </w:tcBorders>
            <w:vAlign w:val="center"/>
          </w:tcPr>
          <w:p w14:paraId="04C69209">
            <w:pPr>
              <w:spacing w:line="360" w:lineRule="auto"/>
              <w:textAlignment w:val="baseline"/>
              <w:rPr>
                <w:rFonts w:ascii="宋体" w:hAnsi="宋体" w:cs="宋体"/>
                <w:bCs/>
                <w:color w:val="auto"/>
                <w:sz w:val="20"/>
                <w:szCs w:val="21"/>
                <w:highlight w:val="none"/>
              </w:rPr>
            </w:pPr>
          </w:p>
        </w:tc>
      </w:tr>
      <w:tr w14:paraId="03B43F2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4" w:hRule="atLeast"/>
          <w:jc w:val="center"/>
        </w:trPr>
        <w:tc>
          <w:tcPr>
            <w:tcW w:w="1768" w:type="dxa"/>
            <w:tcBorders>
              <w:top w:val="single" w:color="auto" w:sz="4" w:space="0"/>
              <w:bottom w:val="single" w:color="auto" w:sz="4" w:space="0"/>
              <w:right w:val="single" w:color="auto" w:sz="4" w:space="0"/>
            </w:tcBorders>
            <w:vAlign w:val="center"/>
          </w:tcPr>
          <w:p w14:paraId="4EA9FF85">
            <w:pPr>
              <w:spacing w:line="360" w:lineRule="auto"/>
              <w:jc w:val="center"/>
              <w:textAlignment w:val="baseline"/>
              <w:rPr>
                <w:rFonts w:ascii="宋体" w:hAnsi="宋体" w:cs="宋体"/>
                <w:bCs/>
                <w:color w:val="auto"/>
                <w:sz w:val="20"/>
                <w:szCs w:val="21"/>
                <w:highlight w:val="none"/>
              </w:rPr>
            </w:pPr>
            <w:r>
              <w:rPr>
                <w:rFonts w:hint="eastAsia" w:ascii="宋体" w:hAnsi="宋体" w:cs="宋体"/>
                <w:bCs/>
                <w:color w:val="auto"/>
                <w:szCs w:val="21"/>
                <w:highlight w:val="none"/>
              </w:rPr>
              <w:t>职工人数</w:t>
            </w:r>
          </w:p>
        </w:tc>
        <w:tc>
          <w:tcPr>
            <w:tcW w:w="1209" w:type="dxa"/>
            <w:tcBorders>
              <w:top w:val="single" w:color="auto" w:sz="4" w:space="0"/>
              <w:left w:val="single" w:color="auto" w:sz="4" w:space="0"/>
              <w:bottom w:val="single" w:color="auto" w:sz="4" w:space="0"/>
              <w:right w:val="single" w:color="auto" w:sz="4" w:space="0"/>
            </w:tcBorders>
            <w:vAlign w:val="center"/>
          </w:tcPr>
          <w:p w14:paraId="04BD1867">
            <w:pPr>
              <w:spacing w:line="360" w:lineRule="auto"/>
              <w:jc w:val="center"/>
              <w:textAlignment w:val="baseline"/>
              <w:rPr>
                <w:rFonts w:ascii="宋体" w:hAnsi="宋体" w:cs="宋体"/>
                <w:bCs/>
                <w:color w:val="auto"/>
                <w:sz w:val="20"/>
                <w:szCs w:val="21"/>
                <w:highlight w:val="none"/>
              </w:rPr>
            </w:pPr>
          </w:p>
        </w:tc>
        <w:tc>
          <w:tcPr>
            <w:tcW w:w="1423" w:type="dxa"/>
            <w:tcBorders>
              <w:top w:val="single" w:color="auto" w:sz="4" w:space="0"/>
              <w:left w:val="single" w:color="auto" w:sz="4" w:space="0"/>
              <w:bottom w:val="single" w:color="auto" w:sz="4" w:space="0"/>
              <w:right w:val="single" w:color="auto" w:sz="4" w:space="0"/>
            </w:tcBorders>
            <w:vAlign w:val="center"/>
          </w:tcPr>
          <w:p w14:paraId="14271D51">
            <w:pPr>
              <w:spacing w:line="360" w:lineRule="auto"/>
              <w:jc w:val="center"/>
              <w:textAlignment w:val="baseline"/>
              <w:rPr>
                <w:rFonts w:ascii="宋体" w:hAnsi="宋体" w:cs="宋体"/>
                <w:bCs/>
                <w:color w:val="auto"/>
                <w:sz w:val="20"/>
                <w:szCs w:val="21"/>
                <w:highlight w:val="none"/>
              </w:rPr>
            </w:pPr>
            <w:r>
              <w:rPr>
                <w:rFonts w:hint="eastAsia" w:ascii="宋体" w:hAnsi="宋体" w:cs="宋体"/>
                <w:bCs/>
                <w:color w:val="auto"/>
                <w:szCs w:val="21"/>
                <w:highlight w:val="none"/>
              </w:rPr>
              <w:t>注册时间</w:t>
            </w:r>
          </w:p>
        </w:tc>
        <w:tc>
          <w:tcPr>
            <w:tcW w:w="1431" w:type="dxa"/>
            <w:tcBorders>
              <w:top w:val="single" w:color="auto" w:sz="4" w:space="0"/>
              <w:left w:val="single" w:color="auto" w:sz="4" w:space="0"/>
              <w:bottom w:val="single" w:color="auto" w:sz="4" w:space="0"/>
              <w:right w:val="single" w:color="auto" w:sz="4" w:space="0"/>
            </w:tcBorders>
            <w:vAlign w:val="center"/>
          </w:tcPr>
          <w:p w14:paraId="3317F25B">
            <w:pPr>
              <w:spacing w:line="360" w:lineRule="auto"/>
              <w:ind w:right="-89"/>
              <w:jc w:val="center"/>
              <w:textAlignment w:val="baseline"/>
              <w:rPr>
                <w:rFonts w:ascii="宋体" w:hAnsi="宋体" w:cs="宋体"/>
                <w:bCs/>
                <w:color w:val="auto"/>
                <w:sz w:val="20"/>
                <w:szCs w:val="21"/>
                <w:highlight w:val="none"/>
              </w:rPr>
            </w:pPr>
          </w:p>
        </w:tc>
        <w:tc>
          <w:tcPr>
            <w:tcW w:w="1533" w:type="dxa"/>
            <w:tcBorders>
              <w:top w:val="single" w:color="auto" w:sz="4" w:space="0"/>
              <w:left w:val="single" w:color="auto" w:sz="4" w:space="0"/>
              <w:bottom w:val="single" w:color="auto" w:sz="4" w:space="0"/>
              <w:right w:val="single" w:color="auto" w:sz="4" w:space="0"/>
            </w:tcBorders>
            <w:vAlign w:val="center"/>
          </w:tcPr>
          <w:p w14:paraId="422F1EC6">
            <w:pPr>
              <w:spacing w:line="360" w:lineRule="auto"/>
              <w:ind w:left="-38" w:leftChars="-51" w:hanging="69" w:hangingChars="33"/>
              <w:jc w:val="center"/>
              <w:textAlignment w:val="baseline"/>
              <w:rPr>
                <w:rFonts w:ascii="宋体" w:hAnsi="宋体" w:cs="宋体"/>
                <w:bCs/>
                <w:color w:val="auto"/>
                <w:sz w:val="20"/>
                <w:szCs w:val="21"/>
                <w:highlight w:val="none"/>
              </w:rPr>
            </w:pPr>
            <w:r>
              <w:rPr>
                <w:rFonts w:hint="eastAsia" w:ascii="宋体" w:hAnsi="宋体" w:cs="宋体"/>
                <w:bCs/>
                <w:color w:val="auto"/>
                <w:szCs w:val="21"/>
                <w:highlight w:val="none"/>
              </w:rPr>
              <w:t>注册资金</w:t>
            </w:r>
          </w:p>
        </w:tc>
        <w:tc>
          <w:tcPr>
            <w:tcW w:w="1879" w:type="dxa"/>
            <w:gridSpan w:val="2"/>
            <w:tcBorders>
              <w:top w:val="single" w:color="auto" w:sz="4" w:space="0"/>
              <w:left w:val="single" w:color="auto" w:sz="4" w:space="0"/>
              <w:bottom w:val="single" w:color="auto" w:sz="4" w:space="0"/>
            </w:tcBorders>
            <w:vAlign w:val="center"/>
          </w:tcPr>
          <w:p w14:paraId="3717F713">
            <w:pPr>
              <w:spacing w:line="360" w:lineRule="auto"/>
              <w:textAlignment w:val="baseline"/>
              <w:rPr>
                <w:rFonts w:ascii="宋体" w:hAnsi="宋体" w:cs="宋体"/>
                <w:bCs/>
                <w:color w:val="auto"/>
                <w:sz w:val="20"/>
                <w:szCs w:val="21"/>
                <w:highlight w:val="none"/>
              </w:rPr>
            </w:pPr>
            <w:r>
              <w:rPr>
                <w:rFonts w:hint="eastAsia" w:ascii="宋体" w:hAnsi="宋体" w:cs="宋体"/>
                <w:bCs/>
                <w:color w:val="auto"/>
                <w:szCs w:val="21"/>
                <w:highlight w:val="none"/>
              </w:rPr>
              <w:t>万元</w:t>
            </w:r>
          </w:p>
        </w:tc>
      </w:tr>
      <w:tr w14:paraId="7AA0FBB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4" w:hRule="atLeast"/>
          <w:jc w:val="center"/>
        </w:trPr>
        <w:tc>
          <w:tcPr>
            <w:tcW w:w="1768" w:type="dxa"/>
            <w:tcBorders>
              <w:top w:val="single" w:color="auto" w:sz="4" w:space="0"/>
              <w:bottom w:val="single" w:color="auto" w:sz="4" w:space="0"/>
              <w:right w:val="single" w:color="auto" w:sz="4" w:space="0"/>
            </w:tcBorders>
            <w:vAlign w:val="center"/>
          </w:tcPr>
          <w:p w14:paraId="71B62B33">
            <w:pPr>
              <w:spacing w:line="360" w:lineRule="auto"/>
              <w:jc w:val="center"/>
              <w:textAlignment w:val="baseline"/>
              <w:rPr>
                <w:rFonts w:ascii="宋体" w:hAnsi="宋体" w:cs="宋体"/>
                <w:bCs/>
                <w:color w:val="auto"/>
                <w:sz w:val="20"/>
                <w:szCs w:val="21"/>
                <w:highlight w:val="none"/>
              </w:rPr>
            </w:pPr>
            <w:r>
              <w:rPr>
                <w:rFonts w:hint="eastAsia" w:ascii="宋体" w:hAnsi="宋体" w:cs="宋体"/>
                <w:bCs/>
                <w:color w:val="auto"/>
                <w:szCs w:val="21"/>
                <w:highlight w:val="none"/>
              </w:rPr>
              <w:t>地址</w:t>
            </w:r>
          </w:p>
        </w:tc>
        <w:tc>
          <w:tcPr>
            <w:tcW w:w="7475" w:type="dxa"/>
            <w:gridSpan w:val="6"/>
            <w:tcBorders>
              <w:top w:val="single" w:color="auto" w:sz="4" w:space="0"/>
              <w:left w:val="single" w:color="auto" w:sz="4" w:space="0"/>
              <w:bottom w:val="single" w:color="auto" w:sz="4" w:space="0"/>
            </w:tcBorders>
            <w:vAlign w:val="center"/>
          </w:tcPr>
          <w:p w14:paraId="52AF0398">
            <w:pPr>
              <w:spacing w:line="360" w:lineRule="auto"/>
              <w:jc w:val="center"/>
              <w:textAlignment w:val="baseline"/>
              <w:rPr>
                <w:rFonts w:ascii="宋体" w:hAnsi="宋体" w:cs="宋体"/>
                <w:bCs/>
                <w:color w:val="auto"/>
                <w:sz w:val="20"/>
                <w:szCs w:val="21"/>
                <w:highlight w:val="none"/>
              </w:rPr>
            </w:pPr>
          </w:p>
        </w:tc>
      </w:tr>
      <w:tr w14:paraId="6560629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4" w:hRule="atLeast"/>
          <w:jc w:val="center"/>
        </w:trPr>
        <w:tc>
          <w:tcPr>
            <w:tcW w:w="1768" w:type="dxa"/>
            <w:vMerge w:val="restart"/>
            <w:tcBorders>
              <w:top w:val="single" w:color="auto" w:sz="4" w:space="0"/>
              <w:right w:val="single" w:color="auto" w:sz="4" w:space="0"/>
            </w:tcBorders>
            <w:vAlign w:val="center"/>
          </w:tcPr>
          <w:p w14:paraId="288E9659">
            <w:pPr>
              <w:spacing w:line="360" w:lineRule="auto"/>
              <w:jc w:val="center"/>
              <w:textAlignment w:val="baseline"/>
              <w:rPr>
                <w:rFonts w:ascii="宋体" w:hAnsi="宋体" w:cs="宋体"/>
                <w:color w:val="auto"/>
                <w:sz w:val="20"/>
                <w:szCs w:val="21"/>
                <w:highlight w:val="none"/>
              </w:rPr>
            </w:pPr>
            <w:r>
              <w:rPr>
                <w:rFonts w:hint="eastAsia" w:ascii="宋体" w:hAnsi="宋体" w:cs="宋体"/>
                <w:color w:val="auto"/>
                <w:szCs w:val="21"/>
                <w:highlight w:val="none"/>
              </w:rPr>
              <w:t>所获资质</w:t>
            </w:r>
          </w:p>
          <w:p w14:paraId="09970436">
            <w:pPr>
              <w:spacing w:line="360" w:lineRule="auto"/>
              <w:jc w:val="center"/>
              <w:textAlignment w:val="baseline"/>
              <w:rPr>
                <w:rFonts w:ascii="宋体" w:hAnsi="宋体" w:cs="宋体"/>
                <w:color w:val="auto"/>
                <w:sz w:val="20"/>
                <w:szCs w:val="21"/>
                <w:highlight w:val="none"/>
              </w:rPr>
            </w:pPr>
            <w:r>
              <w:rPr>
                <w:rFonts w:hint="eastAsia" w:ascii="宋体" w:hAnsi="宋体" w:cs="宋体"/>
                <w:color w:val="auto"/>
                <w:szCs w:val="21"/>
                <w:highlight w:val="none"/>
              </w:rPr>
              <w:t>或认证</w:t>
            </w:r>
          </w:p>
        </w:tc>
        <w:tc>
          <w:tcPr>
            <w:tcW w:w="1209" w:type="dxa"/>
            <w:tcBorders>
              <w:top w:val="single" w:color="auto" w:sz="4" w:space="0"/>
              <w:left w:val="single" w:color="auto" w:sz="4" w:space="0"/>
              <w:bottom w:val="single" w:color="auto" w:sz="4" w:space="0"/>
              <w:right w:val="single" w:color="auto" w:sz="4" w:space="0"/>
            </w:tcBorders>
            <w:vAlign w:val="center"/>
          </w:tcPr>
          <w:p w14:paraId="52D59FB6">
            <w:pPr>
              <w:spacing w:line="360" w:lineRule="auto"/>
              <w:jc w:val="center"/>
              <w:textAlignment w:val="baseline"/>
              <w:rPr>
                <w:rFonts w:ascii="宋体" w:hAnsi="宋体" w:cs="宋体"/>
                <w:bCs/>
                <w:color w:val="auto"/>
                <w:sz w:val="20"/>
                <w:szCs w:val="21"/>
                <w:highlight w:val="none"/>
              </w:rPr>
            </w:pPr>
            <w:r>
              <w:rPr>
                <w:rFonts w:hint="eastAsia" w:ascii="宋体" w:hAnsi="宋体" w:cs="宋体"/>
                <w:bCs/>
                <w:color w:val="auto"/>
                <w:szCs w:val="21"/>
                <w:highlight w:val="none"/>
              </w:rPr>
              <w:t>证书或证件名称及等级</w:t>
            </w:r>
          </w:p>
        </w:tc>
        <w:tc>
          <w:tcPr>
            <w:tcW w:w="2854" w:type="dxa"/>
            <w:gridSpan w:val="2"/>
            <w:tcBorders>
              <w:top w:val="single" w:color="auto" w:sz="4" w:space="0"/>
              <w:left w:val="single" w:color="auto" w:sz="4" w:space="0"/>
              <w:bottom w:val="single" w:color="auto" w:sz="4" w:space="0"/>
              <w:right w:val="single" w:color="auto" w:sz="4" w:space="0"/>
            </w:tcBorders>
            <w:vAlign w:val="center"/>
          </w:tcPr>
          <w:p w14:paraId="64C7F979">
            <w:pPr>
              <w:widowControl/>
              <w:spacing w:line="360" w:lineRule="auto"/>
              <w:jc w:val="center"/>
              <w:textAlignment w:val="baseline"/>
              <w:rPr>
                <w:rFonts w:ascii="宋体" w:hAnsi="宋体" w:cs="宋体"/>
                <w:bCs/>
                <w:color w:val="auto"/>
                <w:sz w:val="20"/>
                <w:szCs w:val="21"/>
                <w:highlight w:val="none"/>
              </w:rPr>
            </w:pPr>
            <w:r>
              <w:rPr>
                <w:rFonts w:hint="eastAsia" w:ascii="宋体" w:hAnsi="宋体" w:cs="宋体"/>
                <w:bCs/>
                <w:color w:val="auto"/>
                <w:szCs w:val="21"/>
                <w:highlight w:val="none"/>
              </w:rPr>
              <w:t>颁发部门</w:t>
            </w:r>
          </w:p>
        </w:tc>
        <w:tc>
          <w:tcPr>
            <w:tcW w:w="1841" w:type="dxa"/>
            <w:gridSpan w:val="2"/>
            <w:tcBorders>
              <w:top w:val="single" w:color="auto" w:sz="4" w:space="0"/>
              <w:left w:val="single" w:color="auto" w:sz="4" w:space="0"/>
              <w:bottom w:val="single" w:color="auto" w:sz="4" w:space="0"/>
              <w:right w:val="single" w:color="auto" w:sz="4" w:space="0"/>
            </w:tcBorders>
            <w:vAlign w:val="center"/>
          </w:tcPr>
          <w:p w14:paraId="6E745154">
            <w:pPr>
              <w:widowControl/>
              <w:spacing w:line="360" w:lineRule="auto"/>
              <w:jc w:val="center"/>
              <w:textAlignment w:val="baseline"/>
              <w:rPr>
                <w:rFonts w:ascii="宋体" w:hAnsi="宋体" w:cs="宋体"/>
                <w:bCs/>
                <w:color w:val="auto"/>
                <w:sz w:val="20"/>
                <w:szCs w:val="21"/>
                <w:highlight w:val="none"/>
              </w:rPr>
            </w:pPr>
            <w:r>
              <w:rPr>
                <w:rFonts w:hint="eastAsia" w:ascii="宋体" w:hAnsi="宋体" w:cs="宋体"/>
                <w:bCs/>
                <w:color w:val="auto"/>
                <w:szCs w:val="21"/>
                <w:highlight w:val="none"/>
              </w:rPr>
              <w:t>颁发时间</w:t>
            </w:r>
          </w:p>
        </w:tc>
        <w:tc>
          <w:tcPr>
            <w:tcW w:w="1571" w:type="dxa"/>
            <w:tcBorders>
              <w:top w:val="single" w:color="auto" w:sz="4" w:space="0"/>
              <w:left w:val="single" w:color="auto" w:sz="4" w:space="0"/>
              <w:bottom w:val="single" w:color="auto" w:sz="4" w:space="0"/>
            </w:tcBorders>
            <w:vAlign w:val="center"/>
          </w:tcPr>
          <w:p w14:paraId="02534C59">
            <w:pPr>
              <w:widowControl/>
              <w:spacing w:line="360" w:lineRule="auto"/>
              <w:jc w:val="center"/>
              <w:textAlignment w:val="baseline"/>
              <w:rPr>
                <w:rFonts w:ascii="宋体" w:hAnsi="宋体" w:cs="宋体"/>
                <w:bCs/>
                <w:color w:val="auto"/>
                <w:sz w:val="20"/>
                <w:szCs w:val="21"/>
                <w:highlight w:val="none"/>
              </w:rPr>
            </w:pPr>
            <w:r>
              <w:rPr>
                <w:rFonts w:hint="eastAsia" w:ascii="宋体" w:hAnsi="宋体" w:cs="宋体"/>
                <w:bCs/>
                <w:color w:val="auto"/>
                <w:szCs w:val="21"/>
                <w:highlight w:val="none"/>
              </w:rPr>
              <w:t>有效期</w:t>
            </w:r>
          </w:p>
        </w:tc>
      </w:tr>
      <w:tr w14:paraId="6FBBB54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4" w:hRule="atLeast"/>
          <w:jc w:val="center"/>
        </w:trPr>
        <w:tc>
          <w:tcPr>
            <w:tcW w:w="1768" w:type="dxa"/>
            <w:vMerge w:val="continue"/>
            <w:tcBorders>
              <w:right w:val="single" w:color="auto" w:sz="4" w:space="0"/>
            </w:tcBorders>
            <w:vAlign w:val="center"/>
          </w:tcPr>
          <w:p w14:paraId="65511EC6">
            <w:pPr>
              <w:spacing w:line="360" w:lineRule="auto"/>
              <w:jc w:val="center"/>
              <w:textAlignment w:val="baseline"/>
              <w:rPr>
                <w:rFonts w:ascii="宋体" w:hAnsi="宋体" w:cs="宋体"/>
                <w:color w:val="auto"/>
                <w:sz w:val="20"/>
                <w:szCs w:val="21"/>
                <w:highlight w:val="none"/>
              </w:rPr>
            </w:pPr>
          </w:p>
        </w:tc>
        <w:tc>
          <w:tcPr>
            <w:tcW w:w="1209" w:type="dxa"/>
            <w:tcBorders>
              <w:top w:val="single" w:color="auto" w:sz="4" w:space="0"/>
              <w:left w:val="single" w:color="auto" w:sz="4" w:space="0"/>
              <w:bottom w:val="single" w:color="auto" w:sz="4" w:space="0"/>
              <w:right w:val="single" w:color="auto" w:sz="4" w:space="0"/>
            </w:tcBorders>
            <w:vAlign w:val="center"/>
          </w:tcPr>
          <w:p w14:paraId="065B9B51">
            <w:pPr>
              <w:spacing w:line="360" w:lineRule="auto"/>
              <w:textAlignment w:val="baseline"/>
              <w:rPr>
                <w:rFonts w:ascii="宋体" w:hAnsi="宋体" w:cs="宋体"/>
                <w:color w:val="auto"/>
                <w:sz w:val="20"/>
                <w:szCs w:val="21"/>
                <w:highlight w:val="none"/>
                <w:u w:val="single"/>
              </w:rPr>
            </w:pPr>
          </w:p>
        </w:tc>
        <w:tc>
          <w:tcPr>
            <w:tcW w:w="2854" w:type="dxa"/>
            <w:gridSpan w:val="2"/>
            <w:tcBorders>
              <w:top w:val="single" w:color="auto" w:sz="4" w:space="0"/>
              <w:left w:val="single" w:color="auto" w:sz="4" w:space="0"/>
              <w:bottom w:val="single" w:color="auto" w:sz="4" w:space="0"/>
              <w:right w:val="single" w:color="auto" w:sz="4" w:space="0"/>
            </w:tcBorders>
            <w:vAlign w:val="center"/>
          </w:tcPr>
          <w:p w14:paraId="43024978">
            <w:pPr>
              <w:spacing w:line="360" w:lineRule="auto"/>
              <w:textAlignment w:val="baseline"/>
              <w:rPr>
                <w:rFonts w:ascii="宋体" w:hAnsi="宋体" w:cs="宋体"/>
                <w:color w:val="auto"/>
                <w:sz w:val="20"/>
                <w:szCs w:val="21"/>
                <w:highlight w:val="none"/>
                <w:u w:val="single"/>
              </w:rPr>
            </w:pPr>
          </w:p>
        </w:tc>
        <w:tc>
          <w:tcPr>
            <w:tcW w:w="1841" w:type="dxa"/>
            <w:gridSpan w:val="2"/>
            <w:tcBorders>
              <w:top w:val="single" w:color="auto" w:sz="4" w:space="0"/>
              <w:left w:val="single" w:color="auto" w:sz="4" w:space="0"/>
              <w:bottom w:val="single" w:color="auto" w:sz="4" w:space="0"/>
              <w:right w:val="single" w:color="auto" w:sz="4" w:space="0"/>
            </w:tcBorders>
            <w:vAlign w:val="center"/>
          </w:tcPr>
          <w:p w14:paraId="25FC50D4">
            <w:pPr>
              <w:spacing w:line="360" w:lineRule="auto"/>
              <w:textAlignment w:val="baseline"/>
              <w:rPr>
                <w:rFonts w:ascii="宋体" w:hAnsi="宋体" w:cs="宋体"/>
                <w:color w:val="auto"/>
                <w:sz w:val="20"/>
                <w:szCs w:val="21"/>
                <w:highlight w:val="none"/>
                <w:u w:val="single"/>
              </w:rPr>
            </w:pPr>
          </w:p>
        </w:tc>
        <w:tc>
          <w:tcPr>
            <w:tcW w:w="1571" w:type="dxa"/>
            <w:tcBorders>
              <w:top w:val="single" w:color="auto" w:sz="4" w:space="0"/>
              <w:left w:val="single" w:color="auto" w:sz="4" w:space="0"/>
              <w:bottom w:val="single" w:color="auto" w:sz="4" w:space="0"/>
            </w:tcBorders>
            <w:vAlign w:val="center"/>
          </w:tcPr>
          <w:p w14:paraId="7C6F7B6A">
            <w:pPr>
              <w:spacing w:line="360" w:lineRule="auto"/>
              <w:textAlignment w:val="baseline"/>
              <w:rPr>
                <w:rFonts w:ascii="宋体" w:hAnsi="宋体" w:cs="宋体"/>
                <w:color w:val="auto"/>
                <w:sz w:val="20"/>
                <w:szCs w:val="21"/>
                <w:highlight w:val="none"/>
                <w:u w:val="single"/>
              </w:rPr>
            </w:pPr>
          </w:p>
        </w:tc>
      </w:tr>
      <w:tr w14:paraId="41ED06A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4" w:hRule="atLeast"/>
          <w:jc w:val="center"/>
        </w:trPr>
        <w:tc>
          <w:tcPr>
            <w:tcW w:w="1768" w:type="dxa"/>
            <w:vMerge w:val="continue"/>
            <w:tcBorders>
              <w:right w:val="single" w:color="auto" w:sz="4" w:space="0"/>
            </w:tcBorders>
            <w:vAlign w:val="center"/>
          </w:tcPr>
          <w:p w14:paraId="3F2399BF">
            <w:pPr>
              <w:spacing w:line="360" w:lineRule="auto"/>
              <w:jc w:val="center"/>
              <w:textAlignment w:val="baseline"/>
              <w:rPr>
                <w:rFonts w:ascii="宋体" w:hAnsi="宋体" w:cs="宋体"/>
                <w:color w:val="auto"/>
                <w:sz w:val="20"/>
                <w:szCs w:val="21"/>
                <w:highlight w:val="none"/>
              </w:rPr>
            </w:pPr>
          </w:p>
        </w:tc>
        <w:tc>
          <w:tcPr>
            <w:tcW w:w="1209" w:type="dxa"/>
            <w:tcBorders>
              <w:top w:val="single" w:color="auto" w:sz="4" w:space="0"/>
              <w:left w:val="single" w:color="auto" w:sz="4" w:space="0"/>
              <w:bottom w:val="single" w:color="auto" w:sz="4" w:space="0"/>
              <w:right w:val="single" w:color="auto" w:sz="4" w:space="0"/>
            </w:tcBorders>
            <w:vAlign w:val="center"/>
          </w:tcPr>
          <w:p w14:paraId="0012487F">
            <w:pPr>
              <w:spacing w:line="360" w:lineRule="auto"/>
              <w:textAlignment w:val="baseline"/>
              <w:rPr>
                <w:rFonts w:ascii="宋体" w:hAnsi="宋体" w:cs="宋体"/>
                <w:color w:val="auto"/>
                <w:sz w:val="20"/>
                <w:szCs w:val="21"/>
                <w:highlight w:val="none"/>
                <w:u w:val="single"/>
              </w:rPr>
            </w:pPr>
          </w:p>
        </w:tc>
        <w:tc>
          <w:tcPr>
            <w:tcW w:w="2854" w:type="dxa"/>
            <w:gridSpan w:val="2"/>
            <w:tcBorders>
              <w:top w:val="single" w:color="auto" w:sz="4" w:space="0"/>
              <w:left w:val="single" w:color="auto" w:sz="4" w:space="0"/>
              <w:bottom w:val="single" w:color="auto" w:sz="4" w:space="0"/>
              <w:right w:val="single" w:color="auto" w:sz="4" w:space="0"/>
            </w:tcBorders>
            <w:vAlign w:val="center"/>
          </w:tcPr>
          <w:p w14:paraId="00FF1F46">
            <w:pPr>
              <w:spacing w:line="360" w:lineRule="auto"/>
              <w:textAlignment w:val="baseline"/>
              <w:rPr>
                <w:rFonts w:ascii="宋体" w:hAnsi="宋体" w:cs="宋体"/>
                <w:color w:val="auto"/>
                <w:sz w:val="20"/>
                <w:szCs w:val="21"/>
                <w:highlight w:val="none"/>
                <w:u w:val="single"/>
              </w:rPr>
            </w:pPr>
          </w:p>
        </w:tc>
        <w:tc>
          <w:tcPr>
            <w:tcW w:w="1841" w:type="dxa"/>
            <w:gridSpan w:val="2"/>
            <w:tcBorders>
              <w:top w:val="single" w:color="auto" w:sz="4" w:space="0"/>
              <w:left w:val="single" w:color="auto" w:sz="4" w:space="0"/>
              <w:bottom w:val="single" w:color="auto" w:sz="4" w:space="0"/>
              <w:right w:val="single" w:color="auto" w:sz="4" w:space="0"/>
            </w:tcBorders>
            <w:vAlign w:val="center"/>
          </w:tcPr>
          <w:p w14:paraId="62AC6C4C">
            <w:pPr>
              <w:spacing w:line="360" w:lineRule="auto"/>
              <w:textAlignment w:val="baseline"/>
              <w:rPr>
                <w:rFonts w:ascii="宋体" w:hAnsi="宋体" w:cs="宋体"/>
                <w:color w:val="auto"/>
                <w:sz w:val="20"/>
                <w:szCs w:val="21"/>
                <w:highlight w:val="none"/>
                <w:u w:val="single"/>
              </w:rPr>
            </w:pPr>
          </w:p>
        </w:tc>
        <w:tc>
          <w:tcPr>
            <w:tcW w:w="1571" w:type="dxa"/>
            <w:tcBorders>
              <w:top w:val="single" w:color="auto" w:sz="4" w:space="0"/>
              <w:left w:val="single" w:color="auto" w:sz="4" w:space="0"/>
              <w:bottom w:val="single" w:color="auto" w:sz="4" w:space="0"/>
            </w:tcBorders>
            <w:vAlign w:val="center"/>
          </w:tcPr>
          <w:p w14:paraId="583A1FB7">
            <w:pPr>
              <w:spacing w:line="360" w:lineRule="auto"/>
              <w:textAlignment w:val="baseline"/>
              <w:rPr>
                <w:rFonts w:ascii="宋体" w:hAnsi="宋体" w:cs="宋体"/>
                <w:color w:val="auto"/>
                <w:sz w:val="20"/>
                <w:szCs w:val="21"/>
                <w:highlight w:val="none"/>
                <w:u w:val="single"/>
              </w:rPr>
            </w:pPr>
          </w:p>
        </w:tc>
      </w:tr>
      <w:tr w14:paraId="0EBD83D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4" w:hRule="atLeast"/>
          <w:jc w:val="center"/>
        </w:trPr>
        <w:tc>
          <w:tcPr>
            <w:tcW w:w="1768" w:type="dxa"/>
            <w:vMerge w:val="continue"/>
            <w:tcBorders>
              <w:right w:val="single" w:color="auto" w:sz="4" w:space="0"/>
            </w:tcBorders>
            <w:vAlign w:val="center"/>
          </w:tcPr>
          <w:p w14:paraId="7D8B76CA">
            <w:pPr>
              <w:spacing w:line="360" w:lineRule="auto"/>
              <w:jc w:val="center"/>
              <w:textAlignment w:val="baseline"/>
              <w:rPr>
                <w:rFonts w:ascii="宋体" w:hAnsi="宋体" w:cs="宋体"/>
                <w:color w:val="auto"/>
                <w:sz w:val="20"/>
                <w:szCs w:val="21"/>
                <w:highlight w:val="none"/>
              </w:rPr>
            </w:pPr>
          </w:p>
        </w:tc>
        <w:tc>
          <w:tcPr>
            <w:tcW w:w="1209" w:type="dxa"/>
            <w:tcBorders>
              <w:top w:val="single" w:color="auto" w:sz="4" w:space="0"/>
              <w:left w:val="single" w:color="auto" w:sz="4" w:space="0"/>
              <w:bottom w:val="single" w:color="auto" w:sz="4" w:space="0"/>
              <w:right w:val="single" w:color="auto" w:sz="4" w:space="0"/>
            </w:tcBorders>
            <w:vAlign w:val="center"/>
          </w:tcPr>
          <w:p w14:paraId="05827AC7">
            <w:pPr>
              <w:spacing w:line="360" w:lineRule="auto"/>
              <w:textAlignment w:val="baseline"/>
              <w:rPr>
                <w:rFonts w:ascii="宋体" w:hAnsi="宋体" w:cs="宋体"/>
                <w:color w:val="auto"/>
                <w:sz w:val="20"/>
                <w:szCs w:val="21"/>
                <w:highlight w:val="none"/>
                <w:u w:val="single"/>
              </w:rPr>
            </w:pPr>
          </w:p>
        </w:tc>
        <w:tc>
          <w:tcPr>
            <w:tcW w:w="2854" w:type="dxa"/>
            <w:gridSpan w:val="2"/>
            <w:tcBorders>
              <w:top w:val="single" w:color="auto" w:sz="4" w:space="0"/>
              <w:left w:val="single" w:color="auto" w:sz="4" w:space="0"/>
              <w:bottom w:val="single" w:color="auto" w:sz="4" w:space="0"/>
              <w:right w:val="single" w:color="auto" w:sz="4" w:space="0"/>
            </w:tcBorders>
            <w:vAlign w:val="center"/>
          </w:tcPr>
          <w:p w14:paraId="7F170444">
            <w:pPr>
              <w:spacing w:line="360" w:lineRule="auto"/>
              <w:textAlignment w:val="baseline"/>
              <w:rPr>
                <w:rFonts w:ascii="宋体" w:hAnsi="宋体" w:cs="宋体"/>
                <w:color w:val="auto"/>
                <w:sz w:val="20"/>
                <w:szCs w:val="21"/>
                <w:highlight w:val="none"/>
                <w:u w:val="single"/>
              </w:rPr>
            </w:pPr>
          </w:p>
        </w:tc>
        <w:tc>
          <w:tcPr>
            <w:tcW w:w="1841" w:type="dxa"/>
            <w:gridSpan w:val="2"/>
            <w:tcBorders>
              <w:top w:val="single" w:color="auto" w:sz="4" w:space="0"/>
              <w:left w:val="single" w:color="auto" w:sz="4" w:space="0"/>
              <w:bottom w:val="single" w:color="auto" w:sz="4" w:space="0"/>
              <w:right w:val="single" w:color="auto" w:sz="4" w:space="0"/>
            </w:tcBorders>
            <w:vAlign w:val="center"/>
          </w:tcPr>
          <w:p w14:paraId="781C6946">
            <w:pPr>
              <w:spacing w:line="360" w:lineRule="auto"/>
              <w:textAlignment w:val="baseline"/>
              <w:rPr>
                <w:rFonts w:ascii="宋体" w:hAnsi="宋体" w:cs="宋体"/>
                <w:color w:val="auto"/>
                <w:sz w:val="20"/>
                <w:szCs w:val="21"/>
                <w:highlight w:val="none"/>
                <w:u w:val="single"/>
              </w:rPr>
            </w:pPr>
          </w:p>
        </w:tc>
        <w:tc>
          <w:tcPr>
            <w:tcW w:w="1571" w:type="dxa"/>
            <w:tcBorders>
              <w:top w:val="single" w:color="auto" w:sz="4" w:space="0"/>
              <w:left w:val="single" w:color="auto" w:sz="4" w:space="0"/>
              <w:bottom w:val="single" w:color="auto" w:sz="4" w:space="0"/>
            </w:tcBorders>
            <w:vAlign w:val="center"/>
          </w:tcPr>
          <w:p w14:paraId="01CD6150">
            <w:pPr>
              <w:spacing w:line="360" w:lineRule="auto"/>
              <w:textAlignment w:val="baseline"/>
              <w:rPr>
                <w:rFonts w:ascii="宋体" w:hAnsi="宋体" w:cs="宋体"/>
                <w:color w:val="auto"/>
                <w:sz w:val="20"/>
                <w:szCs w:val="21"/>
                <w:highlight w:val="none"/>
                <w:u w:val="single"/>
              </w:rPr>
            </w:pPr>
          </w:p>
        </w:tc>
      </w:tr>
      <w:tr w14:paraId="65A2297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4" w:hRule="atLeast"/>
          <w:jc w:val="center"/>
        </w:trPr>
        <w:tc>
          <w:tcPr>
            <w:tcW w:w="1768" w:type="dxa"/>
            <w:vMerge w:val="continue"/>
            <w:tcBorders>
              <w:right w:val="single" w:color="auto" w:sz="4" w:space="0"/>
            </w:tcBorders>
            <w:vAlign w:val="center"/>
          </w:tcPr>
          <w:p w14:paraId="77C07E5B">
            <w:pPr>
              <w:spacing w:line="360" w:lineRule="auto"/>
              <w:jc w:val="center"/>
              <w:textAlignment w:val="baseline"/>
              <w:rPr>
                <w:rFonts w:ascii="宋体" w:hAnsi="宋体" w:cs="宋体"/>
                <w:color w:val="auto"/>
                <w:sz w:val="20"/>
                <w:szCs w:val="21"/>
                <w:highlight w:val="none"/>
              </w:rPr>
            </w:pPr>
          </w:p>
        </w:tc>
        <w:tc>
          <w:tcPr>
            <w:tcW w:w="1209" w:type="dxa"/>
            <w:tcBorders>
              <w:top w:val="single" w:color="auto" w:sz="4" w:space="0"/>
              <w:left w:val="single" w:color="auto" w:sz="4" w:space="0"/>
              <w:bottom w:val="single" w:color="auto" w:sz="4" w:space="0"/>
              <w:right w:val="single" w:color="auto" w:sz="4" w:space="0"/>
            </w:tcBorders>
            <w:vAlign w:val="center"/>
          </w:tcPr>
          <w:p w14:paraId="769A1603">
            <w:pPr>
              <w:spacing w:line="360" w:lineRule="auto"/>
              <w:textAlignment w:val="baseline"/>
              <w:rPr>
                <w:rFonts w:ascii="宋体" w:hAnsi="宋体" w:cs="宋体"/>
                <w:color w:val="auto"/>
                <w:sz w:val="20"/>
                <w:szCs w:val="21"/>
                <w:highlight w:val="none"/>
                <w:u w:val="single"/>
              </w:rPr>
            </w:pPr>
          </w:p>
        </w:tc>
        <w:tc>
          <w:tcPr>
            <w:tcW w:w="2854" w:type="dxa"/>
            <w:gridSpan w:val="2"/>
            <w:tcBorders>
              <w:top w:val="single" w:color="auto" w:sz="4" w:space="0"/>
              <w:left w:val="single" w:color="auto" w:sz="4" w:space="0"/>
              <w:bottom w:val="single" w:color="auto" w:sz="4" w:space="0"/>
              <w:right w:val="single" w:color="auto" w:sz="4" w:space="0"/>
            </w:tcBorders>
            <w:vAlign w:val="center"/>
          </w:tcPr>
          <w:p w14:paraId="7142B75A">
            <w:pPr>
              <w:spacing w:line="360" w:lineRule="auto"/>
              <w:textAlignment w:val="baseline"/>
              <w:rPr>
                <w:rFonts w:ascii="宋体" w:hAnsi="宋体" w:cs="宋体"/>
                <w:color w:val="auto"/>
                <w:sz w:val="20"/>
                <w:szCs w:val="21"/>
                <w:highlight w:val="none"/>
                <w:u w:val="single"/>
              </w:rPr>
            </w:pPr>
          </w:p>
        </w:tc>
        <w:tc>
          <w:tcPr>
            <w:tcW w:w="1841" w:type="dxa"/>
            <w:gridSpan w:val="2"/>
            <w:tcBorders>
              <w:top w:val="single" w:color="auto" w:sz="4" w:space="0"/>
              <w:left w:val="single" w:color="auto" w:sz="4" w:space="0"/>
              <w:bottom w:val="single" w:color="auto" w:sz="4" w:space="0"/>
              <w:right w:val="single" w:color="auto" w:sz="4" w:space="0"/>
            </w:tcBorders>
            <w:vAlign w:val="center"/>
          </w:tcPr>
          <w:p w14:paraId="1AF59E42">
            <w:pPr>
              <w:spacing w:line="360" w:lineRule="auto"/>
              <w:textAlignment w:val="baseline"/>
              <w:rPr>
                <w:rFonts w:ascii="宋体" w:hAnsi="宋体" w:cs="宋体"/>
                <w:color w:val="auto"/>
                <w:sz w:val="20"/>
                <w:szCs w:val="21"/>
                <w:highlight w:val="none"/>
                <w:u w:val="single"/>
              </w:rPr>
            </w:pPr>
          </w:p>
        </w:tc>
        <w:tc>
          <w:tcPr>
            <w:tcW w:w="1571" w:type="dxa"/>
            <w:tcBorders>
              <w:top w:val="single" w:color="auto" w:sz="4" w:space="0"/>
              <w:left w:val="single" w:color="auto" w:sz="4" w:space="0"/>
              <w:bottom w:val="single" w:color="auto" w:sz="4" w:space="0"/>
            </w:tcBorders>
            <w:vAlign w:val="center"/>
          </w:tcPr>
          <w:p w14:paraId="32FE7732">
            <w:pPr>
              <w:spacing w:line="360" w:lineRule="auto"/>
              <w:textAlignment w:val="baseline"/>
              <w:rPr>
                <w:rFonts w:ascii="宋体" w:hAnsi="宋体" w:cs="宋体"/>
                <w:color w:val="auto"/>
                <w:sz w:val="20"/>
                <w:szCs w:val="21"/>
                <w:highlight w:val="none"/>
                <w:u w:val="single"/>
              </w:rPr>
            </w:pPr>
          </w:p>
        </w:tc>
      </w:tr>
      <w:tr w14:paraId="051004B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4" w:hRule="atLeast"/>
          <w:jc w:val="center"/>
        </w:trPr>
        <w:tc>
          <w:tcPr>
            <w:tcW w:w="1768" w:type="dxa"/>
            <w:vMerge w:val="restart"/>
            <w:tcBorders>
              <w:top w:val="single" w:color="auto" w:sz="4" w:space="0"/>
              <w:right w:val="single" w:color="auto" w:sz="4" w:space="0"/>
            </w:tcBorders>
            <w:vAlign w:val="center"/>
          </w:tcPr>
          <w:p w14:paraId="597A308D">
            <w:pPr>
              <w:spacing w:line="360" w:lineRule="auto"/>
              <w:jc w:val="center"/>
              <w:textAlignment w:val="baseline"/>
              <w:rPr>
                <w:rFonts w:ascii="宋体" w:hAnsi="宋体" w:cs="宋体"/>
                <w:color w:val="auto"/>
                <w:sz w:val="20"/>
                <w:szCs w:val="21"/>
                <w:highlight w:val="none"/>
              </w:rPr>
            </w:pPr>
            <w:r>
              <w:rPr>
                <w:rFonts w:hint="eastAsia" w:ascii="宋体" w:hAnsi="宋体" w:cs="宋体"/>
                <w:bCs/>
                <w:color w:val="auto"/>
                <w:szCs w:val="21"/>
                <w:highlight w:val="none"/>
              </w:rPr>
              <w:t>所获荣誉</w:t>
            </w:r>
          </w:p>
        </w:tc>
        <w:tc>
          <w:tcPr>
            <w:tcW w:w="1209" w:type="dxa"/>
            <w:tcBorders>
              <w:top w:val="single" w:color="auto" w:sz="4" w:space="0"/>
              <w:left w:val="single" w:color="auto" w:sz="4" w:space="0"/>
              <w:bottom w:val="single" w:color="auto" w:sz="4" w:space="0"/>
              <w:right w:val="single" w:color="auto" w:sz="4" w:space="0"/>
            </w:tcBorders>
            <w:vAlign w:val="center"/>
          </w:tcPr>
          <w:p w14:paraId="31DFF3E3">
            <w:pPr>
              <w:spacing w:line="360" w:lineRule="auto"/>
              <w:jc w:val="center"/>
              <w:textAlignment w:val="baseline"/>
              <w:rPr>
                <w:rFonts w:ascii="宋体" w:hAnsi="宋体" w:cs="宋体"/>
                <w:bCs/>
                <w:color w:val="auto"/>
                <w:sz w:val="20"/>
                <w:szCs w:val="21"/>
                <w:highlight w:val="none"/>
              </w:rPr>
            </w:pPr>
            <w:r>
              <w:rPr>
                <w:rFonts w:hint="eastAsia" w:ascii="宋体" w:hAnsi="宋体" w:cs="宋体"/>
                <w:bCs/>
                <w:color w:val="auto"/>
                <w:szCs w:val="21"/>
                <w:highlight w:val="none"/>
              </w:rPr>
              <w:t>荣誉名称</w:t>
            </w:r>
          </w:p>
        </w:tc>
        <w:tc>
          <w:tcPr>
            <w:tcW w:w="2854" w:type="dxa"/>
            <w:gridSpan w:val="2"/>
            <w:tcBorders>
              <w:top w:val="single" w:color="auto" w:sz="4" w:space="0"/>
              <w:left w:val="single" w:color="auto" w:sz="4" w:space="0"/>
              <w:bottom w:val="single" w:color="auto" w:sz="4" w:space="0"/>
              <w:right w:val="single" w:color="auto" w:sz="4" w:space="0"/>
            </w:tcBorders>
            <w:vAlign w:val="center"/>
          </w:tcPr>
          <w:p w14:paraId="1B1B6A27">
            <w:pPr>
              <w:widowControl/>
              <w:spacing w:line="360" w:lineRule="auto"/>
              <w:jc w:val="center"/>
              <w:textAlignment w:val="baseline"/>
              <w:rPr>
                <w:rFonts w:ascii="宋体" w:hAnsi="宋体" w:cs="宋体"/>
                <w:bCs/>
                <w:color w:val="auto"/>
                <w:sz w:val="20"/>
                <w:szCs w:val="21"/>
                <w:highlight w:val="none"/>
              </w:rPr>
            </w:pPr>
            <w:r>
              <w:rPr>
                <w:rFonts w:hint="eastAsia" w:ascii="宋体" w:hAnsi="宋体" w:cs="宋体"/>
                <w:bCs/>
                <w:color w:val="auto"/>
                <w:szCs w:val="21"/>
                <w:highlight w:val="none"/>
              </w:rPr>
              <w:t>颁发部门</w:t>
            </w:r>
          </w:p>
        </w:tc>
        <w:tc>
          <w:tcPr>
            <w:tcW w:w="1841" w:type="dxa"/>
            <w:gridSpan w:val="2"/>
            <w:tcBorders>
              <w:top w:val="single" w:color="auto" w:sz="4" w:space="0"/>
              <w:left w:val="single" w:color="auto" w:sz="4" w:space="0"/>
              <w:bottom w:val="single" w:color="auto" w:sz="4" w:space="0"/>
              <w:right w:val="single" w:color="auto" w:sz="4" w:space="0"/>
            </w:tcBorders>
            <w:vAlign w:val="center"/>
          </w:tcPr>
          <w:p w14:paraId="3FD8B528">
            <w:pPr>
              <w:widowControl/>
              <w:spacing w:line="360" w:lineRule="auto"/>
              <w:jc w:val="center"/>
              <w:textAlignment w:val="baseline"/>
              <w:rPr>
                <w:rFonts w:ascii="宋体" w:hAnsi="宋体" w:cs="宋体"/>
                <w:bCs/>
                <w:color w:val="auto"/>
                <w:sz w:val="20"/>
                <w:szCs w:val="21"/>
                <w:highlight w:val="none"/>
              </w:rPr>
            </w:pPr>
            <w:r>
              <w:rPr>
                <w:rFonts w:hint="eastAsia" w:ascii="宋体" w:hAnsi="宋体" w:cs="宋体"/>
                <w:bCs/>
                <w:color w:val="auto"/>
                <w:szCs w:val="21"/>
                <w:highlight w:val="none"/>
              </w:rPr>
              <w:t>颁发时间</w:t>
            </w:r>
          </w:p>
        </w:tc>
        <w:tc>
          <w:tcPr>
            <w:tcW w:w="1571" w:type="dxa"/>
            <w:tcBorders>
              <w:top w:val="single" w:color="auto" w:sz="4" w:space="0"/>
              <w:left w:val="single" w:color="auto" w:sz="4" w:space="0"/>
              <w:bottom w:val="single" w:color="auto" w:sz="4" w:space="0"/>
            </w:tcBorders>
            <w:vAlign w:val="center"/>
          </w:tcPr>
          <w:p w14:paraId="46A182C1">
            <w:pPr>
              <w:widowControl/>
              <w:spacing w:line="360" w:lineRule="auto"/>
              <w:jc w:val="center"/>
              <w:textAlignment w:val="baseline"/>
              <w:rPr>
                <w:rFonts w:ascii="宋体" w:hAnsi="宋体" w:cs="宋体"/>
                <w:bCs/>
                <w:color w:val="auto"/>
                <w:sz w:val="20"/>
                <w:szCs w:val="21"/>
                <w:highlight w:val="none"/>
              </w:rPr>
            </w:pPr>
            <w:r>
              <w:rPr>
                <w:rFonts w:hint="eastAsia" w:ascii="宋体" w:hAnsi="宋体" w:cs="宋体"/>
                <w:bCs/>
                <w:color w:val="auto"/>
                <w:szCs w:val="21"/>
                <w:highlight w:val="none"/>
              </w:rPr>
              <w:t>有效期</w:t>
            </w:r>
          </w:p>
        </w:tc>
      </w:tr>
      <w:tr w14:paraId="0B69330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4" w:hRule="atLeast"/>
          <w:jc w:val="center"/>
        </w:trPr>
        <w:tc>
          <w:tcPr>
            <w:tcW w:w="1768" w:type="dxa"/>
            <w:vMerge w:val="continue"/>
            <w:tcBorders>
              <w:right w:val="single" w:color="auto" w:sz="4" w:space="0"/>
            </w:tcBorders>
            <w:vAlign w:val="center"/>
          </w:tcPr>
          <w:p w14:paraId="6A39F77A">
            <w:pPr>
              <w:spacing w:line="360" w:lineRule="auto"/>
              <w:jc w:val="center"/>
              <w:textAlignment w:val="baseline"/>
              <w:rPr>
                <w:rFonts w:ascii="宋体" w:hAnsi="宋体" w:cs="宋体"/>
                <w:color w:val="auto"/>
                <w:sz w:val="20"/>
                <w:szCs w:val="21"/>
                <w:highlight w:val="none"/>
              </w:rPr>
            </w:pPr>
          </w:p>
        </w:tc>
        <w:tc>
          <w:tcPr>
            <w:tcW w:w="1209" w:type="dxa"/>
            <w:tcBorders>
              <w:top w:val="single" w:color="auto" w:sz="4" w:space="0"/>
              <w:left w:val="single" w:color="auto" w:sz="4" w:space="0"/>
              <w:bottom w:val="single" w:color="auto" w:sz="4" w:space="0"/>
              <w:right w:val="single" w:color="auto" w:sz="4" w:space="0"/>
            </w:tcBorders>
            <w:vAlign w:val="center"/>
          </w:tcPr>
          <w:p w14:paraId="0F51BB7E">
            <w:pPr>
              <w:spacing w:line="360" w:lineRule="auto"/>
              <w:textAlignment w:val="baseline"/>
              <w:rPr>
                <w:rFonts w:ascii="宋体" w:hAnsi="宋体" w:cs="宋体"/>
                <w:color w:val="auto"/>
                <w:sz w:val="20"/>
                <w:szCs w:val="21"/>
                <w:highlight w:val="none"/>
                <w:u w:val="single"/>
              </w:rPr>
            </w:pPr>
          </w:p>
        </w:tc>
        <w:tc>
          <w:tcPr>
            <w:tcW w:w="2854" w:type="dxa"/>
            <w:gridSpan w:val="2"/>
            <w:tcBorders>
              <w:top w:val="single" w:color="auto" w:sz="4" w:space="0"/>
              <w:left w:val="single" w:color="auto" w:sz="4" w:space="0"/>
              <w:bottom w:val="single" w:color="auto" w:sz="4" w:space="0"/>
              <w:right w:val="single" w:color="auto" w:sz="4" w:space="0"/>
            </w:tcBorders>
            <w:vAlign w:val="center"/>
          </w:tcPr>
          <w:p w14:paraId="222577CB">
            <w:pPr>
              <w:spacing w:line="360" w:lineRule="auto"/>
              <w:textAlignment w:val="baseline"/>
              <w:rPr>
                <w:rFonts w:ascii="宋体" w:hAnsi="宋体" w:cs="宋体"/>
                <w:color w:val="auto"/>
                <w:sz w:val="20"/>
                <w:szCs w:val="21"/>
                <w:highlight w:val="none"/>
                <w:u w:val="single"/>
              </w:rPr>
            </w:pPr>
          </w:p>
        </w:tc>
        <w:tc>
          <w:tcPr>
            <w:tcW w:w="1841" w:type="dxa"/>
            <w:gridSpan w:val="2"/>
            <w:tcBorders>
              <w:top w:val="single" w:color="auto" w:sz="4" w:space="0"/>
              <w:left w:val="single" w:color="auto" w:sz="4" w:space="0"/>
              <w:bottom w:val="single" w:color="auto" w:sz="4" w:space="0"/>
              <w:right w:val="single" w:color="auto" w:sz="4" w:space="0"/>
            </w:tcBorders>
            <w:vAlign w:val="center"/>
          </w:tcPr>
          <w:p w14:paraId="0504B6EB">
            <w:pPr>
              <w:spacing w:line="360" w:lineRule="auto"/>
              <w:textAlignment w:val="baseline"/>
              <w:rPr>
                <w:rFonts w:ascii="宋体" w:hAnsi="宋体" w:cs="宋体"/>
                <w:color w:val="auto"/>
                <w:sz w:val="20"/>
                <w:szCs w:val="21"/>
                <w:highlight w:val="none"/>
                <w:u w:val="single"/>
              </w:rPr>
            </w:pPr>
          </w:p>
        </w:tc>
        <w:tc>
          <w:tcPr>
            <w:tcW w:w="1571" w:type="dxa"/>
            <w:tcBorders>
              <w:top w:val="single" w:color="auto" w:sz="4" w:space="0"/>
              <w:left w:val="single" w:color="auto" w:sz="4" w:space="0"/>
              <w:bottom w:val="single" w:color="auto" w:sz="4" w:space="0"/>
            </w:tcBorders>
            <w:vAlign w:val="center"/>
          </w:tcPr>
          <w:p w14:paraId="01100F67">
            <w:pPr>
              <w:spacing w:line="360" w:lineRule="auto"/>
              <w:textAlignment w:val="baseline"/>
              <w:rPr>
                <w:rFonts w:ascii="宋体" w:hAnsi="宋体" w:cs="宋体"/>
                <w:color w:val="auto"/>
                <w:sz w:val="20"/>
                <w:szCs w:val="21"/>
                <w:highlight w:val="none"/>
                <w:u w:val="single"/>
              </w:rPr>
            </w:pPr>
          </w:p>
        </w:tc>
      </w:tr>
      <w:tr w14:paraId="786465C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4" w:hRule="atLeast"/>
          <w:jc w:val="center"/>
        </w:trPr>
        <w:tc>
          <w:tcPr>
            <w:tcW w:w="1768" w:type="dxa"/>
            <w:vMerge w:val="continue"/>
            <w:tcBorders>
              <w:right w:val="single" w:color="auto" w:sz="4" w:space="0"/>
            </w:tcBorders>
            <w:vAlign w:val="center"/>
          </w:tcPr>
          <w:p w14:paraId="4BF8669A">
            <w:pPr>
              <w:spacing w:line="360" w:lineRule="auto"/>
              <w:jc w:val="center"/>
              <w:textAlignment w:val="baseline"/>
              <w:rPr>
                <w:rFonts w:ascii="宋体" w:hAnsi="宋体" w:cs="宋体"/>
                <w:color w:val="auto"/>
                <w:sz w:val="20"/>
                <w:szCs w:val="21"/>
                <w:highlight w:val="none"/>
              </w:rPr>
            </w:pPr>
          </w:p>
        </w:tc>
        <w:tc>
          <w:tcPr>
            <w:tcW w:w="1209" w:type="dxa"/>
            <w:tcBorders>
              <w:top w:val="single" w:color="auto" w:sz="4" w:space="0"/>
              <w:left w:val="single" w:color="auto" w:sz="4" w:space="0"/>
              <w:bottom w:val="single" w:color="auto" w:sz="4" w:space="0"/>
              <w:right w:val="single" w:color="auto" w:sz="4" w:space="0"/>
            </w:tcBorders>
            <w:vAlign w:val="center"/>
          </w:tcPr>
          <w:p w14:paraId="2D12725C">
            <w:pPr>
              <w:spacing w:line="360" w:lineRule="auto"/>
              <w:textAlignment w:val="baseline"/>
              <w:rPr>
                <w:rFonts w:ascii="宋体" w:hAnsi="宋体" w:cs="宋体"/>
                <w:color w:val="auto"/>
                <w:sz w:val="20"/>
                <w:szCs w:val="21"/>
                <w:highlight w:val="none"/>
                <w:u w:val="single"/>
              </w:rPr>
            </w:pPr>
          </w:p>
        </w:tc>
        <w:tc>
          <w:tcPr>
            <w:tcW w:w="2854" w:type="dxa"/>
            <w:gridSpan w:val="2"/>
            <w:tcBorders>
              <w:top w:val="single" w:color="auto" w:sz="4" w:space="0"/>
              <w:left w:val="single" w:color="auto" w:sz="4" w:space="0"/>
              <w:bottom w:val="single" w:color="auto" w:sz="4" w:space="0"/>
              <w:right w:val="single" w:color="auto" w:sz="4" w:space="0"/>
            </w:tcBorders>
            <w:vAlign w:val="center"/>
          </w:tcPr>
          <w:p w14:paraId="653B0C84">
            <w:pPr>
              <w:spacing w:line="360" w:lineRule="auto"/>
              <w:textAlignment w:val="baseline"/>
              <w:rPr>
                <w:rFonts w:ascii="宋体" w:hAnsi="宋体" w:cs="宋体"/>
                <w:color w:val="auto"/>
                <w:sz w:val="20"/>
                <w:szCs w:val="21"/>
                <w:highlight w:val="none"/>
                <w:u w:val="single"/>
              </w:rPr>
            </w:pPr>
          </w:p>
        </w:tc>
        <w:tc>
          <w:tcPr>
            <w:tcW w:w="1841" w:type="dxa"/>
            <w:gridSpan w:val="2"/>
            <w:tcBorders>
              <w:top w:val="single" w:color="auto" w:sz="4" w:space="0"/>
              <w:left w:val="single" w:color="auto" w:sz="4" w:space="0"/>
              <w:bottom w:val="single" w:color="auto" w:sz="4" w:space="0"/>
              <w:right w:val="single" w:color="auto" w:sz="4" w:space="0"/>
            </w:tcBorders>
            <w:vAlign w:val="center"/>
          </w:tcPr>
          <w:p w14:paraId="79669984">
            <w:pPr>
              <w:spacing w:line="360" w:lineRule="auto"/>
              <w:textAlignment w:val="baseline"/>
              <w:rPr>
                <w:rFonts w:ascii="宋体" w:hAnsi="宋体" w:cs="宋体"/>
                <w:color w:val="auto"/>
                <w:sz w:val="20"/>
                <w:szCs w:val="21"/>
                <w:highlight w:val="none"/>
                <w:u w:val="single"/>
              </w:rPr>
            </w:pPr>
          </w:p>
        </w:tc>
        <w:tc>
          <w:tcPr>
            <w:tcW w:w="1571" w:type="dxa"/>
            <w:tcBorders>
              <w:top w:val="single" w:color="auto" w:sz="4" w:space="0"/>
              <w:left w:val="single" w:color="auto" w:sz="4" w:space="0"/>
              <w:bottom w:val="single" w:color="auto" w:sz="4" w:space="0"/>
            </w:tcBorders>
            <w:vAlign w:val="center"/>
          </w:tcPr>
          <w:p w14:paraId="6937D7D7">
            <w:pPr>
              <w:spacing w:line="360" w:lineRule="auto"/>
              <w:textAlignment w:val="baseline"/>
              <w:rPr>
                <w:rFonts w:ascii="宋体" w:hAnsi="宋体" w:cs="宋体"/>
                <w:color w:val="auto"/>
                <w:sz w:val="20"/>
                <w:szCs w:val="21"/>
                <w:highlight w:val="none"/>
                <w:u w:val="single"/>
              </w:rPr>
            </w:pPr>
          </w:p>
        </w:tc>
      </w:tr>
      <w:tr w14:paraId="5E1302F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4" w:hRule="atLeast"/>
          <w:jc w:val="center"/>
        </w:trPr>
        <w:tc>
          <w:tcPr>
            <w:tcW w:w="1768" w:type="dxa"/>
            <w:vMerge w:val="continue"/>
            <w:tcBorders>
              <w:bottom w:val="single" w:color="auto" w:sz="4" w:space="0"/>
              <w:right w:val="single" w:color="auto" w:sz="4" w:space="0"/>
            </w:tcBorders>
            <w:vAlign w:val="center"/>
          </w:tcPr>
          <w:p w14:paraId="2CC2454A">
            <w:pPr>
              <w:spacing w:line="360" w:lineRule="auto"/>
              <w:jc w:val="center"/>
              <w:textAlignment w:val="baseline"/>
              <w:rPr>
                <w:rFonts w:ascii="宋体" w:hAnsi="宋体" w:cs="宋体"/>
                <w:color w:val="auto"/>
                <w:sz w:val="20"/>
                <w:szCs w:val="21"/>
                <w:highlight w:val="none"/>
              </w:rPr>
            </w:pPr>
          </w:p>
        </w:tc>
        <w:tc>
          <w:tcPr>
            <w:tcW w:w="1209" w:type="dxa"/>
            <w:tcBorders>
              <w:top w:val="single" w:color="auto" w:sz="4" w:space="0"/>
              <w:left w:val="single" w:color="auto" w:sz="4" w:space="0"/>
              <w:bottom w:val="single" w:color="auto" w:sz="4" w:space="0"/>
              <w:right w:val="single" w:color="auto" w:sz="4" w:space="0"/>
            </w:tcBorders>
            <w:vAlign w:val="center"/>
          </w:tcPr>
          <w:p w14:paraId="57F091E8">
            <w:pPr>
              <w:spacing w:line="360" w:lineRule="auto"/>
              <w:textAlignment w:val="baseline"/>
              <w:rPr>
                <w:rFonts w:ascii="宋体" w:hAnsi="宋体" w:cs="宋体"/>
                <w:color w:val="auto"/>
                <w:sz w:val="20"/>
                <w:szCs w:val="21"/>
                <w:highlight w:val="none"/>
                <w:u w:val="single"/>
              </w:rPr>
            </w:pPr>
          </w:p>
        </w:tc>
        <w:tc>
          <w:tcPr>
            <w:tcW w:w="2854" w:type="dxa"/>
            <w:gridSpan w:val="2"/>
            <w:tcBorders>
              <w:top w:val="single" w:color="auto" w:sz="4" w:space="0"/>
              <w:left w:val="single" w:color="auto" w:sz="4" w:space="0"/>
              <w:bottom w:val="single" w:color="auto" w:sz="4" w:space="0"/>
              <w:right w:val="single" w:color="auto" w:sz="4" w:space="0"/>
            </w:tcBorders>
            <w:vAlign w:val="center"/>
          </w:tcPr>
          <w:p w14:paraId="2F84CB23">
            <w:pPr>
              <w:spacing w:line="360" w:lineRule="auto"/>
              <w:textAlignment w:val="baseline"/>
              <w:rPr>
                <w:rFonts w:ascii="宋体" w:hAnsi="宋体" w:cs="宋体"/>
                <w:color w:val="auto"/>
                <w:sz w:val="20"/>
                <w:szCs w:val="21"/>
                <w:highlight w:val="none"/>
                <w:u w:val="single"/>
              </w:rPr>
            </w:pPr>
          </w:p>
        </w:tc>
        <w:tc>
          <w:tcPr>
            <w:tcW w:w="1841" w:type="dxa"/>
            <w:gridSpan w:val="2"/>
            <w:tcBorders>
              <w:top w:val="single" w:color="auto" w:sz="4" w:space="0"/>
              <w:left w:val="single" w:color="auto" w:sz="4" w:space="0"/>
              <w:bottom w:val="single" w:color="auto" w:sz="4" w:space="0"/>
              <w:right w:val="single" w:color="auto" w:sz="4" w:space="0"/>
            </w:tcBorders>
            <w:vAlign w:val="center"/>
          </w:tcPr>
          <w:p w14:paraId="2E124729">
            <w:pPr>
              <w:spacing w:line="360" w:lineRule="auto"/>
              <w:textAlignment w:val="baseline"/>
              <w:rPr>
                <w:rFonts w:ascii="宋体" w:hAnsi="宋体" w:cs="宋体"/>
                <w:color w:val="auto"/>
                <w:sz w:val="20"/>
                <w:szCs w:val="21"/>
                <w:highlight w:val="none"/>
                <w:u w:val="single"/>
              </w:rPr>
            </w:pPr>
          </w:p>
        </w:tc>
        <w:tc>
          <w:tcPr>
            <w:tcW w:w="1571" w:type="dxa"/>
            <w:tcBorders>
              <w:top w:val="single" w:color="auto" w:sz="4" w:space="0"/>
              <w:left w:val="single" w:color="auto" w:sz="4" w:space="0"/>
              <w:bottom w:val="single" w:color="auto" w:sz="4" w:space="0"/>
            </w:tcBorders>
            <w:vAlign w:val="center"/>
          </w:tcPr>
          <w:p w14:paraId="7141E49B">
            <w:pPr>
              <w:spacing w:line="360" w:lineRule="auto"/>
              <w:textAlignment w:val="baseline"/>
              <w:rPr>
                <w:rFonts w:ascii="宋体" w:hAnsi="宋体" w:cs="宋体"/>
                <w:color w:val="auto"/>
                <w:sz w:val="20"/>
                <w:szCs w:val="21"/>
                <w:highlight w:val="none"/>
                <w:u w:val="single"/>
              </w:rPr>
            </w:pPr>
          </w:p>
        </w:tc>
      </w:tr>
      <w:tr w14:paraId="4F19268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026" w:hRule="atLeast"/>
          <w:jc w:val="center"/>
        </w:trPr>
        <w:tc>
          <w:tcPr>
            <w:tcW w:w="1768" w:type="dxa"/>
            <w:tcBorders>
              <w:top w:val="single" w:color="auto" w:sz="4" w:space="0"/>
              <w:bottom w:val="single" w:color="auto" w:sz="4" w:space="0"/>
              <w:right w:val="single" w:color="auto" w:sz="4" w:space="0"/>
            </w:tcBorders>
            <w:vAlign w:val="center"/>
          </w:tcPr>
          <w:p w14:paraId="718B09C7">
            <w:pPr>
              <w:spacing w:line="360" w:lineRule="auto"/>
              <w:jc w:val="center"/>
              <w:textAlignment w:val="baseline"/>
              <w:rPr>
                <w:rFonts w:ascii="宋体" w:hAnsi="宋体" w:cs="宋体"/>
                <w:bCs/>
                <w:color w:val="auto"/>
                <w:sz w:val="20"/>
                <w:szCs w:val="21"/>
                <w:highlight w:val="none"/>
              </w:rPr>
            </w:pPr>
            <w:r>
              <w:rPr>
                <w:rFonts w:hint="eastAsia" w:ascii="宋体" w:hAnsi="宋体" w:cs="宋体"/>
                <w:bCs/>
                <w:color w:val="auto"/>
                <w:szCs w:val="21"/>
                <w:highlight w:val="none"/>
              </w:rPr>
              <w:t>经营范围</w:t>
            </w:r>
          </w:p>
        </w:tc>
        <w:tc>
          <w:tcPr>
            <w:tcW w:w="7475" w:type="dxa"/>
            <w:gridSpan w:val="6"/>
            <w:tcBorders>
              <w:top w:val="single" w:color="auto" w:sz="4" w:space="0"/>
              <w:left w:val="single" w:color="auto" w:sz="4" w:space="0"/>
              <w:bottom w:val="single" w:color="auto" w:sz="4" w:space="0"/>
            </w:tcBorders>
            <w:vAlign w:val="center"/>
          </w:tcPr>
          <w:p w14:paraId="6B1CEE15">
            <w:pPr>
              <w:pStyle w:val="14"/>
              <w:tabs>
                <w:tab w:val="left" w:pos="1800"/>
                <w:tab w:val="left" w:pos="1980"/>
              </w:tabs>
              <w:spacing w:line="360" w:lineRule="auto"/>
              <w:ind w:left="420" w:firstLine="42"/>
              <w:textAlignment w:val="baseline"/>
              <w:rPr>
                <w:rFonts w:ascii="宋体" w:hAnsi="宋体" w:eastAsia="宋体" w:cs="宋体"/>
                <w:color w:val="auto"/>
                <w:sz w:val="21"/>
                <w:szCs w:val="21"/>
                <w:highlight w:val="none"/>
              </w:rPr>
            </w:pPr>
          </w:p>
        </w:tc>
      </w:tr>
      <w:tr w14:paraId="6EBB3CF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9" w:hRule="atLeast"/>
          <w:jc w:val="center"/>
        </w:trPr>
        <w:tc>
          <w:tcPr>
            <w:tcW w:w="1768" w:type="dxa"/>
            <w:tcBorders>
              <w:top w:val="single" w:color="auto" w:sz="4" w:space="0"/>
              <w:bottom w:val="single" w:color="auto" w:sz="4" w:space="0"/>
              <w:right w:val="single" w:color="auto" w:sz="4" w:space="0"/>
            </w:tcBorders>
            <w:vAlign w:val="center"/>
          </w:tcPr>
          <w:p w14:paraId="3D114A30">
            <w:pPr>
              <w:spacing w:line="360" w:lineRule="auto"/>
              <w:jc w:val="center"/>
              <w:textAlignment w:val="baseline"/>
              <w:rPr>
                <w:rFonts w:ascii="宋体" w:hAnsi="宋体" w:cs="宋体"/>
                <w:bCs/>
                <w:color w:val="auto"/>
                <w:sz w:val="20"/>
                <w:szCs w:val="21"/>
                <w:highlight w:val="none"/>
              </w:rPr>
            </w:pPr>
            <w:r>
              <w:rPr>
                <w:rFonts w:hint="eastAsia" w:ascii="宋体" w:hAnsi="宋体" w:cs="宋体"/>
                <w:bCs/>
                <w:color w:val="auto"/>
                <w:szCs w:val="21"/>
                <w:highlight w:val="none"/>
              </w:rPr>
              <w:t>其他</w:t>
            </w:r>
          </w:p>
        </w:tc>
        <w:tc>
          <w:tcPr>
            <w:tcW w:w="7475" w:type="dxa"/>
            <w:gridSpan w:val="6"/>
            <w:tcBorders>
              <w:top w:val="single" w:color="auto" w:sz="4" w:space="0"/>
              <w:left w:val="single" w:color="auto" w:sz="4" w:space="0"/>
              <w:bottom w:val="single" w:color="auto" w:sz="4" w:space="0"/>
            </w:tcBorders>
            <w:vAlign w:val="center"/>
          </w:tcPr>
          <w:p w14:paraId="01B21D5C">
            <w:pPr>
              <w:spacing w:line="360" w:lineRule="auto"/>
              <w:textAlignment w:val="baseline"/>
              <w:rPr>
                <w:rFonts w:ascii="宋体" w:hAnsi="宋体" w:cs="宋体"/>
                <w:bCs/>
                <w:color w:val="auto"/>
                <w:sz w:val="20"/>
                <w:szCs w:val="21"/>
                <w:highlight w:val="none"/>
              </w:rPr>
            </w:pPr>
          </w:p>
        </w:tc>
      </w:tr>
    </w:tbl>
    <w:p w14:paraId="69CB9FA9">
      <w:pPr>
        <w:spacing w:line="360" w:lineRule="auto"/>
        <w:ind w:firstLine="90"/>
        <w:textAlignment w:val="baseline"/>
        <w:rPr>
          <w:rFonts w:ascii="宋体" w:hAnsi="宋体" w:cs="宋体"/>
          <w:color w:val="auto"/>
          <w:sz w:val="18"/>
          <w:szCs w:val="18"/>
          <w:highlight w:val="none"/>
        </w:rPr>
      </w:pPr>
      <w:r>
        <w:rPr>
          <w:rFonts w:hint="eastAsia" w:ascii="宋体" w:hAnsi="宋体" w:cs="宋体"/>
          <w:color w:val="auto"/>
          <w:sz w:val="18"/>
          <w:szCs w:val="18"/>
          <w:highlight w:val="none"/>
        </w:rPr>
        <w:t>注：1、表格内容不够,可另附页。</w:t>
      </w:r>
    </w:p>
    <w:p w14:paraId="005AE7F2">
      <w:pPr>
        <w:spacing w:line="360" w:lineRule="auto"/>
        <w:ind w:firstLine="435"/>
        <w:textAlignment w:val="baseline"/>
        <w:rPr>
          <w:rFonts w:ascii="宋体" w:hAnsi="宋体" w:cs="宋体"/>
          <w:b/>
          <w:color w:val="auto"/>
          <w:sz w:val="24"/>
          <w:highlight w:val="none"/>
        </w:rPr>
      </w:pPr>
      <w:r>
        <w:rPr>
          <w:rFonts w:hint="eastAsia" w:ascii="宋体" w:hAnsi="宋体" w:cs="宋体"/>
          <w:color w:val="auto"/>
          <w:sz w:val="18"/>
          <w:szCs w:val="18"/>
          <w:highlight w:val="none"/>
        </w:rPr>
        <w:t>2、企业营业执照、所获认证证书、荣誉资料的复印件附后。</w:t>
      </w:r>
    </w:p>
    <w:p w14:paraId="597A668A">
      <w:pPr>
        <w:spacing w:line="440" w:lineRule="exact"/>
        <w:ind w:firstLine="4860"/>
        <w:jc w:val="left"/>
        <w:textAlignment w:val="baseline"/>
        <w:rPr>
          <w:rFonts w:ascii="宋体" w:hAnsi="宋体" w:cs="宋体"/>
          <w:b/>
          <w:bCs/>
          <w:color w:val="auto"/>
          <w:sz w:val="20"/>
          <w:szCs w:val="21"/>
          <w:highlight w:val="none"/>
          <w:u w:val="single" w:color="000000"/>
        </w:rPr>
      </w:pPr>
      <w:r>
        <w:rPr>
          <w:rFonts w:hint="eastAsia" w:ascii="宋体" w:hAnsi="宋体" w:cs="宋体"/>
          <w:b/>
          <w:bCs/>
          <w:color w:val="auto"/>
          <w:sz w:val="24"/>
          <w:highlight w:val="none"/>
        </w:rPr>
        <w:t>供应商名称（盖章）：</w:t>
      </w:r>
    </w:p>
    <w:p w14:paraId="0FDD894B">
      <w:pPr>
        <w:spacing w:line="440" w:lineRule="exact"/>
        <w:ind w:firstLine="4860"/>
        <w:jc w:val="left"/>
        <w:textAlignment w:val="baseline"/>
        <w:rPr>
          <w:rFonts w:ascii="宋体" w:hAnsi="宋体" w:cs="宋体"/>
          <w:color w:val="auto"/>
          <w:sz w:val="20"/>
          <w:szCs w:val="21"/>
          <w:highlight w:val="none"/>
          <w:u w:val="single" w:color="000000"/>
        </w:rPr>
      </w:pPr>
      <w:r>
        <w:rPr>
          <w:rFonts w:hint="eastAsia" w:ascii="宋体" w:hAnsi="宋体" w:cs="宋体"/>
          <w:b/>
          <w:bCs/>
          <w:color w:val="auto"/>
          <w:szCs w:val="21"/>
          <w:highlight w:val="none"/>
        </w:rPr>
        <w:t>日期：年月日</w:t>
      </w:r>
    </w:p>
    <w:p w14:paraId="60A6919B">
      <w:pPr>
        <w:spacing w:line="460" w:lineRule="exact"/>
        <w:textAlignment w:val="baseline"/>
        <w:rPr>
          <w:rFonts w:ascii="宋体" w:hAnsi="宋体" w:cs="宋体"/>
          <w:b/>
          <w:bCs/>
          <w:color w:val="auto"/>
          <w:kern w:val="0"/>
          <w:sz w:val="30"/>
          <w:szCs w:val="30"/>
          <w:highlight w:val="none"/>
        </w:rPr>
      </w:pPr>
      <w:r>
        <w:rPr>
          <w:rFonts w:hint="eastAsia" w:ascii="宋体" w:hAnsi="宋体" w:cs="宋体"/>
          <w:b/>
          <w:bCs/>
          <w:color w:val="auto"/>
          <w:kern w:val="0"/>
          <w:sz w:val="30"/>
          <w:szCs w:val="30"/>
          <w:highlight w:val="none"/>
        </w:rPr>
        <w:br w:type="page"/>
      </w:r>
    </w:p>
    <w:p w14:paraId="00B2C9FE">
      <w:pPr>
        <w:spacing w:line="460" w:lineRule="exact"/>
        <w:textAlignment w:val="baseline"/>
        <w:outlineLvl w:val="0"/>
        <w:rPr>
          <w:rFonts w:hint="default" w:ascii="宋体" w:hAnsi="宋体" w:eastAsia="宋体" w:cs="宋体"/>
          <w:b/>
          <w:color w:val="auto"/>
          <w:sz w:val="30"/>
          <w:highlight w:val="none"/>
          <w:lang w:val="en-US" w:eastAsia="zh-CN"/>
        </w:rPr>
      </w:pPr>
      <w:bookmarkStart w:id="98" w:name="_Toc3763"/>
      <w:r>
        <w:rPr>
          <w:rFonts w:hint="eastAsia" w:ascii="宋体" w:hAnsi="宋体" w:cs="宋体"/>
          <w:b/>
          <w:bCs/>
          <w:color w:val="auto"/>
          <w:sz w:val="22"/>
          <w:highlight w:val="none"/>
        </w:rPr>
        <w:t>附件</w:t>
      </w:r>
      <w:bookmarkEnd w:id="98"/>
      <w:r>
        <w:rPr>
          <w:rFonts w:hint="eastAsia" w:ascii="宋体" w:hAnsi="宋体" w:cs="宋体"/>
          <w:b/>
          <w:bCs/>
          <w:color w:val="auto"/>
          <w:sz w:val="22"/>
          <w:highlight w:val="none"/>
          <w:lang w:val="en-US" w:eastAsia="zh-CN"/>
        </w:rPr>
        <w:t>8</w:t>
      </w:r>
    </w:p>
    <w:p w14:paraId="16E14772">
      <w:pPr>
        <w:widowControl/>
        <w:spacing w:line="420" w:lineRule="atLeast"/>
        <w:jc w:val="center"/>
        <w:textAlignment w:val="baseline"/>
        <w:rPr>
          <w:rFonts w:ascii="宋体" w:hAnsi="宋体" w:cs="宋体"/>
          <w:color w:val="auto"/>
          <w:highlight w:val="none"/>
        </w:rPr>
      </w:pPr>
      <w:r>
        <w:rPr>
          <w:rFonts w:hint="eastAsia" w:ascii="宋体" w:hAnsi="宋体" w:cs="宋体"/>
          <w:b/>
          <w:bCs/>
          <w:color w:val="auto"/>
          <w:kern w:val="0"/>
          <w:sz w:val="30"/>
          <w:szCs w:val="30"/>
          <w:highlight w:val="none"/>
        </w:rPr>
        <w:t>偏离表</w:t>
      </w:r>
    </w:p>
    <w:p w14:paraId="10844F91">
      <w:pPr>
        <w:pStyle w:val="55"/>
        <w:rPr>
          <w:rFonts w:ascii="宋体" w:hAnsi="宋体" w:cs="宋体"/>
          <w:color w:val="auto"/>
          <w:highlight w:val="none"/>
        </w:rPr>
      </w:pPr>
    </w:p>
    <w:p w14:paraId="6E6C430F">
      <w:pPr>
        <w:pStyle w:val="30"/>
        <w:ind w:firstLine="42"/>
        <w:rPr>
          <w:rFonts w:hint="eastAsia" w:ascii="宋体" w:hAnsi="宋体" w:eastAsia="宋体"/>
          <w:color w:val="auto"/>
          <w:highlight w:val="none"/>
          <w:lang w:eastAsia="zh-CN"/>
        </w:rPr>
      </w:pPr>
      <w:r>
        <w:rPr>
          <w:rFonts w:hint="eastAsia" w:ascii="宋体" w:hAnsi="宋体" w:eastAsia="宋体"/>
          <w:color w:val="auto"/>
          <w:highlight w:val="none"/>
        </w:rPr>
        <w:t xml:space="preserve">项目名称： </w:t>
      </w:r>
      <w:r>
        <w:rPr>
          <w:rFonts w:hint="eastAsia" w:ascii="宋体" w:hAnsi="宋体" w:eastAsia="宋体"/>
          <w:color w:val="auto"/>
          <w:highlight w:val="none"/>
          <w:lang w:eastAsia="zh-CN"/>
        </w:rPr>
        <w:t>2025年交通事故痕迹鉴定及车辆鉴定技术服务项目</w:t>
      </w:r>
    </w:p>
    <w:p w14:paraId="0AC6935D">
      <w:pPr>
        <w:pStyle w:val="30"/>
        <w:ind w:firstLine="42"/>
        <w:rPr>
          <w:rFonts w:hint="eastAsia" w:ascii="宋体" w:hAnsi="宋体" w:eastAsia="宋体"/>
          <w:color w:val="auto"/>
          <w:highlight w:val="none"/>
          <w:lang w:eastAsia="zh-CN"/>
        </w:rPr>
      </w:pPr>
      <w:r>
        <w:rPr>
          <w:rFonts w:hint="eastAsia" w:ascii="宋体" w:hAnsi="宋体" w:eastAsia="宋体"/>
          <w:color w:val="auto"/>
          <w:highlight w:val="none"/>
        </w:rPr>
        <w:t>项目编号：</w:t>
      </w:r>
      <w:r>
        <w:rPr>
          <w:rFonts w:hint="eastAsia" w:ascii="宋体" w:hAnsi="宋体" w:eastAsia="宋体"/>
          <w:color w:val="auto"/>
          <w:highlight w:val="none"/>
          <w:lang w:eastAsia="zh-CN"/>
        </w:rPr>
        <w:t>CSKC-CS202504</w:t>
      </w:r>
    </w:p>
    <w:tbl>
      <w:tblPr>
        <w:tblStyle w:val="32"/>
        <w:tblW w:w="95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15"/>
        <w:gridCol w:w="2148"/>
        <w:gridCol w:w="2040"/>
        <w:gridCol w:w="1942"/>
        <w:gridCol w:w="2543"/>
      </w:tblGrid>
      <w:tr w14:paraId="7B5C78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96" w:hRule="atLeast"/>
          <w:jc w:val="center"/>
        </w:trPr>
        <w:tc>
          <w:tcPr>
            <w:tcW w:w="915" w:type="dxa"/>
            <w:vAlign w:val="center"/>
          </w:tcPr>
          <w:p w14:paraId="38F1C6F5">
            <w:pPr>
              <w:spacing w:before="156" w:line="360" w:lineRule="auto"/>
              <w:jc w:val="center"/>
              <w:textAlignment w:val="baseline"/>
              <w:rPr>
                <w:rFonts w:ascii="宋体" w:hAnsi="宋体" w:cs="宋体"/>
                <w:b/>
                <w:color w:val="auto"/>
                <w:sz w:val="24"/>
                <w:szCs w:val="24"/>
                <w:highlight w:val="none"/>
              </w:rPr>
            </w:pPr>
            <w:r>
              <w:rPr>
                <w:rFonts w:hint="eastAsia" w:ascii="宋体" w:hAnsi="宋体" w:cs="宋体"/>
                <w:b/>
                <w:color w:val="auto"/>
                <w:sz w:val="24"/>
                <w:szCs w:val="24"/>
                <w:highlight w:val="none"/>
              </w:rPr>
              <w:t>序号</w:t>
            </w:r>
          </w:p>
        </w:tc>
        <w:tc>
          <w:tcPr>
            <w:tcW w:w="2148" w:type="dxa"/>
            <w:vAlign w:val="center"/>
          </w:tcPr>
          <w:p w14:paraId="688568B3">
            <w:pPr>
              <w:spacing w:before="156" w:line="360" w:lineRule="auto"/>
              <w:jc w:val="center"/>
              <w:textAlignment w:val="baseline"/>
              <w:rPr>
                <w:rFonts w:ascii="宋体" w:hAnsi="宋体" w:cs="宋体"/>
                <w:b/>
                <w:color w:val="auto"/>
                <w:sz w:val="24"/>
                <w:szCs w:val="24"/>
                <w:highlight w:val="none"/>
              </w:rPr>
            </w:pPr>
            <w:r>
              <w:rPr>
                <w:rFonts w:hint="eastAsia" w:ascii="宋体" w:hAnsi="宋体" w:cs="宋体"/>
                <w:b/>
                <w:color w:val="auto"/>
                <w:sz w:val="24"/>
                <w:szCs w:val="24"/>
                <w:highlight w:val="none"/>
              </w:rPr>
              <w:t>内容</w:t>
            </w:r>
          </w:p>
        </w:tc>
        <w:tc>
          <w:tcPr>
            <w:tcW w:w="2040" w:type="dxa"/>
            <w:vAlign w:val="center"/>
          </w:tcPr>
          <w:p w14:paraId="7776FFA9">
            <w:pPr>
              <w:spacing w:before="156" w:line="360" w:lineRule="auto"/>
              <w:jc w:val="center"/>
              <w:textAlignment w:val="baseline"/>
              <w:rPr>
                <w:rFonts w:ascii="宋体" w:hAnsi="宋体" w:cs="宋体"/>
                <w:b/>
                <w:color w:val="auto"/>
                <w:sz w:val="24"/>
                <w:szCs w:val="24"/>
                <w:highlight w:val="none"/>
              </w:rPr>
            </w:pPr>
            <w:r>
              <w:rPr>
                <w:rFonts w:hint="eastAsia" w:ascii="宋体" w:hAnsi="宋体" w:cs="宋体"/>
                <w:b/>
                <w:color w:val="auto"/>
                <w:sz w:val="24"/>
                <w:szCs w:val="24"/>
                <w:highlight w:val="none"/>
              </w:rPr>
              <w:t>招标文件规范要求</w:t>
            </w:r>
          </w:p>
        </w:tc>
        <w:tc>
          <w:tcPr>
            <w:tcW w:w="1942" w:type="dxa"/>
            <w:vAlign w:val="center"/>
          </w:tcPr>
          <w:p w14:paraId="198F668B">
            <w:pPr>
              <w:spacing w:before="156" w:line="360" w:lineRule="auto"/>
              <w:jc w:val="center"/>
              <w:textAlignment w:val="baseline"/>
              <w:rPr>
                <w:rFonts w:ascii="宋体" w:hAnsi="宋体" w:cs="宋体"/>
                <w:b/>
                <w:color w:val="auto"/>
                <w:sz w:val="24"/>
                <w:szCs w:val="24"/>
                <w:highlight w:val="none"/>
              </w:rPr>
            </w:pPr>
            <w:r>
              <w:rPr>
                <w:rFonts w:hint="eastAsia" w:ascii="宋体" w:hAnsi="宋体" w:cs="宋体"/>
                <w:b/>
                <w:color w:val="auto"/>
                <w:sz w:val="24"/>
                <w:szCs w:val="24"/>
                <w:highlight w:val="none"/>
                <w:lang w:eastAsia="zh-CN"/>
              </w:rPr>
              <w:t>响应文件</w:t>
            </w:r>
            <w:r>
              <w:rPr>
                <w:rFonts w:hint="eastAsia" w:ascii="宋体" w:hAnsi="宋体" w:cs="宋体"/>
                <w:b/>
                <w:color w:val="auto"/>
                <w:sz w:val="24"/>
                <w:szCs w:val="24"/>
                <w:highlight w:val="none"/>
              </w:rPr>
              <w:t>对应规范</w:t>
            </w:r>
          </w:p>
        </w:tc>
        <w:tc>
          <w:tcPr>
            <w:tcW w:w="2543" w:type="dxa"/>
            <w:vAlign w:val="center"/>
          </w:tcPr>
          <w:p w14:paraId="7680E6D4">
            <w:pPr>
              <w:spacing w:before="156" w:line="360" w:lineRule="auto"/>
              <w:jc w:val="center"/>
              <w:textAlignment w:val="baseline"/>
              <w:rPr>
                <w:rFonts w:ascii="宋体" w:hAnsi="宋体" w:cs="宋体"/>
                <w:b/>
                <w:color w:val="auto"/>
                <w:sz w:val="24"/>
                <w:szCs w:val="24"/>
                <w:highlight w:val="none"/>
              </w:rPr>
            </w:pPr>
            <w:r>
              <w:rPr>
                <w:rFonts w:hint="eastAsia" w:ascii="宋体" w:hAnsi="宋体" w:cs="宋体"/>
                <w:b/>
                <w:color w:val="auto"/>
                <w:sz w:val="24"/>
                <w:szCs w:val="24"/>
                <w:highlight w:val="none"/>
              </w:rPr>
              <w:t>偏离情况</w:t>
            </w:r>
          </w:p>
        </w:tc>
      </w:tr>
      <w:tr w14:paraId="53A2D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8" w:hRule="atLeast"/>
          <w:jc w:val="center"/>
        </w:trPr>
        <w:tc>
          <w:tcPr>
            <w:tcW w:w="915" w:type="dxa"/>
            <w:vAlign w:val="center"/>
          </w:tcPr>
          <w:p w14:paraId="7FA6C680">
            <w:pPr>
              <w:numPr>
                <w:ilvl w:val="0"/>
                <w:numId w:val="9"/>
              </w:numPr>
              <w:spacing w:before="156" w:line="360" w:lineRule="auto"/>
              <w:jc w:val="center"/>
              <w:textAlignment w:val="baseline"/>
              <w:rPr>
                <w:rFonts w:ascii="宋体" w:hAnsi="宋体" w:cs="宋体"/>
                <w:color w:val="auto"/>
                <w:sz w:val="24"/>
                <w:szCs w:val="24"/>
                <w:highlight w:val="none"/>
              </w:rPr>
            </w:pPr>
          </w:p>
        </w:tc>
        <w:tc>
          <w:tcPr>
            <w:tcW w:w="2148" w:type="dxa"/>
          </w:tcPr>
          <w:p w14:paraId="1FDA7E85">
            <w:pPr>
              <w:spacing w:before="156" w:line="360" w:lineRule="auto"/>
              <w:ind w:firstLine="480" w:firstLineChars="200"/>
              <w:textAlignment w:val="baseline"/>
              <w:rPr>
                <w:rFonts w:ascii="宋体" w:hAnsi="宋体" w:cs="宋体"/>
                <w:color w:val="auto"/>
                <w:sz w:val="24"/>
                <w:szCs w:val="24"/>
                <w:highlight w:val="none"/>
              </w:rPr>
            </w:pPr>
          </w:p>
        </w:tc>
        <w:tc>
          <w:tcPr>
            <w:tcW w:w="2040" w:type="dxa"/>
          </w:tcPr>
          <w:p w14:paraId="1E1584AE">
            <w:pPr>
              <w:spacing w:before="156" w:line="360" w:lineRule="auto"/>
              <w:ind w:firstLine="480" w:firstLineChars="200"/>
              <w:textAlignment w:val="baseline"/>
              <w:rPr>
                <w:rFonts w:ascii="宋体" w:hAnsi="宋体" w:cs="宋体"/>
                <w:color w:val="auto"/>
                <w:sz w:val="24"/>
                <w:szCs w:val="24"/>
                <w:highlight w:val="none"/>
              </w:rPr>
            </w:pPr>
          </w:p>
        </w:tc>
        <w:tc>
          <w:tcPr>
            <w:tcW w:w="1942" w:type="dxa"/>
          </w:tcPr>
          <w:p w14:paraId="2F48D405">
            <w:pPr>
              <w:spacing w:before="156" w:line="360" w:lineRule="auto"/>
              <w:ind w:firstLine="480" w:firstLineChars="200"/>
              <w:textAlignment w:val="baseline"/>
              <w:rPr>
                <w:rFonts w:ascii="宋体" w:hAnsi="宋体" w:cs="宋体"/>
                <w:color w:val="auto"/>
                <w:sz w:val="24"/>
                <w:szCs w:val="24"/>
                <w:highlight w:val="none"/>
              </w:rPr>
            </w:pPr>
          </w:p>
        </w:tc>
        <w:tc>
          <w:tcPr>
            <w:tcW w:w="2543" w:type="dxa"/>
          </w:tcPr>
          <w:p w14:paraId="4A026937">
            <w:pPr>
              <w:spacing w:before="156" w:line="360" w:lineRule="auto"/>
              <w:ind w:firstLine="480" w:firstLineChars="200"/>
              <w:textAlignment w:val="baseline"/>
              <w:rPr>
                <w:rFonts w:ascii="宋体" w:hAnsi="宋体" w:cs="宋体"/>
                <w:color w:val="auto"/>
                <w:sz w:val="24"/>
                <w:szCs w:val="24"/>
                <w:highlight w:val="none"/>
              </w:rPr>
            </w:pPr>
          </w:p>
        </w:tc>
      </w:tr>
      <w:tr w14:paraId="695391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8" w:hRule="atLeast"/>
          <w:jc w:val="center"/>
        </w:trPr>
        <w:tc>
          <w:tcPr>
            <w:tcW w:w="915" w:type="dxa"/>
            <w:vAlign w:val="center"/>
          </w:tcPr>
          <w:p w14:paraId="1F9F9EE0">
            <w:pPr>
              <w:numPr>
                <w:ilvl w:val="0"/>
                <w:numId w:val="9"/>
              </w:numPr>
              <w:spacing w:before="156" w:line="360" w:lineRule="auto"/>
              <w:jc w:val="center"/>
              <w:textAlignment w:val="baseline"/>
              <w:rPr>
                <w:rFonts w:ascii="宋体" w:hAnsi="宋体" w:cs="宋体"/>
                <w:color w:val="auto"/>
                <w:sz w:val="24"/>
                <w:szCs w:val="24"/>
                <w:highlight w:val="none"/>
              </w:rPr>
            </w:pPr>
          </w:p>
        </w:tc>
        <w:tc>
          <w:tcPr>
            <w:tcW w:w="2148" w:type="dxa"/>
          </w:tcPr>
          <w:p w14:paraId="4A7A7F57">
            <w:pPr>
              <w:spacing w:before="156" w:line="360" w:lineRule="auto"/>
              <w:ind w:firstLine="480" w:firstLineChars="200"/>
              <w:textAlignment w:val="baseline"/>
              <w:rPr>
                <w:rFonts w:ascii="宋体" w:hAnsi="宋体" w:cs="宋体"/>
                <w:color w:val="auto"/>
                <w:sz w:val="24"/>
                <w:szCs w:val="24"/>
                <w:highlight w:val="none"/>
              </w:rPr>
            </w:pPr>
          </w:p>
        </w:tc>
        <w:tc>
          <w:tcPr>
            <w:tcW w:w="2040" w:type="dxa"/>
          </w:tcPr>
          <w:p w14:paraId="6B961664">
            <w:pPr>
              <w:spacing w:before="156" w:line="360" w:lineRule="auto"/>
              <w:ind w:firstLine="480" w:firstLineChars="200"/>
              <w:textAlignment w:val="baseline"/>
              <w:rPr>
                <w:rFonts w:ascii="宋体" w:hAnsi="宋体" w:cs="宋体"/>
                <w:color w:val="auto"/>
                <w:sz w:val="24"/>
                <w:szCs w:val="24"/>
                <w:highlight w:val="none"/>
              </w:rPr>
            </w:pPr>
          </w:p>
        </w:tc>
        <w:tc>
          <w:tcPr>
            <w:tcW w:w="1942" w:type="dxa"/>
          </w:tcPr>
          <w:p w14:paraId="2BA07CF1">
            <w:pPr>
              <w:spacing w:before="156" w:line="360" w:lineRule="auto"/>
              <w:ind w:firstLine="480" w:firstLineChars="200"/>
              <w:textAlignment w:val="baseline"/>
              <w:rPr>
                <w:rFonts w:ascii="宋体" w:hAnsi="宋体" w:cs="宋体"/>
                <w:color w:val="auto"/>
                <w:sz w:val="24"/>
                <w:szCs w:val="24"/>
                <w:highlight w:val="none"/>
              </w:rPr>
            </w:pPr>
          </w:p>
        </w:tc>
        <w:tc>
          <w:tcPr>
            <w:tcW w:w="2543" w:type="dxa"/>
          </w:tcPr>
          <w:p w14:paraId="3C405239">
            <w:pPr>
              <w:spacing w:before="156" w:line="360" w:lineRule="auto"/>
              <w:ind w:firstLine="480" w:firstLineChars="200"/>
              <w:textAlignment w:val="baseline"/>
              <w:rPr>
                <w:rFonts w:ascii="宋体" w:hAnsi="宋体" w:cs="宋体"/>
                <w:color w:val="auto"/>
                <w:sz w:val="24"/>
                <w:szCs w:val="24"/>
                <w:highlight w:val="none"/>
              </w:rPr>
            </w:pPr>
          </w:p>
        </w:tc>
      </w:tr>
      <w:tr w14:paraId="3228B0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8" w:hRule="atLeast"/>
          <w:jc w:val="center"/>
        </w:trPr>
        <w:tc>
          <w:tcPr>
            <w:tcW w:w="915" w:type="dxa"/>
            <w:vAlign w:val="center"/>
          </w:tcPr>
          <w:p w14:paraId="155C36C6">
            <w:pPr>
              <w:numPr>
                <w:ilvl w:val="0"/>
                <w:numId w:val="9"/>
              </w:numPr>
              <w:spacing w:before="156" w:line="360" w:lineRule="auto"/>
              <w:jc w:val="center"/>
              <w:textAlignment w:val="baseline"/>
              <w:rPr>
                <w:rFonts w:ascii="宋体" w:hAnsi="宋体" w:cs="宋体"/>
                <w:color w:val="auto"/>
                <w:sz w:val="24"/>
                <w:szCs w:val="24"/>
                <w:highlight w:val="none"/>
              </w:rPr>
            </w:pPr>
          </w:p>
        </w:tc>
        <w:tc>
          <w:tcPr>
            <w:tcW w:w="2148" w:type="dxa"/>
          </w:tcPr>
          <w:p w14:paraId="26AA5D8D">
            <w:pPr>
              <w:spacing w:before="156" w:line="360" w:lineRule="auto"/>
              <w:ind w:firstLine="480" w:firstLineChars="200"/>
              <w:textAlignment w:val="baseline"/>
              <w:rPr>
                <w:rFonts w:ascii="宋体" w:hAnsi="宋体" w:cs="宋体"/>
                <w:color w:val="auto"/>
                <w:sz w:val="24"/>
                <w:szCs w:val="24"/>
                <w:highlight w:val="none"/>
              </w:rPr>
            </w:pPr>
          </w:p>
        </w:tc>
        <w:tc>
          <w:tcPr>
            <w:tcW w:w="2040" w:type="dxa"/>
          </w:tcPr>
          <w:p w14:paraId="4490D7A1">
            <w:pPr>
              <w:spacing w:before="156" w:line="360" w:lineRule="auto"/>
              <w:ind w:firstLine="480" w:firstLineChars="200"/>
              <w:textAlignment w:val="baseline"/>
              <w:rPr>
                <w:rFonts w:ascii="宋体" w:hAnsi="宋体" w:cs="宋体"/>
                <w:color w:val="auto"/>
                <w:sz w:val="24"/>
                <w:szCs w:val="24"/>
                <w:highlight w:val="none"/>
              </w:rPr>
            </w:pPr>
          </w:p>
        </w:tc>
        <w:tc>
          <w:tcPr>
            <w:tcW w:w="1942" w:type="dxa"/>
          </w:tcPr>
          <w:p w14:paraId="7793AF5E">
            <w:pPr>
              <w:spacing w:before="156" w:line="360" w:lineRule="auto"/>
              <w:ind w:firstLine="480" w:firstLineChars="200"/>
              <w:textAlignment w:val="baseline"/>
              <w:rPr>
                <w:rFonts w:ascii="宋体" w:hAnsi="宋体" w:cs="宋体"/>
                <w:color w:val="auto"/>
                <w:sz w:val="24"/>
                <w:szCs w:val="24"/>
                <w:highlight w:val="none"/>
              </w:rPr>
            </w:pPr>
          </w:p>
        </w:tc>
        <w:tc>
          <w:tcPr>
            <w:tcW w:w="2543" w:type="dxa"/>
          </w:tcPr>
          <w:p w14:paraId="1D6AE442">
            <w:pPr>
              <w:spacing w:before="156" w:line="360" w:lineRule="auto"/>
              <w:ind w:firstLine="480" w:firstLineChars="200"/>
              <w:textAlignment w:val="baseline"/>
              <w:rPr>
                <w:rFonts w:ascii="宋体" w:hAnsi="宋体" w:cs="宋体"/>
                <w:color w:val="auto"/>
                <w:sz w:val="24"/>
                <w:szCs w:val="24"/>
                <w:highlight w:val="none"/>
              </w:rPr>
            </w:pPr>
          </w:p>
        </w:tc>
      </w:tr>
      <w:tr w14:paraId="7FEF91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8" w:hRule="atLeast"/>
          <w:jc w:val="center"/>
        </w:trPr>
        <w:tc>
          <w:tcPr>
            <w:tcW w:w="915" w:type="dxa"/>
            <w:vAlign w:val="top"/>
          </w:tcPr>
          <w:p w14:paraId="335EAD95">
            <w:pPr>
              <w:spacing w:line="400" w:lineRule="exact"/>
              <w:jc w:val="center"/>
              <w:textAlignment w:val="baseline"/>
              <w:rPr>
                <w:rFonts w:ascii="宋体" w:hAnsi="宋体" w:eastAsia="宋体" w:cs="宋体"/>
                <w:bCs/>
                <w:color w:val="auto"/>
                <w:kern w:val="2"/>
                <w:sz w:val="24"/>
                <w:szCs w:val="22"/>
                <w:highlight w:val="none"/>
                <w:lang w:val="en-US" w:eastAsia="zh-CN" w:bidi="ar-SA"/>
              </w:rPr>
            </w:pPr>
            <w:r>
              <w:rPr>
                <w:rFonts w:hint="eastAsia" w:ascii="宋体" w:hAnsi="宋体" w:cs="宋体"/>
                <w:bCs/>
                <w:color w:val="auto"/>
                <w:sz w:val="24"/>
                <w:highlight w:val="none"/>
              </w:rPr>
              <w:t>…</w:t>
            </w:r>
          </w:p>
        </w:tc>
        <w:tc>
          <w:tcPr>
            <w:tcW w:w="2148" w:type="dxa"/>
          </w:tcPr>
          <w:p w14:paraId="234C075D">
            <w:pPr>
              <w:spacing w:before="156" w:line="360" w:lineRule="auto"/>
              <w:ind w:firstLine="480" w:firstLineChars="200"/>
              <w:textAlignment w:val="baseline"/>
              <w:rPr>
                <w:rFonts w:ascii="宋体" w:hAnsi="宋体" w:cs="宋体"/>
                <w:color w:val="auto"/>
                <w:sz w:val="24"/>
                <w:szCs w:val="24"/>
                <w:highlight w:val="none"/>
              </w:rPr>
            </w:pPr>
          </w:p>
        </w:tc>
        <w:tc>
          <w:tcPr>
            <w:tcW w:w="2040" w:type="dxa"/>
          </w:tcPr>
          <w:p w14:paraId="3F8CA573">
            <w:pPr>
              <w:spacing w:before="156" w:line="360" w:lineRule="auto"/>
              <w:ind w:firstLine="480" w:firstLineChars="200"/>
              <w:textAlignment w:val="baseline"/>
              <w:rPr>
                <w:rFonts w:ascii="宋体" w:hAnsi="宋体" w:cs="宋体"/>
                <w:color w:val="auto"/>
                <w:sz w:val="24"/>
                <w:szCs w:val="24"/>
                <w:highlight w:val="none"/>
              </w:rPr>
            </w:pPr>
          </w:p>
        </w:tc>
        <w:tc>
          <w:tcPr>
            <w:tcW w:w="1942" w:type="dxa"/>
          </w:tcPr>
          <w:p w14:paraId="109D7366">
            <w:pPr>
              <w:spacing w:before="156" w:line="360" w:lineRule="auto"/>
              <w:ind w:firstLine="480" w:firstLineChars="200"/>
              <w:textAlignment w:val="baseline"/>
              <w:rPr>
                <w:rFonts w:ascii="宋体" w:hAnsi="宋体" w:cs="宋体"/>
                <w:color w:val="auto"/>
                <w:sz w:val="24"/>
                <w:szCs w:val="24"/>
                <w:highlight w:val="none"/>
              </w:rPr>
            </w:pPr>
          </w:p>
        </w:tc>
        <w:tc>
          <w:tcPr>
            <w:tcW w:w="2543" w:type="dxa"/>
          </w:tcPr>
          <w:p w14:paraId="11740BE6">
            <w:pPr>
              <w:spacing w:before="156" w:line="360" w:lineRule="auto"/>
              <w:ind w:firstLine="480" w:firstLineChars="200"/>
              <w:textAlignment w:val="baseline"/>
              <w:rPr>
                <w:rFonts w:ascii="宋体" w:hAnsi="宋体" w:cs="宋体"/>
                <w:color w:val="auto"/>
                <w:sz w:val="24"/>
                <w:szCs w:val="24"/>
                <w:highlight w:val="none"/>
              </w:rPr>
            </w:pPr>
          </w:p>
        </w:tc>
      </w:tr>
    </w:tbl>
    <w:p w14:paraId="6A05E8F8">
      <w:pPr>
        <w:spacing w:before="156" w:line="360" w:lineRule="auto"/>
        <w:textAlignment w:val="baseline"/>
        <w:rPr>
          <w:rFonts w:ascii="宋体" w:hAnsi="宋体" w:cs="宋体"/>
          <w:b/>
          <w:bCs/>
          <w:color w:val="auto"/>
          <w:sz w:val="20"/>
          <w:szCs w:val="21"/>
          <w:highlight w:val="none"/>
        </w:rPr>
      </w:pPr>
      <w:r>
        <w:rPr>
          <w:rFonts w:hint="eastAsia" w:ascii="宋体" w:hAnsi="宋体" w:cs="宋体"/>
          <w:b/>
          <w:bCs/>
          <w:color w:val="auto"/>
          <w:szCs w:val="21"/>
          <w:highlight w:val="none"/>
        </w:rPr>
        <w:t>填表说明：</w:t>
      </w:r>
    </w:p>
    <w:p w14:paraId="75207C63">
      <w:pPr>
        <w:numPr>
          <w:ilvl w:val="0"/>
          <w:numId w:val="10"/>
        </w:numPr>
        <w:spacing w:before="156" w:line="360" w:lineRule="auto"/>
        <w:textAlignment w:val="baseline"/>
        <w:rPr>
          <w:rFonts w:ascii="宋体" w:hAnsi="宋体" w:cs="宋体"/>
          <w:color w:val="auto"/>
          <w:sz w:val="20"/>
          <w:szCs w:val="21"/>
          <w:highlight w:val="none"/>
        </w:rPr>
      </w:pPr>
      <w:r>
        <w:rPr>
          <w:rFonts w:hint="eastAsia" w:ascii="宋体" w:hAnsi="宋体" w:cs="宋体"/>
          <w:color w:val="auto"/>
          <w:szCs w:val="21"/>
          <w:highlight w:val="none"/>
        </w:rPr>
        <w:t>对采购文件有偏离（包括正偏离</w:t>
      </w:r>
      <w:r>
        <w:rPr>
          <w:rFonts w:hint="eastAsia" w:ascii="宋体" w:hAnsi="宋体" w:cs="宋体"/>
          <w:color w:val="auto"/>
          <w:szCs w:val="21"/>
          <w:highlight w:val="none"/>
          <w:lang w:eastAsia="zh-CN"/>
        </w:rPr>
        <w:t>或</w:t>
      </w:r>
      <w:r>
        <w:rPr>
          <w:rFonts w:hint="eastAsia" w:ascii="宋体" w:hAnsi="宋体" w:cs="宋体"/>
          <w:color w:val="auto"/>
          <w:szCs w:val="21"/>
          <w:highlight w:val="none"/>
        </w:rPr>
        <w:t>负偏离）均应汇总并填写在此表中。</w:t>
      </w:r>
    </w:p>
    <w:p w14:paraId="0510AC2C">
      <w:pPr>
        <w:numPr>
          <w:ilvl w:val="0"/>
          <w:numId w:val="10"/>
        </w:numPr>
        <w:spacing w:before="156" w:line="360" w:lineRule="auto"/>
        <w:textAlignment w:val="baseline"/>
        <w:rPr>
          <w:rFonts w:ascii="宋体" w:hAnsi="宋体" w:cs="宋体"/>
          <w:color w:val="auto"/>
          <w:sz w:val="20"/>
          <w:szCs w:val="21"/>
          <w:highlight w:val="none"/>
        </w:rPr>
      </w:pPr>
      <w:r>
        <w:rPr>
          <w:rFonts w:hint="eastAsia" w:ascii="宋体" w:hAnsi="宋体" w:cs="宋体"/>
          <w:color w:val="auto"/>
          <w:szCs w:val="21"/>
          <w:highlight w:val="none"/>
        </w:rPr>
        <w:t>此表可在不改变格式的情况下自行制作。</w:t>
      </w:r>
    </w:p>
    <w:p w14:paraId="53A53175">
      <w:pPr>
        <w:numPr>
          <w:ilvl w:val="0"/>
          <w:numId w:val="10"/>
        </w:numPr>
        <w:spacing w:before="156" w:line="360" w:lineRule="auto"/>
        <w:textAlignment w:val="baseline"/>
        <w:rPr>
          <w:rFonts w:ascii="宋体" w:hAnsi="宋体" w:cs="宋体"/>
          <w:b/>
          <w:color w:val="auto"/>
          <w:sz w:val="20"/>
          <w:szCs w:val="21"/>
          <w:highlight w:val="none"/>
        </w:rPr>
      </w:pPr>
      <w:r>
        <w:rPr>
          <w:rFonts w:hint="eastAsia" w:ascii="宋体" w:hAnsi="宋体" w:cs="宋体"/>
          <w:b/>
          <w:bCs/>
          <w:color w:val="auto"/>
          <w:szCs w:val="21"/>
          <w:highlight w:val="none"/>
        </w:rPr>
        <w:t>不填写此表视作完全响应本采购文件要求。</w:t>
      </w:r>
    </w:p>
    <w:p w14:paraId="0E84D517">
      <w:pPr>
        <w:pStyle w:val="30"/>
        <w:ind w:firstLine="42"/>
        <w:textAlignment w:val="baseline"/>
        <w:rPr>
          <w:rFonts w:ascii="宋体" w:hAnsi="宋体" w:eastAsia="宋体"/>
          <w:color w:val="auto"/>
          <w:highlight w:val="none"/>
        </w:rPr>
      </w:pPr>
    </w:p>
    <w:p w14:paraId="121B9D4E">
      <w:pPr>
        <w:spacing w:line="440" w:lineRule="exact"/>
        <w:ind w:firstLine="4860"/>
        <w:jc w:val="left"/>
        <w:textAlignment w:val="baseline"/>
        <w:rPr>
          <w:rFonts w:hint="eastAsia" w:ascii="宋体" w:hAnsi="宋体" w:cs="宋体"/>
          <w:b/>
          <w:bCs/>
          <w:color w:val="auto"/>
          <w:sz w:val="24"/>
          <w:highlight w:val="none"/>
        </w:rPr>
      </w:pPr>
    </w:p>
    <w:p w14:paraId="6727E2AA">
      <w:pPr>
        <w:spacing w:line="440" w:lineRule="exact"/>
        <w:ind w:firstLine="4860"/>
        <w:jc w:val="left"/>
        <w:textAlignment w:val="baseline"/>
        <w:rPr>
          <w:rFonts w:hint="eastAsia" w:ascii="宋体" w:hAnsi="宋体" w:cs="宋体"/>
          <w:b/>
          <w:bCs/>
          <w:color w:val="auto"/>
          <w:sz w:val="24"/>
          <w:highlight w:val="none"/>
        </w:rPr>
      </w:pPr>
    </w:p>
    <w:p w14:paraId="09F1907D">
      <w:pPr>
        <w:spacing w:line="440" w:lineRule="exact"/>
        <w:ind w:firstLine="4860"/>
        <w:jc w:val="left"/>
        <w:textAlignment w:val="baseline"/>
        <w:rPr>
          <w:rFonts w:ascii="宋体" w:hAnsi="宋体" w:cs="宋体"/>
          <w:b/>
          <w:bCs/>
          <w:color w:val="auto"/>
          <w:sz w:val="20"/>
          <w:szCs w:val="21"/>
          <w:highlight w:val="none"/>
          <w:u w:val="single" w:color="000000"/>
        </w:rPr>
      </w:pPr>
      <w:r>
        <w:rPr>
          <w:rFonts w:hint="eastAsia" w:ascii="宋体" w:hAnsi="宋体" w:cs="宋体"/>
          <w:b/>
          <w:bCs/>
          <w:color w:val="auto"/>
          <w:sz w:val="24"/>
          <w:highlight w:val="none"/>
        </w:rPr>
        <w:t>供应商名称（盖章）：</w:t>
      </w:r>
    </w:p>
    <w:p w14:paraId="7ADFB6B0">
      <w:pPr>
        <w:spacing w:line="440" w:lineRule="exact"/>
        <w:ind w:firstLine="4860"/>
        <w:jc w:val="left"/>
        <w:textAlignment w:val="baseline"/>
        <w:rPr>
          <w:rFonts w:ascii="宋体" w:hAnsi="宋体" w:cs="宋体"/>
          <w:color w:val="auto"/>
          <w:sz w:val="20"/>
          <w:szCs w:val="21"/>
          <w:highlight w:val="none"/>
          <w:u w:val="single" w:color="000000"/>
        </w:rPr>
      </w:pPr>
      <w:r>
        <w:rPr>
          <w:rFonts w:hint="eastAsia" w:ascii="宋体" w:hAnsi="宋体" w:cs="宋体"/>
          <w:b/>
          <w:bCs/>
          <w:color w:val="auto"/>
          <w:szCs w:val="21"/>
          <w:highlight w:val="none"/>
        </w:rPr>
        <w:t>日期：  年  月  日</w:t>
      </w:r>
    </w:p>
    <w:p w14:paraId="01F6830B">
      <w:pPr>
        <w:spacing w:line="460" w:lineRule="exact"/>
        <w:jc w:val="center"/>
        <w:textAlignment w:val="baseline"/>
        <w:rPr>
          <w:rFonts w:ascii="宋体" w:hAnsi="宋体" w:cs="宋体"/>
          <w:b/>
          <w:bCs/>
          <w:color w:val="auto"/>
          <w:sz w:val="28"/>
          <w:szCs w:val="28"/>
          <w:highlight w:val="none"/>
        </w:rPr>
      </w:pPr>
    </w:p>
    <w:p w14:paraId="0C5B8238">
      <w:pPr>
        <w:spacing w:line="460" w:lineRule="exact"/>
        <w:jc w:val="center"/>
        <w:textAlignment w:val="baseline"/>
        <w:rPr>
          <w:rFonts w:ascii="宋体" w:hAnsi="宋体" w:cs="宋体"/>
          <w:b/>
          <w:bCs/>
          <w:color w:val="auto"/>
          <w:sz w:val="28"/>
          <w:szCs w:val="28"/>
          <w:highlight w:val="none"/>
        </w:rPr>
      </w:pPr>
    </w:p>
    <w:p w14:paraId="7859F99A">
      <w:pPr>
        <w:spacing w:line="460" w:lineRule="exact"/>
        <w:jc w:val="center"/>
        <w:textAlignment w:val="baseline"/>
        <w:rPr>
          <w:rFonts w:ascii="宋体" w:hAnsi="宋体" w:cs="宋体"/>
          <w:b/>
          <w:bCs/>
          <w:color w:val="auto"/>
          <w:sz w:val="28"/>
          <w:szCs w:val="28"/>
          <w:highlight w:val="none"/>
        </w:rPr>
      </w:pPr>
    </w:p>
    <w:p w14:paraId="0346A560">
      <w:pPr>
        <w:spacing w:line="460" w:lineRule="exact"/>
        <w:jc w:val="center"/>
        <w:textAlignment w:val="baseline"/>
        <w:rPr>
          <w:rFonts w:ascii="宋体" w:hAnsi="宋体" w:cs="宋体"/>
          <w:b/>
          <w:bCs/>
          <w:color w:val="auto"/>
          <w:sz w:val="28"/>
          <w:szCs w:val="28"/>
          <w:highlight w:val="none"/>
        </w:rPr>
      </w:pPr>
    </w:p>
    <w:p w14:paraId="13951143">
      <w:pPr>
        <w:spacing w:line="460" w:lineRule="exact"/>
        <w:jc w:val="center"/>
        <w:textAlignment w:val="baseline"/>
        <w:rPr>
          <w:rFonts w:ascii="宋体" w:hAnsi="宋体" w:cs="宋体"/>
          <w:b/>
          <w:bCs/>
          <w:color w:val="auto"/>
          <w:sz w:val="28"/>
          <w:szCs w:val="28"/>
          <w:highlight w:val="none"/>
        </w:rPr>
      </w:pPr>
    </w:p>
    <w:p w14:paraId="2E0E12CF">
      <w:pPr>
        <w:spacing w:line="460" w:lineRule="exact"/>
        <w:jc w:val="center"/>
        <w:textAlignment w:val="baseline"/>
        <w:rPr>
          <w:rFonts w:ascii="宋体" w:hAnsi="宋体" w:cs="宋体"/>
          <w:b/>
          <w:bCs/>
          <w:color w:val="auto"/>
          <w:sz w:val="28"/>
          <w:szCs w:val="28"/>
          <w:highlight w:val="none"/>
        </w:rPr>
      </w:pPr>
    </w:p>
    <w:p w14:paraId="61C2D7AA">
      <w:pPr>
        <w:pStyle w:val="30"/>
        <w:ind w:firstLine="42"/>
        <w:textAlignment w:val="baseline"/>
        <w:rPr>
          <w:rFonts w:ascii="宋体" w:hAnsi="宋体" w:eastAsia="宋体"/>
          <w:color w:val="auto"/>
          <w:highlight w:val="none"/>
        </w:rPr>
      </w:pPr>
    </w:p>
    <w:p w14:paraId="2F664697">
      <w:pPr>
        <w:spacing w:line="440" w:lineRule="exact"/>
        <w:textAlignment w:val="baseline"/>
        <w:outlineLvl w:val="0"/>
        <w:rPr>
          <w:rFonts w:hint="default" w:ascii="宋体" w:hAnsi="宋体" w:eastAsia="宋体" w:cs="宋体"/>
          <w:b/>
          <w:bCs/>
          <w:color w:val="auto"/>
          <w:sz w:val="22"/>
          <w:highlight w:val="none"/>
          <w:lang w:val="en-US" w:eastAsia="zh-CN"/>
        </w:rPr>
      </w:pPr>
      <w:bookmarkStart w:id="99" w:name="_Toc14763"/>
      <w:r>
        <w:rPr>
          <w:rFonts w:hint="eastAsia" w:ascii="宋体" w:hAnsi="宋体" w:cs="宋体"/>
          <w:b/>
          <w:bCs/>
          <w:color w:val="auto"/>
          <w:sz w:val="22"/>
          <w:highlight w:val="none"/>
        </w:rPr>
        <w:t>附件</w:t>
      </w:r>
      <w:bookmarkEnd w:id="99"/>
      <w:r>
        <w:rPr>
          <w:rFonts w:hint="eastAsia" w:ascii="宋体" w:hAnsi="宋体" w:cs="宋体"/>
          <w:b/>
          <w:bCs/>
          <w:color w:val="auto"/>
          <w:sz w:val="22"/>
          <w:highlight w:val="none"/>
          <w:lang w:val="en-US" w:eastAsia="zh-CN"/>
        </w:rPr>
        <w:t>9</w:t>
      </w:r>
    </w:p>
    <w:p w14:paraId="5440CA0D">
      <w:pPr>
        <w:spacing w:line="440" w:lineRule="exact"/>
        <w:jc w:val="center"/>
        <w:textAlignment w:val="baseline"/>
        <w:rPr>
          <w:rFonts w:ascii="宋体" w:hAnsi="宋体" w:cs="宋体"/>
          <w:b/>
          <w:bCs/>
          <w:color w:val="auto"/>
          <w:sz w:val="28"/>
          <w:szCs w:val="28"/>
          <w:highlight w:val="none"/>
        </w:rPr>
      </w:pPr>
      <w:r>
        <w:rPr>
          <w:rFonts w:hint="eastAsia" w:ascii="宋体" w:hAnsi="宋体" w:cs="宋体"/>
          <w:b/>
          <w:bCs/>
          <w:color w:val="auto"/>
          <w:sz w:val="28"/>
          <w:szCs w:val="28"/>
          <w:highlight w:val="none"/>
        </w:rPr>
        <w:t>项目人员</w:t>
      </w:r>
      <w:r>
        <w:rPr>
          <w:rFonts w:hint="eastAsia" w:ascii="宋体" w:hAnsi="宋体" w:cs="宋体"/>
          <w:b/>
          <w:bCs/>
          <w:color w:val="auto"/>
          <w:sz w:val="28"/>
          <w:szCs w:val="28"/>
          <w:highlight w:val="none"/>
          <w:lang w:eastAsia="zh-CN"/>
        </w:rPr>
        <w:t>团队</w:t>
      </w:r>
      <w:r>
        <w:rPr>
          <w:rFonts w:hint="eastAsia" w:ascii="宋体" w:hAnsi="宋体" w:cs="宋体"/>
          <w:b/>
          <w:bCs/>
          <w:color w:val="auto"/>
          <w:sz w:val="28"/>
          <w:szCs w:val="28"/>
          <w:highlight w:val="none"/>
        </w:rPr>
        <w:t>配备情况表</w:t>
      </w:r>
    </w:p>
    <w:p w14:paraId="720B9306">
      <w:pPr>
        <w:pStyle w:val="11"/>
        <w:rPr>
          <w:rFonts w:ascii="宋体" w:hAnsi="宋体" w:cs="宋体"/>
          <w:color w:val="auto"/>
          <w:highlight w:val="none"/>
        </w:rPr>
      </w:pPr>
    </w:p>
    <w:p w14:paraId="45857C6F">
      <w:pPr>
        <w:pStyle w:val="30"/>
        <w:ind w:firstLine="42"/>
        <w:rPr>
          <w:rFonts w:hint="eastAsia" w:ascii="宋体" w:hAnsi="宋体" w:eastAsia="宋体"/>
          <w:color w:val="auto"/>
          <w:highlight w:val="none"/>
          <w:lang w:eastAsia="zh-CN"/>
        </w:rPr>
      </w:pPr>
      <w:r>
        <w:rPr>
          <w:rFonts w:hint="eastAsia" w:ascii="宋体" w:hAnsi="宋体" w:eastAsia="宋体"/>
          <w:color w:val="auto"/>
          <w:highlight w:val="none"/>
        </w:rPr>
        <w:t xml:space="preserve">项目名称： </w:t>
      </w:r>
      <w:r>
        <w:rPr>
          <w:rFonts w:hint="eastAsia" w:ascii="宋体" w:hAnsi="宋体" w:eastAsia="宋体"/>
          <w:color w:val="auto"/>
          <w:highlight w:val="none"/>
          <w:lang w:eastAsia="zh-CN"/>
        </w:rPr>
        <w:t>2025年交通事故痕迹鉴定及车辆鉴定技术服务项目</w:t>
      </w:r>
    </w:p>
    <w:p w14:paraId="71CFF68B">
      <w:pPr>
        <w:pStyle w:val="30"/>
        <w:ind w:firstLine="42"/>
        <w:rPr>
          <w:rFonts w:ascii="宋体" w:hAnsi="宋体" w:cs="宋体"/>
          <w:bCs/>
          <w:color w:val="auto"/>
          <w:sz w:val="24"/>
          <w:highlight w:val="none"/>
        </w:rPr>
      </w:pPr>
      <w:r>
        <w:rPr>
          <w:rFonts w:hint="eastAsia" w:ascii="宋体" w:hAnsi="宋体" w:eastAsia="宋体"/>
          <w:color w:val="auto"/>
          <w:highlight w:val="none"/>
        </w:rPr>
        <w:t>项目编号：</w:t>
      </w:r>
      <w:r>
        <w:rPr>
          <w:rFonts w:hint="eastAsia" w:ascii="宋体" w:hAnsi="宋体" w:eastAsia="宋体"/>
          <w:color w:val="auto"/>
          <w:highlight w:val="none"/>
          <w:lang w:eastAsia="zh-CN"/>
        </w:rPr>
        <w:t>CSKC-CS202504</w:t>
      </w:r>
    </w:p>
    <w:tbl>
      <w:tblPr>
        <w:tblStyle w:val="32"/>
        <w:tblW w:w="91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8"/>
        <w:gridCol w:w="2158"/>
        <w:gridCol w:w="1343"/>
        <w:gridCol w:w="1063"/>
        <w:gridCol w:w="1606"/>
        <w:gridCol w:w="1399"/>
      </w:tblGrid>
      <w:tr w14:paraId="61CFE9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68" w:type="dxa"/>
            <w:vAlign w:val="center"/>
          </w:tcPr>
          <w:p w14:paraId="0A4D6AC0">
            <w:pPr>
              <w:spacing w:line="500" w:lineRule="exact"/>
              <w:jc w:val="center"/>
              <w:textAlignment w:val="baseline"/>
              <w:rPr>
                <w:rFonts w:ascii="宋体" w:hAnsi="宋体" w:cs="宋体"/>
                <w:bCs/>
                <w:color w:val="auto"/>
                <w:sz w:val="24"/>
                <w:highlight w:val="none"/>
              </w:rPr>
            </w:pPr>
            <w:r>
              <w:rPr>
                <w:rFonts w:hint="eastAsia" w:ascii="宋体" w:hAnsi="宋体" w:cs="宋体"/>
                <w:bCs/>
                <w:color w:val="auto"/>
                <w:sz w:val="24"/>
                <w:highlight w:val="none"/>
              </w:rPr>
              <w:t>姓名</w:t>
            </w:r>
          </w:p>
        </w:tc>
        <w:tc>
          <w:tcPr>
            <w:tcW w:w="2158" w:type="dxa"/>
            <w:vAlign w:val="center"/>
          </w:tcPr>
          <w:p w14:paraId="330F62B3">
            <w:pPr>
              <w:spacing w:line="500" w:lineRule="exact"/>
              <w:jc w:val="center"/>
              <w:textAlignment w:val="baseline"/>
              <w:rPr>
                <w:rFonts w:ascii="宋体" w:hAnsi="宋体" w:cs="宋体"/>
                <w:bCs/>
                <w:color w:val="auto"/>
                <w:sz w:val="24"/>
                <w:highlight w:val="none"/>
              </w:rPr>
            </w:pPr>
            <w:r>
              <w:rPr>
                <w:rFonts w:hint="eastAsia" w:ascii="宋体" w:hAnsi="宋体" w:cs="宋体"/>
                <w:bCs/>
                <w:color w:val="auto"/>
                <w:sz w:val="24"/>
                <w:highlight w:val="none"/>
              </w:rPr>
              <w:t>本项目拟任岗位</w:t>
            </w:r>
          </w:p>
        </w:tc>
        <w:tc>
          <w:tcPr>
            <w:tcW w:w="1343" w:type="dxa"/>
            <w:vAlign w:val="center"/>
          </w:tcPr>
          <w:p w14:paraId="5E42CADB">
            <w:pPr>
              <w:spacing w:line="500" w:lineRule="exact"/>
              <w:jc w:val="center"/>
              <w:textAlignment w:val="baseline"/>
              <w:rPr>
                <w:rFonts w:ascii="宋体" w:hAnsi="宋体" w:cs="宋体"/>
                <w:bCs/>
                <w:color w:val="auto"/>
                <w:sz w:val="24"/>
                <w:highlight w:val="none"/>
              </w:rPr>
            </w:pPr>
            <w:r>
              <w:rPr>
                <w:rFonts w:hint="eastAsia" w:ascii="宋体" w:hAnsi="宋体" w:cs="宋体"/>
                <w:bCs/>
                <w:color w:val="auto"/>
                <w:sz w:val="24"/>
                <w:highlight w:val="none"/>
              </w:rPr>
              <w:t>年龄</w:t>
            </w:r>
          </w:p>
        </w:tc>
        <w:tc>
          <w:tcPr>
            <w:tcW w:w="1063" w:type="dxa"/>
            <w:vAlign w:val="center"/>
          </w:tcPr>
          <w:p w14:paraId="7AAA2F9C">
            <w:pPr>
              <w:spacing w:line="500" w:lineRule="exact"/>
              <w:jc w:val="center"/>
              <w:textAlignment w:val="baseline"/>
              <w:rPr>
                <w:rFonts w:ascii="宋体" w:hAnsi="宋体" w:cs="宋体"/>
                <w:bCs/>
                <w:color w:val="auto"/>
                <w:sz w:val="24"/>
                <w:highlight w:val="none"/>
              </w:rPr>
            </w:pPr>
            <w:r>
              <w:rPr>
                <w:rFonts w:hint="eastAsia" w:ascii="宋体" w:hAnsi="宋体" w:cs="宋体"/>
                <w:bCs/>
                <w:color w:val="auto"/>
                <w:sz w:val="24"/>
                <w:highlight w:val="none"/>
              </w:rPr>
              <w:t>性别</w:t>
            </w:r>
          </w:p>
        </w:tc>
        <w:tc>
          <w:tcPr>
            <w:tcW w:w="1606" w:type="dxa"/>
            <w:vAlign w:val="center"/>
          </w:tcPr>
          <w:p w14:paraId="5A462909">
            <w:pPr>
              <w:spacing w:line="500" w:lineRule="exact"/>
              <w:jc w:val="center"/>
              <w:textAlignment w:val="baseline"/>
              <w:rPr>
                <w:rFonts w:hint="eastAsia" w:ascii="宋体" w:hAnsi="宋体" w:eastAsia="宋体" w:cs="宋体"/>
                <w:bCs/>
                <w:color w:val="auto"/>
                <w:sz w:val="24"/>
                <w:highlight w:val="none"/>
                <w:lang w:eastAsia="zh-Hans"/>
              </w:rPr>
            </w:pPr>
            <w:r>
              <w:rPr>
                <w:rFonts w:hint="eastAsia" w:ascii="宋体" w:hAnsi="宋体" w:cs="宋体"/>
                <w:bCs/>
                <w:color w:val="auto"/>
                <w:sz w:val="24"/>
                <w:highlight w:val="none"/>
                <w:lang w:val="en-US" w:eastAsia="zh-Hans"/>
              </w:rPr>
              <w:t>学历及专业</w:t>
            </w:r>
          </w:p>
        </w:tc>
        <w:tc>
          <w:tcPr>
            <w:tcW w:w="1399" w:type="dxa"/>
            <w:vAlign w:val="center"/>
          </w:tcPr>
          <w:p w14:paraId="62C55532">
            <w:pPr>
              <w:spacing w:line="500" w:lineRule="exact"/>
              <w:jc w:val="center"/>
              <w:textAlignment w:val="baseline"/>
              <w:rPr>
                <w:rFonts w:hint="eastAsia" w:ascii="宋体" w:hAnsi="宋体" w:eastAsia="宋体" w:cs="宋体"/>
                <w:bCs/>
                <w:color w:val="auto"/>
                <w:sz w:val="24"/>
                <w:highlight w:val="none"/>
                <w:lang w:eastAsia="zh-Hans"/>
              </w:rPr>
            </w:pPr>
            <w:r>
              <w:rPr>
                <w:rFonts w:hint="eastAsia" w:ascii="宋体" w:hAnsi="宋体" w:cs="宋体"/>
                <w:bCs/>
                <w:color w:val="auto"/>
                <w:sz w:val="24"/>
                <w:highlight w:val="none"/>
                <w:lang w:val="en-US" w:eastAsia="zh-Hans"/>
              </w:rPr>
              <w:t>工作经历</w:t>
            </w:r>
          </w:p>
        </w:tc>
      </w:tr>
      <w:tr w14:paraId="0CF976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1568" w:type="dxa"/>
          </w:tcPr>
          <w:p w14:paraId="106DD4B5">
            <w:pPr>
              <w:spacing w:line="500" w:lineRule="exact"/>
              <w:jc w:val="center"/>
              <w:textAlignment w:val="baseline"/>
              <w:rPr>
                <w:rFonts w:ascii="宋体" w:hAnsi="宋体" w:cs="宋体"/>
                <w:bCs/>
                <w:color w:val="auto"/>
                <w:sz w:val="24"/>
                <w:highlight w:val="none"/>
              </w:rPr>
            </w:pPr>
          </w:p>
        </w:tc>
        <w:tc>
          <w:tcPr>
            <w:tcW w:w="2158" w:type="dxa"/>
          </w:tcPr>
          <w:p w14:paraId="2E5EAC4C">
            <w:pPr>
              <w:spacing w:line="500" w:lineRule="exact"/>
              <w:jc w:val="center"/>
              <w:textAlignment w:val="baseline"/>
              <w:rPr>
                <w:rFonts w:ascii="宋体" w:hAnsi="宋体" w:cs="宋体"/>
                <w:bCs/>
                <w:color w:val="auto"/>
                <w:sz w:val="24"/>
                <w:highlight w:val="none"/>
              </w:rPr>
            </w:pPr>
          </w:p>
        </w:tc>
        <w:tc>
          <w:tcPr>
            <w:tcW w:w="1343" w:type="dxa"/>
          </w:tcPr>
          <w:p w14:paraId="730223BA">
            <w:pPr>
              <w:spacing w:line="500" w:lineRule="exact"/>
              <w:jc w:val="center"/>
              <w:textAlignment w:val="baseline"/>
              <w:rPr>
                <w:rFonts w:ascii="宋体" w:hAnsi="宋体" w:cs="宋体"/>
                <w:bCs/>
                <w:color w:val="auto"/>
                <w:sz w:val="24"/>
                <w:highlight w:val="none"/>
              </w:rPr>
            </w:pPr>
          </w:p>
        </w:tc>
        <w:tc>
          <w:tcPr>
            <w:tcW w:w="1063" w:type="dxa"/>
          </w:tcPr>
          <w:p w14:paraId="5C618577">
            <w:pPr>
              <w:spacing w:line="500" w:lineRule="exact"/>
              <w:jc w:val="center"/>
              <w:textAlignment w:val="baseline"/>
              <w:rPr>
                <w:rFonts w:ascii="宋体" w:hAnsi="宋体" w:cs="宋体"/>
                <w:bCs/>
                <w:color w:val="auto"/>
                <w:sz w:val="24"/>
                <w:highlight w:val="none"/>
              </w:rPr>
            </w:pPr>
          </w:p>
        </w:tc>
        <w:tc>
          <w:tcPr>
            <w:tcW w:w="1606" w:type="dxa"/>
          </w:tcPr>
          <w:p w14:paraId="3959B369">
            <w:pPr>
              <w:spacing w:line="500" w:lineRule="exact"/>
              <w:jc w:val="center"/>
              <w:textAlignment w:val="baseline"/>
              <w:rPr>
                <w:rFonts w:ascii="宋体" w:hAnsi="宋体" w:cs="宋体"/>
                <w:bCs/>
                <w:color w:val="auto"/>
                <w:sz w:val="24"/>
                <w:highlight w:val="none"/>
              </w:rPr>
            </w:pPr>
          </w:p>
        </w:tc>
        <w:tc>
          <w:tcPr>
            <w:tcW w:w="1399" w:type="dxa"/>
          </w:tcPr>
          <w:p w14:paraId="163EC6CB">
            <w:pPr>
              <w:spacing w:line="500" w:lineRule="exact"/>
              <w:jc w:val="center"/>
              <w:textAlignment w:val="baseline"/>
              <w:rPr>
                <w:rFonts w:ascii="宋体" w:hAnsi="宋体" w:cs="宋体"/>
                <w:bCs/>
                <w:color w:val="auto"/>
                <w:sz w:val="24"/>
                <w:highlight w:val="none"/>
              </w:rPr>
            </w:pPr>
          </w:p>
        </w:tc>
      </w:tr>
      <w:tr w14:paraId="06BDA2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1568" w:type="dxa"/>
          </w:tcPr>
          <w:p w14:paraId="0CE0F376">
            <w:pPr>
              <w:spacing w:line="500" w:lineRule="exact"/>
              <w:jc w:val="center"/>
              <w:textAlignment w:val="baseline"/>
              <w:rPr>
                <w:rFonts w:ascii="宋体" w:hAnsi="宋体" w:cs="宋体"/>
                <w:bCs/>
                <w:color w:val="auto"/>
                <w:sz w:val="24"/>
                <w:highlight w:val="none"/>
              </w:rPr>
            </w:pPr>
          </w:p>
        </w:tc>
        <w:tc>
          <w:tcPr>
            <w:tcW w:w="2158" w:type="dxa"/>
          </w:tcPr>
          <w:p w14:paraId="61A97ADA">
            <w:pPr>
              <w:spacing w:line="500" w:lineRule="exact"/>
              <w:jc w:val="center"/>
              <w:textAlignment w:val="baseline"/>
              <w:rPr>
                <w:rFonts w:ascii="宋体" w:hAnsi="宋体" w:cs="宋体"/>
                <w:bCs/>
                <w:color w:val="auto"/>
                <w:sz w:val="24"/>
                <w:highlight w:val="none"/>
              </w:rPr>
            </w:pPr>
          </w:p>
        </w:tc>
        <w:tc>
          <w:tcPr>
            <w:tcW w:w="1343" w:type="dxa"/>
          </w:tcPr>
          <w:p w14:paraId="3E9153E0">
            <w:pPr>
              <w:spacing w:line="500" w:lineRule="exact"/>
              <w:jc w:val="center"/>
              <w:textAlignment w:val="baseline"/>
              <w:rPr>
                <w:rFonts w:ascii="宋体" w:hAnsi="宋体" w:cs="宋体"/>
                <w:bCs/>
                <w:color w:val="auto"/>
                <w:sz w:val="24"/>
                <w:highlight w:val="none"/>
              </w:rPr>
            </w:pPr>
          </w:p>
        </w:tc>
        <w:tc>
          <w:tcPr>
            <w:tcW w:w="1063" w:type="dxa"/>
          </w:tcPr>
          <w:p w14:paraId="581B0D38">
            <w:pPr>
              <w:spacing w:line="500" w:lineRule="exact"/>
              <w:jc w:val="center"/>
              <w:textAlignment w:val="baseline"/>
              <w:rPr>
                <w:rFonts w:ascii="宋体" w:hAnsi="宋体" w:cs="宋体"/>
                <w:bCs/>
                <w:color w:val="auto"/>
                <w:sz w:val="24"/>
                <w:highlight w:val="none"/>
              </w:rPr>
            </w:pPr>
          </w:p>
        </w:tc>
        <w:tc>
          <w:tcPr>
            <w:tcW w:w="1606" w:type="dxa"/>
          </w:tcPr>
          <w:p w14:paraId="077CDB60">
            <w:pPr>
              <w:spacing w:line="500" w:lineRule="exact"/>
              <w:jc w:val="center"/>
              <w:textAlignment w:val="baseline"/>
              <w:rPr>
                <w:rFonts w:ascii="宋体" w:hAnsi="宋体" w:cs="宋体"/>
                <w:bCs/>
                <w:color w:val="auto"/>
                <w:sz w:val="24"/>
                <w:highlight w:val="none"/>
              </w:rPr>
            </w:pPr>
          </w:p>
        </w:tc>
        <w:tc>
          <w:tcPr>
            <w:tcW w:w="1399" w:type="dxa"/>
          </w:tcPr>
          <w:p w14:paraId="46B29631">
            <w:pPr>
              <w:spacing w:line="500" w:lineRule="exact"/>
              <w:jc w:val="center"/>
              <w:textAlignment w:val="baseline"/>
              <w:rPr>
                <w:rFonts w:ascii="宋体" w:hAnsi="宋体" w:cs="宋体"/>
                <w:bCs/>
                <w:color w:val="auto"/>
                <w:sz w:val="24"/>
                <w:highlight w:val="none"/>
              </w:rPr>
            </w:pPr>
          </w:p>
        </w:tc>
      </w:tr>
      <w:tr w14:paraId="6BAA86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1568" w:type="dxa"/>
          </w:tcPr>
          <w:p w14:paraId="176FAB15">
            <w:pPr>
              <w:spacing w:line="500" w:lineRule="exact"/>
              <w:jc w:val="center"/>
              <w:textAlignment w:val="baseline"/>
              <w:rPr>
                <w:rFonts w:ascii="宋体" w:hAnsi="宋体" w:cs="宋体"/>
                <w:bCs/>
                <w:color w:val="auto"/>
                <w:sz w:val="24"/>
                <w:highlight w:val="none"/>
              </w:rPr>
            </w:pPr>
          </w:p>
        </w:tc>
        <w:tc>
          <w:tcPr>
            <w:tcW w:w="2158" w:type="dxa"/>
          </w:tcPr>
          <w:p w14:paraId="0CFB5876">
            <w:pPr>
              <w:spacing w:line="500" w:lineRule="exact"/>
              <w:jc w:val="center"/>
              <w:textAlignment w:val="baseline"/>
              <w:rPr>
                <w:rFonts w:ascii="宋体" w:hAnsi="宋体" w:cs="宋体"/>
                <w:bCs/>
                <w:color w:val="auto"/>
                <w:sz w:val="24"/>
                <w:highlight w:val="none"/>
              </w:rPr>
            </w:pPr>
          </w:p>
        </w:tc>
        <w:tc>
          <w:tcPr>
            <w:tcW w:w="1343" w:type="dxa"/>
          </w:tcPr>
          <w:p w14:paraId="166F7103">
            <w:pPr>
              <w:spacing w:line="500" w:lineRule="exact"/>
              <w:jc w:val="center"/>
              <w:textAlignment w:val="baseline"/>
              <w:rPr>
                <w:rFonts w:ascii="宋体" w:hAnsi="宋体" w:cs="宋体"/>
                <w:bCs/>
                <w:color w:val="auto"/>
                <w:sz w:val="24"/>
                <w:highlight w:val="none"/>
              </w:rPr>
            </w:pPr>
          </w:p>
        </w:tc>
        <w:tc>
          <w:tcPr>
            <w:tcW w:w="1063" w:type="dxa"/>
          </w:tcPr>
          <w:p w14:paraId="6CAAABBA">
            <w:pPr>
              <w:spacing w:line="500" w:lineRule="exact"/>
              <w:jc w:val="center"/>
              <w:textAlignment w:val="baseline"/>
              <w:rPr>
                <w:rFonts w:ascii="宋体" w:hAnsi="宋体" w:cs="宋体"/>
                <w:bCs/>
                <w:color w:val="auto"/>
                <w:sz w:val="24"/>
                <w:highlight w:val="none"/>
              </w:rPr>
            </w:pPr>
          </w:p>
        </w:tc>
        <w:tc>
          <w:tcPr>
            <w:tcW w:w="1606" w:type="dxa"/>
          </w:tcPr>
          <w:p w14:paraId="4B59980C">
            <w:pPr>
              <w:spacing w:line="500" w:lineRule="exact"/>
              <w:jc w:val="center"/>
              <w:textAlignment w:val="baseline"/>
              <w:rPr>
                <w:rFonts w:ascii="宋体" w:hAnsi="宋体" w:cs="宋体"/>
                <w:bCs/>
                <w:color w:val="auto"/>
                <w:sz w:val="24"/>
                <w:highlight w:val="none"/>
              </w:rPr>
            </w:pPr>
          </w:p>
        </w:tc>
        <w:tc>
          <w:tcPr>
            <w:tcW w:w="1399" w:type="dxa"/>
          </w:tcPr>
          <w:p w14:paraId="1A879624">
            <w:pPr>
              <w:spacing w:line="500" w:lineRule="exact"/>
              <w:jc w:val="center"/>
              <w:textAlignment w:val="baseline"/>
              <w:rPr>
                <w:rFonts w:ascii="宋体" w:hAnsi="宋体" w:cs="宋体"/>
                <w:bCs/>
                <w:color w:val="auto"/>
                <w:sz w:val="24"/>
                <w:highlight w:val="none"/>
              </w:rPr>
            </w:pPr>
          </w:p>
        </w:tc>
      </w:tr>
      <w:tr w14:paraId="65BB48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1568" w:type="dxa"/>
          </w:tcPr>
          <w:p w14:paraId="48AAC97B">
            <w:pPr>
              <w:spacing w:line="400" w:lineRule="exact"/>
              <w:jc w:val="center"/>
              <w:textAlignment w:val="baseline"/>
              <w:rPr>
                <w:rFonts w:ascii="宋体" w:hAnsi="宋体" w:cs="宋体"/>
                <w:bCs/>
                <w:color w:val="auto"/>
                <w:sz w:val="24"/>
                <w:highlight w:val="none"/>
              </w:rPr>
            </w:pPr>
          </w:p>
        </w:tc>
        <w:tc>
          <w:tcPr>
            <w:tcW w:w="2158" w:type="dxa"/>
          </w:tcPr>
          <w:p w14:paraId="19E81CB0">
            <w:pPr>
              <w:spacing w:line="400" w:lineRule="exact"/>
              <w:jc w:val="center"/>
              <w:textAlignment w:val="baseline"/>
              <w:rPr>
                <w:rFonts w:ascii="宋体" w:hAnsi="宋体" w:cs="宋体"/>
                <w:bCs/>
                <w:color w:val="auto"/>
                <w:sz w:val="24"/>
                <w:highlight w:val="none"/>
              </w:rPr>
            </w:pPr>
          </w:p>
        </w:tc>
        <w:tc>
          <w:tcPr>
            <w:tcW w:w="1343" w:type="dxa"/>
          </w:tcPr>
          <w:p w14:paraId="48969C11">
            <w:pPr>
              <w:spacing w:line="400" w:lineRule="exact"/>
              <w:jc w:val="center"/>
              <w:textAlignment w:val="baseline"/>
              <w:rPr>
                <w:rFonts w:ascii="宋体" w:hAnsi="宋体" w:cs="宋体"/>
                <w:bCs/>
                <w:color w:val="auto"/>
                <w:sz w:val="24"/>
                <w:highlight w:val="none"/>
              </w:rPr>
            </w:pPr>
          </w:p>
        </w:tc>
        <w:tc>
          <w:tcPr>
            <w:tcW w:w="1063" w:type="dxa"/>
          </w:tcPr>
          <w:p w14:paraId="025073F3">
            <w:pPr>
              <w:spacing w:line="400" w:lineRule="exact"/>
              <w:jc w:val="center"/>
              <w:textAlignment w:val="baseline"/>
              <w:rPr>
                <w:rFonts w:ascii="宋体" w:hAnsi="宋体" w:cs="宋体"/>
                <w:bCs/>
                <w:color w:val="auto"/>
                <w:sz w:val="24"/>
                <w:highlight w:val="none"/>
              </w:rPr>
            </w:pPr>
          </w:p>
        </w:tc>
        <w:tc>
          <w:tcPr>
            <w:tcW w:w="1606" w:type="dxa"/>
          </w:tcPr>
          <w:p w14:paraId="1E75A28F">
            <w:pPr>
              <w:spacing w:line="400" w:lineRule="exact"/>
              <w:jc w:val="center"/>
              <w:textAlignment w:val="baseline"/>
              <w:rPr>
                <w:rFonts w:ascii="宋体" w:hAnsi="宋体" w:cs="宋体"/>
                <w:bCs/>
                <w:color w:val="auto"/>
                <w:sz w:val="24"/>
                <w:highlight w:val="none"/>
              </w:rPr>
            </w:pPr>
          </w:p>
        </w:tc>
        <w:tc>
          <w:tcPr>
            <w:tcW w:w="1399" w:type="dxa"/>
          </w:tcPr>
          <w:p w14:paraId="2EA876C9">
            <w:pPr>
              <w:spacing w:line="400" w:lineRule="exact"/>
              <w:jc w:val="center"/>
              <w:textAlignment w:val="baseline"/>
              <w:rPr>
                <w:rFonts w:ascii="宋体" w:hAnsi="宋体" w:cs="宋体"/>
                <w:bCs/>
                <w:color w:val="auto"/>
                <w:sz w:val="24"/>
                <w:highlight w:val="none"/>
              </w:rPr>
            </w:pPr>
          </w:p>
        </w:tc>
      </w:tr>
      <w:tr w14:paraId="5F0613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1568" w:type="dxa"/>
          </w:tcPr>
          <w:p w14:paraId="4FEC004A">
            <w:pPr>
              <w:spacing w:line="400" w:lineRule="exact"/>
              <w:jc w:val="center"/>
              <w:textAlignment w:val="baseline"/>
              <w:rPr>
                <w:rFonts w:ascii="宋体" w:hAnsi="宋体" w:cs="宋体"/>
                <w:bCs/>
                <w:color w:val="auto"/>
                <w:sz w:val="24"/>
                <w:highlight w:val="none"/>
              </w:rPr>
            </w:pPr>
          </w:p>
        </w:tc>
        <w:tc>
          <w:tcPr>
            <w:tcW w:w="2158" w:type="dxa"/>
          </w:tcPr>
          <w:p w14:paraId="57B8E62D">
            <w:pPr>
              <w:spacing w:line="400" w:lineRule="exact"/>
              <w:jc w:val="center"/>
              <w:textAlignment w:val="baseline"/>
              <w:rPr>
                <w:rFonts w:ascii="宋体" w:hAnsi="宋体" w:cs="宋体"/>
                <w:bCs/>
                <w:color w:val="auto"/>
                <w:sz w:val="24"/>
                <w:highlight w:val="none"/>
              </w:rPr>
            </w:pPr>
          </w:p>
        </w:tc>
        <w:tc>
          <w:tcPr>
            <w:tcW w:w="1343" w:type="dxa"/>
          </w:tcPr>
          <w:p w14:paraId="5043947C">
            <w:pPr>
              <w:spacing w:line="400" w:lineRule="exact"/>
              <w:jc w:val="center"/>
              <w:textAlignment w:val="baseline"/>
              <w:rPr>
                <w:rFonts w:ascii="宋体" w:hAnsi="宋体" w:cs="宋体"/>
                <w:bCs/>
                <w:color w:val="auto"/>
                <w:sz w:val="24"/>
                <w:highlight w:val="none"/>
              </w:rPr>
            </w:pPr>
          </w:p>
        </w:tc>
        <w:tc>
          <w:tcPr>
            <w:tcW w:w="1063" w:type="dxa"/>
          </w:tcPr>
          <w:p w14:paraId="36DAB68D">
            <w:pPr>
              <w:spacing w:line="400" w:lineRule="exact"/>
              <w:jc w:val="center"/>
              <w:textAlignment w:val="baseline"/>
              <w:rPr>
                <w:rFonts w:ascii="宋体" w:hAnsi="宋体" w:cs="宋体"/>
                <w:bCs/>
                <w:color w:val="auto"/>
                <w:sz w:val="24"/>
                <w:highlight w:val="none"/>
              </w:rPr>
            </w:pPr>
          </w:p>
        </w:tc>
        <w:tc>
          <w:tcPr>
            <w:tcW w:w="1606" w:type="dxa"/>
          </w:tcPr>
          <w:p w14:paraId="24960528">
            <w:pPr>
              <w:spacing w:line="400" w:lineRule="exact"/>
              <w:jc w:val="center"/>
              <w:textAlignment w:val="baseline"/>
              <w:rPr>
                <w:rFonts w:ascii="宋体" w:hAnsi="宋体" w:cs="宋体"/>
                <w:bCs/>
                <w:color w:val="auto"/>
                <w:sz w:val="24"/>
                <w:highlight w:val="none"/>
              </w:rPr>
            </w:pPr>
          </w:p>
        </w:tc>
        <w:tc>
          <w:tcPr>
            <w:tcW w:w="1399" w:type="dxa"/>
          </w:tcPr>
          <w:p w14:paraId="049DF7C9">
            <w:pPr>
              <w:spacing w:line="400" w:lineRule="exact"/>
              <w:jc w:val="center"/>
              <w:textAlignment w:val="baseline"/>
              <w:rPr>
                <w:rFonts w:ascii="宋体" w:hAnsi="宋体" w:cs="宋体"/>
                <w:bCs/>
                <w:color w:val="auto"/>
                <w:sz w:val="24"/>
                <w:highlight w:val="none"/>
              </w:rPr>
            </w:pPr>
          </w:p>
        </w:tc>
      </w:tr>
      <w:tr w14:paraId="5976E4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1568" w:type="dxa"/>
          </w:tcPr>
          <w:p w14:paraId="19080E2C">
            <w:pPr>
              <w:spacing w:line="400" w:lineRule="exact"/>
              <w:jc w:val="center"/>
              <w:textAlignment w:val="baseline"/>
              <w:rPr>
                <w:rFonts w:ascii="宋体" w:hAnsi="宋体" w:cs="宋体"/>
                <w:bCs/>
                <w:color w:val="auto"/>
                <w:sz w:val="24"/>
                <w:highlight w:val="none"/>
              </w:rPr>
            </w:pPr>
          </w:p>
        </w:tc>
        <w:tc>
          <w:tcPr>
            <w:tcW w:w="2158" w:type="dxa"/>
          </w:tcPr>
          <w:p w14:paraId="51BCA6E9">
            <w:pPr>
              <w:spacing w:line="400" w:lineRule="exact"/>
              <w:jc w:val="center"/>
              <w:textAlignment w:val="baseline"/>
              <w:rPr>
                <w:rFonts w:ascii="宋体" w:hAnsi="宋体" w:cs="宋体"/>
                <w:bCs/>
                <w:color w:val="auto"/>
                <w:sz w:val="24"/>
                <w:highlight w:val="none"/>
              </w:rPr>
            </w:pPr>
          </w:p>
        </w:tc>
        <w:tc>
          <w:tcPr>
            <w:tcW w:w="1343" w:type="dxa"/>
          </w:tcPr>
          <w:p w14:paraId="5EFB81CE">
            <w:pPr>
              <w:spacing w:line="400" w:lineRule="exact"/>
              <w:jc w:val="center"/>
              <w:textAlignment w:val="baseline"/>
              <w:rPr>
                <w:rFonts w:ascii="宋体" w:hAnsi="宋体" w:cs="宋体"/>
                <w:bCs/>
                <w:color w:val="auto"/>
                <w:sz w:val="24"/>
                <w:highlight w:val="none"/>
              </w:rPr>
            </w:pPr>
          </w:p>
        </w:tc>
        <w:tc>
          <w:tcPr>
            <w:tcW w:w="1063" w:type="dxa"/>
          </w:tcPr>
          <w:p w14:paraId="56F9D2A0">
            <w:pPr>
              <w:spacing w:line="400" w:lineRule="exact"/>
              <w:jc w:val="center"/>
              <w:textAlignment w:val="baseline"/>
              <w:rPr>
                <w:rFonts w:ascii="宋体" w:hAnsi="宋体" w:cs="宋体"/>
                <w:bCs/>
                <w:color w:val="auto"/>
                <w:sz w:val="24"/>
                <w:highlight w:val="none"/>
              </w:rPr>
            </w:pPr>
          </w:p>
        </w:tc>
        <w:tc>
          <w:tcPr>
            <w:tcW w:w="1606" w:type="dxa"/>
          </w:tcPr>
          <w:p w14:paraId="51234D10">
            <w:pPr>
              <w:spacing w:line="400" w:lineRule="exact"/>
              <w:jc w:val="center"/>
              <w:textAlignment w:val="baseline"/>
              <w:rPr>
                <w:rFonts w:ascii="宋体" w:hAnsi="宋体" w:cs="宋体"/>
                <w:bCs/>
                <w:color w:val="auto"/>
                <w:sz w:val="24"/>
                <w:highlight w:val="none"/>
              </w:rPr>
            </w:pPr>
          </w:p>
        </w:tc>
        <w:tc>
          <w:tcPr>
            <w:tcW w:w="1399" w:type="dxa"/>
          </w:tcPr>
          <w:p w14:paraId="189BA600">
            <w:pPr>
              <w:spacing w:line="400" w:lineRule="exact"/>
              <w:jc w:val="center"/>
              <w:textAlignment w:val="baseline"/>
              <w:rPr>
                <w:rFonts w:ascii="宋体" w:hAnsi="宋体" w:cs="宋体"/>
                <w:bCs/>
                <w:color w:val="auto"/>
                <w:sz w:val="24"/>
                <w:highlight w:val="none"/>
              </w:rPr>
            </w:pPr>
          </w:p>
        </w:tc>
      </w:tr>
      <w:tr w14:paraId="505D37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1568" w:type="dxa"/>
          </w:tcPr>
          <w:p w14:paraId="3469D096">
            <w:pPr>
              <w:spacing w:line="500" w:lineRule="exact"/>
              <w:jc w:val="center"/>
              <w:textAlignment w:val="baseline"/>
              <w:rPr>
                <w:rFonts w:ascii="宋体" w:hAnsi="宋体" w:cs="宋体"/>
                <w:bCs/>
                <w:color w:val="auto"/>
                <w:sz w:val="24"/>
                <w:highlight w:val="none"/>
              </w:rPr>
            </w:pPr>
          </w:p>
        </w:tc>
        <w:tc>
          <w:tcPr>
            <w:tcW w:w="2158" w:type="dxa"/>
          </w:tcPr>
          <w:p w14:paraId="0F371ACE">
            <w:pPr>
              <w:spacing w:line="500" w:lineRule="exact"/>
              <w:jc w:val="center"/>
              <w:textAlignment w:val="baseline"/>
              <w:rPr>
                <w:rFonts w:ascii="宋体" w:hAnsi="宋体" w:cs="宋体"/>
                <w:bCs/>
                <w:color w:val="auto"/>
                <w:sz w:val="24"/>
                <w:highlight w:val="none"/>
              </w:rPr>
            </w:pPr>
          </w:p>
        </w:tc>
        <w:tc>
          <w:tcPr>
            <w:tcW w:w="1343" w:type="dxa"/>
          </w:tcPr>
          <w:p w14:paraId="194AC4EA">
            <w:pPr>
              <w:spacing w:line="500" w:lineRule="exact"/>
              <w:jc w:val="center"/>
              <w:textAlignment w:val="baseline"/>
              <w:rPr>
                <w:rFonts w:ascii="宋体" w:hAnsi="宋体" w:cs="宋体"/>
                <w:bCs/>
                <w:color w:val="auto"/>
                <w:sz w:val="24"/>
                <w:highlight w:val="none"/>
              </w:rPr>
            </w:pPr>
          </w:p>
        </w:tc>
        <w:tc>
          <w:tcPr>
            <w:tcW w:w="1063" w:type="dxa"/>
          </w:tcPr>
          <w:p w14:paraId="06B9F138">
            <w:pPr>
              <w:spacing w:line="500" w:lineRule="exact"/>
              <w:jc w:val="center"/>
              <w:textAlignment w:val="baseline"/>
              <w:rPr>
                <w:rFonts w:ascii="宋体" w:hAnsi="宋体" w:cs="宋体"/>
                <w:bCs/>
                <w:color w:val="auto"/>
                <w:sz w:val="24"/>
                <w:highlight w:val="none"/>
              </w:rPr>
            </w:pPr>
          </w:p>
        </w:tc>
        <w:tc>
          <w:tcPr>
            <w:tcW w:w="1606" w:type="dxa"/>
          </w:tcPr>
          <w:p w14:paraId="712EB56B">
            <w:pPr>
              <w:spacing w:line="500" w:lineRule="exact"/>
              <w:jc w:val="center"/>
              <w:textAlignment w:val="baseline"/>
              <w:rPr>
                <w:rFonts w:ascii="宋体" w:hAnsi="宋体" w:cs="宋体"/>
                <w:bCs/>
                <w:color w:val="auto"/>
                <w:sz w:val="24"/>
                <w:highlight w:val="none"/>
              </w:rPr>
            </w:pPr>
          </w:p>
        </w:tc>
        <w:tc>
          <w:tcPr>
            <w:tcW w:w="1399" w:type="dxa"/>
          </w:tcPr>
          <w:p w14:paraId="4FD4A758">
            <w:pPr>
              <w:spacing w:line="500" w:lineRule="exact"/>
              <w:jc w:val="center"/>
              <w:textAlignment w:val="baseline"/>
              <w:rPr>
                <w:rFonts w:ascii="宋体" w:hAnsi="宋体" w:cs="宋体"/>
                <w:bCs/>
                <w:color w:val="auto"/>
                <w:sz w:val="24"/>
                <w:highlight w:val="none"/>
              </w:rPr>
            </w:pPr>
          </w:p>
        </w:tc>
      </w:tr>
      <w:tr w14:paraId="50F4DD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1568" w:type="dxa"/>
          </w:tcPr>
          <w:p w14:paraId="07710CB3">
            <w:pPr>
              <w:spacing w:line="500" w:lineRule="exact"/>
              <w:jc w:val="center"/>
              <w:textAlignment w:val="baseline"/>
              <w:rPr>
                <w:rFonts w:ascii="宋体" w:hAnsi="宋体" w:cs="宋体"/>
                <w:bCs/>
                <w:color w:val="auto"/>
                <w:sz w:val="24"/>
                <w:highlight w:val="none"/>
              </w:rPr>
            </w:pPr>
          </w:p>
        </w:tc>
        <w:tc>
          <w:tcPr>
            <w:tcW w:w="2158" w:type="dxa"/>
          </w:tcPr>
          <w:p w14:paraId="05FCDE21">
            <w:pPr>
              <w:spacing w:line="500" w:lineRule="exact"/>
              <w:jc w:val="center"/>
              <w:textAlignment w:val="baseline"/>
              <w:rPr>
                <w:rFonts w:ascii="宋体" w:hAnsi="宋体" w:cs="宋体"/>
                <w:bCs/>
                <w:color w:val="auto"/>
                <w:sz w:val="24"/>
                <w:highlight w:val="none"/>
              </w:rPr>
            </w:pPr>
          </w:p>
        </w:tc>
        <w:tc>
          <w:tcPr>
            <w:tcW w:w="1343" w:type="dxa"/>
          </w:tcPr>
          <w:p w14:paraId="6E8DD490">
            <w:pPr>
              <w:spacing w:line="500" w:lineRule="exact"/>
              <w:jc w:val="center"/>
              <w:textAlignment w:val="baseline"/>
              <w:rPr>
                <w:rFonts w:ascii="宋体" w:hAnsi="宋体" w:cs="宋体"/>
                <w:bCs/>
                <w:color w:val="auto"/>
                <w:sz w:val="24"/>
                <w:highlight w:val="none"/>
              </w:rPr>
            </w:pPr>
          </w:p>
        </w:tc>
        <w:tc>
          <w:tcPr>
            <w:tcW w:w="1063" w:type="dxa"/>
          </w:tcPr>
          <w:p w14:paraId="44E41B3B">
            <w:pPr>
              <w:spacing w:line="500" w:lineRule="exact"/>
              <w:jc w:val="center"/>
              <w:textAlignment w:val="baseline"/>
              <w:rPr>
                <w:rFonts w:ascii="宋体" w:hAnsi="宋体" w:cs="宋体"/>
                <w:bCs/>
                <w:color w:val="auto"/>
                <w:sz w:val="24"/>
                <w:highlight w:val="none"/>
              </w:rPr>
            </w:pPr>
          </w:p>
        </w:tc>
        <w:tc>
          <w:tcPr>
            <w:tcW w:w="1606" w:type="dxa"/>
          </w:tcPr>
          <w:p w14:paraId="696849A0">
            <w:pPr>
              <w:spacing w:line="500" w:lineRule="exact"/>
              <w:jc w:val="center"/>
              <w:textAlignment w:val="baseline"/>
              <w:rPr>
                <w:rFonts w:ascii="宋体" w:hAnsi="宋体" w:cs="宋体"/>
                <w:bCs/>
                <w:color w:val="auto"/>
                <w:sz w:val="24"/>
                <w:highlight w:val="none"/>
              </w:rPr>
            </w:pPr>
          </w:p>
        </w:tc>
        <w:tc>
          <w:tcPr>
            <w:tcW w:w="1399" w:type="dxa"/>
          </w:tcPr>
          <w:p w14:paraId="5F25B59E">
            <w:pPr>
              <w:spacing w:line="500" w:lineRule="exact"/>
              <w:jc w:val="center"/>
              <w:textAlignment w:val="baseline"/>
              <w:rPr>
                <w:rFonts w:ascii="宋体" w:hAnsi="宋体" w:cs="宋体"/>
                <w:bCs/>
                <w:color w:val="auto"/>
                <w:sz w:val="24"/>
                <w:highlight w:val="none"/>
              </w:rPr>
            </w:pPr>
          </w:p>
        </w:tc>
      </w:tr>
      <w:tr w14:paraId="78C98E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1568" w:type="dxa"/>
          </w:tcPr>
          <w:p w14:paraId="317D4824">
            <w:pPr>
              <w:spacing w:line="400" w:lineRule="exact"/>
              <w:jc w:val="center"/>
              <w:textAlignment w:val="baseline"/>
              <w:rPr>
                <w:rFonts w:ascii="宋体" w:hAnsi="宋体" w:cs="宋体"/>
                <w:bCs/>
                <w:color w:val="auto"/>
                <w:sz w:val="24"/>
                <w:highlight w:val="none"/>
              </w:rPr>
            </w:pPr>
          </w:p>
        </w:tc>
        <w:tc>
          <w:tcPr>
            <w:tcW w:w="2158" w:type="dxa"/>
          </w:tcPr>
          <w:p w14:paraId="5B87A0C6">
            <w:pPr>
              <w:spacing w:line="400" w:lineRule="exact"/>
              <w:jc w:val="center"/>
              <w:textAlignment w:val="baseline"/>
              <w:rPr>
                <w:rFonts w:ascii="宋体" w:hAnsi="宋体" w:cs="宋体"/>
                <w:bCs/>
                <w:color w:val="auto"/>
                <w:sz w:val="24"/>
                <w:highlight w:val="none"/>
              </w:rPr>
            </w:pPr>
          </w:p>
        </w:tc>
        <w:tc>
          <w:tcPr>
            <w:tcW w:w="1343" w:type="dxa"/>
          </w:tcPr>
          <w:p w14:paraId="2FE31DFC">
            <w:pPr>
              <w:spacing w:line="400" w:lineRule="exact"/>
              <w:jc w:val="center"/>
              <w:textAlignment w:val="baseline"/>
              <w:rPr>
                <w:rFonts w:ascii="宋体" w:hAnsi="宋体" w:cs="宋体"/>
                <w:bCs/>
                <w:color w:val="auto"/>
                <w:sz w:val="24"/>
                <w:highlight w:val="none"/>
              </w:rPr>
            </w:pPr>
          </w:p>
        </w:tc>
        <w:tc>
          <w:tcPr>
            <w:tcW w:w="1063" w:type="dxa"/>
          </w:tcPr>
          <w:p w14:paraId="7FA1834F">
            <w:pPr>
              <w:spacing w:line="400" w:lineRule="exact"/>
              <w:jc w:val="center"/>
              <w:textAlignment w:val="baseline"/>
              <w:rPr>
                <w:rFonts w:ascii="宋体" w:hAnsi="宋体" w:cs="宋体"/>
                <w:bCs/>
                <w:color w:val="auto"/>
                <w:sz w:val="24"/>
                <w:highlight w:val="none"/>
              </w:rPr>
            </w:pPr>
          </w:p>
        </w:tc>
        <w:tc>
          <w:tcPr>
            <w:tcW w:w="1606" w:type="dxa"/>
          </w:tcPr>
          <w:p w14:paraId="317CA691">
            <w:pPr>
              <w:spacing w:line="400" w:lineRule="exact"/>
              <w:jc w:val="center"/>
              <w:textAlignment w:val="baseline"/>
              <w:rPr>
                <w:rFonts w:ascii="宋体" w:hAnsi="宋体" w:cs="宋体"/>
                <w:bCs/>
                <w:color w:val="auto"/>
                <w:sz w:val="24"/>
                <w:highlight w:val="none"/>
              </w:rPr>
            </w:pPr>
          </w:p>
        </w:tc>
        <w:tc>
          <w:tcPr>
            <w:tcW w:w="1399" w:type="dxa"/>
          </w:tcPr>
          <w:p w14:paraId="38B06753">
            <w:pPr>
              <w:spacing w:line="400" w:lineRule="exact"/>
              <w:jc w:val="center"/>
              <w:textAlignment w:val="baseline"/>
              <w:rPr>
                <w:rFonts w:ascii="宋体" w:hAnsi="宋体" w:cs="宋体"/>
                <w:bCs/>
                <w:color w:val="auto"/>
                <w:sz w:val="24"/>
                <w:highlight w:val="none"/>
              </w:rPr>
            </w:pPr>
          </w:p>
        </w:tc>
      </w:tr>
      <w:tr w14:paraId="1319B7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1568" w:type="dxa"/>
          </w:tcPr>
          <w:p w14:paraId="33F368D3">
            <w:pPr>
              <w:spacing w:line="400" w:lineRule="exact"/>
              <w:jc w:val="center"/>
              <w:textAlignment w:val="baseline"/>
              <w:rPr>
                <w:rFonts w:ascii="宋体" w:hAnsi="宋体" w:cs="宋体"/>
                <w:bCs/>
                <w:color w:val="auto"/>
                <w:sz w:val="24"/>
                <w:highlight w:val="none"/>
              </w:rPr>
            </w:pPr>
          </w:p>
        </w:tc>
        <w:tc>
          <w:tcPr>
            <w:tcW w:w="2158" w:type="dxa"/>
          </w:tcPr>
          <w:p w14:paraId="06E19E48">
            <w:pPr>
              <w:spacing w:line="400" w:lineRule="exact"/>
              <w:jc w:val="center"/>
              <w:textAlignment w:val="baseline"/>
              <w:rPr>
                <w:rFonts w:ascii="宋体" w:hAnsi="宋体" w:cs="宋体"/>
                <w:bCs/>
                <w:color w:val="auto"/>
                <w:sz w:val="24"/>
                <w:highlight w:val="none"/>
              </w:rPr>
            </w:pPr>
          </w:p>
        </w:tc>
        <w:tc>
          <w:tcPr>
            <w:tcW w:w="1343" w:type="dxa"/>
          </w:tcPr>
          <w:p w14:paraId="182B53EB">
            <w:pPr>
              <w:spacing w:line="400" w:lineRule="exact"/>
              <w:jc w:val="center"/>
              <w:textAlignment w:val="baseline"/>
              <w:rPr>
                <w:rFonts w:ascii="宋体" w:hAnsi="宋体" w:cs="宋体"/>
                <w:bCs/>
                <w:color w:val="auto"/>
                <w:sz w:val="24"/>
                <w:highlight w:val="none"/>
              </w:rPr>
            </w:pPr>
          </w:p>
        </w:tc>
        <w:tc>
          <w:tcPr>
            <w:tcW w:w="1063" w:type="dxa"/>
          </w:tcPr>
          <w:p w14:paraId="71AFF545">
            <w:pPr>
              <w:spacing w:line="400" w:lineRule="exact"/>
              <w:jc w:val="center"/>
              <w:textAlignment w:val="baseline"/>
              <w:rPr>
                <w:rFonts w:ascii="宋体" w:hAnsi="宋体" w:cs="宋体"/>
                <w:bCs/>
                <w:color w:val="auto"/>
                <w:sz w:val="24"/>
                <w:highlight w:val="none"/>
              </w:rPr>
            </w:pPr>
          </w:p>
        </w:tc>
        <w:tc>
          <w:tcPr>
            <w:tcW w:w="1606" w:type="dxa"/>
          </w:tcPr>
          <w:p w14:paraId="5C37450A">
            <w:pPr>
              <w:spacing w:line="400" w:lineRule="exact"/>
              <w:jc w:val="center"/>
              <w:textAlignment w:val="baseline"/>
              <w:rPr>
                <w:rFonts w:ascii="宋体" w:hAnsi="宋体" w:cs="宋体"/>
                <w:bCs/>
                <w:color w:val="auto"/>
                <w:sz w:val="24"/>
                <w:highlight w:val="none"/>
              </w:rPr>
            </w:pPr>
          </w:p>
        </w:tc>
        <w:tc>
          <w:tcPr>
            <w:tcW w:w="1399" w:type="dxa"/>
          </w:tcPr>
          <w:p w14:paraId="1D954C7E">
            <w:pPr>
              <w:spacing w:line="400" w:lineRule="exact"/>
              <w:jc w:val="center"/>
              <w:textAlignment w:val="baseline"/>
              <w:rPr>
                <w:rFonts w:ascii="宋体" w:hAnsi="宋体" w:cs="宋体"/>
                <w:bCs/>
                <w:color w:val="auto"/>
                <w:sz w:val="24"/>
                <w:highlight w:val="none"/>
              </w:rPr>
            </w:pPr>
          </w:p>
        </w:tc>
      </w:tr>
      <w:tr w14:paraId="47A208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1568" w:type="dxa"/>
          </w:tcPr>
          <w:p w14:paraId="53DF9C5B">
            <w:pPr>
              <w:spacing w:line="400" w:lineRule="exact"/>
              <w:jc w:val="center"/>
              <w:textAlignment w:val="baseline"/>
              <w:rPr>
                <w:rFonts w:ascii="宋体" w:hAnsi="宋体" w:cs="宋体"/>
                <w:bCs/>
                <w:color w:val="auto"/>
                <w:sz w:val="24"/>
                <w:highlight w:val="none"/>
              </w:rPr>
            </w:pPr>
          </w:p>
        </w:tc>
        <w:tc>
          <w:tcPr>
            <w:tcW w:w="2158" w:type="dxa"/>
          </w:tcPr>
          <w:p w14:paraId="1D2D4BA4">
            <w:pPr>
              <w:spacing w:line="400" w:lineRule="exact"/>
              <w:jc w:val="center"/>
              <w:textAlignment w:val="baseline"/>
              <w:rPr>
                <w:rFonts w:ascii="宋体" w:hAnsi="宋体" w:cs="宋体"/>
                <w:bCs/>
                <w:color w:val="auto"/>
                <w:sz w:val="24"/>
                <w:highlight w:val="none"/>
              </w:rPr>
            </w:pPr>
          </w:p>
        </w:tc>
        <w:tc>
          <w:tcPr>
            <w:tcW w:w="1343" w:type="dxa"/>
          </w:tcPr>
          <w:p w14:paraId="09268743">
            <w:pPr>
              <w:spacing w:line="400" w:lineRule="exact"/>
              <w:jc w:val="center"/>
              <w:textAlignment w:val="baseline"/>
              <w:rPr>
                <w:rFonts w:ascii="宋体" w:hAnsi="宋体" w:cs="宋体"/>
                <w:bCs/>
                <w:color w:val="auto"/>
                <w:sz w:val="24"/>
                <w:highlight w:val="none"/>
              </w:rPr>
            </w:pPr>
          </w:p>
        </w:tc>
        <w:tc>
          <w:tcPr>
            <w:tcW w:w="1063" w:type="dxa"/>
          </w:tcPr>
          <w:p w14:paraId="198F5BB4">
            <w:pPr>
              <w:spacing w:line="400" w:lineRule="exact"/>
              <w:jc w:val="center"/>
              <w:textAlignment w:val="baseline"/>
              <w:rPr>
                <w:rFonts w:ascii="宋体" w:hAnsi="宋体" w:cs="宋体"/>
                <w:bCs/>
                <w:color w:val="auto"/>
                <w:sz w:val="24"/>
                <w:highlight w:val="none"/>
              </w:rPr>
            </w:pPr>
          </w:p>
        </w:tc>
        <w:tc>
          <w:tcPr>
            <w:tcW w:w="1606" w:type="dxa"/>
          </w:tcPr>
          <w:p w14:paraId="1A2D8B30">
            <w:pPr>
              <w:spacing w:line="400" w:lineRule="exact"/>
              <w:jc w:val="center"/>
              <w:textAlignment w:val="baseline"/>
              <w:rPr>
                <w:rFonts w:ascii="宋体" w:hAnsi="宋体" w:cs="宋体"/>
                <w:bCs/>
                <w:color w:val="auto"/>
                <w:sz w:val="24"/>
                <w:highlight w:val="none"/>
              </w:rPr>
            </w:pPr>
          </w:p>
        </w:tc>
        <w:tc>
          <w:tcPr>
            <w:tcW w:w="1399" w:type="dxa"/>
          </w:tcPr>
          <w:p w14:paraId="54FA51EA">
            <w:pPr>
              <w:spacing w:line="400" w:lineRule="exact"/>
              <w:jc w:val="center"/>
              <w:textAlignment w:val="baseline"/>
              <w:rPr>
                <w:rFonts w:ascii="宋体" w:hAnsi="宋体" w:cs="宋体"/>
                <w:bCs/>
                <w:color w:val="auto"/>
                <w:sz w:val="24"/>
                <w:highlight w:val="none"/>
              </w:rPr>
            </w:pPr>
          </w:p>
        </w:tc>
      </w:tr>
      <w:tr w14:paraId="43FC2F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1568" w:type="dxa"/>
          </w:tcPr>
          <w:p w14:paraId="3CDC79CE">
            <w:pPr>
              <w:spacing w:line="400" w:lineRule="exact"/>
              <w:jc w:val="center"/>
              <w:textAlignment w:val="baseline"/>
              <w:rPr>
                <w:rFonts w:ascii="宋体" w:hAnsi="宋体" w:cs="宋体"/>
                <w:bCs/>
                <w:color w:val="auto"/>
                <w:sz w:val="24"/>
                <w:highlight w:val="none"/>
              </w:rPr>
            </w:pPr>
          </w:p>
        </w:tc>
        <w:tc>
          <w:tcPr>
            <w:tcW w:w="2158" w:type="dxa"/>
          </w:tcPr>
          <w:p w14:paraId="555EA8FF">
            <w:pPr>
              <w:spacing w:line="400" w:lineRule="exact"/>
              <w:jc w:val="center"/>
              <w:textAlignment w:val="baseline"/>
              <w:rPr>
                <w:rFonts w:ascii="宋体" w:hAnsi="宋体" w:cs="宋体"/>
                <w:bCs/>
                <w:color w:val="auto"/>
                <w:sz w:val="24"/>
                <w:highlight w:val="none"/>
              </w:rPr>
            </w:pPr>
          </w:p>
        </w:tc>
        <w:tc>
          <w:tcPr>
            <w:tcW w:w="1343" w:type="dxa"/>
          </w:tcPr>
          <w:p w14:paraId="1BB8826C">
            <w:pPr>
              <w:spacing w:line="400" w:lineRule="exact"/>
              <w:jc w:val="center"/>
              <w:textAlignment w:val="baseline"/>
              <w:rPr>
                <w:rFonts w:ascii="宋体" w:hAnsi="宋体" w:cs="宋体"/>
                <w:bCs/>
                <w:color w:val="auto"/>
                <w:sz w:val="24"/>
                <w:highlight w:val="none"/>
              </w:rPr>
            </w:pPr>
          </w:p>
        </w:tc>
        <w:tc>
          <w:tcPr>
            <w:tcW w:w="1063" w:type="dxa"/>
          </w:tcPr>
          <w:p w14:paraId="45224410">
            <w:pPr>
              <w:spacing w:line="400" w:lineRule="exact"/>
              <w:jc w:val="center"/>
              <w:textAlignment w:val="baseline"/>
              <w:rPr>
                <w:rFonts w:ascii="宋体" w:hAnsi="宋体" w:cs="宋体"/>
                <w:bCs/>
                <w:color w:val="auto"/>
                <w:sz w:val="24"/>
                <w:highlight w:val="none"/>
              </w:rPr>
            </w:pPr>
          </w:p>
        </w:tc>
        <w:tc>
          <w:tcPr>
            <w:tcW w:w="1606" w:type="dxa"/>
          </w:tcPr>
          <w:p w14:paraId="6293C0CF">
            <w:pPr>
              <w:spacing w:line="400" w:lineRule="exact"/>
              <w:jc w:val="center"/>
              <w:textAlignment w:val="baseline"/>
              <w:rPr>
                <w:rFonts w:ascii="宋体" w:hAnsi="宋体" w:cs="宋体"/>
                <w:bCs/>
                <w:color w:val="auto"/>
                <w:sz w:val="24"/>
                <w:highlight w:val="none"/>
              </w:rPr>
            </w:pPr>
          </w:p>
        </w:tc>
        <w:tc>
          <w:tcPr>
            <w:tcW w:w="1399" w:type="dxa"/>
          </w:tcPr>
          <w:p w14:paraId="46878196">
            <w:pPr>
              <w:spacing w:line="400" w:lineRule="exact"/>
              <w:jc w:val="center"/>
              <w:textAlignment w:val="baseline"/>
              <w:rPr>
                <w:rFonts w:ascii="宋体" w:hAnsi="宋体" w:cs="宋体"/>
                <w:bCs/>
                <w:color w:val="auto"/>
                <w:sz w:val="24"/>
                <w:highlight w:val="none"/>
              </w:rPr>
            </w:pPr>
          </w:p>
        </w:tc>
      </w:tr>
      <w:tr w14:paraId="15A34F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1568" w:type="dxa"/>
          </w:tcPr>
          <w:p w14:paraId="6162C6B8">
            <w:pPr>
              <w:spacing w:line="400" w:lineRule="exact"/>
              <w:jc w:val="center"/>
              <w:textAlignment w:val="baseline"/>
              <w:rPr>
                <w:rFonts w:ascii="宋体" w:hAnsi="宋体" w:cs="宋体"/>
                <w:bCs/>
                <w:color w:val="auto"/>
                <w:sz w:val="24"/>
                <w:highlight w:val="none"/>
              </w:rPr>
            </w:pPr>
            <w:r>
              <w:rPr>
                <w:rFonts w:hint="eastAsia" w:ascii="宋体" w:hAnsi="宋体" w:cs="宋体"/>
                <w:bCs/>
                <w:color w:val="auto"/>
                <w:sz w:val="24"/>
                <w:highlight w:val="none"/>
              </w:rPr>
              <w:t>…</w:t>
            </w:r>
          </w:p>
        </w:tc>
        <w:tc>
          <w:tcPr>
            <w:tcW w:w="2158" w:type="dxa"/>
          </w:tcPr>
          <w:p w14:paraId="001937FC">
            <w:pPr>
              <w:spacing w:line="400" w:lineRule="exact"/>
              <w:jc w:val="center"/>
              <w:textAlignment w:val="baseline"/>
              <w:rPr>
                <w:rFonts w:ascii="宋体" w:hAnsi="宋体" w:cs="宋体"/>
                <w:bCs/>
                <w:color w:val="auto"/>
                <w:sz w:val="24"/>
                <w:highlight w:val="none"/>
              </w:rPr>
            </w:pPr>
          </w:p>
        </w:tc>
        <w:tc>
          <w:tcPr>
            <w:tcW w:w="1343" w:type="dxa"/>
          </w:tcPr>
          <w:p w14:paraId="2D906C17">
            <w:pPr>
              <w:spacing w:line="400" w:lineRule="exact"/>
              <w:jc w:val="center"/>
              <w:textAlignment w:val="baseline"/>
              <w:rPr>
                <w:rFonts w:ascii="宋体" w:hAnsi="宋体" w:cs="宋体"/>
                <w:bCs/>
                <w:color w:val="auto"/>
                <w:sz w:val="24"/>
                <w:highlight w:val="none"/>
              </w:rPr>
            </w:pPr>
          </w:p>
        </w:tc>
        <w:tc>
          <w:tcPr>
            <w:tcW w:w="1063" w:type="dxa"/>
          </w:tcPr>
          <w:p w14:paraId="3B73B592">
            <w:pPr>
              <w:spacing w:line="400" w:lineRule="exact"/>
              <w:jc w:val="center"/>
              <w:textAlignment w:val="baseline"/>
              <w:rPr>
                <w:rFonts w:ascii="宋体" w:hAnsi="宋体" w:cs="宋体"/>
                <w:bCs/>
                <w:color w:val="auto"/>
                <w:sz w:val="24"/>
                <w:highlight w:val="none"/>
              </w:rPr>
            </w:pPr>
          </w:p>
        </w:tc>
        <w:tc>
          <w:tcPr>
            <w:tcW w:w="1606" w:type="dxa"/>
          </w:tcPr>
          <w:p w14:paraId="6F8E922E">
            <w:pPr>
              <w:spacing w:line="400" w:lineRule="exact"/>
              <w:jc w:val="center"/>
              <w:textAlignment w:val="baseline"/>
              <w:rPr>
                <w:rFonts w:ascii="宋体" w:hAnsi="宋体" w:cs="宋体"/>
                <w:bCs/>
                <w:color w:val="auto"/>
                <w:sz w:val="24"/>
                <w:highlight w:val="none"/>
              </w:rPr>
            </w:pPr>
          </w:p>
        </w:tc>
        <w:tc>
          <w:tcPr>
            <w:tcW w:w="1399" w:type="dxa"/>
          </w:tcPr>
          <w:p w14:paraId="3675B9CF">
            <w:pPr>
              <w:spacing w:line="400" w:lineRule="exact"/>
              <w:jc w:val="center"/>
              <w:textAlignment w:val="baseline"/>
              <w:rPr>
                <w:rFonts w:ascii="宋体" w:hAnsi="宋体" w:cs="宋体"/>
                <w:bCs/>
                <w:color w:val="auto"/>
                <w:sz w:val="24"/>
                <w:highlight w:val="none"/>
              </w:rPr>
            </w:pPr>
          </w:p>
        </w:tc>
      </w:tr>
    </w:tbl>
    <w:p w14:paraId="132F97D1">
      <w:pPr>
        <w:spacing w:line="440" w:lineRule="exact"/>
        <w:ind w:firstLine="480" w:firstLineChars="200"/>
        <w:textAlignment w:val="baseline"/>
        <w:rPr>
          <w:rFonts w:ascii="宋体" w:hAnsi="宋体" w:cs="宋体"/>
          <w:bCs/>
          <w:color w:val="auto"/>
          <w:sz w:val="24"/>
          <w:highlight w:val="none"/>
        </w:rPr>
      </w:pPr>
      <w:r>
        <w:rPr>
          <w:rFonts w:hint="eastAsia" w:ascii="宋体" w:hAnsi="宋体" w:cs="宋体"/>
          <w:bCs/>
          <w:color w:val="auto"/>
          <w:sz w:val="24"/>
          <w:highlight w:val="none"/>
        </w:rPr>
        <w:t>注：1、拟派项目组人员须满足</w:t>
      </w:r>
      <w:r>
        <w:rPr>
          <w:rFonts w:hint="eastAsia" w:ascii="宋体" w:hAnsi="宋体" w:cs="宋体"/>
          <w:bCs/>
          <w:color w:val="auto"/>
          <w:sz w:val="24"/>
          <w:highlight w:val="none"/>
          <w:lang w:eastAsia="zh-CN"/>
        </w:rPr>
        <w:t>磋商</w:t>
      </w:r>
      <w:r>
        <w:rPr>
          <w:rFonts w:hint="eastAsia" w:ascii="宋体" w:hAnsi="宋体" w:cs="宋体"/>
          <w:bCs/>
          <w:color w:val="auto"/>
          <w:sz w:val="24"/>
          <w:highlight w:val="none"/>
        </w:rPr>
        <w:t>文件。</w:t>
      </w:r>
    </w:p>
    <w:p w14:paraId="06483D29">
      <w:pPr>
        <w:spacing w:line="440" w:lineRule="exact"/>
        <w:ind w:firstLine="3998" w:firstLineChars="1666"/>
        <w:textAlignment w:val="baseline"/>
        <w:rPr>
          <w:rFonts w:ascii="宋体" w:hAnsi="宋体" w:cs="宋体"/>
          <w:bCs/>
          <w:color w:val="auto"/>
          <w:sz w:val="24"/>
          <w:highlight w:val="none"/>
        </w:rPr>
      </w:pPr>
    </w:p>
    <w:p w14:paraId="4B169DEC">
      <w:pPr>
        <w:spacing w:line="440" w:lineRule="exact"/>
        <w:ind w:firstLine="3998" w:firstLineChars="1666"/>
        <w:textAlignment w:val="baseline"/>
        <w:rPr>
          <w:rFonts w:ascii="宋体" w:hAnsi="宋体" w:cs="宋体"/>
          <w:bCs/>
          <w:color w:val="auto"/>
          <w:sz w:val="24"/>
          <w:highlight w:val="none"/>
        </w:rPr>
      </w:pPr>
    </w:p>
    <w:p w14:paraId="638E01CA">
      <w:pPr>
        <w:spacing w:line="440" w:lineRule="exact"/>
        <w:ind w:firstLine="4860"/>
        <w:jc w:val="left"/>
        <w:textAlignment w:val="baseline"/>
        <w:rPr>
          <w:rFonts w:ascii="宋体" w:hAnsi="宋体" w:cs="宋体"/>
          <w:b/>
          <w:bCs/>
          <w:color w:val="auto"/>
          <w:sz w:val="20"/>
          <w:szCs w:val="21"/>
          <w:highlight w:val="none"/>
          <w:u w:val="single" w:color="000000"/>
        </w:rPr>
      </w:pPr>
      <w:r>
        <w:rPr>
          <w:rFonts w:hint="eastAsia" w:ascii="宋体" w:hAnsi="宋体" w:cs="宋体"/>
          <w:b/>
          <w:bCs/>
          <w:color w:val="auto"/>
          <w:sz w:val="24"/>
          <w:highlight w:val="none"/>
        </w:rPr>
        <w:t>供应商名称（盖章）：</w:t>
      </w:r>
    </w:p>
    <w:p w14:paraId="17DB3D5E">
      <w:pPr>
        <w:spacing w:line="440" w:lineRule="exact"/>
        <w:ind w:firstLine="4860"/>
        <w:jc w:val="left"/>
        <w:textAlignment w:val="baseline"/>
        <w:rPr>
          <w:rFonts w:ascii="宋体" w:hAnsi="宋体" w:cs="宋体"/>
          <w:color w:val="auto"/>
          <w:sz w:val="20"/>
          <w:szCs w:val="21"/>
          <w:highlight w:val="none"/>
          <w:u w:val="single" w:color="000000"/>
        </w:rPr>
      </w:pPr>
      <w:r>
        <w:rPr>
          <w:rFonts w:hint="eastAsia" w:ascii="宋体" w:hAnsi="宋体" w:cs="宋体"/>
          <w:b/>
          <w:bCs/>
          <w:color w:val="auto"/>
          <w:szCs w:val="21"/>
          <w:highlight w:val="none"/>
        </w:rPr>
        <w:t>日期：年月日</w:t>
      </w:r>
    </w:p>
    <w:p w14:paraId="692FA75F">
      <w:pPr>
        <w:spacing w:line="460" w:lineRule="exact"/>
        <w:textAlignment w:val="baseline"/>
        <w:rPr>
          <w:rFonts w:ascii="宋体" w:hAnsi="宋体" w:cs="宋体"/>
          <w:b/>
          <w:bCs/>
          <w:color w:val="auto"/>
          <w:sz w:val="22"/>
          <w:highlight w:val="none"/>
        </w:rPr>
      </w:pPr>
    </w:p>
    <w:p w14:paraId="3EC1AA72">
      <w:pPr>
        <w:pStyle w:val="30"/>
        <w:ind w:firstLine="44"/>
        <w:textAlignment w:val="baseline"/>
        <w:rPr>
          <w:rFonts w:ascii="宋体" w:hAnsi="宋体" w:eastAsia="宋体"/>
          <w:b/>
          <w:bCs/>
          <w:color w:val="auto"/>
          <w:sz w:val="22"/>
          <w:highlight w:val="none"/>
        </w:rPr>
      </w:pPr>
    </w:p>
    <w:p w14:paraId="577FBDAA">
      <w:pPr>
        <w:spacing w:line="440" w:lineRule="exact"/>
        <w:textAlignment w:val="baseline"/>
        <w:outlineLvl w:val="0"/>
        <w:rPr>
          <w:rFonts w:hint="eastAsia" w:ascii="宋体" w:hAnsi="宋体" w:cs="宋体"/>
          <w:b/>
          <w:bCs/>
          <w:color w:val="auto"/>
          <w:sz w:val="22"/>
          <w:highlight w:val="none"/>
        </w:rPr>
      </w:pPr>
      <w:bookmarkStart w:id="100" w:name="_Toc31261"/>
    </w:p>
    <w:p w14:paraId="44AAB07B">
      <w:pPr>
        <w:spacing w:line="440" w:lineRule="exact"/>
        <w:textAlignment w:val="baseline"/>
        <w:outlineLvl w:val="0"/>
        <w:rPr>
          <w:rFonts w:hint="eastAsia" w:ascii="宋体" w:hAnsi="宋体" w:cs="宋体"/>
          <w:b/>
          <w:bCs/>
          <w:color w:val="auto"/>
          <w:sz w:val="22"/>
          <w:highlight w:val="none"/>
        </w:rPr>
      </w:pPr>
    </w:p>
    <w:bookmarkEnd w:id="100"/>
    <w:p w14:paraId="751AB97D">
      <w:pPr>
        <w:spacing w:before="185"/>
        <w:ind w:right="210"/>
        <w:jc w:val="center"/>
        <w:textAlignment w:val="baseline"/>
        <w:outlineLvl w:val="0"/>
        <w:rPr>
          <w:rFonts w:ascii="宋体" w:hAnsi="宋体" w:cs="宋体"/>
          <w:b/>
          <w:color w:val="auto"/>
          <w:sz w:val="52"/>
          <w:highlight w:val="none"/>
        </w:rPr>
      </w:pPr>
      <w:bookmarkStart w:id="101" w:name="_Toc31082"/>
      <w:r>
        <w:rPr>
          <w:rFonts w:hint="eastAsia" w:ascii="宋体" w:hAnsi="宋体" w:cs="宋体"/>
          <w:b/>
          <w:color w:val="auto"/>
          <w:sz w:val="52"/>
          <w:highlight w:val="none"/>
        </w:rPr>
        <w:t>投 标 文 件</w:t>
      </w:r>
    </w:p>
    <w:p w14:paraId="5CD476E6">
      <w:pPr>
        <w:pStyle w:val="11"/>
        <w:spacing w:before="11"/>
        <w:textAlignment w:val="baseline"/>
        <w:rPr>
          <w:rFonts w:ascii="宋体" w:hAnsi="宋体" w:cs="宋体"/>
          <w:b/>
          <w:color w:val="auto"/>
          <w:sz w:val="69"/>
          <w:highlight w:val="none"/>
        </w:rPr>
      </w:pPr>
    </w:p>
    <w:p w14:paraId="2FD155AC">
      <w:pPr>
        <w:ind w:right="208"/>
        <w:jc w:val="center"/>
        <w:textAlignment w:val="baseline"/>
        <w:outlineLvl w:val="0"/>
        <w:rPr>
          <w:rFonts w:ascii="宋体" w:hAnsi="宋体" w:cs="宋体"/>
          <w:b/>
          <w:color w:val="auto"/>
          <w:sz w:val="32"/>
          <w:highlight w:val="none"/>
        </w:rPr>
      </w:pPr>
      <w:r>
        <w:rPr>
          <w:rFonts w:hint="eastAsia" w:ascii="宋体" w:hAnsi="宋体" w:cs="宋体"/>
          <w:b/>
          <w:color w:val="auto"/>
          <w:sz w:val="32"/>
          <w:highlight w:val="none"/>
        </w:rPr>
        <w:t>报价文件</w:t>
      </w:r>
    </w:p>
    <w:p w14:paraId="6EB3AFB5">
      <w:pPr>
        <w:pStyle w:val="67"/>
        <w:rPr>
          <w:rFonts w:ascii="宋体" w:hAnsi="宋体" w:cs="宋体"/>
          <w:b/>
          <w:color w:val="auto"/>
          <w:sz w:val="32"/>
          <w:highlight w:val="none"/>
        </w:rPr>
      </w:pPr>
    </w:p>
    <w:p w14:paraId="7AC01820">
      <w:pPr>
        <w:pStyle w:val="67"/>
        <w:rPr>
          <w:rFonts w:ascii="宋体" w:hAnsi="宋体" w:cs="宋体"/>
          <w:b/>
          <w:color w:val="auto"/>
          <w:sz w:val="32"/>
          <w:highlight w:val="none"/>
        </w:rPr>
      </w:pPr>
    </w:p>
    <w:p w14:paraId="10E8788B">
      <w:pPr>
        <w:snapToGrid w:val="0"/>
        <w:spacing w:line="720" w:lineRule="auto"/>
        <w:ind w:firstLine="1120" w:firstLineChars="400"/>
        <w:textAlignment w:val="baseline"/>
        <w:rPr>
          <w:rFonts w:ascii="宋体" w:hAnsi="宋体" w:cs="宋体"/>
          <w:color w:val="auto"/>
          <w:sz w:val="28"/>
          <w:szCs w:val="28"/>
          <w:highlight w:val="none"/>
          <w:u w:val="single" w:color="000000"/>
        </w:rPr>
      </w:pPr>
      <w:r>
        <w:rPr>
          <w:rFonts w:hint="eastAsia" w:ascii="宋体" w:hAnsi="宋体" w:cs="宋体"/>
          <w:color w:val="auto"/>
          <w:sz w:val="28"/>
          <w:szCs w:val="28"/>
          <w:highlight w:val="none"/>
        </w:rPr>
        <w:t>项目名称：</w:t>
      </w:r>
      <w:r>
        <w:rPr>
          <w:rFonts w:hint="eastAsia" w:ascii="宋体" w:hAnsi="宋体" w:cs="宋体"/>
          <w:color w:val="auto"/>
          <w:sz w:val="28"/>
          <w:szCs w:val="28"/>
          <w:highlight w:val="none"/>
          <w:u w:val="single" w:color="000000"/>
        </w:rPr>
        <w:t xml:space="preserve">                       </w:t>
      </w:r>
    </w:p>
    <w:p w14:paraId="4628A097">
      <w:pPr>
        <w:snapToGrid w:val="0"/>
        <w:spacing w:line="720" w:lineRule="auto"/>
        <w:ind w:firstLine="1120" w:firstLineChars="400"/>
        <w:textAlignment w:val="baseline"/>
        <w:rPr>
          <w:rFonts w:ascii="宋体" w:hAnsi="宋体" w:cs="宋体"/>
          <w:color w:val="auto"/>
          <w:sz w:val="28"/>
          <w:szCs w:val="28"/>
          <w:highlight w:val="none"/>
        </w:rPr>
      </w:pPr>
      <w:r>
        <w:rPr>
          <w:rFonts w:hint="eastAsia" w:ascii="宋体" w:hAnsi="宋体" w:cs="宋体"/>
          <w:color w:val="auto"/>
          <w:sz w:val="28"/>
          <w:szCs w:val="28"/>
          <w:highlight w:val="none"/>
        </w:rPr>
        <w:t>项目编号：</w:t>
      </w:r>
      <w:r>
        <w:rPr>
          <w:rFonts w:hint="eastAsia" w:ascii="宋体" w:hAnsi="宋体" w:cs="宋体"/>
          <w:color w:val="auto"/>
          <w:sz w:val="28"/>
          <w:szCs w:val="28"/>
          <w:highlight w:val="none"/>
          <w:u w:val="single" w:color="000000"/>
        </w:rPr>
        <w:t>                       </w:t>
      </w:r>
      <w:r>
        <w:rPr>
          <w:rFonts w:hint="eastAsia" w:ascii="宋体" w:hAnsi="宋体" w:cs="宋体"/>
          <w:color w:val="auto"/>
          <w:sz w:val="28"/>
          <w:szCs w:val="28"/>
          <w:highlight w:val="none"/>
        </w:rPr>
        <w:t xml:space="preserve"> </w:t>
      </w:r>
    </w:p>
    <w:p w14:paraId="078C417A">
      <w:pPr>
        <w:snapToGrid w:val="0"/>
        <w:spacing w:line="720" w:lineRule="auto"/>
        <w:ind w:firstLine="1120" w:firstLineChars="400"/>
        <w:textAlignment w:val="baseline"/>
        <w:rPr>
          <w:rFonts w:ascii="宋体" w:hAnsi="宋体" w:cs="宋体"/>
          <w:color w:val="auto"/>
          <w:sz w:val="28"/>
          <w:szCs w:val="28"/>
          <w:highlight w:val="none"/>
        </w:rPr>
      </w:pPr>
      <w:r>
        <w:rPr>
          <w:rFonts w:hint="eastAsia" w:ascii="宋体" w:hAnsi="宋体" w:cs="宋体"/>
          <w:color w:val="auto"/>
          <w:sz w:val="28"/>
          <w:szCs w:val="28"/>
          <w:highlight w:val="none"/>
          <w:lang w:eastAsia="zh-CN"/>
        </w:rPr>
        <w:t>供应商</w:t>
      </w:r>
      <w:r>
        <w:rPr>
          <w:rFonts w:hint="eastAsia" w:ascii="宋体" w:hAnsi="宋体" w:cs="宋体"/>
          <w:color w:val="auto"/>
          <w:sz w:val="28"/>
          <w:szCs w:val="28"/>
          <w:highlight w:val="none"/>
        </w:rPr>
        <w:t>（全称）：</w:t>
      </w:r>
      <w:r>
        <w:rPr>
          <w:rFonts w:hint="eastAsia" w:ascii="宋体" w:hAnsi="宋体" w:cs="宋体"/>
          <w:color w:val="auto"/>
          <w:sz w:val="28"/>
          <w:szCs w:val="28"/>
          <w:highlight w:val="none"/>
          <w:u w:val="single" w:color="000000"/>
        </w:rPr>
        <w:t>            （盖章）</w:t>
      </w:r>
    </w:p>
    <w:p w14:paraId="3602316F">
      <w:pPr>
        <w:snapToGrid w:val="0"/>
        <w:spacing w:line="720" w:lineRule="auto"/>
        <w:ind w:firstLine="1120" w:firstLineChars="400"/>
        <w:textAlignment w:val="baseline"/>
        <w:rPr>
          <w:rFonts w:ascii="宋体" w:hAnsi="宋体" w:cs="宋体"/>
          <w:color w:val="auto"/>
          <w:sz w:val="28"/>
          <w:szCs w:val="28"/>
          <w:highlight w:val="none"/>
          <w:u w:val="single" w:color="000000"/>
        </w:rPr>
      </w:pPr>
      <w:r>
        <w:rPr>
          <w:rFonts w:hint="eastAsia" w:ascii="宋体" w:hAnsi="宋体" w:cs="宋体"/>
          <w:color w:val="auto"/>
          <w:sz w:val="28"/>
          <w:szCs w:val="28"/>
          <w:highlight w:val="none"/>
          <w:lang w:eastAsia="zh-CN"/>
        </w:rPr>
        <w:t>供应商</w:t>
      </w:r>
      <w:r>
        <w:rPr>
          <w:rFonts w:hint="eastAsia" w:ascii="宋体" w:hAnsi="宋体" w:cs="宋体"/>
          <w:color w:val="auto"/>
          <w:sz w:val="28"/>
          <w:szCs w:val="28"/>
          <w:highlight w:val="none"/>
        </w:rPr>
        <w:t>地址：</w:t>
      </w:r>
      <w:r>
        <w:rPr>
          <w:rFonts w:hint="eastAsia" w:ascii="宋体" w:hAnsi="宋体" w:cs="宋体"/>
          <w:color w:val="auto"/>
          <w:sz w:val="28"/>
          <w:szCs w:val="28"/>
          <w:highlight w:val="none"/>
          <w:u w:val="single" w:color="000000"/>
        </w:rPr>
        <w:t>                     </w:t>
      </w:r>
    </w:p>
    <w:p w14:paraId="048426A6">
      <w:pPr>
        <w:widowControl/>
        <w:spacing w:line="420" w:lineRule="atLeast"/>
        <w:textAlignment w:val="baseline"/>
        <w:outlineLvl w:val="0"/>
        <w:rPr>
          <w:rFonts w:hint="eastAsia" w:ascii="宋体" w:hAnsi="宋体" w:cs="宋体"/>
          <w:b/>
          <w:bCs/>
          <w:color w:val="auto"/>
          <w:kern w:val="0"/>
          <w:sz w:val="24"/>
          <w:szCs w:val="24"/>
          <w:highlight w:val="none"/>
        </w:rPr>
      </w:pPr>
    </w:p>
    <w:p w14:paraId="534D47C1">
      <w:pPr>
        <w:pStyle w:val="23"/>
        <w:rPr>
          <w:rFonts w:hint="eastAsia" w:ascii="宋体" w:hAnsi="宋体" w:cs="宋体"/>
          <w:b/>
          <w:bCs/>
          <w:color w:val="auto"/>
          <w:kern w:val="0"/>
          <w:sz w:val="24"/>
          <w:szCs w:val="24"/>
          <w:highlight w:val="none"/>
        </w:rPr>
      </w:pPr>
    </w:p>
    <w:p w14:paraId="2A1DA7D5">
      <w:pPr>
        <w:rPr>
          <w:rFonts w:hint="eastAsia" w:ascii="宋体" w:hAnsi="宋体" w:cs="宋体"/>
          <w:b/>
          <w:bCs/>
          <w:color w:val="auto"/>
          <w:kern w:val="0"/>
          <w:sz w:val="24"/>
          <w:szCs w:val="24"/>
          <w:highlight w:val="none"/>
        </w:rPr>
      </w:pPr>
    </w:p>
    <w:p w14:paraId="5BEF3987">
      <w:pPr>
        <w:pStyle w:val="23"/>
        <w:rPr>
          <w:rFonts w:hint="eastAsia" w:ascii="宋体" w:hAnsi="宋体" w:cs="宋体"/>
          <w:b/>
          <w:bCs/>
          <w:color w:val="auto"/>
          <w:kern w:val="0"/>
          <w:sz w:val="24"/>
          <w:szCs w:val="24"/>
          <w:highlight w:val="none"/>
        </w:rPr>
      </w:pPr>
    </w:p>
    <w:p w14:paraId="5145FEEC">
      <w:pPr>
        <w:rPr>
          <w:rFonts w:hint="eastAsia" w:ascii="宋体" w:hAnsi="宋体" w:cs="宋体"/>
          <w:b/>
          <w:bCs/>
          <w:color w:val="auto"/>
          <w:kern w:val="0"/>
          <w:sz w:val="24"/>
          <w:szCs w:val="24"/>
          <w:highlight w:val="none"/>
        </w:rPr>
      </w:pPr>
    </w:p>
    <w:p w14:paraId="3B5EDDD9">
      <w:pPr>
        <w:pStyle w:val="23"/>
        <w:rPr>
          <w:rFonts w:hint="eastAsia" w:ascii="宋体" w:hAnsi="宋体" w:cs="宋体"/>
          <w:b/>
          <w:bCs/>
          <w:color w:val="auto"/>
          <w:kern w:val="0"/>
          <w:sz w:val="24"/>
          <w:szCs w:val="24"/>
          <w:highlight w:val="none"/>
        </w:rPr>
      </w:pPr>
    </w:p>
    <w:p w14:paraId="4DAAFF79">
      <w:pPr>
        <w:rPr>
          <w:rFonts w:hint="eastAsia" w:ascii="宋体" w:hAnsi="宋体" w:cs="宋体"/>
          <w:b/>
          <w:bCs/>
          <w:color w:val="auto"/>
          <w:kern w:val="0"/>
          <w:sz w:val="24"/>
          <w:szCs w:val="24"/>
          <w:highlight w:val="none"/>
        </w:rPr>
      </w:pPr>
    </w:p>
    <w:p w14:paraId="5371EB33">
      <w:pPr>
        <w:pStyle w:val="23"/>
        <w:rPr>
          <w:rFonts w:hint="eastAsia" w:ascii="宋体" w:hAnsi="宋体" w:cs="宋体"/>
          <w:b/>
          <w:bCs/>
          <w:color w:val="auto"/>
          <w:kern w:val="0"/>
          <w:sz w:val="24"/>
          <w:szCs w:val="24"/>
          <w:highlight w:val="none"/>
        </w:rPr>
      </w:pPr>
    </w:p>
    <w:p w14:paraId="77C1593D">
      <w:pPr>
        <w:rPr>
          <w:rFonts w:hint="eastAsia" w:ascii="宋体" w:hAnsi="宋体" w:cs="宋体"/>
          <w:b/>
          <w:bCs/>
          <w:color w:val="auto"/>
          <w:kern w:val="0"/>
          <w:sz w:val="24"/>
          <w:szCs w:val="24"/>
          <w:highlight w:val="none"/>
        </w:rPr>
      </w:pPr>
    </w:p>
    <w:p w14:paraId="089141EC">
      <w:pPr>
        <w:pStyle w:val="23"/>
        <w:rPr>
          <w:rFonts w:hint="eastAsia"/>
          <w:highlight w:val="none"/>
        </w:rPr>
      </w:pPr>
    </w:p>
    <w:p w14:paraId="58A2F920">
      <w:pPr>
        <w:rPr>
          <w:rFonts w:hint="eastAsia" w:ascii="宋体" w:hAnsi="宋体" w:cs="宋体"/>
          <w:b/>
          <w:bCs/>
          <w:color w:val="auto"/>
          <w:kern w:val="0"/>
          <w:sz w:val="24"/>
          <w:szCs w:val="24"/>
          <w:highlight w:val="none"/>
        </w:rPr>
      </w:pPr>
      <w:r>
        <w:rPr>
          <w:rFonts w:hint="eastAsia" w:ascii="宋体" w:hAnsi="宋体" w:cs="宋体"/>
          <w:b/>
          <w:bCs/>
          <w:color w:val="auto"/>
          <w:kern w:val="0"/>
          <w:sz w:val="24"/>
          <w:szCs w:val="24"/>
          <w:highlight w:val="none"/>
        </w:rPr>
        <w:br w:type="page"/>
      </w:r>
    </w:p>
    <w:p w14:paraId="6722E7C3">
      <w:pPr>
        <w:widowControl/>
        <w:spacing w:line="420" w:lineRule="atLeast"/>
        <w:textAlignment w:val="baseline"/>
        <w:outlineLvl w:val="0"/>
        <w:rPr>
          <w:rFonts w:hint="default" w:ascii="宋体" w:hAnsi="宋体" w:eastAsia="宋体" w:cs="宋体"/>
          <w:b/>
          <w:bCs/>
          <w:color w:val="auto"/>
          <w:kern w:val="0"/>
          <w:sz w:val="24"/>
          <w:szCs w:val="24"/>
          <w:highlight w:val="none"/>
          <w:lang w:val="en-US" w:eastAsia="zh-CN"/>
        </w:rPr>
      </w:pPr>
      <w:r>
        <w:rPr>
          <w:rFonts w:hint="eastAsia" w:ascii="宋体" w:hAnsi="宋体" w:cs="宋体"/>
          <w:b/>
          <w:bCs/>
          <w:color w:val="auto"/>
          <w:kern w:val="0"/>
          <w:sz w:val="24"/>
          <w:szCs w:val="24"/>
          <w:highlight w:val="none"/>
        </w:rPr>
        <w:t>附件</w:t>
      </w:r>
      <w:bookmarkEnd w:id="101"/>
      <w:r>
        <w:rPr>
          <w:rFonts w:hint="eastAsia" w:ascii="宋体" w:hAnsi="宋体" w:cs="宋体"/>
          <w:b/>
          <w:bCs/>
          <w:color w:val="auto"/>
          <w:kern w:val="0"/>
          <w:sz w:val="24"/>
          <w:szCs w:val="24"/>
          <w:highlight w:val="none"/>
          <w:lang w:val="en-US" w:eastAsia="zh-CN"/>
        </w:rPr>
        <w:t>10</w:t>
      </w:r>
    </w:p>
    <w:p w14:paraId="525E3018">
      <w:pPr>
        <w:widowControl/>
        <w:spacing w:line="420" w:lineRule="atLeast"/>
        <w:jc w:val="center"/>
        <w:textAlignment w:val="baseline"/>
        <w:rPr>
          <w:rFonts w:hint="eastAsia" w:ascii="宋体" w:hAnsi="宋体" w:cs="宋体"/>
          <w:b/>
          <w:bCs/>
          <w:color w:val="auto"/>
          <w:kern w:val="0"/>
          <w:sz w:val="30"/>
          <w:szCs w:val="30"/>
          <w:highlight w:val="none"/>
        </w:rPr>
      </w:pPr>
      <w:r>
        <w:rPr>
          <w:rFonts w:hint="eastAsia" w:ascii="宋体" w:hAnsi="宋体" w:cs="宋体"/>
          <w:b/>
          <w:bCs/>
          <w:color w:val="auto"/>
          <w:kern w:val="0"/>
          <w:sz w:val="30"/>
          <w:szCs w:val="30"/>
          <w:highlight w:val="none"/>
        </w:rPr>
        <w:t>开标一览表（初次报价）</w:t>
      </w:r>
    </w:p>
    <w:p w14:paraId="6037711F">
      <w:pPr>
        <w:pStyle w:val="49"/>
      </w:pPr>
    </w:p>
    <w:p w14:paraId="2C9C1018">
      <w:pPr>
        <w:pStyle w:val="30"/>
        <w:ind w:firstLine="42"/>
        <w:rPr>
          <w:rFonts w:hint="eastAsia" w:ascii="宋体" w:hAnsi="宋体" w:eastAsia="宋体"/>
          <w:color w:val="auto"/>
          <w:highlight w:val="none"/>
          <w:lang w:eastAsia="zh-CN"/>
        </w:rPr>
      </w:pPr>
      <w:r>
        <w:rPr>
          <w:rFonts w:hint="eastAsia" w:ascii="宋体" w:hAnsi="宋体" w:eastAsia="宋体"/>
          <w:color w:val="auto"/>
          <w:highlight w:val="none"/>
        </w:rPr>
        <w:t xml:space="preserve">项目名称： </w:t>
      </w:r>
      <w:r>
        <w:rPr>
          <w:rFonts w:hint="eastAsia" w:ascii="宋体" w:hAnsi="宋体" w:eastAsia="宋体"/>
          <w:color w:val="auto"/>
          <w:highlight w:val="none"/>
          <w:lang w:eastAsia="zh-CN"/>
        </w:rPr>
        <w:t>2025年交通事故痕迹鉴定及车辆鉴定技术服务项目</w:t>
      </w:r>
    </w:p>
    <w:p w14:paraId="3B1B3052">
      <w:pPr>
        <w:pStyle w:val="30"/>
        <w:ind w:firstLine="42"/>
        <w:rPr>
          <w:rFonts w:hint="eastAsia" w:ascii="宋体" w:hAnsi="宋体" w:eastAsia="宋体" w:cs="宋体"/>
          <w:b/>
          <w:bCs/>
          <w:color w:val="auto"/>
          <w:sz w:val="28"/>
          <w:highlight w:val="none"/>
        </w:rPr>
      </w:pPr>
      <w:r>
        <w:rPr>
          <w:rFonts w:hint="eastAsia" w:ascii="宋体" w:hAnsi="宋体" w:eastAsia="宋体"/>
          <w:color w:val="auto"/>
          <w:highlight w:val="none"/>
        </w:rPr>
        <w:t>项目编号：</w:t>
      </w:r>
      <w:r>
        <w:rPr>
          <w:rFonts w:hint="eastAsia" w:ascii="宋体" w:hAnsi="宋体" w:eastAsia="宋体"/>
          <w:color w:val="auto"/>
          <w:highlight w:val="none"/>
          <w:lang w:eastAsia="zh-CN"/>
        </w:rPr>
        <w:t>CSKC-CS202504</w:t>
      </w:r>
    </w:p>
    <w:tbl>
      <w:tblPr>
        <w:tblStyle w:val="32"/>
        <w:tblW w:w="0" w:type="auto"/>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0" w:type="dxa"/>
          <w:bottom w:w="0" w:type="dxa"/>
          <w:right w:w="0" w:type="dxa"/>
        </w:tblCellMar>
      </w:tblPr>
      <w:tblGrid>
        <w:gridCol w:w="2400"/>
        <w:gridCol w:w="7259"/>
      </w:tblGrid>
      <w:tr w14:paraId="1F12AA95">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0" w:type="dxa"/>
            <w:bottom w:w="0" w:type="dxa"/>
            <w:right w:w="0" w:type="dxa"/>
          </w:tblCellMar>
        </w:tblPrEx>
        <w:trPr>
          <w:cantSplit/>
          <w:trHeight w:val="1036" w:hRule="atLeast"/>
          <w:jc w:val="center"/>
        </w:trPr>
        <w:tc>
          <w:tcPr>
            <w:tcW w:w="2400" w:type="dxa"/>
            <w:tcBorders>
              <w:top w:val="single" w:color="auto" w:sz="12" w:space="0"/>
              <w:left w:val="single" w:color="auto" w:sz="12" w:space="0"/>
              <w:bottom w:val="single" w:color="auto" w:sz="4" w:space="0"/>
              <w:right w:val="single" w:color="auto" w:sz="4" w:space="0"/>
            </w:tcBorders>
            <w:noWrap w:val="0"/>
            <w:vAlign w:val="center"/>
          </w:tcPr>
          <w:p w14:paraId="2279038F">
            <w:pPr>
              <w:pStyle w:val="18"/>
              <w:jc w:val="center"/>
              <w:rPr>
                <w:rFonts w:hint="default" w:ascii="宋体" w:hAnsi="宋体" w:eastAsia="宋体" w:cs="宋体"/>
                <w:b/>
                <w:bCs/>
                <w:color w:val="auto"/>
                <w:szCs w:val="21"/>
                <w:highlight w:val="none"/>
                <w:lang w:val="en-US"/>
              </w:rPr>
            </w:pPr>
            <w:r>
              <w:rPr>
                <w:rFonts w:hint="eastAsia" w:hAnsi="宋体" w:cs="宋体"/>
                <w:b/>
                <w:bCs/>
                <w:color w:val="auto"/>
                <w:szCs w:val="21"/>
                <w:highlight w:val="none"/>
                <w:lang w:val="en-US" w:eastAsia="zh-CN"/>
              </w:rPr>
              <w:t>投标折扣率</w:t>
            </w:r>
          </w:p>
        </w:tc>
        <w:tc>
          <w:tcPr>
            <w:tcW w:w="7259" w:type="dxa"/>
            <w:tcBorders>
              <w:top w:val="single" w:color="auto" w:sz="12" w:space="0"/>
              <w:left w:val="single" w:color="auto" w:sz="4" w:space="0"/>
              <w:bottom w:val="single" w:color="auto" w:sz="4" w:space="0"/>
              <w:right w:val="single" w:color="auto" w:sz="12" w:space="0"/>
            </w:tcBorders>
            <w:noWrap w:val="0"/>
            <w:vAlign w:val="center"/>
          </w:tcPr>
          <w:p w14:paraId="74317478">
            <w:pPr>
              <w:pStyle w:val="18"/>
              <w:rPr>
                <w:rFonts w:hint="eastAsia" w:hAnsi="宋体" w:cs="宋体"/>
                <w:color w:val="auto"/>
                <w:szCs w:val="21"/>
                <w:highlight w:val="none"/>
                <w:u w:val="single"/>
                <w:lang w:val="en-US" w:eastAsia="zh-CN"/>
              </w:rPr>
            </w:pPr>
            <w:r>
              <w:rPr>
                <w:rFonts w:hint="eastAsia" w:hAnsi="宋体" w:cs="宋体"/>
                <w:color w:val="auto"/>
                <w:szCs w:val="21"/>
                <w:highlight w:val="none"/>
                <w:u w:val="single"/>
                <w:lang w:val="en-US" w:eastAsia="zh-CN"/>
              </w:rPr>
              <w:t xml:space="preserve">           %</w:t>
            </w:r>
          </w:p>
          <w:p w14:paraId="1EC1467B">
            <w:pPr>
              <w:pStyle w:val="18"/>
              <w:rPr>
                <w:rFonts w:hint="eastAsia" w:ascii="宋体" w:hAnsi="宋体" w:eastAsia="宋体" w:cs="宋体"/>
                <w:b/>
                <w:color w:val="auto"/>
                <w:szCs w:val="21"/>
                <w:highlight w:val="none"/>
                <w:lang w:val="en-US" w:eastAsia="zh-CN"/>
              </w:rPr>
            </w:pPr>
            <w:r>
              <w:rPr>
                <w:rFonts w:hint="eastAsia" w:ascii="宋体" w:hAnsi="宋体" w:cs="宋体"/>
                <w:b/>
                <w:bCs/>
                <w:color w:val="auto"/>
                <w:szCs w:val="21"/>
                <w:highlight w:val="none"/>
              </w:rPr>
              <w:t>报价折扣的范围为：0.00%-100.</w:t>
            </w:r>
            <w:bookmarkStart w:id="105" w:name="_GoBack"/>
            <w:bookmarkEnd w:id="105"/>
            <w:r>
              <w:rPr>
                <w:rFonts w:hint="eastAsia" w:ascii="宋体" w:hAnsi="宋体" w:cs="宋体"/>
                <w:b/>
                <w:bCs/>
                <w:color w:val="auto"/>
                <w:szCs w:val="21"/>
                <w:highlight w:val="none"/>
              </w:rPr>
              <w:t>00%（小数点后保留两位小数），报价折扣超出该范围（0.00%-100.00%）的报价，按无效响应处理</w:t>
            </w:r>
            <w:r>
              <w:rPr>
                <w:rFonts w:hint="eastAsia" w:ascii="宋体" w:hAnsi="宋体" w:cs="宋体"/>
                <w:b/>
                <w:bCs/>
                <w:color w:val="auto"/>
                <w:szCs w:val="21"/>
                <w:highlight w:val="none"/>
                <w:lang w:eastAsia="zh-CN"/>
              </w:rPr>
              <w:t>。</w:t>
            </w:r>
          </w:p>
        </w:tc>
      </w:tr>
      <w:tr w14:paraId="58DD67E3">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0" w:type="dxa"/>
            <w:bottom w:w="0" w:type="dxa"/>
            <w:right w:w="0" w:type="dxa"/>
          </w:tblCellMar>
        </w:tblPrEx>
        <w:trPr>
          <w:trHeight w:val="828" w:hRule="atLeast"/>
          <w:jc w:val="center"/>
        </w:trPr>
        <w:tc>
          <w:tcPr>
            <w:tcW w:w="2400" w:type="dxa"/>
            <w:tcBorders>
              <w:top w:val="single" w:color="auto" w:sz="4" w:space="0"/>
              <w:left w:val="single" w:color="auto" w:sz="12" w:space="0"/>
              <w:bottom w:val="single" w:color="auto" w:sz="4" w:space="0"/>
              <w:right w:val="single" w:color="auto" w:sz="4" w:space="0"/>
            </w:tcBorders>
            <w:noWrap w:val="0"/>
            <w:vAlign w:val="center"/>
          </w:tcPr>
          <w:p w14:paraId="5F5F9299">
            <w:pPr>
              <w:autoSpaceDE w:val="0"/>
              <w:autoSpaceDN w:val="0"/>
              <w:spacing w:line="450" w:lineRule="exact"/>
              <w:jc w:val="center"/>
              <w:textAlignment w:val="bottom"/>
              <w:rPr>
                <w:rFonts w:hint="eastAsia" w:ascii="宋体" w:hAnsi="宋体" w:eastAsia="宋体" w:cs="宋体"/>
                <w:b/>
                <w:bCs/>
                <w:color w:val="auto"/>
                <w:szCs w:val="21"/>
                <w:highlight w:val="none"/>
                <w:lang w:eastAsia="zh-CN"/>
              </w:rPr>
            </w:pPr>
            <w:r>
              <w:rPr>
                <w:rFonts w:hint="eastAsia" w:ascii="宋体" w:hAnsi="宋体" w:eastAsia="宋体" w:cs="宋体"/>
                <w:b/>
                <w:bCs/>
                <w:color w:val="auto"/>
                <w:szCs w:val="21"/>
                <w:highlight w:val="none"/>
                <w:lang w:eastAsia="zh-CN"/>
              </w:rPr>
              <w:t>服务期</w:t>
            </w:r>
          </w:p>
        </w:tc>
        <w:tc>
          <w:tcPr>
            <w:tcW w:w="7259" w:type="dxa"/>
            <w:tcBorders>
              <w:top w:val="single" w:color="auto" w:sz="4" w:space="0"/>
              <w:left w:val="single" w:color="auto" w:sz="4" w:space="0"/>
              <w:bottom w:val="single" w:color="auto" w:sz="4" w:space="0"/>
              <w:right w:val="single" w:color="auto" w:sz="12" w:space="0"/>
            </w:tcBorders>
            <w:noWrap w:val="0"/>
            <w:vAlign w:val="center"/>
          </w:tcPr>
          <w:p w14:paraId="04D7E2EC">
            <w:pPr>
              <w:autoSpaceDE w:val="0"/>
              <w:autoSpaceDN w:val="0"/>
              <w:spacing w:line="450" w:lineRule="exact"/>
              <w:jc w:val="left"/>
              <w:textAlignment w:val="bottom"/>
              <w:rPr>
                <w:rFonts w:hint="eastAsia" w:ascii="宋体" w:hAnsi="宋体" w:eastAsia="宋体" w:cs="宋体"/>
                <w:b/>
                <w:color w:val="auto"/>
                <w:szCs w:val="21"/>
                <w:highlight w:val="none"/>
                <w:lang w:eastAsia="zh-CN"/>
              </w:rPr>
            </w:pPr>
            <w:r>
              <w:rPr>
                <w:rFonts w:hint="eastAsia" w:ascii="宋体" w:hAnsi="宋体" w:eastAsia="宋体" w:cs="宋体"/>
                <w:b/>
                <w:color w:val="auto"/>
                <w:szCs w:val="21"/>
                <w:highlight w:val="none"/>
                <w:lang w:eastAsia="zh-CN"/>
              </w:rPr>
              <w:t>服务期限1年。</w:t>
            </w:r>
          </w:p>
        </w:tc>
      </w:tr>
      <w:tr w14:paraId="74EADB1F">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0" w:type="dxa"/>
            <w:bottom w:w="0" w:type="dxa"/>
            <w:right w:w="0" w:type="dxa"/>
          </w:tblCellMar>
        </w:tblPrEx>
        <w:trPr>
          <w:trHeight w:val="1838" w:hRule="atLeast"/>
          <w:jc w:val="center"/>
        </w:trPr>
        <w:tc>
          <w:tcPr>
            <w:tcW w:w="2400" w:type="dxa"/>
            <w:tcBorders>
              <w:top w:val="single" w:color="auto" w:sz="4" w:space="0"/>
              <w:left w:val="single" w:color="auto" w:sz="12" w:space="0"/>
              <w:bottom w:val="single" w:color="auto" w:sz="4" w:space="0"/>
              <w:right w:val="single" w:color="auto" w:sz="4" w:space="0"/>
            </w:tcBorders>
            <w:noWrap w:val="0"/>
            <w:vAlign w:val="center"/>
          </w:tcPr>
          <w:p w14:paraId="75E52A8E">
            <w:pPr>
              <w:autoSpaceDE w:val="0"/>
              <w:autoSpaceDN w:val="0"/>
              <w:spacing w:line="450" w:lineRule="exact"/>
              <w:jc w:val="center"/>
              <w:textAlignment w:val="bottom"/>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备注</w:t>
            </w:r>
          </w:p>
        </w:tc>
        <w:tc>
          <w:tcPr>
            <w:tcW w:w="7259" w:type="dxa"/>
            <w:tcBorders>
              <w:top w:val="single" w:color="auto" w:sz="4" w:space="0"/>
              <w:left w:val="single" w:color="auto" w:sz="4" w:space="0"/>
              <w:bottom w:val="single" w:color="auto" w:sz="4" w:space="0"/>
              <w:right w:val="single" w:color="auto" w:sz="12" w:space="0"/>
            </w:tcBorders>
            <w:noWrap w:val="0"/>
            <w:vAlign w:val="center"/>
          </w:tcPr>
          <w:p w14:paraId="0EB88D94">
            <w:pPr>
              <w:autoSpaceDE w:val="0"/>
              <w:autoSpaceDN w:val="0"/>
              <w:spacing w:line="450" w:lineRule="exact"/>
              <w:jc w:val="left"/>
              <w:textAlignment w:val="bottom"/>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上述报价是本项目</w:t>
            </w:r>
            <w:r>
              <w:rPr>
                <w:rFonts w:hint="eastAsia" w:ascii="宋体" w:hAnsi="宋体" w:eastAsia="宋体" w:cs="宋体"/>
                <w:bCs/>
                <w:color w:val="auto"/>
                <w:szCs w:val="21"/>
                <w:highlight w:val="none"/>
                <w:lang w:eastAsia="zh-CN"/>
              </w:rPr>
              <w:t>磋商</w:t>
            </w:r>
            <w:r>
              <w:rPr>
                <w:rFonts w:hint="eastAsia" w:ascii="宋体" w:hAnsi="宋体" w:eastAsia="宋体" w:cs="宋体"/>
                <w:bCs/>
                <w:color w:val="auto"/>
                <w:szCs w:val="21"/>
                <w:highlight w:val="none"/>
              </w:rPr>
              <w:t>文件确定的招标范围内全部工作内容的价格表现。完成本项目招标范围内全部工作内容所需价款、企业应缴纳的税费及合理利润、合同包含的风险等所有招标文件提及或招标文件未提及的全部开支均已计入投标报价。</w:t>
            </w:r>
          </w:p>
        </w:tc>
      </w:tr>
    </w:tbl>
    <w:p w14:paraId="4650283D">
      <w:pPr>
        <w:spacing w:line="360" w:lineRule="auto"/>
        <w:ind w:firstLine="602" w:firstLineChars="300"/>
        <w:textAlignment w:val="baseline"/>
        <w:rPr>
          <w:rFonts w:ascii="宋体" w:hAnsi="宋体" w:cs="宋体"/>
          <w:b/>
          <w:bCs/>
          <w:color w:val="auto"/>
          <w:sz w:val="20"/>
          <w:szCs w:val="21"/>
          <w:highlight w:val="none"/>
        </w:rPr>
      </w:pPr>
    </w:p>
    <w:p w14:paraId="5948455D">
      <w:pPr>
        <w:snapToGrid w:val="0"/>
        <w:spacing w:before="156" w:after="156"/>
        <w:ind w:firstLine="424" w:firstLineChars="177"/>
        <w:textAlignment w:val="baseline"/>
        <w:rPr>
          <w:rFonts w:ascii="宋体" w:hAnsi="宋体" w:cs="宋体"/>
          <w:color w:val="auto"/>
          <w:sz w:val="24"/>
          <w:highlight w:val="none"/>
        </w:rPr>
      </w:pPr>
    </w:p>
    <w:p w14:paraId="5D35CEA9">
      <w:pPr>
        <w:snapToGrid w:val="0"/>
        <w:spacing w:before="156" w:after="156"/>
        <w:ind w:firstLine="424" w:firstLineChars="177"/>
        <w:textAlignment w:val="baseline"/>
        <w:rPr>
          <w:rFonts w:ascii="宋体" w:hAnsi="宋体" w:cs="宋体"/>
          <w:color w:val="auto"/>
          <w:sz w:val="24"/>
          <w:highlight w:val="none"/>
        </w:rPr>
      </w:pPr>
    </w:p>
    <w:p w14:paraId="342C83A3">
      <w:pPr>
        <w:spacing w:line="440" w:lineRule="exact"/>
        <w:ind w:firstLine="4860"/>
        <w:jc w:val="left"/>
        <w:textAlignment w:val="baseline"/>
        <w:rPr>
          <w:rFonts w:ascii="宋体" w:hAnsi="宋体" w:cs="宋体"/>
          <w:b/>
          <w:bCs/>
          <w:color w:val="auto"/>
          <w:sz w:val="20"/>
          <w:szCs w:val="21"/>
          <w:highlight w:val="none"/>
          <w:u w:val="single" w:color="000000"/>
        </w:rPr>
      </w:pPr>
      <w:r>
        <w:rPr>
          <w:rFonts w:hint="eastAsia" w:ascii="宋体" w:hAnsi="宋体" w:cs="宋体"/>
          <w:b/>
          <w:bCs/>
          <w:color w:val="auto"/>
          <w:sz w:val="24"/>
          <w:highlight w:val="none"/>
        </w:rPr>
        <w:t>供应商名称（盖章）：</w:t>
      </w:r>
    </w:p>
    <w:p w14:paraId="6A965CBE">
      <w:pPr>
        <w:spacing w:line="440" w:lineRule="exact"/>
        <w:ind w:firstLine="4860"/>
        <w:jc w:val="left"/>
        <w:textAlignment w:val="baseline"/>
        <w:rPr>
          <w:rFonts w:ascii="宋体" w:hAnsi="宋体" w:cs="宋体"/>
          <w:color w:val="auto"/>
          <w:sz w:val="20"/>
          <w:szCs w:val="21"/>
          <w:highlight w:val="none"/>
          <w:u w:val="single" w:color="000000"/>
        </w:rPr>
      </w:pPr>
      <w:r>
        <w:rPr>
          <w:rFonts w:hint="eastAsia" w:ascii="宋体" w:hAnsi="宋体" w:cs="宋体"/>
          <w:b/>
          <w:bCs/>
          <w:color w:val="auto"/>
          <w:szCs w:val="21"/>
          <w:highlight w:val="none"/>
        </w:rPr>
        <w:t>日期：年月日</w:t>
      </w:r>
    </w:p>
    <w:p w14:paraId="387C1213">
      <w:pPr>
        <w:spacing w:line="380" w:lineRule="exact"/>
        <w:ind w:left="359" w:leftChars="171"/>
        <w:textAlignment w:val="baseline"/>
        <w:rPr>
          <w:rFonts w:ascii="宋体" w:hAnsi="宋体" w:cs="宋体"/>
          <w:color w:val="auto"/>
          <w:sz w:val="22"/>
          <w:highlight w:val="none"/>
        </w:rPr>
      </w:pPr>
    </w:p>
    <w:p w14:paraId="310EA0C0">
      <w:pPr>
        <w:spacing w:line="380" w:lineRule="exact"/>
        <w:ind w:left="359" w:leftChars="171"/>
        <w:textAlignment w:val="baseline"/>
        <w:rPr>
          <w:rFonts w:ascii="宋体" w:hAnsi="宋体" w:cs="宋体"/>
          <w:color w:val="auto"/>
          <w:sz w:val="22"/>
          <w:highlight w:val="none"/>
        </w:rPr>
      </w:pPr>
    </w:p>
    <w:p w14:paraId="43C8B9C7">
      <w:pPr>
        <w:rPr>
          <w:rFonts w:hint="eastAsia" w:hAnsi="宋体" w:cs="宋体"/>
          <w:b/>
          <w:bCs/>
          <w:color w:val="auto"/>
          <w:sz w:val="32"/>
          <w:szCs w:val="32"/>
          <w:highlight w:val="none"/>
        </w:rPr>
      </w:pPr>
      <w:bookmarkStart w:id="102" w:name="_Toc5875"/>
      <w:r>
        <w:rPr>
          <w:rFonts w:hint="eastAsia" w:hAnsi="宋体" w:cs="宋体"/>
          <w:b/>
          <w:bCs/>
          <w:color w:val="auto"/>
          <w:sz w:val="32"/>
          <w:szCs w:val="32"/>
          <w:highlight w:val="none"/>
        </w:rPr>
        <w:br w:type="page"/>
      </w:r>
    </w:p>
    <w:p w14:paraId="15BB86CE">
      <w:pPr>
        <w:jc w:val="center"/>
        <w:rPr>
          <w:rFonts w:hAnsi="宋体" w:cs="宋体"/>
          <w:b/>
          <w:bCs/>
          <w:color w:val="auto"/>
          <w:sz w:val="32"/>
          <w:szCs w:val="32"/>
          <w:highlight w:val="none"/>
        </w:rPr>
      </w:pPr>
      <w:r>
        <w:rPr>
          <w:rFonts w:hint="eastAsia" w:hAnsi="宋体" w:cs="宋体"/>
          <w:b/>
          <w:bCs/>
          <w:color w:val="auto"/>
          <w:sz w:val="32"/>
          <w:szCs w:val="32"/>
          <w:highlight w:val="none"/>
        </w:rPr>
        <w:t>政府采购活动现场确认声明书</w:t>
      </w:r>
      <w:bookmarkEnd w:id="102"/>
    </w:p>
    <w:p w14:paraId="30C0906B">
      <w:pPr>
        <w:pStyle w:val="99"/>
        <w:numPr>
          <w:ilvl w:val="0"/>
          <w:numId w:val="0"/>
        </w:numPr>
        <w:snapToGrid w:val="0"/>
        <w:spacing w:line="440" w:lineRule="exact"/>
        <w:ind w:left="227"/>
        <w:rPr>
          <w:rFonts w:hAnsi="宋体" w:cs="宋体"/>
          <w:bCs/>
          <w:color w:val="auto"/>
          <w:sz w:val="24"/>
          <w:szCs w:val="24"/>
          <w:highlight w:val="none"/>
        </w:rPr>
      </w:pPr>
      <w:r>
        <w:rPr>
          <w:rFonts w:hint="eastAsia" w:hAnsi="宋体" w:cs="宋体"/>
          <w:color w:val="auto"/>
          <w:sz w:val="24"/>
          <w:szCs w:val="24"/>
          <w:highlight w:val="none"/>
          <w:lang w:eastAsia="zh-CN"/>
        </w:rPr>
        <w:t>衢州市开成工程造价咨询事务所有限公司</w:t>
      </w:r>
      <w:r>
        <w:rPr>
          <w:rFonts w:hint="eastAsia" w:hAnsi="宋体" w:cs="宋体"/>
          <w:color w:val="auto"/>
          <w:sz w:val="24"/>
          <w:szCs w:val="24"/>
          <w:highlight w:val="none"/>
        </w:rPr>
        <w:t>：</w:t>
      </w:r>
    </w:p>
    <w:p w14:paraId="286FDD8E">
      <w:pPr>
        <w:pStyle w:val="99"/>
        <w:numPr>
          <w:ilvl w:val="0"/>
          <w:numId w:val="0"/>
        </w:numPr>
        <w:snapToGrid w:val="0"/>
        <w:spacing w:line="440" w:lineRule="exact"/>
        <w:ind w:left="420" w:leftChars="200"/>
        <w:rPr>
          <w:rFonts w:hAnsi="宋体" w:cs="宋体"/>
          <w:color w:val="auto"/>
          <w:spacing w:val="6"/>
          <w:sz w:val="24"/>
          <w:szCs w:val="24"/>
          <w:highlight w:val="none"/>
          <w:u w:val="single"/>
        </w:rPr>
      </w:pPr>
      <w:r>
        <w:rPr>
          <w:rFonts w:hint="eastAsia" w:hAnsi="宋体" w:cs="宋体"/>
          <w:color w:val="auto"/>
          <w:spacing w:val="6"/>
          <w:sz w:val="24"/>
          <w:szCs w:val="24"/>
          <w:highlight w:val="none"/>
        </w:rPr>
        <w:t>本人</w:t>
      </w:r>
      <w:r>
        <w:rPr>
          <w:rFonts w:hint="eastAsia" w:hAnsi="宋体" w:cs="宋体"/>
          <w:color w:val="auto"/>
          <w:spacing w:val="6"/>
          <w:sz w:val="24"/>
          <w:szCs w:val="24"/>
          <w:highlight w:val="none"/>
          <w:u w:val="single"/>
        </w:rPr>
        <w:t xml:space="preserve">        </w:t>
      </w:r>
      <w:r>
        <w:rPr>
          <w:rFonts w:hint="eastAsia" w:hAnsi="宋体" w:cs="宋体"/>
          <w:color w:val="auto"/>
          <w:spacing w:val="6"/>
          <w:sz w:val="24"/>
          <w:szCs w:val="24"/>
          <w:highlight w:val="none"/>
        </w:rPr>
        <w:t>（授权代表姓名），经由</w:t>
      </w:r>
      <w:r>
        <w:rPr>
          <w:rFonts w:hint="eastAsia" w:hAnsi="宋体" w:cs="宋体"/>
          <w:color w:val="auto"/>
          <w:spacing w:val="6"/>
          <w:sz w:val="24"/>
          <w:szCs w:val="24"/>
          <w:highlight w:val="none"/>
          <w:u w:val="single"/>
        </w:rPr>
        <w:t xml:space="preserve">                              </w:t>
      </w:r>
      <w:r>
        <w:rPr>
          <w:rFonts w:hint="eastAsia" w:hAnsi="宋体" w:cs="宋体"/>
          <w:color w:val="auto"/>
          <w:spacing w:val="6"/>
          <w:sz w:val="24"/>
          <w:szCs w:val="24"/>
          <w:highlight w:val="none"/>
        </w:rPr>
        <w:t>（单位）</w:t>
      </w:r>
      <w:r>
        <w:rPr>
          <w:rFonts w:hint="eastAsia" w:hAnsi="宋体" w:cs="宋体"/>
          <w:color w:val="auto"/>
          <w:spacing w:val="6"/>
          <w:sz w:val="24"/>
          <w:szCs w:val="24"/>
          <w:highlight w:val="none"/>
          <w:u w:val="single"/>
        </w:rPr>
        <w:t xml:space="preserve">         </w:t>
      </w:r>
    </w:p>
    <w:p w14:paraId="6760FD06">
      <w:pPr>
        <w:pStyle w:val="99"/>
        <w:numPr>
          <w:ilvl w:val="0"/>
          <w:numId w:val="0"/>
        </w:numPr>
        <w:wordWrap w:val="0"/>
        <w:snapToGrid w:val="0"/>
        <w:spacing w:line="440" w:lineRule="exact"/>
        <w:ind w:left="227"/>
        <w:rPr>
          <w:rFonts w:hAnsi="宋体" w:cs="宋体"/>
          <w:color w:val="auto"/>
          <w:spacing w:val="6"/>
          <w:sz w:val="24"/>
          <w:szCs w:val="24"/>
          <w:highlight w:val="none"/>
        </w:rPr>
      </w:pPr>
      <w:r>
        <w:rPr>
          <w:rFonts w:hint="eastAsia" w:hAnsi="宋体" w:cs="宋体"/>
          <w:color w:val="auto"/>
          <w:spacing w:val="6"/>
          <w:sz w:val="24"/>
          <w:szCs w:val="24"/>
          <w:highlight w:val="none"/>
          <w:u w:val="single"/>
        </w:rPr>
        <w:t xml:space="preserve">                 </w:t>
      </w:r>
      <w:r>
        <w:rPr>
          <w:rFonts w:hint="eastAsia" w:hAnsi="宋体" w:cs="宋体"/>
          <w:color w:val="auto"/>
          <w:spacing w:val="6"/>
          <w:sz w:val="24"/>
          <w:szCs w:val="24"/>
          <w:highlight w:val="none"/>
        </w:rPr>
        <w:t>（法定代表人姓名）合法授权参加</w:t>
      </w:r>
      <w:r>
        <w:rPr>
          <w:rFonts w:hint="eastAsia" w:hAnsi="宋体" w:cs="宋体"/>
          <w:color w:val="auto"/>
          <w:sz w:val="24"/>
          <w:szCs w:val="24"/>
          <w:highlight w:val="none"/>
          <w:u w:val="single"/>
        </w:rPr>
        <w:t xml:space="preserve">  </w:t>
      </w:r>
      <w:r>
        <w:rPr>
          <w:rFonts w:hint="eastAsia" w:hAnsi="宋体" w:cs="宋体"/>
          <w:color w:val="auto"/>
          <w:sz w:val="24"/>
          <w:szCs w:val="24"/>
          <w:highlight w:val="none"/>
          <w:u w:val="single"/>
          <w:lang w:eastAsia="zh-CN"/>
        </w:rPr>
        <w:t>2025年交通事故痕迹鉴定及车辆鉴定技术服务项目</w:t>
      </w:r>
      <w:r>
        <w:rPr>
          <w:rFonts w:hint="eastAsia" w:hAnsi="宋体" w:cs="宋体"/>
          <w:color w:val="auto"/>
          <w:spacing w:val="6"/>
          <w:sz w:val="24"/>
          <w:szCs w:val="24"/>
          <w:highlight w:val="none"/>
        </w:rPr>
        <w:t>（编号：</w:t>
      </w:r>
      <w:r>
        <w:rPr>
          <w:rFonts w:hint="eastAsia" w:hAnsi="宋体" w:cs="宋体"/>
          <w:color w:val="auto"/>
          <w:spacing w:val="6"/>
          <w:sz w:val="24"/>
          <w:szCs w:val="24"/>
          <w:highlight w:val="none"/>
          <w:u w:val="single"/>
          <w:lang w:eastAsia="zh-CN"/>
        </w:rPr>
        <w:t>CSKC-CS202504</w:t>
      </w:r>
      <w:r>
        <w:rPr>
          <w:rFonts w:hint="eastAsia" w:hAnsi="宋体" w:cs="宋体"/>
          <w:color w:val="auto"/>
          <w:spacing w:val="6"/>
          <w:sz w:val="24"/>
          <w:szCs w:val="24"/>
          <w:highlight w:val="none"/>
        </w:rPr>
        <w:t xml:space="preserve">）政府采购活动，经与本单位法人代表（负责人）联系确认，现就有关公平竞争事项郑重声明如下： </w:t>
      </w:r>
    </w:p>
    <w:p w14:paraId="0D5F27B3">
      <w:pPr>
        <w:pStyle w:val="56"/>
        <w:widowControl/>
        <w:numPr>
          <w:ilvl w:val="0"/>
          <w:numId w:val="11"/>
        </w:numPr>
        <w:snapToGrid w:val="0"/>
        <w:spacing w:line="440" w:lineRule="exact"/>
        <w:ind w:firstLine="453" w:firstLineChars="189"/>
        <w:rPr>
          <w:rFonts w:ascii="宋体" w:cs="宋体"/>
          <w:color w:val="auto"/>
          <w:kern w:val="0"/>
          <w:sz w:val="24"/>
          <w:highlight w:val="none"/>
        </w:rPr>
      </w:pPr>
      <w:r>
        <w:rPr>
          <w:rFonts w:hint="eastAsia" w:ascii="宋体" w:cs="宋体"/>
          <w:color w:val="auto"/>
          <w:kern w:val="0"/>
          <w:sz w:val="24"/>
          <w:highlight w:val="none"/>
        </w:rPr>
        <w:t>本单位与采购人之间 □不存在利害关系 □存在下列利害关系</w:t>
      </w:r>
      <w:r>
        <w:rPr>
          <w:rFonts w:hint="eastAsia" w:ascii="宋体" w:cs="宋体"/>
          <w:color w:val="auto"/>
          <w:kern w:val="0"/>
          <w:sz w:val="24"/>
          <w:highlight w:val="none"/>
          <w:u w:val="single"/>
        </w:rPr>
        <w:t xml:space="preserve">           </w:t>
      </w:r>
      <w:r>
        <w:rPr>
          <w:rFonts w:hint="eastAsia" w:ascii="宋体" w:cs="宋体"/>
          <w:color w:val="auto"/>
          <w:kern w:val="0"/>
          <w:sz w:val="24"/>
          <w:highlight w:val="none"/>
        </w:rPr>
        <w:t>：</w:t>
      </w:r>
    </w:p>
    <w:p w14:paraId="5E64848B">
      <w:pPr>
        <w:pStyle w:val="56"/>
        <w:widowControl/>
        <w:numPr>
          <w:ilvl w:val="0"/>
          <w:numId w:val="0"/>
        </w:numPr>
        <w:snapToGrid w:val="0"/>
        <w:spacing w:line="440" w:lineRule="exact"/>
        <w:ind w:left="227"/>
        <w:rPr>
          <w:rFonts w:ascii="宋体" w:cs="宋体"/>
          <w:color w:val="auto"/>
          <w:kern w:val="0"/>
          <w:sz w:val="24"/>
          <w:highlight w:val="none"/>
        </w:rPr>
      </w:pPr>
      <w:r>
        <w:rPr>
          <w:rFonts w:hint="eastAsia" w:ascii="宋体" w:cs="宋体"/>
          <w:color w:val="auto"/>
          <w:kern w:val="0"/>
          <w:sz w:val="24"/>
          <w:highlight w:val="none"/>
        </w:rPr>
        <w:t xml:space="preserve">  A.投资关系    B.行政隶属关系    C.业务指导关系</w:t>
      </w:r>
    </w:p>
    <w:p w14:paraId="61C474D5">
      <w:pPr>
        <w:pStyle w:val="56"/>
        <w:widowControl/>
        <w:numPr>
          <w:ilvl w:val="0"/>
          <w:numId w:val="0"/>
        </w:numPr>
        <w:snapToGrid w:val="0"/>
        <w:spacing w:line="440" w:lineRule="exact"/>
        <w:ind w:left="227"/>
        <w:rPr>
          <w:rFonts w:ascii="宋体" w:cs="宋体"/>
          <w:color w:val="auto"/>
          <w:kern w:val="0"/>
          <w:sz w:val="24"/>
          <w:highlight w:val="none"/>
        </w:rPr>
      </w:pPr>
      <w:r>
        <w:rPr>
          <w:rFonts w:hint="eastAsia" w:ascii="宋体" w:cs="宋体"/>
          <w:color w:val="auto"/>
          <w:kern w:val="0"/>
          <w:sz w:val="24"/>
          <w:highlight w:val="none"/>
        </w:rPr>
        <w:t xml:space="preserve">  D.其他可能</w:t>
      </w:r>
      <w:r>
        <w:rPr>
          <w:rFonts w:hint="eastAsia" w:ascii="宋体" w:cs="宋体"/>
          <w:color w:val="auto"/>
          <w:sz w:val="24"/>
          <w:highlight w:val="none"/>
        </w:rPr>
        <w:t>影响采购公正的</w:t>
      </w:r>
      <w:r>
        <w:rPr>
          <w:rFonts w:hint="eastAsia" w:ascii="宋体" w:cs="宋体"/>
          <w:color w:val="auto"/>
          <w:kern w:val="0"/>
          <w:sz w:val="24"/>
          <w:highlight w:val="none"/>
        </w:rPr>
        <w:t xml:space="preserve">利害关系（如有，请如实说明） </w:t>
      </w:r>
      <w:r>
        <w:rPr>
          <w:rFonts w:hint="eastAsia" w:ascii="宋体" w:cs="宋体"/>
          <w:color w:val="auto"/>
          <w:kern w:val="0"/>
          <w:sz w:val="24"/>
          <w:highlight w:val="none"/>
          <w:u w:val="single"/>
        </w:rPr>
        <w:t xml:space="preserve">                </w:t>
      </w:r>
      <w:r>
        <w:rPr>
          <w:rFonts w:hint="eastAsia" w:ascii="宋体" w:cs="宋体"/>
          <w:color w:val="auto"/>
          <w:kern w:val="0"/>
          <w:sz w:val="24"/>
          <w:highlight w:val="none"/>
        </w:rPr>
        <w:t>。</w:t>
      </w:r>
    </w:p>
    <w:p w14:paraId="1558C7F0">
      <w:pPr>
        <w:pStyle w:val="56"/>
        <w:widowControl/>
        <w:numPr>
          <w:ilvl w:val="0"/>
          <w:numId w:val="11"/>
        </w:numPr>
        <w:snapToGrid w:val="0"/>
        <w:spacing w:line="440" w:lineRule="exact"/>
        <w:ind w:firstLine="453" w:firstLineChars="189"/>
        <w:rPr>
          <w:rFonts w:ascii="宋体" w:cs="宋体"/>
          <w:color w:val="auto"/>
          <w:kern w:val="0"/>
          <w:sz w:val="24"/>
          <w:highlight w:val="none"/>
        </w:rPr>
      </w:pPr>
      <w:r>
        <w:rPr>
          <w:rFonts w:hint="eastAsia" w:ascii="宋体" w:cs="宋体"/>
          <w:color w:val="auto"/>
          <w:kern w:val="0"/>
          <w:sz w:val="24"/>
          <w:highlight w:val="none"/>
        </w:rPr>
        <w:t xml:space="preserve">现已清楚知道参加本项目采购活动的其他所有供应商名称，本单位 □与其他所有供应商之间均不存在利害关系 □与 </w:t>
      </w:r>
      <w:r>
        <w:rPr>
          <w:rFonts w:hint="eastAsia" w:ascii="宋体" w:cs="宋体"/>
          <w:color w:val="auto"/>
          <w:kern w:val="0"/>
          <w:sz w:val="24"/>
          <w:highlight w:val="none"/>
          <w:u w:val="single"/>
        </w:rPr>
        <w:t xml:space="preserve">               </w:t>
      </w:r>
      <w:r>
        <w:rPr>
          <w:rFonts w:hint="eastAsia" w:ascii="宋体" w:cs="宋体"/>
          <w:color w:val="auto"/>
          <w:kern w:val="0"/>
          <w:sz w:val="24"/>
          <w:highlight w:val="none"/>
        </w:rPr>
        <w:t>（供应商名称）之间存在下列利害关系</w:t>
      </w:r>
      <w:r>
        <w:rPr>
          <w:rFonts w:hint="eastAsia" w:ascii="宋体" w:cs="宋体"/>
          <w:color w:val="auto"/>
          <w:kern w:val="0"/>
          <w:sz w:val="24"/>
          <w:highlight w:val="none"/>
          <w:u w:val="single"/>
        </w:rPr>
        <w:t xml:space="preserve">               </w:t>
      </w:r>
      <w:r>
        <w:rPr>
          <w:rFonts w:hint="eastAsia" w:ascii="宋体" w:cs="宋体"/>
          <w:color w:val="auto"/>
          <w:kern w:val="0"/>
          <w:sz w:val="24"/>
          <w:highlight w:val="none"/>
        </w:rPr>
        <w:t>：</w:t>
      </w:r>
    </w:p>
    <w:p w14:paraId="3934219E">
      <w:pPr>
        <w:pStyle w:val="99"/>
        <w:numPr>
          <w:ilvl w:val="0"/>
          <w:numId w:val="0"/>
        </w:numPr>
        <w:snapToGrid w:val="0"/>
        <w:spacing w:line="440" w:lineRule="exact"/>
        <w:ind w:left="227"/>
        <w:rPr>
          <w:rFonts w:hAnsi="宋体" w:cs="宋体"/>
          <w:color w:val="auto"/>
          <w:sz w:val="24"/>
          <w:szCs w:val="24"/>
          <w:highlight w:val="none"/>
        </w:rPr>
      </w:pPr>
      <w:r>
        <w:rPr>
          <w:rFonts w:hint="eastAsia" w:hAnsi="宋体" w:cs="宋体"/>
          <w:color w:val="auto"/>
          <w:sz w:val="24"/>
          <w:szCs w:val="24"/>
          <w:highlight w:val="none"/>
        </w:rPr>
        <w:t>A.法定代表人或负责人或实际控制人是同一人</w:t>
      </w:r>
    </w:p>
    <w:p w14:paraId="2FD8478A">
      <w:pPr>
        <w:pStyle w:val="99"/>
        <w:numPr>
          <w:ilvl w:val="0"/>
          <w:numId w:val="0"/>
        </w:numPr>
        <w:snapToGrid w:val="0"/>
        <w:spacing w:line="440" w:lineRule="exact"/>
        <w:ind w:left="227"/>
        <w:rPr>
          <w:rFonts w:hAnsi="宋体" w:cs="宋体"/>
          <w:color w:val="auto"/>
          <w:spacing w:val="6"/>
          <w:sz w:val="24"/>
          <w:szCs w:val="24"/>
          <w:highlight w:val="none"/>
        </w:rPr>
      </w:pPr>
      <w:r>
        <w:rPr>
          <w:rFonts w:hint="eastAsia" w:hAnsi="宋体" w:cs="宋体"/>
          <w:color w:val="auto"/>
          <w:sz w:val="24"/>
          <w:szCs w:val="24"/>
          <w:highlight w:val="none"/>
        </w:rPr>
        <w:t>B.法定代表人或负责人或实际控制人是夫妻关系</w:t>
      </w:r>
    </w:p>
    <w:p w14:paraId="27AB6105">
      <w:pPr>
        <w:pStyle w:val="99"/>
        <w:numPr>
          <w:ilvl w:val="0"/>
          <w:numId w:val="0"/>
        </w:numPr>
        <w:snapToGrid w:val="0"/>
        <w:spacing w:line="440" w:lineRule="exact"/>
        <w:ind w:left="227"/>
        <w:rPr>
          <w:rFonts w:hAnsi="宋体" w:cs="宋体"/>
          <w:color w:val="auto"/>
          <w:sz w:val="24"/>
          <w:szCs w:val="24"/>
          <w:highlight w:val="none"/>
        </w:rPr>
      </w:pPr>
      <w:r>
        <w:rPr>
          <w:rFonts w:hint="eastAsia" w:hAnsi="宋体" w:cs="宋体"/>
          <w:color w:val="auto"/>
          <w:sz w:val="24"/>
          <w:szCs w:val="24"/>
          <w:highlight w:val="none"/>
        </w:rPr>
        <w:t>C.法定代表人或负责人或实际控制人是直系血亲关系</w:t>
      </w:r>
    </w:p>
    <w:p w14:paraId="165F9AF3">
      <w:pPr>
        <w:pStyle w:val="99"/>
        <w:numPr>
          <w:ilvl w:val="0"/>
          <w:numId w:val="0"/>
        </w:numPr>
        <w:snapToGrid w:val="0"/>
        <w:spacing w:line="440" w:lineRule="exact"/>
        <w:ind w:firstLine="240" w:firstLineChars="100"/>
        <w:rPr>
          <w:rFonts w:hAnsi="宋体" w:cs="宋体"/>
          <w:color w:val="auto"/>
          <w:spacing w:val="6"/>
          <w:sz w:val="24"/>
          <w:szCs w:val="24"/>
          <w:highlight w:val="none"/>
        </w:rPr>
      </w:pPr>
      <w:r>
        <w:rPr>
          <w:rFonts w:hint="eastAsia" w:hAnsi="宋体" w:cs="宋体"/>
          <w:color w:val="auto"/>
          <w:sz w:val="24"/>
          <w:szCs w:val="24"/>
          <w:highlight w:val="none"/>
        </w:rPr>
        <w:t>D.法定代表人或负责人或实际控制人存在三代以内旁系血亲关系</w:t>
      </w:r>
    </w:p>
    <w:p w14:paraId="20235837">
      <w:pPr>
        <w:pStyle w:val="99"/>
        <w:numPr>
          <w:ilvl w:val="0"/>
          <w:numId w:val="0"/>
        </w:numPr>
        <w:snapToGrid w:val="0"/>
        <w:spacing w:line="440" w:lineRule="exact"/>
        <w:ind w:left="227"/>
        <w:rPr>
          <w:rFonts w:hAnsi="宋体" w:cs="宋体"/>
          <w:color w:val="auto"/>
          <w:sz w:val="24"/>
          <w:szCs w:val="24"/>
          <w:highlight w:val="none"/>
        </w:rPr>
      </w:pPr>
      <w:r>
        <w:rPr>
          <w:rFonts w:hint="eastAsia" w:hAnsi="宋体" w:cs="宋体"/>
          <w:color w:val="auto"/>
          <w:sz w:val="24"/>
          <w:szCs w:val="24"/>
          <w:highlight w:val="none"/>
        </w:rPr>
        <w:t>E.法定代表人或负责人或实际控制人存在近姻亲关系</w:t>
      </w:r>
    </w:p>
    <w:p w14:paraId="658EC87A">
      <w:pPr>
        <w:pStyle w:val="99"/>
        <w:numPr>
          <w:ilvl w:val="0"/>
          <w:numId w:val="0"/>
        </w:numPr>
        <w:snapToGrid w:val="0"/>
        <w:spacing w:line="440" w:lineRule="exact"/>
        <w:ind w:left="227"/>
        <w:rPr>
          <w:rFonts w:hAnsi="宋体" w:cs="宋体"/>
          <w:color w:val="auto"/>
          <w:sz w:val="24"/>
          <w:szCs w:val="24"/>
          <w:highlight w:val="none"/>
        </w:rPr>
      </w:pPr>
      <w:r>
        <w:rPr>
          <w:rFonts w:hint="eastAsia" w:hAnsi="宋体" w:cs="宋体"/>
          <w:color w:val="auto"/>
          <w:sz w:val="24"/>
          <w:szCs w:val="24"/>
          <w:highlight w:val="none"/>
        </w:rPr>
        <w:t>F.法定代表人或负责人或实际控制人存在股份控制或实际控制关系</w:t>
      </w:r>
    </w:p>
    <w:p w14:paraId="62C62553">
      <w:pPr>
        <w:pStyle w:val="99"/>
        <w:numPr>
          <w:ilvl w:val="0"/>
          <w:numId w:val="0"/>
        </w:numPr>
        <w:snapToGrid w:val="0"/>
        <w:spacing w:line="440" w:lineRule="exact"/>
        <w:ind w:left="227"/>
        <w:rPr>
          <w:rFonts w:hAnsi="宋体" w:cs="宋体"/>
          <w:color w:val="auto"/>
          <w:sz w:val="24"/>
          <w:szCs w:val="24"/>
          <w:highlight w:val="none"/>
        </w:rPr>
      </w:pPr>
      <w:r>
        <w:rPr>
          <w:rFonts w:hint="eastAsia" w:hAnsi="宋体" w:cs="宋体"/>
          <w:color w:val="auto"/>
          <w:sz w:val="24"/>
          <w:szCs w:val="24"/>
          <w:highlight w:val="none"/>
        </w:rPr>
        <w:t>G.存在共同直接或间接投资设立子公司、联营企业和合营企业情况</w:t>
      </w:r>
    </w:p>
    <w:p w14:paraId="33909197">
      <w:pPr>
        <w:pStyle w:val="99"/>
        <w:numPr>
          <w:ilvl w:val="0"/>
          <w:numId w:val="0"/>
        </w:numPr>
        <w:snapToGrid w:val="0"/>
        <w:spacing w:line="440" w:lineRule="exact"/>
        <w:ind w:left="227"/>
        <w:rPr>
          <w:rFonts w:hAnsi="宋体" w:cs="宋体"/>
          <w:color w:val="auto"/>
          <w:sz w:val="24"/>
          <w:szCs w:val="24"/>
          <w:highlight w:val="none"/>
        </w:rPr>
      </w:pPr>
      <w:r>
        <w:rPr>
          <w:rFonts w:hint="eastAsia" w:hAnsi="宋体" w:cs="宋体"/>
          <w:color w:val="auto"/>
          <w:sz w:val="24"/>
          <w:szCs w:val="24"/>
          <w:highlight w:val="none"/>
        </w:rPr>
        <w:t>H.存在分级代理或代销关系、同一生产制造商关系、管理关系、重要业务（占主营业务收入50%以上）或重要财务往来关系（如融资）等其他实质性控制关系</w:t>
      </w:r>
    </w:p>
    <w:p w14:paraId="44E800CD">
      <w:pPr>
        <w:pStyle w:val="99"/>
        <w:numPr>
          <w:ilvl w:val="0"/>
          <w:numId w:val="0"/>
        </w:numPr>
        <w:snapToGrid w:val="0"/>
        <w:spacing w:line="440" w:lineRule="exact"/>
        <w:ind w:left="227"/>
        <w:outlineLvl w:val="0"/>
        <w:rPr>
          <w:rFonts w:hAnsi="宋体" w:cs="宋体"/>
          <w:color w:val="auto"/>
          <w:spacing w:val="6"/>
          <w:sz w:val="24"/>
          <w:szCs w:val="24"/>
          <w:highlight w:val="none"/>
        </w:rPr>
      </w:pPr>
      <w:bookmarkStart w:id="103" w:name="_Toc22681"/>
      <w:bookmarkStart w:id="104" w:name="_Toc680"/>
      <w:r>
        <w:rPr>
          <w:rFonts w:hint="eastAsia" w:hAnsi="宋体" w:cs="宋体"/>
          <w:color w:val="auto"/>
          <w:sz w:val="24"/>
          <w:szCs w:val="24"/>
          <w:highlight w:val="none"/>
        </w:rPr>
        <w:t>I.其他利害关系情况</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w:t>
      </w:r>
      <w:bookmarkEnd w:id="103"/>
      <w:bookmarkEnd w:id="104"/>
    </w:p>
    <w:p w14:paraId="1A501A5F">
      <w:pPr>
        <w:pStyle w:val="56"/>
        <w:widowControl/>
        <w:numPr>
          <w:ilvl w:val="0"/>
          <w:numId w:val="12"/>
        </w:numPr>
        <w:snapToGrid w:val="0"/>
        <w:spacing w:line="440" w:lineRule="exact"/>
        <w:ind w:firstLine="453" w:firstLineChars="189"/>
        <w:rPr>
          <w:rFonts w:ascii="宋体" w:cs="宋体"/>
          <w:color w:val="auto"/>
          <w:kern w:val="0"/>
          <w:sz w:val="24"/>
          <w:highlight w:val="none"/>
        </w:rPr>
      </w:pPr>
      <w:r>
        <w:rPr>
          <w:rFonts w:hint="eastAsia" w:ascii="宋体" w:cs="宋体"/>
          <w:color w:val="auto"/>
          <w:sz w:val="24"/>
          <w:highlight w:val="none"/>
        </w:rPr>
        <w:t>现已清楚知道并</w:t>
      </w:r>
      <w:r>
        <w:rPr>
          <w:rFonts w:hint="eastAsia" w:ascii="宋体" w:cs="宋体"/>
          <w:color w:val="auto"/>
          <w:kern w:val="0"/>
          <w:sz w:val="24"/>
          <w:highlight w:val="none"/>
        </w:rPr>
        <w:t>严格遵守政府采购法律法规和现场纪律。</w:t>
      </w:r>
    </w:p>
    <w:p w14:paraId="61E43DEF">
      <w:pPr>
        <w:pStyle w:val="56"/>
        <w:widowControl/>
        <w:numPr>
          <w:ilvl w:val="0"/>
          <w:numId w:val="12"/>
        </w:numPr>
        <w:snapToGrid w:val="0"/>
        <w:spacing w:line="440" w:lineRule="exact"/>
        <w:ind w:firstLine="453" w:firstLineChars="189"/>
        <w:rPr>
          <w:rFonts w:ascii="宋体" w:cs="宋体"/>
          <w:color w:val="auto"/>
          <w:kern w:val="0"/>
          <w:sz w:val="24"/>
          <w:highlight w:val="none"/>
        </w:rPr>
      </w:pPr>
      <w:r>
        <w:rPr>
          <w:rFonts w:hint="eastAsia" w:ascii="宋体" w:cs="宋体"/>
          <w:color w:val="auto"/>
          <w:kern w:val="0"/>
          <w:sz w:val="24"/>
          <w:highlight w:val="none"/>
        </w:rPr>
        <w:t>我发现</w:t>
      </w:r>
      <w:r>
        <w:rPr>
          <w:rFonts w:hint="eastAsia" w:ascii="宋体" w:cs="宋体"/>
          <w:color w:val="auto"/>
          <w:kern w:val="0"/>
          <w:sz w:val="24"/>
          <w:highlight w:val="none"/>
          <w:u w:val="single"/>
        </w:rPr>
        <w:t xml:space="preserve">                    </w:t>
      </w:r>
      <w:r>
        <w:rPr>
          <w:rFonts w:hint="eastAsia" w:ascii="宋体" w:cs="宋体"/>
          <w:color w:val="auto"/>
          <w:kern w:val="0"/>
          <w:sz w:val="24"/>
          <w:highlight w:val="none"/>
        </w:rPr>
        <w:t>供应商之间存在或可能存在上述第二条第</w:t>
      </w:r>
      <w:r>
        <w:rPr>
          <w:rFonts w:hint="eastAsia" w:ascii="宋体" w:cs="宋体"/>
          <w:color w:val="auto"/>
          <w:kern w:val="0"/>
          <w:sz w:val="24"/>
          <w:highlight w:val="none"/>
          <w:u w:val="single"/>
        </w:rPr>
        <w:t xml:space="preserve">        </w:t>
      </w:r>
      <w:r>
        <w:rPr>
          <w:rFonts w:hint="eastAsia" w:ascii="宋体" w:cs="宋体"/>
          <w:color w:val="auto"/>
          <w:kern w:val="0"/>
          <w:sz w:val="24"/>
          <w:highlight w:val="none"/>
        </w:rPr>
        <w:t>项利害关系。</w:t>
      </w:r>
    </w:p>
    <w:p w14:paraId="69369258">
      <w:pPr>
        <w:pStyle w:val="99"/>
        <w:numPr>
          <w:ilvl w:val="0"/>
          <w:numId w:val="0"/>
        </w:numPr>
        <w:snapToGrid w:val="0"/>
        <w:spacing w:line="440" w:lineRule="exact"/>
        <w:ind w:left="227"/>
        <w:rPr>
          <w:rFonts w:hAnsi="宋体" w:cs="宋体"/>
          <w:color w:val="auto"/>
          <w:sz w:val="24"/>
          <w:szCs w:val="24"/>
          <w:highlight w:val="none"/>
        </w:rPr>
      </w:pPr>
      <w:r>
        <w:rPr>
          <w:rFonts w:hint="eastAsia" w:hAnsi="宋体" w:cs="宋体"/>
          <w:color w:val="auto"/>
          <w:sz w:val="24"/>
          <w:szCs w:val="24"/>
          <w:highlight w:val="none"/>
        </w:rPr>
        <w:t xml:space="preserve">（供应商代表签名）：                                </w:t>
      </w:r>
    </w:p>
    <w:p w14:paraId="5191FDB3">
      <w:pPr>
        <w:pStyle w:val="99"/>
        <w:numPr>
          <w:ilvl w:val="0"/>
          <w:numId w:val="0"/>
        </w:numPr>
        <w:snapToGrid w:val="0"/>
        <w:spacing w:line="440" w:lineRule="exact"/>
        <w:ind w:left="5250" w:leftChars="2500"/>
        <w:rPr>
          <w:rFonts w:hAnsi="宋体" w:cs="宋体"/>
          <w:color w:val="auto"/>
          <w:sz w:val="24"/>
          <w:szCs w:val="24"/>
          <w:highlight w:val="none"/>
        </w:rPr>
      </w:pPr>
      <w:r>
        <w:rPr>
          <w:rFonts w:hint="eastAsia" w:hAnsi="宋体" w:cs="宋体"/>
          <w:color w:val="auto"/>
          <w:sz w:val="24"/>
          <w:szCs w:val="24"/>
          <w:highlight w:val="none"/>
          <w:lang w:eastAsia="zh-CN"/>
        </w:rPr>
        <w:t>2025年</w:t>
      </w:r>
      <w:r>
        <w:rPr>
          <w:rFonts w:hint="eastAsia" w:hAnsi="宋体" w:cs="宋体"/>
          <w:color w:val="auto"/>
          <w:sz w:val="24"/>
          <w:szCs w:val="24"/>
          <w:highlight w:val="none"/>
        </w:rPr>
        <w:t xml:space="preserve">  月  日</w:t>
      </w:r>
    </w:p>
    <w:p w14:paraId="46EC1A66">
      <w:pPr>
        <w:pStyle w:val="99"/>
        <w:numPr>
          <w:ilvl w:val="0"/>
          <w:numId w:val="0"/>
        </w:numPr>
        <w:snapToGrid w:val="0"/>
        <w:spacing w:line="440" w:lineRule="exact"/>
        <w:ind w:left="227"/>
        <w:rPr>
          <w:rFonts w:hAnsi="宋体" w:cs="宋体"/>
          <w:color w:val="auto"/>
          <w:highlight w:val="none"/>
        </w:rPr>
      </w:pPr>
      <w:r>
        <w:rPr>
          <w:rFonts w:hint="eastAsia" w:hAnsi="宋体" w:cs="宋体"/>
          <w:b/>
          <w:bCs/>
          <w:color w:val="auto"/>
          <w:sz w:val="24"/>
          <w:szCs w:val="24"/>
          <w:highlight w:val="none"/>
        </w:rPr>
        <w:t>注：待完成解密后填写本确认书再以扫描件的形式发到QQ邮箱（</w:t>
      </w:r>
      <w:r>
        <w:rPr>
          <w:rFonts w:hint="eastAsia" w:hAnsi="宋体" w:cs="宋体"/>
          <w:b/>
          <w:bCs/>
          <w:color w:val="auto"/>
          <w:sz w:val="24"/>
          <w:szCs w:val="24"/>
          <w:highlight w:val="none"/>
          <w:lang w:eastAsia="zh-CN"/>
        </w:rPr>
        <w:t>283199225@qq.com</w:t>
      </w:r>
      <w:r>
        <w:rPr>
          <w:rFonts w:hint="eastAsia" w:hAnsi="宋体" w:cs="宋体"/>
          <w:b/>
          <w:bCs/>
          <w:color w:val="auto"/>
          <w:sz w:val="24"/>
          <w:szCs w:val="24"/>
          <w:highlight w:val="none"/>
        </w:rPr>
        <w:t>）内，打印时请删除此项注明。</w:t>
      </w:r>
    </w:p>
    <w:p w14:paraId="44C45310">
      <w:pPr>
        <w:pStyle w:val="30"/>
        <w:ind w:left="0" w:leftChars="0" w:firstLine="0" w:firstLineChars="0"/>
        <w:rPr>
          <w:rFonts w:ascii="宋体" w:hAnsi="宋体" w:eastAsia="宋体"/>
          <w:color w:val="auto"/>
          <w:highlight w:val="none"/>
        </w:rPr>
      </w:pPr>
    </w:p>
    <w:sectPr>
      <w:headerReference r:id="rId5" w:type="default"/>
      <w:footerReference r:id="rId6" w:type="default"/>
      <w:pgSz w:w="11906" w:h="16838"/>
      <w:pgMar w:top="1440" w:right="1396" w:bottom="1440" w:left="1270" w:header="850" w:footer="992" w:gutter="0"/>
      <w:cols w:space="720" w:num="1"/>
      <w:docGrid w:type="lines" w:linePitch="33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28"/>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CG Times">
    <w:altName w:val="Times New Roman"/>
    <w:panose1 w:val="02020603050405020304"/>
    <w:charset w:val="00"/>
    <w:family w:val="roman"/>
    <w:pitch w:val="default"/>
    <w:sig w:usb0="00000000" w:usb1="00000000" w:usb2="00000000" w:usb3="00000000" w:csb0="00000000" w:csb1="00000000"/>
  </w:font>
  <w:font w:name="Calibri Light">
    <w:panose1 w:val="020F0302020204030204"/>
    <w:charset w:val="00"/>
    <w:family w:val="swiss"/>
    <w:pitch w:val="default"/>
    <w:sig w:usb0="A00002EF" w:usb1="4000207B" w:usb2="00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monospac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幼圆">
    <w:panose1 w:val="02010509060101010101"/>
    <w:charset w:val="86"/>
    <w:family w:val="modern"/>
    <w:pitch w:val="default"/>
    <w:sig w:usb0="00000001" w:usb1="080E0000" w:usb2="00000000" w:usb3="00000000" w:csb0="00040000" w:csb1="00000000"/>
  </w:font>
  <w:font w:name="Arial Unicode MS">
    <w:panose1 w:val="020B0604020202020204"/>
    <w:charset w:val="86"/>
    <w:family w:val="swiss"/>
    <w:pitch w:val="default"/>
    <w:sig w:usb0="FFFFFFFF" w:usb1="E9FFFFFF" w:usb2="0000003F" w:usb3="00000000" w:csb0="603F01FF" w:csb1="FFFF0000"/>
  </w:font>
  <w:font w:name="Verdana">
    <w:panose1 w:val="020B0604030504040204"/>
    <w:charset w:val="00"/>
    <w:family w:val="swiss"/>
    <w:pitch w:val="default"/>
    <w:sig w:usb0="A10006FF" w:usb1="4000205B" w:usb2="00000010" w:usb3="00000000" w:csb0="2000019F" w:csb1="00000000"/>
  </w:font>
  <w:font w:name="??_GB2312">
    <w:altName w:val="Times New Roman"/>
    <w:panose1 w:val="00000000000000000000"/>
    <w:charset w:val="00"/>
    <w:family w:val="auto"/>
    <w:pitch w:val="default"/>
    <w:sig w:usb0="00000000" w:usb1="00000000" w:usb2="00000000" w:usb3="00000000" w:csb0="00000001" w:csb1="00000000"/>
  </w:font>
  <w:font w:name="??">
    <w:altName w:val="Segoe Print"/>
    <w:panose1 w:val="00000000000000000000"/>
    <w:charset w:val="00"/>
    <w:family w:val="auto"/>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SimSong">
    <w:altName w:val="仿宋"/>
    <w:panose1 w:val="00000000000000000000"/>
    <w:charset w:val="86"/>
    <w:family w:val="auto"/>
    <w:pitch w:val="default"/>
    <w:sig w:usb0="00000000" w:usb1="00000000" w:usb2="00000000" w:usb3="00000000" w:csb0="0016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8542B2">
    <w:pPr>
      <w:pStyle w:val="2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6E793D">
    <w:pPr>
      <w:pStyle w:val="21"/>
      <w:tabs>
        <w:tab w:val="center" w:pos="5103"/>
        <w:tab w:val="clear" w:pos="4153"/>
      </w:tabs>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06D9FAEB">
                          <w:pPr>
                            <w:pStyle w:val="21"/>
                          </w:pPr>
                          <w:r>
                            <w:rPr>
                              <w:rFonts w:hint="eastAsia"/>
                            </w:rPr>
                            <w:fldChar w:fldCharType="begin"/>
                          </w:r>
                          <w:r>
                            <w:rPr>
                              <w:rFonts w:hint="eastAsia"/>
                            </w:rPr>
                            <w:instrText xml:space="preserve"> PAGE  \* MERGEFORMAT </w:instrText>
                          </w:r>
                          <w:r>
                            <w:rPr>
                              <w:rFonts w:hint="eastAsia"/>
                            </w:rPr>
                            <w:fldChar w:fldCharType="separate"/>
                          </w:r>
                          <w:r>
                            <w:t>49</w:t>
                          </w:r>
                          <w:r>
                            <w:rPr>
                              <w:rFonts w:hint="eastAsia"/>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GhpgkvTAAAABQEAAA8AAAAAAAAAAQAgAAAAIgAAAGRycy9kb3du&#10;cmV2LnhtbFBLAQIUABQAAAAIAIdO4kCAna3LywEAAJcDAAAOAAAAAAAAAAEAIAAAACIBAABkcnMv&#10;ZTJvRG9jLnhtbFBLBQYAAAAABgAGAFkBAABfBQAAAAA=&#10;">
              <v:fill on="f" focussize="0,0"/>
              <v:stroke on="f" weight="1.25pt"/>
              <v:imagedata o:title=""/>
              <o:lock v:ext="edit" aspectratio="f"/>
              <v:textbox inset="0mm,0mm,0mm,0mm" style="mso-fit-shape-to-text:t;">
                <w:txbxContent>
                  <w:p w14:paraId="06D9FAEB">
                    <w:pPr>
                      <w:pStyle w:val="21"/>
                    </w:pPr>
                    <w:r>
                      <w:rPr>
                        <w:rFonts w:hint="eastAsia"/>
                      </w:rPr>
                      <w:fldChar w:fldCharType="begin"/>
                    </w:r>
                    <w:r>
                      <w:rPr>
                        <w:rFonts w:hint="eastAsia"/>
                      </w:rPr>
                      <w:instrText xml:space="preserve"> PAGE  \* MERGEFORMAT </w:instrText>
                    </w:r>
                    <w:r>
                      <w:rPr>
                        <w:rFonts w:hint="eastAsia"/>
                      </w:rPr>
                      <w:fldChar w:fldCharType="separate"/>
                    </w:r>
                    <w:r>
                      <w:t>49</w:t>
                    </w:r>
                    <w:r>
                      <w:rPr>
                        <w:rFonts w:hint="eastAsia"/>
                      </w:rPr>
                      <w:fldChar w:fldCharType="end"/>
                    </w:r>
                  </w:p>
                </w:txbxContent>
              </v:textbox>
            </v:shape>
          </w:pict>
        </mc:Fallback>
      </mc:AlternateContent>
    </w:r>
    <w:r>
      <w:rPr>
        <w:rFonts w:hint="eastAsia"/>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r>
        <w:separator/>
      </w:r>
    </w:p>
  </w:footnote>
  <w:footnote w:type="continuationSeparator" w:id="3">
    <w:p>
      <w:r>
        <w:continuationSeparator/>
      </w:r>
    </w:p>
  </w:footnote>
  <w:footnote w:id="0">
    <w:p w14:paraId="6E3DD392">
      <w:pPr>
        <w:rPr>
          <w:rFonts w:hint="default"/>
        </w:rPr>
      </w:pPr>
      <w:r>
        <w:rPr>
          <w:rFonts w:hint="eastAsia"/>
          <w:vertAlign w:val="superscript"/>
          <w:lang w:val="en-US" w:eastAsia="zh-CN"/>
        </w:rPr>
        <w:t>1</w:t>
      </w:r>
      <w:r>
        <w:t>从业人员、营业收入、资产总额填报上一年度数据，无上一年度数据的新成立企业可不填报。</w:t>
      </w:r>
    </w:p>
    <w:p w14:paraId="7A86E402">
      <w:pPr>
        <w:rPr>
          <w:rFonts w:hint="default"/>
          <w:b/>
          <w:b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8C581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BEAB738"/>
    <w:multiLevelType w:val="singleLevel"/>
    <w:tmpl w:val="ABEAB738"/>
    <w:lvl w:ilvl="0" w:tentative="0">
      <w:start w:val="1"/>
      <w:numFmt w:val="decimal"/>
      <w:lvlText w:val="%1"/>
      <w:lvlJc w:val="left"/>
      <w:pPr>
        <w:tabs>
          <w:tab w:val="left" w:pos="420"/>
        </w:tabs>
        <w:ind w:left="425" w:hanging="425"/>
      </w:pPr>
      <w:rPr>
        <w:rFonts w:hint="default"/>
      </w:rPr>
    </w:lvl>
  </w:abstractNum>
  <w:abstractNum w:abstractNumId="1">
    <w:nsid w:val="C441833F"/>
    <w:multiLevelType w:val="singleLevel"/>
    <w:tmpl w:val="C441833F"/>
    <w:lvl w:ilvl="0" w:tentative="0">
      <w:start w:val="1"/>
      <w:numFmt w:val="decimal"/>
      <w:lvlText w:val="%1"/>
      <w:lvlJc w:val="left"/>
      <w:pPr>
        <w:tabs>
          <w:tab w:val="left" w:pos="420"/>
        </w:tabs>
        <w:ind w:left="425" w:hanging="425"/>
      </w:pPr>
      <w:rPr>
        <w:rFonts w:hint="default"/>
      </w:rPr>
    </w:lvl>
  </w:abstractNum>
  <w:abstractNum w:abstractNumId="2">
    <w:nsid w:val="D093AF83"/>
    <w:multiLevelType w:val="multilevel"/>
    <w:tmpl w:val="D093AF83"/>
    <w:lvl w:ilvl="0" w:tentative="0">
      <w:start w:val="1"/>
      <w:numFmt w:val="chineseCounting"/>
      <w:suff w:val="nothing"/>
      <w:lvlText w:val="%1、"/>
      <w:lvlJc w:val="left"/>
      <w:pPr>
        <w:ind w:left="0" w:firstLine="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3">
    <w:nsid w:val="FFFFFF88"/>
    <w:multiLevelType w:val="singleLevel"/>
    <w:tmpl w:val="FFFFFF88"/>
    <w:lvl w:ilvl="0" w:tentative="0">
      <w:start w:val="1"/>
      <w:numFmt w:val="decimal"/>
      <w:pStyle w:val="73"/>
      <w:lvlText w:val="%1."/>
      <w:lvlJc w:val="left"/>
      <w:pPr>
        <w:tabs>
          <w:tab w:val="left" w:pos="360"/>
        </w:tabs>
        <w:ind w:left="360" w:hanging="360"/>
      </w:pPr>
      <w:rPr>
        <w:rFonts w:cs="Times New Roman"/>
      </w:rPr>
    </w:lvl>
  </w:abstractNum>
  <w:abstractNum w:abstractNumId="4">
    <w:nsid w:val="036C06B5"/>
    <w:multiLevelType w:val="multilevel"/>
    <w:tmpl w:val="036C06B5"/>
    <w:lvl w:ilvl="0" w:tentative="0">
      <w:start w:val="1"/>
      <w:numFmt w:val="bullet"/>
      <w:pStyle w:val="56"/>
      <w:lvlText w:val=""/>
      <w:lvlJc w:val="left"/>
      <w:pPr>
        <w:tabs>
          <w:tab w:val="left" w:pos="587"/>
        </w:tabs>
        <w:ind w:left="0" w:firstLine="227"/>
      </w:pPr>
      <w:rPr>
        <w:rFonts w:hint="default" w:ascii="Wingdings" w:hAnsi="Wingdings"/>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5">
    <w:nsid w:val="29391921"/>
    <w:multiLevelType w:val="singleLevel"/>
    <w:tmpl w:val="29391921"/>
    <w:lvl w:ilvl="0" w:tentative="0">
      <w:start w:val="1"/>
      <w:numFmt w:val="decimal"/>
      <w:suff w:val="nothing"/>
      <w:lvlText w:val="%1、"/>
      <w:lvlJc w:val="left"/>
    </w:lvl>
  </w:abstractNum>
  <w:abstractNum w:abstractNumId="6">
    <w:nsid w:val="3F5162E2"/>
    <w:multiLevelType w:val="multilevel"/>
    <w:tmpl w:val="3F5162E2"/>
    <w:lvl w:ilvl="0" w:tentative="0">
      <w:start w:val="1"/>
      <w:numFmt w:val="decimal"/>
      <w:suff w:val="space"/>
      <w:lvlText w:val="第%1章"/>
      <w:lvlJc w:val="left"/>
      <w:pPr>
        <w:ind w:left="0" w:firstLine="0"/>
      </w:pPr>
      <w:rPr>
        <w:rFonts w:hint="eastAsia" w:ascii="宋体" w:eastAsia="宋体" w:cs="Times New Roman"/>
        <w:b/>
        <w:bCs w:val="0"/>
        <w:i w:val="0"/>
        <w:iCs w:val="0"/>
        <w:caps w:val="0"/>
        <w:smallCaps w:val="0"/>
        <w:strike w:val="0"/>
        <w:dstrike w:val="0"/>
        <w:vanish w:val="0"/>
        <w:color w:val="000000"/>
        <w:spacing w:val="0"/>
        <w:kern w:val="0"/>
        <w:position w:val="0"/>
        <w:sz w:val="36"/>
        <w:u w:val="none"/>
        <w:vertAlign w:val="baseline"/>
      </w:rPr>
    </w:lvl>
    <w:lvl w:ilvl="1" w:tentative="0">
      <w:start w:val="1"/>
      <w:numFmt w:val="decimal"/>
      <w:pStyle w:val="3"/>
      <w:suff w:val="space"/>
      <w:lvlText w:val="%1.%2"/>
      <w:lvlJc w:val="left"/>
      <w:pPr>
        <w:ind w:left="0" w:firstLine="0"/>
      </w:pPr>
      <w:rPr>
        <w:rFonts w:hint="eastAsia" w:ascii="宋体" w:hAnsi="Times New Roman" w:eastAsia="宋体" w:cs="Times New Roman"/>
        <w:b/>
        <w:bCs w:val="0"/>
        <w:i w:val="0"/>
        <w:iCs w:val="0"/>
        <w:caps w:val="0"/>
        <w:smallCaps w:val="0"/>
        <w:strike w:val="0"/>
        <w:dstrike w:val="0"/>
        <w:vanish w:val="0"/>
        <w:color w:val="000000"/>
        <w:spacing w:val="0"/>
        <w:kern w:val="0"/>
        <w:position w:val="0"/>
        <w:sz w:val="32"/>
        <w:u w:val="none"/>
        <w:vertAlign w:val="baseline"/>
      </w:rPr>
    </w:lvl>
    <w:lvl w:ilvl="2" w:tentative="0">
      <w:start w:val="1"/>
      <w:numFmt w:val="decimal"/>
      <w:suff w:val="space"/>
      <w:lvlText w:val="%1.%2.%3"/>
      <w:lvlJc w:val="left"/>
      <w:pPr>
        <w:ind w:left="0" w:firstLine="0"/>
      </w:pPr>
      <w:rPr>
        <w:rFonts w:hint="eastAsia" w:ascii="宋体" w:eastAsia="宋体"/>
        <w:b/>
        <w:bCs w:val="0"/>
        <w:i w:val="0"/>
        <w:iCs w:val="0"/>
        <w:caps w:val="0"/>
        <w:smallCaps w:val="0"/>
        <w:strike w:val="0"/>
        <w:dstrike w:val="0"/>
        <w:vanish w:val="0"/>
        <w:color w:val="000000"/>
        <w:spacing w:val="0"/>
        <w:position w:val="0"/>
        <w:sz w:val="30"/>
        <w:u w:val="none"/>
        <w:vertAlign w:val="baseline"/>
      </w:rPr>
    </w:lvl>
    <w:lvl w:ilvl="3" w:tentative="0">
      <w:start w:val="1"/>
      <w:numFmt w:val="decimal"/>
      <w:pStyle w:val="5"/>
      <w:suff w:val="space"/>
      <w:lvlText w:val="%1.%2.%3.%4"/>
      <w:lvlJc w:val="left"/>
      <w:pPr>
        <w:ind w:left="0" w:firstLine="0"/>
      </w:pPr>
      <w:rPr>
        <w:b w:val="0"/>
        <w:bCs w:val="0"/>
        <w:i w:val="0"/>
        <w:iCs w:val="0"/>
        <w:caps w:val="0"/>
        <w:smallCaps w:val="0"/>
        <w:strike w:val="0"/>
        <w:dstrike w:val="0"/>
        <w:vanish w:val="0"/>
        <w:color w:val="000000"/>
        <w:spacing w:val="0"/>
        <w:position w:val="0"/>
        <w:u w:val="none"/>
        <w:vertAlign w:val="baseline"/>
      </w:rPr>
    </w:lvl>
    <w:lvl w:ilvl="4" w:tentative="0">
      <w:start w:val="1"/>
      <w:numFmt w:val="decimal"/>
      <w:pStyle w:val="6"/>
      <w:suff w:val="space"/>
      <w:lvlText w:val="%1.%2.%3.%4.%5"/>
      <w:lvlJc w:val="left"/>
      <w:pPr>
        <w:ind w:left="0" w:firstLine="0"/>
      </w:pPr>
      <w:rPr>
        <w:rFonts w:hint="eastAsia" w:ascii="宋体" w:hAnsi="Times New Roman" w:eastAsia="宋体" w:cs="Times New Roman"/>
        <w:b/>
        <w:bCs w:val="0"/>
        <w:i w:val="0"/>
        <w:iCs w:val="0"/>
        <w:caps w:val="0"/>
        <w:smallCaps w:val="0"/>
        <w:strike w:val="0"/>
        <w:dstrike w:val="0"/>
        <w:vanish w:val="0"/>
        <w:color w:val="000000"/>
        <w:spacing w:val="0"/>
        <w:position w:val="0"/>
        <w:sz w:val="24"/>
        <w:u w:val="none"/>
        <w:vertAlign w:val="baseline"/>
      </w:rPr>
    </w:lvl>
    <w:lvl w:ilvl="5" w:tentative="0">
      <w:start w:val="1"/>
      <w:numFmt w:val="decimal"/>
      <w:pStyle w:val="7"/>
      <w:lvlText w:val="%1.%2.%3.%4.%5.%6."/>
      <w:lvlJc w:val="left"/>
      <w:pPr>
        <w:tabs>
          <w:tab w:val="left" w:pos="432"/>
        </w:tabs>
        <w:ind w:left="0" w:firstLine="0"/>
      </w:pPr>
      <w:rPr>
        <w:rFonts w:hint="default" w:ascii="Arial" w:hAnsi="Arial" w:eastAsia="仿宋"/>
      </w:rPr>
    </w:lvl>
    <w:lvl w:ilvl="6" w:tentative="0">
      <w:start w:val="1"/>
      <w:numFmt w:val="decimal"/>
      <w:lvlText w:val="%1.%2.%3.%4.%5.%6.%7."/>
      <w:lvlJc w:val="left"/>
      <w:pPr>
        <w:tabs>
          <w:tab w:val="left" w:pos="432"/>
        </w:tabs>
        <w:ind w:left="0" w:firstLine="0"/>
      </w:pPr>
      <w:rPr>
        <w:rFonts w:hint="default"/>
      </w:rPr>
    </w:lvl>
    <w:lvl w:ilvl="7" w:tentative="0">
      <w:start w:val="1"/>
      <w:numFmt w:val="decimal"/>
      <w:lvlText w:val="%1.%2.%3.%4.%5.%6.%7.%8."/>
      <w:lvlJc w:val="left"/>
      <w:pPr>
        <w:tabs>
          <w:tab w:val="left" w:pos="432"/>
        </w:tabs>
        <w:ind w:left="0" w:firstLine="0"/>
      </w:pPr>
      <w:rPr>
        <w:rFonts w:hint="default"/>
      </w:rPr>
    </w:lvl>
    <w:lvl w:ilvl="8" w:tentative="0">
      <w:start w:val="1"/>
      <w:numFmt w:val="decimal"/>
      <w:lvlText w:val="%1.%2.%3.%4.%5.%6.%7.%8.%9."/>
      <w:lvlJc w:val="left"/>
      <w:pPr>
        <w:tabs>
          <w:tab w:val="left" w:pos="432"/>
        </w:tabs>
        <w:ind w:left="0" w:firstLine="0"/>
      </w:pPr>
      <w:rPr>
        <w:rFonts w:hint="default"/>
      </w:rPr>
    </w:lvl>
  </w:abstractNum>
  <w:abstractNum w:abstractNumId="7">
    <w:nsid w:val="46B96B19"/>
    <w:multiLevelType w:val="singleLevel"/>
    <w:tmpl w:val="46B96B19"/>
    <w:lvl w:ilvl="0" w:tentative="0">
      <w:start w:val="1"/>
      <w:numFmt w:val="chineseCounting"/>
      <w:suff w:val="nothing"/>
      <w:lvlText w:val="（%1）"/>
      <w:lvlJc w:val="left"/>
      <w:pPr>
        <w:ind w:left="210"/>
      </w:pPr>
      <w:rPr>
        <w:rFonts w:hint="eastAsia"/>
      </w:rPr>
    </w:lvl>
  </w:abstractNum>
  <w:abstractNum w:abstractNumId="8">
    <w:nsid w:val="54F403B5"/>
    <w:multiLevelType w:val="singleLevel"/>
    <w:tmpl w:val="54F403B5"/>
    <w:lvl w:ilvl="0" w:tentative="0">
      <w:start w:val="1"/>
      <w:numFmt w:val="chineseCounting"/>
      <w:suff w:val="nothing"/>
      <w:lvlText w:val="%1、"/>
      <w:lvlJc w:val="left"/>
    </w:lvl>
  </w:abstractNum>
  <w:abstractNum w:abstractNumId="9">
    <w:nsid w:val="557FD3DA"/>
    <w:multiLevelType w:val="singleLevel"/>
    <w:tmpl w:val="557FD3DA"/>
    <w:lvl w:ilvl="0" w:tentative="0">
      <w:start w:val="3"/>
      <w:numFmt w:val="chineseCounting"/>
      <w:suff w:val="nothing"/>
      <w:lvlText w:val="%1、"/>
      <w:lvlJc w:val="left"/>
    </w:lvl>
  </w:abstractNum>
  <w:abstractNum w:abstractNumId="10">
    <w:nsid w:val="765316F3"/>
    <w:multiLevelType w:val="multilevel"/>
    <w:tmpl w:val="765316F3"/>
    <w:lvl w:ilvl="0" w:tentative="0">
      <w:start w:val="1"/>
      <w:numFmt w:val="chineseCountingThousand"/>
      <w:pStyle w:val="108"/>
      <w:lvlText w:val="%1、"/>
      <w:lvlJc w:val="left"/>
      <w:pPr>
        <w:tabs>
          <w:tab w:val="left" w:pos="1110"/>
        </w:tabs>
        <w:ind w:left="106" w:firstLine="454"/>
      </w:pPr>
      <w:rPr>
        <w:rFonts w:hint="default" w:ascii="??" w:hAnsi="??" w:eastAsia="??"/>
        <w:b/>
        <w:i w:val="0"/>
        <w:iCs w:val="0"/>
        <w:caps w:val="0"/>
        <w:smallCaps w:val="0"/>
        <w:strike w:val="0"/>
        <w:dstrike w:val="0"/>
        <w:spacing w:val="0"/>
        <w:position w:val="0"/>
        <w:sz w:val="21"/>
        <w:szCs w:val="21"/>
        <w:u w:val="none"/>
      </w:rPr>
    </w:lvl>
    <w:lvl w:ilvl="1" w:tentative="0">
      <w:start w:val="1"/>
      <w:numFmt w:val="lowerLetter"/>
      <w:lvlText w:val="%2)"/>
      <w:lvlJc w:val="left"/>
      <w:pPr>
        <w:tabs>
          <w:tab w:val="left" w:pos="1149"/>
        </w:tabs>
        <w:ind w:left="1149" w:hanging="420"/>
      </w:pPr>
    </w:lvl>
    <w:lvl w:ilvl="2" w:tentative="0">
      <w:start w:val="2"/>
      <w:numFmt w:val="japaneseCounting"/>
      <w:lvlText w:val="(%3)"/>
      <w:lvlJc w:val="left"/>
      <w:pPr>
        <w:tabs>
          <w:tab w:val="left" w:pos="1569"/>
        </w:tabs>
        <w:ind w:left="1569" w:hanging="420"/>
      </w:pPr>
    </w:lvl>
    <w:lvl w:ilvl="3" w:tentative="0">
      <w:start w:val="1"/>
      <w:numFmt w:val="japaneseCounting"/>
      <w:lvlText w:val="（%4）"/>
      <w:lvlJc w:val="left"/>
      <w:pPr>
        <w:tabs>
          <w:tab w:val="left" w:pos="2289"/>
        </w:tabs>
        <w:ind w:left="2289" w:hanging="720"/>
      </w:pPr>
    </w:lvl>
    <w:lvl w:ilvl="4" w:tentative="0">
      <w:start w:val="3"/>
      <w:numFmt w:val="japaneseCounting"/>
      <w:lvlText w:val="%5、"/>
      <w:lvlJc w:val="left"/>
      <w:pPr>
        <w:tabs>
          <w:tab w:val="left" w:pos="2409"/>
        </w:tabs>
        <w:ind w:left="2409" w:hanging="420"/>
      </w:pPr>
    </w:lvl>
    <w:lvl w:ilvl="5" w:tentative="0">
      <w:start w:val="1"/>
      <w:numFmt w:val="decimal"/>
      <w:lvlText w:val="%6、"/>
      <w:lvlJc w:val="left"/>
      <w:pPr>
        <w:tabs>
          <w:tab w:val="left" w:pos="3144"/>
        </w:tabs>
        <w:ind w:left="3144" w:hanging="735"/>
      </w:pPr>
      <w:rPr>
        <w:rFonts w:ascii="Times New Roman" w:hAnsi="Times New Roman" w:eastAsia="宋体" w:cs="Times New Roman"/>
      </w:rPr>
    </w:lvl>
    <w:lvl w:ilvl="6" w:tentative="0">
      <w:start w:val="1"/>
      <w:numFmt w:val="decimal"/>
      <w:lvlText w:val="%7."/>
      <w:lvlJc w:val="left"/>
      <w:pPr>
        <w:tabs>
          <w:tab w:val="left" w:pos="3249"/>
        </w:tabs>
        <w:ind w:left="3249" w:hanging="420"/>
      </w:pPr>
    </w:lvl>
    <w:lvl w:ilvl="7" w:tentative="0">
      <w:start w:val="1"/>
      <w:numFmt w:val="lowerLetter"/>
      <w:lvlText w:val="%8)"/>
      <w:lvlJc w:val="left"/>
      <w:pPr>
        <w:tabs>
          <w:tab w:val="left" w:pos="3669"/>
        </w:tabs>
        <w:ind w:left="3669" w:hanging="420"/>
      </w:pPr>
    </w:lvl>
    <w:lvl w:ilvl="8" w:tentative="0">
      <w:start w:val="1"/>
      <w:numFmt w:val="lowerRoman"/>
      <w:lvlText w:val="%9."/>
      <w:lvlJc w:val="right"/>
      <w:pPr>
        <w:tabs>
          <w:tab w:val="left" w:pos="4089"/>
        </w:tabs>
        <w:ind w:left="4089" w:hanging="420"/>
      </w:pPr>
    </w:lvl>
  </w:abstractNum>
  <w:abstractNum w:abstractNumId="11">
    <w:nsid w:val="7F6053CB"/>
    <w:multiLevelType w:val="multilevel"/>
    <w:tmpl w:val="7F6053CB"/>
    <w:lvl w:ilvl="0" w:tentative="0">
      <w:start w:val="1"/>
      <w:numFmt w:val="decimal"/>
      <w:lvlText w:val="第 %1 条"/>
      <w:lvlJc w:val="center"/>
      <w:pPr>
        <w:tabs>
          <w:tab w:val="left" w:pos="3420"/>
        </w:tabs>
        <w:ind w:left="2581" w:firstLine="119"/>
      </w:pPr>
      <w:rPr>
        <w:rFonts w:hint="default" w:ascii="Times New Roman" w:hAnsi="Times New Roman" w:eastAsia="宋体" w:cs="Times New Roman"/>
        <w:b/>
        <w:i w:val="0"/>
        <w:sz w:val="30"/>
      </w:rPr>
    </w:lvl>
    <w:lvl w:ilvl="1" w:tentative="0">
      <w:start w:val="1"/>
      <w:numFmt w:val="decimal"/>
      <w:lvlText w:val="%1.%2"/>
      <w:lvlJc w:val="left"/>
      <w:pPr>
        <w:tabs>
          <w:tab w:val="left" w:pos="624"/>
        </w:tabs>
        <w:ind w:left="624" w:hanging="624"/>
      </w:pPr>
      <w:rPr>
        <w:rFonts w:hint="default" w:ascii="Times New Roman" w:hAnsi="Times New Roman" w:eastAsia="宋体" w:cs="Times New Roman"/>
        <w:b/>
        <w:i w:val="0"/>
        <w:sz w:val="28"/>
        <w:szCs w:val="28"/>
      </w:rPr>
    </w:lvl>
    <w:lvl w:ilvl="2" w:tentative="0">
      <w:start w:val="1"/>
      <w:numFmt w:val="decimal"/>
      <w:pStyle w:val="4"/>
      <w:suff w:val="space"/>
      <w:lvlText w:val="%1.%2.%3"/>
      <w:lvlJc w:val="left"/>
      <w:rPr>
        <w:rFonts w:hint="default" w:ascii="Times New Roman" w:hAnsi="Times New Roman" w:eastAsia="宋体" w:cs="Times New Roman"/>
        <w:b w:val="0"/>
        <w:i w:val="0"/>
        <w:sz w:val="24"/>
        <w:szCs w:val="24"/>
      </w:rPr>
    </w:lvl>
    <w:lvl w:ilvl="3" w:tentative="0">
      <w:start w:val="1"/>
      <w:numFmt w:val="lowerLetter"/>
      <w:lvlText w:val="（%4）"/>
      <w:lvlJc w:val="left"/>
      <w:pPr>
        <w:tabs>
          <w:tab w:val="left" w:pos="1006"/>
        </w:tabs>
        <w:ind w:left="1006" w:hanging="864"/>
      </w:pPr>
      <w:rPr>
        <w:rFonts w:hint="eastAsia" w:cs="Times New Roman"/>
      </w:rPr>
    </w:lvl>
    <w:lvl w:ilvl="4" w:tentative="0">
      <w:start w:val="1"/>
      <w:numFmt w:val="lowerRoman"/>
      <w:lvlText w:val="（%5）"/>
      <w:lvlJc w:val="left"/>
      <w:pPr>
        <w:tabs>
          <w:tab w:val="left" w:pos="720"/>
        </w:tabs>
        <w:ind w:left="720" w:hanging="1008"/>
      </w:pPr>
      <w:rPr>
        <w:rFonts w:hint="eastAsia" w:cs="Times New Roman"/>
        <w:color w:val="auto"/>
      </w:rPr>
    </w:lvl>
    <w:lvl w:ilvl="5" w:tentative="0">
      <w:start w:val="1"/>
      <w:numFmt w:val="decimal"/>
      <w:lvlText w:val="%1.%2.%3.%4.%5.%6"/>
      <w:lvlJc w:val="left"/>
      <w:pPr>
        <w:tabs>
          <w:tab w:val="left" w:pos="864"/>
        </w:tabs>
        <w:ind w:left="864" w:hanging="1152"/>
      </w:pPr>
      <w:rPr>
        <w:rFonts w:hint="eastAsia" w:cs="Times New Roman"/>
      </w:rPr>
    </w:lvl>
    <w:lvl w:ilvl="6" w:tentative="0">
      <w:start w:val="1"/>
      <w:numFmt w:val="decimal"/>
      <w:lvlText w:val="%1.%2.%3.%4.%5.%6.%7"/>
      <w:lvlJc w:val="left"/>
      <w:pPr>
        <w:tabs>
          <w:tab w:val="left" w:pos="1008"/>
        </w:tabs>
        <w:ind w:left="1008" w:hanging="1296"/>
      </w:pPr>
      <w:rPr>
        <w:rFonts w:hint="eastAsia" w:cs="Times New Roman"/>
      </w:rPr>
    </w:lvl>
    <w:lvl w:ilvl="7" w:tentative="0">
      <w:start w:val="1"/>
      <w:numFmt w:val="decimal"/>
      <w:lvlText w:val="%1.%2.%3.%4.%5.%6.%7.%8"/>
      <w:lvlJc w:val="left"/>
      <w:pPr>
        <w:tabs>
          <w:tab w:val="left" w:pos="1152"/>
        </w:tabs>
        <w:ind w:left="1152" w:hanging="1440"/>
      </w:pPr>
      <w:rPr>
        <w:rFonts w:hint="eastAsia" w:cs="Times New Roman"/>
      </w:rPr>
    </w:lvl>
    <w:lvl w:ilvl="8" w:tentative="0">
      <w:start w:val="1"/>
      <w:numFmt w:val="decimal"/>
      <w:lvlText w:val="%1.%2.%3.%4.%5.%6.%7.%8.%9"/>
      <w:lvlJc w:val="left"/>
      <w:pPr>
        <w:tabs>
          <w:tab w:val="left" w:pos="1296"/>
        </w:tabs>
        <w:ind w:left="1296" w:hanging="1584"/>
      </w:pPr>
      <w:rPr>
        <w:rFonts w:hint="eastAsia" w:cs="Times New Roman"/>
      </w:rPr>
    </w:lvl>
  </w:abstractNum>
  <w:num w:numId="1">
    <w:abstractNumId w:val="6"/>
  </w:num>
  <w:num w:numId="2">
    <w:abstractNumId w:val="11"/>
  </w:num>
  <w:num w:numId="3">
    <w:abstractNumId w:val="4"/>
  </w:num>
  <w:num w:numId="4">
    <w:abstractNumId w:val="3"/>
  </w:num>
  <w:num w:numId="5">
    <w:abstractNumId w:val="10"/>
  </w:num>
  <w:num w:numId="6">
    <w:abstractNumId w:val="1"/>
  </w:num>
  <w:num w:numId="7">
    <w:abstractNumId w:val="2"/>
  </w:num>
  <w:num w:numId="8">
    <w:abstractNumId w:val="7"/>
  </w:num>
  <w:num w:numId="9">
    <w:abstractNumId w:val="0"/>
  </w:num>
  <w:num w:numId="10">
    <w:abstractNumId w:val="5"/>
  </w:num>
  <w:num w:numId="11">
    <w:abstractNumId w:val="8"/>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2"/>
    <w:footnote w:id="3"/>
  </w:foot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Y2OGY4OGVlMTlhYjFlNGE1OTBiNzFlM2QzNGJjNmYifQ=="/>
  </w:docVars>
  <w:rsids>
    <w:rsidRoot w:val="353B09A0"/>
    <w:rsid w:val="00010167"/>
    <w:rsid w:val="00010E4B"/>
    <w:rsid w:val="00050887"/>
    <w:rsid w:val="000C0881"/>
    <w:rsid w:val="000D5711"/>
    <w:rsid w:val="00133793"/>
    <w:rsid w:val="001E44E9"/>
    <w:rsid w:val="001F0A21"/>
    <w:rsid w:val="002012CF"/>
    <w:rsid w:val="00220AEB"/>
    <w:rsid w:val="002F659C"/>
    <w:rsid w:val="00311BBD"/>
    <w:rsid w:val="00387A77"/>
    <w:rsid w:val="003D3AFA"/>
    <w:rsid w:val="003D7267"/>
    <w:rsid w:val="003F3B8C"/>
    <w:rsid w:val="00410745"/>
    <w:rsid w:val="00476E27"/>
    <w:rsid w:val="004953CD"/>
    <w:rsid w:val="004F7371"/>
    <w:rsid w:val="0050752C"/>
    <w:rsid w:val="005266E5"/>
    <w:rsid w:val="0053423F"/>
    <w:rsid w:val="0054401D"/>
    <w:rsid w:val="00566BDF"/>
    <w:rsid w:val="00580FE9"/>
    <w:rsid w:val="005A21F2"/>
    <w:rsid w:val="005C0C86"/>
    <w:rsid w:val="00611502"/>
    <w:rsid w:val="006554C5"/>
    <w:rsid w:val="006925B7"/>
    <w:rsid w:val="006B6D1F"/>
    <w:rsid w:val="006D0562"/>
    <w:rsid w:val="006E1F52"/>
    <w:rsid w:val="007D3335"/>
    <w:rsid w:val="007F440E"/>
    <w:rsid w:val="00834467"/>
    <w:rsid w:val="008418E2"/>
    <w:rsid w:val="00853DF2"/>
    <w:rsid w:val="00877AE3"/>
    <w:rsid w:val="0088246D"/>
    <w:rsid w:val="0096056A"/>
    <w:rsid w:val="009A580A"/>
    <w:rsid w:val="009B154A"/>
    <w:rsid w:val="009C6EFF"/>
    <w:rsid w:val="009E7CE8"/>
    <w:rsid w:val="00A27A5E"/>
    <w:rsid w:val="00AC3364"/>
    <w:rsid w:val="00AF358D"/>
    <w:rsid w:val="00B27DE6"/>
    <w:rsid w:val="00BC3906"/>
    <w:rsid w:val="00C1486D"/>
    <w:rsid w:val="00C86FB1"/>
    <w:rsid w:val="00CD1554"/>
    <w:rsid w:val="00CD299C"/>
    <w:rsid w:val="00CE027E"/>
    <w:rsid w:val="00CF26B5"/>
    <w:rsid w:val="00D47403"/>
    <w:rsid w:val="00D6253C"/>
    <w:rsid w:val="00D72607"/>
    <w:rsid w:val="00DE6E56"/>
    <w:rsid w:val="00E54E75"/>
    <w:rsid w:val="00E96B4D"/>
    <w:rsid w:val="00EC4A63"/>
    <w:rsid w:val="00ED00F4"/>
    <w:rsid w:val="00EF4B06"/>
    <w:rsid w:val="00EF5AA6"/>
    <w:rsid w:val="00F03396"/>
    <w:rsid w:val="00F04226"/>
    <w:rsid w:val="00F61C8B"/>
    <w:rsid w:val="00F671F2"/>
    <w:rsid w:val="00F811DC"/>
    <w:rsid w:val="00FD1419"/>
    <w:rsid w:val="0114328C"/>
    <w:rsid w:val="012F43BC"/>
    <w:rsid w:val="0138117D"/>
    <w:rsid w:val="01396E1E"/>
    <w:rsid w:val="01490498"/>
    <w:rsid w:val="015A067B"/>
    <w:rsid w:val="0161280A"/>
    <w:rsid w:val="01A26EDA"/>
    <w:rsid w:val="01B5529A"/>
    <w:rsid w:val="02105DD0"/>
    <w:rsid w:val="023201E5"/>
    <w:rsid w:val="02485899"/>
    <w:rsid w:val="0250246E"/>
    <w:rsid w:val="026A1835"/>
    <w:rsid w:val="029E5EBF"/>
    <w:rsid w:val="02A50652"/>
    <w:rsid w:val="02BA7CB2"/>
    <w:rsid w:val="02C46D8B"/>
    <w:rsid w:val="039743BD"/>
    <w:rsid w:val="03B170D7"/>
    <w:rsid w:val="03BF38F8"/>
    <w:rsid w:val="04063CA2"/>
    <w:rsid w:val="04504BAA"/>
    <w:rsid w:val="04844854"/>
    <w:rsid w:val="0499408B"/>
    <w:rsid w:val="04D64A5B"/>
    <w:rsid w:val="04DB088C"/>
    <w:rsid w:val="0516577E"/>
    <w:rsid w:val="054962B1"/>
    <w:rsid w:val="054A3CDD"/>
    <w:rsid w:val="05663F59"/>
    <w:rsid w:val="056D7096"/>
    <w:rsid w:val="058A40EC"/>
    <w:rsid w:val="059E1B13"/>
    <w:rsid w:val="05CB7098"/>
    <w:rsid w:val="06016FF1"/>
    <w:rsid w:val="06190FCC"/>
    <w:rsid w:val="061C371F"/>
    <w:rsid w:val="06314567"/>
    <w:rsid w:val="064641C0"/>
    <w:rsid w:val="06464573"/>
    <w:rsid w:val="06581A11"/>
    <w:rsid w:val="066C4AE8"/>
    <w:rsid w:val="06B07B82"/>
    <w:rsid w:val="06CA289E"/>
    <w:rsid w:val="06CC603E"/>
    <w:rsid w:val="06D7299F"/>
    <w:rsid w:val="06DD6225"/>
    <w:rsid w:val="06DF3856"/>
    <w:rsid w:val="06FF6E40"/>
    <w:rsid w:val="070F3358"/>
    <w:rsid w:val="074E2F45"/>
    <w:rsid w:val="07621A0E"/>
    <w:rsid w:val="076808DF"/>
    <w:rsid w:val="07724E37"/>
    <w:rsid w:val="078A79B8"/>
    <w:rsid w:val="0793589F"/>
    <w:rsid w:val="07AF2977"/>
    <w:rsid w:val="07B216D8"/>
    <w:rsid w:val="07E95234"/>
    <w:rsid w:val="083D381F"/>
    <w:rsid w:val="08610AB4"/>
    <w:rsid w:val="088E3EF3"/>
    <w:rsid w:val="08AD1F59"/>
    <w:rsid w:val="08CC1F74"/>
    <w:rsid w:val="08E104C7"/>
    <w:rsid w:val="08FC0E5C"/>
    <w:rsid w:val="091A2635"/>
    <w:rsid w:val="092A65E7"/>
    <w:rsid w:val="09554CD5"/>
    <w:rsid w:val="0971652A"/>
    <w:rsid w:val="0983332C"/>
    <w:rsid w:val="09864BCA"/>
    <w:rsid w:val="09B21497"/>
    <w:rsid w:val="09CD0D4C"/>
    <w:rsid w:val="0A175CFE"/>
    <w:rsid w:val="0A726EFC"/>
    <w:rsid w:val="0A894972"/>
    <w:rsid w:val="0AB1779B"/>
    <w:rsid w:val="0B0B140F"/>
    <w:rsid w:val="0B0B42CE"/>
    <w:rsid w:val="0B0B7898"/>
    <w:rsid w:val="0B1A3A0F"/>
    <w:rsid w:val="0B3B41AE"/>
    <w:rsid w:val="0B4B14E2"/>
    <w:rsid w:val="0B570DC0"/>
    <w:rsid w:val="0B662000"/>
    <w:rsid w:val="0B664CB3"/>
    <w:rsid w:val="0B835452"/>
    <w:rsid w:val="0BB93035"/>
    <w:rsid w:val="0C2648CE"/>
    <w:rsid w:val="0CB91FCD"/>
    <w:rsid w:val="0CB97065"/>
    <w:rsid w:val="0CCF22A8"/>
    <w:rsid w:val="0CCF3D5E"/>
    <w:rsid w:val="0CD143AE"/>
    <w:rsid w:val="0D2C1755"/>
    <w:rsid w:val="0D392F32"/>
    <w:rsid w:val="0D6944CC"/>
    <w:rsid w:val="0D7D66D2"/>
    <w:rsid w:val="0D7F15F2"/>
    <w:rsid w:val="0DAC53B2"/>
    <w:rsid w:val="0DBF0046"/>
    <w:rsid w:val="0DCB329C"/>
    <w:rsid w:val="0DDD6BA5"/>
    <w:rsid w:val="0DF53397"/>
    <w:rsid w:val="0DF5347F"/>
    <w:rsid w:val="0E05202C"/>
    <w:rsid w:val="0E1C78AB"/>
    <w:rsid w:val="0E2844A2"/>
    <w:rsid w:val="0E2A3C19"/>
    <w:rsid w:val="0E3D4F92"/>
    <w:rsid w:val="0E410B02"/>
    <w:rsid w:val="0E4479A7"/>
    <w:rsid w:val="0E5C7254"/>
    <w:rsid w:val="0E7B2823"/>
    <w:rsid w:val="0F02767C"/>
    <w:rsid w:val="0F072309"/>
    <w:rsid w:val="0F144A26"/>
    <w:rsid w:val="0F1F3AF7"/>
    <w:rsid w:val="0F330759"/>
    <w:rsid w:val="0F4F5A5E"/>
    <w:rsid w:val="0F576A5B"/>
    <w:rsid w:val="0F5D0D7E"/>
    <w:rsid w:val="0F802A6E"/>
    <w:rsid w:val="0FA37038"/>
    <w:rsid w:val="105B1322"/>
    <w:rsid w:val="106D2640"/>
    <w:rsid w:val="107D60E2"/>
    <w:rsid w:val="10923E54"/>
    <w:rsid w:val="10934FF1"/>
    <w:rsid w:val="10BA2DC3"/>
    <w:rsid w:val="10C85AC8"/>
    <w:rsid w:val="10E5358A"/>
    <w:rsid w:val="113E1C9A"/>
    <w:rsid w:val="114001F7"/>
    <w:rsid w:val="11724C1B"/>
    <w:rsid w:val="11796EDC"/>
    <w:rsid w:val="11951E4E"/>
    <w:rsid w:val="11A307CE"/>
    <w:rsid w:val="11AF75A7"/>
    <w:rsid w:val="11D6322F"/>
    <w:rsid w:val="11EB1677"/>
    <w:rsid w:val="12240651"/>
    <w:rsid w:val="122945CF"/>
    <w:rsid w:val="122E55B0"/>
    <w:rsid w:val="123B27D1"/>
    <w:rsid w:val="1265128C"/>
    <w:rsid w:val="12724F5E"/>
    <w:rsid w:val="127822B5"/>
    <w:rsid w:val="127C0BA7"/>
    <w:rsid w:val="12855389"/>
    <w:rsid w:val="12865757"/>
    <w:rsid w:val="128C7CD3"/>
    <w:rsid w:val="12C850CE"/>
    <w:rsid w:val="12E65181"/>
    <w:rsid w:val="12FE44E7"/>
    <w:rsid w:val="130F1D20"/>
    <w:rsid w:val="13477CA5"/>
    <w:rsid w:val="13AF41C9"/>
    <w:rsid w:val="13DA6F8D"/>
    <w:rsid w:val="13EF6C4A"/>
    <w:rsid w:val="143E4A1F"/>
    <w:rsid w:val="1441006B"/>
    <w:rsid w:val="14587163"/>
    <w:rsid w:val="1493085C"/>
    <w:rsid w:val="14C9727A"/>
    <w:rsid w:val="14FC3F92"/>
    <w:rsid w:val="150948F0"/>
    <w:rsid w:val="15177BFE"/>
    <w:rsid w:val="152039A4"/>
    <w:rsid w:val="152C0D1B"/>
    <w:rsid w:val="15623A24"/>
    <w:rsid w:val="157F432D"/>
    <w:rsid w:val="15BA49A3"/>
    <w:rsid w:val="15D3598F"/>
    <w:rsid w:val="15DD5B72"/>
    <w:rsid w:val="15F26797"/>
    <w:rsid w:val="15F65792"/>
    <w:rsid w:val="16111CBF"/>
    <w:rsid w:val="16172D09"/>
    <w:rsid w:val="165C5AF2"/>
    <w:rsid w:val="16E20B3E"/>
    <w:rsid w:val="170C6713"/>
    <w:rsid w:val="171F21BA"/>
    <w:rsid w:val="172F4AF3"/>
    <w:rsid w:val="17886B7F"/>
    <w:rsid w:val="178D2675"/>
    <w:rsid w:val="17B648CC"/>
    <w:rsid w:val="17BD5C5B"/>
    <w:rsid w:val="17C931E2"/>
    <w:rsid w:val="17D901FF"/>
    <w:rsid w:val="17FA5F05"/>
    <w:rsid w:val="1800023D"/>
    <w:rsid w:val="18001FEB"/>
    <w:rsid w:val="186033AF"/>
    <w:rsid w:val="18742154"/>
    <w:rsid w:val="18CB43A7"/>
    <w:rsid w:val="18CE45EB"/>
    <w:rsid w:val="18D07C10"/>
    <w:rsid w:val="191331C3"/>
    <w:rsid w:val="1926721A"/>
    <w:rsid w:val="1977008B"/>
    <w:rsid w:val="197B18BC"/>
    <w:rsid w:val="19914FCB"/>
    <w:rsid w:val="19B47531"/>
    <w:rsid w:val="19BC36D5"/>
    <w:rsid w:val="19CF7EC7"/>
    <w:rsid w:val="1A030941"/>
    <w:rsid w:val="1A475995"/>
    <w:rsid w:val="1A5C1A78"/>
    <w:rsid w:val="1A603624"/>
    <w:rsid w:val="1A9219FB"/>
    <w:rsid w:val="1AB20659"/>
    <w:rsid w:val="1AC403AE"/>
    <w:rsid w:val="1AE11026"/>
    <w:rsid w:val="1B6417B0"/>
    <w:rsid w:val="1B6672B1"/>
    <w:rsid w:val="1BD25B21"/>
    <w:rsid w:val="1BD4616D"/>
    <w:rsid w:val="1BE51C24"/>
    <w:rsid w:val="1BFB0E3A"/>
    <w:rsid w:val="1C4E37D5"/>
    <w:rsid w:val="1C6F209D"/>
    <w:rsid w:val="1CB87339"/>
    <w:rsid w:val="1CCE6D50"/>
    <w:rsid w:val="1CD42DAD"/>
    <w:rsid w:val="1D02315B"/>
    <w:rsid w:val="1D0F41FB"/>
    <w:rsid w:val="1D1642DD"/>
    <w:rsid w:val="1D2167DA"/>
    <w:rsid w:val="1D263DB2"/>
    <w:rsid w:val="1D433CF7"/>
    <w:rsid w:val="1D823D48"/>
    <w:rsid w:val="1D9527F4"/>
    <w:rsid w:val="1DA500C4"/>
    <w:rsid w:val="1DAC3EB1"/>
    <w:rsid w:val="1DB71E03"/>
    <w:rsid w:val="1DE33A59"/>
    <w:rsid w:val="1DF01E1B"/>
    <w:rsid w:val="1DF779ED"/>
    <w:rsid w:val="1E197963"/>
    <w:rsid w:val="1E283168"/>
    <w:rsid w:val="1E513FF3"/>
    <w:rsid w:val="1E5A48B2"/>
    <w:rsid w:val="1E5D32F8"/>
    <w:rsid w:val="1E781B01"/>
    <w:rsid w:val="1E990AA4"/>
    <w:rsid w:val="1EA02471"/>
    <w:rsid w:val="1F0B19A2"/>
    <w:rsid w:val="1F114ADE"/>
    <w:rsid w:val="1F207806"/>
    <w:rsid w:val="1F292445"/>
    <w:rsid w:val="1F6966C8"/>
    <w:rsid w:val="1F6D7E0F"/>
    <w:rsid w:val="1F7E03C6"/>
    <w:rsid w:val="1F9061E2"/>
    <w:rsid w:val="1FA34B10"/>
    <w:rsid w:val="1FA470FA"/>
    <w:rsid w:val="1FAA0D66"/>
    <w:rsid w:val="1FAB57C7"/>
    <w:rsid w:val="1FCA144E"/>
    <w:rsid w:val="1FF95C9E"/>
    <w:rsid w:val="20014B53"/>
    <w:rsid w:val="200C7D9A"/>
    <w:rsid w:val="201A79C2"/>
    <w:rsid w:val="204F3E9C"/>
    <w:rsid w:val="20730A5A"/>
    <w:rsid w:val="20913FE3"/>
    <w:rsid w:val="20954E1B"/>
    <w:rsid w:val="20B0193D"/>
    <w:rsid w:val="20B73DE5"/>
    <w:rsid w:val="20BC2BA8"/>
    <w:rsid w:val="20F63892"/>
    <w:rsid w:val="20FB2DBF"/>
    <w:rsid w:val="210C5BD6"/>
    <w:rsid w:val="212A5F25"/>
    <w:rsid w:val="213F21C9"/>
    <w:rsid w:val="214116AB"/>
    <w:rsid w:val="215238B8"/>
    <w:rsid w:val="215556D8"/>
    <w:rsid w:val="2159709A"/>
    <w:rsid w:val="217F0425"/>
    <w:rsid w:val="21A47E8B"/>
    <w:rsid w:val="21B61CE9"/>
    <w:rsid w:val="21B856E5"/>
    <w:rsid w:val="21BA145D"/>
    <w:rsid w:val="21F04294"/>
    <w:rsid w:val="21F04E7F"/>
    <w:rsid w:val="22126005"/>
    <w:rsid w:val="222B484B"/>
    <w:rsid w:val="224455F9"/>
    <w:rsid w:val="22573BE0"/>
    <w:rsid w:val="22751EDA"/>
    <w:rsid w:val="22AC723B"/>
    <w:rsid w:val="22C024C9"/>
    <w:rsid w:val="22C024D6"/>
    <w:rsid w:val="22C205C9"/>
    <w:rsid w:val="22E36792"/>
    <w:rsid w:val="22FE7A36"/>
    <w:rsid w:val="23180FA5"/>
    <w:rsid w:val="23567131"/>
    <w:rsid w:val="236A7696"/>
    <w:rsid w:val="23A203FB"/>
    <w:rsid w:val="23B0207A"/>
    <w:rsid w:val="23DD7574"/>
    <w:rsid w:val="23E86965"/>
    <w:rsid w:val="23EE60D9"/>
    <w:rsid w:val="24194909"/>
    <w:rsid w:val="24262DDA"/>
    <w:rsid w:val="242916BD"/>
    <w:rsid w:val="24613E12"/>
    <w:rsid w:val="24A0493A"/>
    <w:rsid w:val="24B722DA"/>
    <w:rsid w:val="24D447A2"/>
    <w:rsid w:val="24F66F84"/>
    <w:rsid w:val="25122F37"/>
    <w:rsid w:val="251315B0"/>
    <w:rsid w:val="253C60EE"/>
    <w:rsid w:val="25850719"/>
    <w:rsid w:val="25852A52"/>
    <w:rsid w:val="259F2E44"/>
    <w:rsid w:val="25C11E0D"/>
    <w:rsid w:val="25EE7927"/>
    <w:rsid w:val="267539C7"/>
    <w:rsid w:val="268B33C8"/>
    <w:rsid w:val="26A96D22"/>
    <w:rsid w:val="26C2749D"/>
    <w:rsid w:val="26E256DE"/>
    <w:rsid w:val="26EC20B9"/>
    <w:rsid w:val="26EE5B38"/>
    <w:rsid w:val="26F22400"/>
    <w:rsid w:val="26F470CD"/>
    <w:rsid w:val="271B4612"/>
    <w:rsid w:val="27225A23"/>
    <w:rsid w:val="27520EF9"/>
    <w:rsid w:val="276B7710"/>
    <w:rsid w:val="277B51EB"/>
    <w:rsid w:val="27867423"/>
    <w:rsid w:val="27897627"/>
    <w:rsid w:val="27D00F92"/>
    <w:rsid w:val="27DA0525"/>
    <w:rsid w:val="27F714D0"/>
    <w:rsid w:val="27FA5B95"/>
    <w:rsid w:val="28022433"/>
    <w:rsid w:val="28137B19"/>
    <w:rsid w:val="282969C9"/>
    <w:rsid w:val="282F096B"/>
    <w:rsid w:val="28350DE4"/>
    <w:rsid w:val="28BB57EB"/>
    <w:rsid w:val="290D4568"/>
    <w:rsid w:val="2915783B"/>
    <w:rsid w:val="292B19EC"/>
    <w:rsid w:val="293B74DB"/>
    <w:rsid w:val="295312BC"/>
    <w:rsid w:val="2971553E"/>
    <w:rsid w:val="29B923EA"/>
    <w:rsid w:val="29D82DC8"/>
    <w:rsid w:val="29DB2856"/>
    <w:rsid w:val="2A3679BC"/>
    <w:rsid w:val="2A667359"/>
    <w:rsid w:val="2A750617"/>
    <w:rsid w:val="2A7A79DB"/>
    <w:rsid w:val="2A9370E3"/>
    <w:rsid w:val="2AD7734B"/>
    <w:rsid w:val="2ADF1D9D"/>
    <w:rsid w:val="2B0A581E"/>
    <w:rsid w:val="2B0B1D57"/>
    <w:rsid w:val="2B177DCE"/>
    <w:rsid w:val="2B2362C5"/>
    <w:rsid w:val="2B2D7303"/>
    <w:rsid w:val="2B5920B8"/>
    <w:rsid w:val="2B7446FD"/>
    <w:rsid w:val="2B8A1EA0"/>
    <w:rsid w:val="2BAA2542"/>
    <w:rsid w:val="2BCA5DAD"/>
    <w:rsid w:val="2BCC1090"/>
    <w:rsid w:val="2BDD46C6"/>
    <w:rsid w:val="2BEB12E2"/>
    <w:rsid w:val="2BEF61A7"/>
    <w:rsid w:val="2BF738BD"/>
    <w:rsid w:val="2C251BC9"/>
    <w:rsid w:val="2C26606D"/>
    <w:rsid w:val="2C7F0500"/>
    <w:rsid w:val="2C967871"/>
    <w:rsid w:val="2C9F6BDF"/>
    <w:rsid w:val="2CB43679"/>
    <w:rsid w:val="2CDA1D47"/>
    <w:rsid w:val="2D10499E"/>
    <w:rsid w:val="2D15393D"/>
    <w:rsid w:val="2D3E1194"/>
    <w:rsid w:val="2D4C3CE0"/>
    <w:rsid w:val="2D5770D8"/>
    <w:rsid w:val="2D732E94"/>
    <w:rsid w:val="2D932376"/>
    <w:rsid w:val="2DC97B2B"/>
    <w:rsid w:val="2DD31A23"/>
    <w:rsid w:val="2DEC191C"/>
    <w:rsid w:val="2E0221C2"/>
    <w:rsid w:val="2E0F5D64"/>
    <w:rsid w:val="2E5C5D76"/>
    <w:rsid w:val="2E7A5E37"/>
    <w:rsid w:val="2EC14403"/>
    <w:rsid w:val="2F10271C"/>
    <w:rsid w:val="2F402024"/>
    <w:rsid w:val="2F61609B"/>
    <w:rsid w:val="2F7470EF"/>
    <w:rsid w:val="2F793DD9"/>
    <w:rsid w:val="2F923A19"/>
    <w:rsid w:val="2FBC6C5A"/>
    <w:rsid w:val="2FE41442"/>
    <w:rsid w:val="2FED6D35"/>
    <w:rsid w:val="301A4137"/>
    <w:rsid w:val="30347D23"/>
    <w:rsid w:val="307D1FD3"/>
    <w:rsid w:val="30EB1E14"/>
    <w:rsid w:val="313E79B5"/>
    <w:rsid w:val="314A4F02"/>
    <w:rsid w:val="316B1D43"/>
    <w:rsid w:val="317A53A8"/>
    <w:rsid w:val="319E66A5"/>
    <w:rsid w:val="31B44F8F"/>
    <w:rsid w:val="31B97B44"/>
    <w:rsid w:val="31C939C4"/>
    <w:rsid w:val="31CF1BE6"/>
    <w:rsid w:val="32004C6A"/>
    <w:rsid w:val="322272D6"/>
    <w:rsid w:val="323B0398"/>
    <w:rsid w:val="324C48A1"/>
    <w:rsid w:val="325C0BDA"/>
    <w:rsid w:val="326D08D9"/>
    <w:rsid w:val="3275333C"/>
    <w:rsid w:val="32D0254E"/>
    <w:rsid w:val="32F77971"/>
    <w:rsid w:val="33297D43"/>
    <w:rsid w:val="3341251D"/>
    <w:rsid w:val="336D3397"/>
    <w:rsid w:val="33700CD4"/>
    <w:rsid w:val="33811DDB"/>
    <w:rsid w:val="33D60378"/>
    <w:rsid w:val="34266E92"/>
    <w:rsid w:val="34324333"/>
    <w:rsid w:val="343B467F"/>
    <w:rsid w:val="34795E8C"/>
    <w:rsid w:val="348F05CA"/>
    <w:rsid w:val="349D07B0"/>
    <w:rsid w:val="34E37A56"/>
    <w:rsid w:val="350407AB"/>
    <w:rsid w:val="35346CAC"/>
    <w:rsid w:val="353B09A0"/>
    <w:rsid w:val="35830745"/>
    <w:rsid w:val="35865833"/>
    <w:rsid w:val="359009FB"/>
    <w:rsid w:val="35BE10C4"/>
    <w:rsid w:val="35D01034"/>
    <w:rsid w:val="35EE1E51"/>
    <w:rsid w:val="35F920FC"/>
    <w:rsid w:val="35FA7F90"/>
    <w:rsid w:val="363715D2"/>
    <w:rsid w:val="366156D0"/>
    <w:rsid w:val="36685CF0"/>
    <w:rsid w:val="36C7204F"/>
    <w:rsid w:val="3720190B"/>
    <w:rsid w:val="372C602D"/>
    <w:rsid w:val="37781C9F"/>
    <w:rsid w:val="37830680"/>
    <w:rsid w:val="37BE407E"/>
    <w:rsid w:val="37C2268E"/>
    <w:rsid w:val="37C27F0F"/>
    <w:rsid w:val="380D0AFB"/>
    <w:rsid w:val="381F5604"/>
    <w:rsid w:val="383564BA"/>
    <w:rsid w:val="38651BCF"/>
    <w:rsid w:val="3929260E"/>
    <w:rsid w:val="394C2823"/>
    <w:rsid w:val="39504729"/>
    <w:rsid w:val="395D31FD"/>
    <w:rsid w:val="396777DF"/>
    <w:rsid w:val="396B1830"/>
    <w:rsid w:val="39B27192"/>
    <w:rsid w:val="39B96CFD"/>
    <w:rsid w:val="39C16A08"/>
    <w:rsid w:val="39C95C05"/>
    <w:rsid w:val="39E80792"/>
    <w:rsid w:val="39F77BE4"/>
    <w:rsid w:val="39F80C9A"/>
    <w:rsid w:val="3A1C0AAF"/>
    <w:rsid w:val="3A357E2D"/>
    <w:rsid w:val="3A7727CD"/>
    <w:rsid w:val="3A79380C"/>
    <w:rsid w:val="3A931A1E"/>
    <w:rsid w:val="3B4007CD"/>
    <w:rsid w:val="3B497682"/>
    <w:rsid w:val="3B6045E9"/>
    <w:rsid w:val="3B654373"/>
    <w:rsid w:val="3B7721FE"/>
    <w:rsid w:val="3B7D3B4D"/>
    <w:rsid w:val="3BB8547D"/>
    <w:rsid w:val="3BCE5DD9"/>
    <w:rsid w:val="3BF51E1C"/>
    <w:rsid w:val="3C08668D"/>
    <w:rsid w:val="3C1329A9"/>
    <w:rsid w:val="3C194C77"/>
    <w:rsid w:val="3C320116"/>
    <w:rsid w:val="3C60135A"/>
    <w:rsid w:val="3C761FCB"/>
    <w:rsid w:val="3C7A0F4B"/>
    <w:rsid w:val="3C7A1977"/>
    <w:rsid w:val="3C862362"/>
    <w:rsid w:val="3CBC20D5"/>
    <w:rsid w:val="3CC20A2F"/>
    <w:rsid w:val="3CC82DB1"/>
    <w:rsid w:val="3CEB2B51"/>
    <w:rsid w:val="3CF40B0C"/>
    <w:rsid w:val="3CFC24D2"/>
    <w:rsid w:val="3D463FF4"/>
    <w:rsid w:val="3D507DBA"/>
    <w:rsid w:val="3D5567B2"/>
    <w:rsid w:val="3D6B6207"/>
    <w:rsid w:val="3D793B23"/>
    <w:rsid w:val="3D7C6A3A"/>
    <w:rsid w:val="3D891FB8"/>
    <w:rsid w:val="3D8F7BCA"/>
    <w:rsid w:val="3DA23079"/>
    <w:rsid w:val="3DBA6615"/>
    <w:rsid w:val="3DBB413B"/>
    <w:rsid w:val="3DD376D7"/>
    <w:rsid w:val="3E047CEE"/>
    <w:rsid w:val="3E294501"/>
    <w:rsid w:val="3E294DBF"/>
    <w:rsid w:val="3E4E3201"/>
    <w:rsid w:val="3E5A1BA6"/>
    <w:rsid w:val="3E6C490B"/>
    <w:rsid w:val="3E8403B9"/>
    <w:rsid w:val="3E8409D1"/>
    <w:rsid w:val="3EBB30A6"/>
    <w:rsid w:val="3EC77396"/>
    <w:rsid w:val="3ED6123E"/>
    <w:rsid w:val="3ED656D0"/>
    <w:rsid w:val="3EF9316D"/>
    <w:rsid w:val="3F3423F7"/>
    <w:rsid w:val="3F4F586A"/>
    <w:rsid w:val="3F8327DC"/>
    <w:rsid w:val="3F8C3FE1"/>
    <w:rsid w:val="3F8E5FAB"/>
    <w:rsid w:val="3F9F4A2D"/>
    <w:rsid w:val="3FA45105"/>
    <w:rsid w:val="3FAD1E21"/>
    <w:rsid w:val="3FAD3F2A"/>
    <w:rsid w:val="3FD17C46"/>
    <w:rsid w:val="3FD31402"/>
    <w:rsid w:val="3FFB2F15"/>
    <w:rsid w:val="400718BA"/>
    <w:rsid w:val="40477F08"/>
    <w:rsid w:val="405522F8"/>
    <w:rsid w:val="408F561E"/>
    <w:rsid w:val="4090365D"/>
    <w:rsid w:val="409B4AFE"/>
    <w:rsid w:val="409D2E0B"/>
    <w:rsid w:val="40A37834"/>
    <w:rsid w:val="40C02A49"/>
    <w:rsid w:val="40C6655A"/>
    <w:rsid w:val="411C1395"/>
    <w:rsid w:val="413D1610"/>
    <w:rsid w:val="4162324B"/>
    <w:rsid w:val="41666E60"/>
    <w:rsid w:val="416C01C0"/>
    <w:rsid w:val="416D012D"/>
    <w:rsid w:val="419D5840"/>
    <w:rsid w:val="41C92A42"/>
    <w:rsid w:val="420144F6"/>
    <w:rsid w:val="424C451D"/>
    <w:rsid w:val="425C4F23"/>
    <w:rsid w:val="425C6F5E"/>
    <w:rsid w:val="427C0176"/>
    <w:rsid w:val="428321E8"/>
    <w:rsid w:val="42876CE2"/>
    <w:rsid w:val="429E63C6"/>
    <w:rsid w:val="42BD5080"/>
    <w:rsid w:val="42ED0C6F"/>
    <w:rsid w:val="430E44A8"/>
    <w:rsid w:val="43145F37"/>
    <w:rsid w:val="43191540"/>
    <w:rsid w:val="43A806C0"/>
    <w:rsid w:val="43C17374"/>
    <w:rsid w:val="43CF6DE7"/>
    <w:rsid w:val="43D30430"/>
    <w:rsid w:val="43E511A3"/>
    <w:rsid w:val="43EC0FB3"/>
    <w:rsid w:val="44042918"/>
    <w:rsid w:val="441B6691"/>
    <w:rsid w:val="444F05C1"/>
    <w:rsid w:val="44521FDF"/>
    <w:rsid w:val="447479BB"/>
    <w:rsid w:val="447A1126"/>
    <w:rsid w:val="448031DF"/>
    <w:rsid w:val="448536D9"/>
    <w:rsid w:val="449675BE"/>
    <w:rsid w:val="44982BA2"/>
    <w:rsid w:val="44B6565C"/>
    <w:rsid w:val="44F23662"/>
    <w:rsid w:val="44F57BCE"/>
    <w:rsid w:val="451203DC"/>
    <w:rsid w:val="451C58E6"/>
    <w:rsid w:val="456A0530"/>
    <w:rsid w:val="456D2BB8"/>
    <w:rsid w:val="45795008"/>
    <w:rsid w:val="45841897"/>
    <w:rsid w:val="458E5FA2"/>
    <w:rsid w:val="459578A3"/>
    <w:rsid w:val="45A30F67"/>
    <w:rsid w:val="45DA2D97"/>
    <w:rsid w:val="45E624DF"/>
    <w:rsid w:val="46347164"/>
    <w:rsid w:val="464130C1"/>
    <w:rsid w:val="46B93068"/>
    <w:rsid w:val="46C422B2"/>
    <w:rsid w:val="471A1ED2"/>
    <w:rsid w:val="473B5AF9"/>
    <w:rsid w:val="473C62ED"/>
    <w:rsid w:val="4758493F"/>
    <w:rsid w:val="4783158D"/>
    <w:rsid w:val="47BA4CFD"/>
    <w:rsid w:val="47BD295D"/>
    <w:rsid w:val="47E04A60"/>
    <w:rsid w:val="47F21E53"/>
    <w:rsid w:val="48231874"/>
    <w:rsid w:val="482F37F3"/>
    <w:rsid w:val="48364911"/>
    <w:rsid w:val="48603B53"/>
    <w:rsid w:val="48A352F2"/>
    <w:rsid w:val="48A77517"/>
    <w:rsid w:val="48F81C9E"/>
    <w:rsid w:val="48FC4CE4"/>
    <w:rsid w:val="49082AA9"/>
    <w:rsid w:val="492334DC"/>
    <w:rsid w:val="498E53FA"/>
    <w:rsid w:val="49A54C47"/>
    <w:rsid w:val="49B74350"/>
    <w:rsid w:val="49CE00ED"/>
    <w:rsid w:val="49F0775D"/>
    <w:rsid w:val="4A347F90"/>
    <w:rsid w:val="4A564D3D"/>
    <w:rsid w:val="4A5A5A80"/>
    <w:rsid w:val="4A622934"/>
    <w:rsid w:val="4A74000B"/>
    <w:rsid w:val="4A9265AB"/>
    <w:rsid w:val="4A960E2E"/>
    <w:rsid w:val="4AA555E3"/>
    <w:rsid w:val="4AD11C6E"/>
    <w:rsid w:val="4B3475A6"/>
    <w:rsid w:val="4B452887"/>
    <w:rsid w:val="4B46773A"/>
    <w:rsid w:val="4B5300A9"/>
    <w:rsid w:val="4B6F6E49"/>
    <w:rsid w:val="4B747717"/>
    <w:rsid w:val="4B863FDA"/>
    <w:rsid w:val="4BB6355F"/>
    <w:rsid w:val="4BBC5403"/>
    <w:rsid w:val="4BDA4C17"/>
    <w:rsid w:val="4BDF1A98"/>
    <w:rsid w:val="4BEB0423"/>
    <w:rsid w:val="4BF25F94"/>
    <w:rsid w:val="4BF436C9"/>
    <w:rsid w:val="4C262242"/>
    <w:rsid w:val="4C292FB7"/>
    <w:rsid w:val="4C3063D7"/>
    <w:rsid w:val="4C410343"/>
    <w:rsid w:val="4C5243A3"/>
    <w:rsid w:val="4C6068FA"/>
    <w:rsid w:val="4C6B24D1"/>
    <w:rsid w:val="4C7C5ED4"/>
    <w:rsid w:val="4C87000A"/>
    <w:rsid w:val="4C9B6BCF"/>
    <w:rsid w:val="4CA55BFE"/>
    <w:rsid w:val="4CAD5011"/>
    <w:rsid w:val="4CCB5EA5"/>
    <w:rsid w:val="4CF65190"/>
    <w:rsid w:val="4D030417"/>
    <w:rsid w:val="4D3F2693"/>
    <w:rsid w:val="4D6E2A9A"/>
    <w:rsid w:val="4D73233C"/>
    <w:rsid w:val="4D782813"/>
    <w:rsid w:val="4D894FFF"/>
    <w:rsid w:val="4D8F21AB"/>
    <w:rsid w:val="4DA93FB0"/>
    <w:rsid w:val="4DDC1B6E"/>
    <w:rsid w:val="4E365EBA"/>
    <w:rsid w:val="4E493012"/>
    <w:rsid w:val="4E4E31AC"/>
    <w:rsid w:val="4E56283B"/>
    <w:rsid w:val="4E743E46"/>
    <w:rsid w:val="4E7C1C67"/>
    <w:rsid w:val="4E9915B0"/>
    <w:rsid w:val="4E9A2CD0"/>
    <w:rsid w:val="4ECC0B5C"/>
    <w:rsid w:val="4ED86D93"/>
    <w:rsid w:val="4EE43F07"/>
    <w:rsid w:val="4F3124AF"/>
    <w:rsid w:val="4F3D5B5A"/>
    <w:rsid w:val="4F47493D"/>
    <w:rsid w:val="4F4A32CC"/>
    <w:rsid w:val="4F600C2E"/>
    <w:rsid w:val="4F767BF0"/>
    <w:rsid w:val="4FAF1DDA"/>
    <w:rsid w:val="4FB235F0"/>
    <w:rsid w:val="4FD25A40"/>
    <w:rsid w:val="4FDC066D"/>
    <w:rsid w:val="50061FBE"/>
    <w:rsid w:val="50324731"/>
    <w:rsid w:val="50406E4E"/>
    <w:rsid w:val="50487AB0"/>
    <w:rsid w:val="505C7F2D"/>
    <w:rsid w:val="50641485"/>
    <w:rsid w:val="50AD2009"/>
    <w:rsid w:val="50EC4999"/>
    <w:rsid w:val="51185252"/>
    <w:rsid w:val="514642BB"/>
    <w:rsid w:val="51573990"/>
    <w:rsid w:val="515D3A2F"/>
    <w:rsid w:val="515E6E0C"/>
    <w:rsid w:val="51A00668"/>
    <w:rsid w:val="521855F1"/>
    <w:rsid w:val="52382532"/>
    <w:rsid w:val="525A1D1D"/>
    <w:rsid w:val="52692C4E"/>
    <w:rsid w:val="527C7CEA"/>
    <w:rsid w:val="529B37EE"/>
    <w:rsid w:val="529E401E"/>
    <w:rsid w:val="52C46194"/>
    <w:rsid w:val="53000B16"/>
    <w:rsid w:val="53065190"/>
    <w:rsid w:val="533C6BFD"/>
    <w:rsid w:val="53411CCF"/>
    <w:rsid w:val="536D6D3B"/>
    <w:rsid w:val="53742406"/>
    <w:rsid w:val="53817C44"/>
    <w:rsid w:val="538E3C1A"/>
    <w:rsid w:val="53B63678"/>
    <w:rsid w:val="53BC24C4"/>
    <w:rsid w:val="53DC68B8"/>
    <w:rsid w:val="53EA7EAE"/>
    <w:rsid w:val="53F934C0"/>
    <w:rsid w:val="541B7496"/>
    <w:rsid w:val="54564958"/>
    <w:rsid w:val="547B2582"/>
    <w:rsid w:val="54901D38"/>
    <w:rsid w:val="54C3746B"/>
    <w:rsid w:val="54C47FDD"/>
    <w:rsid w:val="54E05BFB"/>
    <w:rsid w:val="55402184"/>
    <w:rsid w:val="55492338"/>
    <w:rsid w:val="55516C81"/>
    <w:rsid w:val="55652EB2"/>
    <w:rsid w:val="55994ED3"/>
    <w:rsid w:val="55E64AA2"/>
    <w:rsid w:val="56024BA5"/>
    <w:rsid w:val="56355CE7"/>
    <w:rsid w:val="5689160E"/>
    <w:rsid w:val="56955C0E"/>
    <w:rsid w:val="56A42320"/>
    <w:rsid w:val="56B34718"/>
    <w:rsid w:val="56BC618B"/>
    <w:rsid w:val="56C55E54"/>
    <w:rsid w:val="56C62F6E"/>
    <w:rsid w:val="56E83B25"/>
    <w:rsid w:val="57034731"/>
    <w:rsid w:val="5726133B"/>
    <w:rsid w:val="57482A8C"/>
    <w:rsid w:val="576D6A1E"/>
    <w:rsid w:val="578137B9"/>
    <w:rsid w:val="57B26E8E"/>
    <w:rsid w:val="57C739B1"/>
    <w:rsid w:val="57FB3ADF"/>
    <w:rsid w:val="580E1D6A"/>
    <w:rsid w:val="5813056E"/>
    <w:rsid w:val="581C3C86"/>
    <w:rsid w:val="585E4E02"/>
    <w:rsid w:val="58B35AC8"/>
    <w:rsid w:val="58C03F2E"/>
    <w:rsid w:val="59340209"/>
    <w:rsid w:val="5939268C"/>
    <w:rsid w:val="59576A84"/>
    <w:rsid w:val="59613991"/>
    <w:rsid w:val="596C01DD"/>
    <w:rsid w:val="597275C0"/>
    <w:rsid w:val="59A11816"/>
    <w:rsid w:val="59E76564"/>
    <w:rsid w:val="59EE791A"/>
    <w:rsid w:val="5A1334AA"/>
    <w:rsid w:val="5A2C7950"/>
    <w:rsid w:val="5A2D00B4"/>
    <w:rsid w:val="5A355549"/>
    <w:rsid w:val="5A572F81"/>
    <w:rsid w:val="5A6D3FB0"/>
    <w:rsid w:val="5A7B1324"/>
    <w:rsid w:val="5AA61FA3"/>
    <w:rsid w:val="5ACC69D3"/>
    <w:rsid w:val="5AD3594A"/>
    <w:rsid w:val="5AE058B6"/>
    <w:rsid w:val="5B013FFE"/>
    <w:rsid w:val="5B04199C"/>
    <w:rsid w:val="5B3C13B7"/>
    <w:rsid w:val="5B4E3743"/>
    <w:rsid w:val="5B5774F6"/>
    <w:rsid w:val="5B6A7475"/>
    <w:rsid w:val="5BC86DE0"/>
    <w:rsid w:val="5BE0337F"/>
    <w:rsid w:val="5BE334BC"/>
    <w:rsid w:val="5C060B77"/>
    <w:rsid w:val="5C336BC5"/>
    <w:rsid w:val="5C3D6937"/>
    <w:rsid w:val="5C407EBF"/>
    <w:rsid w:val="5C771C2B"/>
    <w:rsid w:val="5C797D48"/>
    <w:rsid w:val="5C9476E3"/>
    <w:rsid w:val="5CB64EF7"/>
    <w:rsid w:val="5CBB0698"/>
    <w:rsid w:val="5CD771D0"/>
    <w:rsid w:val="5CEC4AF6"/>
    <w:rsid w:val="5D1C36CA"/>
    <w:rsid w:val="5D6808D9"/>
    <w:rsid w:val="5D8559A9"/>
    <w:rsid w:val="5DA737AB"/>
    <w:rsid w:val="5DDB3802"/>
    <w:rsid w:val="5DDE74C3"/>
    <w:rsid w:val="5DEF3C61"/>
    <w:rsid w:val="5E591A42"/>
    <w:rsid w:val="5E9345EC"/>
    <w:rsid w:val="5EAA0A9E"/>
    <w:rsid w:val="5EAF23C4"/>
    <w:rsid w:val="5EB933E6"/>
    <w:rsid w:val="5EDA03DE"/>
    <w:rsid w:val="5F0609A9"/>
    <w:rsid w:val="5F2540C3"/>
    <w:rsid w:val="5F420DD1"/>
    <w:rsid w:val="5F571ABE"/>
    <w:rsid w:val="5F9E4BFD"/>
    <w:rsid w:val="5FA42829"/>
    <w:rsid w:val="5FB40A21"/>
    <w:rsid w:val="5FD131B5"/>
    <w:rsid w:val="5FD44EBD"/>
    <w:rsid w:val="600973D9"/>
    <w:rsid w:val="600C30B8"/>
    <w:rsid w:val="60172FFB"/>
    <w:rsid w:val="60362E3C"/>
    <w:rsid w:val="605F3033"/>
    <w:rsid w:val="609A3353"/>
    <w:rsid w:val="60BF02B8"/>
    <w:rsid w:val="60C018E5"/>
    <w:rsid w:val="60D854B9"/>
    <w:rsid w:val="60DE4BDB"/>
    <w:rsid w:val="60E2224F"/>
    <w:rsid w:val="61134759"/>
    <w:rsid w:val="614405A5"/>
    <w:rsid w:val="61480611"/>
    <w:rsid w:val="61730705"/>
    <w:rsid w:val="61880C9C"/>
    <w:rsid w:val="61967449"/>
    <w:rsid w:val="61AB2550"/>
    <w:rsid w:val="61B054B5"/>
    <w:rsid w:val="61C10272"/>
    <w:rsid w:val="61D12F93"/>
    <w:rsid w:val="61D83B07"/>
    <w:rsid w:val="62026685"/>
    <w:rsid w:val="62097C76"/>
    <w:rsid w:val="62234B37"/>
    <w:rsid w:val="62601A09"/>
    <w:rsid w:val="626A7E25"/>
    <w:rsid w:val="62840A39"/>
    <w:rsid w:val="62BA5DDC"/>
    <w:rsid w:val="62CD4529"/>
    <w:rsid w:val="62E77A80"/>
    <w:rsid w:val="62FF0C08"/>
    <w:rsid w:val="63002F69"/>
    <w:rsid w:val="632A606F"/>
    <w:rsid w:val="632F4CB2"/>
    <w:rsid w:val="633C1C08"/>
    <w:rsid w:val="6343056E"/>
    <w:rsid w:val="636179CD"/>
    <w:rsid w:val="63BD58EA"/>
    <w:rsid w:val="63DD33AA"/>
    <w:rsid w:val="63F675B5"/>
    <w:rsid w:val="640F0BB9"/>
    <w:rsid w:val="640F2A3F"/>
    <w:rsid w:val="642A2423"/>
    <w:rsid w:val="643E6BC1"/>
    <w:rsid w:val="64417DA8"/>
    <w:rsid w:val="64587FD2"/>
    <w:rsid w:val="650321AD"/>
    <w:rsid w:val="650C2B98"/>
    <w:rsid w:val="65274F9D"/>
    <w:rsid w:val="654B2510"/>
    <w:rsid w:val="655B1BCC"/>
    <w:rsid w:val="65622F6B"/>
    <w:rsid w:val="657555B7"/>
    <w:rsid w:val="657F1D6E"/>
    <w:rsid w:val="65A218B2"/>
    <w:rsid w:val="65B06E9D"/>
    <w:rsid w:val="65C504AF"/>
    <w:rsid w:val="65D87D0A"/>
    <w:rsid w:val="65E0431F"/>
    <w:rsid w:val="65F16189"/>
    <w:rsid w:val="65FA5357"/>
    <w:rsid w:val="664D10C7"/>
    <w:rsid w:val="66616073"/>
    <w:rsid w:val="666920D7"/>
    <w:rsid w:val="667119CA"/>
    <w:rsid w:val="66AA4BC9"/>
    <w:rsid w:val="66C016C6"/>
    <w:rsid w:val="675A68D3"/>
    <w:rsid w:val="67677C61"/>
    <w:rsid w:val="676F7BC1"/>
    <w:rsid w:val="678777BE"/>
    <w:rsid w:val="678C2521"/>
    <w:rsid w:val="67931AD1"/>
    <w:rsid w:val="67C258DC"/>
    <w:rsid w:val="67E52D51"/>
    <w:rsid w:val="67EB2552"/>
    <w:rsid w:val="67EC6572"/>
    <w:rsid w:val="67F86E79"/>
    <w:rsid w:val="68254F50"/>
    <w:rsid w:val="68264723"/>
    <w:rsid w:val="6852337A"/>
    <w:rsid w:val="68855C6D"/>
    <w:rsid w:val="68A72A50"/>
    <w:rsid w:val="68F17085"/>
    <w:rsid w:val="69015896"/>
    <w:rsid w:val="69074555"/>
    <w:rsid w:val="692E2CB4"/>
    <w:rsid w:val="69322DA6"/>
    <w:rsid w:val="69685B5B"/>
    <w:rsid w:val="696C71F7"/>
    <w:rsid w:val="697670FA"/>
    <w:rsid w:val="69831701"/>
    <w:rsid w:val="69885DDA"/>
    <w:rsid w:val="69977A9B"/>
    <w:rsid w:val="699A391B"/>
    <w:rsid w:val="69B813AB"/>
    <w:rsid w:val="69E8281B"/>
    <w:rsid w:val="69F3799D"/>
    <w:rsid w:val="69FC1BE0"/>
    <w:rsid w:val="69FF522C"/>
    <w:rsid w:val="6A1C5DDE"/>
    <w:rsid w:val="6A2B6021"/>
    <w:rsid w:val="6A4E7F61"/>
    <w:rsid w:val="6A505A87"/>
    <w:rsid w:val="6A8207A6"/>
    <w:rsid w:val="6A9212D6"/>
    <w:rsid w:val="6A963105"/>
    <w:rsid w:val="6AD4717B"/>
    <w:rsid w:val="6AFC79BD"/>
    <w:rsid w:val="6B1742BC"/>
    <w:rsid w:val="6B240DE5"/>
    <w:rsid w:val="6B4D3B92"/>
    <w:rsid w:val="6B56329B"/>
    <w:rsid w:val="6B634EB9"/>
    <w:rsid w:val="6B7105BF"/>
    <w:rsid w:val="6B7B7960"/>
    <w:rsid w:val="6B7E07B9"/>
    <w:rsid w:val="6B8A4FC9"/>
    <w:rsid w:val="6BA45610"/>
    <w:rsid w:val="6BB12E5B"/>
    <w:rsid w:val="6C345A2D"/>
    <w:rsid w:val="6C3E778F"/>
    <w:rsid w:val="6C67544D"/>
    <w:rsid w:val="6C7C0DB6"/>
    <w:rsid w:val="6C822881"/>
    <w:rsid w:val="6C9A5765"/>
    <w:rsid w:val="6CA51590"/>
    <w:rsid w:val="6CAE2105"/>
    <w:rsid w:val="6CD91ACD"/>
    <w:rsid w:val="6CE632A0"/>
    <w:rsid w:val="6CF11BC7"/>
    <w:rsid w:val="6D0736EB"/>
    <w:rsid w:val="6D181284"/>
    <w:rsid w:val="6D5953BC"/>
    <w:rsid w:val="6D664854"/>
    <w:rsid w:val="6D777539"/>
    <w:rsid w:val="6DC93584"/>
    <w:rsid w:val="6DCE5641"/>
    <w:rsid w:val="6E026A1B"/>
    <w:rsid w:val="6E14017F"/>
    <w:rsid w:val="6E1D3ED3"/>
    <w:rsid w:val="6E5031D3"/>
    <w:rsid w:val="6EA41261"/>
    <w:rsid w:val="6EDB568B"/>
    <w:rsid w:val="6F0B0CDB"/>
    <w:rsid w:val="6F183550"/>
    <w:rsid w:val="6F400286"/>
    <w:rsid w:val="6F6E4AFF"/>
    <w:rsid w:val="6F9F044F"/>
    <w:rsid w:val="6FCD1928"/>
    <w:rsid w:val="7017608F"/>
    <w:rsid w:val="704D11EE"/>
    <w:rsid w:val="705A0CD1"/>
    <w:rsid w:val="709D5DCF"/>
    <w:rsid w:val="70A36C70"/>
    <w:rsid w:val="70A729E1"/>
    <w:rsid w:val="70AD2E48"/>
    <w:rsid w:val="70E62CA2"/>
    <w:rsid w:val="710C635F"/>
    <w:rsid w:val="711638AA"/>
    <w:rsid w:val="717B788E"/>
    <w:rsid w:val="71B3150E"/>
    <w:rsid w:val="71E62D3B"/>
    <w:rsid w:val="71EE1295"/>
    <w:rsid w:val="71FD02E7"/>
    <w:rsid w:val="722C0B88"/>
    <w:rsid w:val="722E2EA9"/>
    <w:rsid w:val="729B5374"/>
    <w:rsid w:val="72CF071D"/>
    <w:rsid w:val="72D2048F"/>
    <w:rsid w:val="73374B7F"/>
    <w:rsid w:val="73402BC5"/>
    <w:rsid w:val="73523E4D"/>
    <w:rsid w:val="737A34D9"/>
    <w:rsid w:val="738C2151"/>
    <w:rsid w:val="738D5998"/>
    <w:rsid w:val="739710DE"/>
    <w:rsid w:val="739A1AFC"/>
    <w:rsid w:val="73A26DEB"/>
    <w:rsid w:val="73B806BE"/>
    <w:rsid w:val="73E6120B"/>
    <w:rsid w:val="73FB2F08"/>
    <w:rsid w:val="741D55BA"/>
    <w:rsid w:val="743106D8"/>
    <w:rsid w:val="74354239"/>
    <w:rsid w:val="74366D94"/>
    <w:rsid w:val="744D473B"/>
    <w:rsid w:val="74513AF1"/>
    <w:rsid w:val="746B3CAF"/>
    <w:rsid w:val="74754750"/>
    <w:rsid w:val="74B546A5"/>
    <w:rsid w:val="74C20ECB"/>
    <w:rsid w:val="74D70265"/>
    <w:rsid w:val="74FF4475"/>
    <w:rsid w:val="7501218E"/>
    <w:rsid w:val="754937FF"/>
    <w:rsid w:val="757232B9"/>
    <w:rsid w:val="757D9334"/>
    <w:rsid w:val="7580174E"/>
    <w:rsid w:val="75AA747B"/>
    <w:rsid w:val="75D54D59"/>
    <w:rsid w:val="75D56130"/>
    <w:rsid w:val="76037E52"/>
    <w:rsid w:val="761C26EA"/>
    <w:rsid w:val="762754E7"/>
    <w:rsid w:val="763C24E0"/>
    <w:rsid w:val="7641097A"/>
    <w:rsid w:val="7654267A"/>
    <w:rsid w:val="7662793F"/>
    <w:rsid w:val="766F7295"/>
    <w:rsid w:val="7671125F"/>
    <w:rsid w:val="76930D8F"/>
    <w:rsid w:val="76DA3215"/>
    <w:rsid w:val="76EE0B02"/>
    <w:rsid w:val="76F52177"/>
    <w:rsid w:val="772E0EFE"/>
    <w:rsid w:val="775001F8"/>
    <w:rsid w:val="7755292F"/>
    <w:rsid w:val="77582649"/>
    <w:rsid w:val="77644784"/>
    <w:rsid w:val="77676A05"/>
    <w:rsid w:val="77710016"/>
    <w:rsid w:val="77853D80"/>
    <w:rsid w:val="7791148D"/>
    <w:rsid w:val="77DB4757"/>
    <w:rsid w:val="781C169F"/>
    <w:rsid w:val="781D017E"/>
    <w:rsid w:val="78281DF2"/>
    <w:rsid w:val="788D3082"/>
    <w:rsid w:val="78BA4BE3"/>
    <w:rsid w:val="78D0322B"/>
    <w:rsid w:val="78FE2225"/>
    <w:rsid w:val="79174419"/>
    <w:rsid w:val="793B3DA7"/>
    <w:rsid w:val="796F00A6"/>
    <w:rsid w:val="7977420F"/>
    <w:rsid w:val="79AE2763"/>
    <w:rsid w:val="79E306C6"/>
    <w:rsid w:val="7A0C3669"/>
    <w:rsid w:val="7A30210C"/>
    <w:rsid w:val="7A527C0D"/>
    <w:rsid w:val="7A8B2B63"/>
    <w:rsid w:val="7A9D69F8"/>
    <w:rsid w:val="7A9E45ED"/>
    <w:rsid w:val="7AAB68AA"/>
    <w:rsid w:val="7AC93465"/>
    <w:rsid w:val="7ACC5AD7"/>
    <w:rsid w:val="7AF23B57"/>
    <w:rsid w:val="7AF84C48"/>
    <w:rsid w:val="7B106671"/>
    <w:rsid w:val="7B9E40C9"/>
    <w:rsid w:val="7BA10A40"/>
    <w:rsid w:val="7BED0375"/>
    <w:rsid w:val="7BF605D5"/>
    <w:rsid w:val="7C2E7969"/>
    <w:rsid w:val="7C711F43"/>
    <w:rsid w:val="7C7C4DF9"/>
    <w:rsid w:val="7C864AF6"/>
    <w:rsid w:val="7CB665FC"/>
    <w:rsid w:val="7CB84E88"/>
    <w:rsid w:val="7CCF0A8E"/>
    <w:rsid w:val="7CCF6945"/>
    <w:rsid w:val="7CE80EC9"/>
    <w:rsid w:val="7CF1325B"/>
    <w:rsid w:val="7D537911"/>
    <w:rsid w:val="7D575A72"/>
    <w:rsid w:val="7D5D1E07"/>
    <w:rsid w:val="7D7B6E68"/>
    <w:rsid w:val="7DA33863"/>
    <w:rsid w:val="7DAA43E4"/>
    <w:rsid w:val="7DEA1ACC"/>
    <w:rsid w:val="7DF05160"/>
    <w:rsid w:val="7DFA3259"/>
    <w:rsid w:val="7DFD061C"/>
    <w:rsid w:val="7E0D5D12"/>
    <w:rsid w:val="7E32455A"/>
    <w:rsid w:val="7E3A2EEA"/>
    <w:rsid w:val="7E7E048E"/>
    <w:rsid w:val="7E7E276B"/>
    <w:rsid w:val="7E903C73"/>
    <w:rsid w:val="7E9B4050"/>
    <w:rsid w:val="7EAC5AF2"/>
    <w:rsid w:val="7EB643A4"/>
    <w:rsid w:val="7EDB2536"/>
    <w:rsid w:val="7EE5287C"/>
    <w:rsid w:val="7EF6285C"/>
    <w:rsid w:val="7EF667A6"/>
    <w:rsid w:val="7F0245CE"/>
    <w:rsid w:val="7F0A49F2"/>
    <w:rsid w:val="7F146331"/>
    <w:rsid w:val="7F777854"/>
    <w:rsid w:val="7F846928"/>
    <w:rsid w:val="7F8E5C58"/>
    <w:rsid w:val="7FBF27D5"/>
    <w:rsid w:val="7FDA1469"/>
    <w:rsid w:val="ABFF18B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nhideWhenUsed="0" w:uiPriority="9" w:semiHidden="0" w:name="heading 3"/>
    <w:lsdException w:qFormat="1" w:uiPriority="0" w:semiHidden="0" w:name="heading 4"/>
    <w:lsdException w:qFormat="1" w:uiPriority="0" w:semiHidden="0" w:name="heading 5"/>
    <w:lsdException w:qFormat="1" w:uiPriority="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qFormat="1" w:unhideWhenUsed="0" w:uiPriority="99"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qFormat="1" w:uiPriority="99" w:semiHidden="0" w:name="footnote text"/>
    <w:lsdException w:qFormat="1"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qFormat="1" w:uiPriority="99" w:semiHidden="0" w:name="table of figures"/>
    <w:lsdException w:unhideWhenUsed="0" w:uiPriority="0" w:semiHidden="0" w:name="envelope address"/>
    <w:lsdException w:unhideWhenUsed="0" w:uiPriority="0" w:semiHidden="0" w:name="envelope return"/>
    <w:lsdException w:qFormat="1" w:uiPriority="99"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99" w:semiHidden="0" w:name="toa heading"/>
    <w:lsdException w:unhideWhenUsed="0" w:uiPriority="0" w:semiHidden="0" w:name="List"/>
    <w:lsdException w:unhideWhenUsed="0" w:uiPriority="0" w:semiHidden="0" w:name="List Bullet"/>
    <w:lsdException w:unhideWhenUsed="0" w:uiPriority="0" w:semiHidden="0" w:name="List Number"/>
    <w:lsdException w:qFormat="1" w:uiPriority="99"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semiHidden="0" w:name="Default Paragraph Font"/>
    <w:lsdException w:qFormat="1"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qFormat="1" w:unhideWhenUsed="0" w:uiPriority="0" w:semiHidden="0" w:name="Block Text"/>
    <w:lsdException w:qFormat="1"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iPriority="9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80"/>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9"/>
    <w:pPr>
      <w:keepNext/>
      <w:jc w:val="center"/>
      <w:outlineLvl w:val="0"/>
    </w:pPr>
    <w:rPr>
      <w:rFonts w:ascii="楷体_GB2312" w:eastAsia="楷体_GB2312"/>
      <w:b/>
      <w:bCs/>
    </w:rPr>
  </w:style>
  <w:style w:type="paragraph" w:styleId="3">
    <w:name w:val="heading 2"/>
    <w:basedOn w:val="1"/>
    <w:next w:val="1"/>
    <w:unhideWhenUsed/>
    <w:qFormat/>
    <w:uiPriority w:val="0"/>
    <w:pPr>
      <w:keepNext/>
      <w:keepLines/>
      <w:numPr>
        <w:ilvl w:val="1"/>
        <w:numId w:val="1"/>
      </w:numPr>
      <w:jc w:val="left"/>
      <w:outlineLvl w:val="1"/>
    </w:pPr>
    <w:rPr>
      <w:rFonts w:ascii="宋体" w:hAnsi="宋体" w:cstheme="majorBidi"/>
      <w:b/>
      <w:bCs/>
      <w:sz w:val="32"/>
      <w:szCs w:val="32"/>
    </w:rPr>
  </w:style>
  <w:style w:type="paragraph" w:styleId="4">
    <w:name w:val="heading 3"/>
    <w:basedOn w:val="1"/>
    <w:next w:val="1"/>
    <w:qFormat/>
    <w:uiPriority w:val="9"/>
    <w:pPr>
      <w:widowControl/>
      <w:numPr>
        <w:ilvl w:val="2"/>
        <w:numId w:val="2"/>
      </w:numPr>
      <w:autoSpaceDE w:val="0"/>
      <w:autoSpaceDN w:val="0"/>
      <w:adjustRightInd w:val="0"/>
      <w:spacing w:beforeLines="50" w:afterLines="50" w:line="360" w:lineRule="auto"/>
      <w:outlineLvl w:val="2"/>
    </w:pPr>
    <w:rPr>
      <w:rFonts w:ascii="CG Times" w:hAnsi="CG Times"/>
      <w:color w:val="000000"/>
      <w:kern w:val="0"/>
      <w:sz w:val="24"/>
      <w:szCs w:val="20"/>
    </w:rPr>
  </w:style>
  <w:style w:type="paragraph" w:styleId="5">
    <w:name w:val="heading 4"/>
    <w:basedOn w:val="1"/>
    <w:next w:val="1"/>
    <w:unhideWhenUsed/>
    <w:qFormat/>
    <w:uiPriority w:val="0"/>
    <w:pPr>
      <w:keepNext/>
      <w:keepLines/>
      <w:numPr>
        <w:ilvl w:val="3"/>
        <w:numId w:val="1"/>
      </w:numPr>
      <w:jc w:val="left"/>
      <w:outlineLvl w:val="3"/>
    </w:pPr>
    <w:rPr>
      <w:rFonts w:ascii="宋体" w:hAnsiTheme="majorHAnsi" w:cstheme="majorBidi"/>
      <w:b/>
      <w:bCs/>
      <w:sz w:val="28"/>
      <w:szCs w:val="28"/>
    </w:rPr>
  </w:style>
  <w:style w:type="paragraph" w:styleId="6">
    <w:name w:val="heading 5"/>
    <w:basedOn w:val="1"/>
    <w:next w:val="1"/>
    <w:unhideWhenUsed/>
    <w:qFormat/>
    <w:uiPriority w:val="0"/>
    <w:pPr>
      <w:keepNext/>
      <w:keepLines/>
      <w:numPr>
        <w:ilvl w:val="4"/>
        <w:numId w:val="1"/>
      </w:numPr>
      <w:tabs>
        <w:tab w:val="left" w:pos="576"/>
      </w:tabs>
      <w:jc w:val="left"/>
      <w:outlineLvl w:val="4"/>
    </w:pPr>
    <w:rPr>
      <w:rFonts w:ascii="宋体" w:hAnsi="宋体"/>
      <w:b/>
      <w:bCs/>
      <w:szCs w:val="20"/>
    </w:rPr>
  </w:style>
  <w:style w:type="paragraph" w:styleId="7">
    <w:name w:val="heading 6"/>
    <w:basedOn w:val="1"/>
    <w:next w:val="1"/>
    <w:unhideWhenUsed/>
    <w:qFormat/>
    <w:uiPriority w:val="9"/>
    <w:pPr>
      <w:keepNext/>
      <w:keepLines/>
      <w:numPr>
        <w:ilvl w:val="5"/>
        <w:numId w:val="1"/>
      </w:numPr>
      <w:spacing w:before="240" w:after="64" w:line="320" w:lineRule="auto"/>
      <w:outlineLvl w:val="5"/>
    </w:pPr>
    <w:rPr>
      <w:rFonts w:asciiTheme="majorHAnsi" w:hAnsiTheme="majorHAnsi" w:eastAsiaTheme="majorEastAsia" w:cstheme="majorBidi"/>
      <w:b/>
      <w:bCs/>
      <w:szCs w:val="24"/>
    </w:rPr>
  </w:style>
  <w:style w:type="character" w:default="1" w:styleId="34">
    <w:name w:val="Default Paragraph Font"/>
    <w:unhideWhenUsed/>
    <w:qFormat/>
    <w:uiPriority w:val="1"/>
  </w:style>
  <w:style w:type="table" w:default="1" w:styleId="32">
    <w:name w:val="Normal Table"/>
    <w:unhideWhenUsed/>
    <w:qFormat/>
    <w:uiPriority w:val="99"/>
    <w:tblPr>
      <w:tblCellMar>
        <w:top w:w="0" w:type="dxa"/>
        <w:left w:w="108" w:type="dxa"/>
        <w:bottom w:w="0" w:type="dxa"/>
        <w:right w:w="108" w:type="dxa"/>
      </w:tblCellMar>
    </w:tblPr>
  </w:style>
  <w:style w:type="paragraph" w:styleId="8">
    <w:name w:val="Normal Indent"/>
    <w:basedOn w:val="1"/>
    <w:next w:val="1"/>
    <w:unhideWhenUsed/>
    <w:qFormat/>
    <w:uiPriority w:val="99"/>
    <w:pPr>
      <w:adjustRightInd w:val="0"/>
      <w:spacing w:line="312" w:lineRule="atLeast"/>
      <w:ind w:firstLine="420"/>
    </w:pPr>
    <w:rPr>
      <w:rFonts w:cs="黑体"/>
    </w:rPr>
  </w:style>
  <w:style w:type="paragraph" w:styleId="9">
    <w:name w:val="toa heading"/>
    <w:basedOn w:val="1"/>
    <w:next w:val="1"/>
    <w:unhideWhenUsed/>
    <w:qFormat/>
    <w:uiPriority w:val="99"/>
    <w:pPr>
      <w:spacing w:before="120"/>
    </w:pPr>
    <w:rPr>
      <w:rFonts w:ascii="Arial" w:hAnsi="Arial" w:eastAsia="仿宋_GB2312" w:cs="Arial"/>
      <w:b/>
      <w:bCs/>
      <w:color w:val="000000"/>
      <w:kern w:val="0"/>
      <w:sz w:val="24"/>
      <w:szCs w:val="21"/>
    </w:rPr>
  </w:style>
  <w:style w:type="paragraph" w:styleId="10">
    <w:name w:val="annotation text"/>
    <w:basedOn w:val="1"/>
    <w:qFormat/>
    <w:uiPriority w:val="0"/>
    <w:pPr>
      <w:jc w:val="left"/>
    </w:pPr>
  </w:style>
  <w:style w:type="paragraph" w:styleId="11">
    <w:name w:val="Body Text"/>
    <w:basedOn w:val="1"/>
    <w:next w:val="12"/>
    <w:unhideWhenUsed/>
    <w:qFormat/>
    <w:uiPriority w:val="0"/>
    <w:pPr>
      <w:spacing w:after="120"/>
    </w:pPr>
    <w:rPr>
      <w:rFonts w:ascii="Times New Roman" w:hAnsi="Times New Roman"/>
      <w:szCs w:val="24"/>
    </w:rPr>
  </w:style>
  <w:style w:type="paragraph" w:styleId="12">
    <w:name w:val="Body Text First Indent"/>
    <w:basedOn w:val="11"/>
    <w:next w:val="13"/>
    <w:qFormat/>
    <w:uiPriority w:val="0"/>
    <w:pPr>
      <w:autoSpaceDE w:val="0"/>
      <w:autoSpaceDN w:val="0"/>
      <w:adjustRightInd w:val="0"/>
      <w:ind w:firstLine="420" w:firstLineChars="100"/>
      <w:textAlignment w:val="baseline"/>
    </w:pPr>
    <w:rPr>
      <w:sz w:val="24"/>
      <w:szCs w:val="20"/>
    </w:rPr>
  </w:style>
  <w:style w:type="paragraph" w:styleId="13">
    <w:name w:val="toc 6"/>
    <w:basedOn w:val="1"/>
    <w:next w:val="1"/>
    <w:qFormat/>
    <w:uiPriority w:val="99"/>
    <w:pPr>
      <w:ind w:left="2100" w:leftChars="1000"/>
    </w:pPr>
  </w:style>
  <w:style w:type="paragraph" w:styleId="14">
    <w:name w:val="Body Text Indent"/>
    <w:basedOn w:val="1"/>
    <w:next w:val="1"/>
    <w:qFormat/>
    <w:uiPriority w:val="0"/>
    <w:pPr>
      <w:ind w:left="360" w:firstLine="56" w:firstLineChars="20"/>
    </w:pPr>
    <w:rPr>
      <w:rFonts w:eastAsia="仿宋_GB2312"/>
      <w:kern w:val="0"/>
      <w:sz w:val="32"/>
      <w:szCs w:val="24"/>
    </w:rPr>
  </w:style>
  <w:style w:type="paragraph" w:styleId="15">
    <w:name w:val="List 2"/>
    <w:basedOn w:val="1"/>
    <w:unhideWhenUsed/>
    <w:qFormat/>
    <w:uiPriority w:val="99"/>
    <w:pPr>
      <w:ind w:left="100" w:leftChars="200" w:hanging="200" w:hangingChars="200"/>
      <w:contextualSpacing/>
    </w:pPr>
  </w:style>
  <w:style w:type="paragraph" w:styleId="16">
    <w:name w:val="Block Text"/>
    <w:basedOn w:val="1"/>
    <w:qFormat/>
    <w:uiPriority w:val="0"/>
    <w:pPr>
      <w:spacing w:beforeLines="50" w:afterLines="50"/>
      <w:ind w:left="426" w:right="-11" w:hanging="426" w:hangingChars="203"/>
    </w:pPr>
    <w:rPr>
      <w:rFonts w:eastAsia="楷体_GB2312"/>
    </w:rPr>
  </w:style>
  <w:style w:type="paragraph" w:styleId="17">
    <w:name w:val="toc 3"/>
    <w:basedOn w:val="1"/>
    <w:next w:val="1"/>
    <w:qFormat/>
    <w:uiPriority w:val="0"/>
    <w:pPr>
      <w:ind w:left="840" w:leftChars="400"/>
    </w:pPr>
  </w:style>
  <w:style w:type="paragraph" w:styleId="18">
    <w:name w:val="Plain Text"/>
    <w:basedOn w:val="1"/>
    <w:next w:val="19"/>
    <w:unhideWhenUsed/>
    <w:qFormat/>
    <w:uiPriority w:val="99"/>
    <w:pPr>
      <w:widowControl/>
      <w:overflowPunct w:val="0"/>
      <w:autoSpaceDE w:val="0"/>
      <w:autoSpaceDN w:val="0"/>
      <w:adjustRightInd w:val="0"/>
      <w:jc w:val="left"/>
    </w:pPr>
    <w:rPr>
      <w:rFonts w:ascii="宋体" w:hAnsi="Courier New" w:cs="黑体"/>
      <w:szCs w:val="21"/>
    </w:rPr>
  </w:style>
  <w:style w:type="paragraph" w:styleId="19">
    <w:name w:val="Date"/>
    <w:basedOn w:val="1"/>
    <w:next w:val="1"/>
    <w:qFormat/>
    <w:uiPriority w:val="0"/>
    <w:pPr>
      <w:ind w:left="100" w:leftChars="2500"/>
    </w:pPr>
    <w:rPr>
      <w:sz w:val="24"/>
    </w:rPr>
  </w:style>
  <w:style w:type="paragraph" w:styleId="20">
    <w:name w:val="Balloon Text"/>
    <w:basedOn w:val="1"/>
    <w:link w:val="77"/>
    <w:qFormat/>
    <w:uiPriority w:val="0"/>
    <w:rPr>
      <w:sz w:val="18"/>
      <w:szCs w:val="18"/>
    </w:rPr>
  </w:style>
  <w:style w:type="paragraph" w:styleId="21">
    <w:name w:val="footer"/>
    <w:basedOn w:val="1"/>
    <w:unhideWhenUsed/>
    <w:qFormat/>
    <w:uiPriority w:val="99"/>
    <w:pPr>
      <w:tabs>
        <w:tab w:val="center" w:pos="4153"/>
        <w:tab w:val="right" w:pos="8306"/>
      </w:tabs>
      <w:snapToGrid w:val="0"/>
      <w:jc w:val="left"/>
    </w:pPr>
    <w:rPr>
      <w:sz w:val="18"/>
      <w:szCs w:val="18"/>
    </w:rPr>
  </w:style>
  <w:style w:type="paragraph" w:styleId="22">
    <w:name w:val="header"/>
    <w:basedOn w:val="1"/>
    <w:next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23">
    <w:name w:val="toc 1"/>
    <w:basedOn w:val="1"/>
    <w:next w:val="1"/>
    <w:unhideWhenUsed/>
    <w:qFormat/>
    <w:uiPriority w:val="39"/>
    <w:pPr>
      <w:spacing w:line="340" w:lineRule="exact"/>
    </w:pPr>
  </w:style>
  <w:style w:type="paragraph" w:styleId="24">
    <w:name w:val="footnote text"/>
    <w:basedOn w:val="1"/>
    <w:unhideWhenUsed/>
    <w:qFormat/>
    <w:uiPriority w:val="99"/>
    <w:pPr>
      <w:snapToGrid w:val="0"/>
      <w:spacing w:beforeLines="0" w:afterLines="0"/>
      <w:jc w:val="left"/>
    </w:pPr>
    <w:rPr>
      <w:rFonts w:hint="eastAsia"/>
      <w:sz w:val="18"/>
    </w:rPr>
  </w:style>
  <w:style w:type="paragraph" w:styleId="25">
    <w:name w:val="Body Text Indent 3"/>
    <w:basedOn w:val="1"/>
    <w:qFormat/>
    <w:uiPriority w:val="0"/>
    <w:pPr>
      <w:snapToGrid w:val="0"/>
      <w:ind w:firstLine="480" w:firstLineChars="200"/>
      <w:jc w:val="left"/>
    </w:pPr>
    <w:rPr>
      <w:rFonts w:ascii="仿宋_GB2312" w:hAnsi="宋体" w:eastAsia="仿宋_GB2312"/>
      <w:color w:val="000000"/>
      <w:sz w:val="24"/>
    </w:rPr>
  </w:style>
  <w:style w:type="paragraph" w:styleId="26">
    <w:name w:val="table of figures"/>
    <w:basedOn w:val="1"/>
    <w:next w:val="1"/>
    <w:unhideWhenUsed/>
    <w:qFormat/>
    <w:uiPriority w:val="99"/>
    <w:pPr>
      <w:tabs>
        <w:tab w:val="left" w:pos="1270"/>
      </w:tabs>
      <w:spacing w:line="360" w:lineRule="auto"/>
      <w:ind w:left="1270" w:hanging="420"/>
      <w:jc w:val="left"/>
    </w:pPr>
    <w:rPr>
      <w:rFonts w:ascii="Times New Roman" w:hAnsi="Times New Roman"/>
      <w:smallCaps/>
      <w:sz w:val="20"/>
      <w:szCs w:val="20"/>
    </w:rPr>
  </w:style>
  <w:style w:type="paragraph" w:styleId="27">
    <w:name w:val="toc 2"/>
    <w:basedOn w:val="1"/>
    <w:next w:val="1"/>
    <w:qFormat/>
    <w:uiPriority w:val="0"/>
    <w:pPr>
      <w:ind w:left="420" w:leftChars="200"/>
    </w:pPr>
  </w:style>
  <w:style w:type="paragraph" w:styleId="28">
    <w:name w:val="Normal (Web)"/>
    <w:basedOn w:val="1"/>
    <w:next w:val="27"/>
    <w:qFormat/>
    <w:uiPriority w:val="0"/>
    <w:pPr>
      <w:spacing w:beforeAutospacing="1" w:afterAutospacing="1"/>
      <w:jc w:val="left"/>
    </w:pPr>
    <w:rPr>
      <w:kern w:val="0"/>
      <w:sz w:val="24"/>
    </w:rPr>
  </w:style>
  <w:style w:type="paragraph" w:styleId="29">
    <w:name w:val="Title"/>
    <w:basedOn w:val="1"/>
    <w:next w:val="1"/>
    <w:qFormat/>
    <w:uiPriority w:val="10"/>
    <w:pPr>
      <w:jc w:val="center"/>
    </w:pPr>
    <w:rPr>
      <w:rFonts w:ascii="Arial" w:hAnsi="Arial"/>
      <w:b/>
      <w:kern w:val="0"/>
      <w:sz w:val="36"/>
      <w:szCs w:val="20"/>
      <w:lang w:eastAsia="en-US"/>
    </w:rPr>
  </w:style>
  <w:style w:type="paragraph" w:styleId="30">
    <w:name w:val="Body Text First Indent 2"/>
    <w:basedOn w:val="14"/>
    <w:next w:val="31"/>
    <w:unhideWhenUsed/>
    <w:qFormat/>
    <w:uiPriority w:val="99"/>
    <w:pPr>
      <w:spacing w:after="120"/>
      <w:ind w:left="420" w:leftChars="200" w:firstLine="420"/>
    </w:pPr>
    <w:rPr>
      <w:rFonts w:cs="宋体"/>
      <w:sz w:val="21"/>
      <w:szCs w:val="21"/>
    </w:rPr>
  </w:style>
  <w:style w:type="paragraph" w:customStyle="1" w:styleId="31">
    <w:name w:val="xl53"/>
    <w:basedOn w:val="1"/>
    <w:next w:val="1"/>
    <w:qFormat/>
    <w:uiPriority w:val="0"/>
    <w:pPr>
      <w:widowControl/>
      <w:pBdr>
        <w:top w:val="single" w:color="auto" w:sz="4" w:space="0"/>
        <w:left w:val="single" w:color="auto" w:sz="8" w:space="0"/>
        <w:bottom w:val="single" w:color="auto" w:sz="8" w:space="0"/>
        <w:right w:val="single" w:color="auto" w:sz="4" w:space="0"/>
      </w:pBdr>
      <w:spacing w:before="100" w:beforeAutospacing="1" w:after="100" w:afterAutospacing="1" w:line="100" w:lineRule="exact"/>
      <w:jc w:val="center"/>
    </w:pPr>
    <w:rPr>
      <w:rFonts w:ascii="宋体" w:hAnsi="宋体"/>
      <w:b/>
      <w:bCs/>
      <w:kern w:val="0"/>
      <w:sz w:val="20"/>
      <w:szCs w:val="20"/>
    </w:rPr>
  </w:style>
  <w:style w:type="table" w:styleId="33">
    <w:name w:val="Table Grid"/>
    <w:basedOn w:val="32"/>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5">
    <w:name w:val="Strong"/>
    <w:basedOn w:val="34"/>
    <w:qFormat/>
    <w:uiPriority w:val="0"/>
    <w:rPr>
      <w:bCs/>
    </w:rPr>
  </w:style>
  <w:style w:type="character" w:styleId="36">
    <w:name w:val="page number"/>
    <w:basedOn w:val="34"/>
    <w:qFormat/>
    <w:uiPriority w:val="0"/>
  </w:style>
  <w:style w:type="character" w:styleId="37">
    <w:name w:val="FollowedHyperlink"/>
    <w:basedOn w:val="34"/>
    <w:qFormat/>
    <w:uiPriority w:val="0"/>
    <w:rPr>
      <w:color w:val="800080"/>
      <w:u w:val="none"/>
    </w:rPr>
  </w:style>
  <w:style w:type="character" w:styleId="38">
    <w:name w:val="HTML Definition"/>
    <w:basedOn w:val="34"/>
    <w:qFormat/>
    <w:uiPriority w:val="0"/>
  </w:style>
  <w:style w:type="character" w:styleId="39">
    <w:name w:val="HTML Typewriter"/>
    <w:basedOn w:val="34"/>
    <w:qFormat/>
    <w:uiPriority w:val="0"/>
    <w:rPr>
      <w:rFonts w:hint="default" w:ascii="monospace" w:hAnsi="monospace" w:eastAsia="monospace" w:cs="monospace"/>
      <w:sz w:val="20"/>
    </w:rPr>
  </w:style>
  <w:style w:type="character" w:styleId="40">
    <w:name w:val="HTML Acronym"/>
    <w:basedOn w:val="34"/>
    <w:qFormat/>
    <w:uiPriority w:val="0"/>
  </w:style>
  <w:style w:type="character" w:styleId="41">
    <w:name w:val="HTML Variable"/>
    <w:basedOn w:val="34"/>
    <w:qFormat/>
    <w:uiPriority w:val="0"/>
  </w:style>
  <w:style w:type="character" w:styleId="42">
    <w:name w:val="Hyperlink"/>
    <w:basedOn w:val="34"/>
    <w:unhideWhenUsed/>
    <w:qFormat/>
    <w:uiPriority w:val="99"/>
    <w:rPr>
      <w:color w:val="0563C1"/>
      <w:u w:val="single"/>
    </w:rPr>
  </w:style>
  <w:style w:type="character" w:styleId="43">
    <w:name w:val="HTML Code"/>
    <w:basedOn w:val="34"/>
    <w:qFormat/>
    <w:uiPriority w:val="0"/>
    <w:rPr>
      <w:rFonts w:ascii="monospace" w:hAnsi="monospace" w:eastAsia="monospace" w:cs="monospace"/>
      <w:sz w:val="20"/>
    </w:rPr>
  </w:style>
  <w:style w:type="character" w:styleId="44">
    <w:name w:val="annotation reference"/>
    <w:basedOn w:val="34"/>
    <w:qFormat/>
    <w:uiPriority w:val="0"/>
    <w:rPr>
      <w:sz w:val="21"/>
      <w:szCs w:val="21"/>
    </w:rPr>
  </w:style>
  <w:style w:type="character" w:styleId="45">
    <w:name w:val="HTML Cite"/>
    <w:basedOn w:val="34"/>
    <w:qFormat/>
    <w:uiPriority w:val="0"/>
  </w:style>
  <w:style w:type="character" w:styleId="46">
    <w:name w:val="footnote reference"/>
    <w:unhideWhenUsed/>
    <w:qFormat/>
    <w:uiPriority w:val="99"/>
    <w:rPr>
      <w:rFonts w:hint="default" w:ascii="Times New Roman"/>
      <w:sz w:val="24"/>
      <w:vertAlign w:val="superscript"/>
    </w:rPr>
  </w:style>
  <w:style w:type="character" w:styleId="47">
    <w:name w:val="HTML Keyboard"/>
    <w:basedOn w:val="34"/>
    <w:qFormat/>
    <w:uiPriority w:val="0"/>
    <w:rPr>
      <w:rFonts w:hint="default" w:ascii="monospace" w:hAnsi="monospace" w:eastAsia="monospace" w:cs="monospace"/>
      <w:sz w:val="20"/>
    </w:rPr>
  </w:style>
  <w:style w:type="character" w:styleId="48">
    <w:name w:val="HTML Sample"/>
    <w:basedOn w:val="34"/>
    <w:qFormat/>
    <w:uiPriority w:val="0"/>
    <w:rPr>
      <w:rFonts w:hint="default" w:ascii="monospace" w:hAnsi="monospace" w:eastAsia="monospace" w:cs="monospace"/>
    </w:rPr>
  </w:style>
  <w:style w:type="paragraph" w:customStyle="1" w:styleId="49">
    <w:name w:val="Default"/>
    <w:next w:val="50"/>
    <w:qFormat/>
    <w:uiPriority w:val="0"/>
    <w:pPr>
      <w:widowControl w:val="0"/>
      <w:autoSpaceDE w:val="0"/>
      <w:autoSpaceDN w:val="0"/>
      <w:adjustRightInd w:val="0"/>
      <w:spacing w:line="360" w:lineRule="auto"/>
      <w:jc w:val="both"/>
    </w:pPr>
    <w:rPr>
      <w:rFonts w:ascii="黑体" w:hAnsi="Times New Roman" w:eastAsia="黑体" w:cs="黑体"/>
      <w:color w:val="000000"/>
      <w:sz w:val="24"/>
      <w:szCs w:val="24"/>
      <w:lang w:val="en-US" w:eastAsia="zh-CN" w:bidi="ar-SA"/>
    </w:rPr>
  </w:style>
  <w:style w:type="paragraph" w:customStyle="1" w:styleId="50">
    <w:name w:val="目录 71"/>
    <w:next w:val="1"/>
    <w:qFormat/>
    <w:uiPriority w:val="0"/>
    <w:pPr>
      <w:wordWrap w:val="0"/>
      <w:ind w:left="2550"/>
      <w:jc w:val="both"/>
    </w:pPr>
    <w:rPr>
      <w:rFonts w:ascii="Times New Roman" w:hAnsi="Times New Roman" w:eastAsia="宋体" w:cs="Times New Roman"/>
      <w:sz w:val="21"/>
      <w:szCs w:val="22"/>
      <w:lang w:val="en-US" w:eastAsia="zh-CN" w:bidi="ar-SA"/>
    </w:rPr>
  </w:style>
  <w:style w:type="paragraph" w:customStyle="1" w:styleId="51">
    <w:name w:val="样式 首行缩进:  2 字符"/>
    <w:basedOn w:val="1"/>
    <w:qFormat/>
    <w:uiPriority w:val="0"/>
    <w:pPr>
      <w:spacing w:line="360" w:lineRule="auto"/>
      <w:ind w:firstLine="480" w:firstLineChars="200"/>
    </w:pPr>
    <w:rPr>
      <w:rFonts w:ascii="宋体" w:hAnsi="宋体" w:cs="宋体"/>
      <w:color w:val="000000"/>
      <w:sz w:val="24"/>
    </w:rPr>
  </w:style>
  <w:style w:type="paragraph" w:customStyle="1" w:styleId="52">
    <w:name w:val="正文文本首行缩进 2"/>
    <w:basedOn w:val="14"/>
    <w:qFormat/>
    <w:uiPriority w:val="99"/>
    <w:pPr>
      <w:spacing w:line="200" w:lineRule="atLeast"/>
      <w:ind w:firstLine="420"/>
    </w:pPr>
    <w:rPr>
      <w:rFonts w:hAnsi="Courier New"/>
      <w:spacing w:val="-4"/>
      <w:sz w:val="18"/>
      <w:szCs w:val="18"/>
    </w:rPr>
  </w:style>
  <w:style w:type="paragraph" w:customStyle="1" w:styleId="53">
    <w:name w:val="TOC 71"/>
    <w:next w:val="1"/>
    <w:qFormat/>
    <w:uiPriority w:val="0"/>
    <w:pPr>
      <w:wordWrap w:val="0"/>
      <w:ind w:left="2550"/>
      <w:jc w:val="both"/>
    </w:pPr>
    <w:rPr>
      <w:rFonts w:ascii="Times New Roman" w:hAnsi="Times New Roman" w:eastAsia="宋体" w:cs="Times New Roman"/>
      <w:sz w:val="21"/>
      <w:szCs w:val="22"/>
      <w:lang w:val="en-US" w:eastAsia="zh-CN" w:bidi="ar-SA"/>
    </w:rPr>
  </w:style>
  <w:style w:type="paragraph" w:customStyle="1" w:styleId="54">
    <w:name w:val="样式1"/>
    <w:basedOn w:val="22"/>
    <w:next w:val="11"/>
    <w:qFormat/>
    <w:uiPriority w:val="0"/>
    <w:pPr>
      <w:widowControl/>
      <w:tabs>
        <w:tab w:val="left" w:pos="1212"/>
        <w:tab w:val="left" w:pos="3888"/>
        <w:tab w:val="clear" w:pos="4153"/>
        <w:tab w:val="clear" w:pos="8306"/>
      </w:tabs>
      <w:spacing w:line="336" w:lineRule="auto"/>
      <w:ind w:firstLine="432"/>
      <w:jc w:val="left"/>
    </w:pPr>
    <w:rPr>
      <w:rFonts w:ascii="宋体" w:hAnsi="宋体"/>
      <w:kern w:val="0"/>
      <w:sz w:val="24"/>
      <w:szCs w:val="20"/>
    </w:rPr>
  </w:style>
  <w:style w:type="paragraph" w:customStyle="1" w:styleId="55">
    <w:name w:val="样式 表格正文 + 两端对齐"/>
    <w:basedOn w:val="1"/>
    <w:next w:val="56"/>
    <w:qFormat/>
    <w:uiPriority w:val="0"/>
    <w:pPr>
      <w:spacing w:line="300" w:lineRule="auto"/>
    </w:pPr>
    <w:rPr>
      <w:rFonts w:ascii="Times New Roman"/>
      <w:sz w:val="24"/>
    </w:rPr>
  </w:style>
  <w:style w:type="paragraph" w:customStyle="1" w:styleId="56">
    <w:name w:val="正文1"/>
    <w:basedOn w:val="1"/>
    <w:next w:val="57"/>
    <w:qFormat/>
    <w:uiPriority w:val="0"/>
    <w:pPr>
      <w:numPr>
        <w:ilvl w:val="0"/>
        <w:numId w:val="3"/>
      </w:numPr>
      <w:spacing w:line="500" w:lineRule="exact"/>
    </w:pPr>
    <w:rPr>
      <w:rFonts w:ascii="黑体" w:hAnsi="宋体"/>
    </w:rPr>
  </w:style>
  <w:style w:type="paragraph" w:customStyle="1" w:styleId="57">
    <w:name w:val="自动更正"/>
    <w:next w:val="58"/>
    <w:qFormat/>
    <w:uiPriority w:val="0"/>
    <w:pPr>
      <w:widowControl w:val="0"/>
      <w:jc w:val="both"/>
    </w:pPr>
    <w:rPr>
      <w:rFonts w:ascii="Calibri" w:hAnsi="Calibri" w:eastAsia="宋体" w:cs="Times New Roman"/>
      <w:kern w:val="2"/>
      <w:sz w:val="21"/>
      <w:szCs w:val="24"/>
      <w:lang w:val="en-US" w:eastAsia="zh-CN" w:bidi="ar-SA"/>
    </w:rPr>
  </w:style>
  <w:style w:type="paragraph" w:customStyle="1" w:styleId="58">
    <w:name w:val="xl39"/>
    <w:basedOn w:val="1"/>
    <w:next w:val="59"/>
    <w:qFormat/>
    <w:uiPriority w:val="0"/>
    <w:pPr>
      <w:widowControl/>
      <w:pBdr>
        <w:top w:val="single" w:color="auto" w:sz="4" w:space="0"/>
        <w:bottom w:val="single" w:color="auto" w:sz="4" w:space="0"/>
        <w:right w:val="single" w:color="auto" w:sz="4" w:space="0"/>
      </w:pBdr>
      <w:spacing w:before="100" w:after="100"/>
      <w:jc w:val="left"/>
      <w:textAlignment w:val="center"/>
    </w:pPr>
    <w:rPr>
      <w:kern w:val="0"/>
      <w:szCs w:val="20"/>
    </w:rPr>
  </w:style>
  <w:style w:type="paragraph" w:customStyle="1" w:styleId="59">
    <w:name w:val="分手多日，近况如何？"/>
    <w:next w:val="1"/>
    <w:qFormat/>
    <w:uiPriority w:val="0"/>
    <w:pPr>
      <w:widowControl w:val="0"/>
      <w:jc w:val="both"/>
    </w:pPr>
    <w:rPr>
      <w:rFonts w:ascii="Calibri" w:hAnsi="Calibri" w:eastAsia="宋体" w:cs="Times New Roman"/>
      <w:sz w:val="21"/>
      <w:lang w:val="en-US" w:eastAsia="zh-CN" w:bidi="ar-SA"/>
    </w:rPr>
  </w:style>
  <w:style w:type="paragraph" w:customStyle="1" w:styleId="60">
    <w:name w:val="Body Text First Indent 21"/>
    <w:basedOn w:val="61"/>
    <w:qFormat/>
    <w:uiPriority w:val="0"/>
    <w:pPr>
      <w:ind w:firstLine="420"/>
    </w:pPr>
    <w:rPr>
      <w:rFonts w:ascii="Times New Roman" w:hAnsi="Times New Roman" w:cs="宋体"/>
    </w:rPr>
  </w:style>
  <w:style w:type="paragraph" w:customStyle="1" w:styleId="61">
    <w:name w:val="Body Text Indent1"/>
    <w:basedOn w:val="1"/>
    <w:next w:val="1"/>
    <w:qFormat/>
    <w:uiPriority w:val="0"/>
    <w:pPr>
      <w:ind w:left="420" w:leftChars="200"/>
    </w:pPr>
    <w:rPr>
      <w:color w:val="000000"/>
      <w:szCs w:val="21"/>
    </w:rPr>
  </w:style>
  <w:style w:type="paragraph" w:customStyle="1" w:styleId="62">
    <w:name w:val="Normal Indent1"/>
    <w:basedOn w:val="1"/>
    <w:qFormat/>
    <w:uiPriority w:val="0"/>
    <w:pPr>
      <w:ind w:firstLine="420" w:firstLineChars="200"/>
    </w:pPr>
  </w:style>
  <w:style w:type="paragraph" w:customStyle="1" w:styleId="63">
    <w:name w:val="[Normal]"/>
    <w:qFormat/>
    <w:uiPriority w:val="0"/>
    <w:rPr>
      <w:rFonts w:ascii="宋体" w:hAnsi="宋体" w:eastAsia="宋体" w:cs="Times New Roman"/>
      <w:sz w:val="24"/>
      <w:szCs w:val="22"/>
      <w:lang w:val="zh-CN" w:eastAsia="zh-CN" w:bidi="ar-SA"/>
    </w:rPr>
  </w:style>
  <w:style w:type="paragraph" w:customStyle="1" w:styleId="64">
    <w:name w:val="Char"/>
    <w:basedOn w:val="1"/>
    <w:qFormat/>
    <w:uiPriority w:val="0"/>
    <w:rPr>
      <w:rFonts w:ascii="仿宋_GB2312" w:eastAsia="仿宋_GB2312"/>
      <w:b/>
      <w:sz w:val="32"/>
      <w:szCs w:val="32"/>
    </w:rPr>
  </w:style>
  <w:style w:type="paragraph" w:customStyle="1" w:styleId="65">
    <w:name w:val="列出段落1"/>
    <w:basedOn w:val="1"/>
    <w:qFormat/>
    <w:uiPriority w:val="99"/>
    <w:pPr>
      <w:ind w:firstLine="420" w:firstLineChars="200"/>
    </w:pPr>
  </w:style>
  <w:style w:type="paragraph" w:customStyle="1" w:styleId="66">
    <w:name w:val="Table Paragraph"/>
    <w:basedOn w:val="1"/>
    <w:qFormat/>
    <w:uiPriority w:val="1"/>
    <w:rPr>
      <w:rFonts w:ascii="宋体" w:hAnsi="宋体" w:cs="宋体"/>
      <w:lang w:val="zh-CN" w:bidi="zh-CN"/>
    </w:rPr>
  </w:style>
  <w:style w:type="paragraph" w:customStyle="1" w:styleId="67">
    <w:name w:val="Fließtext"/>
    <w:basedOn w:val="1"/>
    <w:qFormat/>
    <w:uiPriority w:val="0"/>
    <w:pPr>
      <w:overflowPunct w:val="0"/>
      <w:autoSpaceDE w:val="0"/>
      <w:autoSpaceDN w:val="0"/>
      <w:adjustRightInd w:val="0"/>
      <w:textAlignment w:val="baseline"/>
    </w:pPr>
    <w:rPr>
      <w:kern w:val="28"/>
      <w:szCs w:val="20"/>
    </w:rPr>
  </w:style>
  <w:style w:type="paragraph" w:customStyle="1" w:styleId="68">
    <w:name w:val="正文_17"/>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69">
    <w:name w:val="List Paragraph1"/>
    <w:basedOn w:val="1"/>
    <w:qFormat/>
    <w:uiPriority w:val="0"/>
    <w:pPr>
      <w:ind w:firstLine="420" w:firstLineChars="200"/>
    </w:pPr>
    <w:rPr>
      <w:rFonts w:ascii="Times New Roman" w:hAnsi="Times New Roman"/>
      <w:szCs w:val="24"/>
    </w:rPr>
  </w:style>
  <w:style w:type="paragraph" w:customStyle="1" w:styleId="70">
    <w:name w:val="No Spacing"/>
    <w:qFormat/>
    <w:uiPriority w:val="0"/>
    <w:pPr>
      <w:widowControl w:val="0"/>
      <w:jc w:val="both"/>
    </w:pPr>
    <w:rPr>
      <w:rFonts w:ascii="Calibri" w:hAnsi="Calibri" w:eastAsia="宋体" w:cs="Times New Roman"/>
      <w:kern w:val="2"/>
      <w:sz w:val="21"/>
      <w:szCs w:val="24"/>
      <w:lang w:val="en-US" w:eastAsia="zh-CN" w:bidi="ar-SA"/>
    </w:rPr>
  </w:style>
  <w:style w:type="paragraph" w:customStyle="1" w:styleId="71">
    <w:name w:val="正常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72">
    <w:name w:val="￥正文"/>
    <w:basedOn w:val="1"/>
    <w:qFormat/>
    <w:uiPriority w:val="0"/>
    <w:rPr>
      <w:rFonts w:eastAsia="仿宋"/>
      <w:sz w:val="32"/>
    </w:rPr>
  </w:style>
  <w:style w:type="paragraph" w:customStyle="1" w:styleId="73">
    <w:name w:val="11样式2"/>
    <w:basedOn w:val="1"/>
    <w:qFormat/>
    <w:uiPriority w:val="99"/>
    <w:pPr>
      <w:numPr>
        <w:ilvl w:val="0"/>
        <w:numId w:val="4"/>
      </w:numPr>
      <w:ind w:firstLine="0"/>
    </w:pPr>
    <w:rPr>
      <w:rFonts w:ascii="Times New Roman" w:hAnsi="Times New Roman"/>
      <w:szCs w:val="24"/>
    </w:rPr>
  </w:style>
  <w:style w:type="character" w:customStyle="1" w:styleId="74">
    <w:name w:val="font21"/>
    <w:basedOn w:val="34"/>
    <w:qFormat/>
    <w:uiPriority w:val="99"/>
    <w:rPr>
      <w:rFonts w:ascii="宋体" w:hAnsi="宋体" w:eastAsia="宋体" w:cs="宋体"/>
      <w:color w:val="000000"/>
      <w:sz w:val="21"/>
      <w:szCs w:val="21"/>
      <w:u w:val="none"/>
    </w:rPr>
  </w:style>
  <w:style w:type="paragraph" w:customStyle="1" w:styleId="75">
    <w:name w:val="reader-word-layer"/>
    <w:basedOn w:val="1"/>
    <w:qFormat/>
    <w:uiPriority w:val="0"/>
    <w:pPr>
      <w:widowControl/>
      <w:spacing w:before="100" w:beforeAutospacing="1" w:after="100" w:afterAutospacing="1"/>
      <w:jc w:val="left"/>
    </w:pPr>
    <w:rPr>
      <w:rFonts w:ascii="宋体" w:hAnsi="宋体" w:cs="宋体"/>
      <w:kern w:val="0"/>
      <w:sz w:val="24"/>
    </w:rPr>
  </w:style>
  <w:style w:type="paragraph" w:customStyle="1" w:styleId="76">
    <w:name w:val="正文_4"/>
    <w:qFormat/>
    <w:uiPriority w:val="0"/>
    <w:pPr>
      <w:widowControl w:val="0"/>
      <w:jc w:val="both"/>
    </w:pPr>
    <w:rPr>
      <w:rFonts w:ascii="Calibri" w:hAnsi="Calibri" w:eastAsia="宋体" w:cs="Times New Roman"/>
      <w:kern w:val="2"/>
      <w:sz w:val="21"/>
      <w:szCs w:val="24"/>
      <w:lang w:val="en-US" w:eastAsia="zh-CN" w:bidi="ar-SA"/>
    </w:rPr>
  </w:style>
  <w:style w:type="character" w:customStyle="1" w:styleId="77">
    <w:name w:val="批注框文本 字符"/>
    <w:basedOn w:val="34"/>
    <w:link w:val="20"/>
    <w:qFormat/>
    <w:uiPriority w:val="0"/>
    <w:rPr>
      <w:kern w:val="2"/>
      <w:sz w:val="18"/>
      <w:szCs w:val="18"/>
    </w:rPr>
  </w:style>
  <w:style w:type="paragraph" w:customStyle="1" w:styleId="78">
    <w:name w:val="p0"/>
    <w:basedOn w:val="1"/>
    <w:qFormat/>
    <w:uiPriority w:val="0"/>
    <w:pPr>
      <w:widowControl/>
      <w:spacing w:line="360" w:lineRule="atLeast"/>
      <w:ind w:firstLine="641"/>
    </w:pPr>
    <w:rPr>
      <w:kern w:val="0"/>
    </w:rPr>
  </w:style>
  <w:style w:type="paragraph" w:customStyle="1" w:styleId="79">
    <w:name w:val="content5"/>
    <w:basedOn w:val="1"/>
    <w:qFormat/>
    <w:uiPriority w:val="0"/>
    <w:pPr>
      <w:widowControl/>
      <w:spacing w:before="100" w:beforeAutospacing="1" w:after="100" w:afterAutospacing="1"/>
      <w:jc w:val="left"/>
    </w:pPr>
    <w:rPr>
      <w:rFonts w:ascii="幼圆" w:hAnsi="幼圆" w:eastAsia="幼圆" w:cs="幼圆"/>
      <w:b/>
      <w:color w:val="000000"/>
      <w:kern w:val="0"/>
      <w:sz w:val="84"/>
    </w:rPr>
  </w:style>
  <w:style w:type="character" w:customStyle="1" w:styleId="80">
    <w:name w:val="NormalCharacter"/>
    <w:link w:val="1"/>
    <w:qFormat/>
    <w:uiPriority w:val="0"/>
    <w:rPr>
      <w:rFonts w:ascii="Calibri" w:hAnsi="Calibri" w:eastAsia="宋体" w:cs="Times New Roman"/>
      <w:kern w:val="2"/>
      <w:sz w:val="21"/>
      <w:szCs w:val="22"/>
      <w:lang w:val="en-US" w:eastAsia="zh-CN" w:bidi="ar-SA"/>
    </w:rPr>
  </w:style>
  <w:style w:type="paragraph" w:customStyle="1" w:styleId="81">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82">
    <w:name w:val="表内文字"/>
    <w:basedOn w:val="1"/>
    <w:qFormat/>
    <w:uiPriority w:val="0"/>
    <w:pPr>
      <w:tabs>
        <w:tab w:val="left" w:pos="1418"/>
      </w:tabs>
      <w:spacing w:line="360" w:lineRule="auto"/>
      <w:jc w:val="center"/>
    </w:pPr>
    <w:rPr>
      <w:rFonts w:hint="eastAsia" w:ascii="仿宋_GB2312" w:eastAsia="仿宋_GB2312"/>
      <w:spacing w:val="-20"/>
      <w:kern w:val="0"/>
      <w:sz w:val="24"/>
    </w:rPr>
  </w:style>
  <w:style w:type="paragraph" w:customStyle="1" w:styleId="83">
    <w:name w:val="表格内容"/>
    <w:basedOn w:val="11"/>
    <w:qFormat/>
    <w:uiPriority w:val="99"/>
    <w:pPr>
      <w:suppressLineNumbers/>
      <w:suppressAutoHyphens/>
    </w:pPr>
    <w:rPr>
      <w:kern w:val="1"/>
      <w:lang w:eastAsia="ar-SA"/>
    </w:rPr>
  </w:style>
  <w:style w:type="paragraph" w:customStyle="1" w:styleId="84">
    <w:name w:val="1册标题1"/>
    <w:basedOn w:val="1"/>
    <w:next w:val="1"/>
    <w:qFormat/>
    <w:uiPriority w:val="0"/>
    <w:pPr>
      <w:spacing w:beforeLines="50" w:afterLines="50" w:line="300" w:lineRule="auto"/>
      <w:jc w:val="center"/>
      <w:outlineLvl w:val="0"/>
    </w:pPr>
    <w:rPr>
      <w:rFonts w:ascii="Arial" w:hAnsi="Arial" w:eastAsia="黑体"/>
      <w:b/>
      <w:bCs/>
      <w:sz w:val="48"/>
      <w:szCs w:val="20"/>
    </w:rPr>
  </w:style>
  <w:style w:type="paragraph" w:customStyle="1" w:styleId="85">
    <w:name w:val="正文2"/>
    <w:basedOn w:val="1"/>
    <w:qFormat/>
    <w:uiPriority w:val="0"/>
    <w:pPr>
      <w:spacing w:before="156" w:line="360" w:lineRule="auto"/>
      <w:ind w:firstLine="510" w:firstLineChars="200"/>
    </w:pPr>
    <w:rPr>
      <w:sz w:val="24"/>
      <w:szCs w:val="20"/>
    </w:rPr>
  </w:style>
  <w:style w:type="paragraph" w:customStyle="1" w:styleId="86">
    <w:name w:val="_Style 17"/>
    <w:basedOn w:val="1"/>
    <w:next w:val="87"/>
    <w:qFormat/>
    <w:uiPriority w:val="0"/>
    <w:pPr>
      <w:ind w:firstLine="420" w:firstLineChars="200"/>
    </w:pPr>
  </w:style>
  <w:style w:type="paragraph" w:customStyle="1" w:styleId="87">
    <w:name w:val="List Paragraph"/>
    <w:basedOn w:val="1"/>
    <w:qFormat/>
    <w:uiPriority w:val="0"/>
    <w:pPr>
      <w:ind w:firstLine="420" w:firstLineChars="200"/>
    </w:pPr>
    <w:rPr>
      <w:rFonts w:eastAsia="仿宋_GB2312"/>
      <w:sz w:val="24"/>
      <w:szCs w:val="21"/>
    </w:rPr>
  </w:style>
  <w:style w:type="paragraph" w:customStyle="1" w:styleId="88">
    <w:name w:val="表格文字"/>
    <w:basedOn w:val="1"/>
    <w:next w:val="11"/>
    <w:qFormat/>
    <w:uiPriority w:val="0"/>
    <w:pPr>
      <w:adjustRightInd w:val="0"/>
      <w:spacing w:line="420" w:lineRule="atLeast"/>
      <w:jc w:val="left"/>
      <w:textAlignment w:val="baseline"/>
    </w:pPr>
    <w:rPr>
      <w:rFonts w:ascii="Times New Roman" w:hAnsi="Times New Roman"/>
      <w:kern w:val="0"/>
      <w:szCs w:val="24"/>
    </w:rPr>
  </w:style>
  <w:style w:type="paragraph" w:customStyle="1" w:styleId="89">
    <w:name w:val="正文 A"/>
    <w:qFormat/>
    <w:uiPriority w:val="0"/>
    <w:pPr>
      <w:framePr w:wrap="around" w:vAnchor="margin" w:hAnchor="text" w:yAlign="top"/>
      <w:widowControl w:val="0"/>
      <w:jc w:val="both"/>
    </w:pPr>
    <w:rPr>
      <w:rFonts w:ascii="Times New Roman" w:hAnsi="Times New Roman" w:eastAsia="Arial Unicode MS" w:cs="Arial Unicode MS"/>
      <w:color w:val="000000"/>
      <w:kern w:val="2"/>
      <w:sz w:val="21"/>
      <w:szCs w:val="21"/>
      <w:u w:color="000000"/>
      <w:lang w:val="en-US" w:eastAsia="zh-CN" w:bidi="ar-SA"/>
    </w:rPr>
  </w:style>
  <w:style w:type="paragraph" w:customStyle="1" w:styleId="90">
    <w:name w:val="列出段落111"/>
    <w:basedOn w:val="1"/>
    <w:qFormat/>
    <w:uiPriority w:val="99"/>
    <w:pPr>
      <w:ind w:firstLine="420" w:firstLineChars="200"/>
    </w:pPr>
    <w:rPr>
      <w:rFonts w:eastAsia="仿宋_GB2312" w:cs="仿宋_GB2312"/>
      <w:b/>
      <w:spacing w:val="4"/>
      <w:sz w:val="24"/>
    </w:rPr>
  </w:style>
  <w:style w:type="paragraph" w:customStyle="1" w:styleId="91">
    <w:name w:val="DAS正文"/>
    <w:basedOn w:val="1"/>
    <w:qFormat/>
    <w:uiPriority w:val="0"/>
    <w:pPr>
      <w:spacing w:line="360" w:lineRule="auto"/>
      <w:ind w:right="181" w:firstLine="480" w:firstLineChars="200"/>
    </w:pPr>
    <w:rPr>
      <w:rFonts w:ascii="Verdana" w:hAnsi="Verdana"/>
      <w:szCs w:val="20"/>
    </w:rPr>
  </w:style>
  <w:style w:type="paragraph" w:customStyle="1" w:styleId="92">
    <w:name w:val="正文首行缩进 21"/>
    <w:basedOn w:val="93"/>
    <w:qFormat/>
    <w:uiPriority w:val="0"/>
  </w:style>
  <w:style w:type="paragraph" w:customStyle="1" w:styleId="93">
    <w:name w:val="正文文本缩进1"/>
    <w:basedOn w:val="1"/>
    <w:qFormat/>
    <w:uiPriority w:val="0"/>
    <w:pPr>
      <w:spacing w:after="120"/>
      <w:ind w:left="420" w:leftChars="200"/>
    </w:pPr>
  </w:style>
  <w:style w:type="paragraph" w:customStyle="1" w:styleId="94">
    <w:name w:val="列出段落12"/>
    <w:basedOn w:val="1"/>
    <w:qFormat/>
    <w:uiPriority w:val="34"/>
    <w:pPr>
      <w:widowControl/>
      <w:ind w:firstLine="420" w:firstLineChars="200"/>
      <w:jc w:val="left"/>
    </w:pPr>
    <w:rPr>
      <w:rFonts w:ascii="宋体" w:hAnsi="宋体" w:cs="宋体"/>
      <w:kern w:val="0"/>
      <w:sz w:val="24"/>
    </w:rPr>
  </w:style>
  <w:style w:type="paragraph" w:customStyle="1" w:styleId="95">
    <w:name w:val="Other|1"/>
    <w:basedOn w:val="1"/>
    <w:qFormat/>
    <w:uiPriority w:val="0"/>
    <w:pPr>
      <w:spacing w:line="238" w:lineRule="exact"/>
      <w:jc w:val="center"/>
    </w:pPr>
    <w:rPr>
      <w:rFonts w:ascii="宋体" w:hAnsi="宋体" w:cs="宋体"/>
      <w:sz w:val="20"/>
      <w:szCs w:val="20"/>
      <w:lang w:val="zh-TW" w:eastAsia="zh-TW" w:bidi="zh-TW"/>
    </w:rPr>
  </w:style>
  <w:style w:type="character" w:customStyle="1" w:styleId="96">
    <w:name w:val="font31"/>
    <w:basedOn w:val="34"/>
    <w:qFormat/>
    <w:uiPriority w:val="0"/>
    <w:rPr>
      <w:rFonts w:hint="eastAsia" w:ascii="宋体" w:hAnsi="宋体" w:eastAsia="宋体" w:cs="宋体"/>
      <w:color w:val="FF0000"/>
      <w:sz w:val="20"/>
      <w:szCs w:val="20"/>
      <w:u w:val="none"/>
    </w:rPr>
  </w:style>
  <w:style w:type="paragraph" w:customStyle="1" w:styleId="97">
    <w:name w:val="批注框文本1"/>
    <w:basedOn w:val="1"/>
    <w:qFormat/>
    <w:uiPriority w:val="0"/>
    <w:rPr>
      <w:sz w:val="18"/>
      <w:szCs w:val="18"/>
    </w:rPr>
  </w:style>
  <w:style w:type="character" w:customStyle="1" w:styleId="98">
    <w:name w:val="font11"/>
    <w:basedOn w:val="34"/>
    <w:qFormat/>
    <w:uiPriority w:val="0"/>
    <w:rPr>
      <w:rFonts w:hint="eastAsia" w:ascii="宋体" w:hAnsi="宋体" w:eastAsia="宋体" w:cs="宋体"/>
      <w:color w:val="000000"/>
      <w:sz w:val="21"/>
      <w:szCs w:val="21"/>
      <w:u w:val="none"/>
    </w:rPr>
  </w:style>
  <w:style w:type="paragraph" w:customStyle="1" w:styleId="99">
    <w:name w:val="纯文本1"/>
    <w:basedOn w:val="56"/>
    <w:qFormat/>
    <w:uiPriority w:val="0"/>
    <w:rPr>
      <w:rFonts w:ascii="宋体" w:hAnsi="Courier New"/>
      <w:kern w:val="0"/>
      <w:sz w:val="20"/>
      <w:szCs w:val="20"/>
    </w:rPr>
  </w:style>
  <w:style w:type="paragraph" w:customStyle="1" w:styleId="100">
    <w:name w:val="WPSOffice手动目录 1"/>
    <w:qFormat/>
    <w:uiPriority w:val="0"/>
    <w:rPr>
      <w:rFonts w:ascii="Calibri" w:hAnsi="Calibri" w:eastAsia="宋体" w:cs="Times New Roman"/>
      <w:lang w:val="en-US" w:eastAsia="zh-CN" w:bidi="ar-SA"/>
    </w:rPr>
  </w:style>
  <w:style w:type="character" w:customStyle="1" w:styleId="101">
    <w:name w:val="font01"/>
    <w:basedOn w:val="34"/>
    <w:qFormat/>
    <w:uiPriority w:val="0"/>
    <w:rPr>
      <w:rFonts w:hint="eastAsia" w:ascii="宋体" w:hAnsi="宋体" w:eastAsia="宋体" w:cs="宋体"/>
      <w:color w:val="000000"/>
      <w:sz w:val="22"/>
      <w:szCs w:val="22"/>
      <w:u w:val="none"/>
    </w:rPr>
  </w:style>
  <w:style w:type="paragraph" w:customStyle="1" w:styleId="102">
    <w:name w:val="HtmlNormal"/>
    <w:basedOn w:val="1"/>
    <w:qFormat/>
    <w:uiPriority w:val="0"/>
    <w:pPr>
      <w:widowControl/>
      <w:spacing w:before="100" w:beforeAutospacing="1" w:after="100" w:afterAutospacing="1"/>
      <w:jc w:val="left"/>
      <w:textAlignment w:val="baseline"/>
    </w:pPr>
    <w:rPr>
      <w:rFonts w:ascii="宋体" w:hAnsi="宋体"/>
      <w:kern w:val="0"/>
      <w:sz w:val="24"/>
    </w:rPr>
  </w:style>
  <w:style w:type="character" w:customStyle="1" w:styleId="103">
    <w:name w:val="layui-this"/>
    <w:basedOn w:val="34"/>
    <w:qFormat/>
    <w:uiPriority w:val="0"/>
    <w:rPr>
      <w:bdr w:val="single" w:color="EEEEEE" w:sz="6" w:space="0"/>
      <w:shd w:val="clear" w:fill="FFFFFF"/>
    </w:rPr>
  </w:style>
  <w:style w:type="character" w:customStyle="1" w:styleId="104">
    <w:name w:val="first-child"/>
    <w:basedOn w:val="34"/>
    <w:qFormat/>
    <w:uiPriority w:val="0"/>
  </w:style>
  <w:style w:type="paragraph" w:customStyle="1" w:styleId="105">
    <w:name w:val="正文缩进1"/>
    <w:basedOn w:val="1"/>
    <w:next w:val="14"/>
    <w:qFormat/>
    <w:uiPriority w:val="99"/>
    <w:pPr>
      <w:autoSpaceDE w:val="0"/>
      <w:autoSpaceDN w:val="0"/>
      <w:snapToGrid w:val="0"/>
      <w:spacing w:after="120" w:line="360" w:lineRule="auto"/>
      <w:ind w:left="420" w:leftChars="200" w:firstLine="480" w:firstLineChars="200"/>
    </w:pPr>
    <w:rPr>
      <w:sz w:val="24"/>
      <w:szCs w:val="24"/>
    </w:rPr>
  </w:style>
  <w:style w:type="paragraph" w:customStyle="1" w:styleId="106">
    <w:name w:val="索引 11"/>
    <w:basedOn w:val="1"/>
    <w:next w:val="1"/>
    <w:qFormat/>
    <w:uiPriority w:val="99"/>
    <w:pPr>
      <w:adjustRightInd/>
      <w:spacing w:line="360" w:lineRule="auto"/>
    </w:pPr>
    <w:rPr>
      <w:rFonts w:ascii="??_GB2312" w:eastAsia="Times New Roman" w:cs="??_GB2312"/>
      <w:sz w:val="24"/>
      <w:szCs w:val="24"/>
    </w:rPr>
  </w:style>
  <w:style w:type="paragraph" w:customStyle="1" w:styleId="107">
    <w:name w:val="text-tag"/>
    <w:basedOn w:val="1"/>
    <w:semiHidden/>
    <w:qFormat/>
    <w:uiPriority w:val="99"/>
    <w:pPr>
      <w:widowControl/>
      <w:adjustRightInd/>
      <w:spacing w:before="100" w:beforeAutospacing="1" w:after="100" w:afterAutospacing="1"/>
      <w:jc w:val="left"/>
    </w:pPr>
    <w:rPr>
      <w:rFonts w:ascii="宋体" w:hAnsi="宋体" w:cs="宋体"/>
      <w:kern w:val="0"/>
      <w:sz w:val="24"/>
      <w:szCs w:val="24"/>
    </w:rPr>
  </w:style>
  <w:style w:type="paragraph" w:customStyle="1" w:styleId="108">
    <w:name w:val="Heading2"/>
    <w:basedOn w:val="1"/>
    <w:next w:val="1"/>
    <w:qFormat/>
    <w:uiPriority w:val="0"/>
    <w:pPr>
      <w:keepNext/>
      <w:keepLines/>
      <w:numPr>
        <w:ilvl w:val="0"/>
        <w:numId w:val="5"/>
      </w:numPr>
      <w:tabs>
        <w:tab w:val="left" w:pos="706"/>
      </w:tabs>
      <w:spacing w:line="360" w:lineRule="auto"/>
      <w:jc w:val="both"/>
      <w:textAlignment w:val="baseline"/>
    </w:pPr>
    <w:rPr>
      <w:rFonts w:ascii="Arial" w:hAnsi="Arial" w:eastAsia="??" w:cs="Arial"/>
      <w:b/>
      <w:bCs/>
      <w:kern w:val="2"/>
      <w:sz w:val="21"/>
      <w:szCs w:val="32"/>
      <w:lang w:val="en-US" w:eastAsia="zh-CN" w:bidi="ar-SA"/>
    </w:rPr>
  </w:style>
  <w:style w:type="paragraph" w:customStyle="1" w:styleId="109">
    <w:name w:val="UserStyle_186"/>
    <w:basedOn w:val="110"/>
    <w:qFormat/>
    <w:uiPriority w:val="0"/>
    <w:pPr>
      <w:widowControl/>
      <w:spacing w:before="100" w:beforeAutospacing="1" w:after="100" w:afterAutospacing="1"/>
      <w:jc w:val="left"/>
      <w:textAlignment w:val="baseline"/>
    </w:pPr>
    <w:rPr>
      <w:rFonts w:ascii="宋体" w:hAnsi="宋体"/>
      <w:kern w:val="0"/>
      <w:sz w:val="24"/>
      <w:szCs w:val="22"/>
      <w:lang w:val="en-US" w:eastAsia="zh-CN" w:bidi="ar-SA"/>
    </w:rPr>
  </w:style>
  <w:style w:type="paragraph" w:customStyle="1" w:styleId="110">
    <w:name w:val="UserStyle_59"/>
    <w:qFormat/>
    <w:uiPriority w:val="0"/>
    <w:pPr>
      <w:jc w:val="both"/>
      <w:textAlignment w:val="baseline"/>
    </w:pPr>
    <w:rPr>
      <w:rFonts w:ascii="Times New Roman" w:hAnsi="Times New Roman" w:eastAsia="宋体" w:cstheme="minorBidi"/>
      <w:kern w:val="2"/>
      <w:sz w:val="21"/>
      <w:szCs w:val="24"/>
      <w:lang w:val="en-US" w:eastAsia="zh-CN" w:bidi="ar-SA"/>
    </w:rPr>
  </w:style>
  <w:style w:type="paragraph" w:customStyle="1" w:styleId="111">
    <w:name w:val="UserStyle_91"/>
    <w:basedOn w:val="1"/>
    <w:qFormat/>
    <w:uiPriority w:val="0"/>
    <w:pPr>
      <w:ind w:firstLine="420" w:firstLineChars="200"/>
      <w:jc w:val="both"/>
      <w:textAlignment w:val="baseline"/>
    </w:pPr>
    <w:rPr>
      <w:rFonts w:ascii="Calibri" w:hAnsi="Calibri"/>
      <w:color w:val="000000"/>
      <w:kern w:val="2"/>
      <w:sz w:val="21"/>
      <w:szCs w:val="22"/>
      <w:lang w:val="en-US" w:eastAsia="zh-CN" w:bidi="ar-SA"/>
    </w:rPr>
  </w:style>
  <w:style w:type="paragraph" w:customStyle="1" w:styleId="112">
    <w:name w:val="UserStyle_226"/>
    <w:basedOn w:val="1"/>
    <w:qFormat/>
    <w:uiPriority w:val="0"/>
    <w:pPr>
      <w:spacing w:line="410" w:lineRule="auto"/>
      <w:ind w:firstLine="400"/>
      <w:jc w:val="both"/>
      <w:textAlignment w:val="baseline"/>
    </w:pPr>
    <w:rPr>
      <w:rFonts w:ascii="宋体" w:hAnsi="宋体" w:eastAsia="宋体"/>
      <w:kern w:val="2"/>
      <w:sz w:val="20"/>
      <w:szCs w:val="20"/>
      <w:lang w:val="zh-TW" w:eastAsia="zh-TW" w:bidi="zh-TW"/>
    </w:rPr>
  </w:style>
  <w:style w:type="paragraph" w:customStyle="1" w:styleId="113">
    <w:name w:val="NormalIndent"/>
    <w:basedOn w:val="1"/>
    <w:next w:val="1"/>
    <w:qFormat/>
    <w:uiPriority w:val="0"/>
    <w:pPr>
      <w:ind w:firstLine="420"/>
      <w:jc w:val="both"/>
      <w:textAlignment w:val="baseline"/>
    </w:pPr>
    <w:rPr>
      <w:rFonts w:ascii="Times New Roman" w:hAnsi="Times New Roman"/>
      <w:kern w:val="2"/>
      <w:sz w:val="21"/>
      <w:szCs w:val="20"/>
      <w:lang w:val="en-US" w:eastAsia="zh-CN" w:bidi="ar-SA"/>
    </w:rPr>
  </w:style>
  <w:style w:type="paragraph" w:customStyle="1" w:styleId="114">
    <w:name w:val="UserStyle_126"/>
    <w:basedOn w:val="1"/>
    <w:qFormat/>
    <w:uiPriority w:val="0"/>
    <w:pPr>
      <w:jc w:val="both"/>
      <w:textAlignment w:val="baseline"/>
    </w:pPr>
    <w:rPr>
      <w:rFonts w:ascii="Tahoma" w:hAnsi="Tahoma"/>
      <w:kern w:val="2"/>
      <w:sz w:val="24"/>
      <w:szCs w:val="20"/>
      <w:lang w:val="en-US" w:eastAsia="zh-CN" w:bidi="ar-SA"/>
    </w:rPr>
  </w:style>
  <w:style w:type="paragraph" w:customStyle="1" w:styleId="115">
    <w:name w:val="msolistparagraph"/>
    <w:basedOn w:val="1"/>
    <w:qFormat/>
    <w:uiPriority w:val="0"/>
    <w:pPr>
      <w:keepNext w:val="0"/>
      <w:keepLines w:val="0"/>
      <w:widowControl w:val="0"/>
      <w:suppressLineNumbers w:val="0"/>
      <w:spacing w:before="0" w:beforeAutospacing="0" w:after="0" w:afterAutospacing="0"/>
      <w:ind w:left="253" w:right="0" w:firstLine="420"/>
      <w:jc w:val="both"/>
    </w:pPr>
    <w:rPr>
      <w:rFonts w:hint="eastAsia" w:ascii="宋体" w:hAnsi="宋体" w:eastAsia="宋体" w:cs="宋体"/>
      <w:kern w:val="2"/>
      <w:sz w:val="21"/>
      <w:szCs w:val="24"/>
      <w:lang w:val="en-US" w:eastAsia="zh-CN" w:bidi="ar"/>
    </w:rPr>
  </w:style>
  <w:style w:type="paragraph" w:customStyle="1" w:styleId="116">
    <w:name w:val="Proposals body"/>
    <w:basedOn w:val="1"/>
    <w:next w:val="1"/>
    <w:qFormat/>
    <w:uiPriority w:val="0"/>
    <w:pPr>
      <w:widowControl/>
      <w:spacing w:line="360" w:lineRule="auto"/>
      <w:jc w:val="left"/>
    </w:pPr>
    <w:rPr>
      <w:rFonts w:ascii="宋体"/>
      <w:snapToGrid w:val="0"/>
      <w:color w:val="000000"/>
      <w:kern w:val="0"/>
      <w:sz w:val="24"/>
    </w:rPr>
  </w:style>
  <w:style w:type="paragraph" w:customStyle="1" w:styleId="117">
    <w:name w:val="_Style 3"/>
    <w:basedOn w:val="1"/>
    <w:autoRedefine/>
    <w:qFormat/>
    <w:uiPriority w:val="0"/>
    <w:pPr>
      <w:ind w:firstLine="420" w:firstLineChars="200"/>
    </w:pPr>
    <w:rPr>
      <w:rFonts w:eastAsia="仿宋_GB2312"/>
      <w:sz w:val="28"/>
    </w:rPr>
  </w:style>
  <w:style w:type="paragraph" w:customStyle="1" w:styleId="118">
    <w:name w:val="表格正文"/>
    <w:basedOn w:val="1"/>
    <w:qFormat/>
    <w:uiPriority w:val="0"/>
    <w:pPr>
      <w:spacing w:line="360" w:lineRule="auto"/>
      <w:jc w:val="center"/>
    </w:pPr>
    <w:rPr>
      <w:rFonts w:ascii="Times New Roman" w:hAnsi="Times New Roman" w:eastAsia="SimSong"/>
      <w:sz w:val="24"/>
      <w:lang w:eastAsia="en-US"/>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54</Pages>
  <Words>17417</Words>
  <Characters>18633</Characters>
  <Lines>209</Lines>
  <Paragraphs>59</Paragraphs>
  <TotalTime>13</TotalTime>
  <ScaleCrop>false</ScaleCrop>
  <LinksUpToDate>false</LinksUpToDate>
  <CharactersWithSpaces>18888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2022-01-26T12:54:00Z</dcterms:created>
  <dc:creator>开成</dc:creator>
  <cp:lastModifiedBy>Administrator</cp:lastModifiedBy>
  <cp:lastPrinted>2025-05-22T08:49:04Z</cp:lastPrinted>
  <dcterms:modified xsi:type="dcterms:W3CDTF">2025-05-22T08:57:57Z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F6364A91543E452FA41BD609C4B4474C</vt:lpwstr>
  </property>
  <property fmtid="{D5CDD505-2E9C-101B-9397-08002B2CF9AE}" pid="4" name="KSOTemplateDocerSaveRecord">
    <vt:lpwstr>eyJoZGlkIjoiOTY2OGY4OGVlMTlhYjFlNGE1OTBiNzFlM2QzNGJjNmYiLCJ1c2VySWQiOiIxOTk1MTczMjMifQ==</vt:lpwstr>
  </property>
</Properties>
</file>