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1标面积统计明细表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（调整后）</w:t>
      </w:r>
      <w:bookmarkStart w:id="0" w:name="_GoBack"/>
      <w:bookmarkEnd w:id="0"/>
    </w:p>
    <w:tbl>
      <w:tblPr>
        <w:tblStyle w:val="5"/>
        <w:tblW w:w="967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421"/>
        <w:gridCol w:w="1707"/>
        <w:gridCol w:w="1061"/>
        <w:gridCol w:w="2894"/>
        <w:gridCol w:w="1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绿地面积（㎡）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55889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205国道立交桥至山背岭底桥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朝阳路绿化带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9441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路边绿化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朝阳路边坡景观绿化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边坡绿化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农贸市场南侧（朝阳路）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绿化隔离带及小组团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天马桥头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山背岭桥及桥西接坡段绿化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2726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桥中间隔离带及边坡绿化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入城口农贸市场段（南侧）景观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农贸市场门口绿化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320国道改造（朝阳路，蒲塘桥至天马桥）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蒲塘桥至天马桥中间隔离带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紫荆花园围墙边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沿围墙边绿化，园林公司实施。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富足山桥头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有石头区域，提升工程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定阳南路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21826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定阳南路延伸道路绿地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道路中间隔离带及机非隔离带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金川小游园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2926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城南小游园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华府大酒店南侧边坡景观提升及景观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酒店边绿化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定阳北路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1884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财政局对面绿地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财政局对面绿地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街心小广场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影剧院边绿化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横街绿化隔离带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横街机非隔离带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城南一号路、二号路、三号路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6016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周塘片一号（宾馆路）、二号路，三号路绿地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4516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道路中间隔离带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东方大酒店西侧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东方大酒店西侧园林公司实施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南门溪（定阳桥上游）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75573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南门溪左岸三期防洪堤绿化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定阳桥至山背岭底桥（上部左岸）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南门溪右（东）岸景观（山背岭地桥以上）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山背岭桥以上两侧绿化带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南门溪景观（定阳桥至山背岭底桥）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38073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定阳桥至山背岭底桥（下部）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南门溪右岸景观工程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定阳桥至山背岭底桥（上部右岸）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南溪路（南门溪下游）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51923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溪滨一期绿化带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定阳桥至天马桥（原教育局后面）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溪滨二期绿化带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31693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天马桥至蒲塘桥（住建局后面）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石控寺道路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石控寺道路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白龙路（信用社至幼儿园边）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67434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天马路隔离带（至205国道、含大东门菜市场）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13473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天马路机非隔离带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人民医院南侧（四贤广场）绿化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天主教堂至人民医院边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天马路边坡景观绿化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现改建成体育公园约40000平方米。其中，绿地23000平方米，铺装17000平方米。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赵家坪四号路绿化工程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赵家坪花园及周边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学堂路一期配套绿化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学堂路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天马路延伸（205国道-一号路）绿化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国道边绿化（阳光名都旁）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天马路、三号路、滨江路苗木补植绿化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赵家坪下部边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滨江南路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111623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滨江南路二期景观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20068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天马发电站至金川大桥底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滨江南路一期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20859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富足山大桥至天马发电站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滨江三期四期景观带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28438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金川大桥至常山大桥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滨江南路二期（金川大桥至滨江花园）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9346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金川大桥至滨江花园（北岸海鲜码头）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滨江大道景观带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29772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北岸海鲜码头至汤溪桥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轴承路绿地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轴承路与小区交叉绿地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滨江南路与滨江大道交界处（城东新区对面）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停车场及周边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新大桥西侧消防通道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常山大桥与渡口小区交叉绿地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内河路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51154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滨江花园西侧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滨江花园西侧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内河景观公园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47912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内河两边绿化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二小西侧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1717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停车场区域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文峰路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5970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文峰西路隔离带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肯德基至人民路机非隔离带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信安路隔离带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信安机非及中间路隔离带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10744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展依山公园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10744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展依山公园胜利街入口及防空洞周边绿化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6080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人民路绿地（文峰西路）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白龙山庄门口绿地与人民路交叉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人民桥附属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人民桥附属绿地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老干部局西侧（好人林停车场）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好人林停车场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市民小广场景观（县政府停车场）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县政府门口停车场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东河北街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步行街绿化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步行街内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改建成沿阶草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9626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白马广场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白马广场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白马路文峰路交叉口绿地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白马路与文峰路交叉口绿地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渡口三角块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渡口小区与白马路交叉口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竹园路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3494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白马路竹园路交叉口景观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白马路与竹园路交叉口景观、市政管理处对面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竹园小区（二期）小游园园林景观绿化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竹园小区内小游园绿地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梅园路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9585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梅园小区小游园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3044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梅园小区小游园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东苑小区小游园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东苑小区小游园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屏山路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3219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常山县突发公共事件应急救援体系小配套及外围道路（屏山路）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3219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龙绕溪片区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赵家坪龙绕溪右岸景观工程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现状移交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2座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暂定5月份移交至环卫，按月支付保洁费。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展依山上顶公厕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展依山北公园公厕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二十一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道路保洁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展依山公园道路保洁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城区其它零星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用于临时性接管面积（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一级绿地：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181718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㎡；二级绿地：3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18522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㎡三级绿地：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92200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㎡。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总计：592440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行道树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5000株。因部分道路涉及改造以及缺株，具体按实际株数结算。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道路及铺装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48000㎡+体育公园17000㎡=65000㎡。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公厕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2座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古树名木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5万元包干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补植费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200万的补植费投标时不得下浮。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2标面积统计明细表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（调整后）</w:t>
      </w:r>
    </w:p>
    <w:tbl>
      <w:tblPr>
        <w:tblStyle w:val="5"/>
        <w:tblW w:w="9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379"/>
        <w:gridCol w:w="2234"/>
        <w:gridCol w:w="1083"/>
        <w:gridCol w:w="2850"/>
        <w:gridCol w:w="1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绿地面积（㎡）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东入城口景观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44319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东入口（红线内）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道路中间隔离带及机非隔离带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东入口（红线外）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道路两侧外绿化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滨江北路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167730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紫港水厂门口至枧头溪段防洪堤绿化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紫港水厂门口至枧头溪段防洪堤绿化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紫港广场（滨江北路二期景观带）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紫港广场及紫港水厂门口至金川大桥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滨江北路绿化带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金川大桥至育才小学门口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党校职校门口及周边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育才小学、职校门口及周边停车场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卫生局北侧、电大西侧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卫生局北侧、电大西侧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紫港大桥北岸接线（纬三路—经六路）工程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紫港中学道路中间隔离带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常山县滨江公园工程(一、二期)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总计面积20万平方米，其中，绿地10万平方米，铺装10万平方米。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文教路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105787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青少年宫活动中心周边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青少年宫活动中心周边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体育馆周边防护林工程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体育馆周边防护林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文教西路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高速路口至金川大桥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PPP项目，预计明年8月份移交。同时，入城口景观项目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准备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实施。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文教东路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金川大桥至东入城口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PPP项目，预计明年8月份移交。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崛起雕塑配套绿化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高速公路转下雕塑周边绿化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入城口景观项目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准备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实施。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紫港小区北侧谷丰华庭南侧绿地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文教西路机非隔离带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紫港小区小游园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紫港小区小游园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金川桥隔离带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金川桥中间隔离带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金川桥引桥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金川桥引桥两侧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文教路与金川桥交叉口转角绿化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金川桥转体育场边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朱富线（中央隔离带）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枧头村向开化方向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入城口景观项目开始实施。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高速公路常山出口外互通匝道内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互通匝道内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入城口景观项目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准备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实施。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大草坪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143117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高速公路出入口景观工程（大草坪）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大草坪一期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高速公路出入口景观二期工程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大草坪二期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部分涉及入城口景观项目开始实施。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高速景观提升（三期）工程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下高速路口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四季常绿草坪，现状移交。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入城口景观项目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准备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外港大道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外港大道一期工程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新东方，大桥北路中间及机非隔离带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外港大道提升工程，2年质保期。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外港大道二期建设工程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外港大道提升工程，2年质保期。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205国道沿线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78730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205国道沿线景观工程（205国道东侧、农房安置区西侧）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西城花园处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蒲塘桥-东方大酒店（红绿灯）虎山隧道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虎山隧道口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山背岭桥-朱富线交叉口（岭丁坞隧道）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岭丁坞隧道口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七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心舟公园片区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城东新区经三经四路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城东新区经二路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夺煤路建设工程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常山县心舟公园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府前路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PPP项目，预计明年8月份移交。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府前路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九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其它片区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常山县柚苑小区纬二路（二期）及经七路市政配套工程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大弄口纬三至经六路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火车站站前广场及栏杆工程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另广场（铺装）及道路共16300㎡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根据政府文件，需城投移交文广局。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周塘片二号路延伸及盖板涵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常山大桥桥头小公园建设工程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一级绿地：408372㎡-7000-1360-11445-15000（入城口景观项目）=373567㎡；二级绿地：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147867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㎡；三级绿地：145217㎡。总：701456㎡。因入城口景观提升项目的实施，部分绿地面积将根据实际情况进行核减。（大草坪二期、三期因涉及部分，面积需另行核减。）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行道树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5000株。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因部分道路涉及改造以及缺株，具体按实际株数结算。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道路及铺装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16300+5000+100000=121300㎡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古树名木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5万元包干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补植</w:t>
            </w:r>
          </w:p>
        </w:tc>
        <w:tc>
          <w:tcPr>
            <w:tcW w:w="7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  <w:t>100万的补植费投标时不得下浮。</w:t>
            </w:r>
          </w:p>
        </w:tc>
      </w:tr>
    </w:tbl>
    <w:p>
      <w:pPr>
        <w:pStyle w:val="2"/>
        <w:jc w:val="both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kern w:val="2"/>
          <w:sz w:val="32"/>
          <w:szCs w:val="40"/>
          <w:lang w:val="en-US" w:eastAsia="zh-CN" w:bidi="ar-SA"/>
        </w:rPr>
      </w:pPr>
    </w:p>
    <w:p/>
    <w:sectPr>
      <w:pgSz w:w="11906" w:h="16838"/>
      <w:pgMar w:top="1440" w:right="1083" w:bottom="1440" w:left="1083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6C95"/>
    <w:rsid w:val="0CFC3E6A"/>
    <w:rsid w:val="1EC24E16"/>
    <w:rsid w:val="46E25C81"/>
    <w:rsid w:val="49D3217A"/>
    <w:rsid w:val="59E92880"/>
    <w:rsid w:val="64EF6C95"/>
    <w:rsid w:val="75E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jc w:val="center"/>
      <w:outlineLvl w:val="0"/>
    </w:pPr>
    <w:rPr>
      <w:rFonts w:ascii="楷体_GB2312" w:eastAsia="楷体_GB2312"/>
      <w:b/>
      <w:bCs/>
      <w:kern w:val="0"/>
      <w:sz w:val="2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uiPriority w:val="99"/>
    <w:pPr>
      <w:ind w:left="480" w:hanging="480" w:hangingChars="200"/>
    </w:pPr>
    <w:rPr>
      <w:sz w:val="24"/>
    </w:rPr>
  </w:style>
  <w:style w:type="paragraph" w:styleId="4">
    <w:name w:val="Body Text First Indent 2"/>
    <w:basedOn w:val="3"/>
    <w:unhideWhenUsed/>
    <w:uiPriority w:val="99"/>
    <w:pPr>
      <w:spacing w:after="120" w:line="240" w:lineRule="auto"/>
      <w:ind w:left="420" w:leftChars="200" w:firstLine="420"/>
    </w:pPr>
    <w:rPr>
      <w:rFonts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2020-11-23T14:34:00Z</dcterms:created>
  <dc:creator>XD</dc:creator>
  <cp:lastModifiedBy>浙江天健工程造价咨询有限公司</cp:lastModifiedBy>
  <dcterms:modified xsi:type="dcterms:W3CDTF">2020-12-09T06:19:19Z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