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新宋体" w:hAnsi="新宋体" w:eastAsia="新宋体"/>
          <w:b/>
          <w:bCs/>
          <w:color w:val="auto"/>
          <w:sz w:val="32"/>
          <w:szCs w:val="32"/>
        </w:rPr>
      </w:pPr>
      <w:bookmarkStart w:id="208" w:name="_GoBack"/>
      <w:bookmarkEnd w:id="208"/>
    </w:p>
    <w:p>
      <w:pPr>
        <w:spacing w:line="360" w:lineRule="auto"/>
        <w:rPr>
          <w:rFonts w:hint="eastAsia" w:ascii="新宋体" w:hAnsi="新宋体" w:eastAsia="新宋体"/>
          <w:b/>
          <w:bCs/>
          <w:color w:val="auto"/>
          <w:sz w:val="32"/>
          <w:szCs w:val="32"/>
        </w:rPr>
      </w:pPr>
    </w:p>
    <w:p>
      <w:pPr>
        <w:spacing w:line="360" w:lineRule="auto"/>
        <w:rPr>
          <w:rFonts w:hint="eastAsia" w:ascii="新宋体" w:hAnsi="新宋体" w:eastAsia="新宋体"/>
          <w:b/>
          <w:bCs/>
          <w:color w:val="auto"/>
          <w:sz w:val="32"/>
          <w:szCs w:val="32"/>
        </w:rPr>
      </w:pPr>
    </w:p>
    <w:p>
      <w:pPr>
        <w:jc w:val="center"/>
        <w:rPr>
          <w:rFonts w:hint="eastAsia" w:ascii="楷体_GB2312" w:hAnsi="楷体_GB2312" w:eastAsia="楷体_GB2312" w:cs="楷体_GB2312"/>
          <w:b/>
          <w:bCs/>
          <w:color w:val="auto"/>
          <w:sz w:val="44"/>
          <w:szCs w:val="44"/>
          <w:lang w:eastAsia="zh-CN"/>
        </w:rPr>
      </w:pPr>
      <w:r>
        <w:rPr>
          <w:rFonts w:hint="eastAsia" w:ascii="楷体_GB2312" w:hAnsi="楷体_GB2312" w:eastAsia="楷体_GB2312" w:cs="楷体_GB2312"/>
          <w:b/>
          <w:bCs/>
          <w:color w:val="auto"/>
          <w:sz w:val="44"/>
          <w:szCs w:val="44"/>
          <w:lang w:eastAsia="zh-CN"/>
        </w:rPr>
        <w:t>常山县生活垃圾填埋场渗滤液处理及渗滤液处理区运维管理项目</w:t>
      </w:r>
    </w:p>
    <w:p>
      <w:pPr>
        <w:jc w:val="center"/>
        <w:rPr>
          <w:rFonts w:hint="eastAsia" w:ascii="楷体_GB2312" w:hAnsi="楷体_GB2312" w:eastAsia="楷体_GB2312" w:cs="楷体_GB2312"/>
          <w:b/>
          <w:bCs/>
          <w:color w:val="auto"/>
          <w:sz w:val="52"/>
          <w:szCs w:val="52"/>
        </w:rPr>
      </w:pPr>
    </w:p>
    <w:p>
      <w:pPr>
        <w:jc w:val="center"/>
        <w:rPr>
          <w:rFonts w:hint="eastAsia" w:ascii="楷体_GB2312" w:hAnsi="楷体_GB2312" w:eastAsia="楷体_GB2312" w:cs="楷体_GB2312"/>
          <w:b/>
          <w:bCs/>
          <w:color w:val="auto"/>
          <w:sz w:val="44"/>
          <w:szCs w:val="44"/>
        </w:rPr>
      </w:pPr>
      <w:r>
        <w:rPr>
          <w:rFonts w:hint="eastAsia" w:ascii="楷体_GB2312" w:hAnsi="楷体_GB2312" w:eastAsia="楷体_GB2312" w:cs="楷体_GB2312"/>
          <w:b/>
          <w:bCs/>
          <w:color w:val="auto"/>
          <w:sz w:val="44"/>
          <w:szCs w:val="44"/>
        </w:rPr>
        <w:t>公开招标采购文件</w:t>
      </w:r>
    </w:p>
    <w:p>
      <w:pPr>
        <w:rPr>
          <w:rFonts w:hint="eastAsia"/>
          <w:color w:val="auto"/>
        </w:rPr>
      </w:pPr>
    </w:p>
    <w:p>
      <w:pPr>
        <w:tabs>
          <w:tab w:val="left" w:pos="0"/>
        </w:tabs>
        <w:adjustRightInd w:val="0"/>
        <w:snapToGrid w:val="0"/>
        <w:spacing w:line="360" w:lineRule="auto"/>
        <w:ind w:firstLine="64" w:firstLineChars="20"/>
        <w:jc w:val="center"/>
        <w:rPr>
          <w:rFonts w:hint="eastAsia" w:ascii="宋体" w:hAnsi="宋体" w:cs="宋体"/>
          <w:b/>
          <w:color w:val="auto"/>
          <w:sz w:val="100"/>
          <w:szCs w:val="100"/>
        </w:rPr>
      </w:pPr>
      <w:r>
        <w:rPr>
          <w:rFonts w:hint="eastAsia" w:ascii="宋体" w:hAnsi="宋体" w:cs="宋体"/>
          <w:b/>
          <w:color w:val="auto"/>
          <w:kern w:val="0"/>
          <w:sz w:val="32"/>
        </w:rPr>
        <w:t>（线上电子招投标）</w:t>
      </w:r>
    </w:p>
    <w:p>
      <w:pPr>
        <w:rPr>
          <w:rFonts w:hint="eastAsia" w:ascii="仿宋_GB2312" w:eastAsia="仿宋_GB2312"/>
          <w:color w:val="auto"/>
          <w:sz w:val="28"/>
          <w:szCs w:val="28"/>
        </w:rPr>
      </w:pPr>
    </w:p>
    <w:p>
      <w:pPr>
        <w:jc w:val="center"/>
        <w:rPr>
          <w:rFonts w:hint="eastAsia" w:ascii="仿宋_GB2312" w:eastAsia="仿宋_GB2312"/>
          <w:color w:val="auto"/>
          <w:sz w:val="28"/>
          <w:szCs w:val="28"/>
        </w:rPr>
      </w:pPr>
      <w:r>
        <w:rPr>
          <w:color w:val="auto"/>
        </w:rPr>
        <w:drawing>
          <wp:inline distT="0" distB="0" distL="114300" distR="114300">
            <wp:extent cx="1332865" cy="1382395"/>
            <wp:effectExtent l="0" t="0" r="635" b="8255"/>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7"/>
                    <a:stretch>
                      <a:fillRect/>
                    </a:stretch>
                  </pic:blipFill>
                  <pic:spPr>
                    <a:xfrm>
                      <a:off x="0" y="0"/>
                      <a:ext cx="1332865" cy="1382395"/>
                    </a:xfrm>
                    <a:prstGeom prst="rect">
                      <a:avLst/>
                    </a:prstGeom>
                    <a:noFill/>
                    <a:ln>
                      <a:noFill/>
                    </a:ln>
                  </pic:spPr>
                </pic:pic>
              </a:graphicData>
            </a:graphic>
          </wp:inline>
        </w:drawing>
      </w:r>
    </w:p>
    <w:p>
      <w:pPr>
        <w:ind w:firstLine="1974" w:firstLineChars="940"/>
        <w:rPr>
          <w:rFonts w:hint="eastAsia" w:ascii="仿宋_GB2312" w:eastAsia="仿宋_GB2312"/>
          <w:b/>
          <w:color w:val="auto"/>
          <w:sz w:val="28"/>
          <w:szCs w:val="28"/>
        </w:rPr>
      </w:pPr>
      <w:r>
        <w:rPr>
          <w:rFonts w:hint="eastAsia"/>
          <w:color w:val="auto"/>
        </w:rPr>
        <w:t xml:space="preserve">                </w:t>
      </w:r>
    </w:p>
    <w:p>
      <w:pPr>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2100" w:firstLineChars="750"/>
        <w:rPr>
          <w:rFonts w:hint="eastAsia"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lang w:eastAsia="zh-CN"/>
        </w:rPr>
        <w:t>CSLT-GK-2022022</w:t>
      </w:r>
      <w:r>
        <w:rPr>
          <w:rFonts w:hint="eastAsia" w:ascii="宋体" w:hAnsi="宋体"/>
          <w:color w:val="auto"/>
          <w:sz w:val="28"/>
          <w:szCs w:val="28"/>
        </w:rPr>
        <w:t xml:space="preserve">   </w:t>
      </w:r>
    </w:p>
    <w:p>
      <w:pPr>
        <w:spacing w:line="480" w:lineRule="auto"/>
        <w:rPr>
          <w:rFonts w:hint="eastAsia" w:ascii="宋体" w:hAnsi="宋体" w:eastAsia="宋体"/>
          <w:color w:val="auto"/>
          <w:sz w:val="28"/>
          <w:szCs w:val="28"/>
          <w:lang w:eastAsia="zh-CN"/>
        </w:rPr>
      </w:pPr>
      <w:r>
        <w:rPr>
          <w:rFonts w:hint="eastAsia" w:ascii="宋体" w:hAnsi="宋体"/>
          <w:color w:val="auto"/>
          <w:sz w:val="28"/>
          <w:szCs w:val="28"/>
        </w:rPr>
        <w:t xml:space="preserve">               采购单位：</w:t>
      </w:r>
      <w:r>
        <w:rPr>
          <w:rFonts w:hint="eastAsia" w:ascii="宋体" w:hAnsi="宋体"/>
          <w:color w:val="auto"/>
          <w:sz w:val="28"/>
          <w:szCs w:val="28"/>
          <w:lang w:eastAsia="zh-CN"/>
        </w:rPr>
        <w:t>常山县市容环卫中心</w:t>
      </w:r>
    </w:p>
    <w:p>
      <w:pPr>
        <w:spacing w:line="480" w:lineRule="auto"/>
        <w:rPr>
          <w:rFonts w:hint="eastAsia" w:ascii="宋体" w:hAnsi="宋体"/>
          <w:color w:val="auto"/>
          <w:sz w:val="28"/>
          <w:szCs w:val="28"/>
        </w:rPr>
      </w:pPr>
      <w:r>
        <w:rPr>
          <w:rFonts w:hint="eastAsia" w:ascii="宋体" w:hAnsi="宋体"/>
          <w:color w:val="auto"/>
          <w:sz w:val="28"/>
          <w:szCs w:val="28"/>
        </w:rPr>
        <w:t xml:space="preserve">               采购代理机构：衢州联腾工程咨询有限公司</w:t>
      </w:r>
    </w:p>
    <w:p>
      <w:pPr>
        <w:spacing w:line="480" w:lineRule="auto"/>
        <w:jc w:val="center"/>
        <w:rPr>
          <w:rFonts w:hint="eastAsia" w:ascii="宋体" w:hAnsi="宋体"/>
          <w:color w:val="auto"/>
          <w:sz w:val="28"/>
          <w:szCs w:val="28"/>
        </w:rPr>
      </w:pPr>
      <w:r>
        <w:rPr>
          <w:rFonts w:hint="eastAsia" w:ascii="仿宋_GB2312" w:eastAsia="仿宋_GB2312"/>
          <w:color w:val="auto"/>
          <w:sz w:val="28"/>
          <w:szCs w:val="28"/>
        </w:rPr>
        <w:t xml:space="preserve">               </w:t>
      </w:r>
      <w:r>
        <w:rPr>
          <w:rFonts w:hint="eastAsia" w:ascii="宋体" w:hAnsi="宋体"/>
          <w:color w:val="auto"/>
          <w:sz w:val="28"/>
          <w:szCs w:val="28"/>
        </w:rPr>
        <w:t xml:space="preserve">  </w:t>
      </w:r>
    </w:p>
    <w:p>
      <w:pPr>
        <w:spacing w:line="480" w:lineRule="exact"/>
        <w:ind w:firstLine="3500" w:firstLineChars="1250"/>
        <w:rPr>
          <w:rFonts w:hint="eastAsia"/>
          <w:color w:val="auto"/>
          <w:sz w:val="28"/>
          <w:szCs w:val="28"/>
        </w:rPr>
      </w:pPr>
    </w:p>
    <w:p>
      <w:pPr>
        <w:spacing w:line="480" w:lineRule="exact"/>
        <w:ind w:firstLine="3500" w:firstLineChars="1250"/>
        <w:rPr>
          <w:rFonts w:hint="eastAsia"/>
          <w:color w:val="auto"/>
          <w:sz w:val="28"/>
          <w:szCs w:val="28"/>
        </w:rPr>
      </w:pPr>
    </w:p>
    <w:p>
      <w:pPr>
        <w:spacing w:line="480" w:lineRule="exact"/>
        <w:ind w:firstLine="3500" w:firstLineChars="1250"/>
        <w:rPr>
          <w:rFonts w:hint="eastAsia"/>
          <w:bCs/>
          <w:color w:val="auto"/>
          <w:sz w:val="52"/>
          <w:szCs w:val="52"/>
        </w:rPr>
      </w:pPr>
      <w:r>
        <w:rPr>
          <w:rFonts w:hint="eastAsia"/>
          <w:color w:val="auto"/>
          <w:sz w:val="28"/>
          <w:szCs w:val="28"/>
        </w:rPr>
        <w:t xml:space="preserve">     二〇二</w:t>
      </w:r>
      <w:r>
        <w:rPr>
          <w:rFonts w:hint="eastAsia"/>
          <w:color w:val="auto"/>
          <w:sz w:val="28"/>
          <w:szCs w:val="28"/>
          <w:lang w:eastAsia="zh-CN"/>
        </w:rPr>
        <w:t>二</w:t>
      </w:r>
      <w:r>
        <w:rPr>
          <w:rFonts w:hint="eastAsia"/>
          <w:color w:val="auto"/>
          <w:sz w:val="28"/>
          <w:szCs w:val="28"/>
        </w:rPr>
        <w:t>年</w:t>
      </w:r>
      <w:r>
        <w:rPr>
          <w:rFonts w:hint="eastAsia"/>
          <w:color w:val="auto"/>
          <w:sz w:val="28"/>
          <w:szCs w:val="28"/>
          <w:lang w:eastAsia="zh-CN"/>
        </w:rPr>
        <w:t>六</w:t>
      </w:r>
      <w:r>
        <w:rPr>
          <w:rFonts w:hint="eastAsia"/>
          <w:color w:val="auto"/>
          <w:sz w:val="28"/>
          <w:szCs w:val="28"/>
        </w:rPr>
        <w:t>月</w:t>
      </w:r>
    </w:p>
    <w:p>
      <w:pPr>
        <w:spacing w:line="600" w:lineRule="exact"/>
        <w:jc w:val="both"/>
        <w:rPr>
          <w:rFonts w:hint="eastAsia" w:ascii="楷体_GB2312" w:eastAsia="楷体_GB2312"/>
          <w:b/>
          <w:bCs/>
          <w:color w:val="auto"/>
          <w:sz w:val="32"/>
          <w:szCs w:val="32"/>
        </w:rPr>
        <w:sectPr>
          <w:headerReference r:id="rId3" w:type="default"/>
          <w:pgSz w:w="11906" w:h="16838"/>
          <w:pgMar w:top="1440" w:right="850" w:bottom="1440" w:left="850" w:header="851" w:footer="992" w:gutter="0"/>
          <w:pgNumType w:start="1"/>
          <w:cols w:space="720" w:num="1"/>
          <w:docGrid w:type="lines" w:linePitch="317" w:charSpace="0"/>
        </w:sectPr>
      </w:pPr>
    </w:p>
    <w:p>
      <w:pPr>
        <w:spacing w:line="600" w:lineRule="exact"/>
        <w:jc w:val="center"/>
        <w:rPr>
          <w:rFonts w:hint="eastAsia" w:ascii="楷体_GB2312" w:eastAsia="楷体_GB2312"/>
          <w:b/>
          <w:bCs/>
          <w:color w:val="auto"/>
          <w:sz w:val="32"/>
          <w:szCs w:val="32"/>
        </w:rPr>
      </w:pPr>
    </w:p>
    <w:p>
      <w:pPr>
        <w:spacing w:line="600" w:lineRule="exact"/>
        <w:jc w:val="center"/>
        <w:rPr>
          <w:rFonts w:hint="eastAsia" w:ascii="楷体_GB2312" w:eastAsia="楷体_GB2312"/>
          <w:b/>
          <w:bCs/>
          <w:color w:val="auto"/>
          <w:sz w:val="32"/>
          <w:szCs w:val="32"/>
        </w:rPr>
      </w:pPr>
    </w:p>
    <w:p>
      <w:pPr>
        <w:jc w:val="center"/>
        <w:rPr>
          <w:rFonts w:hint="eastAsia" w:ascii="宋体" w:hAnsi="宋体" w:cs="宋体"/>
          <w:b/>
          <w:bCs/>
          <w:color w:val="auto"/>
          <w:sz w:val="32"/>
          <w:szCs w:val="32"/>
        </w:rPr>
      </w:pPr>
      <w:r>
        <w:rPr>
          <w:rFonts w:hint="eastAsia" w:ascii="宋体" w:hAnsi="宋体" w:cs="宋体"/>
          <w:b/>
          <w:bCs/>
          <w:color w:val="auto"/>
          <w:sz w:val="32"/>
          <w:szCs w:val="32"/>
        </w:rPr>
        <w:t>目  录</w:t>
      </w:r>
    </w:p>
    <w:p>
      <w:pPr>
        <w:pStyle w:val="51"/>
        <w:tabs>
          <w:tab w:val="right" w:leader="dot" w:pos="1020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_Toc6119 </w:instrText>
      </w:r>
      <w:r>
        <w:rPr>
          <w:rFonts w:hint="eastAsia" w:ascii="宋体" w:hAnsi="宋体" w:cs="宋体"/>
          <w:color w:val="auto"/>
          <w:sz w:val="28"/>
          <w:szCs w:val="28"/>
        </w:rPr>
        <w:fldChar w:fldCharType="separate"/>
      </w:r>
      <w:r>
        <w:rPr>
          <w:rFonts w:hint="eastAsia" w:ascii="宋体" w:hAnsi="宋体" w:cs="宋体"/>
          <w:color w:val="auto"/>
          <w:sz w:val="28"/>
          <w:szCs w:val="28"/>
        </w:rPr>
        <w:t>第一章 招标公告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_Toc6119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51"/>
        <w:tabs>
          <w:tab w:val="right" w:leader="dot" w:pos="1020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_Toc23759 </w:instrText>
      </w:r>
      <w:r>
        <w:rPr>
          <w:rFonts w:hint="eastAsia" w:ascii="宋体" w:hAnsi="宋体" w:cs="宋体"/>
          <w:color w:val="auto"/>
          <w:sz w:val="28"/>
          <w:szCs w:val="28"/>
        </w:rPr>
        <w:fldChar w:fldCharType="separate"/>
      </w:r>
      <w:r>
        <w:rPr>
          <w:rFonts w:hint="eastAsia" w:ascii="宋体" w:hAnsi="宋体" w:cs="宋体"/>
          <w:bCs/>
          <w:color w:val="auto"/>
          <w:sz w:val="28"/>
          <w:szCs w:val="28"/>
        </w:rPr>
        <w:t>第二章 投标人须知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_Toc23759 </w:instrText>
      </w:r>
      <w:r>
        <w:rPr>
          <w:rFonts w:hint="eastAsia" w:ascii="宋体" w:hAnsi="宋体" w:cs="宋体"/>
          <w:color w:val="auto"/>
          <w:sz w:val="28"/>
          <w:szCs w:val="28"/>
        </w:rPr>
        <w:fldChar w:fldCharType="separate"/>
      </w:r>
      <w:r>
        <w:rPr>
          <w:rFonts w:hint="eastAsia" w:ascii="宋体" w:hAnsi="宋体" w:cs="宋体"/>
          <w:color w:val="auto"/>
          <w:sz w:val="28"/>
          <w:szCs w:val="28"/>
        </w:rPr>
        <w:t>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51"/>
        <w:tabs>
          <w:tab w:val="right" w:leader="dot" w:pos="1020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_Toc18534 </w:instrText>
      </w:r>
      <w:r>
        <w:rPr>
          <w:rFonts w:hint="eastAsia" w:ascii="宋体" w:hAnsi="宋体" w:cs="宋体"/>
          <w:color w:val="auto"/>
          <w:sz w:val="28"/>
          <w:szCs w:val="28"/>
        </w:rPr>
        <w:fldChar w:fldCharType="separate"/>
      </w:r>
      <w:r>
        <w:rPr>
          <w:rFonts w:hint="eastAsia" w:ascii="宋体" w:hAnsi="宋体" w:cs="宋体"/>
          <w:bCs/>
          <w:color w:val="auto"/>
          <w:sz w:val="28"/>
          <w:szCs w:val="28"/>
        </w:rPr>
        <w:t>第三章 招标内容及要求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_Toc18534 </w:instrText>
      </w:r>
      <w:r>
        <w:rPr>
          <w:rFonts w:hint="eastAsia" w:ascii="宋体" w:hAnsi="宋体" w:cs="宋体"/>
          <w:color w:val="auto"/>
          <w:sz w:val="28"/>
          <w:szCs w:val="28"/>
        </w:rPr>
        <w:fldChar w:fldCharType="separate"/>
      </w:r>
      <w:r>
        <w:rPr>
          <w:rFonts w:hint="eastAsia" w:ascii="宋体" w:hAnsi="宋体" w:cs="宋体"/>
          <w:color w:val="auto"/>
          <w:sz w:val="28"/>
          <w:szCs w:val="28"/>
        </w:rPr>
        <w:t>25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51"/>
        <w:tabs>
          <w:tab w:val="right" w:leader="dot" w:pos="1020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_Toc23270 </w:instrText>
      </w:r>
      <w:r>
        <w:rPr>
          <w:rFonts w:hint="eastAsia" w:ascii="宋体" w:hAnsi="宋体" w:cs="宋体"/>
          <w:color w:val="auto"/>
          <w:sz w:val="28"/>
          <w:szCs w:val="28"/>
        </w:rPr>
        <w:fldChar w:fldCharType="separate"/>
      </w:r>
      <w:r>
        <w:rPr>
          <w:rFonts w:hint="eastAsia" w:ascii="宋体" w:hAnsi="宋体" w:cs="宋体"/>
          <w:color w:val="auto"/>
          <w:sz w:val="28"/>
          <w:szCs w:val="28"/>
        </w:rPr>
        <w:t>第四章 合同样本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_Toc23270 </w:instrText>
      </w:r>
      <w:r>
        <w:rPr>
          <w:rFonts w:hint="eastAsia" w:ascii="宋体" w:hAnsi="宋体" w:cs="宋体"/>
          <w:color w:val="auto"/>
          <w:sz w:val="28"/>
          <w:szCs w:val="28"/>
        </w:rPr>
        <w:fldChar w:fldCharType="separate"/>
      </w:r>
      <w:r>
        <w:rPr>
          <w:rFonts w:hint="eastAsia" w:ascii="宋体" w:hAnsi="宋体" w:cs="宋体"/>
          <w:color w:val="auto"/>
          <w:sz w:val="28"/>
          <w:szCs w:val="28"/>
        </w:rPr>
        <w:t>25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51"/>
        <w:tabs>
          <w:tab w:val="right" w:leader="dot" w:pos="1020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_Toc12246 </w:instrText>
      </w:r>
      <w:r>
        <w:rPr>
          <w:rFonts w:hint="eastAsia" w:ascii="宋体" w:hAnsi="宋体" w:cs="宋体"/>
          <w:color w:val="auto"/>
          <w:sz w:val="28"/>
          <w:szCs w:val="28"/>
        </w:rPr>
        <w:fldChar w:fldCharType="separate"/>
      </w:r>
      <w:r>
        <w:rPr>
          <w:rFonts w:hint="eastAsia" w:ascii="宋体" w:hAnsi="宋体" w:cs="宋体"/>
          <w:bCs/>
          <w:color w:val="auto"/>
          <w:sz w:val="28"/>
          <w:szCs w:val="28"/>
        </w:rPr>
        <w:t>第五章 评标原则及方法</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_Toc12246 </w:instrText>
      </w:r>
      <w:r>
        <w:rPr>
          <w:rFonts w:hint="eastAsia" w:ascii="宋体" w:hAnsi="宋体" w:cs="宋体"/>
          <w:color w:val="auto"/>
          <w:sz w:val="28"/>
          <w:szCs w:val="28"/>
        </w:rPr>
        <w:fldChar w:fldCharType="separate"/>
      </w:r>
      <w:r>
        <w:rPr>
          <w:rFonts w:hint="eastAsia" w:ascii="宋体" w:hAnsi="宋体" w:cs="宋体"/>
          <w:color w:val="auto"/>
          <w:sz w:val="28"/>
          <w:szCs w:val="28"/>
        </w:rPr>
        <w:t>36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51"/>
        <w:tabs>
          <w:tab w:val="right" w:leader="dot" w:pos="1020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_Toc16039 </w:instrText>
      </w:r>
      <w:r>
        <w:rPr>
          <w:rFonts w:hint="eastAsia" w:ascii="宋体" w:hAnsi="宋体" w:cs="宋体"/>
          <w:color w:val="auto"/>
          <w:sz w:val="28"/>
          <w:szCs w:val="28"/>
        </w:rPr>
        <w:fldChar w:fldCharType="separate"/>
      </w:r>
      <w:r>
        <w:rPr>
          <w:rFonts w:hint="eastAsia" w:ascii="宋体" w:hAnsi="宋体" w:cs="宋体"/>
          <w:color w:val="auto"/>
          <w:sz w:val="28"/>
          <w:szCs w:val="28"/>
        </w:rPr>
        <w:t>第六章 投标文件格式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_Toc16039 </w:instrText>
      </w:r>
      <w:r>
        <w:rPr>
          <w:rFonts w:hint="eastAsia" w:ascii="宋体" w:hAnsi="宋体" w:cs="宋体"/>
          <w:color w:val="auto"/>
          <w:sz w:val="28"/>
          <w:szCs w:val="28"/>
        </w:rPr>
        <w:fldChar w:fldCharType="separate"/>
      </w:r>
      <w:r>
        <w:rPr>
          <w:rFonts w:hint="eastAsia" w:ascii="宋体" w:hAnsi="宋体" w:cs="宋体"/>
          <w:color w:val="auto"/>
          <w:sz w:val="28"/>
          <w:szCs w:val="28"/>
        </w:rPr>
        <w:t>40</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51"/>
        <w:tabs>
          <w:tab w:val="right" w:leader="dot" w:pos="10206"/>
        </w:tabs>
        <w:rPr>
          <w:rFonts w:hint="eastAsia" w:ascii="宋体" w:hAnsi="宋体" w:cs="宋体"/>
          <w:color w:val="auto"/>
          <w:sz w:val="28"/>
          <w:szCs w:val="28"/>
        </w:rPr>
      </w:pPr>
    </w:p>
    <w:p>
      <w:pPr>
        <w:pStyle w:val="51"/>
        <w:tabs>
          <w:tab w:val="right" w:leader="dot" w:pos="10206"/>
        </w:tabs>
        <w:rPr>
          <w:color w:val="auto"/>
        </w:rPr>
      </w:pPr>
      <w:r>
        <w:rPr>
          <w:rFonts w:hint="eastAsia" w:ascii="宋体" w:hAnsi="宋体" w:cs="宋体"/>
          <w:color w:val="auto"/>
          <w:sz w:val="28"/>
          <w:szCs w:val="28"/>
        </w:rPr>
        <w:fldChar w:fldCharType="end"/>
      </w:r>
    </w:p>
    <w:p>
      <w:pPr>
        <w:spacing w:line="480" w:lineRule="auto"/>
        <w:rPr>
          <w:rFonts w:hint="eastAsia" w:ascii="楷体_GB2312" w:eastAsia="楷体_GB2312"/>
          <w:b/>
          <w:bCs/>
          <w:color w:val="auto"/>
          <w:sz w:val="24"/>
        </w:rPr>
      </w:pPr>
    </w:p>
    <w:p>
      <w:pPr>
        <w:pStyle w:val="51"/>
        <w:tabs>
          <w:tab w:val="right" w:leader="dot" w:pos="10206"/>
        </w:tabs>
        <w:rPr>
          <w:color w:val="auto"/>
        </w:rPr>
      </w:pPr>
    </w:p>
    <w:p>
      <w:pPr>
        <w:pStyle w:val="22"/>
        <w:ind w:left="840" w:hanging="420"/>
        <w:rPr>
          <w:color w:val="auto"/>
        </w:rPr>
      </w:pPr>
    </w:p>
    <w:p>
      <w:pPr>
        <w:pStyle w:val="3"/>
        <w:jc w:val="both"/>
        <w:rPr>
          <w:color w:val="auto"/>
          <w:sz w:val="22"/>
          <w:szCs w:val="22"/>
        </w:rPr>
      </w:pPr>
    </w:p>
    <w:p>
      <w:pPr>
        <w:rPr>
          <w:color w:val="auto"/>
          <w:sz w:val="22"/>
          <w:szCs w:val="22"/>
        </w:rPr>
      </w:pPr>
    </w:p>
    <w:p>
      <w:pPr>
        <w:rPr>
          <w:color w:val="auto"/>
          <w:sz w:val="22"/>
          <w:szCs w:val="22"/>
        </w:rPr>
      </w:pPr>
    </w:p>
    <w:p>
      <w:pPr>
        <w:rPr>
          <w:color w:val="auto"/>
          <w:sz w:val="22"/>
          <w:szCs w:val="22"/>
        </w:rPr>
      </w:pPr>
    </w:p>
    <w:p>
      <w:pPr>
        <w:tabs>
          <w:tab w:val="left" w:pos="8894"/>
        </w:tabs>
        <w:rPr>
          <w:rFonts w:hint="eastAsia"/>
          <w:color w:val="auto"/>
          <w:sz w:val="22"/>
          <w:szCs w:val="22"/>
        </w:rPr>
      </w:pPr>
      <w:r>
        <w:rPr>
          <w:rFonts w:hint="eastAsia"/>
          <w:color w:val="auto"/>
          <w:sz w:val="22"/>
          <w:szCs w:val="22"/>
        </w:rPr>
        <w:tab/>
      </w: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rPr>
          <w:color w:val="auto"/>
          <w:sz w:val="22"/>
          <w:szCs w:val="22"/>
        </w:rPr>
      </w:pPr>
    </w:p>
    <w:p>
      <w:pPr>
        <w:numPr>
          <w:ilvl w:val="0"/>
          <w:numId w:val="1"/>
        </w:numPr>
        <w:spacing w:line="360" w:lineRule="auto"/>
        <w:ind w:firstLine="608" w:firstLineChars="190"/>
        <w:jc w:val="center"/>
        <w:outlineLvl w:val="0"/>
        <w:rPr>
          <w:rFonts w:hint="eastAsia" w:ascii="黑体" w:hAnsi="黑体" w:eastAsia="黑体" w:cs="黑体"/>
          <w:color w:val="auto"/>
          <w:sz w:val="32"/>
          <w:szCs w:val="32"/>
        </w:rPr>
      </w:pPr>
      <w:bookmarkStart w:id="0" w:name="_Toc30291"/>
      <w:bookmarkStart w:id="1" w:name="OLE_LINK3"/>
      <w:r>
        <w:rPr>
          <w:rFonts w:hint="eastAsia" w:ascii="黑体" w:hAnsi="黑体" w:eastAsia="黑体" w:cs="黑体"/>
          <w:color w:val="auto"/>
          <w:sz w:val="32"/>
          <w:szCs w:val="32"/>
        </w:rPr>
        <w:br w:type="page"/>
      </w:r>
      <w:bookmarkStart w:id="2" w:name="_Toc15588"/>
      <w:bookmarkStart w:id="3" w:name="_Toc6119"/>
      <w:r>
        <w:rPr>
          <w:rFonts w:hint="eastAsia" w:ascii="黑体" w:hAnsi="黑体" w:eastAsia="黑体" w:cs="黑体"/>
          <w:color w:val="auto"/>
          <w:sz w:val="32"/>
          <w:szCs w:val="32"/>
        </w:rPr>
        <w:t>招标公告</w:t>
      </w:r>
      <w:bookmarkEnd w:id="0"/>
      <w:bookmarkEnd w:id="2"/>
      <w:bookmarkEnd w:id="3"/>
    </w:p>
    <w:p>
      <w:pPr>
        <w:pStyle w:val="3"/>
        <w:tabs>
          <w:tab w:val="left" w:pos="0"/>
          <w:tab w:val="left" w:pos="3165"/>
          <w:tab w:val="center" w:pos="4153"/>
        </w:tabs>
        <w:autoSpaceDE w:val="0"/>
        <w:autoSpaceDN w:val="0"/>
        <w:adjustRightInd w:val="0"/>
        <w:spacing w:line="360" w:lineRule="auto"/>
        <w:rPr>
          <w:rFonts w:hint="eastAsia" w:ascii="宋体" w:hAnsi="宋体" w:eastAsia="宋体" w:cs="宋体"/>
          <w:color w:val="auto"/>
        </w:rPr>
      </w:pPr>
      <w:r>
        <w:rPr>
          <w:rFonts w:hint="eastAsia" w:ascii="宋体" w:hAnsi="宋体" w:cs="宋体"/>
          <w:color w:val="auto"/>
          <w:szCs w:val="21"/>
        </w:rPr>
        <w:t xml:space="preserve">       </w:t>
      </w:r>
    </w:p>
    <w:p>
      <w:pPr>
        <w:pBdr>
          <w:top w:val="single" w:color="auto" w:sz="4" w:space="1"/>
          <w:left w:val="single" w:color="auto" w:sz="4" w:space="4"/>
          <w:bottom w:val="single" w:color="auto" w:sz="4" w:space="1"/>
          <w:right w:val="single" w:color="auto" w:sz="4" w:space="4"/>
        </w:pBdr>
        <w:spacing w:line="324" w:lineRule="auto"/>
        <w:ind w:firstLine="420" w:firstLineChars="200"/>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eastAsia="zh-CN"/>
        </w:rPr>
        <w:t>常山县生活垃圾填埋场渗滤液处理及渗滤液处理区运维管理项目</w:t>
      </w:r>
      <w:r>
        <w:rPr>
          <w:rFonts w:hint="eastAsia" w:ascii="宋体" w:hAnsi="宋体" w:cs="宋体"/>
          <w:color w:val="auto"/>
          <w:szCs w:val="21"/>
        </w:rPr>
        <w:t>的潜在投标人应在政府采购云平台（www.zcygov.cn）上获取招标文件，并于</w:t>
      </w:r>
      <w:r>
        <w:rPr>
          <w:rFonts w:hint="eastAsia" w:ascii="宋体" w:hAnsi="宋体" w:cs="宋体"/>
          <w:color w:val="auto"/>
          <w:szCs w:val="21"/>
          <w:u w:val="single"/>
        </w:rPr>
        <w:t xml:space="preserve"> </w:t>
      </w:r>
      <w:r>
        <w:rPr>
          <w:rFonts w:hint="eastAsia" w:ascii="宋体" w:hAnsi="宋体" w:cs="宋体"/>
          <w:b/>
          <w:bCs/>
          <w:color w:val="auto"/>
          <w:szCs w:val="21"/>
          <w:u w:val="single"/>
          <w:lang w:eastAsia="zh-CN"/>
        </w:rPr>
        <w:t>2022年07月14日09时30分</w:t>
      </w:r>
      <w:r>
        <w:rPr>
          <w:rFonts w:hint="eastAsia" w:ascii="宋体" w:hAnsi="宋体" w:cs="宋体"/>
          <w:bCs/>
          <w:color w:val="auto"/>
          <w:szCs w:val="21"/>
        </w:rPr>
        <w:t>（北京时间）前递交投标文件</w:t>
      </w:r>
      <w:r>
        <w:rPr>
          <w:rFonts w:hint="eastAsia" w:ascii="宋体" w:hAnsi="宋体" w:cs="宋体"/>
          <w:color w:val="auto"/>
          <w:szCs w:val="21"/>
        </w:rPr>
        <w:t>。</w:t>
      </w:r>
    </w:p>
    <w:p>
      <w:pPr>
        <w:pStyle w:val="4"/>
        <w:spacing w:before="100" w:after="100" w:line="324" w:lineRule="auto"/>
        <w:rPr>
          <w:rFonts w:hint="eastAsia" w:ascii="宋体" w:hAnsi="宋体" w:eastAsia="宋体" w:cs="宋体"/>
          <w:bCs w:val="0"/>
          <w:color w:val="auto"/>
          <w:sz w:val="21"/>
          <w:szCs w:val="21"/>
        </w:rPr>
      </w:pPr>
      <w:bookmarkStart w:id="4" w:name="_Toc35393790"/>
      <w:bookmarkStart w:id="5" w:name="_Toc35393621"/>
      <w:bookmarkStart w:id="6" w:name="_Toc28359002"/>
      <w:bookmarkStart w:id="7" w:name="_Toc28359079"/>
      <w:bookmarkStart w:id="8" w:name="_Hlk24379207"/>
      <w:r>
        <w:rPr>
          <w:rFonts w:hint="eastAsia" w:ascii="宋体" w:hAnsi="宋体" w:eastAsia="宋体" w:cs="宋体"/>
          <w:bCs w:val="0"/>
          <w:color w:val="auto"/>
          <w:sz w:val="21"/>
          <w:szCs w:val="21"/>
        </w:rPr>
        <w:t>一、项目基本情况</w:t>
      </w:r>
      <w:bookmarkEnd w:id="4"/>
      <w:bookmarkEnd w:id="5"/>
      <w:bookmarkEnd w:id="6"/>
      <w:bookmarkEnd w:id="7"/>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kern w:val="0"/>
          <w:szCs w:val="21"/>
          <w:lang w:eastAsia="zh-CN"/>
        </w:rPr>
        <w:t>CSLT-GK-2022022</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常山县生活垃圾填埋场渗滤液处理及渗滤液处理区运维管理项目</w:t>
      </w:r>
    </w:p>
    <w:p>
      <w:pPr>
        <w:pStyle w:val="12"/>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采购单位式：公开招标</w:t>
      </w:r>
    </w:p>
    <w:bookmarkEnd w:id="8"/>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预算金额：</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14.8</w:t>
      </w:r>
      <w:r>
        <w:rPr>
          <w:rFonts w:hint="eastAsia" w:ascii="宋体" w:hAnsi="宋体" w:cs="宋体"/>
          <w:color w:val="auto"/>
          <w:szCs w:val="21"/>
          <w:highlight w:val="none"/>
          <w:lang w:eastAsia="zh-CN"/>
        </w:rPr>
        <w:t>万元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采购需求：</w:t>
      </w:r>
    </w:p>
    <w:tbl>
      <w:tblPr>
        <w:tblStyle w:val="23"/>
        <w:tblW w:w="958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38"/>
        <w:gridCol w:w="855"/>
        <w:gridCol w:w="818"/>
        <w:gridCol w:w="1566"/>
        <w:gridCol w:w="254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2"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938" w:type="dxa"/>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采购内容</w:t>
            </w:r>
          </w:p>
        </w:tc>
        <w:tc>
          <w:tcPr>
            <w:tcW w:w="855"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818"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566"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w:t>
            </w:r>
            <w:r>
              <w:rPr>
                <w:rFonts w:hint="eastAsia" w:ascii="宋体" w:hAnsi="宋体" w:eastAsia="宋体" w:cs="宋体"/>
                <w:color w:val="auto"/>
                <w:szCs w:val="21"/>
                <w:lang w:eastAsia="zh-CN"/>
              </w:rPr>
              <w:t>最高限</w:t>
            </w:r>
            <w:r>
              <w:rPr>
                <w:rFonts w:hint="eastAsia" w:ascii="宋体" w:hAnsi="宋体" w:eastAsia="宋体" w:cs="宋体"/>
                <w:color w:val="auto"/>
                <w:szCs w:val="21"/>
              </w:rPr>
              <w:t>价</w:t>
            </w:r>
          </w:p>
        </w:tc>
        <w:tc>
          <w:tcPr>
            <w:tcW w:w="2541" w:type="dxa"/>
            <w:noWrap w:val="0"/>
            <w:vAlign w:val="center"/>
          </w:tcPr>
          <w:p>
            <w:pPr>
              <w:snapToGrid w:val="0"/>
              <w:spacing w:line="360" w:lineRule="auto"/>
              <w:ind w:firstLine="420" w:firstLineChars="200"/>
              <w:jc w:val="center"/>
              <w:rPr>
                <w:rFonts w:hint="eastAsia" w:ascii="宋体" w:hAnsi="宋体" w:eastAsia="宋体" w:cs="宋体"/>
                <w:color w:val="auto"/>
                <w:szCs w:val="21"/>
              </w:rPr>
            </w:pPr>
            <w:r>
              <w:rPr>
                <w:rFonts w:hint="eastAsia" w:ascii="宋体" w:hAnsi="宋体" w:eastAsia="宋体" w:cs="宋体"/>
                <w:color w:val="auto"/>
                <w:szCs w:val="21"/>
              </w:rPr>
              <w:t>项目概况</w:t>
            </w:r>
          </w:p>
        </w:tc>
        <w:tc>
          <w:tcPr>
            <w:tcW w:w="1155"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2" w:type="dxa"/>
            <w:noWrap w:val="0"/>
            <w:vAlign w:val="center"/>
          </w:tcPr>
          <w:p>
            <w:pPr>
              <w:pStyle w:val="22"/>
              <w:spacing w:after="0" w:line="360" w:lineRule="auto"/>
              <w:ind w:left="0" w:leftChars="0" w:firstLine="0" w:firstLineChars="0"/>
              <w:jc w:val="center"/>
              <w:rPr>
                <w:rFonts w:hint="eastAsia" w:ascii="宋体" w:hAnsi="宋体" w:eastAsia="宋体"/>
                <w:color w:val="auto"/>
              </w:rPr>
            </w:pPr>
            <w:r>
              <w:rPr>
                <w:rFonts w:hint="eastAsia" w:ascii="宋体" w:hAnsi="宋体" w:eastAsia="宋体"/>
                <w:color w:val="auto"/>
              </w:rPr>
              <w:t>1</w:t>
            </w:r>
          </w:p>
        </w:tc>
        <w:tc>
          <w:tcPr>
            <w:tcW w:w="1938" w:type="dxa"/>
            <w:noWrap w:val="0"/>
            <w:vAlign w:val="center"/>
          </w:tcPr>
          <w:p>
            <w:pPr>
              <w:pStyle w:val="22"/>
              <w:spacing w:after="0" w:line="360" w:lineRule="auto"/>
              <w:ind w:left="0" w:leftChars="0" w:firstLine="0" w:firstLineChars="0"/>
              <w:rPr>
                <w:rFonts w:hint="eastAsia" w:ascii="宋体" w:hAnsi="宋体" w:eastAsia="宋体"/>
                <w:color w:val="auto"/>
              </w:rPr>
            </w:pPr>
            <w:r>
              <w:rPr>
                <w:rFonts w:hint="eastAsia" w:ascii="宋体" w:hAnsi="宋体" w:eastAsia="宋体"/>
                <w:color w:val="auto"/>
              </w:rPr>
              <w:t>垃圾渗滤液运营费</w:t>
            </w:r>
          </w:p>
        </w:tc>
        <w:tc>
          <w:tcPr>
            <w:tcW w:w="855"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18" w:type="dxa"/>
            <w:noWrap w:val="0"/>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eastAsia="zh-CN"/>
              </w:rPr>
              <w:t>项</w:t>
            </w:r>
          </w:p>
        </w:tc>
        <w:tc>
          <w:tcPr>
            <w:tcW w:w="1566" w:type="dxa"/>
            <w:noWrap w:val="0"/>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69</w:t>
            </w:r>
            <w:r>
              <w:rPr>
                <w:rFonts w:hint="eastAsia" w:ascii="宋体" w:hAnsi="宋体" w:eastAsia="宋体" w:cs="宋体"/>
                <w:color w:val="auto"/>
                <w:szCs w:val="21"/>
                <w:lang w:eastAsia="zh-CN"/>
              </w:rPr>
              <w:t>元/m³</w:t>
            </w:r>
          </w:p>
        </w:tc>
        <w:tc>
          <w:tcPr>
            <w:tcW w:w="2541" w:type="dxa"/>
            <w:vMerge w:val="restart"/>
            <w:noWrap w:val="0"/>
            <w:vAlign w:val="center"/>
          </w:tcPr>
          <w:p>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详见本采购文件第三章招标内容及要求</w:t>
            </w:r>
          </w:p>
        </w:tc>
        <w:tc>
          <w:tcPr>
            <w:tcW w:w="1155" w:type="dxa"/>
            <w:noWrap w:val="0"/>
            <w:vAlign w:val="center"/>
          </w:tcPr>
          <w:p>
            <w:pPr>
              <w:snapToGrid w:val="0"/>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2" w:type="dxa"/>
            <w:noWrap w:val="0"/>
            <w:vAlign w:val="center"/>
          </w:tcPr>
          <w:p>
            <w:pPr>
              <w:pStyle w:val="22"/>
              <w:spacing w:after="0" w:line="360" w:lineRule="auto"/>
              <w:ind w:left="0" w:leftChars="0" w:firstLine="0" w:firstLineChars="0"/>
              <w:jc w:val="center"/>
              <w:rPr>
                <w:rFonts w:hint="eastAsia" w:ascii="宋体" w:hAnsi="宋体" w:eastAsia="宋体"/>
                <w:color w:val="auto"/>
                <w:lang w:val="en-US" w:eastAsia="zh-CN"/>
              </w:rPr>
            </w:pPr>
            <w:r>
              <w:rPr>
                <w:rFonts w:hint="eastAsia" w:ascii="宋体" w:hAnsi="宋体" w:eastAsia="宋体"/>
                <w:color w:val="auto"/>
                <w:lang w:val="en-US" w:eastAsia="zh-CN"/>
              </w:rPr>
              <w:t>2</w:t>
            </w:r>
          </w:p>
        </w:tc>
        <w:tc>
          <w:tcPr>
            <w:tcW w:w="1938" w:type="dxa"/>
            <w:noWrap w:val="0"/>
            <w:vAlign w:val="center"/>
          </w:tcPr>
          <w:p>
            <w:pPr>
              <w:pStyle w:val="22"/>
              <w:spacing w:after="0" w:line="360" w:lineRule="auto"/>
              <w:ind w:left="0" w:leftChars="0" w:firstLine="0" w:firstLineChars="0"/>
              <w:rPr>
                <w:rFonts w:hint="eastAsia" w:ascii="宋体" w:hAnsi="宋体" w:eastAsia="宋体"/>
                <w:color w:val="auto"/>
              </w:rPr>
            </w:pPr>
            <w:r>
              <w:rPr>
                <w:rFonts w:hint="eastAsia" w:ascii="宋体" w:hAnsi="宋体" w:eastAsia="宋体"/>
                <w:color w:val="auto"/>
              </w:rPr>
              <w:t>微电荷及自养反硝化运营费</w:t>
            </w:r>
          </w:p>
        </w:tc>
        <w:tc>
          <w:tcPr>
            <w:tcW w:w="855" w:type="dxa"/>
            <w:noWrap w:val="0"/>
            <w:vAlign w:val="center"/>
          </w:tcPr>
          <w:p>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818"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eastAsia="zh-CN"/>
              </w:rPr>
              <w:t>项</w:t>
            </w:r>
          </w:p>
        </w:tc>
        <w:tc>
          <w:tcPr>
            <w:tcW w:w="1566" w:type="dxa"/>
            <w:noWrap w:val="0"/>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20</w:t>
            </w:r>
            <w:r>
              <w:rPr>
                <w:rFonts w:hint="eastAsia" w:ascii="宋体" w:hAnsi="宋体" w:eastAsia="宋体" w:cs="宋体"/>
                <w:color w:val="auto"/>
                <w:szCs w:val="21"/>
                <w:lang w:eastAsia="zh-CN"/>
              </w:rPr>
              <w:t>元/m³</w:t>
            </w:r>
          </w:p>
        </w:tc>
        <w:tc>
          <w:tcPr>
            <w:tcW w:w="2541" w:type="dxa"/>
            <w:vMerge w:val="continue"/>
            <w:noWrap w:val="0"/>
            <w:vAlign w:val="center"/>
          </w:tcPr>
          <w:p>
            <w:pPr>
              <w:snapToGrid w:val="0"/>
              <w:spacing w:line="360" w:lineRule="auto"/>
              <w:rPr>
                <w:rFonts w:hint="eastAsia" w:ascii="宋体" w:hAnsi="宋体" w:eastAsia="宋体" w:cs="宋体"/>
                <w:color w:val="auto"/>
                <w:szCs w:val="21"/>
              </w:rPr>
            </w:pPr>
          </w:p>
        </w:tc>
        <w:tc>
          <w:tcPr>
            <w:tcW w:w="1155" w:type="dxa"/>
            <w:noWrap w:val="0"/>
            <w:vAlign w:val="center"/>
          </w:tcPr>
          <w:p>
            <w:pPr>
              <w:snapToGrid w:val="0"/>
              <w:spacing w:line="360" w:lineRule="auto"/>
              <w:ind w:firstLine="420" w:firstLineChars="2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2" w:type="dxa"/>
            <w:noWrap w:val="0"/>
            <w:vAlign w:val="center"/>
          </w:tcPr>
          <w:p>
            <w:pPr>
              <w:pStyle w:val="22"/>
              <w:spacing w:after="0" w:line="360" w:lineRule="auto"/>
              <w:ind w:left="0" w:leftChars="0" w:firstLine="0" w:firstLineChars="0"/>
              <w:jc w:val="center"/>
              <w:rPr>
                <w:rFonts w:hint="eastAsia" w:ascii="宋体" w:hAnsi="宋体" w:eastAsia="宋体"/>
                <w:color w:val="auto"/>
                <w:lang w:val="en-US" w:eastAsia="zh-CN"/>
              </w:rPr>
            </w:pPr>
            <w:r>
              <w:rPr>
                <w:rFonts w:hint="eastAsia" w:ascii="宋体" w:hAnsi="宋体" w:eastAsia="宋体"/>
                <w:color w:val="auto"/>
                <w:lang w:val="en-US" w:eastAsia="zh-CN"/>
              </w:rPr>
              <w:t>3</w:t>
            </w:r>
          </w:p>
        </w:tc>
        <w:tc>
          <w:tcPr>
            <w:tcW w:w="1938" w:type="dxa"/>
            <w:noWrap w:val="0"/>
            <w:vAlign w:val="center"/>
          </w:tcPr>
          <w:p>
            <w:pPr>
              <w:pStyle w:val="22"/>
              <w:spacing w:after="0" w:line="360" w:lineRule="auto"/>
              <w:ind w:left="0" w:leftChars="0" w:firstLine="0" w:firstLineChars="0"/>
              <w:rPr>
                <w:rFonts w:hint="eastAsia" w:ascii="宋体" w:hAnsi="宋体" w:eastAsia="宋体"/>
                <w:color w:val="auto"/>
              </w:rPr>
            </w:pPr>
            <w:r>
              <w:rPr>
                <w:rFonts w:hint="eastAsia" w:ascii="宋体" w:hAnsi="宋体" w:cs="宋体"/>
                <w:color w:val="auto"/>
                <w:szCs w:val="21"/>
              </w:rPr>
              <w:t>污泥处置费</w:t>
            </w:r>
          </w:p>
        </w:tc>
        <w:tc>
          <w:tcPr>
            <w:tcW w:w="855" w:type="dxa"/>
            <w:noWrap w:val="0"/>
            <w:vAlign w:val="center"/>
          </w:tcPr>
          <w:p>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818" w:type="dxa"/>
            <w:noWrap w:val="0"/>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eastAsia="zh-CN"/>
              </w:rPr>
              <w:t>项</w:t>
            </w:r>
          </w:p>
        </w:tc>
        <w:tc>
          <w:tcPr>
            <w:tcW w:w="1566" w:type="dxa"/>
            <w:noWrap w:val="0"/>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元/m³</w:t>
            </w:r>
          </w:p>
        </w:tc>
        <w:tc>
          <w:tcPr>
            <w:tcW w:w="2541" w:type="dxa"/>
            <w:vMerge w:val="continue"/>
            <w:noWrap w:val="0"/>
            <w:vAlign w:val="center"/>
          </w:tcPr>
          <w:p>
            <w:pPr>
              <w:snapToGrid w:val="0"/>
              <w:spacing w:line="360" w:lineRule="auto"/>
              <w:rPr>
                <w:rFonts w:hint="eastAsia" w:ascii="宋体" w:hAnsi="宋体" w:eastAsia="宋体" w:cs="宋体"/>
                <w:color w:val="auto"/>
                <w:szCs w:val="21"/>
              </w:rPr>
            </w:pPr>
          </w:p>
        </w:tc>
        <w:tc>
          <w:tcPr>
            <w:tcW w:w="1155" w:type="dxa"/>
            <w:noWrap w:val="0"/>
            <w:vAlign w:val="center"/>
          </w:tcPr>
          <w:p>
            <w:pPr>
              <w:snapToGrid w:val="0"/>
              <w:spacing w:line="360" w:lineRule="auto"/>
              <w:ind w:firstLine="420" w:firstLineChars="200"/>
              <w:jc w:val="center"/>
              <w:rPr>
                <w:rFonts w:hint="eastAsia" w:ascii="宋体" w:hAnsi="宋体" w:eastAsia="宋体" w:cs="宋体"/>
                <w:color w:val="auto"/>
                <w:szCs w:val="21"/>
              </w:rPr>
            </w:pPr>
          </w:p>
        </w:tc>
      </w:tr>
    </w:tbl>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合同履行期限：详见本采购文件第三章招标内容及要求。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本项目不接受联合体投标。</w:t>
      </w:r>
    </w:p>
    <w:p>
      <w:pPr>
        <w:pStyle w:val="4"/>
        <w:spacing w:before="100" w:after="100" w:line="324" w:lineRule="auto"/>
        <w:rPr>
          <w:rFonts w:hint="eastAsia" w:ascii="宋体" w:hAnsi="宋体" w:eastAsia="宋体" w:cs="宋体"/>
          <w:bCs w:val="0"/>
          <w:color w:val="auto"/>
          <w:sz w:val="21"/>
          <w:szCs w:val="21"/>
        </w:rPr>
      </w:pPr>
      <w:bookmarkStart w:id="9" w:name="_Toc28359003"/>
      <w:bookmarkStart w:id="10" w:name="_Toc28359080"/>
      <w:bookmarkStart w:id="11" w:name="_Toc35393791"/>
      <w:bookmarkStart w:id="12" w:name="_Toc35393622"/>
      <w:r>
        <w:rPr>
          <w:rFonts w:hint="eastAsia" w:ascii="宋体" w:hAnsi="宋体" w:eastAsia="宋体" w:cs="宋体"/>
          <w:bCs w:val="0"/>
          <w:color w:val="auto"/>
          <w:sz w:val="21"/>
          <w:szCs w:val="21"/>
        </w:rPr>
        <w:t>二、申请人的资格要求：</w:t>
      </w:r>
      <w:bookmarkEnd w:id="9"/>
      <w:bookmarkEnd w:id="10"/>
      <w:bookmarkEnd w:id="11"/>
      <w:bookmarkEnd w:id="12"/>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基本条件：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pPr>
        <w:spacing w:line="360" w:lineRule="auto"/>
        <w:ind w:firstLine="420" w:firstLineChars="200"/>
        <w:rPr>
          <w:rFonts w:hint="eastAsia" w:ascii="宋体" w:hAnsi="宋体" w:cs="宋体"/>
          <w:color w:val="auto"/>
          <w:szCs w:val="21"/>
          <w:highlight w:val="none"/>
        </w:rPr>
      </w:pPr>
      <w:bookmarkStart w:id="13" w:name="_Toc28359081"/>
      <w:bookmarkStart w:id="14" w:name="_Toc28359004"/>
      <w:r>
        <w:rPr>
          <w:rFonts w:hint="eastAsia" w:ascii="宋体" w:hAnsi="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无</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3.未被列入“信用中国”（www.creditchina.gov.cn）失信被执行人、</w:t>
      </w:r>
      <w:r>
        <w:rPr>
          <w:rFonts w:hint="eastAsia" w:ascii="宋体" w:hAnsi="宋体" w:cs="宋体"/>
          <w:color w:val="auto"/>
          <w:szCs w:val="21"/>
          <w:lang w:eastAsia="zh-CN"/>
        </w:rPr>
        <w:t>税收违法黑名单</w:t>
      </w:r>
      <w:r>
        <w:rPr>
          <w:rFonts w:hint="eastAsia" w:ascii="宋体" w:hAnsi="宋体" w:cs="宋体"/>
          <w:color w:val="auto"/>
          <w:szCs w:val="21"/>
        </w:rPr>
        <w:t>；未被列入中国政府采购网（www.ccgp.gov.cn）政府采购严重违法失信行为信息记录名单。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特定条件：</w:t>
      </w:r>
      <w:r>
        <w:rPr>
          <w:rFonts w:hint="eastAsia" w:ascii="宋体" w:hAnsi="宋体" w:cs="宋体"/>
          <w:color w:val="auto"/>
          <w:szCs w:val="21"/>
          <w:highlight w:val="none"/>
          <w:lang w:eastAsia="zh-CN"/>
        </w:rPr>
        <w:t>无</w:t>
      </w:r>
      <w:r>
        <w:rPr>
          <w:rFonts w:hint="eastAsia" w:ascii="宋体" w:hAnsi="宋体" w:cs="宋体"/>
          <w:color w:val="auto"/>
          <w:szCs w:val="21"/>
          <w:highlight w:val="none"/>
        </w:rPr>
        <w:t>。</w:t>
      </w:r>
    </w:p>
    <w:p>
      <w:pPr>
        <w:spacing w:line="360" w:lineRule="auto"/>
        <w:rPr>
          <w:rFonts w:hint="eastAsia" w:ascii="宋体" w:hAnsi="宋体" w:cs="宋体"/>
          <w:b/>
          <w:bCs/>
          <w:color w:val="auto"/>
          <w:szCs w:val="21"/>
        </w:rPr>
      </w:pPr>
      <w:bookmarkStart w:id="15" w:name="_Toc35393623"/>
      <w:bookmarkStart w:id="16" w:name="_Toc35393792"/>
      <w:r>
        <w:rPr>
          <w:rFonts w:hint="eastAsia" w:ascii="宋体" w:hAnsi="宋体" w:cs="宋体"/>
          <w:b/>
          <w:bCs/>
          <w:color w:val="auto"/>
          <w:szCs w:val="21"/>
        </w:rPr>
        <w:t>三、获取招标文件</w:t>
      </w:r>
      <w:bookmarkEnd w:id="13"/>
      <w:bookmarkEnd w:id="14"/>
      <w:bookmarkEnd w:id="15"/>
      <w:bookmarkEnd w:id="16"/>
    </w:p>
    <w:p>
      <w:pPr>
        <w:spacing w:line="324" w:lineRule="auto"/>
        <w:ind w:firstLine="420" w:firstLineChars="200"/>
        <w:rPr>
          <w:rFonts w:hint="eastAsia" w:ascii="宋体" w:hAnsi="宋体" w:cs="宋体"/>
          <w:color w:val="auto"/>
          <w:szCs w:val="21"/>
        </w:rPr>
      </w:pPr>
      <w:bookmarkStart w:id="17" w:name="_Toc28359005"/>
      <w:bookmarkStart w:id="18" w:name="_Toc28359082"/>
      <w:bookmarkStart w:id="19" w:name="_Toc35393793"/>
      <w:bookmarkStart w:id="20" w:name="_Toc35393624"/>
      <w:r>
        <w:rPr>
          <w:rFonts w:hint="eastAsia" w:ascii="宋体" w:hAnsi="宋体" w:cs="宋体"/>
          <w:color w:val="auto"/>
          <w:szCs w:val="21"/>
        </w:rPr>
        <w:t>1、获取时间：公告发布之日起至投标文件递交截止时间前。</w:t>
      </w:r>
    </w:p>
    <w:p>
      <w:pPr>
        <w:spacing w:line="324" w:lineRule="auto"/>
        <w:ind w:firstLine="422" w:firstLineChars="200"/>
        <w:rPr>
          <w:rFonts w:hint="eastAsia" w:ascii="宋体" w:hAnsi="宋体" w:cs="宋体"/>
          <w:color w:val="auto"/>
          <w:szCs w:val="21"/>
        </w:rPr>
      </w:pPr>
      <w:r>
        <w:rPr>
          <w:rFonts w:hint="eastAsia" w:ascii="宋体" w:hAnsi="宋体" w:cs="宋体"/>
          <w:b/>
          <w:color w:val="auto"/>
          <w:kern w:val="0"/>
          <w:szCs w:val="21"/>
        </w:rPr>
        <w:t>2、本项目采购文件实行在线获取，不提供采购文件纸质版。供应商获取采购文件前应先完成“政府采购云平台--政府采购供应商入驻”（网址：</w:t>
      </w:r>
      <w:r>
        <w:rPr>
          <w:rFonts w:hint="eastAsia" w:ascii="宋体" w:hAnsi="宋体" w:cs="宋体"/>
          <w:b/>
          <w:color w:val="auto"/>
          <w:kern w:val="0"/>
          <w:szCs w:val="21"/>
          <w:u w:val="single"/>
        </w:rPr>
        <w:t>https://middle.zcygov.cn/settle-front/#/registry）</w:t>
      </w:r>
      <w:r>
        <w:rPr>
          <w:rFonts w:hint="eastAsia" w:ascii="宋体" w:hAnsi="宋体" w:cs="宋体"/>
          <w:b/>
          <w:color w:val="auto"/>
          <w:kern w:val="0"/>
          <w:szCs w:val="21"/>
        </w:rPr>
        <w:t>；已注册供应商：（直接登陆</w:t>
      </w:r>
      <w:r>
        <w:rPr>
          <w:rFonts w:hint="eastAsia" w:ascii="宋体" w:hAnsi="宋体" w:cs="宋体"/>
          <w:b/>
          <w:color w:val="auto"/>
          <w:kern w:val="0"/>
          <w:szCs w:val="21"/>
          <w:u w:val="single"/>
        </w:rPr>
        <w:t>https://login.zcygov.cn/user-login/#/login ）</w:t>
      </w:r>
      <w:r>
        <w:rPr>
          <w:rFonts w:hint="eastAsia" w:ascii="宋体" w:hAnsi="宋体" w:cs="宋体"/>
          <w:b/>
          <w:color w:val="auto"/>
          <w:kern w:val="0"/>
          <w:szCs w:val="21"/>
        </w:rPr>
        <w:t>。</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3、方式：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324" w:lineRule="auto"/>
        <w:ind w:firstLine="422" w:firstLineChars="200"/>
        <w:rPr>
          <w:rFonts w:hint="eastAsia" w:ascii="宋体" w:hAnsi="宋体" w:cs="宋体"/>
          <w:b/>
          <w:bCs/>
          <w:color w:val="auto"/>
          <w:szCs w:val="21"/>
          <w:highlight w:val="cyan"/>
        </w:rPr>
      </w:pPr>
      <w:r>
        <w:rPr>
          <w:rFonts w:hint="eastAsia" w:ascii="宋体" w:hAnsi="宋体" w:cs="宋体"/>
          <w:b/>
          <w:bCs/>
          <w:color w:val="auto"/>
          <w:szCs w:val="21"/>
          <w:highlight w:val="cyan"/>
        </w:rPr>
        <w:t>注：请供应商按上述要求获取采购文件，如未在“政采云”系统内完成相关流程，引起的投标无效责任自负。</w:t>
      </w:r>
    </w:p>
    <w:p>
      <w:pPr>
        <w:pStyle w:val="4"/>
        <w:spacing w:before="100" w:after="100" w:line="324"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四、</w:t>
      </w:r>
      <w:bookmarkEnd w:id="17"/>
      <w:bookmarkEnd w:id="18"/>
      <w:bookmarkEnd w:id="19"/>
      <w:bookmarkEnd w:id="20"/>
      <w:r>
        <w:rPr>
          <w:rFonts w:hint="eastAsia" w:ascii="宋体" w:hAnsi="宋体" w:eastAsia="宋体" w:cs="宋体"/>
          <w:b w:val="0"/>
          <w:color w:val="auto"/>
          <w:sz w:val="21"/>
          <w:szCs w:val="21"/>
        </w:rPr>
        <w:t>提交投标文件截止时间、开标时间和地点</w:t>
      </w:r>
    </w:p>
    <w:p>
      <w:pPr>
        <w:spacing w:line="324" w:lineRule="auto"/>
        <w:ind w:firstLine="420" w:firstLineChars="200"/>
        <w:rPr>
          <w:rFonts w:hint="eastAsia" w:ascii="宋体" w:hAnsi="宋体" w:cs="宋体"/>
          <w:bCs/>
          <w:color w:val="auto"/>
          <w:szCs w:val="21"/>
        </w:rPr>
      </w:pPr>
      <w:r>
        <w:rPr>
          <w:rFonts w:hint="eastAsia" w:ascii="宋体" w:hAnsi="宋体" w:cs="宋体"/>
          <w:color w:val="auto"/>
          <w:szCs w:val="21"/>
        </w:rPr>
        <w:t>截止时间、开标时间：</w:t>
      </w:r>
      <w:r>
        <w:rPr>
          <w:rFonts w:hint="eastAsia" w:ascii="宋体" w:hAnsi="宋体" w:cs="宋体"/>
          <w:color w:val="auto"/>
          <w:szCs w:val="21"/>
          <w:u w:val="single"/>
        </w:rPr>
        <w:t xml:space="preserve"> </w:t>
      </w:r>
      <w:r>
        <w:rPr>
          <w:rFonts w:hint="eastAsia" w:ascii="宋体" w:hAnsi="宋体" w:cs="宋体"/>
          <w:b/>
          <w:bCs/>
          <w:color w:val="auto"/>
          <w:szCs w:val="21"/>
          <w:u w:val="single"/>
          <w:lang w:eastAsia="zh-CN"/>
        </w:rPr>
        <w:t>2022年07月14日09时30分</w:t>
      </w:r>
      <w:r>
        <w:rPr>
          <w:rFonts w:hint="eastAsia" w:ascii="宋体" w:hAnsi="宋体" w:cs="宋体"/>
          <w:bCs/>
          <w:color w:val="auto"/>
          <w:szCs w:val="21"/>
          <w:u w:val="single"/>
        </w:rPr>
        <w:t>（</w:t>
      </w:r>
      <w:r>
        <w:rPr>
          <w:rFonts w:hint="eastAsia" w:ascii="宋体" w:hAnsi="宋体" w:cs="宋体"/>
          <w:bCs/>
          <w:color w:val="auto"/>
          <w:szCs w:val="21"/>
        </w:rPr>
        <w:t>北京时间）</w:t>
      </w:r>
    </w:p>
    <w:p>
      <w:pPr>
        <w:spacing w:line="324" w:lineRule="auto"/>
        <w:ind w:firstLine="420" w:firstLineChars="200"/>
        <w:rPr>
          <w:rFonts w:hint="eastAsia" w:ascii="宋体" w:hAnsi="宋体" w:cs="宋体"/>
          <w:bCs/>
          <w:color w:val="auto"/>
          <w:szCs w:val="21"/>
          <w:u w:val="single"/>
        </w:rPr>
      </w:pPr>
      <w:r>
        <w:rPr>
          <w:rFonts w:hint="eastAsia" w:ascii="宋体" w:hAnsi="宋体" w:cs="宋体"/>
          <w:color w:val="auto"/>
          <w:szCs w:val="21"/>
        </w:rPr>
        <w:t>地点：政府采购云平台（www.zcygov.cn）</w:t>
      </w:r>
    </w:p>
    <w:p>
      <w:pPr>
        <w:pStyle w:val="4"/>
        <w:spacing w:before="100" w:after="100" w:line="324" w:lineRule="auto"/>
        <w:rPr>
          <w:rFonts w:hint="eastAsia" w:ascii="宋体" w:hAnsi="宋体" w:eastAsia="宋体" w:cs="宋体"/>
          <w:bCs w:val="0"/>
          <w:color w:val="auto"/>
          <w:sz w:val="21"/>
          <w:szCs w:val="21"/>
        </w:rPr>
      </w:pPr>
      <w:bookmarkStart w:id="21" w:name="_Toc28359084"/>
      <w:bookmarkStart w:id="22" w:name="_Toc35393794"/>
      <w:bookmarkStart w:id="23" w:name="_Toc35393625"/>
      <w:bookmarkStart w:id="24" w:name="_Toc28359007"/>
      <w:r>
        <w:rPr>
          <w:rFonts w:hint="eastAsia" w:ascii="宋体" w:hAnsi="宋体" w:eastAsia="宋体" w:cs="宋体"/>
          <w:bCs w:val="0"/>
          <w:color w:val="auto"/>
          <w:sz w:val="21"/>
          <w:szCs w:val="21"/>
        </w:rPr>
        <w:t>五、公告期限</w:t>
      </w:r>
      <w:bookmarkEnd w:id="21"/>
      <w:bookmarkEnd w:id="22"/>
      <w:bookmarkEnd w:id="23"/>
      <w:bookmarkEnd w:id="24"/>
    </w:p>
    <w:p>
      <w:pPr>
        <w:spacing w:line="324"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pStyle w:val="4"/>
        <w:spacing w:before="100" w:after="100" w:line="324" w:lineRule="auto"/>
        <w:rPr>
          <w:rFonts w:hint="eastAsia" w:ascii="宋体" w:hAnsi="宋体" w:eastAsia="宋体" w:cs="宋体"/>
          <w:bCs w:val="0"/>
          <w:color w:val="auto"/>
          <w:sz w:val="21"/>
          <w:szCs w:val="21"/>
        </w:rPr>
      </w:pPr>
      <w:bookmarkStart w:id="25" w:name="_Toc35393795"/>
      <w:bookmarkStart w:id="26" w:name="_Toc35393626"/>
      <w:r>
        <w:rPr>
          <w:rFonts w:hint="eastAsia" w:ascii="宋体" w:hAnsi="宋体" w:eastAsia="宋体" w:cs="宋体"/>
          <w:bCs w:val="0"/>
          <w:color w:val="auto"/>
          <w:sz w:val="21"/>
          <w:szCs w:val="21"/>
        </w:rPr>
        <w:t>六、其他补充事宜</w:t>
      </w:r>
      <w:bookmarkEnd w:id="25"/>
      <w:bookmarkEnd w:id="26"/>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在线投标响应（电子投标）说明：</w:t>
      </w:r>
    </w:p>
    <w:p>
      <w:pPr>
        <w:pStyle w:val="13"/>
        <w:wordWrap w:val="0"/>
        <w:snapToGrid w:val="0"/>
        <w:spacing w:line="324" w:lineRule="auto"/>
        <w:ind w:firstLine="420" w:firstLineChars="200"/>
        <w:rPr>
          <w:rFonts w:hint="eastAsia" w:hAnsi="宋体" w:cs="宋体"/>
          <w:b/>
          <w:color w:val="auto"/>
          <w:kern w:val="0"/>
          <w:highlight w:val="cyan"/>
        </w:rPr>
      </w:pPr>
      <w:r>
        <w:rPr>
          <w:rFonts w:hint="eastAsia" w:hAnsi="宋体" w:cs="宋体"/>
          <w:bCs/>
          <w:color w:val="auto"/>
          <w:kern w:val="0"/>
        </w:rPr>
        <w:t>（1）、投标人应在投标前完成CA数字证书办理。（办理流程详见</w:t>
      </w:r>
      <w:r>
        <w:rPr>
          <w:rFonts w:hint="eastAsia" w:hAnsi="宋体" w:cs="宋体"/>
          <w:bCs/>
          <w:color w:val="auto"/>
          <w:kern w:val="0"/>
          <w:u w:val="single"/>
        </w:rPr>
        <w:fldChar w:fldCharType="begin"/>
      </w:r>
      <w:r>
        <w:rPr>
          <w:rFonts w:hint="eastAsia" w:hAnsi="宋体" w:cs="宋体"/>
          <w:bCs/>
          <w:color w:val="auto"/>
          <w:kern w:val="0"/>
          <w:u w:val="single"/>
        </w:rPr>
        <w:instrText xml:space="preserve"> HYPERLINK "http://zfcg.czt.zj.gov.cn/bidClientTemplate/2019-05-27/12945.html" </w:instrText>
      </w:r>
      <w:r>
        <w:rPr>
          <w:rFonts w:hint="eastAsia" w:hAnsi="宋体" w:cs="宋体"/>
          <w:bCs/>
          <w:color w:val="auto"/>
          <w:kern w:val="0"/>
          <w:u w:val="single"/>
        </w:rPr>
        <w:fldChar w:fldCharType="separate"/>
      </w:r>
      <w:r>
        <w:rPr>
          <w:rFonts w:hint="eastAsia" w:hAnsi="宋体" w:cs="宋体"/>
          <w:bCs/>
          <w:color w:val="auto"/>
          <w:kern w:val="0"/>
          <w:u w:val="single"/>
        </w:rPr>
        <w:t>http://zfcg.czt.zj.gov.cn/bidClientTemplate/2019-05-27/12945.html</w:t>
      </w:r>
      <w:r>
        <w:rPr>
          <w:rFonts w:hint="eastAsia" w:hAnsi="宋体" w:cs="宋体"/>
          <w:bCs/>
          <w:color w:val="auto"/>
          <w:kern w:val="0"/>
          <w:u w:val="single"/>
        </w:rPr>
        <w:fldChar w:fldCharType="end"/>
      </w:r>
      <w:r>
        <w:rPr>
          <w:rFonts w:hint="eastAsia" w:hAnsi="宋体" w:cs="宋体"/>
          <w:bCs/>
          <w:color w:val="auto"/>
          <w:kern w:val="0"/>
        </w:rPr>
        <w:t>，或登录“浙江政府采购网-下载专区-电子投标客户端-CA驱动和申领流程”）。</w:t>
      </w:r>
      <w:r>
        <w:rPr>
          <w:rFonts w:hint="eastAsia" w:hAnsi="宋体" w:cs="宋体"/>
          <w:b/>
          <w:color w:val="auto"/>
          <w:kern w:val="0"/>
          <w:highlight w:val="cyan"/>
        </w:rPr>
        <w:t>完成CA数字证书办理预计一周左右，建议各投标人抓紧时间办理。</w:t>
      </w:r>
    </w:p>
    <w:p>
      <w:pPr>
        <w:pStyle w:val="13"/>
        <w:wordWrap w:val="0"/>
        <w:snapToGrid w:val="0"/>
        <w:spacing w:line="324" w:lineRule="auto"/>
        <w:ind w:firstLine="420" w:firstLineChars="200"/>
        <w:rPr>
          <w:rFonts w:hint="eastAsia" w:hAnsi="宋体" w:cs="宋体"/>
          <w:bCs/>
          <w:color w:val="auto"/>
          <w:kern w:val="0"/>
        </w:rPr>
      </w:pPr>
      <w:r>
        <w:rPr>
          <w:rFonts w:hint="eastAsia" w:hAnsi="宋体" w:cs="宋体"/>
          <w:bCs/>
          <w:color w:val="auto"/>
          <w:kern w:val="0"/>
        </w:rPr>
        <w:t>（2）、投标人通过“政采云电子交易客户端”制作响应文件。（“政采云电子交易客户端”下载详见</w:t>
      </w:r>
      <w:r>
        <w:rPr>
          <w:rFonts w:hint="eastAsia" w:hAnsi="宋体" w:cs="宋体"/>
          <w:bCs/>
          <w:color w:val="auto"/>
          <w:kern w:val="0"/>
          <w:u w:val="single"/>
        </w:rPr>
        <w:fldChar w:fldCharType="begin"/>
      </w:r>
      <w:r>
        <w:rPr>
          <w:rFonts w:hint="eastAsia" w:hAnsi="宋体" w:cs="宋体"/>
          <w:bCs/>
          <w:color w:val="auto"/>
          <w:kern w:val="0"/>
          <w:u w:val="single"/>
        </w:rPr>
        <w:instrText xml:space="preserve"> HYPERLINK "http://zfcg.czt.zj.gov.cn/bidClientTemplate/2019-09-24/12975.html" </w:instrText>
      </w:r>
      <w:r>
        <w:rPr>
          <w:rFonts w:hint="eastAsia" w:hAnsi="宋体" w:cs="宋体"/>
          <w:bCs/>
          <w:color w:val="auto"/>
          <w:kern w:val="0"/>
          <w:u w:val="single"/>
        </w:rPr>
        <w:fldChar w:fldCharType="separate"/>
      </w:r>
      <w:r>
        <w:rPr>
          <w:rFonts w:hint="eastAsia" w:hAnsi="宋体" w:cs="宋体"/>
          <w:bCs/>
          <w:color w:val="auto"/>
          <w:kern w:val="0"/>
          <w:u w:val="single"/>
        </w:rPr>
        <w:t>http://zfcg.czt.zj.gov.cn/bidClientTemplate/2019-09-24/12975.html</w:t>
      </w:r>
      <w:r>
        <w:rPr>
          <w:rFonts w:hint="eastAsia" w:hAnsi="宋体" w:cs="宋体"/>
          <w:bCs/>
          <w:color w:val="auto"/>
          <w:kern w:val="0"/>
          <w:u w:val="single"/>
        </w:rPr>
        <w:fldChar w:fldCharType="end"/>
      </w:r>
      <w:r>
        <w:rPr>
          <w:rFonts w:hint="eastAsia" w:hAnsi="宋体" w:cs="宋体"/>
          <w:bCs/>
          <w:color w:val="auto"/>
          <w:kern w:val="0"/>
        </w:rPr>
        <w:t>或登录“ 浙江政府采购网-下载专区- 电子投标客户端- 政采云电子交易客户端”）。</w:t>
      </w:r>
    </w:p>
    <w:p>
      <w:pPr>
        <w:pStyle w:val="13"/>
        <w:wordWrap w:val="0"/>
        <w:snapToGrid w:val="0"/>
        <w:spacing w:line="324" w:lineRule="auto"/>
        <w:ind w:firstLine="420" w:firstLineChars="200"/>
        <w:rPr>
          <w:rFonts w:hint="eastAsia" w:hAnsi="宋体" w:cs="宋体"/>
          <w:bCs/>
          <w:color w:val="auto"/>
          <w:kern w:val="0"/>
        </w:rPr>
      </w:pPr>
      <w:r>
        <w:rPr>
          <w:rFonts w:hint="eastAsia" w:hAnsi="宋体" w:cs="宋体"/>
          <w:bCs/>
          <w:color w:val="auto"/>
          <w:kern w:val="0"/>
        </w:rPr>
        <w:t>（3）、电子投标制作具体流程详见政府采购项目电子交易管理操作指南：【请投标供应商点击链接</w:t>
      </w:r>
      <w:r>
        <w:rPr>
          <w:rFonts w:hint="eastAsia" w:hAnsi="宋体" w:cs="宋体"/>
          <w:bCs/>
          <w:color w:val="auto"/>
          <w:kern w:val="0"/>
          <w:u w:val="single"/>
        </w:rPr>
        <w:t>https://service.zcygov.cn/#/knowledges/CW1EtGwBFdiHxlNd6I3m/6IMVAG0BFdiHxlNdQ8Na</w:t>
      </w:r>
      <w:r>
        <w:rPr>
          <w:rFonts w:hint="eastAsia" w:hAnsi="宋体" w:cs="宋体"/>
          <w:bCs/>
          <w:color w:val="auto"/>
          <w:kern w:val="0"/>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400-881-7190。</w:t>
      </w:r>
    </w:p>
    <w:p>
      <w:pPr>
        <w:spacing w:line="324" w:lineRule="auto"/>
        <w:rPr>
          <w:rFonts w:hint="eastAsia" w:ascii="宋体" w:hAnsi="宋体" w:cs="宋体"/>
          <w:color w:val="auto"/>
          <w:szCs w:val="21"/>
        </w:rPr>
      </w:pPr>
      <w:r>
        <w:rPr>
          <w:rFonts w:hint="eastAsia" w:ascii="宋体" w:hAnsi="宋体" w:cs="宋体"/>
          <w:bCs/>
          <w:color w:val="auto"/>
          <w:kern w:val="0"/>
          <w:szCs w:val="21"/>
        </w:rPr>
        <w:t xml:space="preserve">   （</w:t>
      </w:r>
      <w:r>
        <w:rPr>
          <w:rFonts w:hint="eastAsia" w:ascii="宋体" w:hAnsi="宋体" w:cs="宋体"/>
          <w:b/>
          <w:color w:val="auto"/>
          <w:kern w:val="0"/>
          <w:szCs w:val="21"/>
        </w:rPr>
        <w:t>4）、本项目投标文件的解密、报价文件确认等所使用的CA必须和制作</w:t>
      </w:r>
      <w:r>
        <w:rPr>
          <w:rFonts w:hint="eastAsia" w:ascii="宋体" w:hAnsi="宋体" w:cs="宋体"/>
          <w:b/>
          <w:color w:val="auto"/>
          <w:szCs w:val="21"/>
          <w:lang w:val="zh-CN"/>
        </w:rPr>
        <w:t>电子加密投标文件时使用的</w:t>
      </w:r>
      <w:r>
        <w:rPr>
          <w:rFonts w:hint="eastAsia" w:ascii="宋体" w:hAnsi="宋体" w:cs="宋体"/>
          <w:b/>
          <w:color w:val="auto"/>
          <w:szCs w:val="21"/>
        </w:rPr>
        <w:t>CA为</w:t>
      </w:r>
      <w:r>
        <w:rPr>
          <w:rFonts w:hint="eastAsia" w:ascii="宋体" w:hAnsi="宋体" w:cs="宋体"/>
          <w:b/>
          <w:color w:val="auto"/>
          <w:szCs w:val="21"/>
          <w:lang w:val="zh-CN"/>
        </w:rPr>
        <w:t>同一个。</w:t>
      </w:r>
      <w:r>
        <w:rPr>
          <w:rFonts w:hint="eastAsia" w:ascii="宋体" w:hAnsi="宋体" w:cs="宋体"/>
          <w:bCs/>
          <w:color w:val="auto"/>
          <w:kern w:val="0"/>
          <w:szCs w:val="21"/>
        </w:rPr>
        <w:t>为确保网上操作合法、有效和安全，投标供应商应当在投标截止时间前完成在“政府采购云平台”的身份认证，确保在电子投标过程中能够对相关数据电文进行加密和使用电子签章。</w:t>
      </w:r>
    </w:p>
    <w:p>
      <w:pPr>
        <w:pStyle w:val="22"/>
        <w:spacing w:line="324" w:lineRule="auto"/>
        <w:ind w:left="0" w:leftChars="0" w:firstLine="0" w:firstLineChars="0"/>
        <w:rPr>
          <w:rFonts w:hint="eastAsia" w:ascii="宋体" w:hAnsi="宋体"/>
          <w:color w:val="auto"/>
        </w:rPr>
      </w:pPr>
      <w:r>
        <w:rPr>
          <w:rFonts w:hint="eastAsia" w:ascii="宋体" w:hAnsi="宋体"/>
          <w:color w:val="auto"/>
        </w:rPr>
        <w:t xml:space="preserve">   （5）、本项目采用电子投标，供应商代表无需出席开标现场会议。开标时间前供应商登录“政府采购云平台”进入开标大厅等候开标。</w:t>
      </w:r>
    </w:p>
    <w:p>
      <w:pPr>
        <w:widowControl/>
        <w:spacing w:line="324" w:lineRule="auto"/>
        <w:ind w:firstLine="420" w:firstLineChars="200"/>
        <w:jc w:val="left"/>
        <w:rPr>
          <w:rFonts w:hint="eastAsia" w:ascii="宋体" w:hAnsi="宋体" w:cs="宋体"/>
          <w:b/>
          <w:bCs/>
          <w:color w:val="auto"/>
          <w:szCs w:val="21"/>
        </w:rPr>
      </w:pPr>
      <w:r>
        <w:rPr>
          <w:rFonts w:hint="eastAsia" w:ascii="宋体" w:hAnsi="宋体" w:cs="宋体"/>
          <w:color w:val="auto"/>
          <w:szCs w:val="21"/>
        </w:rPr>
        <w:t>2、</w:t>
      </w:r>
      <w:r>
        <w:rPr>
          <w:rFonts w:hint="eastAsia" w:ascii="宋体" w:hAnsi="宋体" w:cs="宋体"/>
          <w:b/>
          <w:bCs/>
          <w:color w:val="auto"/>
          <w:szCs w:val="21"/>
        </w:rPr>
        <w:t>其他事项：</w:t>
      </w:r>
    </w:p>
    <w:p>
      <w:pPr>
        <w:widowControl/>
        <w:wordWrap w:val="0"/>
        <w:spacing w:line="324" w:lineRule="auto"/>
        <w:ind w:firstLine="420" w:firstLineChars="200"/>
        <w:jc w:val="left"/>
        <w:rPr>
          <w:rFonts w:hint="eastAsia" w:ascii="宋体" w:hAnsi="宋体" w:cs="宋体"/>
          <w:color w:val="auto"/>
          <w:szCs w:val="21"/>
        </w:rPr>
      </w:pPr>
      <w:r>
        <w:rPr>
          <w:rFonts w:hint="eastAsia" w:ascii="宋体" w:hAnsi="宋体" w:cs="宋体"/>
          <w:color w:val="auto"/>
          <w:szCs w:val="21"/>
        </w:rPr>
        <w:t>（1）、</w:t>
      </w:r>
      <w:r>
        <w:rPr>
          <w:rStyle w:val="26"/>
          <w:rFonts w:hint="eastAsia" w:ascii="宋体" w:hAnsi="宋体" w:cs="宋体"/>
          <w:color w:val="auto"/>
          <w:szCs w:val="21"/>
        </w:rPr>
        <w:t>本采购项目，中标单位与采购单位签订的政府采购合同适用于衢州市常山县政府采购贷款政策，简称“政采贷”，具体内容可参阅《常山县“政采贷”办理指引》</w:t>
      </w:r>
      <w:r>
        <w:rPr>
          <w:rStyle w:val="26"/>
          <w:rFonts w:hint="eastAsia" w:ascii="宋体" w:hAnsi="宋体" w:cs="宋体"/>
          <w:color w:val="auto"/>
          <w:szCs w:val="21"/>
          <w:u w:val="single"/>
        </w:rPr>
        <w:t>http://www.zjcs.gov.cn/art/2022/1/10/art_1229091236_4857590.html</w:t>
      </w:r>
      <w:r>
        <w:rPr>
          <w:rFonts w:hint="eastAsia" w:ascii="宋体" w:hAnsi="宋体" w:cs="宋体"/>
          <w:color w:val="auto"/>
          <w:szCs w:val="21"/>
        </w:rPr>
        <w:t>。</w:t>
      </w:r>
    </w:p>
    <w:p>
      <w:pPr>
        <w:widowControl/>
        <w:spacing w:line="324" w:lineRule="auto"/>
        <w:ind w:firstLine="420" w:firstLineChars="200"/>
        <w:jc w:val="left"/>
        <w:rPr>
          <w:rFonts w:hint="eastAsia" w:ascii="宋体" w:hAnsi="宋体" w:cs="宋体"/>
          <w:color w:val="auto"/>
          <w:szCs w:val="21"/>
        </w:rPr>
      </w:pPr>
      <w:r>
        <w:rPr>
          <w:rFonts w:hint="eastAsia" w:ascii="宋体" w:hAnsi="宋体" w:cs="宋体"/>
          <w:color w:val="auto"/>
          <w:szCs w:val="21"/>
        </w:rPr>
        <w:t>（2）、供应商认为采购文件、采购过程、中标或者成交结果使自己的权益受到损害的，可以在知道或者应知其权益受到损害之日起七个工作日内，以书面形式向采购单位（或采购代理机构）提出质疑。供应商应知其权益受到损害之日，是指：对可以质疑的采购文件提出质疑的，为采购文件公告期限届满之日（招标公告为公告发布后至第6个工作日）起7个工作日内，以书面形式向采购单位、采购代理机构提出；对采购过程提出质疑的，为各采购程序环节结束之日；对中标或者成交结果提出质疑的，为中标或者成交结果公告期限届满之日。</w:t>
      </w:r>
    </w:p>
    <w:p>
      <w:pPr>
        <w:pStyle w:val="61"/>
        <w:spacing w:line="324" w:lineRule="auto"/>
        <w:ind w:firstLine="440"/>
        <w:rPr>
          <w:rFonts w:hint="eastAsia" w:ascii="宋体" w:hAnsi="宋体" w:cs="宋体"/>
          <w:color w:val="auto"/>
          <w:szCs w:val="21"/>
        </w:rPr>
      </w:pPr>
      <w:r>
        <w:rPr>
          <w:rFonts w:hint="eastAsia" w:ascii="宋体" w:hAnsi="宋体" w:cs="宋体"/>
          <w:color w:val="auto"/>
          <w:kern w:val="2"/>
          <w:szCs w:val="21"/>
        </w:rPr>
        <w:t>（3）、针对同一采购程序环节的质疑，供应商应在法定期限内一次性提出（即针对同一采购程序环节的质疑采购单位或采购代理机构仅受理一次），逾期提出或针对同一采购程序环节多次提出的质疑将不予受理、答复。供应商对采购单位和采购代理机构的质疑答复不满意或者采购单位和采购代理机构未在规定时间内作出答复的，可以在答复期满后十五个工作日内向同级政府采购监管部门投诉。</w:t>
      </w:r>
      <w:r>
        <w:rPr>
          <w:rFonts w:hint="eastAsia" w:ascii="宋体" w:hAnsi="宋体" w:cs="宋体"/>
          <w:b/>
          <w:bCs/>
          <w:color w:val="auto"/>
          <w:szCs w:val="21"/>
        </w:rPr>
        <w:t>质疑函范本、投诉书范本请到浙江政府采购网下载专区下载。</w:t>
      </w:r>
    </w:p>
    <w:p>
      <w:pPr>
        <w:pStyle w:val="4"/>
        <w:spacing w:before="100" w:after="100" w:line="324" w:lineRule="auto"/>
        <w:rPr>
          <w:rFonts w:hint="eastAsia" w:ascii="宋体" w:hAnsi="宋体" w:eastAsia="宋体" w:cs="宋体"/>
          <w:bCs w:val="0"/>
          <w:color w:val="auto"/>
          <w:sz w:val="21"/>
          <w:szCs w:val="21"/>
        </w:rPr>
      </w:pPr>
      <w:bookmarkStart w:id="27" w:name="_Toc28359085"/>
      <w:bookmarkStart w:id="28" w:name="_Toc35393796"/>
      <w:bookmarkStart w:id="29" w:name="_Toc35393627"/>
      <w:bookmarkStart w:id="30" w:name="_Toc28359008"/>
      <w:r>
        <w:rPr>
          <w:rFonts w:hint="eastAsia" w:ascii="宋体" w:hAnsi="宋体" w:eastAsia="宋体" w:cs="宋体"/>
          <w:bCs w:val="0"/>
          <w:color w:val="auto"/>
          <w:sz w:val="21"/>
          <w:szCs w:val="21"/>
        </w:rPr>
        <w:t>七、对本次招标提出询问，请按以下方式联系。</w:t>
      </w:r>
      <w:bookmarkEnd w:id="27"/>
      <w:bookmarkEnd w:id="28"/>
      <w:bookmarkEnd w:id="29"/>
      <w:bookmarkEnd w:id="30"/>
    </w:p>
    <w:p>
      <w:pPr>
        <w:spacing w:line="360" w:lineRule="auto"/>
        <w:ind w:firstLine="399" w:firstLineChars="190"/>
        <w:rPr>
          <w:rFonts w:hint="eastAsia" w:ascii="宋体" w:hAnsi="宋体" w:cs="宋体"/>
          <w:color w:val="auto"/>
          <w:szCs w:val="21"/>
        </w:rPr>
      </w:pPr>
      <w:r>
        <w:rPr>
          <w:rFonts w:hint="eastAsia" w:ascii="宋体" w:hAnsi="宋体" w:cs="宋体"/>
          <w:color w:val="auto"/>
          <w:szCs w:val="21"/>
        </w:rPr>
        <w:t>采购单位：</w:t>
      </w:r>
      <w:r>
        <w:rPr>
          <w:rFonts w:hint="eastAsia" w:ascii="宋体" w:hAnsi="宋体" w:cs="宋体"/>
          <w:color w:val="auto"/>
          <w:szCs w:val="21"/>
          <w:lang w:eastAsia="zh-CN"/>
        </w:rPr>
        <w:t>常山县市容环卫中心</w:t>
      </w:r>
      <w:r>
        <w:rPr>
          <w:rFonts w:hint="eastAsia" w:ascii="宋体" w:hAnsi="宋体" w:cs="宋体"/>
          <w:color w:val="auto"/>
          <w:szCs w:val="21"/>
        </w:rPr>
        <w:t xml:space="preserve">                联系人：</w:t>
      </w:r>
      <w:r>
        <w:rPr>
          <w:rFonts w:hint="eastAsia" w:ascii="宋体" w:hAnsi="宋体" w:cs="宋体"/>
          <w:color w:val="auto"/>
          <w:szCs w:val="21"/>
          <w:highlight w:val="none"/>
          <w:lang w:eastAsia="zh-CN"/>
        </w:rPr>
        <w:t>熊工</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ind w:firstLine="399" w:firstLineChars="190"/>
        <w:rPr>
          <w:rFonts w:hint="eastAsia" w:ascii="宋体" w:hAnsi="宋体" w:cs="宋体"/>
          <w:bCs/>
          <w:color w:val="auto"/>
          <w:szCs w:val="21"/>
        </w:rPr>
      </w:pPr>
      <w:r>
        <w:rPr>
          <w:rFonts w:hint="eastAsia" w:ascii="宋体" w:hAnsi="宋体" w:cs="宋体"/>
          <w:color w:val="auto"/>
          <w:szCs w:val="21"/>
        </w:rPr>
        <w:t>联系电话：</w:t>
      </w:r>
      <w:r>
        <w:rPr>
          <w:rFonts w:hint="eastAsia" w:ascii="宋体" w:hAnsi="宋体" w:cs="宋体"/>
          <w:color w:val="auto"/>
          <w:szCs w:val="21"/>
          <w:highlight w:val="none"/>
        </w:rPr>
        <w:t>0570-5</w:t>
      </w:r>
      <w:r>
        <w:rPr>
          <w:rFonts w:hint="eastAsia" w:ascii="宋体" w:hAnsi="宋体" w:cs="宋体"/>
          <w:color w:val="auto"/>
          <w:szCs w:val="21"/>
          <w:highlight w:val="none"/>
          <w:lang w:val="en-US" w:eastAsia="zh-CN"/>
        </w:rPr>
        <w:t>288616</w:t>
      </w:r>
      <w:r>
        <w:rPr>
          <w:rFonts w:hint="eastAsia" w:ascii="宋体" w:hAnsi="宋体" w:cs="宋体"/>
          <w:color w:val="auto"/>
          <w:szCs w:val="21"/>
          <w:highlight w:val="none"/>
        </w:rPr>
        <w:t xml:space="preserve">         </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采购代理机构：衢州联腾工程咨询有限公司          联系人：</w:t>
      </w:r>
      <w:r>
        <w:rPr>
          <w:rFonts w:hint="eastAsia" w:ascii="宋体" w:hAnsi="宋体" w:cs="宋体"/>
          <w:color w:val="auto"/>
          <w:szCs w:val="21"/>
          <w:lang w:eastAsia="zh-CN"/>
        </w:rPr>
        <w:t>甄工</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联系电话：0570-5013088                          传真：0570-5016719</w:t>
      </w:r>
    </w:p>
    <w:p>
      <w:pPr>
        <w:pStyle w:val="22"/>
        <w:spacing w:after="0" w:line="360" w:lineRule="auto"/>
        <w:ind w:left="0" w:leftChars="0" w:firstLineChars="200"/>
        <w:rPr>
          <w:rFonts w:hint="eastAsia" w:ascii="宋体" w:hAnsi="宋体"/>
          <w:color w:val="auto"/>
        </w:rPr>
      </w:pPr>
      <w:r>
        <w:rPr>
          <w:rFonts w:hint="eastAsia" w:ascii="宋体" w:hAnsi="宋体"/>
          <w:color w:val="auto"/>
        </w:rPr>
        <w:t>地址：衢州市常山县天马街道白龙路10-1幢六楼</w:t>
      </w:r>
    </w:p>
    <w:p>
      <w:pPr>
        <w:spacing w:line="360" w:lineRule="auto"/>
        <w:ind w:firstLine="399" w:firstLineChars="190"/>
        <w:jc w:val="right"/>
        <w:rPr>
          <w:rFonts w:hint="eastAsia" w:ascii="宋体" w:hAnsi="宋体" w:cs="宋体"/>
          <w:color w:val="auto"/>
          <w:szCs w:val="21"/>
        </w:rPr>
      </w:pPr>
    </w:p>
    <w:p>
      <w:pPr>
        <w:spacing w:line="360" w:lineRule="auto"/>
        <w:ind w:firstLine="399" w:firstLineChars="190"/>
        <w:jc w:val="right"/>
        <w:rPr>
          <w:rFonts w:hint="eastAsia" w:ascii="宋体" w:hAnsi="宋体" w:cs="宋体"/>
          <w:color w:val="auto"/>
          <w:szCs w:val="21"/>
        </w:rPr>
      </w:pPr>
    </w:p>
    <w:bookmarkEnd w:id="1"/>
    <w:p>
      <w:pPr>
        <w:pStyle w:val="3"/>
        <w:spacing w:line="360" w:lineRule="auto"/>
        <w:rPr>
          <w:rFonts w:hint="eastAsia" w:ascii="黑体" w:hAnsi="黑体" w:eastAsia="黑体" w:cs="黑体"/>
          <w:b w:val="0"/>
          <w:bCs w:val="0"/>
          <w:color w:val="auto"/>
          <w:sz w:val="32"/>
          <w:szCs w:val="32"/>
        </w:rPr>
      </w:pPr>
      <w:bookmarkStart w:id="31" w:name="_Toc262049414"/>
      <w:bookmarkStart w:id="32" w:name="_Toc249758708"/>
      <w:bookmarkStart w:id="33" w:name="_Toc241404198"/>
      <w:bookmarkStart w:id="34" w:name="_Toc223715994"/>
      <w:bookmarkStart w:id="35" w:name="_Toc245722277"/>
      <w:bookmarkStart w:id="36" w:name="_Toc239145350"/>
      <w:bookmarkStart w:id="37" w:name="_Toc245191310"/>
      <w:bookmarkStart w:id="38" w:name="_Toc221356947"/>
      <w:bookmarkStart w:id="39" w:name="_Toc221374622"/>
      <w:bookmarkStart w:id="40" w:name="_Toc262105499"/>
      <w:bookmarkStart w:id="41" w:name="_Toc221356882"/>
      <w:bookmarkStart w:id="42" w:name="_Toc410031812"/>
      <w:bookmarkStart w:id="43" w:name="_Toc249758860"/>
      <w:bookmarkStart w:id="44" w:name="_Toc221423615"/>
      <w:bookmarkStart w:id="45" w:name="_Toc222114875"/>
      <w:bookmarkStart w:id="46" w:name="_Toc246261261"/>
      <w:r>
        <w:rPr>
          <w:rFonts w:hint="eastAsia" w:ascii="黑体" w:hAnsi="黑体" w:eastAsia="黑体" w:cs="黑体"/>
          <w:b w:val="0"/>
          <w:bCs w:val="0"/>
          <w:color w:val="auto"/>
          <w:sz w:val="32"/>
          <w:szCs w:val="32"/>
        </w:rPr>
        <w:t xml:space="preserve">  </w:t>
      </w:r>
      <w:r>
        <w:rPr>
          <w:rFonts w:hint="eastAsia" w:ascii="黑体" w:hAnsi="黑体" w:eastAsia="黑体" w:cs="黑体"/>
          <w:b w:val="0"/>
          <w:bCs w:val="0"/>
          <w:color w:val="auto"/>
          <w:sz w:val="32"/>
          <w:szCs w:val="32"/>
        </w:rPr>
        <w:br w:type="page"/>
      </w:r>
      <w:bookmarkStart w:id="47" w:name="_Toc2510"/>
      <w:bookmarkStart w:id="48" w:name="_Toc19851"/>
      <w:bookmarkStart w:id="49" w:name="_Toc23759"/>
      <w:r>
        <w:rPr>
          <w:rFonts w:hint="eastAsia" w:ascii="黑体" w:hAnsi="黑体" w:eastAsia="黑体" w:cs="黑体"/>
          <w:b w:val="0"/>
          <w:bCs w:val="0"/>
          <w:color w:val="auto"/>
          <w:sz w:val="32"/>
          <w:szCs w:val="32"/>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360" w:lineRule="auto"/>
        <w:jc w:val="center"/>
        <w:rPr>
          <w:rFonts w:hint="eastAsia" w:ascii="黑体" w:hAnsi="黑体" w:eastAsia="黑体" w:cs="黑体"/>
          <w:color w:val="auto"/>
          <w:sz w:val="32"/>
          <w:szCs w:val="32"/>
        </w:rPr>
      </w:pPr>
      <w:bookmarkStart w:id="50" w:name="_Toc5389"/>
      <w:r>
        <w:rPr>
          <w:rFonts w:hint="eastAsia" w:ascii="黑体" w:hAnsi="黑体" w:eastAsia="黑体" w:cs="黑体"/>
          <w:color w:val="auto"/>
          <w:sz w:val="32"/>
          <w:szCs w:val="32"/>
        </w:rPr>
        <w:t>投标人须知前附表</w:t>
      </w:r>
      <w:bookmarkEnd w:id="50"/>
    </w:p>
    <w:tbl>
      <w:tblPr>
        <w:tblStyle w:val="23"/>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autoSpaceDE w:val="0"/>
              <w:autoSpaceDN w:val="0"/>
              <w:adjustRightInd w:val="0"/>
              <w:jc w:val="center"/>
              <w:rPr>
                <w:color w:val="auto"/>
                <w:kern w:val="0"/>
                <w:sz w:val="36"/>
                <w:szCs w:val="36"/>
              </w:rPr>
            </w:pPr>
            <w:r>
              <w:rPr>
                <w:rFonts w:hint="eastAsia" w:ascii="宋体" w:hAnsi="宋体"/>
                <w:b/>
                <w:color w:val="auto"/>
                <w:kern w:val="0"/>
                <w:sz w:val="20"/>
                <w:szCs w:val="20"/>
                <w:lang w:val="zh-CN"/>
              </w:rPr>
              <w:t>序号</w:t>
            </w:r>
          </w:p>
        </w:tc>
        <w:tc>
          <w:tcPr>
            <w:tcW w:w="1919" w:type="dxa"/>
            <w:noWrap w:val="0"/>
            <w:vAlign w:val="center"/>
          </w:tcPr>
          <w:p>
            <w:pPr>
              <w:autoSpaceDE w:val="0"/>
              <w:autoSpaceDN w:val="0"/>
              <w:adjustRightInd w:val="0"/>
              <w:jc w:val="center"/>
              <w:rPr>
                <w:color w:val="auto"/>
                <w:kern w:val="0"/>
                <w:sz w:val="36"/>
                <w:szCs w:val="36"/>
              </w:rPr>
            </w:pPr>
            <w:r>
              <w:rPr>
                <w:rFonts w:hint="eastAsia" w:ascii="宋体" w:hAnsi="宋体"/>
                <w:b/>
                <w:color w:val="auto"/>
                <w:kern w:val="0"/>
                <w:sz w:val="20"/>
                <w:szCs w:val="20"/>
                <w:lang w:val="zh-CN"/>
              </w:rPr>
              <w:t>项  目</w:t>
            </w:r>
          </w:p>
        </w:tc>
        <w:tc>
          <w:tcPr>
            <w:tcW w:w="7095" w:type="dxa"/>
            <w:noWrap w:val="0"/>
            <w:vAlign w:val="center"/>
          </w:tcPr>
          <w:p>
            <w:pPr>
              <w:autoSpaceDE w:val="0"/>
              <w:autoSpaceDN w:val="0"/>
              <w:adjustRightInd w:val="0"/>
              <w:jc w:val="center"/>
              <w:rPr>
                <w:color w:val="auto"/>
                <w:kern w:val="0"/>
                <w:sz w:val="36"/>
                <w:szCs w:val="36"/>
              </w:rPr>
            </w:pPr>
            <w:r>
              <w:rPr>
                <w:rFonts w:hint="eastAsia" w:ascii="宋体" w:hAnsi="宋体"/>
                <w:b/>
                <w:color w:val="auto"/>
                <w:kern w:val="0"/>
                <w:sz w:val="20"/>
                <w:szCs w:val="20"/>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项目名称</w:t>
            </w:r>
          </w:p>
        </w:tc>
        <w:tc>
          <w:tcPr>
            <w:tcW w:w="7095" w:type="dxa"/>
            <w:noWrap w:val="0"/>
            <w:vAlign w:val="center"/>
          </w:tcPr>
          <w:p>
            <w:pPr>
              <w:autoSpaceDE w:val="0"/>
              <w:autoSpaceDN w:val="0"/>
              <w:adjustRightInd w:val="0"/>
              <w:spacing w:line="400" w:lineRule="exac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常山县生活垃圾填埋场渗滤液处理及渗滤液处理区运维管理项目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招标内容及需求</w:t>
            </w:r>
          </w:p>
        </w:tc>
        <w:tc>
          <w:tcPr>
            <w:tcW w:w="7095" w:type="dxa"/>
            <w:noWrap w:val="0"/>
            <w:vAlign w:val="center"/>
          </w:tcPr>
          <w:p>
            <w:pPr>
              <w:autoSpaceDE w:val="0"/>
              <w:autoSpaceDN w:val="0"/>
              <w:adjustRightInd w:val="0"/>
              <w:spacing w:line="400" w:lineRule="exact"/>
              <w:rPr>
                <w:rFonts w:hint="eastAsia" w:ascii="宋体" w:hAnsi="宋体" w:cs="宋体"/>
                <w:color w:val="auto"/>
                <w:kern w:val="0"/>
                <w:szCs w:val="21"/>
              </w:rPr>
            </w:pPr>
            <w:r>
              <w:rPr>
                <w:rFonts w:hint="eastAsia" w:ascii="宋体" w:hAnsi="宋体" w:cs="宋体"/>
                <w:color w:val="auto"/>
                <w:kern w:val="0"/>
                <w:szCs w:val="21"/>
                <w:lang w:val="zh-CN"/>
              </w:rPr>
              <w:t>详见招标文件第</w:t>
            </w:r>
            <w:r>
              <w:rPr>
                <w:rFonts w:hint="eastAsia" w:ascii="宋体" w:hAnsi="宋体" w:cs="宋体"/>
                <w:color w:val="auto"/>
                <w:kern w:val="0"/>
                <w:szCs w:val="21"/>
              </w:rPr>
              <w:t>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投标资格要求</w:t>
            </w:r>
          </w:p>
        </w:tc>
        <w:tc>
          <w:tcPr>
            <w:tcW w:w="7095" w:type="dxa"/>
            <w:noWrap w:val="0"/>
            <w:vAlign w:val="center"/>
          </w:tcPr>
          <w:p>
            <w:pPr>
              <w:autoSpaceDE w:val="0"/>
              <w:autoSpaceDN w:val="0"/>
              <w:adjustRightInd w:val="0"/>
              <w:spacing w:line="400" w:lineRule="exact"/>
              <w:rPr>
                <w:rFonts w:hint="eastAsia" w:ascii="宋体" w:hAnsi="宋体" w:cs="宋体"/>
                <w:color w:val="auto"/>
                <w:kern w:val="0"/>
                <w:szCs w:val="21"/>
              </w:rPr>
            </w:pPr>
            <w:r>
              <w:rPr>
                <w:rFonts w:hint="eastAsia" w:ascii="宋体" w:hAnsi="宋体" w:cs="宋体"/>
                <w:color w:val="auto"/>
                <w:kern w:val="0"/>
                <w:szCs w:val="21"/>
                <w:lang w:val="zh-CN"/>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投标有效期</w:t>
            </w:r>
          </w:p>
        </w:tc>
        <w:tc>
          <w:tcPr>
            <w:tcW w:w="7095" w:type="dxa"/>
            <w:noWrap w:val="0"/>
            <w:vAlign w:val="center"/>
          </w:tcPr>
          <w:p>
            <w:pPr>
              <w:autoSpaceDE w:val="0"/>
              <w:autoSpaceDN w:val="0"/>
              <w:adjustRightInd w:val="0"/>
              <w:spacing w:line="400" w:lineRule="exact"/>
              <w:rPr>
                <w:rFonts w:hint="eastAsia" w:ascii="宋体" w:hAnsi="宋体" w:cs="宋体"/>
                <w:color w:val="auto"/>
                <w:kern w:val="0"/>
                <w:szCs w:val="21"/>
              </w:rPr>
            </w:pPr>
            <w:r>
              <w:rPr>
                <w:rFonts w:hint="eastAsia" w:ascii="宋体" w:hAnsi="宋体" w:cs="宋体"/>
                <w:color w:val="auto"/>
                <w:kern w:val="0"/>
                <w:szCs w:val="21"/>
                <w:lang w:val="zh-CN"/>
              </w:rPr>
              <w:t>投标书递交</w:t>
            </w:r>
            <w:r>
              <w:rPr>
                <w:rFonts w:hint="eastAsia" w:ascii="宋体" w:hAnsi="宋体" w:cs="宋体"/>
                <w:color w:val="auto"/>
                <w:kern w:val="0"/>
                <w:szCs w:val="21"/>
              </w:rPr>
              <w:t>90</w:t>
            </w:r>
            <w:r>
              <w:rPr>
                <w:rFonts w:hint="eastAsia" w:ascii="宋体" w:hAnsi="宋体" w:cs="宋体"/>
                <w:color w:val="auto"/>
                <w:kern w:val="0"/>
                <w:szCs w:val="21"/>
                <w:lang w:val="zh-CN"/>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踏勘现场、标前会</w:t>
            </w:r>
          </w:p>
        </w:tc>
        <w:tc>
          <w:tcPr>
            <w:tcW w:w="7095" w:type="dxa"/>
            <w:noWrap w:val="0"/>
            <w:vAlign w:val="center"/>
          </w:tcPr>
          <w:p>
            <w:pPr>
              <w:autoSpaceDE w:val="0"/>
              <w:autoSpaceDN w:val="0"/>
              <w:adjustRightInd w:val="0"/>
              <w:spacing w:line="400" w:lineRule="exact"/>
              <w:rPr>
                <w:rFonts w:hint="eastAsia" w:ascii="宋体" w:hAnsi="宋体" w:cs="宋体"/>
                <w:color w:val="auto"/>
                <w:kern w:val="0"/>
                <w:szCs w:val="21"/>
              </w:rPr>
            </w:pPr>
            <w:r>
              <w:rPr>
                <w:rFonts w:hint="eastAsia" w:ascii="宋体" w:hAnsi="宋体" w:cs="宋体"/>
                <w:color w:val="auto"/>
                <w:kern w:val="0"/>
                <w:szCs w:val="21"/>
              </w:rPr>
              <w:t>本项目不组织踏勘现场和不集中答疑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投标文件</w:t>
            </w:r>
            <w:r>
              <w:rPr>
                <w:rFonts w:hint="eastAsia" w:ascii="宋体" w:hAnsi="宋体" w:cs="宋体"/>
                <w:color w:val="auto"/>
                <w:kern w:val="0"/>
                <w:szCs w:val="21"/>
              </w:rPr>
              <w:t>递交</w:t>
            </w:r>
            <w:r>
              <w:rPr>
                <w:rFonts w:hint="eastAsia" w:ascii="宋体" w:hAnsi="宋体" w:cs="宋体"/>
                <w:color w:val="auto"/>
                <w:kern w:val="0"/>
                <w:szCs w:val="21"/>
                <w:lang w:val="zh-CN"/>
              </w:rPr>
              <w:t>截止时间</w:t>
            </w:r>
          </w:p>
        </w:tc>
        <w:tc>
          <w:tcPr>
            <w:tcW w:w="7095" w:type="dxa"/>
            <w:noWrap w:val="0"/>
            <w:vAlign w:val="center"/>
          </w:tcPr>
          <w:p>
            <w:pPr>
              <w:snapToGrid w:val="0"/>
              <w:spacing w:line="320" w:lineRule="exact"/>
              <w:rPr>
                <w:rFonts w:hint="eastAsia" w:ascii="宋体" w:hAnsi="宋体" w:cs="宋体"/>
                <w:color w:val="auto"/>
                <w:kern w:val="0"/>
                <w:szCs w:val="21"/>
              </w:rPr>
            </w:pPr>
            <w:r>
              <w:rPr>
                <w:rFonts w:hint="eastAsia" w:ascii="宋体" w:hAnsi="宋体" w:cs="宋体"/>
                <w:color w:val="auto"/>
                <w:szCs w:val="21"/>
                <w:u w:val="single"/>
              </w:rPr>
              <w:t xml:space="preserve"> </w:t>
            </w:r>
            <w:r>
              <w:rPr>
                <w:rFonts w:hint="eastAsia" w:ascii="宋体" w:hAnsi="宋体" w:cs="宋体"/>
                <w:b/>
                <w:bCs/>
                <w:color w:val="auto"/>
                <w:szCs w:val="21"/>
                <w:u w:val="single"/>
                <w:lang w:eastAsia="zh-CN"/>
              </w:rPr>
              <w:t>2022年07月14日09时30分</w:t>
            </w:r>
            <w:r>
              <w:rPr>
                <w:rFonts w:hint="eastAsia" w:ascii="宋体" w:hAnsi="宋体" w:cs="宋体"/>
                <w:color w:val="auto"/>
                <w:kern w:val="0"/>
                <w:szCs w:val="21"/>
              </w:rPr>
              <w:t>前（北京时间）</w:t>
            </w:r>
          </w:p>
          <w:p>
            <w:pPr>
              <w:snapToGrid w:val="0"/>
              <w:spacing w:line="320" w:lineRule="exac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cs="宋体"/>
                <w:color w:val="auto"/>
                <w:kern w:val="0"/>
                <w:szCs w:val="21"/>
              </w:rPr>
            </w:pPr>
            <w:r>
              <w:rPr>
                <w:rFonts w:hint="eastAsia" w:ascii="宋体" w:hAnsi="宋体" w:cs="宋体"/>
                <w:color w:val="auto"/>
                <w:kern w:val="0"/>
                <w:szCs w:val="21"/>
                <w:lang w:val="zh-CN"/>
              </w:rPr>
              <w:t>开标时间及地址</w:t>
            </w:r>
          </w:p>
        </w:tc>
        <w:tc>
          <w:tcPr>
            <w:tcW w:w="7095" w:type="dxa"/>
            <w:noWrap w:val="0"/>
            <w:vAlign w:val="center"/>
          </w:tcPr>
          <w:p>
            <w:pPr>
              <w:snapToGrid w:val="0"/>
              <w:spacing w:line="320" w:lineRule="exact"/>
              <w:rPr>
                <w:rFonts w:hint="eastAsia" w:ascii="宋体" w:hAnsi="宋体" w:cs="宋体"/>
                <w:color w:val="auto"/>
                <w:kern w:val="0"/>
                <w:szCs w:val="21"/>
                <w:lang w:val="zh-CN"/>
              </w:rPr>
            </w:pPr>
            <w:r>
              <w:rPr>
                <w:rFonts w:hint="eastAsia" w:ascii="宋体" w:hAnsi="宋体" w:cs="宋体"/>
                <w:color w:val="auto"/>
                <w:kern w:val="0"/>
                <w:szCs w:val="21"/>
              </w:rPr>
              <w:t>时间:</w:t>
            </w:r>
            <w:r>
              <w:rPr>
                <w:rFonts w:hint="eastAsia" w:ascii="宋体" w:hAnsi="宋体" w:cs="宋体"/>
                <w:color w:val="auto"/>
                <w:szCs w:val="21"/>
                <w:u w:val="single"/>
              </w:rPr>
              <w:t xml:space="preserve"> </w:t>
            </w:r>
            <w:r>
              <w:rPr>
                <w:rFonts w:hint="eastAsia" w:ascii="宋体" w:hAnsi="宋体" w:cs="宋体"/>
                <w:b/>
                <w:bCs/>
                <w:color w:val="auto"/>
                <w:szCs w:val="21"/>
                <w:u w:val="single"/>
                <w:lang w:eastAsia="zh-CN"/>
              </w:rPr>
              <w:t>2022年07月14日09时30分</w:t>
            </w:r>
            <w:r>
              <w:rPr>
                <w:rFonts w:hint="eastAsia" w:ascii="宋体" w:hAnsi="宋体" w:cs="宋体"/>
                <w:color w:val="auto"/>
                <w:kern w:val="0"/>
                <w:szCs w:val="21"/>
              </w:rPr>
              <w:t>（北京时间）</w:t>
            </w:r>
          </w:p>
          <w:p>
            <w:pPr>
              <w:snapToGrid w:val="0"/>
              <w:spacing w:line="320" w:lineRule="exact"/>
              <w:rPr>
                <w:rFonts w:hint="eastAsia" w:ascii="宋体" w:hAnsi="宋体" w:cs="宋体"/>
                <w:color w:val="auto"/>
                <w:kern w:val="0"/>
                <w:szCs w:val="21"/>
              </w:rPr>
            </w:pPr>
            <w:r>
              <w:rPr>
                <w:rFonts w:hint="eastAsia" w:ascii="宋体" w:hAnsi="宋体" w:cs="宋体"/>
                <w:color w:val="auto"/>
                <w:kern w:val="0"/>
                <w:szCs w:val="21"/>
                <w:lang w:val="zh-CN"/>
              </w:rPr>
              <w:t>地点：</w:t>
            </w:r>
            <w:r>
              <w:rPr>
                <w:rFonts w:hint="eastAsia" w:ascii="宋体" w:hAnsi="宋体" w:cs="宋体"/>
                <w:color w:val="auto"/>
                <w:kern w:val="0"/>
                <w:szCs w:val="21"/>
              </w:rPr>
              <w:t>衢州市公共资源交易常山分中心(常山县紫港街道紫港路2号行政服务中心大楼附属楼2楼)；</w:t>
            </w:r>
            <w:r>
              <w:rPr>
                <w:rFonts w:hint="eastAsia" w:ascii="宋体" w:hAnsi="宋体" w:cs="宋体"/>
                <w:color w:val="auto"/>
                <w:szCs w:val="21"/>
              </w:rPr>
              <w:t>同步在“政采云远程开标大厅”在线开标。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jc w:val="left"/>
              <w:rPr>
                <w:rFonts w:hint="eastAsia" w:ascii="宋体" w:hAnsi="宋体" w:cs="宋体"/>
                <w:color w:val="auto"/>
                <w:kern w:val="0"/>
                <w:szCs w:val="21"/>
              </w:rPr>
            </w:pPr>
            <w:r>
              <w:rPr>
                <w:rFonts w:hint="eastAsia" w:ascii="宋体" w:hAnsi="宋体" w:cs="宋体"/>
                <w:color w:val="auto"/>
                <w:kern w:val="0"/>
                <w:szCs w:val="21"/>
                <w:lang w:val="zh-CN"/>
              </w:rPr>
              <w:t>投标保证金</w:t>
            </w:r>
          </w:p>
        </w:tc>
        <w:tc>
          <w:tcPr>
            <w:tcW w:w="7095" w:type="dxa"/>
            <w:noWrap w:val="0"/>
            <w:vAlign w:val="center"/>
          </w:tcPr>
          <w:p>
            <w:pPr>
              <w:spacing w:line="240" w:lineRule="auto"/>
              <w:rPr>
                <w:rFonts w:hint="eastAsia" w:ascii="宋体" w:hAnsi="宋体" w:cs="宋体"/>
                <w:color w:val="auto"/>
                <w:szCs w:val="21"/>
              </w:rPr>
            </w:pPr>
            <w:r>
              <w:rPr>
                <w:rFonts w:hint="eastAsia" w:ascii="宋体" w:hAnsi="宋体" w:cs="宋体"/>
                <w:color w:val="auto"/>
                <w:szCs w:val="21"/>
              </w:rPr>
              <w:t>1.根据《浙江省财政厅关于明确政府采购保证金管理工作的通知》（浙财采监〔2019〕5号）规定，本项目无需缴纳投标保证金。</w:t>
            </w:r>
          </w:p>
          <w:p>
            <w:pPr>
              <w:snapToGrid w:val="0"/>
              <w:spacing w:line="320" w:lineRule="exact"/>
              <w:rPr>
                <w:rFonts w:hint="eastAsia" w:ascii="宋体" w:hAnsi="宋体" w:eastAsia="宋体" w:cs="宋体"/>
                <w:color w:val="auto"/>
                <w:kern w:val="0"/>
                <w:szCs w:val="21"/>
              </w:rPr>
            </w:pPr>
            <w:r>
              <w:rPr>
                <w:rFonts w:hint="eastAsia" w:ascii="宋体" w:hAnsi="宋体" w:cs="宋体"/>
                <w:color w:val="auto"/>
                <w:szCs w:val="21"/>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bCs/>
                <w:color w:val="auto"/>
                <w:kern w:val="0"/>
                <w:szCs w:val="21"/>
              </w:rPr>
            </w:pPr>
          </w:p>
        </w:tc>
        <w:tc>
          <w:tcPr>
            <w:tcW w:w="1919" w:type="dxa"/>
            <w:noWrap w:val="0"/>
            <w:vAlign w:val="center"/>
          </w:tcPr>
          <w:p>
            <w:pPr>
              <w:autoSpaceDE w:val="0"/>
              <w:autoSpaceDN w:val="0"/>
              <w:adjustRightInd w:val="0"/>
              <w:rPr>
                <w:rFonts w:hint="eastAsia" w:ascii="宋体" w:hAnsi="宋体" w:cs="宋体"/>
                <w:bCs/>
                <w:color w:val="auto"/>
                <w:kern w:val="0"/>
                <w:szCs w:val="21"/>
              </w:rPr>
            </w:pPr>
            <w:r>
              <w:rPr>
                <w:rFonts w:hint="eastAsia" w:ascii="宋体" w:hAnsi="宋体" w:cs="宋体"/>
                <w:bCs/>
                <w:color w:val="auto"/>
                <w:kern w:val="0"/>
                <w:szCs w:val="21"/>
                <w:lang w:val="zh-CN"/>
              </w:rPr>
              <w:t>评标委员会的组建</w:t>
            </w:r>
          </w:p>
        </w:tc>
        <w:tc>
          <w:tcPr>
            <w:tcW w:w="7095" w:type="dxa"/>
            <w:noWrap w:val="0"/>
            <w:vAlign w:val="center"/>
          </w:tcPr>
          <w:p>
            <w:pPr>
              <w:spacing w:line="440" w:lineRule="exact"/>
              <w:rPr>
                <w:rFonts w:hint="eastAsia" w:ascii="宋体" w:hAnsi="宋体" w:cs="宋体"/>
                <w:bCs/>
                <w:color w:val="auto"/>
                <w:kern w:val="0"/>
                <w:szCs w:val="21"/>
              </w:rPr>
            </w:pPr>
            <w:r>
              <w:rPr>
                <w:rFonts w:hint="eastAsia" w:ascii="宋体" w:hAnsi="宋体" w:cs="宋体"/>
                <w:bCs/>
                <w:color w:val="auto"/>
                <w:kern w:val="0"/>
                <w:szCs w:val="21"/>
              </w:rPr>
              <w:t>按规定组建评标委员会。</w:t>
            </w:r>
          </w:p>
          <w:p>
            <w:pPr>
              <w:snapToGrid w:val="0"/>
              <w:spacing w:line="320" w:lineRule="exact"/>
              <w:rPr>
                <w:rFonts w:hint="eastAsia" w:ascii="宋体" w:hAnsi="宋体" w:cs="宋体"/>
                <w:bCs/>
                <w:color w:val="auto"/>
                <w:kern w:val="0"/>
                <w:szCs w:val="21"/>
              </w:rPr>
            </w:pPr>
            <w:r>
              <w:rPr>
                <w:rFonts w:hint="eastAsia" w:ascii="宋体" w:hAnsi="宋体" w:cs="宋体"/>
                <w:bCs/>
                <w:color w:val="auto"/>
                <w:kern w:val="0"/>
                <w:szCs w:val="21"/>
              </w:rPr>
              <w:t>评标专家确定方式：共</w:t>
            </w:r>
            <w:r>
              <w:rPr>
                <w:rFonts w:hint="eastAsia" w:ascii="宋体" w:hAnsi="宋体" w:cs="宋体"/>
                <w:bCs/>
                <w:color w:val="auto"/>
                <w:kern w:val="0"/>
                <w:szCs w:val="21"/>
                <w:lang w:val="en-US" w:eastAsia="zh-CN"/>
              </w:rPr>
              <w:t>7</w:t>
            </w:r>
            <w:r>
              <w:rPr>
                <w:rFonts w:hint="eastAsia" w:ascii="宋体" w:hAnsi="宋体" w:cs="宋体"/>
                <w:bCs/>
                <w:color w:val="auto"/>
                <w:kern w:val="0"/>
                <w:szCs w:val="21"/>
              </w:rPr>
              <w:t>人组成，其中采购单位代表</w:t>
            </w:r>
            <w:r>
              <w:rPr>
                <w:rFonts w:hint="eastAsia" w:ascii="宋体" w:hAnsi="宋体" w:cs="宋体"/>
                <w:bCs/>
                <w:color w:val="auto"/>
                <w:kern w:val="0"/>
                <w:szCs w:val="21"/>
                <w:lang w:val="en-US" w:eastAsia="zh-CN"/>
              </w:rPr>
              <w:t>2</w:t>
            </w:r>
            <w:r>
              <w:rPr>
                <w:rFonts w:hint="eastAsia" w:ascii="宋体" w:hAnsi="宋体" w:cs="宋体"/>
                <w:bCs/>
                <w:color w:val="auto"/>
                <w:kern w:val="0"/>
                <w:szCs w:val="21"/>
              </w:rPr>
              <w:t>名，其余</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名专家从常山县政府采购评审专家库中随机抽取产生。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spacing w:line="360" w:lineRule="auto"/>
              <w:rPr>
                <w:rFonts w:hint="eastAsia" w:ascii="宋体" w:hAnsi="宋体" w:cs="宋体"/>
                <w:color w:val="auto"/>
                <w:kern w:val="0"/>
                <w:szCs w:val="21"/>
              </w:rPr>
            </w:pPr>
            <w:r>
              <w:rPr>
                <w:rFonts w:hint="eastAsia" w:ascii="宋体" w:hAnsi="宋体" w:cs="宋体"/>
                <w:b/>
                <w:color w:val="auto"/>
                <w:kern w:val="0"/>
                <w:szCs w:val="21"/>
              </w:rPr>
              <w:t>响应文件的</w:t>
            </w:r>
            <w:r>
              <w:rPr>
                <w:rFonts w:hint="eastAsia" w:ascii="宋体" w:hAnsi="宋体" w:eastAsia="宋体" w:cs="宋体"/>
                <w:b/>
                <w:color w:val="auto"/>
                <w:kern w:val="0"/>
                <w:szCs w:val="21"/>
              </w:rPr>
              <w:t>组成</w:t>
            </w:r>
            <w:r>
              <w:rPr>
                <w:rFonts w:hint="eastAsia" w:ascii="宋体" w:hAnsi="宋体" w:cs="宋体"/>
                <w:b/>
                <w:color w:val="auto"/>
                <w:kern w:val="0"/>
                <w:szCs w:val="21"/>
              </w:rPr>
              <w:t>、</w:t>
            </w:r>
            <w:r>
              <w:rPr>
                <w:rFonts w:hint="eastAsia" w:ascii="宋体" w:hAnsi="宋体" w:eastAsia="宋体" w:cs="宋体"/>
                <w:b/>
                <w:color w:val="auto"/>
                <w:kern w:val="0"/>
                <w:szCs w:val="21"/>
              </w:rPr>
              <w:t>编制及在线投标响应（电子投标）说明</w:t>
            </w:r>
          </w:p>
        </w:tc>
        <w:tc>
          <w:tcPr>
            <w:tcW w:w="7095" w:type="dxa"/>
            <w:noWrap w:val="0"/>
            <w:vAlign w:val="center"/>
          </w:tcPr>
          <w:p>
            <w:pPr>
              <w:pStyle w:val="22"/>
              <w:numPr>
                <w:ilvl w:val="0"/>
                <w:numId w:val="3"/>
              </w:numPr>
              <w:spacing w:line="360" w:lineRule="auto"/>
              <w:ind w:left="0" w:leftChars="0" w:firstLine="0" w:firstLineChars="0"/>
              <w:rPr>
                <w:rFonts w:hint="eastAsia" w:ascii="宋体" w:hAnsi="宋体" w:eastAsia="宋体"/>
                <w:b/>
                <w:bCs/>
                <w:color w:val="auto"/>
              </w:rPr>
            </w:pPr>
            <w:r>
              <w:rPr>
                <w:rFonts w:hint="eastAsia" w:ascii="宋体" w:hAnsi="宋体" w:eastAsia="宋体"/>
                <w:b/>
                <w:bCs/>
                <w:color w:val="auto"/>
              </w:rPr>
              <w:t>响应文件由资格审查资料、</w:t>
            </w:r>
            <w:r>
              <w:rPr>
                <w:rFonts w:hint="eastAsia" w:ascii="宋体" w:hAnsi="宋体"/>
                <w:b/>
                <w:bCs/>
                <w:color w:val="auto"/>
              </w:rPr>
              <w:t>技术资信文件</w:t>
            </w:r>
            <w:r>
              <w:rPr>
                <w:rFonts w:hint="eastAsia" w:ascii="宋体" w:hAnsi="宋体" w:eastAsia="宋体"/>
                <w:b/>
                <w:bCs/>
                <w:color w:val="auto"/>
              </w:rPr>
              <w:t>、报价文件组成。</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2、投标文件编制：供应商应先安装“政采云电子交易客户端”，并按照本采购文件和“政府采购云平台”的要求，通过“政采云电子交易客户端”编制并加密投标文件。</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3、投标文件的形式：</w:t>
            </w:r>
            <w:r>
              <w:rPr>
                <w:rFonts w:ascii="Segoe UI Emoji" w:hAnsi="Segoe UI Emoji" w:cs="Segoe UI Emoji"/>
                <w:color w:val="auto"/>
                <w:lang w:val="zh-CN"/>
              </w:rPr>
              <w:t>☑</w:t>
            </w:r>
            <w:r>
              <w:rPr>
                <w:rFonts w:hint="eastAsia" w:ascii="宋体" w:hAnsi="宋体" w:cs="宋体"/>
                <w:color w:val="auto"/>
                <w:lang w:val="zh-CN"/>
              </w:rPr>
              <w:t>电子投标文件（包括“电子加密投标文件”和“备份投标文件”，在投标文件编制完成后同时生</w:t>
            </w:r>
            <w:r>
              <w:rPr>
                <w:rFonts w:hint="eastAsia" w:ascii="宋体" w:hAnsi="宋体"/>
                <w:color w:val="auto"/>
                <w:lang w:val="zh-CN"/>
              </w:rPr>
              <w:t>成）；</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（1）“电子加密投标文件”是指通过“政采云电子交易客户端”完成投标文件编制后生成并加密的数据电文形式的投标文件。</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4、投标文件份数：（1）“电子加密投标文件”：在线上传一份。（2）“备份投标文件”：发送至邮箱：</w:t>
            </w:r>
            <w:r>
              <w:rPr>
                <w:rFonts w:hint="eastAsia" w:ascii="宋体" w:hAnsi="宋体" w:cs="宋体"/>
                <w:b/>
                <w:bCs/>
                <w:color w:val="auto"/>
                <w:kern w:val="0"/>
                <w:szCs w:val="21"/>
                <w:u w:val="single"/>
                <w:lang w:eastAsia="zh-CN"/>
              </w:rPr>
              <w:t>644921587</w:t>
            </w:r>
            <w:r>
              <w:rPr>
                <w:rFonts w:hint="eastAsia" w:ascii="宋体" w:hAnsi="宋体" w:cs="宋体"/>
                <w:b/>
                <w:bCs/>
                <w:color w:val="auto"/>
                <w:kern w:val="0"/>
                <w:szCs w:val="21"/>
                <w:u w:val="single"/>
              </w:rPr>
              <w:t>@qq.com，</w:t>
            </w:r>
            <w:r>
              <w:rPr>
                <w:rFonts w:hint="eastAsia" w:ascii="宋体" w:hAnsi="宋体" w:cs="宋体"/>
                <w:color w:val="auto"/>
                <w:kern w:val="0"/>
                <w:szCs w:val="21"/>
              </w:rPr>
              <w:t>按接收方邮箱收件箱所显示时间为准</w:t>
            </w:r>
            <w:r>
              <w:rPr>
                <w:rFonts w:hint="eastAsia" w:ascii="宋体" w:hAnsi="宋体"/>
                <w:color w:val="auto"/>
                <w:lang w:val="zh-CN"/>
              </w:rPr>
              <w:t>。</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5、投标文件的上传和递交：</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（1）“电子加密投标文件”的上传、递交：</w:t>
            </w:r>
          </w:p>
          <w:p>
            <w:pPr>
              <w:autoSpaceDE w:val="0"/>
              <w:autoSpaceDN w:val="0"/>
              <w:adjustRightInd w:val="0"/>
              <w:spacing w:line="360" w:lineRule="auto"/>
              <w:rPr>
                <w:rFonts w:ascii="宋体" w:hAnsi="宋体"/>
                <w:b/>
                <w:bCs/>
                <w:color w:val="auto"/>
                <w:lang w:val="zh-CN"/>
              </w:rPr>
            </w:pPr>
            <w:r>
              <w:rPr>
                <w:rFonts w:hint="eastAsia" w:ascii="宋体" w:hAnsi="宋体"/>
                <w:b/>
                <w:bCs/>
                <w:color w:val="auto"/>
                <w:lang w:val="zh-CN"/>
              </w:rPr>
              <w:t>供应商应在投标截止时间前将“电子加密投标文件”成功上传递交至“政府采购云平台”，否则投标无效。</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（2）“备份投标文件”的递交：</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a.供应商在“政府采购云平台”完成“电子加密投标文件”的上传递交后，还可以（以</w:t>
            </w:r>
            <w:r>
              <w:rPr>
                <w:rFonts w:hint="eastAsia" w:ascii="宋体" w:hAnsi="宋体"/>
                <w:color w:val="auto"/>
              </w:rPr>
              <w:t>电子邮件的</w:t>
            </w:r>
            <w:r>
              <w:rPr>
                <w:rFonts w:hint="eastAsia" w:ascii="宋体" w:hAnsi="宋体"/>
                <w:color w:val="auto"/>
                <w:lang w:val="zh-CN"/>
              </w:rPr>
              <w:t>形式）在投标截止时间前发送一份 “备份投标文件”至邮箱：</w:t>
            </w:r>
            <w:r>
              <w:rPr>
                <w:rFonts w:hint="eastAsia" w:ascii="宋体" w:hAnsi="宋体" w:cs="宋体"/>
                <w:b/>
                <w:bCs/>
                <w:color w:val="auto"/>
                <w:kern w:val="0"/>
                <w:szCs w:val="21"/>
                <w:u w:val="single"/>
                <w:lang w:eastAsia="zh-CN"/>
              </w:rPr>
              <w:t>644921587</w:t>
            </w:r>
            <w:r>
              <w:rPr>
                <w:rFonts w:hint="eastAsia" w:ascii="宋体" w:hAnsi="宋体" w:cs="宋体"/>
                <w:b/>
                <w:bCs/>
                <w:color w:val="auto"/>
                <w:kern w:val="0"/>
                <w:szCs w:val="21"/>
                <w:u w:val="single"/>
              </w:rPr>
              <w:t>@qq.com</w:t>
            </w:r>
            <w:r>
              <w:rPr>
                <w:rFonts w:hint="eastAsia" w:ascii="宋体" w:hAnsi="宋体"/>
                <w:color w:val="auto"/>
                <w:lang w:val="zh-CN"/>
              </w:rPr>
              <w:t>；</w:t>
            </w:r>
          </w:p>
          <w:p>
            <w:pPr>
              <w:autoSpaceDE w:val="0"/>
              <w:autoSpaceDN w:val="0"/>
              <w:adjustRightInd w:val="0"/>
              <w:spacing w:line="360" w:lineRule="auto"/>
              <w:rPr>
                <w:rFonts w:ascii="宋体" w:hAnsi="宋体"/>
                <w:b/>
                <w:bCs/>
                <w:color w:val="auto"/>
                <w:lang w:val="zh-CN"/>
              </w:rPr>
            </w:pPr>
            <w:r>
              <w:rPr>
                <w:rFonts w:hint="eastAsia" w:ascii="宋体" w:hAnsi="宋体"/>
                <w:b/>
                <w:bCs/>
                <w:color w:val="auto"/>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6、电子加密投标文件的解密和异常情况处理：</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（1）开标后，采购组织机构将向各供应商发出“电子加密投标文件”的解密通知，各供应商代表应当在接到解密通知后</w:t>
            </w:r>
            <w:r>
              <w:rPr>
                <w:rFonts w:hint="eastAsia" w:ascii="宋体" w:hAnsi="宋体"/>
                <w:b/>
                <w:bCs/>
                <w:color w:val="auto"/>
              </w:rPr>
              <w:t>30</w:t>
            </w:r>
            <w:r>
              <w:rPr>
                <w:rFonts w:hint="eastAsia" w:ascii="宋体" w:hAnsi="宋体"/>
                <w:b/>
                <w:bCs/>
                <w:color w:val="auto"/>
                <w:lang w:val="zh-CN"/>
              </w:rPr>
              <w:t>分钟内</w:t>
            </w:r>
            <w:r>
              <w:rPr>
                <w:rFonts w:hint="eastAsia" w:ascii="宋体" w:hAnsi="宋体"/>
                <w:color w:val="auto"/>
                <w:lang w:val="zh-CN"/>
              </w:rPr>
              <w:t>自行完成“电子加密投标文件”的在线解密，</w:t>
            </w:r>
            <w:r>
              <w:rPr>
                <w:rFonts w:hint="eastAsia" w:ascii="宋体" w:hAnsi="宋体"/>
                <w:b/>
                <w:bCs/>
                <w:color w:val="auto"/>
                <w:lang w:val="zh-CN"/>
              </w:rPr>
              <w:t>超过解密时限，默认供应商自动放弃。</w:t>
            </w:r>
          </w:p>
          <w:p>
            <w:pPr>
              <w:autoSpaceDE w:val="0"/>
              <w:autoSpaceDN w:val="0"/>
              <w:adjustRightInd w:val="0"/>
              <w:spacing w:line="360" w:lineRule="auto"/>
              <w:rPr>
                <w:rFonts w:ascii="宋体" w:hAnsi="宋体"/>
                <w:color w:val="auto"/>
                <w:lang w:val="zh-CN"/>
              </w:rPr>
            </w:pPr>
            <w:r>
              <w:rPr>
                <w:rFonts w:hint="eastAsia" w:ascii="宋体" w:hAnsi="宋体"/>
                <w:color w:val="auto"/>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spacing w:line="360" w:lineRule="auto"/>
              <w:rPr>
                <w:rFonts w:ascii="宋体" w:hAnsi="宋体"/>
                <w:b/>
                <w:bCs/>
                <w:color w:val="auto"/>
                <w:lang w:val="zh-CN"/>
              </w:rPr>
            </w:pPr>
            <w:r>
              <w:rPr>
                <w:rFonts w:hint="eastAsia" w:ascii="宋体" w:hAnsi="宋体"/>
                <w:b/>
                <w:bCs/>
                <w:color w:val="auto"/>
                <w:lang w:val="zh-CN"/>
              </w:rPr>
              <w:t>（3）投标截止时间前，供应商仅递交了“备份投标文件”而未将电子加密投标文件上传至“政府采购云平台”的，投标无效。</w:t>
            </w:r>
          </w:p>
          <w:p>
            <w:pPr>
              <w:autoSpaceDE w:val="0"/>
              <w:autoSpaceDN w:val="0"/>
              <w:adjustRightInd w:val="0"/>
              <w:spacing w:line="360" w:lineRule="auto"/>
              <w:rPr>
                <w:rFonts w:hint="eastAsia" w:ascii="宋体" w:hAnsi="宋体" w:eastAsia="宋体" w:cs="宋体"/>
                <w:b/>
                <w:bCs/>
                <w:color w:val="auto"/>
                <w:szCs w:val="21"/>
              </w:rPr>
            </w:pPr>
            <w:r>
              <w:rPr>
                <w:rFonts w:hint="eastAsia" w:ascii="宋体" w:hAnsi="宋体"/>
                <w:color w:val="auto"/>
                <w:lang w:val="zh-CN"/>
              </w:rPr>
              <w:t>7、投标截止后，在投标有效期内，供应商不能撤销投标文件。供应商强行撤销投标文件的，应按预算金额的2%赔偿对招标代理机构造成的损失。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rPr>
                <w:rFonts w:hint="eastAsia" w:ascii="宋体" w:hAnsi="宋体" w:cs="宋体"/>
                <w:color w:val="auto"/>
                <w:kern w:val="0"/>
                <w:szCs w:val="21"/>
              </w:rPr>
            </w:pPr>
            <w:r>
              <w:rPr>
                <w:rFonts w:hint="eastAsia" w:ascii="宋体" w:hAnsi="宋体" w:cs="宋体"/>
                <w:color w:val="auto"/>
                <w:kern w:val="0"/>
                <w:szCs w:val="21"/>
              </w:rPr>
              <w:t>中标结果公告期限</w:t>
            </w:r>
          </w:p>
        </w:tc>
        <w:tc>
          <w:tcPr>
            <w:tcW w:w="7095" w:type="dxa"/>
            <w:noWrap w:val="0"/>
            <w:vAlign w:val="center"/>
          </w:tcPr>
          <w:p>
            <w:pPr>
              <w:snapToGrid w:val="0"/>
              <w:spacing w:line="320" w:lineRule="exact"/>
              <w:rPr>
                <w:rFonts w:hint="eastAsia" w:ascii="宋体" w:hAnsi="宋体" w:cs="宋体"/>
                <w:color w:val="auto"/>
                <w:kern w:val="0"/>
                <w:szCs w:val="21"/>
              </w:rPr>
            </w:pPr>
            <w:r>
              <w:rPr>
                <w:rFonts w:hint="eastAsia" w:ascii="宋体" w:hAnsi="宋体" w:eastAsia="宋体" w:cs="宋体"/>
                <w:color w:val="auto"/>
                <w:kern w:val="0"/>
                <w:szCs w:val="21"/>
              </w:rPr>
              <w:t>1</w:t>
            </w:r>
            <w:r>
              <w:rPr>
                <w:rFonts w:hint="eastAsia" w:ascii="宋体" w:hAnsi="宋体" w:cs="宋体"/>
                <w:color w:val="auto"/>
                <w:kern w:val="0"/>
                <w:szCs w:val="21"/>
              </w:rPr>
              <w:t>个工作日</w:t>
            </w:r>
            <w:r>
              <w:rPr>
                <w:rFonts w:hint="eastAsia" w:ascii="宋体" w:hAnsi="宋体" w:cs="宋体"/>
                <w:color w:val="auto"/>
              </w:rPr>
              <w:t>（</w:t>
            </w:r>
            <w:r>
              <w:rPr>
                <w:rFonts w:hint="eastAsia" w:ascii="宋体" w:hAnsi="宋体" w:eastAsia="宋体" w:cs="宋体"/>
                <w:color w:val="auto"/>
              </w:rPr>
              <w:t>中标结果公告发布之日起至第2个工作日止</w:t>
            </w:r>
            <w:r>
              <w:rPr>
                <w:rFonts w:hint="eastAsia" w:ascii="宋体" w:hAnsi="宋体" w:cs="宋体"/>
                <w:color w:val="auto"/>
              </w:rPr>
              <w:t>）</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rPr>
                <w:rFonts w:hint="eastAsia" w:ascii="宋体" w:hAnsi="宋体" w:cs="宋体"/>
                <w:color w:val="auto"/>
                <w:kern w:val="0"/>
                <w:szCs w:val="21"/>
              </w:rPr>
            </w:pPr>
            <w:r>
              <w:rPr>
                <w:rFonts w:hint="eastAsia" w:ascii="宋体" w:hAnsi="宋体" w:cs="宋体"/>
                <w:color w:val="auto"/>
                <w:kern w:val="0"/>
                <w:szCs w:val="21"/>
              </w:rPr>
              <w:t>履约保证金交纳</w:t>
            </w:r>
          </w:p>
        </w:tc>
        <w:tc>
          <w:tcPr>
            <w:tcW w:w="7095" w:type="dxa"/>
            <w:noWrap w:val="0"/>
            <w:vAlign w:val="center"/>
          </w:tcPr>
          <w:p>
            <w:pPr>
              <w:snapToGrid w:val="0"/>
              <w:spacing w:line="320" w:lineRule="exact"/>
              <w:rPr>
                <w:rFonts w:hint="eastAsia"/>
                <w:color w:val="auto"/>
              </w:rPr>
            </w:pPr>
            <w:r>
              <w:rPr>
                <w:rFonts w:hint="eastAsia"/>
                <w:color w:val="auto"/>
                <w:lang w:val="zh-CN"/>
              </w:rPr>
              <w:t>中标人在合同签订前向采购单位交纳中标金额</w:t>
            </w:r>
            <w:r>
              <w:rPr>
                <w:rFonts w:hint="eastAsia"/>
                <w:color w:val="auto"/>
                <w:lang w:val="en-US" w:eastAsia="zh-CN"/>
              </w:rPr>
              <w:t>2.5</w:t>
            </w:r>
            <w:r>
              <w:rPr>
                <w:rFonts w:hint="eastAsia"/>
                <w:color w:val="auto"/>
                <w:lang w:val="zh-CN"/>
              </w:rPr>
              <w:t>%的履约保证金</w:t>
            </w:r>
            <w:r>
              <w:rPr>
                <w:rFonts w:hint="eastAsia"/>
                <w:color w:val="auto"/>
              </w:rPr>
              <w:t>。供应商可以银行、保险公司出具的保函形式提交。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rPr>
                <w:rFonts w:hint="eastAsia" w:ascii="宋体" w:hAnsi="宋体" w:cs="宋体"/>
                <w:color w:val="auto"/>
                <w:kern w:val="0"/>
                <w:szCs w:val="21"/>
              </w:rPr>
            </w:pPr>
            <w:r>
              <w:rPr>
                <w:rFonts w:hint="eastAsia" w:ascii="宋体" w:hAnsi="宋体" w:cs="宋体"/>
                <w:color w:val="auto"/>
                <w:kern w:val="0"/>
                <w:szCs w:val="21"/>
              </w:rPr>
              <w:t>履约保证金退还</w:t>
            </w:r>
          </w:p>
        </w:tc>
        <w:tc>
          <w:tcPr>
            <w:tcW w:w="7095" w:type="dxa"/>
            <w:noWrap w:val="0"/>
            <w:vAlign w:val="center"/>
          </w:tcPr>
          <w:p>
            <w:pPr>
              <w:snapToGrid w:val="0"/>
              <w:spacing w:line="320" w:lineRule="exact"/>
              <w:rPr>
                <w:rFonts w:hint="eastAsia" w:ascii="宋体" w:hAnsi="宋体" w:cs="宋体"/>
                <w:color w:val="auto"/>
                <w:kern w:val="0"/>
                <w:szCs w:val="21"/>
              </w:rPr>
            </w:pPr>
            <w:r>
              <w:rPr>
                <w:rFonts w:hint="eastAsia" w:ascii="宋体" w:hAnsi="宋体" w:cs="宋体"/>
                <w:color w:val="auto"/>
                <w:kern w:val="0"/>
                <w:szCs w:val="21"/>
                <w:lang w:val="zh-CN"/>
              </w:rPr>
              <w:t>在项目验收结束后退还履约保证金</w:t>
            </w:r>
            <w:r>
              <w:rPr>
                <w:rFonts w:hint="eastAsia" w:ascii="宋体" w:hAnsi="宋体" w:cs="宋体"/>
                <w:color w:val="auto"/>
                <w:kern w:val="0"/>
                <w:szCs w:val="21"/>
              </w:rPr>
              <w:t>（不计息）。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pStyle w:val="13"/>
              <w:spacing w:line="240" w:lineRule="exact"/>
              <w:rPr>
                <w:rFonts w:hint="eastAsia" w:hAnsi="宋体" w:cs="宋体"/>
                <w:color w:val="auto"/>
                <w:kern w:val="0"/>
              </w:rPr>
            </w:pPr>
            <w:r>
              <w:rPr>
                <w:rFonts w:hint="eastAsia" w:hAnsi="宋体" w:cs="宋体"/>
                <w:color w:val="auto"/>
                <w:kern w:val="0"/>
              </w:rPr>
              <w:t>公告及澄清文件</w:t>
            </w:r>
          </w:p>
          <w:p>
            <w:pPr>
              <w:autoSpaceDE w:val="0"/>
              <w:autoSpaceDN w:val="0"/>
              <w:adjustRightInd w:val="0"/>
              <w:rPr>
                <w:rFonts w:hint="eastAsia" w:ascii="宋体" w:hAnsi="宋体" w:cs="宋体"/>
                <w:color w:val="auto"/>
                <w:kern w:val="0"/>
                <w:szCs w:val="21"/>
              </w:rPr>
            </w:pPr>
            <w:r>
              <w:rPr>
                <w:rFonts w:hint="eastAsia" w:ascii="宋体" w:hAnsi="宋体" w:cs="宋体"/>
                <w:color w:val="auto"/>
                <w:kern w:val="0"/>
                <w:szCs w:val="21"/>
              </w:rPr>
              <w:t>发布网址</w:t>
            </w:r>
          </w:p>
        </w:tc>
        <w:tc>
          <w:tcPr>
            <w:tcW w:w="7095" w:type="dxa"/>
            <w:noWrap w:val="0"/>
            <w:vAlign w:val="center"/>
          </w:tcPr>
          <w:p>
            <w:pPr>
              <w:snapToGrid w:val="0"/>
              <w:spacing w:line="320" w:lineRule="exact"/>
              <w:rPr>
                <w:rFonts w:hint="eastAsia" w:ascii="宋体" w:hAnsi="宋体" w:cs="宋体"/>
                <w:color w:val="auto"/>
                <w:kern w:val="0"/>
                <w:szCs w:val="21"/>
              </w:rPr>
            </w:pPr>
            <w:r>
              <w:rPr>
                <w:rFonts w:hint="eastAsia" w:ascii="宋体" w:hAnsi="宋体" w:cs="宋体"/>
                <w:color w:val="auto"/>
                <w:kern w:val="0"/>
                <w:szCs w:val="21"/>
              </w:rPr>
              <w:t>浙江政府采购网（http://zfcg.czt.zj.gov.cn/）、</w:t>
            </w:r>
            <w:r>
              <w:rPr>
                <w:rFonts w:hint="eastAsia" w:ascii="宋体" w:hAnsi="宋体" w:cs="宋体"/>
                <w:color w:val="auto"/>
                <w:kern w:val="0"/>
                <w:szCs w:val="21"/>
                <w:lang w:eastAsia="zh-CN"/>
              </w:rPr>
              <w:t>常山县政府网站</w:t>
            </w:r>
            <w:r>
              <w:rPr>
                <w:rFonts w:hint="eastAsia" w:ascii="宋体" w:hAnsi="宋体" w:cs="宋体"/>
                <w:color w:val="auto"/>
                <w:kern w:val="0"/>
                <w:szCs w:val="21"/>
              </w:rPr>
              <w:t>（https://www.zjcs.gov.cn/col/col1229635771/index.html）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rPr>
                <w:rFonts w:hint="eastAsia" w:ascii="宋体" w:hAnsi="宋体" w:cs="宋体"/>
                <w:b/>
                <w:bCs/>
                <w:color w:val="auto"/>
                <w:kern w:val="0"/>
                <w:szCs w:val="21"/>
              </w:rPr>
            </w:pPr>
            <w:r>
              <w:rPr>
                <w:rFonts w:hint="eastAsia" w:ascii="宋体" w:hAnsi="宋体" w:cs="宋体"/>
                <w:color w:val="auto"/>
                <w:kern w:val="0"/>
                <w:szCs w:val="21"/>
              </w:rPr>
              <w:t>签订合同</w:t>
            </w:r>
          </w:p>
        </w:tc>
        <w:tc>
          <w:tcPr>
            <w:tcW w:w="7095" w:type="dxa"/>
            <w:noWrap w:val="0"/>
            <w:vAlign w:val="center"/>
          </w:tcPr>
          <w:p>
            <w:pPr>
              <w:snapToGrid w:val="0"/>
              <w:spacing w:line="320" w:lineRule="exact"/>
              <w:rPr>
                <w:rFonts w:hint="eastAsia" w:ascii="宋体" w:hAnsi="宋体" w:cs="宋体"/>
                <w:b/>
                <w:bCs/>
                <w:color w:val="auto"/>
                <w:kern w:val="0"/>
                <w:szCs w:val="21"/>
              </w:rPr>
            </w:pPr>
            <w:r>
              <w:rPr>
                <w:rFonts w:hint="eastAsia" w:ascii="宋体" w:hAnsi="宋体" w:cs="宋体"/>
                <w:color w:val="auto"/>
                <w:kern w:val="0"/>
                <w:szCs w:val="21"/>
              </w:rPr>
              <w:t>采购单位应当自中标通知书发出之日起30日内，按照采购文件和中标人投标文件的规定，与中标人签订书面合同。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rPr>
                <w:rFonts w:hint="eastAsia" w:ascii="宋体" w:hAnsi="宋体" w:cs="宋体"/>
                <w:b/>
                <w:bCs/>
                <w:color w:val="auto"/>
                <w:kern w:val="0"/>
                <w:szCs w:val="21"/>
              </w:rPr>
            </w:pPr>
            <w:r>
              <w:rPr>
                <w:rFonts w:hint="eastAsia" w:ascii="宋体" w:hAnsi="宋体"/>
                <w:b/>
                <w:bCs/>
                <w:color w:val="auto"/>
                <w:sz w:val="22"/>
              </w:rPr>
              <w:t>合同备案</w:t>
            </w:r>
          </w:p>
        </w:tc>
        <w:tc>
          <w:tcPr>
            <w:tcW w:w="7095" w:type="dxa"/>
            <w:noWrap w:val="0"/>
            <w:vAlign w:val="center"/>
          </w:tcPr>
          <w:p>
            <w:pPr>
              <w:snapToGrid w:val="0"/>
              <w:spacing w:line="320" w:lineRule="exact"/>
              <w:rPr>
                <w:rFonts w:hint="eastAsia" w:ascii="宋体" w:hAnsi="宋体" w:cs="宋体"/>
                <w:b/>
                <w:bCs/>
                <w:color w:val="auto"/>
                <w:kern w:val="0"/>
                <w:szCs w:val="21"/>
              </w:rPr>
            </w:pPr>
            <w:r>
              <w:rPr>
                <w:rFonts w:hint="eastAsia" w:ascii="宋体" w:hAnsi="宋体" w:cs="宋体"/>
                <w:color w:val="auto"/>
                <w:kern w:val="0"/>
                <w:szCs w:val="21"/>
              </w:rPr>
              <w:t>中标人与采购单位签订合同后，2日历天内将合同扫描件电子版发送至邮箱：</w:t>
            </w:r>
            <w:r>
              <w:rPr>
                <w:rFonts w:hint="eastAsia" w:ascii="宋体" w:hAnsi="宋体" w:cs="宋体"/>
                <w:b/>
                <w:bCs/>
                <w:color w:val="auto"/>
                <w:kern w:val="0"/>
                <w:szCs w:val="21"/>
                <w:u w:val="single"/>
                <w:lang w:eastAsia="zh-CN"/>
              </w:rPr>
              <w:t>644921587</w:t>
            </w:r>
            <w:r>
              <w:rPr>
                <w:rFonts w:hint="eastAsia" w:ascii="宋体" w:hAnsi="宋体" w:cs="宋体"/>
                <w:b/>
                <w:bCs/>
                <w:color w:val="auto"/>
                <w:kern w:val="0"/>
                <w:szCs w:val="21"/>
                <w:u w:val="single"/>
              </w:rPr>
              <w:t>@qq.com</w:t>
            </w:r>
            <w:r>
              <w:rPr>
                <w:rFonts w:hint="eastAsia" w:ascii="宋体" w:hAnsi="宋体" w:cs="宋体"/>
                <w:color w:val="auto"/>
                <w:kern w:val="0"/>
                <w:szCs w:val="21"/>
              </w:rPr>
              <w:t>；本项目政府采购合同按规定在浙江政府采购网（http://zfcg.czt.zj.gov.cn/）予以公告。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p>
        </w:tc>
        <w:tc>
          <w:tcPr>
            <w:tcW w:w="1919" w:type="dxa"/>
            <w:noWrap w:val="0"/>
            <w:vAlign w:val="center"/>
          </w:tcPr>
          <w:p>
            <w:pPr>
              <w:autoSpaceDE w:val="0"/>
              <w:autoSpaceDN w:val="0"/>
              <w:adjustRightInd w:val="0"/>
              <w:spacing w:line="360" w:lineRule="auto"/>
              <w:rPr>
                <w:rFonts w:hint="eastAsia" w:ascii="宋体" w:hAnsi="宋体" w:cs="宋体"/>
                <w:color w:val="auto"/>
                <w:kern w:val="0"/>
                <w:szCs w:val="21"/>
              </w:rPr>
            </w:pPr>
            <w:r>
              <w:rPr>
                <w:rFonts w:hint="eastAsia" w:ascii="宋体" w:hAnsi="宋体" w:eastAsia="宋体" w:cs="宋体"/>
                <w:b/>
                <w:bCs/>
                <w:color w:val="auto"/>
                <w:kern w:val="0"/>
                <w:szCs w:val="21"/>
              </w:rPr>
              <w:t>中标候选人数及中标人数</w:t>
            </w:r>
          </w:p>
        </w:tc>
        <w:tc>
          <w:tcPr>
            <w:tcW w:w="7095" w:type="dxa"/>
            <w:noWrap w:val="0"/>
            <w:vAlign w:val="center"/>
          </w:tcPr>
          <w:p>
            <w:pPr>
              <w:spacing w:line="360" w:lineRule="auto"/>
              <w:jc w:val="left"/>
              <w:rPr>
                <w:rFonts w:hint="eastAsia" w:ascii="宋体" w:hAnsi="宋体" w:cs="宋体"/>
                <w:color w:val="auto"/>
                <w:kern w:val="0"/>
                <w:szCs w:val="21"/>
              </w:rPr>
            </w:pPr>
            <w:r>
              <w:rPr>
                <w:rFonts w:hint="eastAsia" w:ascii="宋体" w:hAnsi="宋体" w:eastAsia="宋体" w:cs="宋体"/>
                <w:b/>
                <w:bCs/>
                <w:color w:val="auto"/>
                <w:kern w:val="0"/>
                <w:szCs w:val="21"/>
              </w:rPr>
              <w:t>本项目由评标委员会推荐</w:t>
            </w:r>
            <w:r>
              <w:rPr>
                <w:rFonts w:hint="eastAsia" w:ascii="宋体" w:hAnsi="宋体" w:eastAsia="宋体" w:cs="宋体"/>
                <w:b/>
                <w:bCs/>
                <w:color w:val="auto"/>
                <w:kern w:val="0"/>
                <w:szCs w:val="21"/>
                <w:lang w:val="en-US" w:eastAsia="zh-CN"/>
              </w:rPr>
              <w:t>3</w:t>
            </w:r>
            <w:r>
              <w:rPr>
                <w:rFonts w:hint="eastAsia" w:ascii="宋体" w:hAnsi="宋体" w:eastAsia="宋体" w:cs="宋体"/>
                <w:b/>
                <w:bCs/>
                <w:color w:val="auto"/>
                <w:kern w:val="0"/>
                <w:szCs w:val="21"/>
              </w:rPr>
              <w:t>名中标候选人，确定1名中标人。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2"/>
              </w:numPr>
              <w:autoSpaceDE w:val="0"/>
              <w:autoSpaceDN w:val="0"/>
              <w:adjustRightInd w:val="0"/>
              <w:spacing w:line="400" w:lineRule="exact"/>
              <w:jc w:val="center"/>
              <w:rPr>
                <w:rFonts w:hint="eastAsia" w:ascii="宋体" w:hAnsi="宋体" w:cs="宋体"/>
                <w:color w:val="auto"/>
                <w:kern w:val="0"/>
                <w:szCs w:val="21"/>
              </w:rPr>
            </w:pPr>
            <w:bookmarkStart w:id="51" w:name="_Toc245191311"/>
            <w:bookmarkStart w:id="52" w:name="_Toc239145351"/>
            <w:bookmarkStart w:id="53" w:name="_Toc221356948"/>
            <w:bookmarkStart w:id="54" w:name="_Toc249758861"/>
            <w:bookmarkStart w:id="55" w:name="_Toc262049415"/>
            <w:bookmarkStart w:id="56" w:name="_Toc410031813"/>
            <w:bookmarkStart w:id="57" w:name="_Toc222114876"/>
            <w:bookmarkStart w:id="58" w:name="_Toc246261262"/>
            <w:bookmarkStart w:id="59" w:name="_Toc223715995"/>
            <w:bookmarkStart w:id="60" w:name="_Toc245722278"/>
            <w:bookmarkStart w:id="61" w:name="_Toc11875"/>
            <w:bookmarkStart w:id="62" w:name="_Toc221374623"/>
            <w:bookmarkStart w:id="63" w:name="_Toc262105500"/>
            <w:bookmarkStart w:id="64" w:name="_Toc241404199"/>
            <w:bookmarkStart w:id="65" w:name="_Toc221356883"/>
            <w:bookmarkStart w:id="66" w:name="_Toc221423616"/>
            <w:bookmarkStart w:id="67" w:name="_Toc249758709"/>
          </w:p>
        </w:tc>
        <w:tc>
          <w:tcPr>
            <w:tcW w:w="1919" w:type="dxa"/>
            <w:noWrap w:val="0"/>
            <w:vAlign w:val="center"/>
          </w:tcPr>
          <w:p>
            <w:pPr>
              <w:spacing w:line="360" w:lineRule="auto"/>
              <w:jc w:val="center"/>
              <w:rPr>
                <w:rFonts w:hint="eastAsia" w:ascii="宋体" w:hAnsi="宋体" w:cs="宋体"/>
                <w:color w:val="auto"/>
                <w:kern w:val="0"/>
                <w:szCs w:val="21"/>
              </w:rPr>
            </w:pPr>
            <w:r>
              <w:rPr>
                <w:rFonts w:hint="eastAsia" w:ascii="宋体" w:hAnsi="宋体" w:cs="宋体"/>
                <w:b/>
                <w:bCs/>
                <w:color w:val="auto"/>
                <w:kern w:val="0"/>
                <w:szCs w:val="21"/>
              </w:rPr>
              <w:t>招标代理费</w:t>
            </w:r>
          </w:p>
        </w:tc>
        <w:tc>
          <w:tcPr>
            <w:tcW w:w="7095" w:type="dxa"/>
            <w:noWrap w:val="0"/>
            <w:vAlign w:val="center"/>
          </w:tcPr>
          <w:p>
            <w:pPr>
              <w:spacing w:line="360" w:lineRule="auto"/>
              <w:ind w:firstLine="422" w:firstLineChars="200"/>
              <w:rPr>
                <w:rFonts w:hint="eastAsia"/>
                <w:b/>
                <w:bCs/>
                <w:color w:val="auto"/>
              </w:rPr>
            </w:pPr>
            <w:r>
              <w:rPr>
                <w:rFonts w:hint="eastAsia"/>
                <w:b/>
                <w:bCs/>
                <w:color w:val="auto"/>
              </w:rPr>
              <w:t>本项目招标代理费【招标代理费收费标准按照国家计委关于印发《招标代理服务费管理暂行办法》的通知（计价格【2002】1980号）规定的收费标准执行，按</w:t>
            </w:r>
            <w:r>
              <w:rPr>
                <w:rFonts w:hint="eastAsia"/>
                <w:b/>
                <w:bCs/>
                <w:color w:val="auto"/>
                <w:lang w:eastAsia="zh-CN"/>
              </w:rPr>
              <w:t>服务</w:t>
            </w:r>
            <w:r>
              <w:rPr>
                <w:rFonts w:hint="eastAsia"/>
                <w:b/>
                <w:bCs/>
                <w:color w:val="auto"/>
              </w:rPr>
              <w:t>招标计算】，由中标人支付给代理机构。各投标人在投标报价时自行考虑在投标报价中，由中标人在领取中标通知书前一次性支付给代理机构。</w:t>
            </w:r>
          </w:p>
          <w:p>
            <w:pPr>
              <w:pStyle w:val="22"/>
              <w:ind w:left="842" w:hanging="422"/>
              <w:rPr>
                <w:rFonts w:hint="eastAsia"/>
                <w:color w:val="auto"/>
              </w:rPr>
            </w:pPr>
            <w:r>
              <w:rPr>
                <w:rFonts w:hint="eastAsia"/>
                <w:b/>
                <w:bCs/>
                <w:color w:val="auto"/>
              </w:rPr>
              <w:t>《招标代理服务费管理暂行办法》的通知规定的收费标准</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中标金额（万元）</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货物费率</w:t>
                  </w:r>
                </w:p>
              </w:tc>
              <w:tc>
                <w:tcPr>
                  <w:tcW w:w="2280"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100以下</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1.5%</w:t>
                  </w:r>
                </w:p>
              </w:tc>
              <w:tc>
                <w:tcPr>
                  <w:tcW w:w="2280" w:type="dxa"/>
                  <w:noWrap w:val="0"/>
                  <w:vAlign w:val="top"/>
                </w:tcPr>
                <w:p>
                  <w:pPr>
                    <w:snapToGrid w:val="0"/>
                    <w:spacing w:before="100" w:beforeAutospacing="1" w:after="100" w:afterAutospacing="1" w:line="276" w:lineRule="auto"/>
                    <w:jc w:val="center"/>
                    <w:rPr>
                      <w:rFonts w:ascii="宋体" w:hAnsi="宋体" w:eastAsia="宋体"/>
                      <w:b/>
                      <w:bCs/>
                      <w:color w:val="auto"/>
                      <w:szCs w:val="21"/>
                    </w:rPr>
                  </w:pPr>
                  <w:r>
                    <w:rPr>
                      <w:rFonts w:hint="eastAsia" w:ascii="宋体" w:hAnsi="宋体" w:eastAsia="宋体"/>
                      <w:b/>
                      <w:bCs/>
                      <w:color w:val="auto"/>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100-500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1.1%</w:t>
                  </w:r>
                </w:p>
              </w:tc>
              <w:tc>
                <w:tcPr>
                  <w:tcW w:w="2280" w:type="dxa"/>
                  <w:noWrap w:val="0"/>
                  <w:vAlign w:val="top"/>
                </w:tcPr>
                <w:p>
                  <w:pPr>
                    <w:snapToGrid w:val="0"/>
                    <w:spacing w:before="100" w:beforeAutospacing="1" w:after="100" w:afterAutospacing="1" w:line="276" w:lineRule="auto"/>
                    <w:jc w:val="center"/>
                    <w:rPr>
                      <w:rFonts w:ascii="宋体" w:hAnsi="宋体" w:eastAsia="宋体"/>
                      <w:b/>
                      <w:bCs/>
                      <w:color w:val="auto"/>
                      <w:szCs w:val="21"/>
                    </w:rPr>
                  </w:pPr>
                  <w:r>
                    <w:rPr>
                      <w:rFonts w:hint="eastAsia" w:ascii="宋体" w:hAnsi="宋体" w:eastAsia="宋体"/>
                      <w:b/>
                      <w:bCs/>
                      <w:color w:val="auto"/>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500-1000</w:t>
                  </w:r>
                </w:p>
              </w:tc>
              <w:tc>
                <w:tcPr>
                  <w:tcW w:w="2293" w:type="dxa"/>
                  <w:noWrap w:val="0"/>
                  <w:vAlign w:val="top"/>
                </w:tcPr>
                <w:p>
                  <w:pPr>
                    <w:snapToGrid w:val="0"/>
                    <w:spacing w:before="100" w:beforeAutospacing="1" w:after="100" w:afterAutospacing="1" w:line="276" w:lineRule="auto"/>
                    <w:jc w:val="center"/>
                    <w:rPr>
                      <w:rFonts w:hint="eastAsia" w:ascii="宋体" w:hAnsi="宋体" w:eastAsia="宋体"/>
                      <w:b/>
                      <w:bCs/>
                      <w:color w:val="auto"/>
                      <w:szCs w:val="21"/>
                    </w:rPr>
                  </w:pPr>
                  <w:r>
                    <w:rPr>
                      <w:rFonts w:hint="eastAsia" w:ascii="宋体" w:hAnsi="宋体" w:eastAsia="宋体"/>
                      <w:b/>
                      <w:bCs/>
                      <w:color w:val="auto"/>
                      <w:szCs w:val="21"/>
                    </w:rPr>
                    <w:t>0.8%</w:t>
                  </w:r>
                </w:p>
              </w:tc>
              <w:tc>
                <w:tcPr>
                  <w:tcW w:w="2280" w:type="dxa"/>
                  <w:noWrap w:val="0"/>
                  <w:vAlign w:val="top"/>
                </w:tcPr>
                <w:p>
                  <w:pPr>
                    <w:snapToGrid w:val="0"/>
                    <w:spacing w:before="100" w:beforeAutospacing="1" w:after="100" w:afterAutospacing="1" w:line="276" w:lineRule="auto"/>
                    <w:jc w:val="center"/>
                    <w:rPr>
                      <w:rFonts w:ascii="宋体" w:hAnsi="宋体" w:eastAsia="宋体"/>
                      <w:b/>
                      <w:bCs/>
                      <w:color w:val="auto"/>
                      <w:szCs w:val="21"/>
                    </w:rPr>
                  </w:pPr>
                  <w:r>
                    <w:rPr>
                      <w:rFonts w:hint="eastAsia" w:ascii="宋体" w:hAnsi="宋体" w:eastAsia="宋体"/>
                      <w:b/>
                      <w:bCs/>
                      <w:color w:val="auto"/>
                      <w:szCs w:val="21"/>
                    </w:rPr>
                    <w:t>0.45%</w:t>
                  </w:r>
                </w:p>
              </w:tc>
            </w:tr>
          </w:tbl>
          <w:p>
            <w:pPr>
              <w:pStyle w:val="22"/>
              <w:ind w:left="840" w:hanging="42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spacing w:line="360" w:lineRule="auto"/>
              <w:jc w:val="center"/>
              <w:rPr>
                <w:rFonts w:hint="eastAsia" w:ascii="宋体" w:hAnsi="宋体" w:eastAsia="宋体" w:cs="宋体"/>
                <w:b/>
                <w:bCs/>
                <w:color w:val="auto"/>
                <w:kern w:val="0"/>
                <w:szCs w:val="21"/>
              </w:rPr>
            </w:pPr>
            <w:r>
              <w:rPr>
                <w:rFonts w:hint="eastAsia" w:ascii="宋体" w:hAnsi="宋体" w:cs="宋体"/>
                <w:b/>
                <w:bCs/>
                <w:color w:val="auto"/>
                <w:kern w:val="0"/>
                <w:szCs w:val="21"/>
              </w:rPr>
              <w:t>特别说明1</w:t>
            </w:r>
          </w:p>
        </w:tc>
        <w:tc>
          <w:tcPr>
            <w:tcW w:w="7095" w:type="dxa"/>
            <w:noWrap w:val="0"/>
            <w:vAlign w:val="center"/>
          </w:tcPr>
          <w:p>
            <w:pPr>
              <w:autoSpaceDE w:val="0"/>
              <w:autoSpaceDN w:val="0"/>
              <w:adjustRightInd w:val="0"/>
              <w:spacing w:line="360" w:lineRule="auto"/>
              <w:rPr>
                <w:rFonts w:hint="eastAsia" w:ascii="宋体" w:hAnsi="宋体" w:eastAsia="宋体" w:cs="宋体"/>
                <w:b/>
                <w:bCs/>
                <w:color w:val="auto"/>
                <w:kern w:val="0"/>
                <w:szCs w:val="21"/>
              </w:rPr>
            </w:pPr>
            <w:r>
              <w:rPr>
                <w:rFonts w:hint="eastAsia" w:ascii="����" w:hAnsi="����"/>
                <w:b/>
                <w:color w:val="auto"/>
                <w:szCs w:val="21"/>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snapToGrid w:val="0"/>
              <w:spacing w:line="420" w:lineRule="exact"/>
              <w:jc w:val="center"/>
              <w:rPr>
                <w:rFonts w:hint="eastAsia" w:ascii="宋体" w:hAnsi="宋体" w:cs="宋体"/>
                <w:b/>
                <w:bCs/>
                <w:color w:val="auto"/>
                <w:kern w:val="0"/>
                <w:szCs w:val="21"/>
              </w:rPr>
            </w:pPr>
            <w:r>
              <w:rPr>
                <w:rFonts w:hint="eastAsia" w:ascii="宋体" w:hAnsi="宋体" w:eastAsia="宋体" w:cs="宋体"/>
                <w:b/>
                <w:bCs/>
                <w:color w:val="auto"/>
                <w:szCs w:val="21"/>
              </w:rPr>
              <w:t>中小企业预留份额情况</w:t>
            </w:r>
          </w:p>
        </w:tc>
        <w:tc>
          <w:tcPr>
            <w:tcW w:w="7095" w:type="dxa"/>
            <w:noWrap w:val="0"/>
            <w:vAlign w:val="center"/>
          </w:tcPr>
          <w:p>
            <w:pPr>
              <w:snapToGrid w:val="0"/>
              <w:spacing w:line="420" w:lineRule="exact"/>
              <w:rPr>
                <w:rFonts w:hint="eastAsia" w:ascii="����" w:hAnsi="����"/>
                <w:b/>
                <w:color w:val="auto"/>
                <w:szCs w:val="21"/>
                <w:shd w:val="clear" w:color="auto" w:fill="FFFFFF"/>
              </w:rPr>
            </w:pPr>
            <w:r>
              <w:rPr>
                <w:rFonts w:hint="eastAsia" w:ascii="宋体" w:hAnsi="宋体" w:eastAsia="宋体" w:cs="宋体"/>
                <w:b/>
                <w:bCs/>
                <w:color w:val="auto"/>
                <w:szCs w:val="21"/>
              </w:rPr>
              <w:t>根据《政府采购促进中小企业发展管理办法》财库〔2020〕46号文件的规定，本项目（</w:t>
            </w:r>
            <w:r>
              <w:rPr>
                <w:rFonts w:hint="eastAsia" w:ascii="宋体" w:hAnsi="宋体" w:eastAsia="宋体" w:cs="宋体"/>
                <w:b/>
                <w:bCs/>
                <w:color w:val="auto"/>
                <w:szCs w:val="21"/>
              </w:rPr>
              <w:sym w:font="Wingdings 2" w:char="00A3"/>
            </w:r>
            <w:r>
              <w:rPr>
                <w:rFonts w:hint="eastAsia" w:ascii="宋体" w:hAnsi="宋体" w:eastAsia="宋体" w:cs="宋体"/>
                <w:b/>
                <w:bCs/>
                <w:color w:val="auto"/>
                <w:szCs w:val="21"/>
              </w:rPr>
              <w:t>是</w:t>
            </w:r>
            <w:r>
              <w:rPr>
                <w:rFonts w:hint="eastAsia" w:ascii="宋体" w:hAnsi="宋体" w:eastAsia="宋体" w:cs="宋体"/>
                <w:b/>
                <w:bCs/>
                <w:color w:val="auto"/>
                <w:szCs w:val="21"/>
              </w:rPr>
              <w:sym w:font="Wingdings 2" w:char="0052"/>
            </w:r>
            <w:r>
              <w:rPr>
                <w:rFonts w:hint="eastAsia" w:ascii="宋体" w:hAnsi="宋体" w:eastAsia="宋体" w:cs="宋体"/>
                <w:b/>
                <w:bCs/>
                <w:color w:val="auto"/>
                <w:szCs w:val="21"/>
              </w:rPr>
              <w:t>否）属于预留份额专门面向中小企业采购的项目。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autoSpaceDE w:val="0"/>
              <w:autoSpaceDN w:val="0"/>
              <w:adjustRightIn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政府采购</w:t>
            </w:r>
          </w:p>
          <w:p>
            <w:pPr>
              <w:autoSpaceDE w:val="0"/>
              <w:autoSpaceDN w:val="0"/>
              <w:adjustRightInd w:val="0"/>
              <w:spacing w:line="360" w:lineRule="auto"/>
              <w:jc w:val="center"/>
              <w:rPr>
                <w:rFonts w:hint="eastAsia" w:ascii="����" w:hAnsi="����"/>
                <w:b/>
                <w:color w:val="auto"/>
                <w:szCs w:val="21"/>
                <w:shd w:val="clear" w:color="auto" w:fill="FFFFFF"/>
              </w:rPr>
            </w:pPr>
            <w:r>
              <w:rPr>
                <w:rFonts w:hint="eastAsia" w:ascii="宋体" w:hAnsi="宋体" w:eastAsia="宋体" w:cs="宋体"/>
                <w:b/>
                <w:color w:val="auto"/>
                <w:szCs w:val="21"/>
              </w:rPr>
              <w:t>扶持政策</w:t>
            </w:r>
          </w:p>
        </w:tc>
        <w:tc>
          <w:tcPr>
            <w:tcW w:w="7095" w:type="dxa"/>
            <w:noWrap w:val="0"/>
            <w:vAlign w:val="center"/>
          </w:tcPr>
          <w:p>
            <w:pPr>
              <w:pStyle w:val="62"/>
              <w:snapToGrid w:val="0"/>
              <w:spacing w:line="420" w:lineRule="exact"/>
              <w:ind w:left="0" w:firstLine="0"/>
              <w:rPr>
                <w:rFonts w:hint="eastAsia"/>
                <w:b/>
                <w:color w:val="auto"/>
                <w:szCs w:val="21"/>
                <w:u w:val="single"/>
                <w:lang w:val="en-US"/>
              </w:rPr>
            </w:pPr>
            <w:r>
              <w:rPr>
                <w:rFonts w:hint="eastAsia"/>
                <w:b/>
                <w:color w:val="auto"/>
                <w:szCs w:val="21"/>
                <w:lang w:val="en-US"/>
              </w:rPr>
              <w:t>1）</w:t>
            </w:r>
            <w:r>
              <w:rPr>
                <w:rFonts w:hint="eastAsia"/>
                <w:b/>
                <w:color w:val="auto"/>
                <w:szCs w:val="21"/>
              </w:rPr>
              <w:t>项目属性:</w:t>
            </w:r>
            <w:r>
              <w:rPr>
                <w:rFonts w:hint="eastAsia"/>
                <w:b/>
                <w:color w:val="auto"/>
                <w:szCs w:val="21"/>
              </w:rPr>
              <w:sym w:font="Wingdings 2" w:char="00A3"/>
            </w:r>
            <w:r>
              <w:rPr>
                <w:rFonts w:hint="eastAsia"/>
                <w:b/>
                <w:color w:val="auto"/>
                <w:szCs w:val="21"/>
              </w:rPr>
              <w:t>货物类</w:t>
            </w:r>
            <w:r>
              <w:rPr>
                <w:rFonts w:hint="eastAsia"/>
                <w:b/>
                <w:color w:val="auto"/>
                <w:szCs w:val="21"/>
              </w:rPr>
              <w:sym w:font="Wingdings 2" w:char="0052"/>
            </w:r>
            <w:r>
              <w:rPr>
                <w:rFonts w:hint="eastAsia"/>
                <w:b/>
                <w:color w:val="auto"/>
                <w:szCs w:val="21"/>
                <w:lang w:val="en-US"/>
              </w:rPr>
              <w:t>服务类</w:t>
            </w:r>
            <w:r>
              <w:rPr>
                <w:rFonts w:hint="eastAsia"/>
                <w:b/>
                <w:color w:val="auto"/>
                <w:szCs w:val="21"/>
              </w:rPr>
              <w:sym w:font="Wingdings 2" w:char="00A3"/>
            </w:r>
            <w:r>
              <w:rPr>
                <w:rFonts w:hint="eastAsia"/>
                <w:b/>
                <w:color w:val="auto"/>
                <w:szCs w:val="21"/>
                <w:lang w:val="en-US"/>
              </w:rPr>
              <w:t>工程类</w:t>
            </w:r>
          </w:p>
          <w:p>
            <w:pPr>
              <w:pStyle w:val="62"/>
              <w:snapToGrid w:val="0"/>
              <w:spacing w:line="420" w:lineRule="exact"/>
              <w:ind w:left="0" w:firstLine="0"/>
              <w:rPr>
                <w:rFonts w:hint="eastAsia"/>
                <w:b/>
                <w:color w:val="auto"/>
                <w:szCs w:val="21"/>
              </w:rPr>
            </w:pPr>
            <w:r>
              <w:rPr>
                <w:rFonts w:hint="eastAsia"/>
                <w:b/>
                <w:color w:val="auto"/>
                <w:szCs w:val="21"/>
                <w:lang w:val="en-US"/>
              </w:rPr>
              <w:t>2）</w:t>
            </w:r>
            <w:r>
              <w:rPr>
                <w:rFonts w:hint="eastAsia"/>
                <w:b/>
                <w:color w:val="auto"/>
                <w:szCs w:val="21"/>
              </w:rPr>
              <w:t>中小企业划分标准所属行业根据《中小企业划型标准规定》执行。</w:t>
            </w:r>
          </w:p>
          <w:p>
            <w:pPr>
              <w:snapToGrid w:val="0"/>
              <w:spacing w:line="420" w:lineRule="exact"/>
              <w:rPr>
                <w:rFonts w:hint="eastAsia" w:ascii="宋体" w:hAnsi="宋体" w:eastAsia="宋体" w:cs="宋体"/>
                <w:b/>
                <w:color w:val="auto"/>
                <w:szCs w:val="21"/>
              </w:rPr>
            </w:pPr>
            <w:r>
              <w:rPr>
                <w:rFonts w:hint="eastAsia" w:ascii="宋体" w:hAnsi="宋体" w:eastAsia="宋体" w:cs="宋体"/>
                <w:b/>
                <w:color w:val="auto"/>
                <w:szCs w:val="21"/>
              </w:rPr>
              <w:t>采购标的名称：</w:t>
            </w:r>
            <w:r>
              <w:rPr>
                <w:rFonts w:hint="eastAsia" w:ascii="宋体" w:hAnsi="宋体" w:eastAsia="宋体" w:cs="宋体"/>
                <w:b/>
                <w:color w:val="auto"/>
                <w:szCs w:val="21"/>
                <w:lang w:eastAsia="zh-CN"/>
              </w:rPr>
              <w:t>常山县生活垃圾填埋场渗滤液处理及渗滤液处理区运维管理项目</w:t>
            </w:r>
            <w:r>
              <w:rPr>
                <w:rFonts w:hint="eastAsia" w:ascii="宋体" w:hAnsi="宋体" w:eastAsia="宋体" w:cs="宋体"/>
                <w:b/>
                <w:color w:val="auto"/>
                <w:szCs w:val="21"/>
              </w:rPr>
              <w:t>，所属行业：</w:t>
            </w:r>
            <w:r>
              <w:rPr>
                <w:rFonts w:hint="eastAsia" w:ascii="宋体" w:hAnsi="宋体" w:eastAsia="宋体" w:cs="宋体"/>
                <w:b/>
                <w:color w:val="auto"/>
                <w:szCs w:val="21"/>
                <w:u w:val="single"/>
                <w:lang w:val="en-US" w:eastAsia="zh-CN"/>
              </w:rPr>
              <w:t xml:space="preserve"> </w:t>
            </w:r>
            <w:r>
              <w:rPr>
                <w:rFonts w:hint="eastAsia" w:ascii="宋体" w:hAnsi="宋体" w:eastAsia="宋体" w:cs="宋体"/>
                <w:b/>
                <w:color w:val="auto"/>
                <w:szCs w:val="21"/>
                <w:u w:val="single"/>
              </w:rPr>
              <w:t xml:space="preserve">其他未列明行业 </w:t>
            </w:r>
            <w:r>
              <w:rPr>
                <w:rFonts w:hint="eastAsia" w:ascii="宋体" w:hAnsi="宋体" w:eastAsia="宋体" w:cs="宋体"/>
                <w:b/>
                <w:color w:val="auto"/>
                <w:szCs w:val="21"/>
              </w:rPr>
              <w:t>。</w:t>
            </w:r>
          </w:p>
          <w:p>
            <w:pPr>
              <w:autoSpaceDE w:val="0"/>
              <w:autoSpaceDN w:val="0"/>
              <w:adjustRightInd w:val="0"/>
              <w:spacing w:line="360" w:lineRule="auto"/>
              <w:rPr>
                <w:rFonts w:hint="eastAsia" w:ascii="宋体" w:hAnsi="宋体" w:eastAsia="宋体" w:cs="宋体"/>
                <w:b/>
                <w:color w:val="auto"/>
                <w:szCs w:val="21"/>
              </w:rPr>
            </w:pPr>
            <w:r>
              <w:rPr>
                <w:rFonts w:hint="eastAsia" w:ascii="宋体" w:hAnsi="宋体" w:cs="宋体"/>
                <w:b/>
                <w:color w:val="auto"/>
                <w:szCs w:val="21"/>
              </w:rPr>
              <w:t>3</w:t>
            </w:r>
            <w:r>
              <w:rPr>
                <w:rFonts w:hint="eastAsia" w:ascii="宋体" w:hAnsi="宋体" w:eastAsia="宋体" w:cs="宋体"/>
                <w:b/>
                <w:color w:val="auto"/>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adjustRightIn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4）以联合体形式参加政府采购活动，联合体各方均为小微企业的，联合体视同小微企业</w:t>
            </w:r>
            <w:r>
              <w:rPr>
                <w:rFonts w:hint="eastAsia" w:ascii="宋体" w:hAnsi="宋体" w:cs="宋体"/>
                <w:b/>
                <w:color w:val="auto"/>
                <w:szCs w:val="21"/>
              </w:rPr>
              <w:t>；</w:t>
            </w:r>
            <w:r>
              <w:rPr>
                <w:rFonts w:hint="eastAsia" w:ascii="����" w:hAnsi="����"/>
                <w:b/>
                <w:color w:val="auto"/>
                <w:szCs w:val="21"/>
              </w:rPr>
              <w:t>联合体其中一方为小型、微型企业的，联合协议中约定小型、微型企业的协议合同金额占到联合体协议合同总额30%以上的，给予联合体2%的价格扣除，须同时提供联合体协议约定（包含小型、微型企业的协议合同份额）。</w:t>
            </w:r>
          </w:p>
          <w:p>
            <w:pPr>
              <w:autoSpaceDE w:val="0"/>
              <w:autoSpaceDN w:val="0"/>
              <w:adjustRightIn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5） 参加本次采购活动的供应商提供的货物</w:t>
            </w:r>
            <w:r>
              <w:rPr>
                <w:rFonts w:hint="eastAsia" w:ascii="宋体" w:hAnsi="宋体" w:eastAsia="宋体" w:cs="宋体"/>
                <w:b/>
                <w:color w:val="auto"/>
                <w:szCs w:val="21"/>
                <w:lang w:eastAsia="zh-CN"/>
              </w:rPr>
              <w:t>（或服务）</w:t>
            </w:r>
            <w:r>
              <w:rPr>
                <w:rFonts w:hint="eastAsia" w:ascii="宋体" w:hAnsi="宋体" w:eastAsia="宋体" w:cs="宋体"/>
                <w:b/>
                <w:color w:val="auto"/>
                <w:szCs w:val="21"/>
              </w:rPr>
              <w:t>全部由小微企业承接的，其报价给予</w:t>
            </w: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val="en-US" w:eastAsia="zh-CN"/>
              </w:rPr>
              <w:t>0</w:t>
            </w:r>
            <w:r>
              <w:rPr>
                <w:rFonts w:hint="eastAsia" w:ascii="宋体" w:hAnsi="宋体" w:eastAsia="宋体" w:cs="宋体"/>
                <w:b/>
                <w:color w:val="auto"/>
                <w:szCs w:val="21"/>
              </w:rPr>
              <w:t>%的扣除，用扣除后的价格参加评审。小微企业将合同分包给大中型企业的，其报价不予扣除。</w:t>
            </w:r>
          </w:p>
          <w:p>
            <w:pPr>
              <w:autoSpaceDE w:val="0"/>
              <w:autoSpaceDN w:val="0"/>
              <w:adjustRightIn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6）符合小微企业划分标准的个体工商户，视同小微企业。</w:t>
            </w:r>
          </w:p>
          <w:p>
            <w:pPr>
              <w:autoSpaceDE w:val="0"/>
              <w:autoSpaceDN w:val="0"/>
              <w:adjustRightInd w:val="0"/>
              <w:spacing w:line="360" w:lineRule="auto"/>
              <w:rPr>
                <w:rFonts w:hint="eastAsia" w:ascii="宋体" w:hAnsi="宋体" w:eastAsia="宋体" w:cs="宋体"/>
                <w:b/>
                <w:color w:val="auto"/>
                <w:szCs w:val="21"/>
              </w:rPr>
            </w:pPr>
            <w:r>
              <w:rPr>
                <w:rFonts w:hint="eastAsia" w:ascii="宋体" w:hAnsi="宋体" w:cs="宋体"/>
                <w:b/>
                <w:color w:val="auto"/>
                <w:szCs w:val="21"/>
              </w:rPr>
              <w:t>7</w:t>
            </w:r>
            <w:r>
              <w:rPr>
                <w:rFonts w:hint="eastAsia" w:ascii="宋体" w:hAnsi="宋体" w:eastAsia="宋体" w:cs="宋体"/>
                <w:b/>
                <w:color w:val="auto"/>
                <w:szCs w:val="21"/>
              </w:rPr>
              <w:t>）本项目不允许大中型企业向一家或者多家小微企业分包。</w:t>
            </w:r>
          </w:p>
          <w:p>
            <w:pPr>
              <w:autoSpaceDE w:val="0"/>
              <w:autoSpaceDN w:val="0"/>
              <w:adjustRightInd w:val="0"/>
              <w:spacing w:line="360" w:lineRule="auto"/>
              <w:rPr>
                <w:rFonts w:hint="eastAsia" w:ascii="宋体" w:hAnsi="宋体" w:eastAsia="宋体" w:cs="宋体"/>
                <w:b/>
                <w:color w:val="auto"/>
                <w:szCs w:val="21"/>
              </w:rPr>
            </w:pPr>
            <w:r>
              <w:rPr>
                <w:rFonts w:hint="eastAsia" w:ascii="宋体" w:hAnsi="宋体" w:cs="宋体"/>
                <w:b/>
                <w:color w:val="auto"/>
                <w:szCs w:val="21"/>
              </w:rPr>
              <w:t>8</w:t>
            </w:r>
            <w:r>
              <w:rPr>
                <w:rFonts w:hint="eastAsia" w:ascii="宋体" w:hAnsi="宋体" w:eastAsia="宋体" w:cs="宋体"/>
                <w:b/>
                <w:color w:val="auto"/>
                <w:szCs w:val="21"/>
              </w:rPr>
              <w:t>）小微企业（包括联合体内的小微企业和接受分包的小微企业）参加政府采购活动，应当出具《中小企业声明函》，否则其报价不予扣除。</w:t>
            </w:r>
          </w:p>
          <w:p>
            <w:pPr>
              <w:autoSpaceDE w:val="0"/>
              <w:autoSpaceDN w:val="0"/>
              <w:adjustRightInd w:val="0"/>
              <w:spacing w:line="360" w:lineRule="auto"/>
              <w:rPr>
                <w:rFonts w:hint="eastAsia" w:ascii="����" w:hAnsi="����"/>
                <w:b/>
                <w:color w:val="auto"/>
                <w:szCs w:val="21"/>
                <w:shd w:val="clear" w:color="auto" w:fill="FFFFFF"/>
              </w:rPr>
            </w:pPr>
            <w:r>
              <w:rPr>
                <w:rFonts w:hint="eastAsia" w:ascii="宋体" w:hAnsi="宋体" w:cs="宋体"/>
                <w:b/>
                <w:color w:val="auto"/>
                <w:szCs w:val="21"/>
              </w:rPr>
              <w:t>9</w:t>
            </w:r>
            <w:r>
              <w:rPr>
                <w:rFonts w:hint="eastAsia" w:ascii="宋体" w:hAnsi="宋体" w:eastAsia="宋体" w:cs="宋体"/>
                <w:b/>
                <w:color w:val="auto"/>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pStyle w:val="8"/>
              <w:snapToGrid w:val="0"/>
              <w:spacing w:before="0" w:line="360" w:lineRule="auto"/>
              <w:rPr>
                <w:rFonts w:hint="eastAsia" w:ascii="宋体" w:hAnsi="宋体" w:eastAsia="宋体" w:cs="宋体"/>
                <w:color w:val="auto"/>
              </w:rPr>
            </w:pPr>
            <w:r>
              <w:rPr>
                <w:rFonts w:ascii="Times New Roman" w:hAnsi="Times New Roman" w:eastAsia="宋体" w:cs="Times New Roman"/>
                <w:color w:val="auto"/>
                <w:kern w:val="2"/>
                <w:sz w:val="21"/>
              </w:rPr>
              <w:t>投标人信用查询</w:t>
            </w:r>
          </w:p>
        </w:tc>
        <w:tc>
          <w:tcPr>
            <w:tcW w:w="7095" w:type="dxa"/>
            <w:noWrap w:val="0"/>
            <w:vAlign w:val="center"/>
          </w:tcPr>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宋体" w:eastAsia="宋体" w:cs="Times New Roman"/>
                <w:color w:val="auto"/>
                <w:kern w:val="2"/>
                <w:sz w:val="21"/>
              </w:rPr>
              <w:t>根据《关于在政府采购活动中查询及使用信用记录有关问题的通知》财库</w:t>
            </w:r>
            <w:r>
              <w:rPr>
                <w:rFonts w:ascii="Times New Roman" w:hAnsi="Times New Roman" w:eastAsia="宋体" w:cs="Times New Roman"/>
                <w:color w:val="auto"/>
                <w:kern w:val="2"/>
                <w:sz w:val="21"/>
              </w:rPr>
              <w:t>[2016]125</w:t>
            </w:r>
            <w:r>
              <w:rPr>
                <w:rFonts w:ascii="Times New Roman" w:hAnsi="宋体" w:eastAsia="宋体" w:cs="Times New Roman"/>
                <w:color w:val="auto"/>
                <w:kern w:val="2"/>
                <w:sz w:val="21"/>
              </w:rPr>
              <w:t>号的规定：</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1</w:t>
            </w:r>
            <w:r>
              <w:rPr>
                <w:rFonts w:ascii="Times New Roman" w:hAnsi="宋体" w:eastAsia="宋体" w:cs="Times New Roman"/>
                <w:color w:val="auto"/>
                <w:kern w:val="2"/>
                <w:sz w:val="21"/>
              </w:rPr>
              <w:t>）采购代理机构将对本项目投标供应商的信用信息进行查询和甄别</w:t>
            </w:r>
            <w:r>
              <w:rPr>
                <w:rFonts w:hint="eastAsia" w:ascii="Times New Roman" w:hAnsi="宋体" w:eastAsia="宋体" w:cs="Times New Roman"/>
                <w:color w:val="auto"/>
                <w:kern w:val="2"/>
                <w:sz w:val="21"/>
              </w:rPr>
              <w:t>，</w:t>
            </w:r>
            <w:r>
              <w:rPr>
                <w:rFonts w:ascii="Times New Roman" w:hAnsi="宋体" w:eastAsia="宋体" w:cs="Times New Roman"/>
                <w:color w:val="auto"/>
                <w:kern w:val="2"/>
                <w:sz w:val="21"/>
              </w:rPr>
              <w:t>查询渠道为信用中国网站（</w:t>
            </w:r>
            <w:r>
              <w:rPr>
                <w:rFonts w:ascii="Times New Roman" w:hAnsi="Times New Roman" w:eastAsia="宋体" w:cs="Times New Roman"/>
                <w:color w:val="auto"/>
                <w:kern w:val="2"/>
                <w:sz w:val="21"/>
              </w:rPr>
              <w:t>www.creditchina.gov.cn</w:t>
            </w:r>
            <w:r>
              <w:rPr>
                <w:rFonts w:ascii="Times New Roman" w:hAnsi="宋体" w:eastAsia="宋体" w:cs="Times New Roman"/>
                <w:color w:val="auto"/>
                <w:kern w:val="2"/>
                <w:sz w:val="21"/>
              </w:rPr>
              <w:t>）、中国政府采购网（</w:t>
            </w:r>
            <w:r>
              <w:rPr>
                <w:rFonts w:ascii="Times New Roman" w:hAnsi="Times New Roman" w:eastAsia="宋体" w:cs="Times New Roman"/>
                <w:color w:val="auto"/>
                <w:kern w:val="2"/>
                <w:sz w:val="21"/>
              </w:rPr>
              <w:t>www.ccgp.gov.cn</w:t>
            </w:r>
            <w:r>
              <w:rPr>
                <w:rFonts w:ascii="Times New Roman" w:hAnsi="宋体" w:eastAsia="宋体" w:cs="Times New Roman"/>
                <w:color w:val="auto"/>
                <w:kern w:val="2"/>
                <w:sz w:val="21"/>
              </w:rPr>
              <w:t>）。</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2</w:t>
            </w:r>
            <w:r>
              <w:rPr>
                <w:rFonts w:ascii="Times New Roman" w:hAnsi="宋体" w:eastAsia="宋体" w:cs="Times New Roman"/>
                <w:color w:val="auto"/>
                <w:kern w:val="2"/>
                <w:sz w:val="21"/>
              </w:rPr>
              <w:t>）</w:t>
            </w:r>
            <w:r>
              <w:rPr>
                <w:rFonts w:hint="eastAsia" w:ascii="Times New Roman" w:hAnsi="宋体" w:eastAsia="宋体" w:cs="Times New Roman"/>
                <w:color w:val="auto"/>
                <w:kern w:val="2"/>
                <w:sz w:val="21"/>
              </w:rPr>
              <w:t>截止时点：提交投标文件（响应文件）截止时间前3年内。</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3</w:t>
            </w:r>
            <w:r>
              <w:rPr>
                <w:rFonts w:ascii="Times New Roman" w:hAnsi="宋体" w:eastAsia="宋体" w:cs="Times New Roman"/>
                <w:color w:val="auto"/>
                <w:kern w:val="2"/>
                <w:sz w:val="21"/>
              </w:rPr>
              <w:t>）信用信息查询记录和证据以网页截图方式留存。</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4</w:t>
            </w:r>
            <w:r>
              <w:rPr>
                <w:rFonts w:ascii="Times New Roman" w:hAnsi="宋体" w:eastAsia="宋体" w:cs="Times New Roman"/>
                <w:color w:val="auto"/>
                <w:kern w:val="2"/>
                <w:sz w:val="21"/>
              </w:rPr>
              <w:t>）不良信用记录指：</w:t>
            </w:r>
            <w:r>
              <w:rPr>
                <w:rFonts w:ascii="Times New Roman" w:hAnsi="Times New Roman" w:eastAsia="宋体" w:cs="Times New Roman"/>
                <w:color w:val="auto"/>
                <w:kern w:val="2"/>
                <w:sz w:val="21"/>
              </w:rPr>
              <w:t>1.</w:t>
            </w:r>
            <w:r>
              <w:rPr>
                <w:rFonts w:ascii="Times New Roman" w:hAnsi="宋体" w:eastAsia="宋体" w:cs="Times New Roman"/>
                <w:color w:val="auto"/>
                <w:kern w:val="2"/>
                <w:sz w:val="21"/>
              </w:rPr>
              <w:t>被列入信用中国网站</w:t>
            </w:r>
            <w:r>
              <w:rPr>
                <w:rFonts w:ascii="Times New Roman" w:hAnsi="Times New Roman" w:eastAsia="宋体" w:cs="Times New Roman"/>
                <w:color w:val="auto"/>
                <w:kern w:val="2"/>
                <w:sz w:val="21"/>
              </w:rPr>
              <w:t>“</w:t>
            </w:r>
            <w:r>
              <w:rPr>
                <w:rFonts w:ascii="Times New Roman" w:hAnsi="宋体" w:eastAsia="宋体" w:cs="Times New Roman"/>
                <w:color w:val="auto"/>
                <w:kern w:val="2"/>
                <w:sz w:val="21"/>
              </w:rPr>
              <w:t>失信被执行人</w:t>
            </w:r>
            <w:r>
              <w:rPr>
                <w:rFonts w:ascii="Times New Roman" w:hAnsi="Times New Roman" w:eastAsia="宋体" w:cs="Times New Roman"/>
                <w:color w:val="auto"/>
                <w:kern w:val="2"/>
                <w:sz w:val="21"/>
              </w:rPr>
              <w:t xml:space="preserve">”“ </w:t>
            </w:r>
            <w:r>
              <w:rPr>
                <w:rFonts w:hint="eastAsia" w:ascii="Times New Roman" w:hAnsi="宋体" w:eastAsia="宋体" w:cs="Times New Roman"/>
                <w:color w:val="auto"/>
                <w:kern w:val="2"/>
                <w:sz w:val="21"/>
                <w:lang w:eastAsia="zh-CN"/>
              </w:rPr>
              <w:t>税收违法黑名单</w:t>
            </w:r>
            <w:r>
              <w:rPr>
                <w:rFonts w:ascii="Times New Roman" w:hAnsi="Times New Roman" w:eastAsia="宋体" w:cs="Times New Roman"/>
                <w:color w:val="auto"/>
                <w:kern w:val="2"/>
                <w:sz w:val="21"/>
              </w:rPr>
              <w:t xml:space="preserve">” </w:t>
            </w:r>
            <w:r>
              <w:rPr>
                <w:rFonts w:hint="eastAsia" w:ascii="Times New Roman" w:hAnsi="宋体" w:eastAsia="宋体" w:cs="Times New Roman"/>
                <w:color w:val="auto"/>
                <w:kern w:val="2"/>
                <w:sz w:val="21"/>
              </w:rPr>
              <w:t>；</w:t>
            </w:r>
            <w:r>
              <w:rPr>
                <w:rFonts w:ascii="Times New Roman" w:hAnsi="Times New Roman" w:eastAsia="宋体" w:cs="Times New Roman"/>
                <w:color w:val="auto"/>
                <w:kern w:val="2"/>
                <w:sz w:val="21"/>
              </w:rPr>
              <w:t xml:space="preserve"> 2.</w:t>
            </w:r>
            <w:r>
              <w:rPr>
                <w:rFonts w:ascii="Times New Roman" w:hAnsi="宋体" w:eastAsia="宋体" w:cs="Times New Roman"/>
                <w:color w:val="auto"/>
                <w:kern w:val="2"/>
                <w:sz w:val="21"/>
              </w:rPr>
              <w:t>被列入中国政府采购网政府采购严重违法失信行为记录名单；</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5</w:t>
            </w:r>
            <w:r>
              <w:rPr>
                <w:rFonts w:ascii="Times New Roman" w:hAnsi="宋体" w:eastAsia="宋体" w:cs="Times New Roman"/>
                <w:color w:val="auto"/>
                <w:kern w:val="2"/>
                <w:sz w:val="21"/>
              </w:rPr>
              <w:t>）信用信息的使用规则：供应商存在不良信用记录的，其</w:t>
            </w:r>
            <w:r>
              <w:rPr>
                <w:rFonts w:hint="eastAsia" w:ascii="Times New Roman" w:hAnsi="宋体" w:eastAsia="宋体" w:cs="Times New Roman"/>
                <w:color w:val="auto"/>
                <w:kern w:val="2"/>
                <w:sz w:val="21"/>
              </w:rPr>
              <w:t>投标文件</w:t>
            </w:r>
            <w:r>
              <w:rPr>
                <w:rFonts w:ascii="Times New Roman" w:hAnsi="宋体" w:eastAsia="宋体" w:cs="Times New Roman"/>
                <w:color w:val="auto"/>
                <w:kern w:val="2"/>
                <w:sz w:val="21"/>
              </w:rPr>
              <w:t>将被拒绝。</w:t>
            </w:r>
          </w:p>
          <w:p>
            <w:pPr>
              <w:autoSpaceDE w:val="0"/>
              <w:autoSpaceDN w:val="0"/>
              <w:adjustRightInd w:val="0"/>
              <w:spacing w:line="360" w:lineRule="auto"/>
              <w:jc w:val="left"/>
              <w:rPr>
                <w:rFonts w:hint="eastAsia" w:ascii="����" w:hAnsi="����"/>
                <w:b/>
                <w:bCs/>
                <w:color w:val="auto"/>
                <w:szCs w:val="21"/>
                <w:shd w:val="clear" w:color="auto" w:fill="FFFFFF"/>
              </w:rPr>
            </w:pPr>
            <w:r>
              <w:rPr>
                <w:b/>
                <w:bCs/>
                <w:color w:val="auto"/>
              </w:rPr>
              <w:t>6</w:t>
            </w:r>
            <w:r>
              <w:rPr>
                <w:rFonts w:hAnsi="宋体"/>
                <w:b/>
                <w:bCs/>
                <w:color w:val="auto"/>
              </w:rPr>
              <w:t>）如允许联合体投标的，联合体成员存在不良信用记录视同联合体存在不良信用记录。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pStyle w:val="8"/>
              <w:snapToGrid w:val="0"/>
              <w:spacing w:before="0" w:line="360" w:lineRule="auto"/>
              <w:jc w:val="center"/>
              <w:rPr>
                <w:rFonts w:hint="eastAsia" w:ascii="Times New Roman" w:hAnsi="Times New Roman" w:eastAsia="宋体" w:cs="Times New Roman"/>
                <w:color w:val="auto"/>
                <w:kern w:val="2"/>
                <w:sz w:val="21"/>
              </w:rPr>
            </w:pPr>
            <w:r>
              <w:rPr>
                <w:rFonts w:hint="eastAsia" w:ascii="Times New Roman" w:hAnsi="Times New Roman" w:eastAsia="宋体" w:cs="Times New Roman"/>
                <w:color w:val="auto"/>
                <w:kern w:val="2"/>
                <w:sz w:val="21"/>
              </w:rPr>
              <w:t>投标人失信被执行人查询</w:t>
            </w:r>
          </w:p>
        </w:tc>
        <w:tc>
          <w:tcPr>
            <w:tcW w:w="7095" w:type="dxa"/>
            <w:noWrap w:val="0"/>
            <w:vAlign w:val="center"/>
          </w:tcPr>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宋体" w:eastAsia="宋体" w:cs="Times New Roman"/>
                <w:color w:val="auto"/>
                <w:kern w:val="2"/>
                <w:sz w:val="21"/>
              </w:rPr>
              <w:t>根据《关于</w:t>
            </w:r>
            <w:r>
              <w:rPr>
                <w:rFonts w:hint="eastAsia" w:ascii="Times New Roman" w:hAnsi="宋体" w:eastAsia="宋体" w:cs="Times New Roman"/>
                <w:color w:val="auto"/>
                <w:kern w:val="2"/>
                <w:sz w:val="21"/>
              </w:rPr>
              <w:t>在公共资源交易活动中对失信被执行人实施联合惩戒的通知</w:t>
            </w:r>
            <w:r>
              <w:rPr>
                <w:rFonts w:ascii="Times New Roman" w:hAnsi="宋体" w:eastAsia="宋体" w:cs="Times New Roman"/>
                <w:color w:val="auto"/>
                <w:kern w:val="2"/>
                <w:sz w:val="21"/>
              </w:rPr>
              <w:t>》</w:t>
            </w:r>
            <w:r>
              <w:rPr>
                <w:rFonts w:hint="eastAsia" w:ascii="Times New Roman" w:hAnsi="宋体" w:eastAsia="宋体" w:cs="Times New Roman"/>
                <w:color w:val="auto"/>
                <w:kern w:val="2"/>
                <w:sz w:val="21"/>
              </w:rPr>
              <w:t>常监管办</w:t>
            </w:r>
            <w:r>
              <w:rPr>
                <w:rFonts w:ascii="Times New Roman" w:hAnsi="Times New Roman" w:eastAsia="宋体" w:cs="Times New Roman"/>
                <w:color w:val="auto"/>
                <w:kern w:val="2"/>
                <w:sz w:val="21"/>
              </w:rPr>
              <w:t>[201</w:t>
            </w:r>
            <w:r>
              <w:rPr>
                <w:rFonts w:hint="eastAsia" w:ascii="Times New Roman" w:hAnsi="Times New Roman" w:eastAsia="宋体" w:cs="Times New Roman"/>
                <w:color w:val="auto"/>
                <w:kern w:val="2"/>
                <w:sz w:val="21"/>
              </w:rPr>
              <w:t>9</w:t>
            </w:r>
            <w:r>
              <w:rPr>
                <w:rFonts w:ascii="Times New Roman" w:hAnsi="Times New Roman" w:eastAsia="宋体" w:cs="Times New Roman"/>
                <w:color w:val="auto"/>
                <w:kern w:val="2"/>
                <w:sz w:val="21"/>
              </w:rPr>
              <w:t>]1</w:t>
            </w:r>
            <w:r>
              <w:rPr>
                <w:rFonts w:hint="eastAsia" w:ascii="Times New Roman" w:hAnsi="Times New Roman" w:eastAsia="宋体" w:cs="Times New Roman"/>
                <w:color w:val="auto"/>
                <w:kern w:val="2"/>
                <w:sz w:val="21"/>
              </w:rPr>
              <w:t>0</w:t>
            </w:r>
            <w:r>
              <w:rPr>
                <w:rFonts w:ascii="Times New Roman" w:hAnsi="宋体" w:eastAsia="宋体" w:cs="Times New Roman"/>
                <w:color w:val="auto"/>
                <w:kern w:val="2"/>
                <w:sz w:val="21"/>
              </w:rPr>
              <w:t>号的规定：</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1</w:t>
            </w:r>
            <w:r>
              <w:rPr>
                <w:rFonts w:ascii="Times New Roman" w:hAnsi="宋体" w:eastAsia="宋体" w:cs="Times New Roman"/>
                <w:color w:val="auto"/>
                <w:kern w:val="2"/>
                <w:sz w:val="21"/>
              </w:rPr>
              <w:t>）采购</w:t>
            </w:r>
            <w:r>
              <w:rPr>
                <w:rFonts w:hint="eastAsia" w:ascii="Times New Roman" w:hAnsi="宋体" w:eastAsia="宋体" w:cs="Times New Roman"/>
                <w:color w:val="auto"/>
                <w:kern w:val="2"/>
                <w:sz w:val="21"/>
              </w:rPr>
              <w:t>组织</w:t>
            </w:r>
            <w:r>
              <w:rPr>
                <w:rFonts w:ascii="Times New Roman" w:hAnsi="宋体" w:eastAsia="宋体" w:cs="Times New Roman"/>
                <w:color w:val="auto"/>
                <w:kern w:val="2"/>
                <w:sz w:val="21"/>
              </w:rPr>
              <w:t>机构将对本项目投标供应商</w:t>
            </w:r>
            <w:r>
              <w:rPr>
                <w:rFonts w:hint="eastAsia" w:ascii="Times New Roman" w:hAnsi="宋体" w:eastAsia="宋体" w:cs="Times New Roman"/>
                <w:color w:val="auto"/>
                <w:kern w:val="2"/>
                <w:sz w:val="21"/>
              </w:rPr>
              <w:t>的失信被执行</w:t>
            </w:r>
            <w:r>
              <w:rPr>
                <w:rFonts w:ascii="Times New Roman" w:hAnsi="宋体" w:eastAsia="宋体" w:cs="Times New Roman"/>
                <w:color w:val="auto"/>
                <w:kern w:val="2"/>
                <w:sz w:val="21"/>
              </w:rPr>
              <w:t>信息进行查询和甄别</w:t>
            </w:r>
            <w:r>
              <w:rPr>
                <w:rFonts w:hint="eastAsia" w:ascii="Times New Roman" w:hAnsi="宋体" w:eastAsia="宋体" w:cs="Times New Roman"/>
                <w:color w:val="auto"/>
                <w:kern w:val="2"/>
                <w:sz w:val="21"/>
              </w:rPr>
              <w:t>，通过中国执行信息公开网（http://zxgk.court.gov.cn/）查询</w:t>
            </w:r>
            <w:r>
              <w:rPr>
                <w:rFonts w:ascii="Times New Roman" w:hAnsi="宋体" w:eastAsia="宋体" w:cs="Times New Roman"/>
                <w:color w:val="auto"/>
                <w:kern w:val="2"/>
                <w:sz w:val="21"/>
              </w:rPr>
              <w:t>。</w:t>
            </w:r>
          </w:p>
          <w:p>
            <w:pPr>
              <w:pStyle w:val="8"/>
              <w:adjustRightInd w:val="0"/>
              <w:snapToGrid w:val="0"/>
              <w:spacing w:before="0" w:line="360" w:lineRule="auto"/>
              <w:rPr>
                <w:rFonts w:ascii="Times New Roman" w:hAnsi="Times New Roman" w:eastAsia="宋体" w:cs="Times New Roman"/>
                <w:color w:val="auto"/>
                <w:kern w:val="2"/>
                <w:sz w:val="21"/>
              </w:rPr>
            </w:pPr>
            <w:r>
              <w:rPr>
                <w:rFonts w:ascii="Times New Roman" w:hAnsi="Times New Roman" w:eastAsia="宋体" w:cs="Times New Roman"/>
                <w:color w:val="auto"/>
                <w:kern w:val="2"/>
                <w:sz w:val="21"/>
              </w:rPr>
              <w:t>2</w:t>
            </w:r>
            <w:r>
              <w:rPr>
                <w:rFonts w:ascii="Times New Roman" w:hAnsi="宋体" w:eastAsia="宋体" w:cs="Times New Roman"/>
                <w:color w:val="auto"/>
                <w:kern w:val="2"/>
                <w:sz w:val="21"/>
              </w:rPr>
              <w:t>）</w:t>
            </w:r>
            <w:r>
              <w:rPr>
                <w:rFonts w:hint="eastAsia" w:ascii="Times New Roman" w:hAnsi="宋体" w:eastAsia="宋体" w:cs="Times New Roman"/>
                <w:color w:val="auto"/>
                <w:kern w:val="2"/>
                <w:sz w:val="21"/>
              </w:rPr>
              <w:t>失信被执行</w:t>
            </w:r>
            <w:r>
              <w:rPr>
                <w:rFonts w:ascii="Times New Roman" w:hAnsi="宋体" w:eastAsia="宋体" w:cs="Times New Roman"/>
                <w:color w:val="auto"/>
                <w:kern w:val="2"/>
                <w:sz w:val="21"/>
              </w:rPr>
              <w:t>信息的使用规则：供应商存在</w:t>
            </w:r>
            <w:r>
              <w:rPr>
                <w:rFonts w:hint="eastAsia" w:ascii="Times New Roman" w:hAnsi="宋体" w:eastAsia="宋体" w:cs="Times New Roman"/>
                <w:color w:val="auto"/>
                <w:kern w:val="2"/>
                <w:sz w:val="21"/>
              </w:rPr>
              <w:t>失信被执行信息</w:t>
            </w:r>
            <w:r>
              <w:rPr>
                <w:rFonts w:ascii="Times New Roman" w:hAnsi="宋体" w:eastAsia="宋体" w:cs="Times New Roman"/>
                <w:color w:val="auto"/>
                <w:kern w:val="2"/>
                <w:sz w:val="21"/>
              </w:rPr>
              <w:t>的，</w:t>
            </w:r>
            <w:r>
              <w:rPr>
                <w:rFonts w:hint="eastAsia" w:ascii="Times New Roman" w:hAnsi="宋体" w:eastAsia="宋体" w:cs="Times New Roman"/>
                <w:color w:val="auto"/>
                <w:kern w:val="2"/>
                <w:sz w:val="21"/>
              </w:rPr>
              <w:t>限制参与本项目</w:t>
            </w:r>
            <w:r>
              <w:rPr>
                <w:rFonts w:ascii="Times New Roman" w:hAnsi="宋体" w:eastAsia="宋体" w:cs="Times New Roman"/>
                <w:color w:val="auto"/>
                <w:kern w:val="2"/>
                <w:sz w:val="21"/>
              </w:rPr>
              <w:t>。</w:t>
            </w:r>
          </w:p>
          <w:p>
            <w:pPr>
              <w:autoSpaceDE w:val="0"/>
              <w:autoSpaceDN w:val="0"/>
              <w:adjustRightInd w:val="0"/>
              <w:spacing w:line="360" w:lineRule="auto"/>
              <w:jc w:val="left"/>
              <w:rPr>
                <w:b/>
                <w:bCs/>
                <w:color w:val="auto"/>
              </w:rPr>
            </w:pPr>
            <w:r>
              <w:rPr>
                <w:rFonts w:hint="eastAsia"/>
                <w:b/>
                <w:bCs/>
                <w:color w:val="auto"/>
              </w:rPr>
              <w:t>3</w:t>
            </w:r>
            <w:r>
              <w:rPr>
                <w:rFonts w:hAnsi="宋体"/>
                <w:b/>
                <w:bCs/>
                <w:color w:val="auto"/>
              </w:rPr>
              <w:t>）如允许联合体</w:t>
            </w:r>
            <w:r>
              <w:rPr>
                <w:rFonts w:hint="eastAsia" w:hAnsi="宋体"/>
                <w:b/>
                <w:bCs/>
                <w:color w:val="auto"/>
              </w:rPr>
              <w:t>参加</w:t>
            </w:r>
            <w:r>
              <w:rPr>
                <w:rFonts w:hAnsi="宋体"/>
                <w:b/>
                <w:bCs/>
                <w:color w:val="auto"/>
              </w:rPr>
              <w:t>投标的，联合体成员存在</w:t>
            </w:r>
            <w:r>
              <w:rPr>
                <w:rFonts w:hint="eastAsia" w:hAnsi="宋体" w:eastAsia="宋体"/>
                <w:b/>
                <w:bCs/>
                <w:color w:val="auto"/>
              </w:rPr>
              <w:t>失信被执行</w:t>
            </w:r>
            <w:r>
              <w:rPr>
                <w:rFonts w:hAnsi="宋体" w:eastAsia="宋体"/>
                <w:b/>
                <w:bCs/>
                <w:color w:val="auto"/>
              </w:rPr>
              <w:t>信息</w:t>
            </w:r>
            <w:r>
              <w:rPr>
                <w:rFonts w:hint="eastAsia" w:hAnsi="宋体"/>
                <w:b/>
                <w:bCs/>
                <w:color w:val="auto"/>
              </w:rPr>
              <w:t>的，</w:t>
            </w:r>
            <w:r>
              <w:rPr>
                <w:rFonts w:hAnsi="宋体"/>
                <w:b/>
                <w:bCs/>
                <w:color w:val="auto"/>
              </w:rPr>
              <w:t>视同联合体存在</w:t>
            </w:r>
            <w:r>
              <w:rPr>
                <w:rFonts w:hint="eastAsia" w:hAnsi="宋体" w:eastAsia="宋体"/>
                <w:b/>
                <w:bCs/>
                <w:color w:val="auto"/>
              </w:rPr>
              <w:t>失信被执行</w:t>
            </w:r>
            <w:r>
              <w:rPr>
                <w:rFonts w:hAnsi="宋体" w:eastAsia="宋体"/>
                <w:b/>
                <w:bCs/>
                <w:color w:val="auto"/>
              </w:rPr>
              <w:t>信息</w:t>
            </w:r>
            <w:r>
              <w:rPr>
                <w:rFonts w:hint="eastAsia" w:hAnsi="宋体"/>
                <w:b/>
                <w:bCs/>
                <w:color w:val="auto"/>
              </w:rPr>
              <w:t>的</w:t>
            </w:r>
            <w:r>
              <w:rPr>
                <w:rFonts w:hAnsi="宋体"/>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pStyle w:val="8"/>
              <w:snapToGrid w:val="0"/>
              <w:spacing w:before="0" w:line="360" w:lineRule="auto"/>
              <w:jc w:val="center"/>
              <w:rPr>
                <w:rFonts w:hint="eastAsia" w:ascii="Times New Roman" w:hAnsi="Times New Roman" w:eastAsia="宋体" w:cs="Times New Roman"/>
                <w:color w:val="auto"/>
                <w:kern w:val="2"/>
                <w:sz w:val="21"/>
              </w:rPr>
            </w:pPr>
            <w:r>
              <w:rPr>
                <w:rFonts w:hint="eastAsia" w:ascii="Times New Roman" w:hAnsi="Times New Roman" w:eastAsia="宋体" w:cs="Times New Roman"/>
                <w:color w:val="auto"/>
                <w:kern w:val="2"/>
                <w:sz w:val="21"/>
              </w:rPr>
              <w:t>特别说明</w:t>
            </w:r>
          </w:p>
        </w:tc>
        <w:tc>
          <w:tcPr>
            <w:tcW w:w="7095" w:type="dxa"/>
            <w:noWrap w:val="0"/>
            <w:vAlign w:val="center"/>
          </w:tcPr>
          <w:p>
            <w:pPr>
              <w:pStyle w:val="55"/>
              <w:adjustRightInd w:val="0"/>
              <w:snapToGrid w:val="0"/>
              <w:spacing w:line="360" w:lineRule="auto"/>
              <w:ind w:firstLine="0" w:firstLineChars="0"/>
              <w:rPr>
                <w:rFonts w:hint="eastAsia"/>
                <w:b/>
                <w:bCs/>
                <w:color w:val="auto"/>
              </w:rPr>
            </w:pPr>
            <w:r>
              <w:rPr>
                <w:rFonts w:cs="Arial"/>
                <w:b/>
                <w:color w:val="auto"/>
              </w:rPr>
              <w:t>中标人应提供与电子投标文件内容一致的纸质投标文件</w:t>
            </w:r>
            <w:r>
              <w:rPr>
                <w:rFonts w:hint="eastAsia" w:cs="Arial"/>
                <w:b/>
                <w:color w:val="auto"/>
              </w:rPr>
              <w:t>（资格审查资料、技术资信文件、报价文件）</w:t>
            </w:r>
            <w:r>
              <w:rPr>
                <w:rFonts w:cs="Arial"/>
                <w:b/>
                <w:color w:val="auto"/>
              </w:rPr>
              <w:t>一正</w:t>
            </w:r>
            <w:r>
              <w:rPr>
                <w:rFonts w:hint="eastAsia" w:cs="Arial"/>
                <w:b/>
                <w:color w:val="auto"/>
              </w:rPr>
              <w:t>三</w:t>
            </w:r>
            <w:r>
              <w:rPr>
                <w:rFonts w:cs="Arial"/>
                <w:b/>
                <w:color w:val="auto"/>
              </w:rPr>
              <w:t>副</w:t>
            </w:r>
            <w:r>
              <w:rPr>
                <w:rFonts w:hint="eastAsia" w:cs="Arial"/>
                <w:b/>
                <w:color w:val="auto"/>
              </w:rPr>
              <w:t>。</w:t>
            </w:r>
            <w:r>
              <w:rPr>
                <w:rFonts w:cs="Arial"/>
                <w:b/>
                <w:color w:val="auto"/>
              </w:rPr>
              <w:t>中标人在领取中标通知书时提供纸质投标文件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70" w:type="dxa"/>
            <w:noWrap w:val="0"/>
            <w:vAlign w:val="center"/>
          </w:tcPr>
          <w:p>
            <w:pPr>
              <w:numPr>
                <w:ilvl w:val="0"/>
                <w:numId w:val="2"/>
              </w:numPr>
              <w:autoSpaceDE w:val="0"/>
              <w:autoSpaceDN w:val="0"/>
              <w:adjustRightInd w:val="0"/>
              <w:spacing w:line="400" w:lineRule="exact"/>
              <w:jc w:val="center"/>
              <w:rPr>
                <w:rFonts w:hint="eastAsia" w:ascii="宋体" w:hAnsi="宋体" w:eastAsia="宋体" w:cs="宋体"/>
                <w:b/>
                <w:bCs/>
                <w:color w:val="auto"/>
                <w:kern w:val="0"/>
                <w:szCs w:val="21"/>
              </w:rPr>
            </w:pPr>
          </w:p>
        </w:tc>
        <w:tc>
          <w:tcPr>
            <w:tcW w:w="1919" w:type="dxa"/>
            <w:noWrap w:val="0"/>
            <w:vAlign w:val="center"/>
          </w:tcPr>
          <w:p>
            <w:pPr>
              <w:pStyle w:val="8"/>
              <w:snapToGrid w:val="0"/>
              <w:spacing w:before="0" w:line="360" w:lineRule="auto"/>
              <w:jc w:val="center"/>
              <w:rPr>
                <w:rFonts w:hint="eastAsia" w:ascii="Times New Roman" w:hAnsi="Times New Roman" w:eastAsia="宋体" w:cs="Times New Roman"/>
                <w:color w:val="auto"/>
                <w:kern w:val="2"/>
                <w:sz w:val="21"/>
              </w:rPr>
            </w:pPr>
            <w:r>
              <w:rPr>
                <w:rFonts w:hint="eastAsia" w:ascii="Times New Roman" w:hAnsi="Times New Roman" w:eastAsia="宋体" w:cs="Times New Roman"/>
                <w:color w:val="auto"/>
                <w:kern w:val="2"/>
                <w:sz w:val="21"/>
              </w:rPr>
              <w:t>其他说明</w:t>
            </w:r>
          </w:p>
        </w:tc>
        <w:tc>
          <w:tcPr>
            <w:tcW w:w="7095" w:type="dxa"/>
            <w:noWrap w:val="0"/>
            <w:vAlign w:val="center"/>
          </w:tcPr>
          <w:p>
            <w:pPr>
              <w:autoSpaceDE w:val="0"/>
              <w:autoSpaceDN w:val="0"/>
              <w:adjustRightInd w:val="0"/>
              <w:spacing w:line="360" w:lineRule="auto"/>
              <w:jc w:val="left"/>
              <w:rPr>
                <w:rFonts w:eastAsia="宋体"/>
                <w:b/>
                <w:bCs/>
                <w:color w:val="auto"/>
              </w:rPr>
            </w:pPr>
            <w:r>
              <w:rPr>
                <w:rFonts w:hint="eastAsia" w:ascii="宋体" w:hAnsi="宋体" w:eastAsia="宋体" w:cs="宋体"/>
                <w:b/>
                <w:bCs/>
                <w:color w:val="auto"/>
              </w:rPr>
              <w:t>供应商应当在中标（成交）公示后15工作日内在常山县县域范围内设立售后服务机构，否则视为放弃中标（成交）资格，由排名次之的中标（成交）候选供应商替补，以此类推。</w:t>
            </w:r>
          </w:p>
        </w:tc>
      </w:tr>
    </w:tbl>
    <w:p>
      <w:pPr>
        <w:pStyle w:val="22"/>
        <w:ind w:left="0" w:leftChars="0" w:firstLine="0" w:firstLineChars="0"/>
        <w:rPr>
          <w:rFonts w:hint="eastAsia" w:ascii="宋体" w:hAnsi="宋体"/>
          <w:b/>
          <w:bCs/>
          <w:color w:val="auto"/>
        </w:rPr>
      </w:pP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pStyle w:val="5"/>
        <w:spacing w:before="0" w:after="0" w:line="400" w:lineRule="exact"/>
        <w:jc w:val="center"/>
        <w:rPr>
          <w:rFonts w:hint="eastAsia"/>
          <w:color w:val="auto"/>
        </w:rPr>
      </w:pPr>
      <w:bookmarkStart w:id="68" w:name="_Toc16502"/>
      <w:bookmarkStart w:id="69" w:name="_Toc222114877"/>
      <w:bookmarkStart w:id="70" w:name="_Toc221374624"/>
      <w:bookmarkStart w:id="71" w:name="_Toc249758862"/>
      <w:bookmarkStart w:id="72" w:name="_Toc221423617"/>
      <w:bookmarkStart w:id="73" w:name="_Toc223715996"/>
      <w:bookmarkStart w:id="74" w:name="_Toc262049416"/>
      <w:bookmarkStart w:id="75" w:name="_Toc239145352"/>
      <w:bookmarkStart w:id="76" w:name="_Toc241404200"/>
      <w:bookmarkStart w:id="77" w:name="_Toc245722279"/>
      <w:bookmarkStart w:id="78" w:name="_Toc262105501"/>
      <w:bookmarkStart w:id="79" w:name="_Toc410031814"/>
      <w:bookmarkStart w:id="80" w:name="_Toc221356884"/>
      <w:bookmarkStart w:id="81" w:name="_Toc245191312"/>
      <w:bookmarkStart w:id="82" w:name="_Toc246261263"/>
      <w:bookmarkStart w:id="83" w:name="_Toc221356949"/>
      <w:bookmarkStart w:id="84" w:name="_Toc249758710"/>
      <w:r>
        <w:rPr>
          <w:rFonts w:hint="eastAsia"/>
          <w:color w:val="auto"/>
        </w:rPr>
        <w:br w:type="page"/>
      </w:r>
      <w:r>
        <w:rPr>
          <w:rFonts w:hint="eastAsia"/>
          <w:color w:val="auto"/>
        </w:rPr>
        <w:t>一、总则</w:t>
      </w:r>
      <w:bookmarkEnd w:id="68"/>
    </w:p>
    <w:p>
      <w:pPr>
        <w:pStyle w:val="2"/>
        <w:spacing w:line="360" w:lineRule="auto"/>
        <w:ind w:left="422" w:hanging="422"/>
        <w:rPr>
          <w:rFonts w:hint="eastAsia" w:ascii="宋体" w:hAnsi="宋体" w:cs="宋体"/>
          <w:color w:val="auto"/>
          <w:sz w:val="21"/>
          <w:szCs w:val="21"/>
        </w:rPr>
      </w:pPr>
      <w:r>
        <w:rPr>
          <w:rFonts w:hint="eastAsia" w:ascii="宋体" w:hAnsi="宋体" w:cs="宋体"/>
          <w:b/>
          <w:color w:val="auto"/>
          <w:sz w:val="21"/>
          <w:szCs w:val="21"/>
        </w:rPr>
        <w:t>1、适用范围</w:t>
      </w:r>
    </w:p>
    <w:p>
      <w:pPr>
        <w:pStyle w:val="2"/>
        <w:spacing w:line="360" w:lineRule="auto"/>
        <w:ind w:left="0" w:firstLine="420" w:firstLineChars="200"/>
        <w:rPr>
          <w:rFonts w:hint="eastAsia" w:ascii="宋体" w:hAnsi="宋体" w:cs="宋体"/>
          <w:color w:val="auto"/>
          <w:kern w:val="0"/>
          <w:sz w:val="21"/>
          <w:szCs w:val="21"/>
        </w:rPr>
      </w:pPr>
      <w:r>
        <w:rPr>
          <w:rFonts w:hint="eastAsia" w:ascii="宋体" w:hAnsi="宋体" w:cs="宋体"/>
          <w:color w:val="auto"/>
          <w:sz w:val="21"/>
          <w:szCs w:val="21"/>
        </w:rPr>
        <w:t>仅适用于本次招标文件中采购项目的招标、投标、评标、定标、验收、合同履约、付款等行为（法律、法规另有规定的，从其规定）。</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2、定义解释</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2.1“采购代理机构”是指衢州联腾工程咨询有限公司。</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2.2“采购单位（单位）”是指 </w:t>
      </w:r>
      <w:r>
        <w:rPr>
          <w:rFonts w:hint="eastAsia" w:ascii="宋体" w:hAnsi="宋体" w:cs="宋体"/>
          <w:color w:val="auto"/>
          <w:sz w:val="21"/>
          <w:szCs w:val="21"/>
          <w:lang w:eastAsia="zh-CN"/>
        </w:rPr>
        <w:t>常山县市容环卫中心</w:t>
      </w:r>
      <w:r>
        <w:rPr>
          <w:rFonts w:hint="eastAsia" w:ascii="宋体" w:hAnsi="宋体" w:cs="宋体"/>
          <w:color w:val="auto"/>
          <w:sz w:val="21"/>
          <w:szCs w:val="21"/>
        </w:rPr>
        <w:t>。</w:t>
      </w:r>
    </w:p>
    <w:p>
      <w:pPr>
        <w:pStyle w:val="2"/>
        <w:spacing w:line="360" w:lineRule="auto"/>
        <w:ind w:left="420" w:hanging="420"/>
        <w:rPr>
          <w:rFonts w:hint="eastAsia" w:ascii="宋体" w:hAnsi="宋体" w:cs="宋体"/>
          <w:color w:val="auto"/>
          <w:kern w:val="0"/>
          <w:sz w:val="21"/>
          <w:szCs w:val="21"/>
        </w:rPr>
      </w:pPr>
      <w:r>
        <w:rPr>
          <w:rFonts w:hint="eastAsia" w:ascii="宋体" w:hAnsi="宋体" w:cs="宋体"/>
          <w:color w:val="auto"/>
          <w:sz w:val="21"/>
          <w:szCs w:val="21"/>
        </w:rPr>
        <w:t xml:space="preserve">    2.3“采购项目”是指本采购文件所要求的</w:t>
      </w:r>
      <w:r>
        <w:rPr>
          <w:rFonts w:hint="eastAsia" w:ascii="宋体" w:hAnsi="宋体" w:cs="宋体"/>
          <w:color w:val="auto"/>
          <w:sz w:val="21"/>
          <w:szCs w:val="21"/>
          <w:lang w:eastAsia="zh-CN"/>
        </w:rPr>
        <w:t>常山县生活垃圾填埋场渗滤液处理及渗滤液处理区运维管理项目</w:t>
      </w:r>
      <w:r>
        <w:rPr>
          <w:rFonts w:hint="eastAsia" w:ascii="宋体" w:hAnsi="宋体" w:cs="宋体"/>
          <w:color w:val="auto"/>
          <w:sz w:val="21"/>
          <w:szCs w:val="21"/>
        </w:rPr>
        <w:t>。</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2.4“投标人（供应商）”是指获得采购文件并向采购代理机构提交投标文件的投标人。</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2.5“潜在投标人（供应商）”是指符合采购文件规定的投标人。</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2.6 “中标人（成交供应商）”是指经评标委员会审查通过，并经公示无异议的投标人。</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2.7“投标人（供应商）代表”是指投标人法定代表人或投标人法定代表人授权委托的人。</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2.8“产品（货物）”是指按采购文件要求配置的一切设备、机械、仪器仪表、备品备件、工具、手册及其它有关技术资料和文字材料；</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2.9“服务”在货物类采购项目中是指采购文件规定供方须承担的货物运输、操作使用、技术支持、培训、维修保养服务；在服务类采购项目是指采购采购内容本身及相关的售后技术支持、培训服务；</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2.10“书面形式”包括纸质文件、电子邮件、信函、传真等。</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2.11实质性响应：是指投标文件相关内容符合招标（采购）文件规定的实质性内容、条款和规定。</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2.12采购文件中所有标示“▲”的均为采购单位提出的实质性条款，如未实质性响应的，将按无效投标处理。</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3、项目说明</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3.1本采购项目按照《中华人民共和国政府采购法》等有关法律、行政法规和部门规章，通过公开招标方式</w:t>
      </w:r>
    </w:p>
    <w:p>
      <w:pPr>
        <w:pStyle w:val="2"/>
        <w:spacing w:line="360" w:lineRule="auto"/>
        <w:ind w:left="0" w:firstLine="0" w:firstLineChars="0"/>
        <w:rPr>
          <w:rFonts w:hint="eastAsia" w:ascii="宋体" w:hAnsi="宋体" w:cs="宋体"/>
          <w:color w:val="auto"/>
          <w:sz w:val="21"/>
          <w:szCs w:val="21"/>
        </w:rPr>
      </w:pPr>
      <w:r>
        <w:rPr>
          <w:rFonts w:hint="eastAsia" w:ascii="宋体" w:hAnsi="宋体" w:cs="宋体"/>
          <w:color w:val="auto"/>
          <w:sz w:val="21"/>
          <w:szCs w:val="21"/>
        </w:rPr>
        <w:t>选定中标人。</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4、合格投标人的条件</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4.1凡符合本招标文件第一章招标公告投标人资格要求的均为合格的投标人。</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5、投标费用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5.1投标人应承担参加本次投标有关的全部费用，无论结果如何，采购单位和采购代理机构在任何情况下均无义务和责任承担这些费用。</w:t>
      </w:r>
    </w:p>
    <w:p>
      <w:pPr>
        <w:pStyle w:val="2"/>
        <w:numPr>
          <w:ilvl w:val="0"/>
          <w:numId w:val="4"/>
        </w:numPr>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节能环保要求</w:t>
      </w:r>
    </w:p>
    <w:p>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p>
    <w:p>
      <w:pPr>
        <w:spacing w:line="360" w:lineRule="auto"/>
        <w:ind w:firstLine="420" w:firstLineChars="200"/>
        <w:rPr>
          <w:rFonts w:hint="eastAsia"/>
          <w:color w:val="auto"/>
        </w:rPr>
      </w:pPr>
      <w:r>
        <w:rPr>
          <w:rFonts w:hint="eastAsia" w:ascii="宋体" w:hAnsi="宋体" w:cs="宋体"/>
          <w:bCs/>
          <w:color w:val="auto"/>
          <w:szCs w:val="21"/>
        </w:rPr>
        <w:t>6.2投标人提供产品如是环境标志产品，应当优先提供《关于印发环境标志产品政府采购品目清单的通知》财库〔2019〕18号内产品，涉及项目评分条款加分项时，应当提供财库〔2019〕19号文件清单，并提供国家确定的认证机构出具的、处于有效期之内的环境标志产品认证证书。</w:t>
      </w:r>
    </w:p>
    <w:p>
      <w:pPr>
        <w:spacing w:line="440" w:lineRule="exact"/>
        <w:jc w:val="left"/>
        <w:rPr>
          <w:rFonts w:hint="eastAsia" w:ascii="宋体" w:hAnsi="宋体" w:cs="宋体"/>
          <w:b/>
          <w:bCs/>
          <w:color w:val="auto"/>
          <w:szCs w:val="21"/>
        </w:rPr>
      </w:pPr>
      <w:r>
        <w:rPr>
          <w:rFonts w:hint="eastAsia" w:ascii="宋体" w:hAnsi="宋体" w:cs="宋体"/>
          <w:b/>
          <w:bCs/>
          <w:color w:val="auto"/>
          <w:szCs w:val="21"/>
        </w:rPr>
        <w:t>7、特别说明</w:t>
      </w:r>
    </w:p>
    <w:p>
      <w:pPr>
        <w:pStyle w:val="61"/>
        <w:spacing w:line="360" w:lineRule="auto"/>
        <w:ind w:firstLine="420" w:firstLineChars="200"/>
        <w:rPr>
          <w:rFonts w:hint="eastAsia"/>
          <w:color w:val="auto"/>
        </w:rPr>
      </w:pPr>
      <w:r>
        <w:rPr>
          <w:rFonts w:hint="eastAsia"/>
          <w:color w:val="auto"/>
        </w:rPr>
        <w:t>7.1投标人投标所使用的资格、信誉、荣誉、业绩与企业认证必须为投标人所拥有。投标人投标所使用的采购项目实施人员可以为其控股公司的工作人员。</w:t>
      </w:r>
    </w:p>
    <w:p>
      <w:pPr>
        <w:pStyle w:val="61"/>
        <w:spacing w:line="360" w:lineRule="auto"/>
        <w:ind w:firstLine="420" w:firstLineChars="200"/>
        <w:rPr>
          <w:rFonts w:hint="eastAsia"/>
          <w:color w:val="auto"/>
        </w:rPr>
      </w:pPr>
      <w:r>
        <w:rPr>
          <w:rFonts w:hint="eastAsia"/>
          <w:color w:val="auto"/>
        </w:rPr>
        <w:t>7.2投标人在投标活动中提供任何虚假材料或从事其他违法活动的,其投标无效，并报监管部门查处；成交后发现的,中标人须依照《中华人民共和国消费者权益保护法》规定赔偿。且民事赔偿并不免除违法投标人的行政与刑事责任。</w:t>
      </w:r>
    </w:p>
    <w:p>
      <w:pPr>
        <w:pStyle w:val="61"/>
        <w:spacing w:line="360" w:lineRule="auto"/>
        <w:ind w:firstLine="420" w:firstLineChars="200"/>
        <w:rPr>
          <w:rFonts w:hint="eastAsia"/>
          <w:color w:val="auto"/>
        </w:rPr>
      </w:pPr>
      <w:r>
        <w:rPr>
          <w:rFonts w:hint="eastAsia"/>
          <w:color w:val="auto"/>
        </w:rPr>
        <w:t>7.3投标人应仔细阅读招标文件的所有内容，按照招标文件的要求提交投标文件。投标文件应对招标文件的要求作出实质性响应，并对所提供的全部资料的真实性承担法律责任。</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7.4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非单一产品采购项目，采购单位应当根据采购项目技术构成、产品价格比重等合理确定核心产品，并在招标文件中载明。多家投标人提供的核心产品品牌相同的，按前两款规定处理。</w:t>
      </w:r>
    </w:p>
    <w:p>
      <w:pPr>
        <w:spacing w:line="440" w:lineRule="exact"/>
        <w:jc w:val="left"/>
        <w:rPr>
          <w:rFonts w:hint="eastAsia" w:ascii="宋体" w:hAnsi="宋体" w:cs="宋体"/>
          <w:b/>
          <w:bCs/>
          <w:color w:val="auto"/>
          <w:szCs w:val="21"/>
        </w:rPr>
      </w:pPr>
      <w:r>
        <w:rPr>
          <w:rFonts w:hint="eastAsia" w:ascii="宋体" w:hAnsi="宋体" w:cs="宋体"/>
          <w:b/>
          <w:bCs/>
          <w:color w:val="auto"/>
          <w:szCs w:val="21"/>
        </w:rPr>
        <w:t>8、质疑与投诉（疫情期间特别说明）</w:t>
      </w:r>
    </w:p>
    <w:p>
      <w:pPr>
        <w:pStyle w:val="11"/>
        <w:spacing w:after="0" w:line="360" w:lineRule="auto"/>
        <w:ind w:firstLineChars="200"/>
        <w:rPr>
          <w:rFonts w:hint="eastAsia" w:ascii="宋体" w:hAnsi="宋体" w:cs="宋体"/>
          <w:color w:val="auto"/>
          <w:kern w:val="0"/>
          <w:sz w:val="21"/>
          <w:szCs w:val="21"/>
        </w:rPr>
      </w:pPr>
      <w:r>
        <w:rPr>
          <w:rFonts w:hint="eastAsia" w:ascii="宋体" w:hAnsi="宋体" w:cs="宋体"/>
          <w:color w:val="auto"/>
          <w:kern w:val="0"/>
          <w:sz w:val="21"/>
          <w:szCs w:val="21"/>
        </w:rPr>
        <w:t>我省疫情应急响应终止之日前，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11"/>
        <w:spacing w:after="0" w:line="360" w:lineRule="auto"/>
        <w:ind w:firstLineChars="200"/>
        <w:rPr>
          <w:rFonts w:hint="eastAsia" w:ascii="宋体" w:hAnsi="宋体" w:cs="宋体"/>
          <w:color w:val="auto"/>
          <w:kern w:val="0"/>
          <w:sz w:val="21"/>
          <w:szCs w:val="21"/>
        </w:rPr>
      </w:pPr>
      <w:r>
        <w:rPr>
          <w:rFonts w:hint="eastAsia" w:ascii="宋体" w:hAnsi="宋体" w:cs="宋体"/>
          <w:color w:val="auto"/>
          <w:kern w:val="0"/>
          <w:sz w:val="21"/>
          <w:szCs w:val="21"/>
        </w:rPr>
        <w:t>供应商也可通过邮寄方式寄递政府采购投诉、举报材料，邮寄地址为涉及政府采购项目采购单位预算级次相应的财政部门。政府采购投诉、举报材料中须写明邮箱地址、传真号码，财政部门审查受理、处理决定等相关文书可通过电子邮件、传真等形式送达 ，供应商明确表示需要邮寄的除外。</w:t>
      </w:r>
    </w:p>
    <w:p>
      <w:pPr>
        <w:pStyle w:val="11"/>
        <w:spacing w:after="0" w:line="360" w:lineRule="auto"/>
        <w:ind w:firstLineChars="200"/>
        <w:rPr>
          <w:rFonts w:hint="eastAsia" w:ascii="宋体" w:hAnsi="宋体" w:cs="宋体"/>
          <w:color w:val="auto"/>
          <w:kern w:val="0"/>
          <w:sz w:val="21"/>
          <w:szCs w:val="21"/>
        </w:rPr>
      </w:pPr>
      <w:r>
        <w:rPr>
          <w:rFonts w:hint="eastAsia" w:ascii="宋体" w:hAnsi="宋体" w:cs="宋体"/>
          <w:color w:val="auto"/>
          <w:kern w:val="0"/>
          <w:sz w:val="21"/>
          <w:szCs w:val="21"/>
        </w:rPr>
        <w:t>在线或者邮寄政府采购投诉举报材料当日下班时间点后收到的视为下一个工作日收到。</w:t>
      </w:r>
    </w:p>
    <w:p>
      <w:pPr>
        <w:pStyle w:val="11"/>
        <w:ind w:left="-420" w:leftChars="-200" w:firstLine="0" w:firstLineChars="0"/>
        <w:rPr>
          <w:rFonts w:hint="eastAsia"/>
          <w:color w:val="auto"/>
        </w:rPr>
      </w:pP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pStyle w:val="5"/>
        <w:spacing w:before="0" w:after="0" w:line="360" w:lineRule="auto"/>
        <w:jc w:val="center"/>
        <w:rPr>
          <w:color w:val="auto"/>
        </w:rPr>
      </w:pPr>
      <w:bookmarkStart w:id="85" w:name="_Toc15395"/>
      <w:bookmarkStart w:id="86" w:name="_Toc241404201"/>
      <w:bookmarkStart w:id="87" w:name="_Toc245191313"/>
      <w:bookmarkStart w:id="88" w:name="_Toc410031815"/>
      <w:bookmarkStart w:id="89" w:name="_Toc249758711"/>
      <w:bookmarkStart w:id="90" w:name="_Toc262105502"/>
      <w:bookmarkStart w:id="91" w:name="_Toc222114878"/>
      <w:bookmarkStart w:id="92" w:name="_Toc223715997"/>
      <w:bookmarkStart w:id="93" w:name="_Toc262049417"/>
      <w:bookmarkStart w:id="94" w:name="_Toc221356950"/>
      <w:bookmarkStart w:id="95" w:name="_Toc221374625"/>
      <w:bookmarkStart w:id="96" w:name="_Toc221356885"/>
      <w:bookmarkStart w:id="97" w:name="_Toc245722280"/>
      <w:bookmarkStart w:id="98" w:name="_Toc239145353"/>
      <w:bookmarkStart w:id="99" w:name="_Toc249758863"/>
      <w:bookmarkStart w:id="100" w:name="_Toc221423618"/>
      <w:bookmarkStart w:id="101" w:name="_Toc246261264"/>
      <w:r>
        <w:rPr>
          <w:color w:val="auto"/>
        </w:rPr>
        <w:t>二</w:t>
      </w:r>
      <w:r>
        <w:rPr>
          <w:rFonts w:hint="eastAsia"/>
          <w:color w:val="auto"/>
        </w:rPr>
        <w:t>、招标文件</w:t>
      </w:r>
      <w:bookmarkEnd w:id="85"/>
    </w:p>
    <w:p>
      <w:pPr>
        <w:pStyle w:val="2"/>
        <w:spacing w:line="360" w:lineRule="auto"/>
        <w:ind w:left="422" w:hanging="422"/>
        <w:rPr>
          <w:rFonts w:hint="eastAsia" w:ascii="宋体" w:hAnsi="宋体" w:cs="宋体"/>
          <w:b/>
          <w:color w:val="auto"/>
          <w:sz w:val="21"/>
          <w:szCs w:val="21"/>
        </w:rPr>
      </w:pPr>
      <w:bookmarkStart w:id="102" w:name="_Toc1105"/>
      <w:r>
        <w:rPr>
          <w:rFonts w:hint="eastAsia" w:ascii="宋体" w:hAnsi="宋体" w:cs="宋体"/>
          <w:b/>
          <w:color w:val="auto"/>
          <w:sz w:val="21"/>
          <w:szCs w:val="21"/>
        </w:rPr>
        <w:t>1、招标文件的组成</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1.1招标文件由以下部分组成：</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第一章 招标公告</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第二章 投标人须知</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第三章 招标内容及要求</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第四章 合同样本</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第五章 评标原则及办法</w:t>
      </w:r>
    </w:p>
    <w:p>
      <w:pPr>
        <w:pStyle w:val="2"/>
        <w:spacing w:line="360" w:lineRule="auto"/>
        <w:ind w:left="420" w:leftChars="200" w:firstLine="0" w:firstLineChars="0"/>
        <w:rPr>
          <w:rFonts w:hint="eastAsia" w:ascii="宋体" w:hAnsi="宋体" w:cs="宋体"/>
          <w:color w:val="auto"/>
          <w:sz w:val="21"/>
          <w:szCs w:val="21"/>
        </w:rPr>
      </w:pPr>
      <w:r>
        <w:rPr>
          <w:rFonts w:hint="eastAsia" w:ascii="宋体" w:hAnsi="宋体" w:cs="宋体"/>
          <w:color w:val="auto"/>
          <w:sz w:val="21"/>
          <w:szCs w:val="21"/>
        </w:rPr>
        <w:t>第六章 投标文件格式</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1.2除上条1.1内容外，采购单位、采购代理机构在规定时间前，以书面形式发出的对招标文件的澄清或修改内容，均为招标文件的组成部分。</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2、招标文件的澄清与修改</w:t>
      </w:r>
    </w:p>
    <w:p>
      <w:pPr>
        <w:pStyle w:val="13"/>
        <w:snapToGrid w:val="0"/>
        <w:spacing w:line="360" w:lineRule="auto"/>
        <w:ind w:firstLine="420" w:firstLineChars="200"/>
        <w:rPr>
          <w:rFonts w:hAnsi="宋体"/>
          <w:color w:val="auto"/>
        </w:rPr>
      </w:pPr>
      <w:r>
        <w:rPr>
          <w:rFonts w:hint="eastAsia" w:hAnsi="宋体"/>
          <w:color w:val="auto"/>
        </w:rPr>
        <w:t>2.1</w:t>
      </w:r>
      <w:r>
        <w:rPr>
          <w:rFonts w:hAnsi="宋体"/>
          <w:bCs/>
          <w:color w:val="auto"/>
        </w:rPr>
        <w:t>投标人应认真阅读本招标文件，发现其中有误或有不合理要求的，投标人</w:t>
      </w:r>
      <w:r>
        <w:rPr>
          <w:rFonts w:hint="eastAsia" w:hAnsi="宋体"/>
          <w:bCs/>
          <w:color w:val="auto"/>
        </w:rPr>
        <w:t>应当自知道或者应当知道其合法权益受到损害之日起七个工作日内</w:t>
      </w:r>
      <w:r>
        <w:rPr>
          <w:rFonts w:hAnsi="宋体"/>
          <w:bCs/>
          <w:color w:val="auto"/>
        </w:rPr>
        <w:t>以书面形式</w:t>
      </w:r>
      <w:r>
        <w:rPr>
          <w:rFonts w:hint="eastAsia" w:hAnsi="宋体"/>
          <w:bCs/>
          <w:color w:val="auto"/>
        </w:rPr>
        <w:t>向采购单位、采购代理机构提出质疑</w:t>
      </w:r>
      <w:r>
        <w:rPr>
          <w:rFonts w:hAnsi="宋体"/>
          <w:color w:val="auto"/>
        </w:rPr>
        <w:t>。</w:t>
      </w:r>
      <w:r>
        <w:rPr>
          <w:rFonts w:hint="eastAsia" w:hAnsi="宋体"/>
          <w:color w:val="auto"/>
        </w:rPr>
        <w:t>采购单位或采购代理机构</w:t>
      </w:r>
      <w:r>
        <w:rPr>
          <w:rFonts w:hAnsi="宋体"/>
          <w:color w:val="auto"/>
        </w:rPr>
        <w:t>对已发出的招标文件进行必要澄清、答复、修改或补充的，</w:t>
      </w:r>
      <w:r>
        <w:rPr>
          <w:rFonts w:hint="eastAsia" w:hAnsi="宋体"/>
          <w:color w:val="auto"/>
        </w:rPr>
        <w:t>在</w:t>
      </w:r>
      <w:r>
        <w:rPr>
          <w:color w:val="auto"/>
          <w:spacing w:val="-4"/>
        </w:rPr>
        <w:t>原公告发布媒体上</w:t>
      </w:r>
      <w:r>
        <w:rPr>
          <w:rFonts w:hAnsi="宋体"/>
          <w:color w:val="auto"/>
        </w:rPr>
        <w:t>发布</w:t>
      </w:r>
      <w:r>
        <w:rPr>
          <w:rFonts w:hint="eastAsia" w:hAnsi="宋体"/>
          <w:color w:val="auto"/>
        </w:rPr>
        <w:t>澄清（</w:t>
      </w:r>
      <w:r>
        <w:rPr>
          <w:rFonts w:hAnsi="宋体"/>
          <w:color w:val="auto"/>
        </w:rPr>
        <w:t>更正</w:t>
      </w:r>
      <w:r>
        <w:rPr>
          <w:rFonts w:hint="eastAsia" w:hAnsi="宋体"/>
          <w:color w:val="auto"/>
        </w:rPr>
        <w:t>）</w:t>
      </w:r>
      <w:r>
        <w:rPr>
          <w:rFonts w:hAnsi="宋体"/>
          <w:color w:val="auto"/>
        </w:rPr>
        <w:t>公告</w:t>
      </w:r>
      <w:r>
        <w:rPr>
          <w:rFonts w:hint="eastAsia" w:hAnsi="宋体"/>
          <w:color w:val="auto"/>
        </w:rPr>
        <w:t>。澄清或者修改的内容可能影响投标文件编制的，应当在投标截止时间至少15日前，以书面形式通知所有获取招标文件的潜在投标人；不足15日的，将顺延提交投标文件的截止时间。</w:t>
      </w:r>
    </w:p>
    <w:p>
      <w:pPr>
        <w:pStyle w:val="13"/>
        <w:snapToGrid w:val="0"/>
        <w:spacing w:line="360" w:lineRule="auto"/>
        <w:ind w:firstLine="420" w:firstLineChars="200"/>
        <w:rPr>
          <w:rFonts w:hAnsi="宋体"/>
          <w:color w:val="auto"/>
        </w:rPr>
      </w:pPr>
      <w:r>
        <w:rPr>
          <w:rFonts w:hAnsi="宋体"/>
          <w:color w:val="auto"/>
        </w:rPr>
        <w:t>2</w:t>
      </w:r>
      <w:r>
        <w:rPr>
          <w:rFonts w:hint="eastAsia" w:hAnsi="宋体"/>
          <w:color w:val="auto"/>
        </w:rPr>
        <w:t>.2采购单位、采购代理机构</w:t>
      </w:r>
      <w:r>
        <w:rPr>
          <w:rFonts w:hAnsi="宋体"/>
          <w:color w:val="auto"/>
        </w:rPr>
        <w:t>必须以书面形式答复投标人要求澄清的问题，并将不包含问题来源的答复书面通知所有购买招标文件的投标人；除书面答复以外的其他澄清方式及澄清内容均无效。</w:t>
      </w:r>
    </w:p>
    <w:p>
      <w:pPr>
        <w:pStyle w:val="13"/>
        <w:snapToGrid w:val="0"/>
        <w:spacing w:line="360" w:lineRule="auto"/>
        <w:ind w:firstLine="420" w:firstLineChars="200"/>
        <w:rPr>
          <w:rFonts w:hAnsi="宋体"/>
          <w:color w:val="auto"/>
        </w:rPr>
      </w:pPr>
      <w:r>
        <w:rPr>
          <w:rFonts w:hint="eastAsia" w:hAnsi="宋体"/>
          <w:color w:val="auto"/>
        </w:rPr>
        <w:t>2.3</w:t>
      </w:r>
      <w:r>
        <w:rPr>
          <w:rFonts w:hAnsi="宋体"/>
          <w:color w:val="auto"/>
        </w:rPr>
        <w:t>招标文件澄清、答复、修改、补充的内容为招标文件的组成部分。当招标文件与招标文件的答复、澄清、修改、补充通知就同一内容的表述不一致时，以最后发出的书面文件为准。</w:t>
      </w:r>
    </w:p>
    <w:p>
      <w:pPr>
        <w:pStyle w:val="5"/>
        <w:spacing w:before="0" w:after="0" w:line="360" w:lineRule="auto"/>
        <w:jc w:val="center"/>
        <w:rPr>
          <w:color w:val="auto"/>
        </w:rPr>
      </w:pPr>
      <w:r>
        <w:rPr>
          <w:color w:val="auto"/>
        </w:rPr>
        <w:t>三</w:t>
      </w:r>
      <w:r>
        <w:rPr>
          <w:rFonts w:hint="eastAsia"/>
          <w:color w:val="auto"/>
        </w:rPr>
        <w:t>、</w:t>
      </w:r>
      <w:r>
        <w:rPr>
          <w:color w:val="auto"/>
        </w:rPr>
        <w:t>投标文件</w:t>
      </w:r>
      <w:bookmarkEnd w:id="102"/>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1、投标文件的语言及度量衡单位</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1.1除采购货物有关专用名称外，投标文件和与投标有关的所有文件说明均应使用中文。</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1.2除采购项目规范另有规定外，投标文件使用的度量衡单位，均采用中华人民共和国法定计量单位。</w:t>
      </w:r>
    </w:p>
    <w:p>
      <w:pPr>
        <w:snapToGrid w:val="0"/>
        <w:spacing w:line="360" w:lineRule="auto"/>
        <w:rPr>
          <w:rFonts w:hint="eastAsia" w:ascii="宋体" w:hAnsi="宋体" w:cs="宋体"/>
          <w:color w:val="auto"/>
          <w:szCs w:val="21"/>
        </w:rPr>
      </w:pPr>
      <w:r>
        <w:rPr>
          <w:rFonts w:hint="eastAsia" w:ascii="宋体" w:hAnsi="宋体" w:cs="宋体"/>
          <w:b/>
          <w:color w:val="auto"/>
          <w:szCs w:val="21"/>
        </w:rPr>
        <w:t>2、响应文件的形式和效力</w:t>
      </w:r>
    </w:p>
    <w:p>
      <w:pPr>
        <w:snapToGrid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2.1响应文件</w:t>
      </w:r>
      <w:r>
        <w:rPr>
          <w:rFonts w:hint="eastAsia" w:ascii="宋体" w:hAnsi="宋体" w:cs="宋体"/>
          <w:b/>
          <w:bCs/>
          <w:color w:val="auto"/>
          <w:szCs w:val="21"/>
        </w:rPr>
        <w:t>按政府采购云平台</w:t>
      </w:r>
      <w:r>
        <w:rPr>
          <w:rFonts w:hint="eastAsia" w:ascii="宋体" w:hAnsi="宋体" w:cs="Arial"/>
          <w:b/>
          <w:bCs/>
          <w:color w:val="auto"/>
          <w:kern w:val="0"/>
          <w:szCs w:val="21"/>
        </w:rPr>
        <w:t>“供应商-政府采购项目电子交易操作指南”</w:t>
      </w:r>
      <w:r>
        <w:rPr>
          <w:rFonts w:hint="eastAsia" w:ascii="宋体" w:hAnsi="宋体" w:cs="宋体"/>
          <w:b/>
          <w:color w:val="auto"/>
          <w:szCs w:val="21"/>
        </w:rPr>
        <w:t>及本招标文件要求制作、加密并递交。</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3、投标文件的组成</w:t>
      </w:r>
    </w:p>
    <w:p>
      <w:pPr>
        <w:tabs>
          <w:tab w:val="left" w:pos="0"/>
          <w:tab w:val="left" w:pos="900"/>
          <w:tab w:val="left" w:pos="7020"/>
          <w:tab w:val="left" w:pos="8460"/>
        </w:tabs>
        <w:snapToGrid w:val="0"/>
        <w:spacing w:line="500" w:lineRule="exact"/>
        <w:ind w:firstLine="422" w:firstLineChars="200"/>
        <w:rPr>
          <w:rFonts w:hint="eastAsia" w:ascii="宋体" w:hAnsi="宋体" w:cs="宋体"/>
          <w:b/>
          <w:bCs/>
          <w:color w:val="auto"/>
          <w:szCs w:val="21"/>
        </w:rPr>
      </w:pPr>
      <w:r>
        <w:rPr>
          <w:rFonts w:hint="eastAsia" w:ascii="宋体" w:hAnsi="宋体" w:cs="宋体"/>
          <w:b/>
          <w:bCs/>
          <w:color w:val="auto"/>
          <w:szCs w:val="21"/>
        </w:rPr>
        <w:t>2.1投标文件由资格审查资料、技术资信文件、报价文件三部分组成。响应文件中所须加盖公章部分均采用CA签章。</w:t>
      </w:r>
    </w:p>
    <w:p>
      <w:pPr>
        <w:pStyle w:val="2"/>
        <w:spacing w:line="440" w:lineRule="exact"/>
        <w:ind w:left="422" w:hanging="422"/>
        <w:rPr>
          <w:rFonts w:hint="eastAsia" w:ascii="宋体" w:hAnsi="宋体" w:cs="宋体"/>
          <w:b/>
          <w:bCs/>
          <w:color w:val="auto"/>
          <w:sz w:val="21"/>
          <w:szCs w:val="21"/>
        </w:rPr>
      </w:pPr>
      <w:r>
        <w:rPr>
          <w:rFonts w:hint="eastAsia" w:ascii="宋体" w:hAnsi="宋体" w:cs="宋体"/>
          <w:b/>
          <w:bCs/>
          <w:color w:val="auto"/>
          <w:sz w:val="21"/>
          <w:szCs w:val="21"/>
        </w:rPr>
        <w:t xml:space="preserve">    1、资格审查资料的组成：</w:t>
      </w:r>
    </w:p>
    <w:p>
      <w:pPr>
        <w:tabs>
          <w:tab w:val="left" w:pos="720"/>
          <w:tab w:val="left" w:pos="5355"/>
        </w:tabs>
        <w:spacing w:line="440" w:lineRule="exact"/>
        <w:ind w:left="420" w:leftChars="200"/>
        <w:rPr>
          <w:rFonts w:hint="eastAsia" w:ascii="宋体" w:hAnsi="宋体" w:cs="宋体"/>
          <w:color w:val="auto"/>
          <w:szCs w:val="21"/>
        </w:rPr>
      </w:pPr>
      <w:r>
        <w:rPr>
          <w:rFonts w:hint="eastAsia" w:ascii="宋体" w:hAnsi="宋体" w:cs="宋体"/>
          <w:color w:val="auto"/>
          <w:szCs w:val="21"/>
        </w:rPr>
        <w:t>1）有效期内的营业执照扫描件；</w:t>
      </w:r>
    </w:p>
    <w:p>
      <w:p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w:t>
      </w:r>
      <w:r>
        <w:rPr>
          <w:color w:val="auto"/>
          <w:spacing w:val="-4"/>
        </w:rPr>
        <w:t>法定代表人身份证明</w:t>
      </w:r>
      <w:r>
        <w:rPr>
          <w:rFonts w:hint="eastAsia" w:ascii="宋体" w:hAnsi="宋体" w:cs="宋体"/>
          <w:color w:val="auto"/>
          <w:szCs w:val="21"/>
        </w:rPr>
        <w:t>【格式见附件】</w:t>
      </w:r>
      <w:r>
        <w:rPr>
          <w:color w:val="auto"/>
          <w:spacing w:val="-3"/>
        </w:rPr>
        <w:t>（</w:t>
      </w:r>
      <w:r>
        <w:rPr>
          <w:rFonts w:hint="eastAsia"/>
          <w:color w:val="auto"/>
          <w:spacing w:val="-3"/>
        </w:rPr>
        <w:t>供应商代表为</w:t>
      </w:r>
      <w:r>
        <w:rPr>
          <w:color w:val="auto"/>
          <w:spacing w:val="-3"/>
        </w:rPr>
        <w:t>法定代表人</w:t>
      </w:r>
      <w:r>
        <w:rPr>
          <w:rFonts w:hint="eastAsia"/>
          <w:color w:val="auto"/>
          <w:spacing w:val="-3"/>
        </w:rPr>
        <w:t>时</w:t>
      </w:r>
      <w:r>
        <w:rPr>
          <w:color w:val="auto"/>
          <w:spacing w:val="-3"/>
        </w:rPr>
        <w:t>提供</w:t>
      </w:r>
      <w:r>
        <w:rPr>
          <w:color w:val="auto"/>
          <w:spacing w:val="-25"/>
        </w:rPr>
        <w:t>）</w:t>
      </w:r>
      <w:r>
        <w:rPr>
          <w:color w:val="auto"/>
          <w:spacing w:val="-5"/>
        </w:rPr>
        <w:t>或法定代表人授权委托书</w:t>
      </w:r>
      <w:r>
        <w:rPr>
          <w:rFonts w:hint="eastAsia" w:ascii="宋体" w:hAnsi="宋体" w:cs="宋体"/>
          <w:color w:val="auto"/>
          <w:szCs w:val="21"/>
        </w:rPr>
        <w:t>【格式见附件】</w:t>
      </w:r>
      <w:r>
        <w:rPr>
          <w:color w:val="auto"/>
          <w:spacing w:val="-3"/>
        </w:rPr>
        <w:t>（</w:t>
      </w:r>
      <w:r>
        <w:rPr>
          <w:rFonts w:hint="eastAsia"/>
          <w:color w:val="auto"/>
          <w:spacing w:val="-3"/>
        </w:rPr>
        <w:t>供应商代表为授权委托人时</w:t>
      </w:r>
      <w:r>
        <w:rPr>
          <w:color w:val="auto"/>
          <w:spacing w:val="-3"/>
        </w:rPr>
        <w:t>提供</w:t>
      </w:r>
      <w:r>
        <w:rPr>
          <w:color w:val="auto"/>
        </w:rPr>
        <w:t>）</w:t>
      </w:r>
      <w:r>
        <w:rPr>
          <w:rFonts w:hint="eastAsia" w:ascii="宋体" w:hAnsi="宋体" w:cs="宋体"/>
          <w:color w:val="auto"/>
          <w:szCs w:val="21"/>
        </w:rPr>
        <w:t>；</w:t>
      </w:r>
    </w:p>
    <w:p>
      <w:p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2020或2021年</w:t>
      </w:r>
      <w:r>
        <w:rPr>
          <w:rFonts w:hint="eastAsia" w:ascii="宋体" w:hAnsi="宋体" w:cs="宋体"/>
          <w:color w:val="auto"/>
          <w:szCs w:val="21"/>
        </w:rPr>
        <w:t>度的财务报表】</w:t>
      </w:r>
      <w:r>
        <w:rPr>
          <w:rFonts w:hint="eastAsia" w:ascii="宋体" w:hAnsi="宋体" w:cs="宋体"/>
          <w:color w:val="auto"/>
          <w:szCs w:val="21"/>
          <w:highlight w:val="cyan"/>
        </w:rPr>
        <w:t>或</w:t>
      </w:r>
      <w:r>
        <w:rPr>
          <w:rFonts w:hint="eastAsia" w:ascii="宋体" w:hAnsi="宋体" w:cs="宋体"/>
          <w:color w:val="auto"/>
          <w:szCs w:val="21"/>
        </w:rPr>
        <w:t>【经审计的</w:t>
      </w:r>
      <w:r>
        <w:rPr>
          <w:rFonts w:hint="eastAsia" w:ascii="宋体" w:hAnsi="宋体" w:cs="宋体"/>
          <w:color w:val="auto"/>
          <w:szCs w:val="21"/>
          <w:lang w:eastAsia="zh-CN"/>
        </w:rPr>
        <w:t>2020或2021年</w:t>
      </w:r>
      <w:r>
        <w:rPr>
          <w:rFonts w:hint="eastAsia" w:ascii="宋体" w:hAnsi="宋体" w:cs="宋体"/>
          <w:color w:val="auto"/>
          <w:szCs w:val="21"/>
        </w:rPr>
        <w:t>度的财务报告扫描件】，新成立公司（自成立至投标截止时间未满一周年的）出具银行资信证明扫描件；</w:t>
      </w:r>
    </w:p>
    <w:p>
      <w:pPr>
        <w:numPr>
          <w:ilvl w:val="0"/>
          <w:numId w:val="5"/>
        </w:num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年任意一个月社保费缴纳的证明</w:t>
      </w:r>
      <w:r>
        <w:rPr>
          <w:rFonts w:hint="eastAsia" w:ascii="宋体" w:hAnsi="宋体" w:cs="宋体"/>
          <w:b/>
          <w:bCs/>
          <w:color w:val="auto"/>
          <w:szCs w:val="21"/>
        </w:rPr>
        <w:t>（可以为税务或社保机构官方网站查询结果）】</w:t>
      </w:r>
    </w:p>
    <w:p>
      <w:pPr>
        <w:numPr>
          <w:ilvl w:val="0"/>
          <w:numId w:val="5"/>
        </w:numPr>
        <w:tabs>
          <w:tab w:val="left" w:pos="720"/>
          <w:tab w:val="left" w:pos="5355"/>
        </w:tabs>
        <w:spacing w:line="440" w:lineRule="exact"/>
        <w:ind w:firstLine="422" w:firstLineChars="200"/>
        <w:rPr>
          <w:rFonts w:hint="eastAsia"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年任意一个月依法缴纳税收的证明或者《依法纳税或依法免税证明》</w:t>
      </w:r>
      <w:r>
        <w:rPr>
          <w:rFonts w:hint="eastAsia" w:ascii="宋体" w:hAnsi="宋体" w:cs="宋体"/>
          <w:b/>
          <w:bCs/>
          <w:color w:val="auto"/>
          <w:szCs w:val="21"/>
        </w:rPr>
        <w:t>（可以为税务机构官方网站查询结果）】；</w:t>
      </w:r>
    </w:p>
    <w:p>
      <w:p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）具有履行合同所必</w:t>
      </w:r>
      <w:r>
        <w:rPr>
          <w:rFonts w:hint="eastAsia" w:ascii="宋体" w:hAnsi="宋体" w:cs="宋体"/>
          <w:color w:val="auto"/>
          <w:szCs w:val="21"/>
          <w:lang w:eastAsia="zh-CN"/>
        </w:rPr>
        <w:t>需</w:t>
      </w:r>
      <w:r>
        <w:rPr>
          <w:rFonts w:hint="eastAsia" w:ascii="宋体" w:hAnsi="宋体" w:cs="宋体"/>
          <w:color w:val="auto"/>
          <w:szCs w:val="21"/>
        </w:rPr>
        <w:t>的设备和专业技术能力的承诺函【格式见附件】；</w:t>
      </w:r>
    </w:p>
    <w:p>
      <w:pPr>
        <w:tabs>
          <w:tab w:val="left" w:pos="720"/>
          <w:tab w:val="left" w:pos="5355"/>
        </w:tabs>
        <w:spacing w:line="360" w:lineRule="auto"/>
        <w:ind w:firstLine="420" w:firstLineChars="200"/>
        <w:rPr>
          <w:rFonts w:hint="eastAsia" w:eastAsia="宋体"/>
          <w:color w:val="auto"/>
          <w:lang w:val="en-US" w:eastAsia="zh-CN"/>
        </w:rPr>
      </w:pPr>
      <w:r>
        <w:rPr>
          <w:rFonts w:hint="eastAsia" w:ascii="宋体" w:hAnsi="宋体" w:cs="宋体"/>
          <w:color w:val="auto"/>
          <w:szCs w:val="21"/>
          <w:lang w:val="en-US" w:eastAsia="zh-CN"/>
        </w:rPr>
        <w:t>7</w:t>
      </w:r>
      <w:r>
        <w:rPr>
          <w:rFonts w:hint="eastAsia" w:ascii="宋体" w:hAnsi="宋体" w:cs="宋体"/>
          <w:color w:val="auto"/>
          <w:szCs w:val="21"/>
        </w:rPr>
        <w:t>）参加本次政府采购活动前三年内，在经营活动中无重大违法记录承诺函【格式见附件】；</w:t>
      </w:r>
    </w:p>
    <w:p>
      <w:pPr>
        <w:tabs>
          <w:tab w:val="left" w:pos="720"/>
          <w:tab w:val="left" w:pos="5355"/>
        </w:tabs>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highlight w:val="cyan"/>
        </w:rPr>
        <w:t>注：资格审查资料应包含以上所有内容，投标人的提供资格审查资料不完整或不符合招标文件要求的，则资格审查不予通过。</w:t>
      </w:r>
    </w:p>
    <w:p>
      <w:pPr>
        <w:pStyle w:val="2"/>
        <w:spacing w:line="360" w:lineRule="auto"/>
        <w:ind w:left="422" w:hanging="422"/>
        <w:rPr>
          <w:rFonts w:hint="eastAsia" w:ascii="宋体" w:hAnsi="宋体" w:cs="宋体"/>
          <w:b/>
          <w:bCs/>
          <w:color w:val="auto"/>
          <w:sz w:val="21"/>
          <w:szCs w:val="21"/>
        </w:rPr>
      </w:pPr>
      <w:r>
        <w:rPr>
          <w:rFonts w:hint="eastAsia" w:ascii="宋体" w:hAnsi="宋体" w:cs="宋体"/>
          <w:b/>
          <w:bCs/>
          <w:color w:val="auto"/>
          <w:sz w:val="21"/>
          <w:szCs w:val="21"/>
        </w:rPr>
        <w:t xml:space="preserve">    2、技术资信文件（请附“供应商自评表”【格式见附件】，以便评审）：</w:t>
      </w:r>
    </w:p>
    <w:p>
      <w:pPr>
        <w:pStyle w:val="2"/>
        <w:spacing w:line="360" w:lineRule="auto"/>
        <w:ind w:left="422" w:hanging="422"/>
        <w:rPr>
          <w:rFonts w:hint="eastAsia" w:ascii="宋体" w:hAnsi="宋体" w:cs="宋体"/>
          <w:color w:val="auto"/>
          <w:szCs w:val="21"/>
        </w:rPr>
      </w:pPr>
      <w:r>
        <w:rPr>
          <w:rFonts w:hint="eastAsia" w:ascii="宋体" w:hAnsi="宋体" w:cs="宋体"/>
          <w:b/>
          <w:color w:val="auto"/>
          <w:sz w:val="21"/>
          <w:szCs w:val="21"/>
        </w:rPr>
        <w:t xml:space="preserve">    （1）资信部分</w:t>
      </w:r>
    </w:p>
    <w:p>
      <w:pPr>
        <w:tabs>
          <w:tab w:val="left" w:pos="720"/>
          <w:tab w:val="left" w:pos="5355"/>
        </w:tabs>
        <w:spacing w:line="360" w:lineRule="auto"/>
        <w:ind w:left="420" w:leftChars="200"/>
        <w:rPr>
          <w:rFonts w:hint="eastAsia" w:ascii="宋体" w:hAnsi="宋体" w:cs="宋体"/>
          <w:color w:val="auto"/>
          <w:szCs w:val="21"/>
        </w:rPr>
      </w:pPr>
      <w:r>
        <w:rPr>
          <w:rFonts w:hint="eastAsia" w:ascii="宋体" w:hAnsi="宋体" w:cs="宋体"/>
          <w:color w:val="auto"/>
          <w:szCs w:val="21"/>
        </w:rPr>
        <w:t>1）投标声明书【格式见附件】；</w:t>
      </w:r>
    </w:p>
    <w:p>
      <w:pPr>
        <w:tabs>
          <w:tab w:val="left" w:pos="720"/>
          <w:tab w:val="left" w:pos="5355"/>
        </w:tabs>
        <w:spacing w:line="360" w:lineRule="auto"/>
        <w:ind w:left="420" w:leftChars="200"/>
        <w:rPr>
          <w:rFonts w:hint="eastAsia" w:ascii="宋体" w:hAnsi="宋体" w:cs="宋体"/>
          <w:color w:val="auto"/>
          <w:szCs w:val="21"/>
        </w:rPr>
      </w:pPr>
      <w:r>
        <w:rPr>
          <w:rFonts w:hint="eastAsia" w:ascii="宋体" w:hAnsi="宋体" w:cs="宋体"/>
          <w:color w:val="auto"/>
          <w:szCs w:val="21"/>
        </w:rPr>
        <w:t>2）</w:t>
      </w:r>
      <w:r>
        <w:rPr>
          <w:color w:val="auto"/>
          <w:spacing w:val="-3"/>
        </w:rPr>
        <w:t>投标人基本情况表</w:t>
      </w:r>
      <w:r>
        <w:rPr>
          <w:rFonts w:hint="eastAsia" w:ascii="宋体" w:hAnsi="宋体" w:cs="宋体"/>
          <w:color w:val="auto"/>
          <w:szCs w:val="21"/>
        </w:rPr>
        <w:t>【格式见附件】；</w:t>
      </w:r>
    </w:p>
    <w:p>
      <w:pPr>
        <w:tabs>
          <w:tab w:val="left" w:pos="720"/>
          <w:tab w:val="left" w:pos="5355"/>
        </w:tabs>
        <w:spacing w:line="360" w:lineRule="auto"/>
        <w:ind w:firstLine="421"/>
        <w:rPr>
          <w:rFonts w:hint="eastAsia" w:ascii="宋体" w:hAnsi="宋体" w:eastAsia="宋体" w:cs="宋体"/>
          <w:color w:val="auto"/>
          <w:szCs w:val="21"/>
        </w:rPr>
      </w:pPr>
      <w:r>
        <w:rPr>
          <w:rFonts w:hint="eastAsia" w:ascii="宋体" w:hAnsi="宋体" w:eastAsia="宋体" w:cs="宋体"/>
          <w:color w:val="auto"/>
          <w:szCs w:val="21"/>
        </w:rPr>
        <w:t>3）业绩；</w:t>
      </w:r>
    </w:p>
    <w:p>
      <w:pPr>
        <w:tabs>
          <w:tab w:val="left" w:pos="720"/>
          <w:tab w:val="left" w:pos="5355"/>
        </w:tabs>
        <w:spacing w:line="360" w:lineRule="auto"/>
        <w:ind w:firstLine="421"/>
        <w:rPr>
          <w:rFonts w:hint="eastAsia" w:ascii="宋体" w:hAnsi="宋体" w:eastAsia="宋体" w:cs="宋体"/>
          <w:color w:val="auto"/>
          <w:szCs w:val="21"/>
        </w:rPr>
      </w:pPr>
      <w:r>
        <w:rPr>
          <w:rFonts w:hint="eastAsia" w:ascii="宋体" w:hAnsi="宋体" w:eastAsia="宋体" w:cs="宋体"/>
          <w:color w:val="auto"/>
          <w:szCs w:val="21"/>
        </w:rPr>
        <w:t>4）企业认证；</w:t>
      </w:r>
    </w:p>
    <w:p>
      <w:pPr>
        <w:tabs>
          <w:tab w:val="left" w:pos="720"/>
          <w:tab w:val="left" w:pos="5355"/>
        </w:tabs>
        <w:spacing w:line="360" w:lineRule="auto"/>
        <w:ind w:firstLine="421"/>
        <w:rPr>
          <w:rFonts w:hint="eastAsia" w:ascii="宋体" w:hAnsi="宋体" w:cs="宋体"/>
          <w:b/>
          <w:bCs/>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）投标人认为有必要提供的其他文件和说明（格式自拟）。</w:t>
      </w:r>
    </w:p>
    <w:p>
      <w:pPr>
        <w:pStyle w:val="22"/>
        <w:ind w:left="842" w:hanging="422"/>
        <w:rPr>
          <w:rFonts w:hint="eastAsia"/>
          <w:b/>
          <w:bCs/>
          <w:color w:val="auto"/>
        </w:rPr>
      </w:pPr>
      <w:r>
        <w:rPr>
          <w:rFonts w:hint="eastAsia"/>
          <w:b/>
          <w:bCs/>
          <w:color w:val="auto"/>
        </w:rPr>
        <w:t>3）-</w:t>
      </w:r>
      <w:r>
        <w:rPr>
          <w:rFonts w:hint="eastAsia"/>
          <w:b/>
          <w:bCs/>
          <w:color w:val="auto"/>
          <w:lang w:val="en-US" w:eastAsia="zh-CN"/>
        </w:rPr>
        <w:t>4</w:t>
      </w:r>
      <w:r>
        <w:rPr>
          <w:rFonts w:hint="eastAsia"/>
          <w:b/>
          <w:bCs/>
          <w:color w:val="auto"/>
        </w:rPr>
        <w:t>）项具体内容</w:t>
      </w:r>
      <w:r>
        <w:rPr>
          <w:rFonts w:hint="eastAsia" w:ascii="宋体" w:hAnsi="宋体"/>
          <w:b/>
          <w:bCs/>
          <w:color w:val="auto"/>
        </w:rPr>
        <w:t>可参考评分内容编制。</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 xml:space="preserve">    （2）技术部分</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1）偏离表【格式见附件】；</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2）项目负责人；</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3）项目组成员；</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4）对本项目的</w:t>
      </w:r>
      <w:r>
        <w:rPr>
          <w:rFonts w:hint="eastAsia" w:ascii="宋体" w:hAnsi="宋体" w:cs="宋体"/>
          <w:color w:val="auto"/>
          <w:szCs w:val="21"/>
          <w:lang w:eastAsia="zh-CN"/>
        </w:rPr>
        <w:t>采购需求</w:t>
      </w:r>
      <w:r>
        <w:rPr>
          <w:rFonts w:hint="eastAsia" w:ascii="宋体" w:hAnsi="宋体" w:cs="宋体"/>
          <w:color w:val="auto"/>
          <w:szCs w:val="21"/>
        </w:rPr>
        <w:t>，重难点问题解决方案及优化提升方案；</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5）组织建设方案；</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6）工作思路；</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7）服务承诺；</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8）运营管理</w:t>
      </w:r>
      <w:r>
        <w:rPr>
          <w:rFonts w:hint="eastAsia" w:ascii="宋体" w:hAnsi="宋体" w:cs="宋体"/>
          <w:color w:val="auto"/>
          <w:szCs w:val="21"/>
          <w:lang w:eastAsia="zh-CN"/>
        </w:rPr>
        <w:t>方案</w:t>
      </w:r>
      <w:r>
        <w:rPr>
          <w:rFonts w:hint="eastAsia" w:ascii="宋体" w:hAnsi="宋体" w:cs="宋体"/>
          <w:color w:val="auto"/>
          <w:szCs w:val="21"/>
        </w:rPr>
        <w:t>；</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rPr>
        <w:t>9）运营管理体系；</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eastAsia="宋体" w:cs="宋体"/>
          <w:color w:val="auto"/>
          <w:sz w:val="21"/>
          <w:szCs w:val="21"/>
        </w:rPr>
        <w:t>运营管理工具</w:t>
      </w:r>
      <w:r>
        <w:rPr>
          <w:rFonts w:hint="eastAsia" w:ascii="宋体" w:hAnsi="宋体" w:cs="宋体"/>
          <w:color w:val="auto"/>
          <w:szCs w:val="21"/>
        </w:rPr>
        <w:t>；</w:t>
      </w:r>
    </w:p>
    <w:p>
      <w:pPr>
        <w:tabs>
          <w:tab w:val="left" w:pos="720"/>
          <w:tab w:val="left" w:pos="5355"/>
        </w:tabs>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11</w:t>
      </w:r>
      <w:r>
        <w:rPr>
          <w:rFonts w:hint="eastAsia" w:ascii="宋体" w:hAnsi="宋体" w:cs="宋体"/>
          <w:color w:val="auto"/>
          <w:szCs w:val="21"/>
        </w:rPr>
        <w:t>）移交方案；</w:t>
      </w:r>
    </w:p>
    <w:p>
      <w:pPr>
        <w:tabs>
          <w:tab w:val="left" w:pos="720"/>
          <w:tab w:val="left" w:pos="5355"/>
        </w:tabs>
        <w:spacing w:line="360" w:lineRule="auto"/>
        <w:ind w:firstLine="42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12）应急预案及措施</w:t>
      </w:r>
    </w:p>
    <w:p>
      <w:pPr>
        <w:tabs>
          <w:tab w:val="left" w:pos="720"/>
          <w:tab w:val="left" w:pos="5355"/>
        </w:tabs>
        <w:spacing w:line="360" w:lineRule="auto"/>
        <w:ind w:firstLine="420"/>
        <w:rPr>
          <w:rFonts w:hint="eastAsia"/>
          <w:color w:val="auto"/>
        </w:rPr>
      </w:pPr>
      <w:r>
        <w:rPr>
          <w:rFonts w:hint="eastAsia" w:ascii="宋体" w:hAnsi="宋体" w:cs="宋体"/>
          <w:color w:val="auto"/>
          <w:szCs w:val="21"/>
          <w:lang w:val="en-US" w:eastAsia="zh-CN"/>
        </w:rPr>
        <w:t>13</w:t>
      </w:r>
      <w:r>
        <w:rPr>
          <w:rFonts w:hint="eastAsia" w:ascii="宋体" w:hAnsi="宋体" w:cs="宋体"/>
          <w:color w:val="auto"/>
          <w:szCs w:val="21"/>
        </w:rPr>
        <w:t>）</w:t>
      </w:r>
      <w:r>
        <w:rPr>
          <w:rFonts w:hint="eastAsia"/>
          <w:b w:val="0"/>
          <w:bCs w:val="0"/>
          <w:color w:val="auto"/>
          <w:lang w:val="en-US" w:eastAsia="zh-CN"/>
        </w:rPr>
        <w:t>进度</w:t>
      </w:r>
      <w:r>
        <w:rPr>
          <w:rFonts w:hint="eastAsia" w:ascii="宋体" w:hAnsi="宋体" w:eastAsia="宋体" w:cs="宋体"/>
          <w:color w:val="auto"/>
          <w:sz w:val="22"/>
          <w:lang w:val="en-US" w:eastAsia="zh-CN"/>
        </w:rPr>
        <w:t>保障</w:t>
      </w:r>
      <w:r>
        <w:rPr>
          <w:rFonts w:hint="eastAsia" w:ascii="宋体" w:hAnsi="宋体" w:eastAsia="宋体" w:cs="宋体"/>
          <w:color w:val="auto"/>
          <w:sz w:val="22"/>
          <w:lang w:eastAsia="zh-CN"/>
        </w:rPr>
        <w:t>措施</w:t>
      </w:r>
      <w:r>
        <w:rPr>
          <w:rFonts w:hint="eastAsia" w:ascii="宋体" w:hAnsi="宋体" w:cs="宋体"/>
          <w:color w:val="auto"/>
          <w:szCs w:val="21"/>
        </w:rPr>
        <w:t>；</w:t>
      </w:r>
    </w:p>
    <w:p>
      <w:pPr>
        <w:tabs>
          <w:tab w:val="left" w:pos="720"/>
          <w:tab w:val="left" w:pos="5355"/>
        </w:tabs>
        <w:spacing w:line="360" w:lineRule="auto"/>
        <w:ind w:firstLine="421"/>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）投标人认为有必要提供的其他文件和说明（格式自拟）。</w:t>
      </w:r>
    </w:p>
    <w:p>
      <w:pPr>
        <w:pStyle w:val="22"/>
        <w:ind w:left="842" w:hanging="422"/>
        <w:rPr>
          <w:rFonts w:hint="eastAsia"/>
          <w:color w:val="auto"/>
        </w:rPr>
      </w:pPr>
      <w:r>
        <w:rPr>
          <w:rFonts w:hint="eastAsia"/>
          <w:b/>
          <w:bCs/>
          <w:color w:val="auto"/>
        </w:rPr>
        <w:t>2）-</w:t>
      </w:r>
      <w:r>
        <w:rPr>
          <w:rFonts w:hint="eastAsia"/>
          <w:b/>
          <w:bCs/>
          <w:color w:val="auto"/>
          <w:lang w:val="en-US" w:eastAsia="zh-CN"/>
        </w:rPr>
        <w:t>1</w:t>
      </w:r>
      <w:r>
        <w:rPr>
          <w:rFonts w:hint="eastAsia"/>
          <w:b/>
          <w:bCs/>
          <w:color w:val="auto"/>
          <w:lang w:val="en-US" w:eastAsia="zh-CN"/>
        </w:rPr>
        <w:t>3</w:t>
      </w:r>
      <w:r>
        <w:rPr>
          <w:rFonts w:hint="eastAsia"/>
          <w:b/>
          <w:bCs/>
          <w:color w:val="auto"/>
        </w:rPr>
        <w:t>）项具体内容</w:t>
      </w:r>
      <w:r>
        <w:rPr>
          <w:rFonts w:hint="eastAsia" w:ascii="宋体" w:hAnsi="宋体"/>
          <w:b/>
          <w:bCs/>
          <w:color w:val="auto"/>
        </w:rPr>
        <w:t>可参考评分内容编制。</w:t>
      </w:r>
    </w:p>
    <w:p>
      <w:pPr>
        <w:tabs>
          <w:tab w:val="left" w:pos="720"/>
          <w:tab w:val="left" w:pos="5355"/>
        </w:tabs>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3、报价文件：</w:t>
      </w:r>
    </w:p>
    <w:p>
      <w:pPr>
        <w:tabs>
          <w:tab w:val="left" w:pos="720"/>
          <w:tab w:val="left" w:pos="535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1）开标一览表；</w:t>
      </w:r>
      <w:r>
        <w:rPr>
          <w:rFonts w:hint="eastAsia" w:ascii="仿宋" w:hAnsi="仿宋" w:cs="仿宋"/>
          <w:b/>
          <w:bCs/>
          <w:color w:val="auto"/>
          <w:highlight w:val="cyan"/>
        </w:rPr>
        <w:t>（根据系统要求在线填写。）</w:t>
      </w:r>
    </w:p>
    <w:p>
      <w:pPr>
        <w:tabs>
          <w:tab w:val="left" w:pos="720"/>
          <w:tab w:val="left" w:pos="5355"/>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2）投标报价明细表【格式见附件】；</w:t>
      </w:r>
    </w:p>
    <w:p>
      <w:p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3）享受小微企业（含监狱企业、残疾人福利性企业）价格扶持政策的证明材料（</w:t>
      </w:r>
      <w:r>
        <w:rPr>
          <w:rFonts w:hint="eastAsia" w:ascii="宋体" w:hAnsi="宋体" w:cs="宋体"/>
          <w:b/>
          <w:bCs/>
          <w:color w:val="auto"/>
          <w:szCs w:val="21"/>
        </w:rPr>
        <w:t>详见“</w:t>
      </w:r>
      <w:r>
        <w:rPr>
          <w:rFonts w:hint="eastAsia"/>
          <w:b/>
          <w:bCs/>
          <w:color w:val="auto"/>
        </w:rPr>
        <w:t>政府采购扶持政策说明”</w:t>
      </w:r>
      <w:r>
        <w:rPr>
          <w:rFonts w:hint="eastAsia" w:ascii="宋体" w:hAnsi="宋体" w:cs="宋体"/>
          <w:b/>
          <w:bCs/>
          <w:color w:val="auto"/>
          <w:szCs w:val="21"/>
        </w:rPr>
        <w:t>，非小微企业、监狱企业、残疾人福利性企业的，无需提供</w:t>
      </w:r>
      <w:r>
        <w:rPr>
          <w:rFonts w:hint="eastAsia" w:ascii="宋体" w:hAnsi="宋体" w:cs="宋体"/>
          <w:color w:val="auto"/>
          <w:szCs w:val="21"/>
        </w:rPr>
        <w:t>）；</w:t>
      </w:r>
    </w:p>
    <w:p>
      <w:p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4）投标人针对报价需要说明的其他文件和资料（格式自拟）。</w:t>
      </w:r>
    </w:p>
    <w:p>
      <w:pPr>
        <w:pStyle w:val="2"/>
        <w:spacing w:line="360" w:lineRule="auto"/>
        <w:ind w:left="0" w:firstLine="0" w:firstLineChars="0"/>
        <w:rPr>
          <w:rFonts w:hint="eastAsia" w:ascii="宋体" w:hAnsi="宋体" w:cs="宋体"/>
          <w:b/>
          <w:color w:val="auto"/>
          <w:sz w:val="21"/>
          <w:szCs w:val="21"/>
        </w:rPr>
      </w:pPr>
      <w:r>
        <w:rPr>
          <w:rFonts w:hint="eastAsia" w:ascii="宋体" w:hAnsi="宋体" w:cs="宋体"/>
          <w:b/>
          <w:color w:val="auto"/>
          <w:sz w:val="21"/>
          <w:szCs w:val="21"/>
        </w:rPr>
        <w:t>3、投标文件的编制格式及说明</w:t>
      </w:r>
    </w:p>
    <w:p>
      <w:pPr>
        <w:pStyle w:val="2"/>
        <w:spacing w:line="360" w:lineRule="auto"/>
        <w:ind w:left="0" w:firstLine="420" w:firstLineChars="200"/>
        <w:rPr>
          <w:rFonts w:hint="eastAsia" w:ascii="宋体" w:hAnsi="宋体" w:cs="宋体"/>
          <w:b/>
          <w:bCs/>
          <w:color w:val="auto"/>
          <w:sz w:val="21"/>
          <w:szCs w:val="21"/>
          <w:highlight w:val="yellow"/>
        </w:rPr>
      </w:pPr>
      <w:r>
        <w:rPr>
          <w:rFonts w:hint="eastAsia" w:ascii="宋体" w:hAnsi="宋体" w:cs="宋体"/>
          <w:color w:val="auto"/>
          <w:sz w:val="21"/>
          <w:szCs w:val="21"/>
        </w:rPr>
        <w:t>3.1投标文件应包括规定的内容，投标人提交的投标文件应当使用招标文件所提供的投标文件全部格式（格式可以按同样格式扩展）；未提供投标文件标准格式的，由投标人自行编写：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cs="宋体"/>
          <w:b/>
          <w:bCs/>
          <w:color w:val="auto"/>
          <w:sz w:val="21"/>
          <w:szCs w:val="21"/>
        </w:rPr>
        <w:t>响应文件按政府采购云平台</w:t>
      </w:r>
      <w:r>
        <w:rPr>
          <w:rFonts w:hint="eastAsia" w:ascii="宋体" w:hAnsi="宋体" w:cs="Arial"/>
          <w:b/>
          <w:bCs/>
          <w:color w:val="auto"/>
          <w:kern w:val="0"/>
          <w:sz w:val="21"/>
          <w:szCs w:val="21"/>
        </w:rPr>
        <w:t>“供应商-政府采购项目电子交易操作指南”</w:t>
      </w:r>
      <w:r>
        <w:rPr>
          <w:rFonts w:hint="eastAsia" w:ascii="宋体" w:hAnsi="宋体" w:cs="宋体"/>
          <w:b/>
          <w:bCs/>
          <w:color w:val="auto"/>
          <w:sz w:val="21"/>
          <w:szCs w:val="21"/>
        </w:rPr>
        <w:t>及本招标文件要求制作、加密。</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3.2投标文件的格式参照招标文件提供的表格格式；</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3.3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3.4投标人必须保证投标文件所提供的全部资料真实可靠，并接受对其中任何资料进一步审查的要求。</w:t>
      </w:r>
    </w:p>
    <w:p>
      <w:pPr>
        <w:pStyle w:val="2"/>
        <w:numPr>
          <w:ilvl w:val="0"/>
          <w:numId w:val="6"/>
        </w:numPr>
        <w:spacing w:line="360" w:lineRule="auto"/>
        <w:ind w:left="422" w:hanging="422"/>
        <w:rPr>
          <w:rFonts w:hint="eastAsia" w:ascii="宋体" w:hAnsi="宋体" w:cs="宋体"/>
          <w:color w:val="auto"/>
          <w:sz w:val="21"/>
          <w:szCs w:val="21"/>
        </w:rPr>
      </w:pPr>
      <w:r>
        <w:rPr>
          <w:rFonts w:hint="eastAsia" w:ascii="宋体" w:hAnsi="宋体" w:cs="宋体"/>
          <w:b/>
          <w:color w:val="auto"/>
          <w:sz w:val="21"/>
          <w:szCs w:val="21"/>
        </w:rPr>
        <w:t>投标报价</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rPr>
        <w:t xml:space="preserve"> ▲</w:t>
      </w:r>
      <w:r>
        <w:rPr>
          <w:rFonts w:hint="eastAsia" w:ascii="宋体" w:hAnsi="宋体" w:cs="宋体"/>
          <w:b/>
          <w:bCs/>
          <w:color w:val="auto"/>
          <w:szCs w:val="21"/>
        </w:rPr>
        <w:t xml:space="preserve"> 4.1本项目采用单价报价，投标报价是履行合同的最终价格，供应商报价不得低于以下报价要求（包括但不限于），低于或不响应的投标文件作无效标处理。包括处理厂内管理人员和运行人员的人工成本费（包括保险费、培训教育费、用餐费等）；处理厂内日常运营管理费，水电费用，处理药剂费，化验费，设备日常维护保</w:t>
      </w:r>
      <w:r>
        <w:rPr>
          <w:rFonts w:hint="eastAsia" w:ascii="宋体" w:hAnsi="宋体" w:cs="宋体"/>
          <w:b/>
          <w:bCs/>
          <w:color w:val="auto"/>
          <w:szCs w:val="21"/>
          <w:highlight w:val="none"/>
        </w:rPr>
        <w:t>养、检修，备品备件费（</w:t>
      </w:r>
      <w:r>
        <w:rPr>
          <w:rFonts w:hint="eastAsia" w:ascii="宋体" w:hAnsi="宋体" w:cs="宋体"/>
          <w:b/>
          <w:bCs/>
          <w:color w:val="auto"/>
          <w:szCs w:val="21"/>
          <w:highlight w:val="none"/>
          <w:lang w:val="en-US" w:eastAsia="zh-CN"/>
        </w:rPr>
        <w:t>不</w:t>
      </w:r>
      <w:r>
        <w:rPr>
          <w:rFonts w:hint="eastAsia" w:ascii="宋体" w:hAnsi="宋体" w:cs="宋体"/>
          <w:b/>
          <w:bCs/>
          <w:color w:val="auto"/>
          <w:szCs w:val="21"/>
          <w:highlight w:val="none"/>
        </w:rPr>
        <w:t>含膜、</w:t>
      </w:r>
      <w:r>
        <w:rPr>
          <w:rFonts w:hint="eastAsia" w:ascii="宋体" w:hAnsi="宋体" w:cs="宋体"/>
          <w:b/>
          <w:bCs/>
          <w:color w:val="auto"/>
          <w:szCs w:val="21"/>
          <w:highlight w:val="none"/>
          <w:lang w:val="en-US" w:eastAsia="zh-CN"/>
        </w:rPr>
        <w:t>含</w:t>
      </w:r>
      <w:r>
        <w:rPr>
          <w:rFonts w:hint="eastAsia" w:ascii="宋体" w:hAnsi="宋体" w:cs="宋体"/>
          <w:b/>
          <w:bCs/>
          <w:color w:val="auto"/>
          <w:szCs w:val="21"/>
          <w:highlight w:val="none"/>
        </w:rPr>
        <w:t>易耗件等更换），一体化微电荷设备及自养反硝化设备的设备租赁费及运营费用，脱水污泥的运输费及处置费、保险、税费等一切费用。</w:t>
      </w:r>
      <w:r>
        <w:rPr>
          <w:rFonts w:hint="eastAsia" w:ascii="宋体" w:hAnsi="宋体" w:cs="宋体"/>
          <w:color w:val="auto"/>
          <w:szCs w:val="21"/>
          <w:highlight w:val="none"/>
        </w:rPr>
        <w:t>如有漏项，视同已包含在其总项目中，合同总价不做调整。</w:t>
      </w:r>
    </w:p>
    <w:p>
      <w:pPr>
        <w:pStyle w:val="2"/>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投标人报价时应充分考虑进水浓度的不稳定性和封场的实际情况</w:t>
      </w:r>
      <w:r>
        <w:rPr>
          <w:rFonts w:hint="eastAsia" w:ascii="宋体" w:hAnsi="宋体" w:cs="宋体"/>
          <w:b/>
          <w:bCs/>
          <w:color w:val="auto"/>
          <w:sz w:val="21"/>
          <w:szCs w:val="21"/>
          <w:highlight w:val="none"/>
          <w:lang w:val="en-US" w:eastAsia="zh-CN"/>
        </w:rPr>
        <w:t>。</w:t>
      </w:r>
    </w:p>
    <w:p>
      <w:pPr>
        <w:pStyle w:val="2"/>
        <w:spacing w:line="360" w:lineRule="auto"/>
        <w:ind w:left="0" w:firstLine="630" w:firstLineChars="3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主要设备重置或更换须运行满三年以后(非操作失误原因)，由采购方承担费用；本条所指的主要设备仅限于膜和项目改造后的风机。除上述外的项目保养、维修、大修及更新等的全部费用均由中标人承担。涉及本项目有关设备于2021年5月份更换的超滤膜和RO膜芯，2022年1月分换了超滤膜壳和纳滤膜芯</w:t>
      </w:r>
      <w:r>
        <w:rPr>
          <w:rFonts w:hint="eastAsia" w:ascii="宋体" w:hAnsi="宋体" w:cs="宋体"/>
          <w:color w:val="auto"/>
          <w:sz w:val="21"/>
          <w:szCs w:val="21"/>
          <w:highlight w:val="none"/>
        </w:rPr>
        <w:t>。</w:t>
      </w:r>
    </w:p>
    <w:p>
      <w:pPr>
        <w:tabs>
          <w:tab w:val="left" w:pos="540"/>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4.2投标相关报价明细表填写时应详细注明该表列举的费用及分项清单。</w:t>
      </w:r>
    </w:p>
    <w:p>
      <w:pPr>
        <w:tabs>
          <w:tab w:val="left" w:pos="540"/>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4.3投标人必须按第六章投标文件格式中的开标一览表（统一格式）的内容填写价格、及其他事项。</w:t>
      </w:r>
    </w:p>
    <w:p>
      <w:pPr>
        <w:tabs>
          <w:tab w:val="left" w:pos="540"/>
        </w:tabs>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 xml:space="preserve">    4.4所有投标均以人民币报价。</w:t>
      </w:r>
    </w:p>
    <w:p>
      <w:pPr>
        <w:tabs>
          <w:tab w:val="left" w:pos="540"/>
        </w:tabs>
        <w:spacing w:line="360" w:lineRule="auto"/>
        <w:rPr>
          <w:rFonts w:hint="eastAsia" w:ascii="宋体" w:hAnsi="宋体" w:cs="宋体"/>
          <w:b/>
          <w:color w:val="auto"/>
          <w:szCs w:val="21"/>
        </w:rPr>
      </w:pPr>
      <w:r>
        <w:rPr>
          <w:rFonts w:hint="eastAsia" w:ascii="宋体" w:hAnsi="宋体" w:cs="宋体"/>
          <w:b/>
          <w:color w:val="auto"/>
          <w:szCs w:val="21"/>
        </w:rPr>
        <w:t xml:space="preserve">    4.5采购单位不接受任何选择报价，投标单位只允许有一个有效报价。</w:t>
      </w:r>
    </w:p>
    <w:p>
      <w:pPr>
        <w:pStyle w:val="2"/>
        <w:numPr>
          <w:ilvl w:val="0"/>
          <w:numId w:val="6"/>
        </w:numPr>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投标文件的格式和顺序</w:t>
      </w:r>
    </w:p>
    <w:p>
      <w:pPr>
        <w:snapToGrid w:val="0"/>
        <w:spacing w:line="360" w:lineRule="auto"/>
        <w:ind w:firstLine="422" w:firstLineChars="200"/>
        <w:outlineLvl w:val="1"/>
        <w:rPr>
          <w:rFonts w:hint="eastAsia" w:ascii="宋体" w:hAnsi="宋体" w:cs="宋体"/>
          <w:b/>
          <w:bCs/>
          <w:color w:val="auto"/>
          <w:szCs w:val="21"/>
        </w:rPr>
      </w:pPr>
      <w:r>
        <w:rPr>
          <w:rFonts w:hint="eastAsia" w:ascii="宋体" w:hAnsi="宋体" w:cs="宋体"/>
          <w:b/>
          <w:color w:val="auto"/>
          <w:szCs w:val="21"/>
        </w:rPr>
        <w:t>响应文件</w:t>
      </w:r>
      <w:r>
        <w:rPr>
          <w:rFonts w:hint="eastAsia" w:ascii="宋体" w:hAnsi="宋体" w:cs="宋体"/>
          <w:b/>
          <w:bCs/>
          <w:color w:val="auto"/>
          <w:szCs w:val="21"/>
        </w:rPr>
        <w:t>按政府采购云平台</w:t>
      </w:r>
      <w:r>
        <w:rPr>
          <w:rFonts w:hint="eastAsia" w:ascii="宋体" w:hAnsi="宋体" w:cs="Arial"/>
          <w:b/>
          <w:bCs/>
          <w:color w:val="auto"/>
          <w:kern w:val="0"/>
          <w:szCs w:val="21"/>
        </w:rPr>
        <w:t>“供应商-政府采购项目电子交易操作指南”</w:t>
      </w:r>
      <w:r>
        <w:rPr>
          <w:rFonts w:hint="eastAsia" w:ascii="宋体" w:hAnsi="宋体" w:cs="宋体"/>
          <w:b/>
          <w:bCs/>
          <w:color w:val="auto"/>
          <w:szCs w:val="21"/>
        </w:rPr>
        <w:fldChar w:fldCharType="begin"/>
      </w:r>
      <w:r>
        <w:rPr>
          <w:rFonts w:hint="eastAsia" w:ascii="宋体" w:hAnsi="宋体" w:cs="宋体"/>
          <w:b/>
          <w:bCs/>
          <w:color w:val="auto"/>
          <w:szCs w:val="21"/>
        </w:rPr>
        <w:instrText xml:space="preserve"> HYPERLINK "https://help.zcy.gov.cn/web/site_2/2018/12-28/2573.html）及本招标文件规定的格式和顺序编制电子投标文件并进行关联定位。" </w:instrText>
      </w:r>
      <w:r>
        <w:rPr>
          <w:rFonts w:hint="eastAsia" w:ascii="宋体" w:hAnsi="宋体" w:cs="宋体"/>
          <w:b/>
          <w:bCs/>
          <w:color w:val="auto"/>
          <w:szCs w:val="21"/>
        </w:rPr>
        <w:fldChar w:fldCharType="separate"/>
      </w:r>
      <w:r>
        <w:rPr>
          <w:rStyle w:val="29"/>
          <w:rFonts w:hint="eastAsia" w:ascii="宋体" w:hAnsi="宋体" w:cs="宋体"/>
          <w:b/>
          <w:bCs/>
          <w:color w:val="auto"/>
          <w:sz w:val="21"/>
          <w:szCs w:val="21"/>
        </w:rPr>
        <w:t>及本招标文件规定的格式和顺序编制响应文件并进行关联定位。</w:t>
      </w:r>
      <w:r>
        <w:rPr>
          <w:rFonts w:hint="eastAsia" w:ascii="宋体" w:hAnsi="宋体" w:cs="宋体"/>
          <w:b/>
          <w:bCs/>
          <w:color w:val="auto"/>
          <w:szCs w:val="21"/>
        </w:rPr>
        <w:fldChar w:fldCharType="end"/>
      </w:r>
    </w:p>
    <w:p>
      <w:pPr>
        <w:pStyle w:val="2"/>
        <w:spacing w:line="440" w:lineRule="exact"/>
        <w:ind w:left="0" w:firstLine="0" w:firstLineChars="0"/>
        <w:rPr>
          <w:rFonts w:hint="eastAsia" w:ascii="宋体" w:hAnsi="宋体" w:cs="宋体"/>
          <w:b/>
          <w:bCs/>
          <w:color w:val="auto"/>
          <w:sz w:val="21"/>
          <w:szCs w:val="21"/>
        </w:rPr>
      </w:pPr>
      <w:r>
        <w:rPr>
          <w:rFonts w:hint="eastAsia" w:ascii="宋体" w:hAnsi="宋体" w:cs="宋体"/>
          <w:b/>
          <w:bCs/>
          <w:color w:val="auto"/>
          <w:sz w:val="21"/>
          <w:szCs w:val="21"/>
        </w:rPr>
        <w:t>6、投标有效期</w:t>
      </w:r>
    </w:p>
    <w:p>
      <w:pPr>
        <w:pStyle w:val="2"/>
        <w:spacing w:line="440" w:lineRule="exact"/>
        <w:ind w:left="0" w:firstLine="0" w:firstLineChars="0"/>
        <w:rPr>
          <w:rFonts w:hint="eastAsia" w:ascii="宋体" w:hAnsi="宋体" w:cs="宋体"/>
          <w:color w:val="auto"/>
          <w:sz w:val="21"/>
          <w:szCs w:val="21"/>
        </w:rPr>
      </w:pPr>
      <w:r>
        <w:rPr>
          <w:rFonts w:hint="eastAsia" w:ascii="宋体" w:hAnsi="宋体" w:cs="宋体"/>
          <w:b/>
          <w:bCs/>
          <w:color w:val="auto"/>
          <w:sz w:val="21"/>
          <w:szCs w:val="21"/>
        </w:rPr>
        <w:t xml:space="preserve"> </w:t>
      </w:r>
      <w:r>
        <w:rPr>
          <w:rFonts w:hint="eastAsia" w:ascii="宋体" w:hAnsi="宋体" w:cs="宋体"/>
          <w:color w:val="auto"/>
          <w:sz w:val="21"/>
          <w:szCs w:val="21"/>
        </w:rPr>
        <w:t xml:space="preserve">  6.1投标有效期见本招标文件中前附表所规定的期限，在此期限内，凡符合招标文件要求的投标文件均保持有效。</w:t>
      </w:r>
    </w:p>
    <w:p>
      <w:pPr>
        <w:pStyle w:val="2"/>
        <w:spacing w:line="440" w:lineRule="exact"/>
        <w:ind w:left="0" w:firstLine="0" w:firstLineChars="0"/>
        <w:rPr>
          <w:rFonts w:hint="eastAsia" w:ascii="宋体" w:hAnsi="宋体" w:cs="宋体"/>
          <w:color w:val="auto"/>
          <w:sz w:val="21"/>
          <w:szCs w:val="21"/>
        </w:rPr>
      </w:pPr>
      <w:r>
        <w:rPr>
          <w:rFonts w:hint="eastAsia" w:ascii="宋体" w:hAnsi="宋体" w:cs="宋体"/>
          <w:color w:val="auto"/>
          <w:sz w:val="21"/>
          <w:szCs w:val="21"/>
        </w:rPr>
        <w:t xml:space="preserve">   6.2在特殊情况下，采购单位、采购代理机构在原定投标有效期内，可以根据需要以书面形式向投标人提出延长投标有效期的要求，对此要求投标人须以书面形式予以答复。投标人可以拒绝采购单位、采购代理机构这种要求。同意延长投标有效期的投标人既不能要求也不允许修改其投标文件。</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pStyle w:val="2"/>
        <w:spacing w:line="440" w:lineRule="exact"/>
        <w:ind w:left="0" w:firstLine="0" w:firstLineChars="0"/>
        <w:rPr>
          <w:rFonts w:hint="eastAsia" w:ascii="宋体" w:hAnsi="宋体" w:cs="宋体"/>
          <w:b/>
          <w:bCs/>
          <w:color w:val="auto"/>
          <w:sz w:val="21"/>
          <w:szCs w:val="21"/>
        </w:rPr>
      </w:pPr>
      <w:bookmarkStart w:id="103" w:name="_Toc6995"/>
      <w:bookmarkStart w:id="104" w:name="_Toc249758864"/>
      <w:bookmarkStart w:id="105" w:name="_Toc245191314"/>
      <w:bookmarkStart w:id="106" w:name="_Toc262105503"/>
      <w:bookmarkStart w:id="107" w:name="_Toc221374626"/>
      <w:bookmarkStart w:id="108" w:name="_Toc245722281"/>
      <w:bookmarkStart w:id="109" w:name="_Toc246261265"/>
      <w:bookmarkStart w:id="110" w:name="_Toc239145354"/>
      <w:bookmarkStart w:id="111" w:name="_Toc221356887"/>
      <w:bookmarkStart w:id="112" w:name="_Toc249758712"/>
      <w:bookmarkStart w:id="113" w:name="_Toc222114879"/>
      <w:bookmarkStart w:id="114" w:name="_Toc262049418"/>
      <w:bookmarkStart w:id="115" w:name="_Toc221423619"/>
      <w:bookmarkStart w:id="116" w:name="_Toc223715998"/>
      <w:bookmarkStart w:id="117" w:name="_Toc241404202"/>
      <w:bookmarkStart w:id="118" w:name="_Toc221356951"/>
      <w:bookmarkStart w:id="119" w:name="_Toc410031816"/>
      <w:r>
        <w:rPr>
          <w:rFonts w:hint="eastAsia" w:ascii="宋体" w:hAnsi="宋体" w:cs="宋体"/>
          <w:b/>
          <w:bCs/>
          <w:color w:val="auto"/>
          <w:sz w:val="21"/>
          <w:szCs w:val="21"/>
        </w:rPr>
        <w:t>7、投标保证金</w:t>
      </w:r>
    </w:p>
    <w:p>
      <w:pPr>
        <w:pStyle w:val="2"/>
        <w:spacing w:line="440" w:lineRule="exact"/>
        <w:ind w:left="0" w:firstLine="422" w:firstLineChars="200"/>
        <w:rPr>
          <w:rFonts w:hint="eastAsia" w:ascii="宋体" w:hAnsi="宋体" w:cs="宋体"/>
          <w:color w:val="auto"/>
          <w:sz w:val="21"/>
          <w:szCs w:val="21"/>
        </w:rPr>
      </w:pPr>
      <w:r>
        <w:rPr>
          <w:rFonts w:hint="eastAsia" w:ascii="宋体" w:hAnsi="宋体" w:cs="宋体"/>
          <w:b/>
          <w:bCs/>
          <w:color w:val="auto"/>
          <w:sz w:val="21"/>
          <w:szCs w:val="21"/>
        </w:rPr>
        <w:t>7.1投标保证金的规定：</w:t>
      </w:r>
      <w:r>
        <w:rPr>
          <w:rFonts w:hint="eastAsia" w:ascii="宋体" w:hAnsi="宋体" w:cs="宋体"/>
          <w:color w:val="auto"/>
          <w:sz w:val="21"/>
          <w:szCs w:val="21"/>
        </w:rPr>
        <w:t>详见投标人须知前附表。</w:t>
      </w:r>
    </w:p>
    <w:p>
      <w:pPr>
        <w:pStyle w:val="5"/>
        <w:spacing w:before="0" w:after="0" w:line="360" w:lineRule="auto"/>
        <w:jc w:val="center"/>
        <w:rPr>
          <w:color w:val="auto"/>
        </w:rPr>
      </w:pPr>
      <w:r>
        <w:rPr>
          <w:color w:val="auto"/>
        </w:rPr>
        <w:t>四</w:t>
      </w:r>
      <w:r>
        <w:rPr>
          <w:rFonts w:hint="eastAsia"/>
          <w:color w:val="auto"/>
        </w:rPr>
        <w:t>、</w:t>
      </w:r>
      <w:r>
        <w:rPr>
          <w:color w:val="auto"/>
        </w:rPr>
        <w:t>投标</w:t>
      </w:r>
      <w:bookmarkEnd w:id="103"/>
    </w:p>
    <w:p>
      <w:pPr>
        <w:pStyle w:val="2"/>
        <w:spacing w:line="360" w:lineRule="auto"/>
        <w:ind w:left="422" w:hanging="422"/>
        <w:rPr>
          <w:rFonts w:hint="eastAsia" w:ascii="宋体" w:hAnsi="宋体" w:cs="宋体"/>
          <w:b/>
          <w:color w:val="auto"/>
          <w:sz w:val="21"/>
          <w:szCs w:val="21"/>
        </w:rPr>
      </w:pPr>
      <w:bookmarkStart w:id="120" w:name="_Toc25626"/>
      <w:bookmarkStart w:id="121" w:name="_Toc2836"/>
      <w:r>
        <w:rPr>
          <w:rFonts w:hint="eastAsia" w:ascii="宋体" w:hAnsi="宋体" w:cs="宋体"/>
          <w:b/>
          <w:color w:val="auto"/>
          <w:sz w:val="21"/>
          <w:szCs w:val="21"/>
        </w:rPr>
        <w:t>1、投标文件的递交</w:t>
      </w:r>
    </w:p>
    <w:p>
      <w:pPr>
        <w:pStyle w:val="2"/>
        <w:spacing w:line="360" w:lineRule="auto"/>
        <w:ind w:left="0" w:firstLine="422" w:firstLineChars="200"/>
        <w:rPr>
          <w:rFonts w:hint="eastAsia" w:ascii="宋体" w:hAnsi="宋体" w:cs="宋体"/>
          <w:color w:val="auto"/>
          <w:sz w:val="21"/>
          <w:szCs w:val="21"/>
          <w:highlight w:val="yellow"/>
        </w:rPr>
      </w:pPr>
      <w:r>
        <w:rPr>
          <w:rFonts w:hint="eastAsia" w:ascii="宋体" w:hAnsi="宋体" w:cs="宋体"/>
          <w:b/>
          <w:bCs/>
          <w:color w:val="auto"/>
          <w:sz w:val="21"/>
          <w:szCs w:val="21"/>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2、投标文件递交的截止时间</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2.1投标文件的截止时间见招标文件投标须知前附表的规定。</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2.2采购单位、采购代理机构可按本招标文件规定以修改补充通知的方式，酌情延长提交投标文件的截止时间。在此情况下，投标人的所有权利和义务以及投标人受制约的截止时间，均以延长后新的投标截止时间为准。</w:t>
      </w:r>
    </w:p>
    <w:p>
      <w:pPr>
        <w:pStyle w:val="2"/>
        <w:spacing w:line="360" w:lineRule="auto"/>
        <w:ind w:left="420" w:hanging="420"/>
        <w:rPr>
          <w:rFonts w:hint="eastAsia" w:ascii="宋体" w:hAnsi="宋体" w:cs="宋体"/>
          <w:color w:val="auto"/>
          <w:sz w:val="21"/>
          <w:szCs w:val="21"/>
        </w:rPr>
      </w:pPr>
      <w:r>
        <w:rPr>
          <w:rFonts w:hint="eastAsia" w:ascii="宋体" w:hAnsi="宋体" w:cs="宋体"/>
          <w:color w:val="auto"/>
          <w:sz w:val="21"/>
          <w:szCs w:val="21"/>
        </w:rPr>
        <w:t xml:space="preserve">    2.3投标人在投标截止时间以后递交的投标文件将被拒绝接受。</w:t>
      </w:r>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3、投标文件的补充、修改与撤回</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3.1投标人在提交投标文件以后，在规定的投标截止时间之前，可以补充修改或撤回已提交的投标文件：</w:t>
      </w:r>
    </w:p>
    <w:p>
      <w:pPr>
        <w:pStyle w:val="2"/>
        <w:spacing w:line="360" w:lineRule="auto"/>
        <w:ind w:left="0" w:firstLine="422" w:firstLineChars="200"/>
        <w:rPr>
          <w:rFonts w:hint="eastAsia" w:ascii="宋体" w:hAnsi="宋体" w:cs="宋体"/>
          <w:b/>
          <w:bCs/>
          <w:color w:val="auto"/>
          <w:sz w:val="21"/>
          <w:szCs w:val="21"/>
        </w:rPr>
      </w:pPr>
      <w:r>
        <w:rPr>
          <w:rFonts w:hint="eastAsia" w:ascii="宋体" w:hAnsi="宋体" w:cs="宋体"/>
          <w:b/>
          <w:bCs/>
          <w:color w:val="auto"/>
          <w:sz w:val="21"/>
          <w:szCs w:val="21"/>
        </w:rPr>
        <w:t>递交响应文件截止时间之前补充或者修改响应文件的，应当先行撤回原文件，补充、修改后重新传输递交；</w:t>
      </w:r>
    </w:p>
    <w:p>
      <w:pPr>
        <w:pStyle w:val="2"/>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3.2在投标截止时间之后，投标人不得补充、修改投标文件。</w:t>
      </w:r>
    </w:p>
    <w:p>
      <w:pPr>
        <w:pStyle w:val="2"/>
        <w:spacing w:line="360" w:lineRule="auto"/>
        <w:ind w:lef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pPr>
        <w:pStyle w:val="5"/>
        <w:spacing w:before="0" w:after="0" w:line="360" w:lineRule="auto"/>
        <w:jc w:val="center"/>
        <w:rPr>
          <w:color w:val="auto"/>
        </w:rPr>
      </w:pPr>
      <w:r>
        <w:rPr>
          <w:rFonts w:hint="eastAsia"/>
          <w:color w:val="auto"/>
        </w:rPr>
        <w:t>五、</w:t>
      </w:r>
      <w:r>
        <w:rPr>
          <w:color w:val="auto"/>
        </w:rPr>
        <w:t>开标</w:t>
      </w:r>
      <w:bookmarkEnd w:id="120"/>
    </w:p>
    <w:p>
      <w:pPr>
        <w:pStyle w:val="2"/>
        <w:spacing w:line="360" w:lineRule="auto"/>
        <w:ind w:left="422" w:hanging="422"/>
        <w:rPr>
          <w:rFonts w:hint="eastAsia" w:ascii="宋体" w:hAnsi="宋体" w:cs="宋体"/>
          <w:b/>
          <w:color w:val="auto"/>
          <w:sz w:val="21"/>
          <w:szCs w:val="21"/>
        </w:rPr>
      </w:pPr>
      <w:r>
        <w:rPr>
          <w:rFonts w:hint="eastAsia" w:ascii="宋体" w:hAnsi="宋体" w:cs="宋体"/>
          <w:b/>
          <w:color w:val="auto"/>
          <w:sz w:val="21"/>
          <w:szCs w:val="21"/>
        </w:rPr>
        <w:t>1、开标</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1.1采购代理机构按本招标文件投标人须知前附表规定的时间和地点公开开标。</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1.2采购代理机构核验出席开标活动现场的相关单位人员身份，并组织其分别登记、签到，无关人员不得进入现场。</w:t>
      </w:r>
    </w:p>
    <w:p>
      <w:pPr>
        <w:pStyle w:val="2"/>
        <w:spacing w:line="360" w:lineRule="auto"/>
        <w:ind w:left="0" w:firstLine="420" w:firstLineChars="200"/>
        <w:rPr>
          <w:rFonts w:hint="eastAsia" w:ascii="宋体" w:hAnsi="宋体" w:cs="宋体"/>
          <w:color w:val="auto"/>
          <w:sz w:val="21"/>
          <w:szCs w:val="21"/>
        </w:rPr>
      </w:pPr>
      <w:r>
        <w:rPr>
          <w:rFonts w:hint="eastAsia" w:ascii="宋体" w:hAnsi="宋体" w:cs="宋体"/>
          <w:color w:val="auto"/>
          <w:sz w:val="21"/>
          <w:szCs w:val="21"/>
        </w:rPr>
        <w:t>1.3如投标截止时间止评审期间，出现有效代理商或供应商不足3家的情况，根据“《政府采购法》第三十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pPr>
        <w:pStyle w:val="55"/>
        <w:spacing w:line="360" w:lineRule="auto"/>
        <w:ind w:firstLine="0" w:firstLineChars="0"/>
        <w:rPr>
          <w:rFonts w:cs="Arial"/>
          <w:color w:val="auto"/>
          <w:u w:val="thick"/>
        </w:rPr>
      </w:pPr>
      <w:r>
        <w:rPr>
          <w:rFonts w:hint="eastAsia" w:ascii="宋体" w:hAnsi="宋体" w:cs="宋体"/>
          <w:b/>
          <w:color w:val="auto"/>
          <w:szCs w:val="21"/>
        </w:rPr>
        <w:t>2、</w:t>
      </w:r>
      <w:r>
        <w:rPr>
          <w:rFonts w:cs="Arial"/>
          <w:b/>
          <w:color w:val="auto"/>
        </w:rPr>
        <w:t xml:space="preserve">开标准备 </w:t>
      </w:r>
    </w:p>
    <w:p>
      <w:pPr>
        <w:pStyle w:val="55"/>
        <w:spacing w:line="360" w:lineRule="auto"/>
        <w:ind w:firstLine="422"/>
        <w:rPr>
          <w:rFonts w:hint="eastAsia" w:cs="Arial"/>
          <w:b/>
          <w:color w:val="auto"/>
        </w:rPr>
      </w:pPr>
      <w:r>
        <w:rPr>
          <w:rFonts w:hint="eastAsia" w:cs="Arial"/>
          <w:b/>
          <w:color w:val="auto"/>
        </w:rPr>
        <w:t>开标的准备工作由采购组织机构负责落实；</w:t>
      </w:r>
    </w:p>
    <w:p>
      <w:pPr>
        <w:pStyle w:val="55"/>
        <w:spacing w:line="360" w:lineRule="auto"/>
        <w:ind w:firstLine="422"/>
        <w:rPr>
          <w:rFonts w:hint="eastAsia" w:cs="Arial"/>
          <w:b/>
          <w:color w:val="auto"/>
        </w:rPr>
      </w:pPr>
      <w:r>
        <w:rPr>
          <w:rFonts w:hint="eastAsia" w:cs="Arial"/>
          <w:b/>
          <w:color w:val="auto"/>
        </w:rPr>
        <w:t>采购组织机构将按照采购文件规定的时间通过“政府采购云平台”组织开标、开启投标文件，所有投标人均应当准时在线参加（因投标人需要及时进行标书在线解密）。投标人</w:t>
      </w:r>
      <w:r>
        <w:rPr>
          <w:rFonts w:cs="Arial"/>
          <w:b/>
          <w:color w:val="auto"/>
        </w:rPr>
        <w:t>如不在线</w:t>
      </w:r>
      <w:r>
        <w:rPr>
          <w:rFonts w:hint="eastAsia" w:cs="Arial"/>
          <w:b/>
          <w:color w:val="auto"/>
        </w:rPr>
        <w:t>参加</w:t>
      </w:r>
      <w:r>
        <w:rPr>
          <w:rFonts w:cs="Arial"/>
          <w:b/>
          <w:color w:val="auto"/>
        </w:rPr>
        <w:t>的，</w:t>
      </w:r>
      <w:r>
        <w:rPr>
          <w:rFonts w:hint="eastAsia" w:cs="Arial"/>
          <w:b/>
          <w:color w:val="auto"/>
        </w:rPr>
        <w:t>视同认可开标结果，</w:t>
      </w:r>
      <w:r>
        <w:rPr>
          <w:rFonts w:cs="Arial"/>
          <w:b/>
          <w:color w:val="auto"/>
        </w:rPr>
        <w:t>事后不得对开标结果提出异议</w:t>
      </w:r>
      <w:r>
        <w:rPr>
          <w:rFonts w:hint="eastAsia" w:cs="Arial"/>
          <w:b/>
          <w:color w:val="auto"/>
        </w:rPr>
        <w:t>。投标人因未在线参加开标而导致投标文件无法按时解密等一切后果由投标人自己承担。</w:t>
      </w:r>
    </w:p>
    <w:p>
      <w:pPr>
        <w:pStyle w:val="55"/>
        <w:spacing w:line="360" w:lineRule="auto"/>
        <w:ind w:firstLine="0" w:firstLineChars="0"/>
        <w:rPr>
          <w:rFonts w:hint="eastAsia" w:cs="Arial"/>
          <w:color w:val="auto"/>
        </w:rPr>
      </w:pPr>
      <w:r>
        <w:rPr>
          <w:rFonts w:hint="eastAsia" w:cs="Arial"/>
          <w:b/>
          <w:color w:val="auto"/>
        </w:rPr>
        <w:t>3、</w:t>
      </w:r>
      <w:r>
        <w:rPr>
          <w:rFonts w:cs="Arial"/>
          <w:b/>
          <w:color w:val="auto"/>
        </w:rPr>
        <w:t>开标流程</w:t>
      </w:r>
    </w:p>
    <w:p>
      <w:pPr>
        <w:spacing w:line="360" w:lineRule="auto"/>
        <w:ind w:firstLine="371" w:firstLineChars="177"/>
        <w:jc w:val="left"/>
        <w:rPr>
          <w:rFonts w:hint="eastAsia"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1</w:t>
      </w:r>
      <w:r>
        <w:rPr>
          <w:rFonts w:hint="eastAsia" w:ascii="宋体" w:hAnsi="宋体" w:cs="Arial"/>
          <w:color w:val="auto"/>
          <w:kern w:val="0"/>
          <w:szCs w:val="21"/>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hint="eastAsia" w:ascii="宋体" w:hAnsi="宋体" w:cs="Arial"/>
          <w:color w:val="auto"/>
        </w:rPr>
      </w:pPr>
      <w:r>
        <w:rPr>
          <w:rFonts w:hint="eastAsia" w:ascii="宋体" w:hAnsi="宋体" w:cs="Arial"/>
          <w:color w:val="auto"/>
          <w:kern w:val="0"/>
          <w:szCs w:val="21"/>
        </w:rPr>
        <w:t>（</w:t>
      </w:r>
      <w:r>
        <w:rPr>
          <w:rFonts w:ascii="宋体" w:hAnsi="宋体" w:cs="Arial"/>
          <w:color w:val="auto"/>
          <w:kern w:val="0"/>
          <w:szCs w:val="21"/>
        </w:rPr>
        <w:t>2</w:t>
      </w:r>
      <w:r>
        <w:rPr>
          <w:rFonts w:hint="eastAsia" w:ascii="宋体" w:hAnsi="宋体" w:cs="Arial"/>
          <w:color w:val="auto"/>
          <w:kern w:val="0"/>
          <w:szCs w:val="21"/>
        </w:rPr>
        <w:t>）投标文件解密结束，开启投标文件，进入资格审查；同时组织供应商签署《政府采购活动现场确认声明书》并发送给代理机构；</w:t>
      </w:r>
    </w:p>
    <w:p>
      <w:pPr>
        <w:spacing w:line="360" w:lineRule="auto"/>
        <w:ind w:firstLine="371" w:firstLineChars="177"/>
        <w:jc w:val="left"/>
        <w:rPr>
          <w:rFonts w:hint="eastAsia" w:ascii="宋体" w:hAnsi="宋体" w:cs="Arial"/>
          <w:color w:val="auto"/>
          <w:kern w:val="0"/>
          <w:szCs w:val="21"/>
        </w:rPr>
      </w:pPr>
      <w:r>
        <w:rPr>
          <w:rFonts w:hint="eastAsia" w:ascii="宋体" w:hAnsi="宋体" w:cs="Arial"/>
          <w:color w:val="auto"/>
          <w:kern w:val="0"/>
          <w:szCs w:val="21"/>
        </w:rPr>
        <w:t>（3）开启资格审查通过的投标人的商务技术文件（技术资信文件）进入符合性审查、商务技术（技术资信）评审；</w:t>
      </w:r>
    </w:p>
    <w:p>
      <w:pPr>
        <w:spacing w:line="360" w:lineRule="auto"/>
        <w:ind w:firstLine="371" w:firstLineChars="177"/>
        <w:jc w:val="left"/>
        <w:rPr>
          <w:rFonts w:hint="eastAsia" w:ascii="宋体" w:hAnsi="宋体" w:cs="Arial"/>
          <w:color w:val="auto"/>
          <w:kern w:val="0"/>
          <w:szCs w:val="21"/>
        </w:rPr>
      </w:pPr>
      <w:r>
        <w:rPr>
          <w:rFonts w:hint="eastAsia" w:ascii="宋体" w:hAnsi="宋体" w:cs="Arial"/>
          <w:color w:val="auto"/>
          <w:kern w:val="0"/>
          <w:szCs w:val="21"/>
        </w:rPr>
        <w:t>（4）符合性审查、商务技术（技术资信）评审结束后，在线公布商务技术（技术资信）评审结果。</w:t>
      </w:r>
    </w:p>
    <w:p>
      <w:pPr>
        <w:spacing w:line="360" w:lineRule="auto"/>
        <w:ind w:firstLine="371" w:firstLineChars="177"/>
        <w:jc w:val="left"/>
        <w:rPr>
          <w:rFonts w:hint="eastAsia" w:ascii="宋体" w:hAnsi="宋体" w:cs="Arial"/>
          <w:color w:val="auto"/>
          <w:kern w:val="0"/>
          <w:szCs w:val="21"/>
        </w:rPr>
      </w:pPr>
      <w:r>
        <w:rPr>
          <w:rFonts w:hint="eastAsia" w:ascii="宋体" w:hAnsi="宋体" w:cs="Arial"/>
          <w:color w:val="auto"/>
          <w:kern w:val="0"/>
          <w:szCs w:val="21"/>
        </w:rPr>
        <w:t>（5）开启符合性审查、商务技术（技术资信）评审有效投标人的《报价文件》，各供应商通过CA签字进行报价确认。</w:t>
      </w:r>
      <w:r>
        <w:rPr>
          <w:rFonts w:ascii="宋体" w:hAnsi="宋体" w:cs="Arial"/>
          <w:color w:val="auto"/>
          <w:kern w:val="0"/>
          <w:szCs w:val="21"/>
        </w:rPr>
        <w:t>结束后，由评标委员会对报价的合理性、准确性等进行审查核实</w:t>
      </w:r>
      <w:r>
        <w:rPr>
          <w:rFonts w:hint="eastAsia" w:ascii="宋体" w:hAnsi="宋体" w:cs="Arial"/>
          <w:color w:val="auto"/>
          <w:kern w:val="0"/>
          <w:szCs w:val="21"/>
        </w:rPr>
        <w:t>，</w:t>
      </w:r>
      <w:r>
        <w:rPr>
          <w:rFonts w:ascii="宋体" w:hAnsi="宋体" w:cs="Arial"/>
          <w:color w:val="auto"/>
          <w:kern w:val="0"/>
          <w:szCs w:val="21"/>
        </w:rPr>
        <w:t>并进行报价评审</w:t>
      </w:r>
      <w:r>
        <w:rPr>
          <w:rFonts w:hint="eastAsia" w:ascii="宋体" w:hAnsi="宋体" w:cs="Arial"/>
          <w:color w:val="auto"/>
          <w:kern w:val="0"/>
          <w:szCs w:val="21"/>
        </w:rPr>
        <w:t>。</w:t>
      </w:r>
    </w:p>
    <w:p>
      <w:pPr>
        <w:spacing w:line="360" w:lineRule="auto"/>
        <w:ind w:firstLine="371" w:firstLineChars="177"/>
        <w:jc w:val="left"/>
        <w:rPr>
          <w:rFonts w:hint="eastAsia" w:ascii="宋体" w:hAnsi="宋体" w:cs="宋体"/>
          <w:b/>
          <w:bCs/>
          <w:color w:val="auto"/>
          <w:szCs w:val="21"/>
        </w:rPr>
      </w:pPr>
      <w:r>
        <w:rPr>
          <w:rFonts w:hint="eastAsia" w:ascii="宋体" w:hAnsi="宋体" w:cs="Arial"/>
          <w:color w:val="auto"/>
          <w:kern w:val="0"/>
          <w:szCs w:val="21"/>
        </w:rPr>
        <w:t>（6）评审结束后，在政采云远程开标大厅公布评审结果。</w: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特别说明：政采云公司如对电子化开标及评审程序有调整的，按调整后的程序操作。</w:t>
      </w:r>
    </w:p>
    <w:p>
      <w:pPr>
        <w:pStyle w:val="5"/>
        <w:spacing w:before="0" w:after="0" w:line="360" w:lineRule="auto"/>
        <w:jc w:val="center"/>
        <w:rPr>
          <w:rFonts w:hint="eastAsia"/>
          <w:color w:val="auto"/>
        </w:rPr>
      </w:pPr>
      <w:r>
        <w:rPr>
          <w:rFonts w:hint="eastAsia"/>
          <w:color w:val="auto"/>
        </w:rPr>
        <w:t>六、</w:t>
      </w:r>
      <w:r>
        <w:rPr>
          <w:color w:val="auto"/>
        </w:rPr>
        <w:t>评标</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1"/>
    </w:p>
    <w:p>
      <w:pPr>
        <w:pStyle w:val="13"/>
        <w:snapToGrid w:val="0"/>
        <w:spacing w:line="360" w:lineRule="auto"/>
        <w:rPr>
          <w:rFonts w:hAnsi="宋体"/>
          <w:b/>
          <w:color w:val="auto"/>
        </w:rPr>
      </w:pPr>
      <w:r>
        <w:rPr>
          <w:rFonts w:hint="eastAsia" w:hAnsi="宋体"/>
          <w:b/>
          <w:color w:val="auto"/>
        </w:rPr>
        <w:t>1、</w:t>
      </w:r>
      <w:r>
        <w:rPr>
          <w:rFonts w:hAnsi="宋体"/>
          <w:b/>
          <w:color w:val="auto"/>
        </w:rPr>
        <w:t>组建评标委员会</w:t>
      </w:r>
    </w:p>
    <w:p>
      <w:pPr>
        <w:pStyle w:val="13"/>
        <w:snapToGrid w:val="0"/>
        <w:spacing w:line="360" w:lineRule="auto"/>
        <w:ind w:firstLine="420" w:firstLineChars="200"/>
        <w:rPr>
          <w:rFonts w:hAnsi="宋体"/>
          <w:color w:val="auto"/>
          <w:highlight w:val="none"/>
        </w:rPr>
      </w:pPr>
      <w:r>
        <w:rPr>
          <w:rFonts w:hAnsi="宋体"/>
          <w:color w:val="auto"/>
          <w:highlight w:val="none"/>
        </w:rPr>
        <w:t>本项目评标委员会由</w:t>
      </w:r>
      <w:r>
        <w:rPr>
          <w:rFonts w:hint="eastAsia" w:hAnsi="宋体" w:cs="宋体"/>
          <w:bCs/>
          <w:color w:val="auto"/>
          <w:kern w:val="0"/>
          <w:highlight w:val="none"/>
        </w:rPr>
        <w:t>共</w:t>
      </w:r>
      <w:r>
        <w:rPr>
          <w:rFonts w:hint="eastAsia" w:hAnsi="宋体" w:cs="宋体"/>
          <w:bCs/>
          <w:color w:val="auto"/>
          <w:kern w:val="0"/>
          <w:highlight w:val="none"/>
          <w:lang w:val="en-US" w:eastAsia="zh-CN"/>
        </w:rPr>
        <w:t>7</w:t>
      </w:r>
      <w:r>
        <w:rPr>
          <w:rFonts w:hint="eastAsia" w:hAnsi="宋体" w:cs="宋体"/>
          <w:bCs/>
          <w:color w:val="auto"/>
          <w:kern w:val="0"/>
          <w:highlight w:val="none"/>
        </w:rPr>
        <w:t>人组成，其中采购单位代表</w:t>
      </w:r>
      <w:r>
        <w:rPr>
          <w:rFonts w:hint="eastAsia" w:hAnsi="宋体" w:cs="宋体"/>
          <w:bCs/>
          <w:color w:val="auto"/>
          <w:kern w:val="0"/>
          <w:highlight w:val="none"/>
          <w:lang w:val="en-US" w:eastAsia="zh-CN"/>
        </w:rPr>
        <w:t>2</w:t>
      </w:r>
      <w:r>
        <w:rPr>
          <w:rFonts w:hint="eastAsia" w:hAnsi="宋体" w:cs="宋体"/>
          <w:bCs/>
          <w:color w:val="auto"/>
          <w:kern w:val="0"/>
          <w:highlight w:val="none"/>
        </w:rPr>
        <w:t>名，其余</w:t>
      </w:r>
      <w:r>
        <w:rPr>
          <w:rFonts w:hint="eastAsia" w:hAnsi="宋体" w:cs="宋体"/>
          <w:bCs/>
          <w:color w:val="auto"/>
          <w:kern w:val="0"/>
          <w:highlight w:val="none"/>
          <w:lang w:val="en-US" w:eastAsia="zh-CN"/>
        </w:rPr>
        <w:t>5</w:t>
      </w:r>
      <w:r>
        <w:rPr>
          <w:rFonts w:hint="eastAsia" w:hAnsi="宋体" w:cs="宋体"/>
          <w:bCs/>
          <w:color w:val="auto"/>
          <w:kern w:val="0"/>
          <w:highlight w:val="none"/>
        </w:rPr>
        <w:t>名专家从常山县政府采购评审专家库中随机抽取产生。</w:t>
      </w:r>
    </w:p>
    <w:p>
      <w:pPr>
        <w:pStyle w:val="13"/>
        <w:snapToGrid w:val="0"/>
        <w:spacing w:line="440" w:lineRule="exact"/>
        <w:rPr>
          <w:rFonts w:hAnsi="宋体"/>
          <w:b/>
          <w:color w:val="auto"/>
          <w:highlight w:val="none"/>
        </w:rPr>
      </w:pPr>
      <w:bookmarkStart w:id="122" w:name="_Toc262049425"/>
      <w:bookmarkStart w:id="123" w:name="_Toc410031821"/>
      <w:bookmarkStart w:id="124" w:name="_Toc249758871"/>
      <w:bookmarkStart w:id="125" w:name="_Toc262105510"/>
      <w:bookmarkStart w:id="126" w:name="_Toc249758721"/>
      <w:bookmarkStart w:id="127" w:name="_Toc221356954"/>
      <w:bookmarkStart w:id="128" w:name="_Toc249758867"/>
      <w:bookmarkStart w:id="129" w:name="_Toc262049421"/>
      <w:bookmarkStart w:id="130" w:name="_Toc221356890"/>
      <w:bookmarkStart w:id="131" w:name="_Toc222114882"/>
      <w:bookmarkStart w:id="132" w:name="_Toc241404205"/>
      <w:bookmarkStart w:id="133" w:name="_Toc239145357"/>
      <w:bookmarkStart w:id="134" w:name="_Toc410031819"/>
      <w:bookmarkStart w:id="135" w:name="_Toc221423622"/>
      <w:bookmarkStart w:id="136" w:name="_Toc245191317"/>
      <w:bookmarkStart w:id="137" w:name="_Toc249758715"/>
      <w:bookmarkStart w:id="138" w:name="_Toc223716001"/>
      <w:bookmarkStart w:id="139" w:name="_Toc262105506"/>
      <w:bookmarkStart w:id="140" w:name="_Toc245722284"/>
      <w:bookmarkStart w:id="141" w:name="_Toc246261268"/>
      <w:bookmarkStart w:id="142" w:name="_Toc221374629"/>
      <w:r>
        <w:rPr>
          <w:rFonts w:hint="eastAsia" w:hAnsi="宋体"/>
          <w:b/>
          <w:color w:val="auto"/>
          <w:highlight w:val="none"/>
        </w:rPr>
        <w:t>2、</w:t>
      </w:r>
      <w:r>
        <w:rPr>
          <w:rFonts w:hAnsi="宋体"/>
          <w:b/>
          <w:color w:val="auto"/>
          <w:highlight w:val="none"/>
        </w:rPr>
        <w:t>评标的方式</w:t>
      </w:r>
    </w:p>
    <w:p>
      <w:pPr>
        <w:pStyle w:val="13"/>
        <w:snapToGrid w:val="0"/>
        <w:spacing w:line="440" w:lineRule="exact"/>
        <w:ind w:left="689" w:leftChars="228" w:hanging="210" w:hangingChars="100"/>
        <w:rPr>
          <w:rFonts w:hAnsi="宋体"/>
          <w:color w:val="auto"/>
        </w:rPr>
      </w:pPr>
      <w:r>
        <w:rPr>
          <w:rFonts w:hAnsi="宋体"/>
          <w:color w:val="auto"/>
        </w:rPr>
        <w:t>本项目采用不公开方式评标，评标的依据为招标文件和投标文件。</w:t>
      </w:r>
    </w:p>
    <w:p>
      <w:pPr>
        <w:pStyle w:val="13"/>
        <w:snapToGrid w:val="0"/>
        <w:spacing w:line="440" w:lineRule="exact"/>
        <w:rPr>
          <w:rFonts w:hAnsi="宋体"/>
          <w:b/>
          <w:color w:val="auto"/>
        </w:rPr>
      </w:pPr>
      <w:r>
        <w:rPr>
          <w:rFonts w:hint="eastAsia" w:hAnsi="宋体"/>
          <w:b/>
          <w:bCs/>
          <w:color w:val="auto"/>
        </w:rPr>
        <w:t>3、</w:t>
      </w:r>
      <w:r>
        <w:rPr>
          <w:rFonts w:hAnsi="宋体"/>
          <w:b/>
          <w:bCs/>
          <w:color w:val="auto"/>
        </w:rPr>
        <w:t>评标程序</w:t>
      </w:r>
    </w:p>
    <w:p>
      <w:pPr>
        <w:snapToGrid w:val="0"/>
        <w:spacing w:line="440" w:lineRule="exact"/>
        <w:ind w:firstLine="413" w:firstLineChars="196"/>
        <w:rPr>
          <w:rFonts w:ascii="宋体" w:hAnsi="宋体"/>
          <w:b/>
          <w:bCs/>
          <w:color w:val="auto"/>
          <w:szCs w:val="21"/>
        </w:rPr>
      </w:pPr>
      <w:r>
        <w:rPr>
          <w:rFonts w:hint="eastAsia" w:ascii="宋体" w:hAnsi="宋体"/>
          <w:b/>
          <w:bCs/>
          <w:color w:val="auto"/>
          <w:szCs w:val="21"/>
        </w:rPr>
        <w:t>3.1</w:t>
      </w:r>
      <w:r>
        <w:rPr>
          <w:rFonts w:ascii="宋体" w:hAnsi="宋体"/>
          <w:b/>
          <w:bCs/>
          <w:color w:val="auto"/>
          <w:szCs w:val="21"/>
        </w:rPr>
        <w:t>形式审查</w:t>
      </w:r>
    </w:p>
    <w:p>
      <w:pPr>
        <w:snapToGrid w:val="0"/>
        <w:spacing w:line="440" w:lineRule="exact"/>
        <w:ind w:firstLine="420" w:firstLineChars="200"/>
        <w:rPr>
          <w:rFonts w:hint="eastAsia" w:ascii="宋体" w:hAnsi="宋体"/>
          <w:b/>
          <w:color w:val="auto"/>
          <w:szCs w:val="21"/>
        </w:rPr>
      </w:pPr>
      <w:r>
        <w:rPr>
          <w:rFonts w:hint="eastAsia" w:ascii="宋体" w:hAnsi="宋体"/>
          <w:color w:val="auto"/>
          <w:szCs w:val="21"/>
        </w:rPr>
        <w:t>采购单位代表和代理机构工作人员协助评标委员会对投标人的</w:t>
      </w:r>
      <w:r>
        <w:rPr>
          <w:rFonts w:ascii="宋体" w:hAnsi="宋体"/>
          <w:color w:val="auto"/>
          <w:szCs w:val="21"/>
        </w:rPr>
        <w:t>投标文件的完整性、合法性等进行审查。</w:t>
      </w:r>
    </w:p>
    <w:p>
      <w:pPr>
        <w:snapToGrid w:val="0"/>
        <w:spacing w:line="440" w:lineRule="exact"/>
        <w:ind w:firstLine="413" w:firstLineChars="196"/>
        <w:rPr>
          <w:rFonts w:ascii="宋体" w:hAnsi="宋体"/>
          <w:b/>
          <w:bCs/>
          <w:color w:val="auto"/>
          <w:szCs w:val="21"/>
        </w:rPr>
      </w:pPr>
      <w:r>
        <w:rPr>
          <w:rFonts w:hint="eastAsia" w:ascii="宋体" w:hAnsi="宋体"/>
          <w:b/>
          <w:bCs/>
          <w:color w:val="auto"/>
          <w:szCs w:val="21"/>
        </w:rPr>
        <w:t>3.2</w:t>
      </w:r>
      <w:r>
        <w:rPr>
          <w:rFonts w:ascii="宋体" w:hAnsi="宋体"/>
          <w:b/>
          <w:bCs/>
          <w:color w:val="auto"/>
          <w:szCs w:val="21"/>
        </w:rPr>
        <w:t>实质审查与比较</w:t>
      </w:r>
    </w:p>
    <w:p>
      <w:pPr>
        <w:snapToGrid w:val="0"/>
        <w:spacing w:line="44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1）评标委员会审查投标文件的实质性内容是否符合招标文件的实质性要求。</w:t>
      </w:r>
    </w:p>
    <w:p>
      <w:pPr>
        <w:snapToGrid w:val="0"/>
        <w:spacing w:line="44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2）评标委员会根据投标人的投标文件进行审查、核对,如有疑问,对投标人进行</w:t>
      </w:r>
      <w:r>
        <w:rPr>
          <w:rFonts w:hint="eastAsia" w:ascii="宋体" w:hAnsi="宋体"/>
          <w:color w:val="auto"/>
          <w:szCs w:val="21"/>
        </w:rPr>
        <w:t>在线</w:t>
      </w:r>
      <w:r>
        <w:rPr>
          <w:rFonts w:ascii="宋体" w:hAnsi="宋体"/>
          <w:color w:val="auto"/>
          <w:szCs w:val="21"/>
        </w:rPr>
        <w:t>询标,投标人要向评标委员会澄清有关问题,并最终以书面形式进行答复。</w:t>
      </w:r>
    </w:p>
    <w:p>
      <w:pPr>
        <w:snapToGrid w:val="0"/>
        <w:spacing w:line="440" w:lineRule="exact"/>
        <w:rPr>
          <w:rFonts w:ascii="宋体" w:hAnsi="宋体"/>
          <w:color w:val="auto"/>
          <w:szCs w:val="21"/>
        </w:rPr>
      </w:pPr>
      <w:r>
        <w:rPr>
          <w:rFonts w:hint="eastAsia" w:ascii="宋体" w:hAnsi="宋体"/>
          <w:color w:val="auto"/>
          <w:szCs w:val="21"/>
        </w:rPr>
        <w:t xml:space="preserve">    投标人代表拒绝澄清或者未按规定时间提交澄清文件或者澄清的内容改变了投标文件的实质性内容的，评标委员会有权对该投标文件作出不利于投标人的评判。</w:t>
      </w:r>
    </w:p>
    <w:p>
      <w:pPr>
        <w:snapToGrid w:val="0"/>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3）各投标人的</w:t>
      </w:r>
      <w:r>
        <w:rPr>
          <w:rFonts w:hint="eastAsia" w:ascii="宋体" w:hAnsi="宋体"/>
          <w:color w:val="auto"/>
          <w:szCs w:val="21"/>
        </w:rPr>
        <w:t>技术</w:t>
      </w:r>
      <w:r>
        <w:rPr>
          <w:rFonts w:ascii="宋体" w:hAnsi="宋体"/>
          <w:color w:val="auto"/>
          <w:szCs w:val="21"/>
        </w:rPr>
        <w:t>分为所有评委的有效评分的算术平均数</w:t>
      </w:r>
      <w:r>
        <w:rPr>
          <w:rFonts w:hint="eastAsia" w:ascii="宋体" w:hAnsi="宋体"/>
          <w:color w:val="auto"/>
          <w:szCs w:val="21"/>
        </w:rPr>
        <w:t>，资信分由评委依据评审依据和评审标准打分</w:t>
      </w:r>
      <w:r>
        <w:rPr>
          <w:rFonts w:ascii="宋体" w:hAnsi="宋体"/>
          <w:color w:val="auto"/>
          <w:szCs w:val="21"/>
        </w:rPr>
        <w:t>。</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pPr>
        <w:snapToGrid w:val="0"/>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5）评标委员会完成评标后,评委对各部分得分汇总,</w:t>
      </w:r>
      <w:r>
        <w:rPr>
          <w:rFonts w:hint="eastAsia" w:ascii="宋体" w:hAnsi="宋体"/>
          <w:color w:val="auto"/>
          <w:szCs w:val="21"/>
        </w:rPr>
        <w:t>计算</w:t>
      </w:r>
      <w:r>
        <w:rPr>
          <w:rFonts w:ascii="宋体" w:hAnsi="宋体"/>
          <w:color w:val="auto"/>
          <w:szCs w:val="21"/>
        </w:rPr>
        <w:t>出本项目</w:t>
      </w:r>
      <w:r>
        <w:rPr>
          <w:rFonts w:hint="eastAsia" w:ascii="宋体" w:hAnsi="宋体"/>
          <w:color w:val="auto"/>
          <w:szCs w:val="21"/>
        </w:rPr>
        <w:t>最终得分等</w:t>
      </w:r>
      <w:r>
        <w:rPr>
          <w:rFonts w:ascii="宋体" w:hAnsi="宋体"/>
          <w:color w:val="auto"/>
          <w:szCs w:val="21"/>
        </w:rPr>
        <w:t>。评标委员会按评标原则推荐中标候选人同时起草评标报告。</w:t>
      </w:r>
    </w:p>
    <w:p>
      <w:pPr>
        <w:snapToGrid w:val="0"/>
        <w:spacing w:line="360" w:lineRule="auto"/>
        <w:rPr>
          <w:rFonts w:ascii="宋体" w:hAnsi="宋体"/>
          <w:b/>
          <w:color w:val="auto"/>
          <w:szCs w:val="21"/>
        </w:rPr>
      </w:pPr>
      <w:r>
        <w:rPr>
          <w:rFonts w:hint="eastAsia" w:ascii="宋体" w:hAnsi="宋体"/>
          <w:b/>
          <w:color w:val="auto"/>
          <w:szCs w:val="21"/>
        </w:rPr>
        <w:t>4、澄清问题的形式</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3"/>
        <w:spacing w:line="360" w:lineRule="auto"/>
        <w:jc w:val="left"/>
        <w:rPr>
          <w:rFonts w:hint="eastAsia"/>
          <w:color w:val="auto"/>
        </w:rPr>
      </w:pPr>
      <w:r>
        <w:rPr>
          <w:rFonts w:hint="eastAsia" w:ascii="宋体" w:hAnsi="宋体"/>
          <w:color w:val="auto"/>
          <w:szCs w:val="21"/>
        </w:rPr>
        <w:t xml:space="preserve">    </w:t>
      </w:r>
      <w:bookmarkStart w:id="143" w:name="_Toc12312"/>
      <w:bookmarkStart w:id="144" w:name="_Toc14243"/>
      <w:r>
        <w:rPr>
          <w:rFonts w:hint="eastAsia" w:ascii="宋体" w:hAnsi="宋体" w:eastAsia="宋体"/>
          <w:b w:val="0"/>
          <w:bCs w:val="0"/>
          <w:color w:val="auto"/>
          <w:szCs w:val="21"/>
        </w:rPr>
        <w:t>经澄清后，若偏差仍存在，且不可接受，投标人则被认为是“没有实质性响应招标文件要求”，其投标不进入下一步评审。</w:t>
      </w:r>
      <w:bookmarkEnd w:id="143"/>
      <w:bookmarkEnd w:id="144"/>
    </w:p>
    <w:p>
      <w:pPr>
        <w:pStyle w:val="13"/>
        <w:snapToGrid w:val="0"/>
        <w:spacing w:line="360" w:lineRule="auto"/>
        <w:rPr>
          <w:rFonts w:hAnsi="宋体"/>
          <w:b/>
          <w:color w:val="auto"/>
        </w:rPr>
      </w:pPr>
      <w:r>
        <w:rPr>
          <w:rFonts w:hint="eastAsia" w:hAnsi="宋体"/>
          <w:b/>
          <w:color w:val="auto"/>
        </w:rPr>
        <w:t>5、</w:t>
      </w:r>
      <w:r>
        <w:rPr>
          <w:rFonts w:hAnsi="宋体"/>
          <w:b/>
          <w:color w:val="auto"/>
        </w:rPr>
        <w:t>错误修正</w:t>
      </w:r>
    </w:p>
    <w:p>
      <w:pPr>
        <w:pStyle w:val="13"/>
        <w:snapToGrid w:val="0"/>
        <w:spacing w:line="360" w:lineRule="auto"/>
        <w:ind w:left="689" w:leftChars="228" w:hanging="210" w:hangingChars="100"/>
        <w:rPr>
          <w:rFonts w:hAnsi="宋体"/>
          <w:color w:val="auto"/>
        </w:rPr>
      </w:pPr>
      <w:r>
        <w:rPr>
          <w:rFonts w:hAnsi="宋体"/>
          <w:color w:val="auto"/>
        </w:rPr>
        <w:t>投标文件如果出现计算或表达上的错误，修正错误的原则如下：</w:t>
      </w:r>
    </w:p>
    <w:p>
      <w:pPr>
        <w:pStyle w:val="13"/>
        <w:snapToGrid w:val="0"/>
        <w:spacing w:line="360" w:lineRule="auto"/>
        <w:ind w:firstLine="420" w:firstLineChars="200"/>
        <w:rPr>
          <w:rFonts w:hint="eastAsia" w:hAnsi="宋体"/>
          <w:color w:val="auto"/>
        </w:rPr>
      </w:pPr>
      <w:r>
        <w:rPr>
          <w:rFonts w:hint="eastAsia" w:hAnsi="宋体"/>
          <w:color w:val="auto"/>
        </w:rPr>
        <w:t>（1）投标文件中开标一览表（报价表）内容与投标文件中相应内容不一致的，以开标一览表（报价表）为准；</w:t>
      </w:r>
    </w:p>
    <w:p>
      <w:pPr>
        <w:pStyle w:val="13"/>
        <w:snapToGrid w:val="0"/>
        <w:spacing w:line="440" w:lineRule="exact"/>
        <w:ind w:firstLine="420" w:firstLineChars="200"/>
        <w:rPr>
          <w:rFonts w:hint="eastAsia" w:hAnsi="宋体"/>
          <w:color w:val="auto"/>
        </w:rPr>
      </w:pPr>
      <w:r>
        <w:rPr>
          <w:rFonts w:hint="eastAsia" w:hAnsi="宋体"/>
          <w:color w:val="auto"/>
        </w:rPr>
        <w:t>（2）大写金额和小写金额不一致的，以大写金额为准；</w:t>
      </w:r>
    </w:p>
    <w:p>
      <w:pPr>
        <w:pStyle w:val="13"/>
        <w:snapToGrid w:val="0"/>
        <w:spacing w:line="440" w:lineRule="exact"/>
        <w:ind w:firstLine="420" w:firstLineChars="200"/>
        <w:rPr>
          <w:rFonts w:hint="eastAsia" w:hAnsi="宋体"/>
          <w:color w:val="auto"/>
        </w:rPr>
      </w:pPr>
      <w:r>
        <w:rPr>
          <w:rFonts w:hint="eastAsia" w:hAnsi="宋体"/>
          <w:color w:val="auto"/>
        </w:rPr>
        <w:t>（3）单价金额小数点或者百分比有明显错位的，以开标一览表的总价为准，并修改单价；</w:t>
      </w:r>
    </w:p>
    <w:p>
      <w:pPr>
        <w:pStyle w:val="13"/>
        <w:snapToGrid w:val="0"/>
        <w:spacing w:line="440" w:lineRule="exact"/>
        <w:ind w:firstLine="420" w:firstLineChars="200"/>
        <w:rPr>
          <w:rFonts w:hint="eastAsia" w:hAnsi="宋体"/>
          <w:color w:val="auto"/>
        </w:rPr>
      </w:pPr>
      <w:r>
        <w:rPr>
          <w:rFonts w:hint="eastAsia" w:hAnsi="宋体"/>
          <w:color w:val="auto"/>
        </w:rPr>
        <w:t>（4）总价金额与按单价汇总金额不一致的，以单价金额计算结果为准。</w:t>
      </w:r>
    </w:p>
    <w:p>
      <w:pPr>
        <w:pStyle w:val="13"/>
        <w:snapToGrid w:val="0"/>
        <w:spacing w:line="440" w:lineRule="exact"/>
        <w:ind w:firstLine="422" w:firstLineChars="200"/>
        <w:rPr>
          <w:rFonts w:hAnsi="宋体"/>
          <w:b/>
          <w:bCs/>
          <w:color w:val="auto"/>
        </w:rPr>
      </w:pPr>
      <w:r>
        <w:rPr>
          <w:rFonts w:hint="eastAsia" w:hAnsi="宋体"/>
          <w:b/>
          <w:bCs/>
          <w:color w:val="auto"/>
        </w:rPr>
        <w:t>同时出现两种以上不一致的，按照前款规定的顺序修正。</w:t>
      </w:r>
      <w:r>
        <w:rPr>
          <w:rFonts w:hAnsi="宋体"/>
          <w:b/>
          <w:bCs/>
          <w:color w:val="auto"/>
        </w:rPr>
        <w:t>按上述修正错误的原则及方法调整或修正投标文件的投标报价</w:t>
      </w:r>
      <w:r>
        <w:rPr>
          <w:rFonts w:hint="eastAsia" w:hAnsi="宋体"/>
          <w:b/>
          <w:bCs/>
          <w:color w:val="auto"/>
        </w:rPr>
        <w:t>应当采用书面形式，并加盖公章。</w:t>
      </w:r>
      <w:r>
        <w:rPr>
          <w:rFonts w:hAnsi="宋体"/>
          <w:b/>
          <w:bCs/>
          <w:color w:val="auto"/>
        </w:rPr>
        <w:t>投标人</w:t>
      </w:r>
      <w:r>
        <w:rPr>
          <w:rFonts w:hint="eastAsia" w:hAnsi="宋体"/>
          <w:b/>
          <w:bCs/>
          <w:color w:val="auto"/>
        </w:rPr>
        <w:t>确认</w:t>
      </w:r>
      <w:r>
        <w:rPr>
          <w:rFonts w:hAnsi="宋体"/>
          <w:b/>
          <w:bCs/>
          <w:color w:val="auto"/>
        </w:rPr>
        <w:t>后</w:t>
      </w:r>
      <w:r>
        <w:rPr>
          <w:rFonts w:hint="eastAsia" w:hAnsi="宋体"/>
          <w:b/>
          <w:bCs/>
          <w:color w:val="auto"/>
        </w:rPr>
        <w:t>产生约束力，投标人不确认的，其投标无效</w:t>
      </w:r>
      <w:r>
        <w:rPr>
          <w:rFonts w:hAnsi="宋体"/>
          <w:b/>
          <w:bCs/>
          <w:color w:val="auto"/>
        </w:rPr>
        <w:t>。</w:t>
      </w:r>
    </w:p>
    <w:p>
      <w:pPr>
        <w:pStyle w:val="13"/>
        <w:tabs>
          <w:tab w:val="left" w:pos="630"/>
        </w:tabs>
        <w:snapToGrid w:val="0"/>
        <w:spacing w:line="440" w:lineRule="exact"/>
        <w:rPr>
          <w:rFonts w:hAnsi="宋体"/>
          <w:b/>
          <w:color w:val="auto"/>
        </w:rPr>
      </w:pPr>
      <w:r>
        <w:rPr>
          <w:rFonts w:hint="eastAsia" w:hAnsi="宋体"/>
          <w:b/>
          <w:color w:val="auto"/>
        </w:rPr>
        <w:t>6、</w:t>
      </w:r>
      <w:r>
        <w:rPr>
          <w:rFonts w:hAnsi="宋体"/>
          <w:b/>
          <w:color w:val="auto"/>
        </w:rPr>
        <w:t>评标原则和评标办法</w:t>
      </w:r>
    </w:p>
    <w:p>
      <w:pPr>
        <w:pStyle w:val="13"/>
        <w:snapToGrid w:val="0"/>
        <w:spacing w:line="440" w:lineRule="exact"/>
        <w:ind w:firstLine="420" w:firstLineChars="200"/>
        <w:rPr>
          <w:rFonts w:hint="eastAsia" w:hAnsi="宋体"/>
          <w:color w:val="auto"/>
        </w:rPr>
      </w:pPr>
      <w:r>
        <w:rPr>
          <w:rFonts w:hint="eastAsia" w:hAnsi="宋体"/>
          <w:color w:val="auto"/>
        </w:rPr>
        <w:t>6.1</w:t>
      </w:r>
      <w:r>
        <w:rPr>
          <w:rFonts w:hAnsi="宋体"/>
          <w:color w:val="auto"/>
        </w:rPr>
        <w:t>评标原则。评标委员会必须公平、公正、客观，不带任何倾向性和启发性；不得向外界透露任何</w:t>
      </w:r>
      <w:r>
        <w:rPr>
          <w:rFonts w:hint="eastAsia" w:hAnsi="宋体"/>
          <w:color w:val="auto"/>
        </w:rPr>
        <w:t>与评标有关的内容；任何单位和个人不得干扰、影响评标的正常进行；评标委员会及有关工作人员不得私下与投标人接触。</w:t>
      </w:r>
    </w:p>
    <w:p>
      <w:pPr>
        <w:pStyle w:val="13"/>
        <w:snapToGrid w:val="0"/>
        <w:spacing w:line="440" w:lineRule="exact"/>
        <w:ind w:firstLine="420" w:firstLineChars="200"/>
        <w:rPr>
          <w:rFonts w:hAnsi="宋体"/>
          <w:color w:val="auto"/>
        </w:rPr>
      </w:pPr>
      <w:r>
        <w:rPr>
          <w:rFonts w:hint="eastAsia" w:hAnsi="宋体"/>
          <w:color w:val="auto"/>
        </w:rPr>
        <w:t>6.2</w:t>
      </w:r>
      <w:r>
        <w:rPr>
          <w:rFonts w:hAnsi="宋体"/>
          <w:color w:val="auto"/>
        </w:rPr>
        <w:t>评标办法。本项目评标办法是</w:t>
      </w:r>
      <w:r>
        <w:rPr>
          <w:rFonts w:hint="eastAsia" w:hAnsi="宋体"/>
          <w:color w:val="auto"/>
        </w:rPr>
        <w:t>综合评分法</w:t>
      </w:r>
      <w:r>
        <w:rPr>
          <w:rFonts w:hAnsi="宋体"/>
          <w:color w:val="auto"/>
        </w:rPr>
        <w:t>，具体评标内容及评分标准等详见《第</w:t>
      </w:r>
      <w:r>
        <w:rPr>
          <w:rFonts w:hint="eastAsia" w:hAnsi="宋体"/>
          <w:color w:val="auto"/>
        </w:rPr>
        <w:t>五</w:t>
      </w:r>
      <w:r>
        <w:rPr>
          <w:rFonts w:hAnsi="宋体"/>
          <w:color w:val="auto"/>
        </w:rPr>
        <w:t>章：评标</w:t>
      </w:r>
      <w:r>
        <w:rPr>
          <w:rFonts w:hint="eastAsia" w:hAnsi="宋体"/>
          <w:color w:val="auto"/>
        </w:rPr>
        <w:t>原则及方法</w:t>
      </w:r>
      <w:r>
        <w:rPr>
          <w:rFonts w:hAnsi="宋体"/>
          <w:color w:val="auto"/>
        </w:rPr>
        <w:t>》。</w:t>
      </w:r>
    </w:p>
    <w:p>
      <w:pPr>
        <w:pStyle w:val="13"/>
        <w:snapToGrid w:val="0"/>
        <w:spacing w:line="440" w:lineRule="exact"/>
        <w:rPr>
          <w:rFonts w:hint="eastAsia" w:hAnsi="宋体"/>
          <w:b/>
          <w:bCs/>
          <w:color w:val="auto"/>
        </w:rPr>
      </w:pPr>
      <w:r>
        <w:rPr>
          <w:rFonts w:hint="eastAsia" w:hAnsi="宋体"/>
          <w:b/>
          <w:bCs/>
          <w:color w:val="auto"/>
        </w:rPr>
        <w:t>7、无效标条款</w:t>
      </w:r>
    </w:p>
    <w:p>
      <w:pPr>
        <w:snapToGrid w:val="0"/>
        <w:spacing w:line="440" w:lineRule="exact"/>
        <w:ind w:firstLine="422" w:firstLineChars="200"/>
        <w:rPr>
          <w:rFonts w:hint="eastAsia" w:ascii="宋体" w:hAnsi="宋体"/>
          <w:b/>
          <w:color w:val="auto"/>
          <w:szCs w:val="21"/>
        </w:rPr>
      </w:pPr>
      <w:r>
        <w:rPr>
          <w:rFonts w:hint="eastAsia" w:hAnsi="宋体"/>
          <w:b/>
          <w:bCs/>
          <w:color w:val="auto"/>
        </w:rPr>
        <w:t>7.1</w:t>
      </w:r>
      <w:r>
        <w:rPr>
          <w:rFonts w:hint="eastAsia" w:ascii="宋体" w:hAnsi="宋体"/>
          <w:b/>
          <w:color w:val="auto"/>
          <w:szCs w:val="21"/>
        </w:rPr>
        <w:t>开标时，如出现以下情况之一的，则投标文件无效：</w:t>
      </w:r>
    </w:p>
    <w:p>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（1）投标文件未按招标文件要求签署、签章的；</w:t>
      </w:r>
    </w:p>
    <w:p>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（2）不具备招标文件中规定的资格要求的；</w:t>
      </w:r>
    </w:p>
    <w:p>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（3）报价超过招标文件中规定的预算金额或者最高限价的；</w:t>
      </w:r>
    </w:p>
    <w:p>
      <w:pPr>
        <w:snapToGrid w:val="0"/>
        <w:spacing w:line="360" w:lineRule="auto"/>
        <w:ind w:firstLine="422" w:firstLineChars="200"/>
        <w:rPr>
          <w:rFonts w:hint="eastAsia" w:ascii="宋体" w:hAnsi="宋体"/>
          <w:b/>
          <w:color w:val="auto"/>
          <w:szCs w:val="21"/>
        </w:rPr>
      </w:pPr>
      <w:r>
        <w:rPr>
          <w:rFonts w:hint="eastAsia" w:ascii="宋体" w:hAnsi="宋体"/>
          <w:b/>
          <w:color w:val="auto"/>
          <w:szCs w:val="21"/>
        </w:rPr>
        <w:t>（4）投标文件含有采购单位不能接受的附加条件的；</w:t>
      </w:r>
    </w:p>
    <w:p>
      <w:pPr>
        <w:snapToGrid w:val="0"/>
        <w:spacing w:line="360" w:lineRule="auto"/>
        <w:ind w:firstLine="422" w:firstLineChars="200"/>
        <w:rPr>
          <w:rFonts w:hint="eastAsia" w:ascii="宋体" w:hAnsi="宋体" w:cs="宋体"/>
          <w:b/>
          <w:color w:val="auto"/>
          <w:szCs w:val="21"/>
        </w:rPr>
      </w:pPr>
      <w:r>
        <w:rPr>
          <w:rFonts w:hint="eastAsia" w:ascii="宋体" w:hAnsi="宋体"/>
          <w:b/>
          <w:color w:val="auto"/>
          <w:szCs w:val="21"/>
        </w:rPr>
        <w:t>（5）法律、法规和招标文件规定的其他无效情形</w:t>
      </w:r>
      <w:r>
        <w:rPr>
          <w:rFonts w:hint="eastAsia" w:ascii="宋体" w:hAnsi="宋体" w:cs="宋体"/>
          <w:b/>
          <w:color w:val="auto"/>
          <w:szCs w:val="21"/>
        </w:rPr>
        <w:t>；</w:t>
      </w:r>
    </w:p>
    <w:p>
      <w:pPr>
        <w:snapToGrid w:val="0"/>
        <w:spacing w:line="360" w:lineRule="auto"/>
        <w:ind w:firstLine="422" w:firstLineChars="200"/>
        <w:rPr>
          <w:rFonts w:hint="eastAsia" w:ascii="宋体" w:hAnsi="宋体"/>
          <w:b/>
          <w:color w:val="auto"/>
          <w:szCs w:val="21"/>
        </w:rPr>
      </w:pPr>
      <w:r>
        <w:rPr>
          <w:rFonts w:hint="eastAsia" w:ascii="宋体" w:hAnsi="宋体" w:cs="宋体"/>
          <w:b/>
          <w:color w:val="auto"/>
          <w:szCs w:val="21"/>
        </w:rPr>
        <w:t>（6）投标文件明显不符合采购文件要求的或者与采购文件标注“▲”的条款发生实质性负偏离的</w:t>
      </w:r>
      <w:r>
        <w:rPr>
          <w:rFonts w:hint="eastAsia" w:ascii="宋体" w:hAnsi="宋体"/>
          <w:b/>
          <w:color w:val="auto"/>
          <w:szCs w:val="21"/>
        </w:rPr>
        <w:t>。</w:t>
      </w:r>
    </w:p>
    <w:p>
      <w:pPr>
        <w:snapToGrid w:val="0"/>
        <w:spacing w:line="360" w:lineRule="auto"/>
        <w:ind w:firstLine="422" w:firstLineChars="200"/>
        <w:rPr>
          <w:rFonts w:hint="eastAsia"/>
          <w:color w:val="auto"/>
        </w:rPr>
      </w:pPr>
      <w:r>
        <w:rPr>
          <w:rFonts w:hint="eastAsia" w:ascii="宋体" w:hAnsi="宋体" w:cs="宋体"/>
          <w:b/>
          <w:color w:val="auto"/>
          <w:szCs w:val="21"/>
        </w:rPr>
        <w:t>（7）响应文件解密失败的。</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7.2有下列情形之一的，视为投标人串通投标，其投标无效：</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（1）不同投标人的投标文件由同一单位或者个人编制；</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（2）不同投标人委托同一单位或者个人办理投标事宜；</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（3）不同投标人的投标文件载明的项目管理成员或者联系人员为同一人；</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（4）不同投标人的投标文件异常一致或者投标报价呈规律性差异；</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（5）不同投标人的投标文件相互混装；</w:t>
      </w:r>
    </w:p>
    <w:p>
      <w:pPr>
        <w:snapToGrid w:val="0"/>
        <w:spacing w:line="440" w:lineRule="exact"/>
        <w:ind w:firstLine="422" w:firstLineChars="200"/>
        <w:rPr>
          <w:rFonts w:hint="eastAsia" w:ascii="宋体" w:hAnsi="宋体"/>
          <w:b/>
          <w:color w:val="auto"/>
          <w:szCs w:val="21"/>
        </w:rPr>
      </w:pPr>
      <w:r>
        <w:rPr>
          <w:rFonts w:hint="eastAsia" w:ascii="宋体" w:hAnsi="宋体"/>
          <w:b/>
          <w:color w:val="auto"/>
          <w:szCs w:val="21"/>
        </w:rPr>
        <w:t>7.3评标委员会认为投标人的报价明显低于其他通过符合性审查投标人的报价，有可能影响产品质量或者不能诚信履约的，应当要求其在评标现场合理的时间内在线提供书面说明，必要时提交相关证明材料；投标人不能证明其报价合理性的，评标委员会应当将其作为无效投标处理。</w:t>
      </w:r>
    </w:p>
    <w:p>
      <w:pPr>
        <w:pStyle w:val="61"/>
        <w:spacing w:line="440" w:lineRule="exact"/>
        <w:rPr>
          <w:rFonts w:hint="eastAsia" w:ascii="宋体" w:hAnsi="宋体"/>
          <w:b/>
          <w:color w:val="auto"/>
          <w:szCs w:val="21"/>
        </w:rPr>
      </w:pPr>
      <w:r>
        <w:rPr>
          <w:rFonts w:hint="eastAsia" w:ascii="宋体" w:hAnsi="宋体"/>
          <w:b/>
          <w:color w:val="auto"/>
          <w:szCs w:val="21"/>
        </w:rPr>
        <w:t>8、废标的情形</w:t>
      </w:r>
    </w:p>
    <w:p>
      <w:pPr>
        <w:pStyle w:val="61"/>
        <w:spacing w:line="440" w:lineRule="exact"/>
        <w:ind w:firstLine="421"/>
        <w:rPr>
          <w:rFonts w:hint="eastAsia" w:ascii="宋体" w:hAnsi="宋体"/>
          <w:b/>
          <w:color w:val="auto"/>
          <w:szCs w:val="21"/>
        </w:rPr>
      </w:pPr>
      <w:r>
        <w:rPr>
          <w:rFonts w:hint="eastAsia" w:ascii="宋体" w:hAnsi="宋体"/>
          <w:b/>
          <w:color w:val="auto"/>
          <w:szCs w:val="21"/>
        </w:rPr>
        <w:t>8.1 如出现以下情况之一的，则废标：</w:t>
      </w:r>
    </w:p>
    <w:p>
      <w:pPr>
        <w:pStyle w:val="61"/>
        <w:spacing w:line="440" w:lineRule="exact"/>
        <w:ind w:firstLine="421"/>
        <w:rPr>
          <w:rFonts w:hint="eastAsia" w:ascii="宋体" w:hAnsi="宋体"/>
          <w:bCs/>
          <w:color w:val="auto"/>
          <w:szCs w:val="21"/>
        </w:rPr>
      </w:pPr>
      <w:r>
        <w:rPr>
          <w:rFonts w:hint="eastAsia" w:ascii="宋体" w:hAnsi="宋体"/>
          <w:bCs/>
          <w:color w:val="auto"/>
          <w:szCs w:val="21"/>
        </w:rPr>
        <w:t>（1）投标截止时间后或评审期间，符合专业条件的供应商或者对招标文件作实质响应的投标人不足三家的；</w:t>
      </w:r>
    </w:p>
    <w:p>
      <w:pPr>
        <w:pStyle w:val="61"/>
        <w:spacing w:line="440" w:lineRule="exact"/>
        <w:ind w:firstLine="421"/>
        <w:rPr>
          <w:rFonts w:hint="eastAsia" w:ascii="宋体" w:hAnsi="宋体"/>
          <w:bCs/>
          <w:color w:val="auto"/>
          <w:szCs w:val="21"/>
        </w:rPr>
      </w:pPr>
      <w:r>
        <w:rPr>
          <w:rFonts w:hint="eastAsia" w:ascii="宋体" w:hAnsi="宋体"/>
          <w:bCs/>
          <w:color w:val="auto"/>
          <w:szCs w:val="21"/>
        </w:rPr>
        <w:t>（2）出现影响采购公正的违法、违规行为的；</w:t>
      </w:r>
    </w:p>
    <w:p>
      <w:pPr>
        <w:pStyle w:val="61"/>
        <w:spacing w:line="440" w:lineRule="exact"/>
        <w:ind w:firstLine="421"/>
        <w:rPr>
          <w:rFonts w:hint="eastAsia" w:ascii="宋体" w:hAnsi="宋体"/>
          <w:bCs/>
          <w:color w:val="auto"/>
          <w:szCs w:val="21"/>
        </w:rPr>
      </w:pPr>
      <w:r>
        <w:rPr>
          <w:rFonts w:hint="eastAsia" w:ascii="宋体" w:hAnsi="宋体"/>
          <w:bCs/>
          <w:color w:val="auto"/>
          <w:szCs w:val="21"/>
        </w:rPr>
        <w:t>（3）投标人的报价均超过了采购预算，采购单位不能支付的；</w:t>
      </w:r>
    </w:p>
    <w:p>
      <w:pPr>
        <w:pStyle w:val="61"/>
        <w:spacing w:line="440" w:lineRule="exact"/>
        <w:ind w:firstLine="421"/>
        <w:rPr>
          <w:rFonts w:hint="eastAsia" w:ascii="宋体" w:hAnsi="宋体"/>
          <w:bCs/>
          <w:color w:val="auto"/>
          <w:szCs w:val="21"/>
        </w:rPr>
      </w:pPr>
      <w:r>
        <w:rPr>
          <w:rFonts w:hint="eastAsia" w:ascii="宋体" w:hAnsi="宋体"/>
          <w:bCs/>
          <w:color w:val="auto"/>
          <w:szCs w:val="21"/>
        </w:rPr>
        <w:t>（4）因重大变故，采购任务取消的。</w:t>
      </w:r>
    </w:p>
    <w:p>
      <w:pPr>
        <w:pStyle w:val="61"/>
        <w:spacing w:line="440" w:lineRule="exact"/>
        <w:ind w:firstLine="421"/>
        <w:rPr>
          <w:rFonts w:hint="eastAsia" w:ascii="宋体" w:hAnsi="宋体"/>
          <w:b/>
          <w:color w:val="auto"/>
          <w:szCs w:val="21"/>
        </w:rPr>
      </w:pPr>
      <w:r>
        <w:rPr>
          <w:rFonts w:hint="eastAsia" w:ascii="宋体" w:hAnsi="宋体"/>
          <w:b/>
          <w:color w:val="auto"/>
          <w:szCs w:val="21"/>
        </w:rPr>
        <w:t>8.2 废标后，废标理由将在原招标公告发布媒体上公告通知所有投标人。</w:t>
      </w:r>
    </w:p>
    <w:p>
      <w:pPr>
        <w:pStyle w:val="13"/>
        <w:snapToGrid w:val="0"/>
        <w:spacing w:line="440" w:lineRule="exact"/>
        <w:rPr>
          <w:rFonts w:hAnsi="宋体"/>
          <w:b/>
          <w:color w:val="auto"/>
        </w:rPr>
      </w:pPr>
      <w:r>
        <w:rPr>
          <w:rFonts w:hint="eastAsia" w:hAnsi="宋体"/>
          <w:b/>
          <w:color w:val="auto"/>
        </w:rPr>
        <w:t>9、</w:t>
      </w:r>
      <w:r>
        <w:rPr>
          <w:rFonts w:hAnsi="宋体"/>
          <w:b/>
          <w:color w:val="auto"/>
        </w:rPr>
        <w:t>评标过程的监控</w:t>
      </w:r>
    </w:p>
    <w:p>
      <w:pPr>
        <w:pStyle w:val="13"/>
        <w:snapToGrid w:val="0"/>
        <w:spacing w:line="440" w:lineRule="exact"/>
        <w:ind w:firstLine="420" w:firstLineChars="200"/>
        <w:rPr>
          <w:rFonts w:hAnsi="宋体"/>
          <w:color w:val="auto"/>
        </w:rPr>
      </w:pPr>
      <w:r>
        <w:rPr>
          <w:rFonts w:hAnsi="宋体"/>
          <w:color w:val="auto"/>
        </w:rPr>
        <w:t>本项目评标过程实行全程录音、录像监控，投标人在评标过程中所进行的</w:t>
      </w:r>
      <w:r>
        <w:rPr>
          <w:rFonts w:hint="eastAsia" w:hAnsi="宋体"/>
          <w:color w:val="auto"/>
        </w:rPr>
        <w:t>试</w:t>
      </w:r>
      <w:r>
        <w:rPr>
          <w:rFonts w:hAnsi="宋体"/>
          <w:color w:val="auto"/>
        </w:rPr>
        <w:t>图影响评标结果的不公正活动，可能导致其投标被拒绝。</w:t>
      </w:r>
    </w:p>
    <w:p>
      <w:pPr>
        <w:pStyle w:val="5"/>
        <w:spacing w:before="0" w:after="0" w:line="360" w:lineRule="auto"/>
        <w:jc w:val="center"/>
        <w:rPr>
          <w:color w:val="auto"/>
        </w:rPr>
      </w:pPr>
      <w:bookmarkStart w:id="145" w:name="_Toc21033"/>
      <w:r>
        <w:rPr>
          <w:rFonts w:hint="eastAsia"/>
          <w:color w:val="auto"/>
        </w:rPr>
        <w:t>七、定标</w:t>
      </w:r>
      <w:bookmarkEnd w:id="145"/>
    </w:p>
    <w:p>
      <w:pPr>
        <w:pStyle w:val="13"/>
        <w:snapToGrid w:val="0"/>
        <w:spacing w:line="440" w:lineRule="exact"/>
        <w:rPr>
          <w:rFonts w:hAnsi="宋体"/>
          <w:b/>
          <w:bCs/>
          <w:color w:val="auto"/>
        </w:rPr>
      </w:pPr>
      <w:r>
        <w:rPr>
          <w:rFonts w:hint="eastAsia" w:hAnsi="宋体"/>
          <w:b/>
          <w:bCs/>
          <w:color w:val="auto"/>
        </w:rPr>
        <w:t>1、确定中标人</w:t>
      </w:r>
    </w:p>
    <w:p>
      <w:pPr>
        <w:snapToGrid w:val="0"/>
        <w:spacing w:line="440" w:lineRule="exact"/>
        <w:ind w:firstLine="420" w:firstLineChars="200"/>
        <w:rPr>
          <w:rFonts w:ascii="宋体" w:hAnsi="宋体"/>
          <w:color w:val="auto"/>
          <w:szCs w:val="21"/>
        </w:rPr>
      </w:pPr>
      <w:r>
        <w:rPr>
          <w:rFonts w:hint="eastAsia" w:ascii="宋体" w:hAnsi="宋体"/>
          <w:color w:val="auto"/>
          <w:szCs w:val="21"/>
        </w:rPr>
        <w:t>1.1</w:t>
      </w:r>
      <w:r>
        <w:rPr>
          <w:rFonts w:ascii="宋体" w:hAnsi="宋体"/>
          <w:color w:val="auto"/>
          <w:szCs w:val="21"/>
        </w:rPr>
        <w:t>采购代理机构在评标结束后2个工作日内将评标报告</w:t>
      </w:r>
      <w:r>
        <w:rPr>
          <w:rFonts w:hint="eastAsia" w:ascii="宋体" w:hAnsi="宋体"/>
          <w:color w:val="auto"/>
          <w:szCs w:val="21"/>
        </w:rPr>
        <w:t>送采购单位</w:t>
      </w:r>
      <w:r>
        <w:rPr>
          <w:rFonts w:ascii="宋体" w:hAnsi="宋体"/>
          <w:color w:val="auto"/>
          <w:szCs w:val="21"/>
        </w:rPr>
        <w:t>确认。</w:t>
      </w:r>
    </w:p>
    <w:p>
      <w:pPr>
        <w:snapToGrid w:val="0"/>
        <w:spacing w:line="440" w:lineRule="exact"/>
        <w:ind w:firstLine="420" w:firstLineChars="200"/>
        <w:rPr>
          <w:rFonts w:ascii="宋体" w:hAnsi="宋体"/>
          <w:color w:val="auto"/>
          <w:szCs w:val="21"/>
        </w:rPr>
      </w:pPr>
      <w:r>
        <w:rPr>
          <w:rFonts w:hint="eastAsia" w:ascii="宋体" w:hAnsi="宋体"/>
          <w:color w:val="auto"/>
          <w:szCs w:val="21"/>
        </w:rPr>
        <w:t>1.2投标人</w:t>
      </w:r>
      <w:r>
        <w:rPr>
          <w:rFonts w:ascii="宋体" w:hAnsi="宋体"/>
          <w:color w:val="auto"/>
          <w:szCs w:val="21"/>
        </w:rPr>
        <w:t>对评标结果无异议的，</w:t>
      </w:r>
      <w:r>
        <w:rPr>
          <w:rFonts w:hint="eastAsia" w:ascii="宋体" w:hAnsi="宋体"/>
          <w:color w:val="auto"/>
          <w:szCs w:val="21"/>
        </w:rPr>
        <w:t>采购单位</w:t>
      </w:r>
      <w:r>
        <w:rPr>
          <w:rFonts w:ascii="宋体" w:hAnsi="宋体"/>
          <w:color w:val="auto"/>
          <w:szCs w:val="21"/>
        </w:rPr>
        <w:t>应在收到评标报告后5个工作日内对评标结果进行确认。如有</w:t>
      </w:r>
      <w:r>
        <w:rPr>
          <w:rFonts w:hint="eastAsia" w:ascii="宋体" w:hAnsi="宋体"/>
          <w:color w:val="auto"/>
          <w:szCs w:val="21"/>
        </w:rPr>
        <w:t>投标人</w:t>
      </w:r>
      <w:r>
        <w:rPr>
          <w:rFonts w:ascii="宋体" w:hAnsi="宋体"/>
          <w:color w:val="auto"/>
          <w:szCs w:val="21"/>
        </w:rPr>
        <w:t>对评标结果提出质疑的，</w:t>
      </w:r>
      <w:r>
        <w:rPr>
          <w:rFonts w:hint="eastAsia" w:ascii="宋体" w:hAnsi="宋体"/>
          <w:color w:val="auto"/>
          <w:szCs w:val="21"/>
        </w:rPr>
        <w:t>采购单位</w:t>
      </w:r>
      <w:r>
        <w:rPr>
          <w:rFonts w:ascii="宋体" w:hAnsi="宋体"/>
          <w:color w:val="auto"/>
          <w:szCs w:val="21"/>
        </w:rPr>
        <w:t>可在质疑处理完毕后确定</w:t>
      </w:r>
      <w:r>
        <w:rPr>
          <w:rFonts w:hint="eastAsia" w:ascii="宋体" w:hAnsi="宋体"/>
          <w:color w:val="auto"/>
          <w:szCs w:val="21"/>
        </w:rPr>
        <w:t>中标人</w:t>
      </w:r>
      <w:r>
        <w:rPr>
          <w:rFonts w:ascii="宋体" w:hAnsi="宋体"/>
          <w:color w:val="auto"/>
          <w:szCs w:val="21"/>
        </w:rPr>
        <w:t>。</w:t>
      </w:r>
    </w:p>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1.3采购单位或采购代理机构应当自中标人确定之日起</w:t>
      </w:r>
      <w:r>
        <w:rPr>
          <w:rFonts w:ascii="宋体" w:hAnsi="宋体"/>
          <w:color w:val="auto"/>
          <w:szCs w:val="21"/>
        </w:rPr>
        <w:t>2个工作日内，在</w:t>
      </w:r>
      <w:r>
        <w:rPr>
          <w:rFonts w:hint="eastAsia"/>
          <w:color w:val="auto"/>
          <w:spacing w:val="-4"/>
          <w:lang w:eastAsia="zh-CN"/>
        </w:rPr>
        <w:t>常山县政府网站</w:t>
      </w:r>
      <w:r>
        <w:rPr>
          <w:rFonts w:hint="eastAsia"/>
          <w:color w:val="auto"/>
          <w:spacing w:val="-4"/>
        </w:rPr>
        <w:t>、浙江政府采购网</w:t>
      </w:r>
      <w:r>
        <w:rPr>
          <w:color w:val="auto"/>
          <w:spacing w:val="-4"/>
        </w:rPr>
        <w:t>上</w:t>
      </w:r>
      <w:r>
        <w:rPr>
          <w:rFonts w:hint="eastAsia" w:ascii="宋体" w:hAnsi="宋体"/>
          <w:color w:val="auto"/>
          <w:szCs w:val="21"/>
        </w:rPr>
        <w:t>公告中标结果，同时采购单位或</w:t>
      </w:r>
      <w:r>
        <w:rPr>
          <w:rFonts w:ascii="宋体" w:hAnsi="宋体"/>
          <w:color w:val="auto"/>
          <w:szCs w:val="21"/>
        </w:rPr>
        <w:t>采购代理机构</w:t>
      </w:r>
      <w:r>
        <w:rPr>
          <w:rFonts w:hint="eastAsia" w:ascii="宋体" w:hAnsi="宋体"/>
          <w:color w:val="auto"/>
          <w:szCs w:val="21"/>
        </w:rPr>
        <w:t>应当向中标人以书面形式发出《中标通知书》。</w:t>
      </w:r>
    </w:p>
    <w:p>
      <w:pPr>
        <w:pStyle w:val="5"/>
        <w:spacing w:before="100" w:after="100" w:line="440" w:lineRule="exact"/>
        <w:ind w:firstLine="321" w:firstLineChars="100"/>
        <w:jc w:val="center"/>
        <w:rPr>
          <w:rFonts w:hint="eastAsia"/>
          <w:color w:val="auto"/>
        </w:rPr>
      </w:pPr>
      <w:bookmarkStart w:id="146" w:name="_Toc18706"/>
      <w:r>
        <w:rPr>
          <w:rFonts w:hint="eastAsia"/>
          <w:color w:val="auto"/>
        </w:rPr>
        <w:t>八、合同授予</w:t>
      </w:r>
      <w:bookmarkEnd w:id="146"/>
      <w:r>
        <w:rPr>
          <w:rFonts w:hint="eastAsia"/>
          <w:color w:val="auto"/>
        </w:rPr>
        <w:t>及其他</w:t>
      </w:r>
    </w:p>
    <w:p>
      <w:pPr>
        <w:snapToGrid w:val="0"/>
        <w:spacing w:line="440" w:lineRule="exact"/>
        <w:rPr>
          <w:rFonts w:ascii="宋体" w:hAnsi="宋体"/>
          <w:b/>
          <w:bCs/>
          <w:color w:val="auto"/>
          <w:szCs w:val="21"/>
        </w:rPr>
      </w:pPr>
      <w:r>
        <w:rPr>
          <w:rFonts w:hint="eastAsia" w:ascii="宋体" w:hAnsi="宋体"/>
          <w:b/>
          <w:bCs/>
          <w:color w:val="auto"/>
          <w:szCs w:val="21"/>
        </w:rPr>
        <w:t>1、签订合同</w:t>
      </w:r>
    </w:p>
    <w:p>
      <w:pPr>
        <w:snapToGrid w:val="0"/>
        <w:spacing w:line="440" w:lineRule="exact"/>
        <w:ind w:firstLine="420" w:firstLineChars="200"/>
        <w:rPr>
          <w:rFonts w:ascii="宋体" w:hAnsi="宋体"/>
          <w:color w:val="auto"/>
          <w:szCs w:val="21"/>
        </w:rPr>
      </w:pPr>
      <w:bookmarkStart w:id="147" w:name="OLE_LINK1"/>
      <w:r>
        <w:rPr>
          <w:rFonts w:hint="eastAsia" w:ascii="宋体" w:hAnsi="宋体"/>
          <w:color w:val="auto"/>
          <w:szCs w:val="21"/>
        </w:rPr>
        <w:t>1.1中标通知书于中标公告发布之日签发，中标人应于中标结果公告发布之日起两个工作日内，凭法定代表人（负责人）授权委托书及被授权人身份证原件至衢州联腾工程咨询有限公司领取中标通知书，逾期领取的后果自负。中标人与采购单位须在中标结果公告发出之日起三十天内签订合同。《中标通知书》一经发出即发生法律效力。采购单位无义务向未中标人解释落选原因。《中标通知书》作为签订合同的重要依据，对采购单位和中标人具有法律效力。采购单位改变中标结果或者中标人放弃中标项目的都应承担法律责任。</w:t>
      </w:r>
    </w:p>
    <w:bookmarkEnd w:id="147"/>
    <w:p>
      <w:pPr>
        <w:snapToGrid w:val="0"/>
        <w:spacing w:line="440" w:lineRule="exact"/>
        <w:ind w:firstLine="420" w:firstLineChars="200"/>
        <w:rPr>
          <w:rFonts w:hint="eastAsia" w:ascii="宋体" w:hAnsi="宋体"/>
          <w:color w:val="auto"/>
          <w:szCs w:val="21"/>
        </w:rPr>
      </w:pPr>
      <w:r>
        <w:rPr>
          <w:rFonts w:hint="eastAsia" w:ascii="宋体" w:hAnsi="宋体"/>
          <w:color w:val="auto"/>
          <w:szCs w:val="21"/>
        </w:rPr>
        <w:t>1.2 中标人</w:t>
      </w:r>
      <w:r>
        <w:rPr>
          <w:rFonts w:ascii="宋体" w:hAnsi="宋体"/>
          <w:color w:val="auto"/>
          <w:szCs w:val="21"/>
        </w:rPr>
        <w:t>拖延、拒签合同的,</w:t>
      </w:r>
      <w:r>
        <w:rPr>
          <w:rFonts w:hint="eastAsia" w:ascii="宋体" w:hAnsi="宋体" w:cs="宋体"/>
          <w:color w:val="auto"/>
          <w:szCs w:val="21"/>
        </w:rPr>
        <w:t>应当按照本项目采购预算价2%的标准承担因此给采购单位造成的损失的赔偿责任及相应的法律责任</w:t>
      </w:r>
      <w:r>
        <w:rPr>
          <w:rFonts w:ascii="宋体" w:hAnsi="宋体"/>
          <w:color w:val="auto"/>
          <w:szCs w:val="21"/>
        </w:rPr>
        <w:t>。</w:t>
      </w:r>
    </w:p>
    <w:p>
      <w:pPr>
        <w:pStyle w:val="13"/>
        <w:snapToGrid w:val="0"/>
        <w:spacing w:line="440" w:lineRule="exact"/>
        <w:rPr>
          <w:rFonts w:hAnsi="宋体"/>
          <w:b/>
          <w:color w:val="auto"/>
        </w:rPr>
      </w:pPr>
      <w:r>
        <w:rPr>
          <w:rFonts w:hint="eastAsia" w:hAnsi="宋体"/>
          <w:b/>
          <w:color w:val="auto"/>
        </w:rPr>
        <w:t>2、</w:t>
      </w:r>
      <w:r>
        <w:rPr>
          <w:rFonts w:hAnsi="宋体"/>
          <w:b/>
          <w:color w:val="auto"/>
        </w:rPr>
        <w:t>履约保证金</w:t>
      </w:r>
    </w:p>
    <w:p>
      <w:pPr>
        <w:pStyle w:val="13"/>
        <w:snapToGrid w:val="0"/>
        <w:spacing w:line="440" w:lineRule="exact"/>
        <w:ind w:firstLine="420" w:firstLineChars="200"/>
        <w:rPr>
          <w:rFonts w:hAnsi="宋体"/>
          <w:color w:val="auto"/>
        </w:rPr>
      </w:pPr>
      <w:r>
        <w:rPr>
          <w:rFonts w:hint="eastAsia" w:hAnsi="宋体"/>
          <w:color w:val="auto"/>
        </w:rPr>
        <w:t>2.1</w:t>
      </w:r>
      <w:r>
        <w:rPr>
          <w:rFonts w:hAnsi="宋体"/>
          <w:color w:val="auto"/>
        </w:rPr>
        <w:t>签订合同前，</w:t>
      </w:r>
      <w:r>
        <w:rPr>
          <w:rFonts w:hint="eastAsia" w:hAnsi="宋体"/>
          <w:color w:val="auto"/>
        </w:rPr>
        <w:t>中标人</w:t>
      </w:r>
      <w:r>
        <w:rPr>
          <w:rFonts w:hAnsi="宋体"/>
          <w:color w:val="auto"/>
        </w:rPr>
        <w:t>应按采购代理机构根据招标文件</w:t>
      </w:r>
      <w:r>
        <w:rPr>
          <w:rFonts w:hint="eastAsia" w:hAnsi="宋体"/>
          <w:color w:val="auto"/>
        </w:rPr>
        <w:t>规定</w:t>
      </w:r>
      <w:r>
        <w:rPr>
          <w:rFonts w:hAnsi="宋体"/>
          <w:color w:val="auto"/>
        </w:rPr>
        <w:t>的履约保证金的金额，向</w:t>
      </w:r>
      <w:r>
        <w:rPr>
          <w:rFonts w:hint="eastAsia" w:hAnsi="宋体"/>
          <w:color w:val="auto"/>
        </w:rPr>
        <w:t>采购单位</w:t>
      </w:r>
      <w:r>
        <w:rPr>
          <w:rFonts w:hAnsi="宋体"/>
          <w:color w:val="auto"/>
        </w:rPr>
        <w:t>交纳履约保证金。</w:t>
      </w:r>
    </w:p>
    <w:p>
      <w:pPr>
        <w:pStyle w:val="13"/>
        <w:snapToGrid w:val="0"/>
        <w:spacing w:line="440" w:lineRule="exact"/>
        <w:ind w:firstLine="420" w:firstLineChars="200"/>
        <w:rPr>
          <w:rFonts w:hAnsi="宋体"/>
          <w:color w:val="auto"/>
        </w:rPr>
      </w:pPr>
      <w:r>
        <w:rPr>
          <w:rFonts w:hint="eastAsia" w:hAnsi="宋体"/>
          <w:color w:val="auto"/>
        </w:rPr>
        <w:t>2.2</w:t>
      </w:r>
      <w:r>
        <w:rPr>
          <w:rFonts w:hAnsi="宋体"/>
          <w:color w:val="auto"/>
        </w:rPr>
        <w:t>签订合同后，如</w:t>
      </w:r>
      <w:r>
        <w:rPr>
          <w:rFonts w:hint="eastAsia" w:hAnsi="宋体"/>
          <w:color w:val="auto"/>
        </w:rPr>
        <w:t>中标人</w:t>
      </w:r>
      <w:r>
        <w:rPr>
          <w:rFonts w:hAnsi="宋体"/>
          <w:color w:val="auto"/>
        </w:rPr>
        <w:t>不按双方合同约定履约，则没收其全部履约保证金，履约保证金不足以赔偿损失的，按实际损失赔偿。</w:t>
      </w:r>
    </w:p>
    <w:p>
      <w:pPr>
        <w:pStyle w:val="13"/>
        <w:snapToGrid w:val="0"/>
        <w:spacing w:line="440" w:lineRule="exact"/>
        <w:rPr>
          <w:rFonts w:hint="eastAsia" w:hAnsi="宋体"/>
          <w:b/>
          <w:color w:val="auto"/>
        </w:rPr>
      </w:pPr>
      <w:r>
        <w:rPr>
          <w:rFonts w:hint="eastAsia" w:hAnsi="宋体"/>
          <w:b/>
          <w:color w:val="auto"/>
        </w:rPr>
        <w:t>3、解释权</w:t>
      </w:r>
    </w:p>
    <w:p>
      <w:pPr>
        <w:autoSpaceDE w:val="0"/>
        <w:autoSpaceDN w:val="0"/>
        <w:adjustRightInd w:val="0"/>
        <w:spacing w:line="360" w:lineRule="auto"/>
        <w:ind w:firstLine="480"/>
        <w:rPr>
          <w:rFonts w:hint="eastAsia"/>
          <w:color w:val="auto"/>
        </w:rPr>
      </w:pPr>
      <w:r>
        <w:rPr>
          <w:rFonts w:hint="eastAsia" w:ascii="宋体" w:hAnsi="宋体" w:cs="宋体"/>
          <w:color w:val="auto"/>
        </w:rPr>
        <w:t>凡涉及本次采购文件的解释权均属于采购单位和采购代理机构。</w:t>
      </w:r>
    </w:p>
    <w:p>
      <w:pPr>
        <w:pStyle w:val="13"/>
        <w:snapToGrid w:val="0"/>
        <w:spacing w:line="360" w:lineRule="auto"/>
        <w:ind w:firstLine="420" w:firstLineChars="200"/>
        <w:rPr>
          <w:rFonts w:hint="eastAsia" w:hAnsi="宋体"/>
          <w:color w:val="auto"/>
        </w:rPr>
      </w:pPr>
    </w:p>
    <w:p>
      <w:pPr>
        <w:pStyle w:val="5"/>
        <w:spacing w:before="0" w:after="0" w:line="348" w:lineRule="auto"/>
        <w:ind w:firstLine="321" w:firstLineChars="100"/>
        <w:jc w:val="center"/>
        <w:rPr>
          <w:rFonts w:hint="eastAsia"/>
          <w:color w:val="auto"/>
        </w:rPr>
      </w:pPr>
      <w:bookmarkStart w:id="148" w:name="_Toc16204"/>
      <w:r>
        <w:rPr>
          <w:rFonts w:hint="eastAsia"/>
          <w:color w:val="auto"/>
        </w:rPr>
        <w:t>九、政府采购扶持政策说明</w:t>
      </w:r>
      <w:bookmarkEnd w:id="148"/>
    </w:p>
    <w:p>
      <w:pPr>
        <w:pStyle w:val="13"/>
        <w:snapToGrid w:val="0"/>
        <w:spacing w:line="348" w:lineRule="auto"/>
        <w:ind w:firstLine="420" w:firstLineChars="200"/>
        <w:rPr>
          <w:rFonts w:hint="eastAsia" w:hAnsi="宋体"/>
          <w:color w:val="auto"/>
        </w:rPr>
      </w:pPr>
    </w:p>
    <w:p>
      <w:pPr>
        <w:numPr>
          <w:ilvl w:val="0"/>
          <w:numId w:val="7"/>
        </w:numPr>
        <w:spacing w:line="348" w:lineRule="auto"/>
        <w:jc w:val="left"/>
        <w:rPr>
          <w:rFonts w:hint="eastAsia" w:ascii="宋体" w:hAnsi="宋体" w:cs="宋体"/>
          <w:b/>
          <w:color w:val="auto"/>
          <w:szCs w:val="21"/>
        </w:rPr>
      </w:pPr>
      <w:r>
        <w:rPr>
          <w:rFonts w:hint="eastAsia" w:ascii="宋体" w:hAnsi="宋体" w:cs="宋体"/>
          <w:b/>
          <w:color w:val="auto"/>
          <w:szCs w:val="21"/>
        </w:rPr>
        <w:t>享受小微企业价格折扣应具备的条件</w:t>
      </w:r>
    </w:p>
    <w:p>
      <w:pPr>
        <w:numPr>
          <w:ilvl w:val="0"/>
          <w:numId w:val="8"/>
        </w:numPr>
        <w:spacing w:line="348" w:lineRule="auto"/>
        <w:ind w:left="420" w:leftChars="200"/>
        <w:jc w:val="left"/>
        <w:rPr>
          <w:rFonts w:hint="eastAsia" w:ascii="宋体" w:hAnsi="宋体" w:cs="宋体"/>
          <w:color w:val="auto"/>
          <w:szCs w:val="21"/>
        </w:rPr>
      </w:pPr>
      <w:r>
        <w:rPr>
          <w:rFonts w:hint="eastAsia" w:ascii="宋体" w:hAnsi="宋体" w:cs="宋体"/>
          <w:color w:val="auto"/>
          <w:szCs w:val="21"/>
        </w:rPr>
        <w:t>符合中小企业划分标准；</w:t>
      </w:r>
    </w:p>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（2）在政府采购活动中，供应商提供的货物、工程或者服务符合下列情形的，享受财库【2020】46号文件规定的中小企业扶持政策：</w:t>
      </w:r>
    </w:p>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A.在货物采购项目中，货物由中小企业制造，即货物由中小企业生产且使用该中小企业商号或者注册商标；</w:t>
      </w:r>
    </w:p>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B.在工程采购项目中，工程由中小企业承建，即工程施工单位为中小企业；</w:t>
      </w:r>
    </w:p>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C.在服务采购项目中，服务由中小企业承接，即提供服务的人员为中小企业依照《中华人民共和国劳动民法典》订立劳动合同的从业人员。</w:t>
      </w:r>
    </w:p>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在货物采购项目中，供应商提供的货物既有中小企业制造货物，也有大型企业制造货物的，不享受本办法规定的中小企业扶持政策。</w:t>
      </w:r>
    </w:p>
    <w:p>
      <w:pPr>
        <w:spacing w:line="348" w:lineRule="auto"/>
        <w:ind w:firstLine="420" w:firstLineChars="200"/>
        <w:jc w:val="left"/>
        <w:rPr>
          <w:rFonts w:hint="eastAsia"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pPr>
        <w:spacing w:line="348" w:lineRule="auto"/>
        <w:jc w:val="left"/>
        <w:rPr>
          <w:rFonts w:hint="eastAsia" w:ascii="宋体" w:hAnsi="宋体" w:cs="宋体"/>
          <w:b/>
          <w:color w:val="auto"/>
          <w:szCs w:val="21"/>
        </w:rPr>
      </w:pPr>
      <w:r>
        <w:rPr>
          <w:rFonts w:hint="eastAsia" w:ascii="宋体" w:hAnsi="宋体" w:cs="宋体"/>
          <w:b/>
          <w:color w:val="auto"/>
          <w:szCs w:val="21"/>
        </w:rPr>
        <w:t>2、享受小微企业价格折扣应提供以下证明材料：</w:t>
      </w:r>
    </w:p>
    <w:p>
      <w:pPr>
        <w:spacing w:line="348"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《中小企业声明函》【格式见附件一】；</w:t>
      </w:r>
    </w:p>
    <w:p>
      <w:pPr>
        <w:spacing w:line="348" w:lineRule="auto"/>
        <w:jc w:val="left"/>
        <w:rPr>
          <w:rFonts w:hint="eastAsia" w:ascii="宋体" w:hAnsi="宋体" w:cs="宋体"/>
          <w:b/>
          <w:color w:val="auto"/>
          <w:szCs w:val="21"/>
        </w:rPr>
      </w:pPr>
      <w:r>
        <w:rPr>
          <w:rFonts w:hint="eastAsia" w:ascii="宋体" w:hAnsi="宋体" w:cs="宋体"/>
          <w:b/>
          <w:color w:val="auto"/>
          <w:szCs w:val="21"/>
        </w:rPr>
        <w:t>3、享受监狱企业价格折扣应提供以下证明材料：</w:t>
      </w:r>
    </w:p>
    <w:p>
      <w:pPr>
        <w:spacing w:line="348"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348" w:lineRule="auto"/>
        <w:jc w:val="left"/>
        <w:rPr>
          <w:rFonts w:hint="eastAsia" w:ascii="宋体" w:hAnsi="宋体" w:cs="宋体"/>
          <w:b/>
          <w:color w:val="auto"/>
          <w:szCs w:val="21"/>
        </w:rPr>
      </w:pPr>
      <w:r>
        <w:rPr>
          <w:rFonts w:hint="eastAsia" w:ascii="宋体" w:hAnsi="宋体" w:cs="宋体"/>
          <w:b/>
          <w:color w:val="auto"/>
          <w:szCs w:val="21"/>
        </w:rPr>
        <w:t>4、享受残疾人福利性单位格折扣应提供以下证明材料：</w:t>
      </w:r>
    </w:p>
    <w:p>
      <w:pPr>
        <w:spacing w:line="348" w:lineRule="auto"/>
        <w:ind w:firstLine="420" w:firstLineChars="200"/>
        <w:jc w:val="left"/>
        <w:rPr>
          <w:rFonts w:hint="eastAsia" w:ascii="宋体" w:hAnsi="宋体" w:cs="宋体"/>
          <w:bCs/>
          <w:color w:val="auto"/>
          <w:szCs w:val="21"/>
        </w:rPr>
      </w:pPr>
      <w:r>
        <w:rPr>
          <w:rFonts w:hint="eastAsia" w:ascii="宋体"/>
          <w:bCs/>
          <w:color w:val="auto"/>
          <w:szCs w:val="21"/>
        </w:rPr>
        <w:t>残疾人福利性单位声明函</w:t>
      </w:r>
      <w:r>
        <w:rPr>
          <w:rFonts w:hint="eastAsia" w:ascii="宋体" w:hAnsi="宋体" w:cs="宋体"/>
          <w:bCs/>
          <w:color w:val="auto"/>
          <w:szCs w:val="21"/>
        </w:rPr>
        <w:t>【格式见附件二】；</w:t>
      </w:r>
    </w:p>
    <w:p>
      <w:pPr>
        <w:spacing w:after="100" w:line="440" w:lineRule="atLeast"/>
        <w:jc w:val="left"/>
        <w:outlineLvl w:val="1"/>
        <w:rPr>
          <w:rFonts w:hint="eastAsia" w:ascii="宋体" w:hAnsi="宋体" w:cs="宋体"/>
          <w:color w:val="auto"/>
          <w:szCs w:val="21"/>
        </w:rPr>
      </w:pPr>
      <w:r>
        <w:rPr>
          <w:rFonts w:hint="eastAsia" w:ascii="宋体" w:hAnsi="宋体" w:cs="宋体"/>
          <w:color w:val="auto"/>
          <w:szCs w:val="21"/>
        </w:rPr>
        <w:br w:type="page"/>
      </w:r>
      <w:bookmarkStart w:id="149" w:name="_Toc5518"/>
      <w:r>
        <w:rPr>
          <w:rFonts w:hint="eastAsia" w:ascii="宋体" w:hAnsi="宋体" w:cs="宋体"/>
          <w:color w:val="auto"/>
          <w:szCs w:val="21"/>
        </w:rPr>
        <w:t>附件一：</w:t>
      </w:r>
    </w:p>
    <w:p>
      <w:pPr>
        <w:spacing w:after="100" w:line="440" w:lineRule="atLeast"/>
        <w:jc w:val="center"/>
        <w:outlineLvl w:val="1"/>
        <w:rPr>
          <w:rFonts w:hint="eastAsia" w:ascii="宋体" w:hAnsi="宋体" w:cs="宋体"/>
          <w:b/>
          <w:bCs/>
          <w:color w:val="auto"/>
          <w:szCs w:val="21"/>
        </w:rPr>
      </w:pPr>
      <w:bookmarkStart w:id="150" w:name="_Toc10011"/>
      <w:r>
        <w:rPr>
          <w:rFonts w:hint="eastAsia" w:ascii="宋体" w:hAnsi="宋体" w:cs="宋体"/>
          <w:b/>
          <w:bCs/>
          <w:color w:val="auto"/>
          <w:szCs w:val="21"/>
        </w:rPr>
        <w:t>中小企业声明函</w:t>
      </w:r>
    </w:p>
    <w:p>
      <w:pPr>
        <w:spacing w:line="440" w:lineRule="atLeast"/>
        <w:rPr>
          <w:rFonts w:hint="eastAsia" w:ascii="宋体" w:hAnsi="宋体" w:cs="宋体"/>
          <w:color w:val="auto"/>
          <w:szCs w:val="21"/>
        </w:rPr>
      </w:pP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本公司（联合体）郑重声明，根据《政府采购促进中小企业发展管理办法》（财库﹝2020﹞46 号）的规定，本公司（联合体）参加</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eastAsia="zh-CN"/>
        </w:rPr>
        <w:t>常山县市容环卫中心</w:t>
      </w:r>
      <w:r>
        <w:rPr>
          <w:rFonts w:hint="eastAsia" w:ascii="宋体" w:hAnsi="宋体" w:cs="宋体"/>
          <w:color w:val="auto"/>
          <w:szCs w:val="21"/>
          <w:u w:val="single"/>
          <w:lang w:val="en-US" w:eastAsia="zh-CN"/>
        </w:rPr>
        <w:t xml:space="preserve"> </w:t>
      </w:r>
      <w:r>
        <w:rPr>
          <w:rFonts w:hint="eastAsia" w:ascii="宋体" w:hAnsi="宋体" w:cs="宋体"/>
          <w:color w:val="auto"/>
          <w:szCs w:val="21"/>
        </w:rPr>
        <w:t>的</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eastAsia="zh-CN"/>
        </w:rPr>
        <w:t>常山县生活垃圾填埋场渗滤液处理及渗滤液处理区运维管理项目</w:t>
      </w:r>
      <w:r>
        <w:rPr>
          <w:rFonts w:hint="eastAsia" w:ascii="宋体" w:hAnsi="宋体" w:cs="宋体"/>
          <w:color w:val="auto"/>
          <w:szCs w:val="21"/>
          <w:u w:val="single"/>
          <w:lang w:val="en-US" w:eastAsia="zh-CN"/>
        </w:rPr>
        <w:t xml:space="preserve"> </w:t>
      </w:r>
      <w:r>
        <w:rPr>
          <w:rFonts w:hint="eastAsia" w:ascii="宋体" w:hAnsi="宋体" w:cs="宋体"/>
          <w:color w:val="auto"/>
          <w:szCs w:val="21"/>
        </w:rPr>
        <w:t>采购活动，服务全部由符合政策要求的中小企业承接。相关企业（含联合体中的中小企业、签订分包意向协议的中小企业）的具体情况如下：</w:t>
      </w:r>
    </w:p>
    <w:p>
      <w:pPr>
        <w:numPr>
          <w:ilvl w:val="0"/>
          <w:numId w:val="9"/>
        </w:numPr>
        <w:spacing w:line="440" w:lineRule="atLeast"/>
        <w:ind w:firstLine="420" w:firstLineChars="200"/>
        <w:rPr>
          <w:rFonts w:hint="eastAsia" w:ascii="宋体" w:hAnsi="宋体" w:cs="宋体"/>
          <w:color w:val="auto"/>
          <w:szCs w:val="21"/>
        </w:rPr>
      </w:pP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w:t>
      </w:r>
      <w:r>
        <w:rPr>
          <w:rFonts w:hint="eastAsia" w:ascii="宋体" w:hAnsi="宋体"/>
          <w:color w:val="auto"/>
          <w:sz w:val="24"/>
          <w:vertAlign w:val="superscript"/>
        </w:rPr>
        <w:t>1</w:t>
      </w:r>
      <w:r>
        <w:rPr>
          <w:rFonts w:hint="eastAsia" w:ascii="宋体" w:hAnsi="宋体" w:cs="宋体"/>
          <w:color w:val="auto"/>
          <w:szCs w:val="21"/>
        </w:rPr>
        <w:t>，属于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pPr>
        <w:numPr>
          <w:ilvl w:val="0"/>
          <w:numId w:val="9"/>
        </w:numPr>
        <w:spacing w:line="440" w:lineRule="atLeast"/>
        <w:ind w:firstLine="420" w:firstLineChars="200"/>
        <w:rPr>
          <w:rFonts w:hint="eastAsia" w:ascii="宋体" w:hAnsi="宋体" w:cs="宋体"/>
          <w:color w:val="auto"/>
          <w:szCs w:val="21"/>
        </w:rPr>
      </w:pPr>
      <w:r>
        <w:rPr>
          <w:rFonts w:hint="eastAsia" w:ascii="宋体" w:hAnsi="宋体" w:cs="宋体"/>
          <w:color w:val="auto"/>
          <w:szCs w:val="21"/>
          <w:u w:val="single"/>
        </w:rPr>
        <w:t>（标的名称）</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；承建（承接）企业为</w:t>
      </w:r>
      <w:r>
        <w:rPr>
          <w:rFonts w:hint="eastAsia" w:ascii="宋体" w:hAnsi="宋体" w:cs="宋体"/>
          <w:color w:val="auto"/>
          <w:szCs w:val="21"/>
          <w:u w:val="single"/>
        </w:rPr>
        <w:t>（企业名称）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万元</w:t>
      </w:r>
      <w:r>
        <w:rPr>
          <w:rFonts w:hint="eastAsia" w:ascii="宋体" w:hAnsi="宋体"/>
          <w:color w:val="auto"/>
          <w:sz w:val="24"/>
          <w:vertAlign w:val="superscript"/>
        </w:rPr>
        <w:t>1</w:t>
      </w:r>
      <w:r>
        <w:rPr>
          <w:rFonts w:hint="eastAsia" w:ascii="宋体" w:hAnsi="宋体" w:cs="宋体"/>
          <w:color w:val="auto"/>
          <w:szCs w:val="21"/>
        </w:rPr>
        <w:t>，属于</w:t>
      </w:r>
      <w:r>
        <w:rPr>
          <w:rFonts w:hint="eastAsia" w:ascii="宋体" w:hAnsi="宋体" w:cs="宋体"/>
          <w:color w:val="auto"/>
          <w:szCs w:val="21"/>
          <w:u w:val="single"/>
        </w:rPr>
        <w:t>（中型企业、小型企业、微型企业）</w:t>
      </w:r>
      <w:r>
        <w:rPr>
          <w:rFonts w:hint="eastAsia" w:ascii="宋体" w:hAnsi="宋体" w:cs="宋体"/>
          <w:color w:val="auto"/>
          <w:szCs w:val="21"/>
        </w:rPr>
        <w:t>；</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pPr>
        <w:spacing w:line="440" w:lineRule="atLeast"/>
        <w:ind w:firstLine="420" w:firstLineChars="200"/>
        <w:rPr>
          <w:rFonts w:hint="eastAsia" w:ascii="宋体" w:hAnsi="宋体" w:cs="宋体"/>
          <w:color w:val="auto"/>
          <w:szCs w:val="21"/>
        </w:rPr>
      </w:pPr>
      <w:r>
        <w:rPr>
          <w:rFonts w:hint="eastAsia" w:ascii="宋体" w:hAnsi="宋体" w:cs="宋体"/>
          <w:color w:val="auto"/>
          <w:szCs w:val="21"/>
        </w:rPr>
        <w:t>本企业对上述声明内容的真实性负责。如有虚假，将依法承担相应责任。</w:t>
      </w:r>
    </w:p>
    <w:p>
      <w:pPr>
        <w:pStyle w:val="22"/>
        <w:ind w:left="840" w:hanging="420"/>
        <w:rPr>
          <w:rFonts w:hint="eastAsia" w:ascii="宋体" w:hAnsi="宋体"/>
          <w:color w:val="auto"/>
        </w:rPr>
      </w:pPr>
    </w:p>
    <w:p>
      <w:pPr>
        <w:pStyle w:val="11"/>
        <w:ind w:firstLine="240"/>
        <w:rPr>
          <w:rFonts w:hint="eastAsia"/>
          <w:color w:val="auto"/>
        </w:rPr>
      </w:pPr>
    </w:p>
    <w:p>
      <w:pPr>
        <w:spacing w:line="440" w:lineRule="atLeast"/>
        <w:ind w:firstLine="630" w:firstLineChars="300"/>
        <w:jc w:val="center"/>
        <w:rPr>
          <w:rFonts w:hint="eastAsia" w:ascii="宋体" w:hAnsi="宋体" w:cs="宋体"/>
          <w:color w:val="auto"/>
          <w:szCs w:val="21"/>
        </w:rPr>
      </w:pPr>
      <w:r>
        <w:rPr>
          <w:rFonts w:hint="eastAsia" w:ascii="宋体" w:hAnsi="宋体" w:cs="宋体"/>
          <w:color w:val="auto"/>
          <w:szCs w:val="21"/>
        </w:rPr>
        <w:t xml:space="preserve">                                  企业名称（盖章）：</w:t>
      </w:r>
    </w:p>
    <w:p>
      <w:pPr>
        <w:spacing w:line="440" w:lineRule="atLeast"/>
        <w:ind w:firstLine="630" w:firstLineChars="300"/>
        <w:jc w:val="center"/>
        <w:rPr>
          <w:rFonts w:hint="eastAsia" w:ascii="宋体" w:hAnsi="宋体" w:cs="宋体"/>
          <w:color w:val="auto"/>
          <w:szCs w:val="21"/>
        </w:rPr>
      </w:pPr>
      <w:r>
        <w:rPr>
          <w:rFonts w:hint="eastAsia" w:ascii="宋体" w:hAnsi="宋体" w:cs="宋体"/>
          <w:color w:val="auto"/>
          <w:szCs w:val="21"/>
        </w:rPr>
        <w:t xml:space="preserve">                      日期：</w:t>
      </w:r>
    </w:p>
    <w:p>
      <w:pPr>
        <w:spacing w:after="100" w:line="440" w:lineRule="atLeast"/>
        <w:jc w:val="center"/>
        <w:outlineLvl w:val="1"/>
        <w:rPr>
          <w:rFonts w:hint="eastAsia" w:ascii="宋体" w:hAnsi="宋体" w:cs="宋体"/>
          <w:b/>
          <w:color w:val="auto"/>
          <w:szCs w:val="21"/>
        </w:rPr>
      </w:pPr>
    </w:p>
    <w:p>
      <w:pPr>
        <w:pStyle w:val="4"/>
        <w:rPr>
          <w:rFonts w:hint="eastAsia" w:ascii="宋体" w:hAnsi="宋体" w:cs="宋体"/>
          <w:b w:val="0"/>
          <w:color w:val="auto"/>
          <w:szCs w:val="21"/>
        </w:rPr>
      </w:pPr>
    </w:p>
    <w:p>
      <w:pPr>
        <w:rPr>
          <w:rFonts w:hint="eastAsia" w:ascii="宋体" w:hAnsi="宋体" w:cs="宋体"/>
          <w:b/>
          <w:color w:val="auto"/>
          <w:szCs w:val="21"/>
        </w:rPr>
      </w:pPr>
    </w:p>
    <w:p>
      <w:pPr>
        <w:pStyle w:val="4"/>
        <w:rPr>
          <w:rFonts w:hint="eastAsia" w:ascii="宋体" w:hAnsi="宋体" w:cs="宋体"/>
          <w:b w:val="0"/>
          <w:color w:val="auto"/>
          <w:szCs w:val="21"/>
        </w:rPr>
      </w:pPr>
    </w:p>
    <w:p>
      <w:pPr>
        <w:rPr>
          <w:rFonts w:hint="eastAsia" w:ascii="宋体" w:hAnsi="宋体" w:cs="宋体"/>
          <w:b/>
          <w:color w:val="auto"/>
          <w:szCs w:val="21"/>
        </w:rPr>
      </w:pPr>
    </w:p>
    <w:p>
      <w:pPr>
        <w:pStyle w:val="4"/>
        <w:rPr>
          <w:rFonts w:hint="eastAsia"/>
          <w:color w:val="auto"/>
        </w:rPr>
      </w:pPr>
    </w:p>
    <w:p>
      <w:pPr>
        <w:spacing w:after="100" w:line="440" w:lineRule="atLeast"/>
        <w:jc w:val="center"/>
        <w:outlineLvl w:val="1"/>
        <w:rPr>
          <w:rFonts w:hint="eastAsia" w:ascii="宋体" w:hAnsi="宋体" w:cs="宋体"/>
          <w:b/>
          <w:color w:val="auto"/>
          <w:szCs w:val="21"/>
        </w:rPr>
      </w:pPr>
    </w:p>
    <w:p>
      <w:pPr>
        <w:spacing w:line="440" w:lineRule="atLeast"/>
        <w:rPr>
          <w:rFonts w:hint="eastAsia" w:ascii="宋体" w:hAnsi="宋体" w:cs="宋体"/>
          <w:color w:val="auto"/>
          <w:szCs w:val="21"/>
        </w:rPr>
      </w:pPr>
    </w:p>
    <w:p>
      <w:pPr>
        <w:pStyle w:val="44"/>
        <w:jc w:val="left"/>
        <w:rPr>
          <w:rFonts w:hint="eastAsia" w:ascii="宋体" w:hAnsi="宋体" w:cs="宋体"/>
          <w:color w:val="auto"/>
          <w:sz w:val="22"/>
        </w:rPr>
      </w:pPr>
      <w:r>
        <w:rPr>
          <w:rFonts w:hint="eastAsia" w:ascii="宋体" w:hAnsi="宋体" w:cs="宋体"/>
          <w:color w:val="auto"/>
          <w:sz w:val="22"/>
        </w:rPr>
        <w:t>附件二：</w:t>
      </w:r>
      <w:bookmarkEnd w:id="150"/>
      <w:r>
        <w:rPr>
          <w:rFonts w:hint="eastAsia" w:ascii="宋体" w:hAnsi="宋体" w:cs="宋体"/>
          <w:color w:val="auto"/>
          <w:sz w:val="22"/>
        </w:rPr>
        <w:t xml:space="preserve"> </w:t>
      </w:r>
    </w:p>
    <w:p>
      <w:pPr>
        <w:pStyle w:val="44"/>
        <w:jc w:val="center"/>
        <w:outlineLvl w:val="0"/>
        <w:rPr>
          <w:rFonts w:hint="eastAsia" w:ascii="宋体" w:hAnsi="宋体" w:cs="宋体"/>
          <w:b/>
          <w:color w:val="auto"/>
          <w:szCs w:val="21"/>
          <w:lang w:val="en-GB"/>
        </w:rPr>
      </w:pPr>
      <w:bookmarkStart w:id="151" w:name="OLE_LINK14"/>
      <w:bookmarkStart w:id="152" w:name="_Toc25198"/>
      <w:bookmarkStart w:id="153" w:name="_Toc30594"/>
      <w:r>
        <w:rPr>
          <w:rFonts w:hint="eastAsia" w:ascii="宋体" w:hAnsi="宋体" w:cs="宋体"/>
          <w:b/>
          <w:color w:val="auto"/>
          <w:szCs w:val="21"/>
          <w:lang w:val="en-GB"/>
        </w:rPr>
        <w:t>残疾人福利性单位声明函</w:t>
      </w:r>
      <w:bookmarkEnd w:id="151"/>
      <w:bookmarkEnd w:id="152"/>
      <w:bookmarkEnd w:id="153"/>
    </w:p>
    <w:p>
      <w:pPr>
        <w:pStyle w:val="44"/>
        <w:jc w:val="center"/>
        <w:rPr>
          <w:rFonts w:hint="eastAsia" w:ascii="宋体" w:hAnsi="宋体" w:cs="宋体"/>
          <w:b/>
          <w:color w:val="auto"/>
          <w:szCs w:val="21"/>
          <w:lang w:val="en-GB"/>
        </w:rPr>
      </w:pPr>
    </w:p>
    <w:p>
      <w:pPr>
        <w:spacing w:line="588" w:lineRule="exact"/>
        <w:ind w:firstLine="440" w:firstLineChars="200"/>
        <w:rPr>
          <w:rFonts w:hint="eastAsia" w:ascii="宋体" w:hAnsi="宋体" w:cs="宋体"/>
          <w:color w:val="auto"/>
          <w:sz w:val="22"/>
        </w:rPr>
      </w:pPr>
      <w:r>
        <w:rPr>
          <w:rFonts w:hint="eastAsia" w:ascii="宋体" w:hAnsi="宋体" w:cs="宋体"/>
          <w:color w:val="auto"/>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常山县市容环卫中心</w:t>
      </w:r>
      <w:r>
        <w:rPr>
          <w:rFonts w:hint="eastAsia" w:ascii="宋体" w:hAnsi="宋体" w:cs="宋体"/>
          <w:color w:val="auto"/>
          <w:szCs w:val="21"/>
        </w:rPr>
        <w:t>的</w:t>
      </w:r>
      <w:r>
        <w:rPr>
          <w:rFonts w:hint="eastAsia" w:ascii="宋体" w:hAnsi="宋体" w:cs="宋体"/>
          <w:color w:val="auto"/>
          <w:szCs w:val="21"/>
          <w:u w:val="single"/>
          <w:lang w:eastAsia="zh-CN"/>
        </w:rPr>
        <w:t>常山县生活垃圾填埋场渗滤液处理及渗滤液处理区运维管理项目</w:t>
      </w:r>
      <w:r>
        <w:rPr>
          <w:rFonts w:hint="eastAsia" w:ascii="宋体" w:hAnsi="宋体" w:cs="宋体"/>
          <w:color w:val="auto"/>
          <w:sz w:val="22"/>
        </w:rPr>
        <w:t>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hint="eastAsia" w:ascii="宋体" w:hAnsi="宋体" w:cs="宋体"/>
          <w:color w:val="auto"/>
          <w:sz w:val="22"/>
        </w:rPr>
      </w:pPr>
      <w:r>
        <w:rPr>
          <w:rFonts w:hint="eastAsia" w:ascii="宋体" w:hAnsi="宋体" w:cs="宋体"/>
          <w:color w:val="auto"/>
          <w:sz w:val="22"/>
        </w:rPr>
        <w:t>本单位对上述声明的真实性负责。如有虚假，将依法承担相应责任。</w:t>
      </w:r>
    </w:p>
    <w:p>
      <w:pPr>
        <w:spacing w:line="588" w:lineRule="exact"/>
        <w:ind w:firstLine="624" w:firstLineChars="200"/>
        <w:rPr>
          <w:rFonts w:hint="eastAsia" w:ascii="宋体" w:hAnsi="宋体" w:cs="宋体"/>
          <w:color w:val="auto"/>
          <w:spacing w:val="6"/>
          <w:sz w:val="30"/>
          <w:szCs w:val="30"/>
        </w:rPr>
      </w:pPr>
    </w:p>
    <w:p>
      <w:pPr>
        <w:spacing w:line="588" w:lineRule="exact"/>
        <w:ind w:firstLine="624" w:firstLineChars="200"/>
        <w:rPr>
          <w:rFonts w:hint="eastAsia" w:ascii="宋体" w:hAnsi="宋体" w:cs="宋体"/>
          <w:color w:val="auto"/>
          <w:spacing w:val="6"/>
          <w:sz w:val="30"/>
          <w:szCs w:val="30"/>
        </w:rPr>
      </w:pPr>
    </w:p>
    <w:p>
      <w:pPr>
        <w:spacing w:line="440" w:lineRule="atLeast"/>
        <w:rPr>
          <w:rFonts w:hint="eastAsia" w:ascii="宋体" w:hAnsi="宋体" w:cs="宋体"/>
          <w:b/>
          <w:bCs/>
          <w:color w:val="auto"/>
          <w:szCs w:val="21"/>
        </w:rPr>
      </w:pPr>
      <w:r>
        <w:rPr>
          <w:rFonts w:hint="eastAsia" w:ascii="宋体" w:hAnsi="宋体" w:cs="宋体"/>
          <w:b/>
          <w:bCs/>
          <w:color w:val="auto"/>
          <w:szCs w:val="21"/>
        </w:rPr>
        <w:t>投标人（盖章）：  </w:t>
      </w:r>
    </w:p>
    <w:p>
      <w:pPr>
        <w:spacing w:line="440" w:lineRule="atLeast"/>
        <w:ind w:left="16" w:leftChars="-403" w:hanging="862" w:hangingChars="409"/>
        <w:rPr>
          <w:rFonts w:hint="eastAsia" w:ascii="宋体" w:hAnsi="宋体" w:cs="宋体"/>
          <w:b/>
          <w:bCs/>
          <w:color w:val="auto"/>
          <w:szCs w:val="21"/>
        </w:rPr>
      </w:pPr>
      <w:r>
        <w:rPr>
          <w:rFonts w:hint="eastAsia" w:ascii="宋体" w:hAnsi="宋体" w:cs="宋体"/>
          <w:b/>
          <w:bCs/>
          <w:color w:val="auto"/>
          <w:szCs w:val="21"/>
        </w:rPr>
        <w:t>              </w:t>
      </w:r>
    </w:p>
    <w:p>
      <w:pPr>
        <w:pStyle w:val="61"/>
        <w:adjustRightInd/>
        <w:rPr>
          <w:rFonts w:hint="eastAsia" w:ascii="宋体" w:hAnsi="宋体" w:cs="宋体"/>
          <w:b/>
          <w:bCs/>
          <w:color w:val="auto"/>
        </w:rPr>
      </w:pPr>
    </w:p>
    <w:p>
      <w:pPr>
        <w:tabs>
          <w:tab w:val="left" w:pos="4860"/>
        </w:tabs>
        <w:spacing w:line="588" w:lineRule="exact"/>
        <w:ind w:right="1560"/>
        <w:rPr>
          <w:rFonts w:hint="eastAsia" w:ascii="宋体" w:hAnsi="宋体" w:cs="宋体"/>
          <w:b/>
          <w:bCs/>
          <w:color w:val="auto"/>
          <w:szCs w:val="21"/>
        </w:rPr>
      </w:pPr>
      <w:r>
        <w:rPr>
          <w:rFonts w:hint="eastAsia" w:ascii="宋体" w:hAnsi="宋体" w:cs="宋体"/>
          <w:b/>
          <w:bCs/>
          <w:color w:val="auto"/>
          <w:szCs w:val="21"/>
        </w:rPr>
        <w:t>日  期： </w:t>
      </w:r>
    </w:p>
    <w:p>
      <w:pPr>
        <w:tabs>
          <w:tab w:val="left" w:pos="4860"/>
        </w:tabs>
        <w:spacing w:line="588" w:lineRule="exact"/>
        <w:ind w:right="1560"/>
        <w:rPr>
          <w:rFonts w:hint="eastAsia" w:ascii="宋体" w:hAnsi="宋体" w:cs="宋体"/>
          <w:color w:val="auto"/>
          <w:spacing w:val="6"/>
          <w:sz w:val="30"/>
          <w:szCs w:val="30"/>
        </w:rPr>
      </w:pPr>
      <w:r>
        <w:rPr>
          <w:rFonts w:hint="eastAsia" w:ascii="宋体" w:hAnsi="宋体" w:cs="宋体"/>
          <w:color w:val="auto"/>
          <w:szCs w:val="21"/>
        </w:rPr>
        <w:t> </w:t>
      </w:r>
    </w:p>
    <w:p>
      <w:pPr>
        <w:tabs>
          <w:tab w:val="left" w:pos="4860"/>
        </w:tabs>
        <w:spacing w:line="588" w:lineRule="exact"/>
        <w:ind w:right="1560"/>
        <w:jc w:val="left"/>
        <w:rPr>
          <w:rFonts w:hint="eastAsia" w:ascii="宋体" w:hAnsi="宋体" w:cs="宋体"/>
          <w:b/>
          <w:color w:val="auto"/>
          <w:sz w:val="22"/>
        </w:rPr>
      </w:pPr>
      <w:r>
        <w:rPr>
          <w:rFonts w:hint="eastAsia" w:ascii="宋体" w:hAnsi="宋体" w:cs="宋体"/>
          <w:b/>
          <w:color w:val="auto"/>
          <w:sz w:val="22"/>
        </w:rPr>
        <w:t>备注说明：</w:t>
      </w:r>
    </w:p>
    <w:p>
      <w:pPr>
        <w:tabs>
          <w:tab w:val="left" w:pos="4860"/>
        </w:tabs>
        <w:spacing w:line="588" w:lineRule="exact"/>
        <w:ind w:right="1560"/>
        <w:jc w:val="left"/>
        <w:rPr>
          <w:rFonts w:hint="eastAsia" w:ascii="宋体" w:hAnsi="宋体" w:cs="宋体"/>
          <w:b/>
          <w:color w:val="auto"/>
          <w:sz w:val="22"/>
        </w:rPr>
      </w:pPr>
      <w:r>
        <w:rPr>
          <w:rFonts w:hint="eastAsia" w:ascii="宋体" w:hAnsi="宋体" w:cs="宋体"/>
          <w:b/>
          <w:color w:val="auto"/>
          <w:sz w:val="22"/>
        </w:rPr>
        <w:t>1、如中标，将在中标公示中将此残疾人福利性单位声明函予以公示，接受社会监督；</w:t>
      </w:r>
    </w:p>
    <w:p>
      <w:pPr>
        <w:tabs>
          <w:tab w:val="left" w:pos="4860"/>
        </w:tabs>
        <w:spacing w:line="588" w:lineRule="exact"/>
        <w:ind w:right="-94"/>
        <w:jc w:val="left"/>
        <w:rPr>
          <w:rFonts w:hint="eastAsia" w:ascii="宋体" w:hAnsi="宋体" w:cs="宋体"/>
          <w:color w:val="auto"/>
          <w:spacing w:val="6"/>
          <w:sz w:val="30"/>
          <w:szCs w:val="30"/>
        </w:rPr>
      </w:pPr>
      <w:r>
        <w:rPr>
          <w:rFonts w:hint="eastAsia" w:ascii="宋体" w:hAnsi="宋体" w:cs="宋体"/>
          <w:b/>
          <w:color w:val="auto"/>
          <w:sz w:val="22"/>
        </w:rPr>
        <w:t>2、供应商提供的《残疾人福利性单位声明函》与事实不符的，依照《政府采购法》第七十七条第一款的规定追究法律责任。</w:t>
      </w:r>
    </w:p>
    <w:p>
      <w:pPr>
        <w:tabs>
          <w:tab w:val="left" w:pos="4860"/>
        </w:tabs>
        <w:spacing w:line="588" w:lineRule="exact"/>
        <w:ind w:right="-94"/>
        <w:jc w:val="left"/>
        <w:rPr>
          <w:color w:val="auto"/>
          <w:spacing w:val="6"/>
          <w:sz w:val="30"/>
          <w:szCs w:val="30"/>
        </w:rPr>
      </w:pPr>
    </w:p>
    <w:p>
      <w:pPr>
        <w:pStyle w:val="13"/>
        <w:snapToGrid w:val="0"/>
        <w:spacing w:line="360" w:lineRule="auto"/>
        <w:ind w:firstLine="420" w:firstLineChars="200"/>
        <w:rPr>
          <w:rFonts w:hint="eastAsia" w:hAnsi="宋体"/>
          <w:color w:val="auto"/>
        </w:rPr>
      </w:pPr>
    </w:p>
    <w:p>
      <w:pPr>
        <w:pStyle w:val="3"/>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br w:type="page"/>
      </w:r>
      <w:bookmarkStart w:id="154" w:name="_Toc18534"/>
      <w:r>
        <w:rPr>
          <w:rFonts w:hint="eastAsia" w:ascii="黑体" w:hAnsi="黑体" w:eastAsia="黑体" w:cs="黑体"/>
          <w:b w:val="0"/>
          <w:bCs w:val="0"/>
          <w:color w:val="auto"/>
          <w:sz w:val="32"/>
          <w:szCs w:val="32"/>
        </w:rPr>
        <w:t xml:space="preserve">第三章  </w:t>
      </w:r>
      <w:bookmarkStart w:id="155" w:name="_Toc22314"/>
      <w:r>
        <w:rPr>
          <w:rFonts w:hint="eastAsia" w:ascii="黑体" w:hAnsi="黑体" w:eastAsia="黑体" w:cs="黑体"/>
          <w:b w:val="0"/>
          <w:bCs w:val="0"/>
          <w:color w:val="auto"/>
          <w:sz w:val="32"/>
          <w:szCs w:val="32"/>
        </w:rPr>
        <w:t>招标内容及要求</w:t>
      </w:r>
      <w:bookmarkEnd w:id="122"/>
      <w:bookmarkEnd w:id="123"/>
      <w:bookmarkEnd w:id="124"/>
      <w:bookmarkEnd w:id="125"/>
      <w:bookmarkEnd w:id="126"/>
      <w:bookmarkEnd w:id="149"/>
      <w:bookmarkEnd w:id="154"/>
      <w:bookmarkEnd w:id="155"/>
    </w:p>
    <w:p>
      <w:pPr>
        <w:spacing w:line="360" w:lineRule="auto"/>
        <w:ind w:firstLine="420" w:firstLineChars="200"/>
        <w:rPr>
          <w:rFonts w:hint="eastAsia" w:ascii="宋体" w:hAnsi="宋体" w:cs="宋体"/>
          <w:color w:val="auto"/>
          <w:sz w:val="21"/>
          <w:szCs w:val="21"/>
        </w:rPr>
      </w:pPr>
      <w:bookmarkStart w:id="156" w:name="_Toc435606535"/>
      <w:bookmarkStart w:id="157" w:name="_Toc420785391"/>
      <w:bookmarkStart w:id="158" w:name="_Toc12742"/>
      <w:bookmarkStart w:id="159" w:name="_Toc11233"/>
      <w:bookmarkStart w:id="160" w:name="_Toc23270"/>
      <w:bookmarkStart w:id="161" w:name="_Toc12166"/>
      <w:r>
        <w:rPr>
          <w:rFonts w:hint="eastAsia" w:ascii="宋体" w:hAnsi="宋体" w:cs="宋体"/>
          <w:color w:val="auto"/>
          <w:sz w:val="21"/>
          <w:szCs w:val="21"/>
        </w:rPr>
        <w:t>说明：“</w:t>
      </w:r>
      <w:r>
        <w:rPr>
          <w:rFonts w:hint="eastAsia" w:ascii="宋体" w:hAnsi="宋体" w:cs="宋体"/>
          <w:color w:val="auto"/>
          <w:sz w:val="21"/>
          <w:szCs w:val="21"/>
          <w:lang w:eastAsia="zh-CN"/>
        </w:rPr>
        <w:t>▲</w:t>
      </w:r>
      <w:r>
        <w:rPr>
          <w:rFonts w:hint="eastAsia" w:ascii="宋体" w:hAnsi="宋体" w:cs="宋体"/>
          <w:color w:val="auto"/>
          <w:sz w:val="21"/>
          <w:szCs w:val="21"/>
        </w:rPr>
        <w:t>”号技术条款为必须响应条款，不满足则作废标处理。</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采购人需求</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一、 项目概述</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1、项目地点：</w:t>
      </w:r>
      <w:r>
        <w:rPr>
          <w:rFonts w:hint="eastAsia" w:ascii="宋体" w:hAnsi="宋体" w:cs="宋体"/>
          <w:color w:val="auto"/>
          <w:sz w:val="21"/>
          <w:szCs w:val="21"/>
          <w:lang w:eastAsia="zh-CN"/>
        </w:rPr>
        <w:t>常山县城乡生活垃圾填埋场</w:t>
      </w:r>
      <w:r>
        <w:rPr>
          <w:rFonts w:hint="eastAsia" w:ascii="宋体" w:hAnsi="宋体" w:cs="宋体"/>
          <w:color w:val="auto"/>
          <w:sz w:val="21"/>
          <w:szCs w:val="21"/>
        </w:rPr>
        <w:t>位于常山县天马街道下榨（石坝村）岗塘坞。请各投标人自行勘探现场。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Cs w:val="21"/>
        </w:rPr>
        <w:t>处理能力：设计渗滤液处理规模为200 m³/d。目前浓缩液为回流到垃圾填埋区处理，污泥经脱水干化至含水率不超过80%后在填埋场填埋处置，封场后自行处置</w:t>
      </w:r>
      <w:r>
        <w:rPr>
          <w:rFonts w:hint="eastAsia" w:ascii="宋体" w:hAnsi="宋体" w:cs="宋体"/>
          <w:color w:val="auto"/>
          <w:sz w:val="21"/>
          <w:szCs w:val="21"/>
        </w:rPr>
        <w:t>。</w:t>
      </w:r>
    </w:p>
    <w:p>
      <w:pPr>
        <w:pStyle w:val="57"/>
        <w:snapToGrid w:val="0"/>
        <w:spacing w:before="0" w:beforeAutospacing="0" w:after="0" w:afterAutospacing="0" w:line="360" w:lineRule="auto"/>
        <w:ind w:firstLine="420" w:firstLineChars="200"/>
        <w:rPr>
          <w:rFonts w:hint="eastAsia" w:cs="宋体"/>
          <w:b/>
          <w:bCs/>
          <w:color w:val="auto"/>
          <w:sz w:val="21"/>
          <w:szCs w:val="21"/>
          <w:highlight w:val="none"/>
          <w:lang w:eastAsia="zh-CN"/>
        </w:rPr>
      </w:pPr>
      <w:r>
        <w:rPr>
          <w:rFonts w:hint="eastAsia" w:cs="宋体"/>
          <w:color w:val="auto"/>
          <w:sz w:val="21"/>
          <w:szCs w:val="21"/>
          <w:highlight w:val="none"/>
        </w:rPr>
        <w:t>3、现状：常山县城乡生活垃圾填埋场一期工程于2010年11月投入运行，设计填埋库容量81万m³，日生活垃处理能力200吨，使用年限10年。常山县城乡生活垃圾填埋场一期工程渗滤液处理系统提标改造工程于2017年6月底完成，2017年8月开始调试运营。目前正在封场设计阶段，预计今年年底完成封场工作。</w:t>
      </w:r>
      <w:r>
        <w:rPr>
          <w:rFonts w:hint="eastAsia" w:cs="宋体"/>
          <w:b/>
          <w:bCs/>
          <w:color w:val="auto"/>
          <w:sz w:val="21"/>
          <w:szCs w:val="21"/>
          <w:highlight w:val="none"/>
          <w:lang w:eastAsia="zh-CN"/>
        </w:rPr>
        <w:t>自</w:t>
      </w:r>
      <w:r>
        <w:rPr>
          <w:rFonts w:hint="eastAsia" w:cs="宋体"/>
          <w:b/>
          <w:bCs/>
          <w:color w:val="auto"/>
          <w:sz w:val="21"/>
          <w:szCs w:val="21"/>
          <w:highlight w:val="none"/>
        </w:rPr>
        <w:t>2023年2月1日，</w:t>
      </w:r>
      <w:r>
        <w:rPr>
          <w:rFonts w:hint="eastAsia" w:cs="宋体"/>
          <w:b/>
          <w:bCs/>
          <w:color w:val="auto"/>
          <w:sz w:val="21"/>
          <w:szCs w:val="21"/>
          <w:highlight w:val="none"/>
          <w:lang w:eastAsia="zh-CN"/>
        </w:rPr>
        <w:t>前期</w:t>
      </w:r>
      <w:r>
        <w:rPr>
          <w:rFonts w:hint="eastAsia" w:cs="宋体"/>
          <w:b/>
          <w:bCs/>
          <w:color w:val="auto"/>
          <w:sz w:val="21"/>
          <w:szCs w:val="21"/>
          <w:highlight w:val="none"/>
        </w:rPr>
        <w:t>微电荷及自养反硝化服务</w:t>
      </w:r>
      <w:r>
        <w:rPr>
          <w:rFonts w:hint="eastAsia" w:cs="宋体"/>
          <w:b/>
          <w:bCs/>
          <w:color w:val="auto"/>
          <w:sz w:val="21"/>
          <w:szCs w:val="21"/>
          <w:highlight w:val="none"/>
          <w:lang w:eastAsia="zh-CN"/>
        </w:rPr>
        <w:t>到期，投标人须自行考虑此项费用，采购人不另行支出此项费用。自行加装此项设备或与前期中标人协商续租其设备，由投标人自行与其协商，采购人不参与其中。但不能因此为由耽误工作进度，否则采购人有权对中标人做出处罚。</w:t>
      </w:r>
    </w:p>
    <w:p>
      <w:pPr>
        <w:pStyle w:val="57"/>
        <w:snapToGrid w:val="0"/>
        <w:spacing w:before="0" w:beforeAutospacing="0" w:after="0" w:afterAutospacing="0" w:line="360" w:lineRule="auto"/>
        <w:ind w:firstLine="422" w:firstLineChars="200"/>
        <w:rPr>
          <w:rFonts w:hint="eastAsia" w:cs="宋体"/>
          <w:color w:val="auto"/>
          <w:sz w:val="21"/>
          <w:szCs w:val="21"/>
          <w:highlight w:val="red"/>
          <w:lang w:eastAsia="zh-CN"/>
        </w:rPr>
      </w:pPr>
      <w:r>
        <w:rPr>
          <w:rFonts w:hint="eastAsia" w:ascii="宋体" w:hAnsi="宋体" w:eastAsia="宋体" w:cs="宋体"/>
          <w:b/>
          <w:bCs/>
          <w:color w:val="auto"/>
          <w:kern w:val="2"/>
          <w:sz w:val="21"/>
          <w:szCs w:val="21"/>
          <w:highlight w:val="none"/>
          <w:lang w:val="en-US" w:eastAsia="zh-CN" w:bidi="ar-SA"/>
        </w:rPr>
        <w:t>▲4、投标人中标后，必须按照投标文件提供的人员到岗到位。</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、投标人参与本项目投标，则视同对本项目的现场情况已全面了解，不存在任何异议。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6</w:t>
      </w:r>
      <w:r>
        <w:rPr>
          <w:rFonts w:hint="eastAsia" w:ascii="宋体" w:hAnsi="宋体" w:cs="宋体"/>
          <w:color w:val="auto"/>
          <w:sz w:val="21"/>
          <w:szCs w:val="21"/>
        </w:rPr>
        <w:t>、如合同期内出现填埋场永久封场、进场填埋垃圾量减少或停止填埋运营等现象，进而导致处理进水量不足的情形时，按如下情况进行：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月保底量按设计进</w:t>
      </w:r>
      <w:r>
        <w:rPr>
          <w:rFonts w:hint="eastAsia" w:ascii="宋体" w:hAnsi="宋体" w:cs="宋体"/>
          <w:color w:val="auto"/>
          <w:sz w:val="21"/>
          <w:szCs w:val="21"/>
          <w:lang w:eastAsia="zh-CN"/>
        </w:rPr>
        <w:t>水量的50%</w:t>
      </w:r>
      <w:r>
        <w:rPr>
          <w:rFonts w:hint="eastAsia" w:ascii="宋体" w:hAnsi="宋体" w:cs="宋体"/>
          <w:color w:val="auto"/>
          <w:sz w:val="21"/>
          <w:szCs w:val="21"/>
          <w:highlight w:val="none"/>
        </w:rPr>
        <w:t>计</w:t>
      </w:r>
      <w:r>
        <w:rPr>
          <w:rFonts w:hint="eastAsia" w:ascii="宋体" w:hAnsi="宋体" w:cs="宋体"/>
          <w:color w:val="auto"/>
          <w:sz w:val="21"/>
          <w:szCs w:val="21"/>
        </w:rPr>
        <w:t>，月渗滤液产生量少于保底量，按保底量计算。其余情况不再进行保底补偿，按照实际产水量计算处理费用。</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二、 运营期限</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运营时间：自合同签订之日起</w:t>
      </w:r>
      <w:r>
        <w:rPr>
          <w:rFonts w:hint="eastAsia" w:ascii="宋体" w:hAnsi="宋体" w:cs="宋体"/>
          <w:color w:val="auto"/>
          <w:sz w:val="21"/>
          <w:szCs w:val="21"/>
          <w:lang w:eastAsia="zh-CN"/>
        </w:rPr>
        <w:t>三</w:t>
      </w:r>
      <w:r>
        <w:rPr>
          <w:rFonts w:hint="eastAsia" w:ascii="宋体" w:hAnsi="宋体" w:cs="宋体"/>
          <w:color w:val="auto"/>
          <w:sz w:val="21"/>
          <w:szCs w:val="21"/>
        </w:rPr>
        <w:t>年（20</w:t>
      </w:r>
      <w:r>
        <w:rPr>
          <w:rFonts w:hint="eastAsia" w:ascii="宋体" w:hAnsi="宋体" w:cs="宋体"/>
          <w:color w:val="auto"/>
          <w:sz w:val="21"/>
          <w:szCs w:val="21"/>
          <w:lang w:val="en-US" w:eastAsia="zh-CN"/>
        </w:rPr>
        <w:t>22</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pPr>
        <w:spacing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rPr>
        <w:t>三、</w:t>
      </w:r>
      <w:r>
        <w:rPr>
          <w:rFonts w:hint="eastAsia" w:ascii="宋体" w:hAnsi="宋体" w:cs="宋体"/>
          <w:b/>
          <w:color w:val="auto"/>
          <w:sz w:val="21"/>
          <w:szCs w:val="21"/>
          <w:lang w:eastAsia="zh-CN"/>
        </w:rPr>
        <w:t>▲</w:t>
      </w:r>
      <w:r>
        <w:rPr>
          <w:rFonts w:hint="eastAsia" w:ascii="宋体" w:hAnsi="宋体" w:cs="宋体"/>
          <w:b/>
          <w:color w:val="auto"/>
          <w:sz w:val="21"/>
          <w:szCs w:val="21"/>
        </w:rPr>
        <w:t>最高限价</w:t>
      </w:r>
    </w:p>
    <w:p>
      <w:pPr>
        <w:spacing w:line="360" w:lineRule="auto"/>
        <w:ind w:firstLine="399" w:firstLineChars="190"/>
        <w:rPr>
          <w:rFonts w:hint="eastAsia" w:ascii="宋体" w:hAnsi="宋体" w:cs="宋体"/>
          <w:color w:val="auto"/>
          <w:sz w:val="21"/>
          <w:szCs w:val="21"/>
          <w:highlight w:val="none"/>
        </w:rPr>
      </w:pPr>
      <w:r>
        <w:rPr>
          <w:rFonts w:hint="eastAsia" w:ascii="宋体" w:hAnsi="宋体" w:cs="宋体"/>
          <w:color w:val="auto"/>
          <w:sz w:val="21"/>
          <w:szCs w:val="21"/>
          <w:highlight w:val="none"/>
        </w:rPr>
        <w:t>1、本项目垃圾渗滤液运营服务最高限价人民币：每</w:t>
      </w:r>
      <w:r>
        <w:rPr>
          <w:rFonts w:hint="eastAsia" w:ascii="宋体" w:hAnsi="宋体" w:cs="宋体"/>
          <w:color w:val="auto"/>
          <w:sz w:val="21"/>
          <w:szCs w:val="21"/>
          <w:highlight w:val="none"/>
          <w:lang w:val="en-US" w:eastAsia="zh-CN"/>
        </w:rPr>
        <w:t>立方米</w:t>
      </w:r>
      <w:r>
        <w:rPr>
          <w:rFonts w:hint="eastAsia" w:ascii="宋体" w:hAnsi="宋体" w:cs="宋体"/>
          <w:color w:val="auto"/>
          <w:sz w:val="21"/>
          <w:szCs w:val="21"/>
          <w:highlight w:val="none"/>
        </w:rPr>
        <w:t>玖拾伍元整（￥9</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元/m³），其中垃圾渗滤液运营费报价</w:t>
      </w:r>
      <w:r>
        <w:rPr>
          <w:rFonts w:hint="eastAsia" w:ascii="宋体" w:hAnsi="宋体" w:cs="宋体"/>
          <w:color w:val="auto"/>
          <w:sz w:val="21"/>
          <w:szCs w:val="21"/>
          <w:highlight w:val="none"/>
          <w:lang w:val="en-US" w:eastAsia="zh-CN"/>
        </w:rPr>
        <w:t>69</w:t>
      </w:r>
      <w:r>
        <w:rPr>
          <w:rFonts w:hint="eastAsia" w:ascii="宋体" w:hAnsi="宋体" w:cs="宋体"/>
          <w:color w:val="auto"/>
          <w:sz w:val="21"/>
          <w:szCs w:val="21"/>
          <w:highlight w:val="none"/>
        </w:rPr>
        <w:t>元/m³，微电荷及自养反硝化运营费报价20元/m³，污泥处置费3</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rPr>
        <w:t>/m³，设计日</w:t>
      </w:r>
      <w:r>
        <w:rPr>
          <w:rFonts w:hint="eastAsia" w:ascii="宋体" w:hAnsi="宋体" w:cs="宋体"/>
          <w:color w:val="auto"/>
          <w:sz w:val="21"/>
          <w:szCs w:val="21"/>
          <w:highlight w:val="none"/>
          <w:lang w:eastAsia="zh-CN"/>
        </w:rPr>
        <w:t>渗滤液</w:t>
      </w:r>
      <w:r>
        <w:rPr>
          <w:rFonts w:hint="eastAsia" w:ascii="宋体" w:hAnsi="宋体" w:cs="宋体"/>
          <w:color w:val="auto"/>
          <w:sz w:val="21"/>
          <w:szCs w:val="21"/>
          <w:highlight w:val="none"/>
        </w:rPr>
        <w:t>处理量200m³。项目采购预算总价约为</w:t>
      </w:r>
      <w:r>
        <w:rPr>
          <w:rFonts w:hint="eastAsia" w:ascii="宋体" w:hAnsi="宋体" w:cs="宋体"/>
          <w:color w:val="auto"/>
          <w:sz w:val="21"/>
          <w:szCs w:val="21"/>
          <w:highlight w:val="none"/>
          <w:lang w:val="en-US" w:eastAsia="zh-CN"/>
        </w:rPr>
        <w:t>2014.8</w:t>
      </w:r>
      <w:r>
        <w:rPr>
          <w:rFonts w:hint="eastAsia" w:ascii="宋体" w:hAnsi="宋体" w:cs="宋体"/>
          <w:color w:val="auto"/>
          <w:sz w:val="21"/>
          <w:szCs w:val="21"/>
          <w:highlight w:val="none"/>
        </w:rPr>
        <w:t>万元，凡超出</w:t>
      </w:r>
      <w:r>
        <w:rPr>
          <w:rFonts w:hint="eastAsia" w:ascii="宋体" w:hAnsi="宋体" w:cs="宋体"/>
          <w:color w:val="auto"/>
          <w:sz w:val="21"/>
          <w:szCs w:val="21"/>
          <w:highlight w:val="none"/>
          <w:lang w:eastAsia="zh-CN"/>
        </w:rPr>
        <w:t>总价</w:t>
      </w:r>
      <w:r>
        <w:rPr>
          <w:rFonts w:hint="eastAsia" w:ascii="宋体" w:hAnsi="宋体" w:cs="宋体"/>
          <w:color w:val="auto"/>
          <w:sz w:val="21"/>
          <w:szCs w:val="21"/>
          <w:highlight w:val="none"/>
        </w:rPr>
        <w:t>最高限价的</w:t>
      </w:r>
      <w:r>
        <w:rPr>
          <w:rFonts w:hint="eastAsia" w:ascii="宋体" w:hAnsi="宋体" w:cs="宋体"/>
          <w:color w:val="auto"/>
          <w:sz w:val="21"/>
          <w:szCs w:val="21"/>
          <w:highlight w:val="none"/>
          <w:lang w:eastAsia="zh-CN"/>
        </w:rPr>
        <w:t>及三项分项报价</w:t>
      </w:r>
      <w:r>
        <w:rPr>
          <w:rFonts w:hint="eastAsia" w:ascii="宋体" w:hAnsi="宋体" w:cs="宋体"/>
          <w:color w:val="auto"/>
          <w:sz w:val="21"/>
          <w:szCs w:val="21"/>
          <w:highlight w:val="none"/>
        </w:rPr>
        <w:t>最高限价的，一律视为无效投标。</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2、投标人提供了相关证明材料但是不能合理说明，被评标委员会认定为以低于成本报价竞标的，作无效投标处理。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highlight w:val="none"/>
        </w:rPr>
        <w:t>3、</w:t>
      </w:r>
      <w:r>
        <w:rPr>
          <w:rFonts w:hint="eastAsia" w:ascii="宋体" w:hAnsi="宋体" w:cs="宋体"/>
          <w:color w:val="auto"/>
          <w:szCs w:val="21"/>
          <w:highlight w:val="none"/>
        </w:rPr>
        <w:t>投标人应以包括服务所涉及的有关项目的所有费用进行报价，包括但不限于：渗滤液处理所投入的人工费、药剂费、化验费、燃料动力费、设施设备运行维护费、备品备件费（</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含膜、</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rPr>
        <w:t>易耗件更换）、脱水污泥的运输费及处置费、应急设备的租赁费及运营费用、保险、税费、人员培训等。“渗滤液运营处理费”指处理</w:t>
      </w:r>
      <w:r>
        <w:rPr>
          <w:rFonts w:hint="eastAsia" w:ascii="宋体" w:hAnsi="宋体" w:cs="宋体"/>
          <w:color w:val="auto"/>
          <w:szCs w:val="21"/>
        </w:rPr>
        <w:t>1吨垃圾渗滤液(1吨视同1m³)所发生的以上所有费用的综合单价</w:t>
      </w:r>
      <w:r>
        <w:rPr>
          <w:rFonts w:hint="eastAsia" w:ascii="宋体" w:hAnsi="宋体" w:cs="宋体"/>
          <w:color w:val="auto"/>
          <w:sz w:val="21"/>
          <w:szCs w:val="21"/>
        </w:rPr>
        <w:t>。</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四、 主体工艺及设备设施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主体工艺：污水处理系统采用“一体化微电荷加载设备+综合预处理系统(格栅+混凝沉淀+水解)+两级A/O(一级A/O/N+A/O)+外置式MBR(UF)+纳滤(NF)+反渗透（RO）+自养反硝化脱氮滤池”工艺。达标出水经总排口及在线监测排至外排管道，浓缩液处理自行考虑处理工艺，工艺流程见下图1。</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图1：</w:t>
      </w:r>
      <w:r>
        <w:rPr>
          <w:rFonts w:hint="eastAsia" w:ascii="宋体" w:hAnsi="宋体" w:cs="宋体"/>
          <w:bCs/>
          <w:color w:val="auto"/>
          <w:szCs w:val="21"/>
        </w:rPr>
        <w:t>渗滤液处理系统</w:t>
      </w:r>
      <w:r>
        <w:rPr>
          <w:rFonts w:hint="eastAsia" w:ascii="宋体" w:hAnsi="宋体" w:cs="宋体"/>
          <w:color w:val="auto"/>
          <w:szCs w:val="21"/>
        </w:rPr>
        <w:t>工艺流程</w:t>
      </w:r>
    </w:p>
    <w:p>
      <w:pPr>
        <w:spacing w:line="360" w:lineRule="auto"/>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76200</wp:posOffset>
                </wp:positionV>
                <wp:extent cx="1371600" cy="396240"/>
                <wp:effectExtent l="4445" t="4445" r="14605" b="18415"/>
                <wp:wrapNone/>
                <wp:docPr id="6" name="矩形 7"/>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40" w:firstLineChars="50"/>
                              <w:rPr>
                                <w:sz w:val="24"/>
                              </w:rPr>
                            </w:pPr>
                            <w:r>
                              <w:rPr>
                                <w:sz w:val="28"/>
                                <w:szCs w:val="28"/>
                              </w:rPr>
                              <w:t xml:space="preserve">  </w:t>
                            </w:r>
                            <w:r>
                              <w:rPr>
                                <w:rFonts w:hint="eastAsia"/>
                                <w:sz w:val="24"/>
                              </w:rPr>
                              <w:t>二级</w:t>
                            </w:r>
                            <w:r>
                              <w:rPr>
                                <w:sz w:val="24"/>
                              </w:rPr>
                              <w:t>A</w:t>
                            </w:r>
                            <w:r>
                              <w:rPr>
                                <w:rFonts w:hint="eastAsia"/>
                                <w:sz w:val="24"/>
                              </w:rPr>
                              <w:t>池</w:t>
                            </w:r>
                          </w:p>
                        </w:txbxContent>
                      </wps:txbx>
                      <wps:bodyPr wrap="square" upright="1"/>
                    </wps:wsp>
                  </a:graphicData>
                </a:graphic>
              </wp:anchor>
            </w:drawing>
          </mc:Choice>
          <mc:Fallback>
            <w:pict>
              <v:rect id="矩形 7" o:spid="_x0000_s1026" o:spt="1" style="position:absolute;left:0pt;margin-left:252pt;margin-top:6pt;height:31.2pt;width:108pt;z-index:251664384;mso-width-relative:page;mso-height-relative:page;" fillcolor="#FFFFFF" filled="t" stroked="t" coordsize="21600,21600" o:gfxdata="UEsDBAoAAAAAAIdO4kAAAAAAAAAAAAAAAAAEAAAAZHJzL1BLAwQUAAAACACHTuJAD1xVYNQAAAAJ AQAADwAAAGRycy9kb3ducmV2LnhtbE1PTU+DQBC9m/gfNmPize4W8QtZetDUxGNLL94GGAFlZwm7 tOivdzzpad7kvbyPfLO4QR1pCr1nC+uVAUVc+6bn1sKh3F7dgwoRucHBM1n4ogCb4vwsx6zxJ97R cR9bJSYcMrTQxThmWoe6I4dh5Udi4d795DDKO7W6mfAk5m7QiTG32mHPktDhSE8d1Z/72Vmo+uSA 37vyxbiH7XV8XcqP+e3Z2suLtXkEFWmJf2L4rS/VoZBOlZ+5CWqwcGNS2RKFSOSK4E7yQFUC0hR0 kev/C4ofUEsDBBQAAAAIAIdO4kCQCEYSDgIAADcEAAAOAAAAZHJzL2Uyb0RvYy54bWytU82O0zAQ viPxDpbvNGmX7bJR0z1QygXBSgsPMHWcxJL/8LhN+jRI3HgIHgfxGjt2S/cHDj2QgzNjj7+Z75vx 4mY0mu1kQOVszaeTkjNphWuU7Wr+5fP61RvOMIJtQDsra76XyG+WL18sBl/JmeudbmRgBGKxGnzN +xh9VRQoemkAJ85LS4etCwYiuaErmgADoRtdzMpyXgwuND44IRFpd3U45EfEcA6ga1sl5MqJrZE2 HlCD1BCJEvbKI1/mattWivipbVFGpmtOTGNeKQnZm7QWywVUXQDfK3EsAc4p4RknA8pS0hPUCiKw bVB/QRklgkPXxolwpjgQyYoQi2n5TJu7HrzMXEhq9CfR8f/Bio+728BUU/M5ZxYMNfz3tx+/fn5n V0mbwWNFIXf+Nhw9JDMRHdtg0p8osDHruT/pKcfIBG1OL66m85KkFnR2cT2fvc6CFw+3fcD4XjrD klHzQP3KMsLuA0bKSKF/QlIydFo1a6V1dkK3easD2wH1dp2/VDJdeRKmLRtqfn05u6Q6gAa2pUEh 03gijbbL+Z7cwMfAZf7+BZwKWwH2hwIyQgqDyqgok1xQ9RKad7Zhce9JWEvviadijGw405KeX7Jy ZASlz4kkdtoSydSYQyuSFcfNSDDJ3LhmTx0daKSJ3tctBMq59UF1PQk8zURSHM1T1uo4+2lgH/s5 xcN7X94D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ewQAAFtDb250ZW50X1R5cGVzXS54bWxQSwECFAAKAAAAAACHTuJAAAAAAAAAAAAAAAAABgAA AAAAAAAAABAAAABdAwAAX3JlbHMvUEsBAhQAFAAAAAgAh07iQIoUZjzRAAAAlAEAAAsAAAAAAAAA AQAgAAAAgQMAAF9yZWxzLy5yZWxzUEsBAhQACgAAAAAAh07iQAAAAAAAAAAAAAAAAAQAAAAAAAAA AAAQAAAAAAAAAGRycy9QSwECFAAUAAAACACHTuJAD1xVYNQAAAAJAQAADwAAAAAAAAABACAAAAAi AAAAZHJzL2Rvd25yZXYueG1sUEsBAhQAFAAAAAgAh07iQJAIRhIOAgAANwQAAA4AAAAAAAAAAQAg AAAAIwEAAGRycy9lMm9Eb2MueG1sUEsFBgAAAAAGAAYAWQEAAKMFAAAAAA== ">
                <v:fill on="t" focussize="0,0"/>
                <v:stroke color="#000000" joinstyle="miter"/>
                <v:imagedata o:title=""/>
                <o:lock v:ext="edit" aspectratio="f"/>
                <v:textbox>
                  <w:txbxContent>
                    <w:p>
                      <w:pPr>
                        <w:spacing w:line="400" w:lineRule="exact"/>
                        <w:ind w:firstLine="140" w:firstLineChars="50"/>
                        <w:rPr>
                          <w:sz w:val="24"/>
                        </w:rPr>
                      </w:pPr>
                      <w:r>
                        <w:rPr>
                          <w:sz w:val="28"/>
                          <w:szCs w:val="28"/>
                        </w:rPr>
                        <w:t xml:space="preserve">  </w:t>
                      </w:r>
                      <w:r>
                        <w:rPr>
                          <w:rFonts w:hint="eastAsia"/>
                          <w:sz w:val="24"/>
                        </w:rPr>
                        <w:t>二级</w:t>
                      </w:r>
                      <w:r>
                        <w:rPr>
                          <w:sz w:val="24"/>
                        </w:rPr>
                        <w:t>A</w:t>
                      </w:r>
                      <w:r>
                        <w:rPr>
                          <w:rFonts w:hint="eastAsia"/>
                          <w:sz w:val="24"/>
                        </w:rPr>
                        <w:t>池</w:t>
                      </w:r>
                    </w:p>
                  </w:txbxContent>
                </v:textbox>
              </v:rect>
            </w:pict>
          </mc:Fallback>
        </mc:AlternateContent>
      </w:r>
      <w:r>
        <w:rPr>
          <w:rFonts w:hint="eastAsia" w:ascii="宋体" w:hAnsi="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76200</wp:posOffset>
                </wp:positionV>
                <wp:extent cx="1257300" cy="419100"/>
                <wp:effectExtent l="5080" t="5080" r="13970" b="13970"/>
                <wp:wrapNone/>
                <wp:docPr id="3" name="矩形 3"/>
                <wp:cNvGraphicFramePr/>
                <a:graphic xmlns:a="http://schemas.openxmlformats.org/drawingml/2006/main">
                  <a:graphicData uri="http://schemas.microsoft.com/office/word/2010/wordprocessingShape">
                    <wps:wsp>
                      <wps:cNvSpPr/>
                      <wps:spPr>
                        <a:xfrm>
                          <a:off x="0" y="0"/>
                          <a:ext cx="12573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 w:val="24"/>
                              </w:rPr>
                            </w:pPr>
                            <w:r>
                              <w:rPr>
                                <w:sz w:val="28"/>
                                <w:szCs w:val="28"/>
                              </w:rPr>
                              <w:t xml:space="preserve"> </w:t>
                            </w:r>
                            <w:r>
                              <w:rPr>
                                <w:rFonts w:hint="eastAsia"/>
                                <w:sz w:val="24"/>
                              </w:rPr>
                              <w:t>渗滤液调节池</w:t>
                            </w:r>
                          </w:p>
                        </w:txbxContent>
                      </wps:txbx>
                      <wps:bodyPr wrap="square" upright="1"/>
                    </wps:wsp>
                  </a:graphicData>
                </a:graphic>
              </wp:anchor>
            </w:drawing>
          </mc:Choice>
          <mc:Fallback>
            <w:pict>
              <v:rect id="_x0000_s1026" o:spid="_x0000_s1026" o:spt="1" style="position:absolute;left:0pt;margin-left:18pt;margin-top:6pt;height:33pt;width:99pt;z-index:251661312;mso-width-relative:page;mso-height-relative:page;" fillcolor="#FFFFFF" filled="t" stroked="t" coordsize="21600,21600" o:gfxdata="UEsDBAoAAAAAAIdO4kAAAAAAAAAAAAAAAAAEAAAAZHJzL1BLAwQUAAAACACHTuJAVYG7rtYAAAAI AQAADwAAAGRycy9kb3ducmV2LnhtbE2PP0/DMBDFdyS+g3VIbNRugkpJ43QAFYmxTRe2S2ySlPgc xU4b+PQcE53uzzu9+718O7tenO0YOk8algsFwlLtTUeNhmO5e1iDCBHJYO/Javi2AbbF7U2OmfEX 2tvzITaCTShkqKGNccikDHVrHYaFHyyx9ulHh5HHsZFmxAubu14mSq2kw474Q4uDfWlt/XWYnIaq S474sy/flHvepfF9Lk/Tx6vW93dLtQER7Rz/j+EPn9GhYKbKT2SC6DWkK44SeZ9wZT1JH7mpNDyt Fcgil9cBil9QSwMEFAAAAAgAh07iQAQ7BtwJAgAANwQAAA4AAABkcnMvZTJvRG9jLnhtbK1TS5LT MBDdU8UdVNoT2wkBxhVnFoSwoWCqBg7QkWRbVfohKbFzGqrYcQiOQ3GNackh84FFFnhhP1mt1/1e t1bXo1bkIHyQ1jS0mpWUCMMsl6Zr6JfP2xdvKAkRDAdljWjoUQR6vX7+bDW4WsxtbxUXniCJCfXg GtrH6OqiCKwXGsLMOmFws7VeQ8Sl7wruYUB2rYp5Wb4qBuu585aJEPDvZtqkJ0Z/CaFtW8nExrK9 FiZOrF4oiCgp9NIFus7Vtq1g8VPbBhGJaigqjfmNSRDv0rtYr6DuPLheslMJcEkJTzRpkAaTnqk2 EIHsvfyLSkvmbbBtnDGri0lIdgRVVOUTb257cCJrQauDO5se/h8t+3i48UTyhi4oMaCx4b+//fj1 8ztZJG8GF2oMuXU3/rQKCJPQsfU6fVECGbOfx7OfYoyE4c9qvny9KNFqhnsvq6sKMdIU96edD/G9 sJok0FCP/co2wuFDiFPon5CULFgl+VYqlRe+271VnhwAe7vNz4n9UZgyZGjo1XK+xDoAB7bFQUGo HYoOpsv5Hp0ID4nL/PyLOBW2gdBPBWSGFAa1llH4jHoB/J3hJB4dGmvwPtFUjBacEiXw+iWUIyNI dUkkeqcMWpgaM7UioTjuRqRJcGf5ETs64EijvK978Jhz77zsejS4ykJSHM5T7sRp9tPAPlznFPf3 fX0H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VYG7rtYAAAAIAQAADwAAAAAAAAABACAAAAAiAAAA ZHJzL2Rvd25yZXYueG1sUEsBAhQAFAAAAAgAh07iQAQ7BtwJAgAANwQAAA4AAAAAAAAAAQAgAAAA JQEAAGRycy9lMm9Eb2MueG1sUEsFBgAAAAAGAAYAWQEAAKAFAAAAAA== ">
                <v:fill on="t" focussize="0,0"/>
                <v:stroke color="#000000" joinstyle="miter"/>
                <v:imagedata o:title=""/>
                <o:lock v:ext="edit" aspectratio="f"/>
                <v:textbox>
                  <w:txbxContent>
                    <w:p>
                      <w:pPr>
                        <w:spacing w:line="400" w:lineRule="exact"/>
                        <w:rPr>
                          <w:sz w:val="24"/>
                        </w:rPr>
                      </w:pPr>
                      <w:r>
                        <w:rPr>
                          <w:sz w:val="28"/>
                          <w:szCs w:val="28"/>
                        </w:rPr>
                        <w:t xml:space="preserve"> </w:t>
                      </w:r>
                      <w:r>
                        <w:rPr>
                          <w:rFonts w:hint="eastAsia"/>
                          <w:sz w:val="24"/>
                        </w:rPr>
                        <w:t>渗滤液调节池</w:t>
                      </w:r>
                    </w:p>
                  </w:txbxContent>
                </v:textbox>
              </v:rect>
            </w:pict>
          </mc:Fallback>
        </mc:AlternateContent>
      </w:r>
    </w:p>
    <w:p>
      <w:pPr>
        <w:spacing w:line="360" w:lineRule="auto"/>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83840" behindDoc="0" locked="0" layoutInCell="1" allowOverlap="1">
                <wp:simplePos x="0" y="0"/>
                <wp:positionH relativeFrom="column">
                  <wp:posOffset>2478405</wp:posOffset>
                </wp:positionH>
                <wp:positionV relativeFrom="paragraph">
                  <wp:posOffset>175260</wp:posOffset>
                </wp:positionV>
                <wp:extent cx="36195" cy="4994275"/>
                <wp:effectExtent l="6350" t="0" r="14605" b="15875"/>
                <wp:wrapNone/>
                <wp:docPr id="25" name="直线 30"/>
                <wp:cNvGraphicFramePr/>
                <a:graphic xmlns:a="http://schemas.openxmlformats.org/drawingml/2006/main">
                  <a:graphicData uri="http://schemas.microsoft.com/office/word/2010/wordprocessingShape">
                    <wps:wsp>
                      <wps:cNvSpPr/>
                      <wps:spPr>
                        <a:xfrm flipV="1">
                          <a:off x="0" y="0"/>
                          <a:ext cx="36195" cy="49942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flip:y;margin-left:195.15pt;margin-top:13.8pt;height:393.25pt;width:2.85pt;z-index:251683840;mso-width-relative:page;mso-height-relative:page;" filled="f" stroked="t" coordsize="21600,21600" o:gfxdata="UEsDBAoAAAAAAIdO4kAAAAAAAAAAAAAAAAAEAAAAZHJzL1BLAwQUAAAACACHTuJA7MrAyNoAAAAK AQAADwAAAGRycy9kb3ducmV2LnhtbE2Py07DMBBF90j8gzVI7KjjBtI2jdMFDwkJRYjSTXfTeEgi 4nEUu2n5e8yqLEdzdO+5xeZsezHR6DvHGtQsAUFcO9Nxo2H3+XK3BOEDssHeMWn4IQ+b8vqqwNy4 E3/QtA2NiCHsc9TQhjDkUvq6JYt+5gbi+Ptyo8UQz7GRZsRTDLe9nCdJJi12HBtaHOixpfp7e7Qa JlXx++vz3j29YdU8qMrs60XQ+vZGJWsQgc7hAsOfflSHMjod3JGNF72GdJWkEdUwX2QgIpCusjju oGGp7hXIspD/J5S/UEsDBBQAAAAIAIdO4kBH14Xy8wEAAOwDAAAOAAAAZHJzL2Uyb0RvYy54bWyt U0uOEzEQ3SNxB8t70p2eH2mlMwvCsEEw0gzsHX+6Lfknl5NOzsI1WLHhOHMNyu6QgWGTBb1olV3l V/Wen5e3e2vITkbQ3nV0PqspkY57oV3f0S+Pd2/eUgKJOcGMd7KjBwn0dvX61XIMrWz84I2QkSCI g3YMHR1SCm1VAR+kZTDzQTpMKh8tS7iMfSUiGxHdmqqp6+tq9FGE6LkEwN31lKRHxHgOoFdKc7n2 fGulSxNqlIYlpASDDkBXZVqlJE+flQKZiOkoMk3lj00w3uR/tVqyto8sDJofR2DnjPCCk2XaYdMT 1JolRrZR/wNlNY8evEoz7m01ESmKIIt5/UKbh4EFWbig1BBOosP/g+WfdveRaNHR5ooSxyze+NO3 708/fpKLos4YoMWih3AfUau8Agwz1b2Kliijw1e0USGPdMi+aHs4aSv3iXDcvLieL7ADx8zlYnHZ 3Fxl7asJJsOFCOmD9JbkoKNGu0ydtWz3EdJU+rskbxtHRuzb3NR4lZyhERUaAEMbkAy4vhwGb7S4 08bkIxD7zTsTyY5lM5TvOMNfZbnLmsEw1ZXUZJNBMvHeCZIOAVVy+DponsFKQYmR+JhyVAyVmDbn VCJ941CFZ1lztPHigJeyDVH3A0oxL1PmDJqgaHY0bHbZn+uC9PxIV78A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7MrAyNoAAAAKAQAADwAAAAAAAAABACAAAAAiAAAAZHJzL2Rvd25yZXYueG1sUEsB AhQAFAAAAAgAh07iQEfXhfLzAQAA7AMAAA4AAAAAAAAAAQAgAAAAKQEAAGRycy9lMm9Eb2MueG1s UEsFBgAAAAAGAAYAWQEAAI4FAAAAAA== ">
                <v:fill on="f" focussize="0,0"/>
                <v:stroke weight="1pt" color="#000000" joinstyle="round"/>
                <v:imagedata o:title=""/>
                <o:lock v:ext="edit" aspectratio="f"/>
              </v:line>
            </w:pict>
          </mc:Fallback>
        </mc:AlternateContent>
      </w:r>
      <w:r>
        <w:rPr>
          <w:rFonts w:hint="eastAsia" w:ascii="宋体" w:hAnsi="宋体" w:cs="宋体"/>
          <w:color w:val="auto"/>
          <w:szCs w:val="21"/>
        </w:rPr>
        <mc:AlternateContent>
          <mc:Choice Requires="wps">
            <w:drawing>
              <wp:anchor distT="0" distB="0" distL="114300" distR="114300" simplePos="0" relativeHeight="251689984" behindDoc="0" locked="0" layoutInCell="1" allowOverlap="1">
                <wp:simplePos x="0" y="0"/>
                <wp:positionH relativeFrom="column">
                  <wp:posOffset>3886200</wp:posOffset>
                </wp:positionH>
                <wp:positionV relativeFrom="paragraph">
                  <wp:posOffset>196215</wp:posOffset>
                </wp:positionV>
                <wp:extent cx="0" cy="314325"/>
                <wp:effectExtent l="50800" t="0" r="63500" b="9525"/>
                <wp:wrapNone/>
                <wp:docPr id="31" name="直线 36"/>
                <wp:cNvGraphicFramePr/>
                <a:graphic xmlns:a="http://schemas.openxmlformats.org/drawingml/2006/main">
                  <a:graphicData uri="http://schemas.microsoft.com/office/word/2010/wordprocessingShape">
                    <wps:wsp>
                      <wps:cNvSpPr/>
                      <wps:spPr>
                        <a:xfrm>
                          <a:off x="0" y="0"/>
                          <a:ext cx="0" cy="31432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36" o:spid="_x0000_s1026" o:spt="20" style="position:absolute;left:0pt;margin-left:306pt;margin-top:15.45pt;height:24.75pt;width:0pt;z-index:251689984;mso-width-relative:page;mso-height-relative:page;" filled="f" stroked="t" coordsize="21600,21600" o:gfxdata="UEsDBAoAAAAAAIdO4kAAAAAAAAAAAAAAAAAEAAAAZHJzL1BLAwQUAAAACACHTuJAj89ODNYAAAAJ AQAADwAAAGRycy9kb3ducmV2LnhtbE2PwU7DMBBE70j8g7VI3KidgkoJ2fSABBJVLwQOHN14saPG 6yh20sLXY8QBjrMzmn1TbU6+FzONsQuMUCwUCOI2mI4twtvr49UaREyaje4DE8InRdjU52eVLk04 8gvNTbIil3AsNYJLaSiljK0jr+MiDMTZ+wij1ynL0Uoz6mMu971cKrWSXnecPzg90IOj9tBMHmE3 ze/PT06StGnb2O0tHXZfhHh5Uah7EIlO6S8MP/gZHerMtA8Tmyh6hFWxzFsSwrW6A5EDv4c9wlrd gKwr+X9B/Q1QSwMEFAAAAAgAh07iQKuJ7C7rAQAA3gMAAA4AAABkcnMvZTJvRG9jLnhtbK1TS44T MRDdI3EHy3vS+cCAWunMgjBsEIw0cICK7e625J9cTjo5C9dgxYbjzDUou3sSGGYxC3rhLtvPz/Ve ldfXR2vYQUXU3jV8MZtzppzwUruu4d++3rx6xxkmcBKMd6rhJ4X8evPyxXoItVr63hupIiMSh/UQ Gt6nFOqqQtErCzjzQTnabH20kGgau0pGGIjdmmo5n19Vg48yRC8UIq1ux00+McbnEPq21UJtvdhb 5dLIGpWBRJKw1wH5pmTbtkqkL22LKjHTcFKaykiXULzLY7VZQ91FCL0WUwrwnBQeabKgHV16ptpC AraP+h8qq0X06Ns0E95Wo5DiCKlYzB95c9dDUEULWY3hbDr+P1rx+XAbmZYNXy04c2Cp4vfff9z/ /MVWV9mdIWBNoLtwG6cZUpilHtto859EsGNx9HR2VB0TE+OioNXV4vVq+SbTVZdzIWL6qLxlOWi4 0S5rhRoOnzCN0AdIXjaODdSvy7dzqp0A6ryWKk6hDZQ9uq4cRm+0vNHG5CMYu917E9kBcvXLN+Xw FyzfsgXsR1zZyjCoewXyg5MsnQLZ4ug58JyDVZIzo+j15KggE2hzQUKMfngaSvqNIxuyraOROdp5 eaIy7EPUXU9eLEqaeYfKXkybWjT31Z/zwnR5lpvf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AAAAAGRycy9QSwECFAAUAAAACACHTuJAj89O DNYAAAAJAQAADwAAAAAAAAABACAAAAAiAAAAZHJzL2Rvd25yZXYueG1sUEsBAhQAFAAAAAgAh07i QKuJ7C7rAQAA3gMAAA4AAAAAAAAAAQAgAAAAJQEAAGRycy9lMm9Eb2MueG1sUEsFBgAAAAAGAAYA WQEAAIIFAAAAAA== ">
                <v:fill on="f" focussize="0,0"/>
                <v:stroke weight="1pt" color="#000000" joinstyle="round" endarrow="open"/>
                <v:imagedata o:title=""/>
                <o:lock v:ext="edit" aspectratio="f"/>
              </v:line>
            </w:pict>
          </mc:Fallback>
        </mc:AlternateContent>
      </w:r>
      <w:r>
        <w:rPr>
          <w:rFonts w:hint="eastAsia" w:ascii="宋体" w:hAnsi="宋体" w:cs="宋体"/>
          <w:color w:val="auto"/>
          <w:szCs w:val="21"/>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196215</wp:posOffset>
                </wp:positionV>
                <wp:extent cx="1905" cy="316230"/>
                <wp:effectExtent l="50165" t="0" r="62230" b="7620"/>
                <wp:wrapNone/>
                <wp:docPr id="9" name="直线 14"/>
                <wp:cNvGraphicFramePr/>
                <a:graphic xmlns:a="http://schemas.openxmlformats.org/drawingml/2006/main">
                  <a:graphicData uri="http://schemas.microsoft.com/office/word/2010/wordprocessingShape">
                    <wps:wsp>
                      <wps:cNvSpPr/>
                      <wps:spPr>
                        <a:xfrm flipH="1">
                          <a:off x="0" y="0"/>
                          <a:ext cx="1905" cy="31623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14" o:spid="_x0000_s1026" o:spt="20" style="position:absolute;left:0pt;flip:x;margin-left:72pt;margin-top:15.45pt;height:24.9pt;width:0.15pt;z-index:251667456;mso-width-relative:page;mso-height-relative:page;" filled="f" stroked="t" coordsize="21600,21600" o:gfxdata="UEsDBAoAAAAAAIdO4kAAAAAAAAAAAAAAAAAEAAAAZHJzL1BLAwQUAAAACACHTuJAVupaMdoAAAAJ AQAADwAAAGRycy9kb3ducmV2LnhtbE2PT08CMRTE7yZ+h+aZeDHQAgviul0OJBhjooTVxGvZProb 2tfNtvzRT285yXEyk5nfFIuzs+yIfWg9SRgNBTCk2uuWjISvz9VgDixERVpZTyjhBwMsytubQuXa n2iDxyoalkoo5EpCE2OXcx7qBp0KQ98hJW/ne6dikr3hulenVO4sHwsx4061lBYa1eGywXpfHZyE t9365XVm4mZqxu/84eN3FapvK+X93Ug8A4t4jv9huOAndCgT09YfSAdmk86y9CVKmIgnYJdAlk2A bSXMxSPwsuDXD8o/UEsDBBQAAAAIAIdO4kBKCkqv+gEAAOoDAAAOAAAAZHJzL2Uyb0RvYy54bWyt U81uEzEQviPxDpbvZHdTKO0qmx4IhQOCSoUHmNreXUv+k8fJJs/Ca3DiwuP0NRh7QwqFQw/4YI09 42/m+2a8utpbw3Yqovau482i5kw54aV2Q8e/fL5+ccEZJnASjHeq4weF/Gr9/NlqCq1a+tEbqSIj EIftFDo+phTaqkIxKgu48EE5cvY+Wkh0jEMlI0yEbk21rOvzavJRhuiFQqTbzezkR8T4FEDf91qo jRdbq1yaUaMykIgSjjogX5dq+16J9KnvUSVmOk5MU9kpCdl3ea/WK2iHCGHU4lgCPKWER5wsaEdJ T1AbSMC2Uf8FZbWIHn2fFsLbaiZSFCEWTf1Im9sRgipcSGoMJ9Hx/8GKj7ubyLTs+CVnDiw1/P7r t/vvP1jzMoszBWwp5jbcxOMJycxM9320rDc6vKcpKtyJDdsXaQ8nadU+MUGXzWX9ijNBjrPmfHlW hK9mkAwWIqZ3yluWjY4b7TJvaGH3ARMlptBfIfnaODYR5vJ1TX0UQFPYU/fJtIGYoBvKY/RGy2tt TH6Ccbh7YyLbQZ6EsjI/Av4jLGfZAI5zXHHNMzIqkG+dZOkQSCNHX4PnGqySnBlFPylbBAhtAm0e IiFGP/07lHIbRyVkjWdVs3Xn5YFasg1RDyNp0ZQys4dGoBR8HNc8Y7+fC9LDF13/B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FbqWjHaAAAACQEAAA8AAAAAAAAAAQAgAAAAIgAAAGRycy9kb3ducmV2 LnhtbFBLAQIUABQAAAAIAIdO4kBKCkqv+gEAAOoDAAAOAAAAAAAAAAEAIAAAACkBAABkcnMvZTJv RG9jLnhtbFBLBQYAAAAABgAGAFkBAACVBQAAAAA= ">
                <v:fill on="f" focussize="0,0"/>
                <v:stroke weight="1pt" color="#000000" joinstyle="round" endarrow="open"/>
                <v:imagedata o:title=""/>
                <o:lock v:ext="edit" aspectratio="f"/>
              </v:line>
            </w:pict>
          </mc:Fallback>
        </mc:AlternateContent>
      </w:r>
      <w:r>
        <w:rPr>
          <w:rFonts w:hint="eastAsia" w:ascii="宋体" w:hAnsi="宋体" w:cs="宋体"/>
          <w:color w:val="auto"/>
          <w:szCs w:val="21"/>
        </w:rPr>
        <mc:AlternateContent>
          <mc:Choice Requires="wps">
            <w:drawing>
              <wp:anchor distT="0" distB="0" distL="114300" distR="114300" simplePos="0" relativeHeight="251684864" behindDoc="0" locked="0" layoutInCell="1" allowOverlap="1">
                <wp:simplePos x="0" y="0"/>
                <wp:positionH relativeFrom="column">
                  <wp:posOffset>2514600</wp:posOffset>
                </wp:positionH>
                <wp:positionV relativeFrom="paragraph">
                  <wp:posOffset>175260</wp:posOffset>
                </wp:positionV>
                <wp:extent cx="647700" cy="635"/>
                <wp:effectExtent l="0" t="37465" r="0" b="38100"/>
                <wp:wrapNone/>
                <wp:docPr id="26" name="直线 31"/>
                <wp:cNvGraphicFramePr/>
                <a:graphic xmlns:a="http://schemas.openxmlformats.org/drawingml/2006/main">
                  <a:graphicData uri="http://schemas.microsoft.com/office/word/2010/wordprocessingShape">
                    <wps:wsp>
                      <wps:cNvSpPr/>
                      <wps:spPr>
                        <a:xfrm>
                          <a:off x="0" y="0"/>
                          <a:ext cx="647700" cy="63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直线 31" o:spid="_x0000_s1026" o:spt="20" style="position:absolute;left:0pt;margin-left:198pt;margin-top:13.8pt;height:0.05pt;width:51pt;z-index:251684864;mso-width-relative:page;mso-height-relative:page;" filled="f" stroked="t" coordsize="21600,21600" o:gfxdata="UEsDBAoAAAAAAIdO4kAAAAAAAAAAAAAAAAAEAAAAZHJzL1BLAwQUAAAACACHTuJASs+OgtgAAAAJ AQAADwAAAGRycy9kb3ducmV2LnhtbE2PQU/DMAyF70j8h8hIXBBL16Fu65pOAglx4MRAYsesydqK xukStx3/Hu/Ejn5+fv5esT27Tow2xNajgvksAWGx8qbFWsHX5+vjCkQkjUZ3Hq2CXxthW97eFDo3 fsIPO+6oFhyCMdcKGqI+lzJWjXU6znxvkXdHH5wmHkMtTdATh7tOpkmSSadb5A+N7u1LY6uf3eAY Q7pA32/vw/A8Vvtpn57oYXFS6v5unmxAkD3Tvxku+HwDJTMd/IAmik7BYp1xF1KQLjMQbHhar1g4 XIQlyLKQ1w3KP1BLAwQUAAAACACHTuJAmx4tq+0BAADjAwAADgAAAGRycy9lMm9Eb2MueG1srVNL jhMxEN0jcQfLe9JJBjKolc4sCMMGwUgzHKBiu7st+SeXk07OwjVYseE4cw3K7iaBQUizoBfusv38 XO9VeX1ztIYdVETtXcMXszlnygkvtesa/uXh9tVbzjCBk2C8Uw0/KeQ3m5cv1kOo1dL33kgVGZE4 rIfQ8D6lUFcVil5ZwJkPytFm66OFRNPYVTLCQOzWVMv5fFUNPsoQvVCItLodN/nEGJ9D6NtWC7X1 Ym+VSyNrVAYSScJeB+Sbkm3bKpE+ty2qxEzDSWkqI11C8S6P1WYNdRch9FpMKcBzUniiyYJ2dOmZ agsJ2D7qv6isFtGjb9NMeFuNQoojpGIxf+LNfQ9BFS1kNYaz6fj/aMWnw11kWjZ8ueLMgaWKP379 9vj9B7taZHeGgDWB7sNdnGZIYZZ6bKPNfxLBjsXR09lRdUxM0OLq9fX1nLwWtLW6epMJq8vJEDF9 UN6yHDTcaJfVQg2Hj5hG6C9IXjaODdSxy5ERqPdaqjmR20D5o+vKYfRGy1ttTD6Csdu9M5EdINe/ fFMOf8DyLVvAfsSVrQyDulcg3zvJ0imQMY4eBM85WCU5M4reT44KMoE2F2SKGlxn/oEmC4wjJ7K3 o5s52nl5olrsQ9RdT3YU+wuGal98m/o0N9fv88J0eZubn1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F4EAABbQ29udGVudF9UeXBlc10ueG1sUEsB AhQACgAAAAAAh07iQAAAAAAAAAAAAAAAAAYAAAAAAAAAAAAQAAAAQAMAAF9yZWxzL1BLAQIUABQA AAAIAIdO4kCKFGY80QAAAJQBAAALAAAAAAAAAAEAIAAAAGQDAABfcmVscy8ucmVsc1BLAQIUAAoA AAAAAIdO4kAAAAAAAAAAAAAAAAAEAAAAAAAAAAAAEAAAAAAAAABkcnMvUEsBAhQAFAAAAAgAh07i QErPjoLYAAAACQEAAA8AAAAAAAAAAQAgAAAAIgAAAGRycy9kb3ducmV2LnhtbFBLAQIUABQAAAAI AIdO4kCbHi2r7QEAAOMDAAAOAAAAAAAAAAEAIAAAACcBAABkcnMvZTJvRG9jLnhtbFBLBQYAAAAA BgAGAFkBAACGBQAAAAA= ">
                <v:fill on="f" focussize="0,0"/>
                <v:stroke weight="1pt" color="#000000" joinstyle="round" endarrow="block"/>
                <v:imagedata o:title=""/>
                <o:lock v:ext="edit" aspectratio="f"/>
              </v:line>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92032" behindDoc="0" locked="0" layoutInCell="1" allowOverlap="1">
                <wp:simplePos x="0" y="0"/>
                <wp:positionH relativeFrom="column">
                  <wp:posOffset>266700</wp:posOffset>
                </wp:positionH>
                <wp:positionV relativeFrom="paragraph">
                  <wp:posOffset>180975</wp:posOffset>
                </wp:positionV>
                <wp:extent cx="1257300" cy="419100"/>
                <wp:effectExtent l="5080" t="5080" r="13970" b="13970"/>
                <wp:wrapNone/>
                <wp:docPr id="33" name="矩形 76"/>
                <wp:cNvGraphicFramePr/>
                <a:graphic xmlns:a="http://schemas.openxmlformats.org/drawingml/2006/main">
                  <a:graphicData uri="http://schemas.microsoft.com/office/word/2010/wordprocessingShape">
                    <wps:wsp>
                      <wps:cNvSpPr/>
                      <wps:spPr>
                        <a:xfrm>
                          <a:off x="0" y="0"/>
                          <a:ext cx="12573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sz w:val="24"/>
                              </w:rPr>
                            </w:pPr>
                            <w:r>
                              <w:rPr>
                                <w:rFonts w:hint="eastAsia"/>
                                <w:szCs w:val="21"/>
                              </w:rPr>
                              <w:t>微电荷加载系统</w:t>
                            </w:r>
                          </w:p>
                        </w:txbxContent>
                      </wps:txbx>
                      <wps:bodyPr wrap="square" upright="1"/>
                    </wps:wsp>
                  </a:graphicData>
                </a:graphic>
              </wp:anchor>
            </w:drawing>
          </mc:Choice>
          <mc:Fallback>
            <w:pict>
              <v:rect id="矩形 76" o:spid="_x0000_s1026" o:spt="1" style="position:absolute;left:0pt;margin-left:21pt;margin-top:14.25pt;height:33pt;width:99pt;z-index:251692032;mso-width-relative:page;mso-height-relative:page;" fillcolor="#FFFFFF" filled="t" stroked="t" coordsize="21600,21600" o:gfxdata="UEsDBAoAAAAAAIdO4kAAAAAAAAAAAAAAAAAEAAAAZHJzL1BLAwQUAAAACACHTuJAUqZAxdcAAAAI AQAADwAAAGRycy9kb3ducmV2LnhtbE2PwU7DMBBE70j8g7VI3Khdk6I2jdMDqEgc2/TCbZMsSUps R7HTBr6e5QTH2VnNvMl2s+3FhcbQeWdguVAgyFW+7lxj4FTsH9YgQkRXY+8dGfiiALv89ibDtPZX d6DLMTaCQ1xI0UAb45BKGaqWLIaFH8ix9+FHi5Hl2Mh6xCuH215qpZ6kxc5xQ4sDPbdUfR4na6Ds 9Am/D8Wrspv9Y3ybi/P0/mLM/d1SbUFEmuPfM/ziMzrkzFT6ydVB9AYSzVOiAb1egWBfJ4oPpYFN sgKZZ/L/gPwHUEsDBBQAAAAIAIdO4kCeaUGkDAIAADkEAAAOAAAAZHJzL2Uyb0RvYy54bWytU0uS 0zAQ3VPFHVTaE9sJmWFccWZBCBsKpmrgAIok26rSD7USO6ehih2H4DgU15iWHDIfWMwCL+wnq/W6 3+vW6no0mhxkAOVsQ6tZSYm03Allu4Z++bx99YYSiMwKpp2VDT1KoNfrly9Wg6/l3PVOCxkIklio B9/QPkZfFwXwXhoGM+elxc3WBcMiLkNXiMAGZDe6mJflRTG4IHxwXALg3820SU+M4TmErm0VlxvH 90baOLEGqVlESdArD3Sdq21byeOntgUZiW4oKo35jUkQ79K7WK9Y3QXme8VPJbDnlPBEk2HKYtIz 1YZFRvZB/UVlFA8OXBtn3JliEpIdQRVV+cSb2555mbWg1eDPpsP/o+UfDzeBKNHQxYISywx2/Pe3 H79+fieXF8mdwUONQbf+JpxWgDBJHdtg0hdFkDE7ejw7KsdIOP6s5svLRYlmc9x7XV1ViJGmuD/t A8T30hmSQEMDdiwbyQ4fIE6hf0JSMnBaia3SOi9Ct3urAzkw7O42Pyf2R2HakqGhV8v5EutgOLIt jgpC41E22C7ne3QCHhKX+fkXcSpsw6CfCsgMKYzVRkUZMuolE++sIPHo0VmLN4qmYowUlGiJFzCh HBmZ0s+JRO+0RQtTY6ZWJBTH3Yg0Ce6cOGJPBxxqlPd1zwLm3Puguh4NrrKQFIcTlTtxmv40sg/X OcX9jV/fAV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FKmQMXXAAAACAEAAA8AAAAAAAAAAQAgAAAA IgAAAGRycy9kb3ducmV2LnhtbFBLAQIUABQAAAAIAIdO4kCeaUGkDAIAADkEAAAOAAAAAAAAAAEA IAAAACYBAABkcnMvZTJvRG9jLnhtbFBLBQYAAAAABgAGAFkBAACkBQAAAAA= ">
                <v:fill on="t" focussize="0,0"/>
                <v:stroke color="#000000" joinstyle="miter"/>
                <v:imagedata o:title=""/>
                <o:lock v:ext="edit" aspectratio="f"/>
                <v:textbox>
                  <w:txbxContent>
                    <w:p>
                      <w:pPr>
                        <w:spacing w:line="400" w:lineRule="exact"/>
                        <w:rPr>
                          <w:sz w:val="24"/>
                        </w:rPr>
                      </w:pPr>
                      <w:r>
                        <w:rPr>
                          <w:rFonts w:hint="eastAsia"/>
                          <w:szCs w:val="21"/>
                        </w:rPr>
                        <w:t>微电荷加载系统</w:t>
                      </w:r>
                    </w:p>
                  </w:txbxContent>
                </v:textbox>
              </v:rect>
            </w:pict>
          </mc:Fallback>
        </mc:AlternateContent>
      </w:r>
      <w:r>
        <w:rPr>
          <w:rFonts w:hint="eastAsia" w:ascii="宋体" w:hAnsi="宋体" w:cs="宋体"/>
          <w:b/>
          <w:bCs/>
          <w:color w:val="auto"/>
          <w:szCs w:val="21"/>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161925</wp:posOffset>
                </wp:positionV>
                <wp:extent cx="1371600" cy="419100"/>
                <wp:effectExtent l="4445" t="5080" r="14605" b="13970"/>
                <wp:wrapNone/>
                <wp:docPr id="18" name="矩形 23"/>
                <wp:cNvGraphicFramePr/>
                <a:graphic xmlns:a="http://schemas.openxmlformats.org/drawingml/2006/main">
                  <a:graphicData uri="http://schemas.microsoft.com/office/word/2010/wordprocessingShape">
                    <wps:wsp>
                      <wps:cNvSpPr/>
                      <wps:spPr>
                        <a:xfrm>
                          <a:off x="0" y="0"/>
                          <a:ext cx="13716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40" w:firstLineChars="50"/>
                              <w:rPr>
                                <w:sz w:val="24"/>
                              </w:rPr>
                            </w:pPr>
                            <w:r>
                              <w:rPr>
                                <w:rFonts w:hint="eastAsia" w:ascii="宋体" w:hAnsi="宋体"/>
                                <w:sz w:val="28"/>
                                <w:szCs w:val="28"/>
                              </w:rPr>
                              <w:t xml:space="preserve">  </w:t>
                            </w:r>
                            <w:r>
                              <w:rPr>
                                <w:rFonts w:hint="eastAsia"/>
                                <w:sz w:val="24"/>
                              </w:rPr>
                              <w:t>二级</w:t>
                            </w:r>
                            <w:r>
                              <w:rPr>
                                <w:sz w:val="24"/>
                              </w:rPr>
                              <w:t>O</w:t>
                            </w:r>
                            <w:r>
                              <w:rPr>
                                <w:rFonts w:hint="eastAsia"/>
                                <w:sz w:val="24"/>
                              </w:rPr>
                              <w:t>池</w:t>
                            </w:r>
                          </w:p>
                          <w:p>
                            <w:pPr>
                              <w:rPr>
                                <w:rFonts w:ascii="宋体" w:hAnsi="宋体"/>
                                <w:sz w:val="28"/>
                                <w:szCs w:val="28"/>
                              </w:rPr>
                            </w:pPr>
                          </w:p>
                        </w:txbxContent>
                      </wps:txbx>
                      <wps:bodyPr wrap="square" upright="1"/>
                    </wps:wsp>
                  </a:graphicData>
                </a:graphic>
              </wp:anchor>
            </w:drawing>
          </mc:Choice>
          <mc:Fallback>
            <w:pict>
              <v:rect id="矩形 23" o:spid="_x0000_s1026" o:spt="1" style="position:absolute;left:0pt;margin-left:252pt;margin-top:12.75pt;height:33pt;width:108pt;z-index:251676672;mso-width-relative:page;mso-height-relative:page;" fillcolor="#FFFFFF" filled="t" stroked="t" coordsize="21600,21600" o:gfxdata="UEsDBAoAAAAAAIdO4kAAAAAAAAAAAAAAAAAEAAAAZHJzL1BLAwQUAAAACACHTuJAQuUIm9cAAAAJ AQAADwAAAGRycy9kb3ducmV2LnhtbE2PMU/DMBSEdyT+g/WQ2KidQICGvHQAFYmxTRc2J34kgdiO YqcN/HoeEx1Pd7r7rtgsdhBHmkLvHUKyUiDINd70rkU4VNubRxAhamf04B0hfFOATXl5Uejc+JPb 0XEfW8ElLuQaoYtxzKUMTUdWh5UfybH34SerI8uplWbSJy63g0yVupdW944XOj3Sc0fN1362CHWf HvTPrnpVdr29jW9L9Tm/vyBeXyXqCUSkJf6H4Q+f0aFkptrPzgQxIGTqjr9EhDTLQHDggfdA1Ajr JANZFvL8QfkLUEsDBBQAAAAIAIdO4kBwcRDsCgIAADkEAAAOAAAAZHJzL2Uyb0RvYy54bWytU0uO 1DAQ3SNxB8t7OkkPMzBRp2dB02wQjDRwgGrbSSz5h+3upE+DxI5DcBzENSg7oecDi16QRfIcl1/V e1Ve3YxakYPwQVrT0GpRUiIMs1yarqGfP21fvKYkRDAclDWioUcR6M36+bPV4GqxtL1VXHiCJCbU g2toH6OriyKwXmgIC+uEwc3Weg0Rl74ruIcB2bUqlmV5VQzWc+ctEyHg3820SWdGfw6hbVvJxMay vRYmTqxeKIgoKfTSBbrO1batYPFj2wYRiWooKo35jUkQ79K7WK+g7jy4XrK5BDinhCeaNEiDSU9U G4hA9l7+RaUl8zbYNi6Y1cUkJDuCKqryiTd3PTiRtaDVwZ1MD/+Pln043HoiOU4C9t2Axo7/+vr9 549vZHmR3BlcqDHozt36eRUQJqlj63X6oggyZkePJ0fFGAnDn9XFq+qqRLMZ7r2srivESFPcn3Y+ xHfCapJAQz12LBsJh/chTqF/QlKyYJXkW6lUXvhu90Z5cgDs7jY/M/ujMGXI0NDry+Ul1gE4si2O CkLtUHYwXc736ER4SFzm51/EqbANhH4qIDOkMKi1jMJn1Avgbw0n8ejQWYM3iqZitOCUKIEXMKEc GUGqcyLRO2XQwtSYqRUJxXE3Ik2CO8uP2NMBhxrlfdmDx5x752XXo8FVFpLicKJyJ+bpTyP7cJ1T 3N/49W9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6BAAAW0NvbnRlbnRfVHlwZXNdLnhtbFBLAQIUAAoAAAAAAIdO4kAAAAAAAAAAAAAAAAAGAAAA AAAAAAAAEAAAAFwDAABfcmVscy9QSwECFAAUAAAACACHTuJAihRmPNEAAACUAQAACwAAAAAAAAAB ACAAAACAAwAAX3JlbHMvLnJlbHNQSwECFAAKAAAAAACHTuJAAAAAAAAAAAAAAAAABAAAAAAAAAAA ABAAAAAAAAAAZHJzL1BLAQIUABQAAAAIAIdO4kBC5Qib1wAAAAkBAAAPAAAAAAAAAAEAIAAAACIA AABkcnMvZG93bnJldi54bWxQSwECFAAUAAAACACHTuJAcHEQ7AoCAAA5BAAADgAAAAAAAAABACAA AAAmAQAAZHJzL2Uyb0RvYy54bWxQSwUGAAAAAAYABgBZAQAAogUAAAAA ">
                <v:fill on="t" focussize="0,0"/>
                <v:stroke color="#000000" joinstyle="miter"/>
                <v:imagedata o:title=""/>
                <o:lock v:ext="edit" aspectratio="f"/>
                <v:textbox>
                  <w:txbxContent>
                    <w:p>
                      <w:pPr>
                        <w:spacing w:line="400" w:lineRule="exact"/>
                        <w:ind w:firstLine="140" w:firstLineChars="50"/>
                        <w:rPr>
                          <w:sz w:val="24"/>
                        </w:rPr>
                      </w:pPr>
                      <w:r>
                        <w:rPr>
                          <w:rFonts w:hint="eastAsia" w:ascii="宋体" w:hAnsi="宋体"/>
                          <w:sz w:val="28"/>
                          <w:szCs w:val="28"/>
                        </w:rPr>
                        <w:t xml:space="preserve">  </w:t>
                      </w:r>
                      <w:r>
                        <w:rPr>
                          <w:rFonts w:hint="eastAsia"/>
                          <w:sz w:val="24"/>
                        </w:rPr>
                        <w:t>二级</w:t>
                      </w:r>
                      <w:r>
                        <w:rPr>
                          <w:sz w:val="24"/>
                        </w:rPr>
                        <w:t>O</w:t>
                      </w:r>
                      <w:r>
                        <w:rPr>
                          <w:rFonts w:hint="eastAsia"/>
                          <w:sz w:val="24"/>
                        </w:rPr>
                        <w:t>池</w:t>
                      </w:r>
                    </w:p>
                    <w:p>
                      <w:pPr>
                        <w:rPr>
                          <w:rFonts w:ascii="宋体" w:hAnsi="宋体"/>
                          <w:sz w:val="28"/>
                          <w:szCs w:val="28"/>
                        </w:rPr>
                      </w:pPr>
                    </w:p>
                  </w:txbxContent>
                </v:textbox>
              </v:rect>
            </w:pict>
          </mc:Fallback>
        </mc:AlternateContent>
      </w:r>
    </w:p>
    <w:p>
      <w:pPr>
        <w:spacing w:line="360" w:lineRule="auto"/>
        <w:rPr>
          <w:rFonts w:hint="eastAsia" w:ascii="宋体" w:hAnsi="宋体" w:cs="宋体"/>
          <w:b/>
          <w:bCs/>
          <w:color w:val="auto"/>
          <w:szCs w:val="21"/>
        </w:rPr>
      </w:pP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93056" behindDoc="0" locked="0" layoutInCell="1" allowOverlap="1">
                <wp:simplePos x="0" y="0"/>
                <wp:positionH relativeFrom="column">
                  <wp:posOffset>901700</wp:posOffset>
                </wp:positionH>
                <wp:positionV relativeFrom="paragraph">
                  <wp:posOffset>31115</wp:posOffset>
                </wp:positionV>
                <wp:extent cx="0" cy="213360"/>
                <wp:effectExtent l="50800" t="0" r="63500" b="15240"/>
                <wp:wrapNone/>
                <wp:docPr id="34" name="直线 78"/>
                <wp:cNvGraphicFramePr/>
                <a:graphic xmlns:a="http://schemas.openxmlformats.org/drawingml/2006/main">
                  <a:graphicData uri="http://schemas.microsoft.com/office/word/2010/wordprocessingShape">
                    <wps:wsp>
                      <wps:cNvSpPr/>
                      <wps:spPr>
                        <a:xfrm>
                          <a:off x="0" y="0"/>
                          <a:ext cx="0" cy="21336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78" o:spid="_x0000_s1026" o:spt="20" style="position:absolute;left:0pt;margin-left:71pt;margin-top:2.45pt;height:16.8pt;width:0pt;z-index:251693056;mso-width-relative:page;mso-height-relative:page;" filled="f" stroked="t" coordsize="21600,21600" o:gfxdata="UEsDBAoAAAAAAIdO4kAAAAAAAAAAAAAAAAAEAAAAZHJzL1BLAwQUAAAACACHTuJArNudg9UAAAAI AQAADwAAAGRycy9kb3ducmV2LnhtbE2PMU/DMBCF90r8B+uQ2NpLSyklxOmABBJVF1IGRjc+7Kjx OYqdtPDrcVlg/PRO775XbM6uFSP1ofEsYT7LQBDXXjdsJLzvn6drECEq1qr1TBK+KMCmvJoUKtf+ xG80VtGIVMIhVxJsjF2OGGpLToWZ74hT9ul7p2LC3qDu1SmVuxYXWbZCpxpOH6zq6MlSfawGJ2E3 jB+vLxYJTdxWZntPx903SXlzPc8eQUQ6x79juOgndSiT08EPrINoEy8XaUuUsHwAccl/+SDhdn0H WBb4f0D5A1BLAwQUAAAACACHTuJAVOVXoe8BAADeAwAADgAAAGRycy9lMm9Eb2MueG1srVPNjtMw EL4j8Q6W7zRpi3ZXUdM9UJYLgpWWfYCp7SSW/CeP27TPwmtw4sLj7GswdkoLC4c9kIMzHo+/me+b 8er2YA3bq4jau5bPZzVnygkvtetb/vjl7s0NZ5jASTDeqZYfFfLb9etXqzE0auEHb6SKjEAcNmNo +ZBSaKoKxaAs4MwH5eiw89FCom3sKxlhJHRrqkVdX1WjjzJELxQieTfTIT8hxpcA+q7TQm282Fnl 0oQalYFElHDQAfm6VNt1SqTPXYcqMdNyYprKSknI3ua1Wq+g6SOEQYtTCfCSEp5xsqAdJT1DbSAB 20X9F5TVInr0XZoJb6uJSFGEWMzrZ9o8DBBU4UJSYziLjv8PVnza30emZcuXbzlzYKnjT1+/PX3/ wa5vsjpjwIaCHsJ9PO2QzEz10EWb/0SCHYqix7Oi6pCYmJyCvIv5cnlVxK4u90LE9EF5y7LRcqNd 5goN7D9iolwU+isku41jI83r4rqm3gmgyeuo42TaQNWj68tl9EbLO21MvoKx374zke0hd798mRIB /xGWs2wAhymuHE1zMSiQ751k6RhIFkfPgecarJKcGUWvJ1sECE0CbS6REKMf/x1KuY2jErKsk5DZ 2np5pDbsQtT9QFrMS5n5hNpeCj6NaJ6r3/cF6fIs1z8B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rNudg9UAAAAIAQAADwAAAAAAAAABACAAAAAiAAAAZHJzL2Rvd25yZXYueG1sUEsBAhQAFAAAAAgA h07iQFTlV6HvAQAA3gMAAA4AAAAAAAAAAQAgAAAAJAEAAGRycy9lMm9Eb2MueG1sUEsFBgAAAAAG AAYAWQEAAIUFA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276860</wp:posOffset>
                </wp:positionV>
                <wp:extent cx="1257300" cy="419100"/>
                <wp:effectExtent l="5080" t="5080" r="13970" b="13970"/>
                <wp:wrapNone/>
                <wp:docPr id="4" name="矩形 4"/>
                <wp:cNvGraphicFramePr/>
                <a:graphic xmlns:a="http://schemas.openxmlformats.org/drawingml/2006/main">
                  <a:graphicData uri="http://schemas.microsoft.com/office/word/2010/wordprocessingShape">
                    <wps:wsp>
                      <wps:cNvSpPr/>
                      <wps:spPr>
                        <a:xfrm>
                          <a:off x="0" y="0"/>
                          <a:ext cx="12573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sz w:val="24"/>
                              </w:rPr>
                            </w:pPr>
                            <w:r>
                              <w:rPr>
                                <w:rFonts w:hint="eastAsia"/>
                                <w:sz w:val="24"/>
                              </w:rPr>
                              <w:t>综合预处理</w:t>
                            </w:r>
                          </w:p>
                          <w:p>
                            <w:pPr>
                              <w:rPr>
                                <w:sz w:val="28"/>
                                <w:szCs w:val="28"/>
                              </w:rPr>
                            </w:pPr>
                            <w:r>
                              <w:rPr>
                                <w:rFonts w:hint="eastAsia"/>
                                <w:sz w:val="28"/>
                                <w:szCs w:val="28"/>
                              </w:rPr>
                              <w:t>（混凝沉淀</w:t>
                            </w:r>
                            <w:r>
                              <w:rPr>
                                <w:sz w:val="28"/>
                                <w:szCs w:val="28"/>
                              </w:rPr>
                              <w:t>+</w:t>
                            </w:r>
                            <w:r>
                              <w:rPr>
                                <w:rFonts w:hint="eastAsia"/>
                                <w:sz w:val="28"/>
                                <w:szCs w:val="28"/>
                              </w:rPr>
                              <w:t>水解）</w:t>
                            </w:r>
                          </w:p>
                        </w:txbxContent>
                      </wps:txbx>
                      <wps:bodyPr wrap="square" upright="1"/>
                    </wps:wsp>
                  </a:graphicData>
                </a:graphic>
              </wp:anchor>
            </w:drawing>
          </mc:Choice>
          <mc:Fallback>
            <w:pict>
              <v:rect id="_x0000_s1026" o:spid="_x0000_s1026" o:spt="1" style="position:absolute;left:0pt;margin-left:21pt;margin-top:21.8pt;height:33pt;width:99pt;z-index:251662336;mso-width-relative:page;mso-height-relative:page;" fillcolor="#FFFFFF" filled="t" stroked="t" coordsize="21600,21600" o:gfxdata="UEsDBAoAAAAAAIdO4kAAAAAAAAAAAAAAAAAEAAAAZHJzL1BLAwQUAAAACACHTuJAmWwApNcAAAAJ AQAADwAAAGRycy9kb3ducmV2LnhtbE2PMU/DMBCFdyT+g3VIbNRuWkU0xOkAKhJjmy7dnPhIAvE5 ip028Ot7nWA63b2nd9/Lt7PrxRnH0HnSsFwoEEi1tx01Go7l7ukZRIiGrOk9oYYfDLAt7u9yk1l/ oT2eD7ERHEIhMxraGIdMylC36ExY+AGJtU8/OhN5HRtpR3PhcNfLRKlUOtMRf2jNgK8t1t+HyWmo uuRofvflu3Kb3Sp+zOXXdHrT+vFhqV5ARJzjnxlu+IwOBTNVfiIbRK9hnXCVyHOVgmA9WSs+VGxU mxRkkcv/DYorUEsDBBQAAAAIAIdO4kAtZFnBCQIAADcEAAAOAAAAZHJzL2Uyb0RvYy54bWytU0uS 0zAQ3VPFHVTaE9shAcYVZxaEsKFgqgYO0JFkW1X6ISmxcxqq2HEIjkNxjWnJIfOBRRZ4YT9Zrdf9 XrdW16NW5CB8kNY0tJqVlAjDLJema+iXz9sXbygJEQwHZY1o6FEEer1+/mw1uFrMbW8VF54giQn1 4Brax+jqogisFxrCzDphcLO1XkPEpe8K7mFAdq2KeVm+KgbrufOWiRDw72bapCdGfwmhbVvJxMay vRYmTqxeKIgoKfTSBbrO1batYPFT2wYRiWooKo35jUkQ79K7WK+g7jy4XrJTCXBJCU80aZAGk56p NhCB7L38i0pL5m2wbZwxq4tJSHYEVVTlE29ue3Aia0GrgzubHv4fLft4uPFE8oYuKDGgseG/v/34 9fM7WSRvBhdqDLl1N/60CgiT0LH1On1RAhmzn8ezn2KMhOHPar58/bJEqxnuLaqrCjHSFPennQ/x vbCaJNBQj/3KNsLhQ4hT6J+QlCxYJflWKpUXvtu9VZ4cAHu7zc+J/VGYMmRo6NVyvsQ6AAe2xUFB qB2KDqbL+R6dCA+Jy/z8izgVtoHQTwVkhhQGtZZR+Ix6Afyd4SQeHRpr8D7RVIwWnBIl8PollCMj SHVJJHqnDFqYGjO1IqE47kakSXBn+RE7OuBIo7yve/CYc++87Ho0uMpCUhzOU+7EafbTwD5c5xT3 9319B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HkEAABbQ29udGVudF9UeXBlc10ueG1sUEsBAhQACgAAAAAAh07iQAAAAAAAAAAAAAAAAAYAAAAA AAAAAAAQAAAAWwMAAF9yZWxzL1BLAQIUABQAAAAIAIdO4kCKFGY80QAAAJQBAAALAAAAAAAAAAEA IAAAAH8DAABfcmVscy8ucmVsc1BLAQIUAAoAAAAAAIdO4kAAAAAAAAAAAAAAAAAEAAAAAAAAAAAA EAAAAAAAAABkcnMvUEsBAhQAFAAAAAgAh07iQJlsAKTXAAAACQEAAA8AAAAAAAAAAQAgAAAAIgAA AGRycy9kb3ducmV2LnhtbFBLAQIUABQAAAAIAIdO4kAtZFnBCQIAADcEAAAOAAAAAAAAAAEAIAAA ACYBAABkcnMvZTJvRG9jLnhtbFBLBQYAAAAABgAGAFkBAAChBQAAAAA= ">
                <v:fill on="t" focussize="0,0"/>
                <v:stroke color="#000000" joinstyle="miter"/>
                <v:imagedata o:title=""/>
                <o:lock v:ext="edit" aspectratio="f"/>
                <v:textbox>
                  <w:txbxContent>
                    <w:p>
                      <w:pPr>
                        <w:spacing w:line="400" w:lineRule="exact"/>
                        <w:jc w:val="center"/>
                        <w:rPr>
                          <w:sz w:val="24"/>
                        </w:rPr>
                      </w:pPr>
                      <w:r>
                        <w:rPr>
                          <w:rFonts w:hint="eastAsia"/>
                          <w:sz w:val="24"/>
                        </w:rPr>
                        <w:t>综合预处理</w:t>
                      </w:r>
                    </w:p>
                    <w:p>
                      <w:pPr>
                        <w:rPr>
                          <w:sz w:val="28"/>
                          <w:szCs w:val="28"/>
                        </w:rPr>
                      </w:pPr>
                      <w:r>
                        <w:rPr>
                          <w:rFonts w:hint="eastAsia"/>
                          <w:sz w:val="28"/>
                          <w:szCs w:val="28"/>
                        </w:rPr>
                        <w:t>（混凝沉淀</w:t>
                      </w:r>
                      <w:r>
                        <w:rPr>
                          <w:sz w:val="28"/>
                          <w:szCs w:val="28"/>
                        </w:rPr>
                        <w:t>+</w:t>
                      </w:r>
                      <w:r>
                        <w:rPr>
                          <w:rFonts w:hint="eastAsia"/>
                          <w:sz w:val="28"/>
                          <w:szCs w:val="28"/>
                        </w:rPr>
                        <w:t>水解）</w:t>
                      </w:r>
                    </w:p>
                  </w:txbxContent>
                </v:textbox>
              </v:rect>
            </w:pict>
          </mc:Fallback>
        </mc:AlternateContent>
      </w:r>
      <w:r>
        <w:rPr>
          <w:rFonts w:hint="eastAsia" w:ascii="宋体" w:hAnsi="宋体" w:cs="宋体"/>
          <w:b/>
          <w:bCs/>
          <w:color w:val="auto"/>
          <w:szCs w:val="21"/>
        </w:rPr>
        <mc:AlternateContent>
          <mc:Choice Requires="wps">
            <w:drawing>
              <wp:anchor distT="0" distB="0" distL="114300" distR="114300" simplePos="0" relativeHeight="251688960" behindDoc="0" locked="0" layoutInCell="1" allowOverlap="1">
                <wp:simplePos x="0" y="0"/>
                <wp:positionH relativeFrom="column">
                  <wp:posOffset>3886200</wp:posOffset>
                </wp:positionH>
                <wp:positionV relativeFrom="paragraph">
                  <wp:posOffset>-5715</wp:posOffset>
                </wp:positionV>
                <wp:extent cx="0" cy="314325"/>
                <wp:effectExtent l="50800" t="0" r="63500" b="9525"/>
                <wp:wrapNone/>
                <wp:docPr id="30" name="直线 35"/>
                <wp:cNvGraphicFramePr/>
                <a:graphic xmlns:a="http://schemas.openxmlformats.org/drawingml/2006/main">
                  <a:graphicData uri="http://schemas.microsoft.com/office/word/2010/wordprocessingShape">
                    <wps:wsp>
                      <wps:cNvSpPr/>
                      <wps:spPr>
                        <a:xfrm>
                          <a:off x="0" y="0"/>
                          <a:ext cx="0" cy="31432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35" o:spid="_x0000_s1026" o:spt="20" style="position:absolute;left:0pt;margin-left:306pt;margin-top:-0.45pt;height:24.75pt;width:0pt;z-index:251688960;mso-width-relative:page;mso-height-relative:page;" filled="f" stroked="t" coordsize="21600,21600" o:gfxdata="UEsDBAoAAAAAAIdO4kAAAAAAAAAAAAAAAAAEAAAAZHJzL1BLAwQUAAAACACHTuJAS2hdEtUAAAAI AQAADwAAAGRycy9kb3ducmV2LnhtbE2PMU/DMBSEdyT+g/WQ2FonFQolzUsHJJCouhAYGN341Y4a P0exkxZ+PUYMMJ7udPddtb24Xsw0hs4zQr7MQBC3XndsEN7fnhZrECEq1qr3TAifFGBbX19VqtT+ zK80N9GIVMKhVAg2xqGUMrSWnApLPxAn7+hHp2KSo5F6VOdU7nq5yrJCOtVxWrBqoEdL7amZHMJ+ mj9enq0kaeKuMbt7Ou2/CPH2Js82ICJd4l8YfvATOtSJ6eAn1kH0CEW+Sl8iwuIBRPJ/9QHhbl2A rCv5/0D9DVBLAwQUAAAACACHTuJAbK7Xs+0BAADeAwAADgAAAGRycy9lMm9Eb2MueG1srVNLbtsw EN0X6B0I7mvJdn8QLGdRN90UbYCkBxiTlESAP3Boyz5Lr9FVNz1OrtEh5dptkkUW9UIeksM3770Z rq4O1rC9iqi9a/l8VnOmnPBSu77l3+6uX73nDBM4CcY71fKjQn61fvliNYZGLfzgjVSREYjDZgwt H1IKTVWhGJQFnPmgHB12PlpItIx9JSOMhG5Ntajrt9XoowzRC4VIu5vpkJ8Q43MAfddpoTZe7Kxy aUKNykAiSTjogHxd2HadEulr16FKzLSclKbypSIUb/O3Wq+g6SOEQYsTBXgOhQeaLGhHRc9QG0jA dlE/grJaRI++SzPhbTUJKY6Qinn9wJvbAYIqWshqDGfT8f/Bii/7m8i0bPmSLHFgqeP333/c//zF lm+yO2PAhpJuw008rZDCLPXQRZv/SQQ7FEePZ0fVITExbQraXc5fLxcFrrrcCxHTJ+Uty0HLjXZZ KzSw/4yJalHqn5S8bRwbaV4X72oiKoAmr6OOU2gDsUfXl8vojZbX2ph8BWO//WAi20PufvllSQT8 T1qusgEcprxyNM3FoEB+dJKlYyBbHD0HnjlYJTkzil5PjggQmgTaXDIhRj8+nUq1jSMK2dbJyBxt vTxSG3Yh6n4gL+aFZj6hthfCpxHNc/X3uiBdnuX6N1BLAwQKAAAAAACHTuJAAAAAAAAAAAAAAAAA BgAAAF9yZWxzL1BLAwQUAAAACACHTuJAihRmPNEAAACUAQAACwAAAF9yZWxzLy5yZWxzpZDBasMw DIbvg72D0X1xmsMYo04vo9Br6R7A2IpjGltGMtn69vMOg2X0tqN+oe8T//7wmRa1IkukbGDX9aAw O/IxBwPvl+PTCyipNnu7UEYDNxQ4jI8P+zMutrYjmWMR1ShZDMy1lletxc2YrHRUMLfNRJxsbSMH Xay72oB66Ptnzb8ZMG6Y6uQN8MkPoC630sx/2Ck6JqGpdo6SpmmK7h5VB7Zlju7INuEbuUazHLAa 8CwaB2pZ134EfV+/+6fe00c+47rVfoeM649Xb7ocvwBQSwMEFAAAAAgAh07iQH7m5SD3AAAA4QEA ABMAAABbQ29udGVudF9UeXBlc10ueG1slZFBTsMwEEX3SNzB8hYlTrtACCXpgrRLQKgcYGRPEotk bHlMaG+Pk7YbRJFY2jP/vye73BzGQUwY2Dqq5CovpEDSzljqKvm+32UPUnAEMjA4wkoekeWmvr0p 90ePLFKauJJ9jP5RKdY9jsC580hp0rowQkzH0CkP+gM6VOuiuFfaUUSKWZw7ZF022MLnEMX2kK5P JgEHluLptDizKgneD1ZDTKZqIvODkp0JeUouO9xbz3dJQ6pfCfPkOuCce0lPE6xB8QohPsOYNJQJ rIz7ooBT/nfJbDly5trWasybwE2KveF0sbrWjmvXOP3f8u2SunSr5YPqb1BLAQIUABQAAAAIAIdO 4kB+5uUg9wAAAOEBAAATAAAAAAAAAAEAIAAAAFsEAABbQ29udGVudF9UeXBlc10ueG1sUEsBAhQA CgAAAAAAh07iQAAAAAAAAAAAAAAAAAYAAAAAAAAAAAAQAAAAPQMAAF9yZWxzL1BLAQIUABQAAAAI AIdO4kCKFGY80QAAAJQBAAALAAAAAAAAAAEAIAAAAGEDAABfcmVscy8ucmVsc1BLAQIUAAoAAAAA AIdO4kAAAAAAAAAAAAAAAAAEAAAAAAAAAAAAEAAAAAAAAABkcnMvUEsBAhQAFAAAAAgAh07iQEto XRLVAAAACAEAAA8AAAAAAAAAAQAgAAAAIgAAAGRycy9kb3ducmV2LnhtbFBLAQIUABQAAAAIAIdO 4kBsrtez7QEAAN4DAAAOAAAAAAAAAAEAIAAAACQBAABkcnMvZTJvRG9jLnhtbFBLBQYAAAAABgAG AFkBAACDBQAAAAA= ">
                <v:fill on="f" focussize="0,0"/>
                <v:stroke weight="1pt" color="#000000" joinstyle="round" endarrow="open"/>
                <v:imagedata o:title=""/>
                <o:lock v:ext="edit" aspectratio="f"/>
              </v:line>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76200</wp:posOffset>
                </wp:positionV>
                <wp:extent cx="1371600" cy="396240"/>
                <wp:effectExtent l="4445" t="4445" r="14605" b="18415"/>
                <wp:wrapNone/>
                <wp:docPr id="21" name="矩形 26"/>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40" w:firstLineChars="50"/>
                              <w:rPr>
                                <w:sz w:val="24"/>
                              </w:rPr>
                            </w:pPr>
                            <w:r>
                              <w:rPr>
                                <w:rFonts w:hint="eastAsia" w:ascii="宋体" w:hAnsi="宋体"/>
                                <w:sz w:val="28"/>
                                <w:szCs w:val="28"/>
                              </w:rPr>
                              <w:t xml:space="preserve">   </w:t>
                            </w:r>
                            <w:r>
                              <w:rPr>
                                <w:rFonts w:hint="eastAsia" w:ascii="宋体" w:hAnsi="宋体"/>
                                <w:sz w:val="24"/>
                              </w:rPr>
                              <w:t xml:space="preserve"> 中间桶</w:t>
                            </w:r>
                          </w:p>
                          <w:p>
                            <w:pPr>
                              <w:rPr>
                                <w:rFonts w:ascii="宋体" w:hAnsi="宋体"/>
                                <w:sz w:val="28"/>
                                <w:szCs w:val="28"/>
                              </w:rPr>
                            </w:pPr>
                          </w:p>
                        </w:txbxContent>
                      </wps:txbx>
                      <wps:bodyPr wrap="square" upright="1"/>
                    </wps:wsp>
                  </a:graphicData>
                </a:graphic>
              </wp:anchor>
            </w:drawing>
          </mc:Choice>
          <mc:Fallback>
            <w:pict>
              <v:rect id="矩形 26" o:spid="_x0000_s1026" o:spt="1" style="position:absolute;left:0pt;margin-left:252pt;margin-top:6pt;height:31.2pt;width:108pt;z-index:251679744;mso-width-relative:page;mso-height-relative:page;" fillcolor="#FFFFFF" filled="t" stroked="t" coordsize="21600,21600" o:gfxdata="UEsDBAoAAAAAAIdO4kAAAAAAAAAAAAAAAAAEAAAAZHJzL1BLAwQUAAAACACHTuJAD1xVYNQAAAAJ AQAADwAAAGRycy9kb3ducmV2LnhtbE1PTU+DQBC9m/gfNmPize4W8QtZetDUxGNLL94GGAFlZwm7 tOivdzzpad7kvbyPfLO4QR1pCr1nC+uVAUVc+6bn1sKh3F7dgwoRucHBM1n4ogCb4vwsx6zxJ97R cR9bJSYcMrTQxThmWoe6I4dh5Udi4d795DDKO7W6mfAk5m7QiTG32mHPktDhSE8d1Z/72Vmo+uSA 37vyxbiH7XV8XcqP+e3Z2suLtXkEFWmJf2L4rS/VoZBOlZ+5CWqwcGNS2RKFSOSK4E7yQFUC0hR0 kev/C4ofUEsDBBQAAAAIAIdO4kAXo3pQDgIAADkEAAAOAAAAZHJzL2Uyb0RvYy54bWytU0uOEzEQ 3SNxB8t70p9hAtNKZxaEsEEw0sABKra725J/2E66cxokdhyC4yCuQdnJZH4ssqAX7iq7/Kreq/Li etKK7IQP0pqWVrOSEmGY5dL0Lf36Zf3qLSUhguGgrBEt3YtAr5cvXyxG14jaDlZx4QmCmNCMrqVD jK4pisAGoSHMrBMGDzvrNUR0fV9wDyOia1XUZTkvRuu585aJEHB3dTikR0R/DqDtOsnEyrKtFiYe UL1QEJFSGKQLdJmr7TrB4ueuCyIS1VJkGvOKSdDepLVYLqDpPbhBsmMJcE4JTzhpkAaTnqBWEIFs vXwGpSXzNtguzpjVxYFIVgRZVOUTbW4HcCJzQamDO4ke/h8s+7S78UTyltYVJQY0dvzP95+/f/0g 9TypM7rQYNCtu/FHL6CZqE6d1+mPJMiUFd2fFBVTJAw3q4s31bxEsRmeXVzN69dZ8uL+tvMhfhBW k2S01GPHspCw+xgiZsTQu5CULFgl+VoqlR3fb94pT3aA3V3nL5WMVx6FKUPGll5d1pdYB+DIdjgq aGqHtIPpc75HN8JD4DJ//wJOha0gDIcCMkIKg0bLKJJc0AwC+HvDSdw7VNbgi6KpGC04JUrgA0xW jowg1TmRyE4ZJJkac2hFsuK0mRAmmRvL99jTEYca6X3bgsecW+dlP6DAVSaS4nCislbH6U8j+9DP Ke5f/PIv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ewQAAFtDb250ZW50X1R5cGVzXS54bWxQSwECFAAKAAAAAACHTuJAAAAAAAAAAAAAAAAABgAA AAAAAAAAABAAAABdAwAAX3JlbHMvUEsBAhQAFAAAAAgAh07iQIoUZjzRAAAAlAEAAAsAAAAAAAAA AQAgAAAAgQMAAF9yZWxzLy5yZWxzUEsBAhQACgAAAAAAh07iQAAAAAAAAAAAAAAAAAQAAAAAAAAA AAAQAAAAAAAAAGRycy9QSwECFAAUAAAACACHTuJAD1xVYNQAAAAJAQAADwAAAAAAAAABACAAAAAi AAAAZHJzL2Rvd25yZXYueG1sUEsBAhQAFAAAAAgAh07iQBejelAOAgAAOQQAAA4AAAAAAAAAAQAg AAAAIwEAAGRycy9lMm9Eb2MueG1sUEsFBgAAAAAGAAYAWQEAAKMFAAAAAA== ">
                <v:fill on="t" focussize="0,0"/>
                <v:stroke color="#000000" joinstyle="miter"/>
                <v:imagedata o:title=""/>
                <o:lock v:ext="edit" aspectratio="f"/>
                <v:textbox>
                  <w:txbxContent>
                    <w:p>
                      <w:pPr>
                        <w:spacing w:line="400" w:lineRule="exact"/>
                        <w:ind w:firstLine="140" w:firstLineChars="50"/>
                        <w:rPr>
                          <w:sz w:val="24"/>
                        </w:rPr>
                      </w:pPr>
                      <w:r>
                        <w:rPr>
                          <w:rFonts w:hint="eastAsia" w:ascii="宋体" w:hAnsi="宋体"/>
                          <w:sz w:val="28"/>
                          <w:szCs w:val="28"/>
                        </w:rPr>
                        <w:t xml:space="preserve">   </w:t>
                      </w:r>
                      <w:r>
                        <w:rPr>
                          <w:rFonts w:hint="eastAsia" w:ascii="宋体" w:hAnsi="宋体"/>
                          <w:sz w:val="24"/>
                        </w:rPr>
                        <w:t xml:space="preserve"> 中间桶</w:t>
                      </w:r>
                    </w:p>
                    <w:p>
                      <w:pPr>
                        <w:rPr>
                          <w:rFonts w:ascii="宋体" w:hAnsi="宋体"/>
                          <w:sz w:val="28"/>
                          <w:szCs w:val="28"/>
                        </w:rPr>
                      </w:pPr>
                    </w:p>
                  </w:txbxContent>
                </v:textbox>
              </v:rect>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68480" behindDoc="0" locked="0" layoutInCell="1" allowOverlap="1">
                <wp:simplePos x="0" y="0"/>
                <wp:positionH relativeFrom="column">
                  <wp:posOffset>869950</wp:posOffset>
                </wp:positionH>
                <wp:positionV relativeFrom="paragraph">
                  <wp:posOffset>92075</wp:posOffset>
                </wp:positionV>
                <wp:extent cx="0" cy="213360"/>
                <wp:effectExtent l="50800" t="0" r="63500" b="15240"/>
                <wp:wrapNone/>
                <wp:docPr id="10" name="直线 82"/>
                <wp:cNvGraphicFramePr/>
                <a:graphic xmlns:a="http://schemas.openxmlformats.org/drawingml/2006/main">
                  <a:graphicData uri="http://schemas.microsoft.com/office/word/2010/wordprocessingShape">
                    <wps:wsp>
                      <wps:cNvSpPr/>
                      <wps:spPr>
                        <a:xfrm>
                          <a:off x="0" y="0"/>
                          <a:ext cx="0" cy="21336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82" o:spid="_x0000_s1026" o:spt="20" style="position:absolute;left:0pt;margin-left:68.5pt;margin-top:7.25pt;height:16.8pt;width:0pt;z-index:251668480;mso-width-relative:page;mso-height-relative:page;" filled="f" stroked="t" coordsize="21600,21600" o:gfxdata="UEsDBAoAAAAAAIdO4kAAAAAAAAAAAAAAAAAEAAAAZHJzL1BLAwQUAAAACACHTuJAM0tIcNYAAAAJ AQAADwAAAGRycy9kb3ducmV2LnhtbE2PMU/DMBCFdyT+g3VIbNQJFFqlcToggUTVhcDA6MZXO2p8 jmInLfx6rix0u3f39O575frkOzHhENtACvJZBgKpCaYlq+Dz4+VuCSImTUZ3gVDBN0ZYV9dXpS5M ONI7TnWygkMoFlqBS6kvpIyNQ6/jLPRIfNuHwevEcrDSDPrI4b6T91n2JL1uiT843eOzw+ZQj17B dpy+3l6dRGnTprabBR62P6jU7U2erUAkPKV/M5zxGR0qZtqFkUwUHeuHBXdJPMwfQZwNf4udgvky B1mV8rJB9QtQSwMEFAAAAAgAh07iQMUSOIftAQAA3gMAAA4AAABkcnMvZTJvRG9jLnhtbK1TS27b MBDdF+gdCO5ryQqQBoLlLOqmm6INkPYAY5KSCPAHDm3ZZ+k1uuqmx8k1OqQcu027yKJeyENy+Oa9 N8PV7cEatlcRtXcdXy5qzpQTXmo3dPzrl7s3N5xhAifBeKc6flTIb9evX62m0KrGj95IFRmBOGyn 0PExpdBWFYpRWcCFD8rRYe+jhUTLOFQywkTo1lRNXV9Xk48yRC8UIu1u5kN+QowvAfR9r4XaeLGz yqUZNSoDiSThqAPydWHb90qkz32PKjHTcVKaypeKULzN32q9gnaIEEYtThTgJRSeabKgHRU9Q20g AdtF/ReU1SJ69H1aCG+rWUhxhFQs62fePIwQVNFCVmM4m47/D1Z82t9HpiVNAlniwFLHH799f/zx k9002Z0pYEtJD+E+nlZIYZZ66KPN/ySCHYqjx7Oj6pCYmDcF7TbLq6vrYnZ1uRcipg/KW5aDjhvt slZoYf8RE9Wi1KeUvG0cm4hl87YmogJo8nrqOIU2EHt0Q7mM3mh5p43JVzAO23cmsj3k7pdflkTA f6TlKhvAcc4rR/NcjArkeydZOgayxdFz4JmDVZIzo+j15IgAoU2gzSUTYvTTv1OptnFEIds6G5mj rZdHasMuRD2M5MWy0Mwn1PZC+DSiea5+Xxeky7Nc/wJ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Az S0hw1gAAAAkBAAAPAAAAAAAAAAEAIAAAACIAAABkcnMvZG93bnJldi54bWxQSwECFAAUAAAACACH TuJAxRI4h+0BAADeAwAADgAAAAAAAAABACAAAAAlAQAAZHJzL2Uyb0RvYy54bWxQSwUGAAAAAAYA BgBZAQAAhAU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69504" behindDoc="0" locked="0" layoutInCell="1" allowOverlap="1">
                <wp:simplePos x="0" y="0"/>
                <wp:positionH relativeFrom="column">
                  <wp:posOffset>266700</wp:posOffset>
                </wp:positionH>
                <wp:positionV relativeFrom="paragraph">
                  <wp:posOffset>283845</wp:posOffset>
                </wp:positionV>
                <wp:extent cx="1257300" cy="403860"/>
                <wp:effectExtent l="5080" t="4445" r="13970" b="10795"/>
                <wp:wrapNone/>
                <wp:docPr id="11" name="矩形 83"/>
                <wp:cNvGraphicFramePr/>
                <a:graphic xmlns:a="http://schemas.openxmlformats.org/drawingml/2006/main">
                  <a:graphicData uri="http://schemas.microsoft.com/office/word/2010/wordprocessingShape">
                    <wps:wsp>
                      <wps:cNvSpPr/>
                      <wps:spPr>
                        <a:xfrm>
                          <a:off x="0" y="0"/>
                          <a:ext cx="125730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sz w:val="24"/>
                              </w:rPr>
                            </w:pPr>
                            <w:r>
                              <w:rPr>
                                <w:rFonts w:hint="eastAsia"/>
                                <w:sz w:val="24"/>
                              </w:rPr>
                              <w:t>中间水池</w:t>
                            </w:r>
                          </w:p>
                        </w:txbxContent>
                      </wps:txbx>
                      <wps:bodyPr wrap="square" upright="1"/>
                    </wps:wsp>
                  </a:graphicData>
                </a:graphic>
              </wp:anchor>
            </w:drawing>
          </mc:Choice>
          <mc:Fallback>
            <w:pict>
              <v:rect id="矩形 83" o:spid="_x0000_s1026" o:spt="1" style="position:absolute;left:0pt;margin-left:21pt;margin-top:22.35pt;height:31.8pt;width:99pt;z-index:251669504;mso-width-relative:page;mso-height-relative:page;" fillcolor="#FFFFFF" filled="t" stroked="t" coordsize="21600,21600" o:gfxdata="UEsDBAoAAAAAAIdO4kAAAAAAAAAAAAAAAAAEAAAAZHJzL1BLAwQUAAAACACHTuJAVjBFadcAAAAJ AQAADwAAAGRycy9kb3ducmV2LnhtbE2PMU/DMBCFdyT+g3VIbNRuGkFJ43QAFYmxTRc2Jz6SlPgc xU4b+PUcE51Od+/p3ffy7ex6ccYxdJ40LBcKBFLtbUeNhmO5e1iDCNGQNb0n1PCNAbbF7U1uMusv tMfzITaCQyhkRkMb45BJGeoWnQkLPyCx9ulHZyKvYyPtaC4c7nqZKPUonemIP7RmwJcW66/D5DRU XXI0P/vyTbnn3Sq+z+Vp+njV+v5uqTYgIs7x3wx/+IwOBTNVfiIbRK8hTbhK5Jk+gWA9SRUfKjaq 9QpkkcvrBsUvUEsDBBQAAAAIAIdO4kDN64i6DgIAADkEAAAOAAAAZHJzL2Uyb0RvYy54bWytU02u 0zAQ3iNxB8t7mrSljxI1fQtK2SB40oMDTB0nseQ/PG6TngaJHYfgOIhrMHZL3w8s3oIsnBl7/M18 34xX16PR7CADKmdrPp2UnEkrXKNsV/PPn7YvlpxhBNuAdlbW/CiRX6+fP1sNvpIz1zvdyMAIxGI1 +Jr3MfqqKFD00gBOnJeWDlsXDERyQ1c0AQZCN7qYleVVMbjQ+OCERKTdzemQnxHDUwBd2yohN07s jbTxhBqkhkiUsFce+TpX27ZSxI9tizIyXXNiGvNKScjepbVYr6DqAvheiXMJ8JQSHnEyoCwlvUBt IALbB/UXlFEiOHRtnAhnihORrAixmJaPtLntwcvMhaRGfxEd/x+s+HC4CUw1NAlTziwY6vivr99/ /vjGlvOkzuCxoqBbfxPOHpKZqI5tMOlPJNiYFT1eFJVjZII2p7PFq3lJYgs6e1nOl1dZ8uLutg8Y 30lnWDJqHqhjWUg4vMdIGSn0T0hKhk6rZqu0zk7odm90YAeg7m7zl0qmKw/CtGVDzV8vZguqA2hk WxoVMo0n2mi7nO/BDbwPXObvX8CpsA1gfyogI6QwqIyKMskFVS+heWsbFo+elLX0ongqxsiGMy3p ASYrR0ZQ+imRxE5bIpkac2pFsuK4GwkmmTvXHKmnAw010fuyh0A59z6orieBp5lIiqOJylqdpz+N 7H0/p7h78ev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VjBFadcAAAAJAQAADwAAAAAAAAABACAA AAAiAAAAZHJzL2Rvd25yZXYueG1sUEsBAhQAFAAAAAgAh07iQM3riLoOAgAAOQQAAA4AAAAAAAAA AQAgAAAAJgEAAGRycy9lMm9Eb2MueG1sUEsFBgAAAAAGAAYAWQEAAKYFAAAAAA== ">
                <v:fill on="t" focussize="0,0"/>
                <v:stroke color="#000000" joinstyle="miter"/>
                <v:imagedata o:title=""/>
                <o:lock v:ext="edit" aspectratio="f"/>
                <v:textbox>
                  <w:txbxContent>
                    <w:p>
                      <w:pPr>
                        <w:spacing w:line="400" w:lineRule="exact"/>
                        <w:jc w:val="center"/>
                        <w:rPr>
                          <w:sz w:val="24"/>
                        </w:rPr>
                      </w:pPr>
                      <w:r>
                        <w:rPr>
                          <w:rFonts w:hint="eastAsia"/>
                          <w:sz w:val="24"/>
                        </w:rPr>
                        <w:t>中间水池</w:t>
                      </w:r>
                    </w:p>
                  </w:txbxContent>
                </v:textbox>
              </v:rect>
            </w:pict>
          </mc:Fallback>
        </mc:AlternateContent>
      </w:r>
      <w:r>
        <w:rPr>
          <w:rFonts w:hint="eastAsia" w:ascii="宋体" w:hAnsi="宋体" w:cs="宋体"/>
          <w:b/>
          <w:bCs/>
          <w:color w:val="auto"/>
          <w:szCs w:val="21"/>
        </w:rPr>
        <mc:AlternateContent>
          <mc:Choice Requires="wps">
            <w:drawing>
              <wp:anchor distT="0" distB="0" distL="114300" distR="114300" simplePos="0" relativeHeight="251687936" behindDoc="0" locked="0" layoutInCell="1" allowOverlap="1">
                <wp:simplePos x="0" y="0"/>
                <wp:positionH relativeFrom="column">
                  <wp:posOffset>3886200</wp:posOffset>
                </wp:positionH>
                <wp:positionV relativeFrom="paragraph">
                  <wp:posOffset>196215</wp:posOffset>
                </wp:positionV>
                <wp:extent cx="0" cy="312420"/>
                <wp:effectExtent l="50800" t="0" r="63500" b="11430"/>
                <wp:wrapNone/>
                <wp:docPr id="29" name="直线 34"/>
                <wp:cNvGraphicFramePr/>
                <a:graphic xmlns:a="http://schemas.openxmlformats.org/drawingml/2006/main">
                  <a:graphicData uri="http://schemas.microsoft.com/office/word/2010/wordprocessingShape">
                    <wps:wsp>
                      <wps:cNvSpPr/>
                      <wps:spPr>
                        <a:xfrm>
                          <a:off x="0" y="0"/>
                          <a:ext cx="0" cy="31242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34" o:spid="_x0000_s1026" o:spt="20" style="position:absolute;left:0pt;margin-left:306pt;margin-top:15.45pt;height:24.6pt;width:0pt;z-index:251687936;mso-width-relative:page;mso-height-relative:page;" filled="f" stroked="t" coordsize="21600,21600" o:gfxdata="UEsDBAoAAAAAAIdO4kAAAAAAAAAAAAAAAAAEAAAAZHJzL1BLAwQUAAAACACHTuJANULEMtYAAAAJ AQAADwAAAGRycy9kb3ducmV2LnhtbE2PwU7DMBBE70j8g7VI3KidIpUSsukBCSSqXkg5cHTjxY4a r6PYSQtfjxEHOM7OaPZNtTn7Xsw0xi4wQrFQIIjbYDq2CG/7p5s1iJg0G90HJoRPirCpLy8qXZpw 4leam2RFLuFYagSX0lBKGVtHXsdFGIiz9xFGr1OWo5Vm1Kdc7nu5VGolve44f3B6oEdH7bGZPMJu mt9fnp0kadO2sds7Ou6+CPH6qlAPIBKd018YfvAzOtSZ6RAmNlH0CKtimbckhFt1DyIHfg8HhLUq QNaV/L+g/gZQSwMEFAAAAAgAh07iQNscUfPuAQAA3gMAAA4AAABkcnMvZTJvRG9jLnhtbK1TS5LT MBDdU8UdVNoTO54pPq44syAMGwqmauAAHUm2VaVfqZU4OQvXYMWG48w1aMkhgYHFLPBCbrVar/u9 bq1uDtawvYqovev4clFzppzwUruh418+3754zRkmcBKMd6rjR4X8Zv382WoKrWr86I1UkRGIw3YK HR9TCm1VoRiVBVz4oBwd9j5aSLSNQyUjTIRuTdXU9ctq8lGG6IVCJO9mPuQnxPgUQN/3WqiNFzur XJpRozKQiBKOOiBfl2r7Xon0qe9RJWY6TkxTWSkJ2du8VusVtEOEMGpxKgGeUsIjTha0o6RnqA0k YLuo/4KyWkSPvk8L4W01EymKEItl/Uib+xGCKlxIagxn0fH/wYqP+7vItOx484YzB5Y6/vD128P3 H+zqOqszBWwp6D7cxdMOycxUD320+U8k2KEoejwrqg6JidkpyHu1bK6bInZ1uRcipvfKW5aNjhvt MldoYf8BE+Wi0F8h2W0cm2hem1c19U4ATV5PHSfTBqoe3VAuozda3mpj8hWMw/atiWwPufvly5QI +I+wnGUDOM5x5Wiei1GBfOckS8dAsjh6DjzXYJXkzCh6PdkiQGgTaHOJhBj99O9Qym0clZBlnYXM 1tbLI7VhF6IeRtJiWcrMJ9T2UvBpRPNc/b4vSJdnuf4J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NULEMtYAAAAJAQAADwAAAAAAAAABACAAAAAiAAAAZHJzL2Rvd25yZXYueG1sUEsBAhQAFAAAAAgA h07iQNscUfPuAQAA3gMAAA4AAAAAAAAAAQAgAAAAJQEAAGRycy9lMm9Eb2MueG1sUEsFBgAAAAAG AAYAWQEAAIUFAAAAAA== ">
                <v:fill on="f" focussize="0,0"/>
                <v:stroke weight="1pt" color="#000000" joinstyle="round" endarrow="open"/>
                <v:imagedata o:title=""/>
                <o:lock v:ext="edit" aspectratio="f"/>
              </v:line>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175260</wp:posOffset>
                </wp:positionV>
                <wp:extent cx="1371600" cy="396240"/>
                <wp:effectExtent l="4445" t="4445" r="14605" b="18415"/>
                <wp:wrapNone/>
                <wp:docPr id="20" name="矩形 25"/>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40" w:firstLineChars="50"/>
                              <w:rPr>
                                <w:sz w:val="24"/>
                              </w:rPr>
                            </w:pPr>
                            <w:r>
                              <w:rPr>
                                <w:rFonts w:hint="eastAsia" w:ascii="宋体" w:hAnsi="宋体"/>
                                <w:sz w:val="28"/>
                                <w:szCs w:val="28"/>
                              </w:rPr>
                              <w:t xml:space="preserve"> </w:t>
                            </w:r>
                            <w:r>
                              <w:rPr>
                                <w:rFonts w:hint="eastAsia" w:ascii="宋体" w:hAnsi="宋体"/>
                                <w:sz w:val="24"/>
                              </w:rPr>
                              <w:t xml:space="preserve"> MBR（UF)系统</w:t>
                            </w:r>
                          </w:p>
                          <w:p>
                            <w:pPr>
                              <w:rPr>
                                <w:rFonts w:ascii="宋体" w:hAnsi="宋体"/>
                                <w:sz w:val="28"/>
                                <w:szCs w:val="28"/>
                              </w:rPr>
                            </w:pPr>
                          </w:p>
                        </w:txbxContent>
                      </wps:txbx>
                      <wps:bodyPr wrap="square" upright="1"/>
                    </wps:wsp>
                  </a:graphicData>
                </a:graphic>
              </wp:anchor>
            </w:drawing>
          </mc:Choice>
          <mc:Fallback>
            <w:pict>
              <v:rect id="矩形 25" o:spid="_x0000_s1026" o:spt="1" style="position:absolute;left:0pt;margin-left:252pt;margin-top:13.8pt;height:31.2pt;width:108pt;z-index:251678720;mso-width-relative:page;mso-height-relative:page;" fillcolor="#FFFFFF" filled="t" stroked="t" coordsize="21600,21600" o:gfxdata="UEsDBAoAAAAAAIdO4kAAAAAAAAAAAAAAAAAEAAAAZHJzL1BLAwQUAAAACACHTuJAPwCUftcAAAAJ AQAADwAAAGRycy9kb3ducmV2LnhtbE2PsU7DQBBEeyT+4bRIdOQuBhJifE4BChJl4jR0a3uxDb49 y3dODF/PUkG1Gu1o5k22nV2vTjSGzrOF5cKAIq583XFj4Vjsbh5AhYhcY++ZLHxRgG1+eZFhWvsz 7+l0iI2SEA4pWmhjHFKtQ9WSw7DwA7H83v3oMIocG12PeJZw1+vEmJV22LE0tDjQU0vV52FyFsou OeL3vngxbrO7ja9z8TG9PVt7fbU0j6AizfHPDL/4gg65MJV+4jqo3sK9uZMt0UKyXoESw1r6QJUW NnJ1nun/C/IfUEsDBBQAAAAIAIdO4kDjH71eDgIAADkEAAAOAAAAZHJzL2Uyb0RvYy54bWytU82O 0zAQviPxDpbvNGmXLWzUdA+UckGw0sIDTB0nseQ/PG6TPg0SNx6Cx0G8BmO32/3j0AM5ODP2+Jv5 vhkvrkej2U4GVM7WfDopOZNWuEbZruZfv6xfveUMI9gGtLOy5nuJ/Hr58sVi8JWcud7pRgZGIBar wde8j9FXRYGilwZw4ry0dNi6YCCSG7qiCTAQutHFrCznxeBC44MTEpF2V4dDfkQM5wC6tlVCrpzY GmnjATVIDZEoYa888mWutm2liJ/bFmVkuubENOaVkpC9SWuxXEDVBfC9EscS4JwSnnAyoCwlPUGt IALbBvUMyigRHLo2ToQzxYFIVoRYTMsn2tz24GXmQlKjP4mO/w9WfNrdBKaams9IEguGOv7n+8/f v36w2WVSZ/BYUdCtvwlHD8lMVMc2mPQnEmzMiu5PisoxMkGb04s303lJyILOLq7ms9dZ8uL+tg8Y P0hnWDJqHqhjWUjYfcRIGSn0LiQlQ6dVs1ZaZyd0m3c6sB1Qd9f5SyXTlUdh2rKh5leXRIgJoJFt aVTINJ5oo+1yvkc38CFwmb9/AafCVoD9oYCMkMKgMirKJBdUvYTmvW1Y3HtS1tKL4qkYIxvOtKQH mKwcGUHpcyKJnbZEMjXm0IpkxXEzEkwyN67ZU08HGmqi920LgXJufVBdTwJPM5EURxOVtTpOfxrZ h35Ocf/il38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PwCUftcAAAAJAQAADwAAAAAAAAABACAA AAAiAAAAZHJzL2Rvd25yZXYueG1sUEsBAhQAFAAAAAgAh07iQOMfvV4OAgAAOQQAAA4AAAAAAAAA AQAgAAAAJgEAAGRycy9lMm9Eb2MueG1sUEsFBgAAAAAGAAYAWQEAAKYFAAAAAA== ">
                <v:fill on="t" focussize="0,0"/>
                <v:stroke color="#000000" joinstyle="miter"/>
                <v:imagedata o:title=""/>
                <o:lock v:ext="edit" aspectratio="f"/>
                <v:textbox>
                  <w:txbxContent>
                    <w:p>
                      <w:pPr>
                        <w:spacing w:line="400" w:lineRule="exact"/>
                        <w:ind w:firstLine="140" w:firstLineChars="50"/>
                        <w:rPr>
                          <w:sz w:val="24"/>
                        </w:rPr>
                      </w:pPr>
                      <w:r>
                        <w:rPr>
                          <w:rFonts w:hint="eastAsia" w:ascii="宋体" w:hAnsi="宋体"/>
                          <w:sz w:val="28"/>
                          <w:szCs w:val="28"/>
                        </w:rPr>
                        <w:t xml:space="preserve"> </w:t>
                      </w:r>
                      <w:r>
                        <w:rPr>
                          <w:rFonts w:hint="eastAsia" w:ascii="宋体" w:hAnsi="宋体"/>
                          <w:sz w:val="24"/>
                        </w:rPr>
                        <w:t xml:space="preserve"> MBR（UF)系统</w:t>
                      </w:r>
                    </w:p>
                    <w:p>
                      <w:pPr>
                        <w:rPr>
                          <w:rFonts w:ascii="宋体" w:hAnsi="宋体"/>
                          <w:sz w:val="28"/>
                          <w:szCs w:val="28"/>
                        </w:rPr>
                      </w:pPr>
                    </w:p>
                  </w:txbxContent>
                </v:textbox>
              </v:rect>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81915</wp:posOffset>
                </wp:positionV>
                <wp:extent cx="0" cy="186690"/>
                <wp:effectExtent l="50800" t="0" r="63500" b="3810"/>
                <wp:wrapNone/>
                <wp:docPr id="14" name="直线 86"/>
                <wp:cNvGraphicFramePr/>
                <a:graphic xmlns:a="http://schemas.openxmlformats.org/drawingml/2006/main">
                  <a:graphicData uri="http://schemas.microsoft.com/office/word/2010/wordprocessingShape">
                    <wps:wsp>
                      <wps:cNvSpPr/>
                      <wps:spPr>
                        <a:xfrm flipH="1">
                          <a:off x="0" y="0"/>
                          <a:ext cx="0" cy="18669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86" o:spid="_x0000_s1026" o:spt="20" style="position:absolute;left:0pt;flip:x;margin-left:72pt;margin-top:6.45pt;height:14.7pt;width:0pt;z-index:251672576;mso-width-relative:page;mso-height-relative:page;" filled="f" stroked="t" coordsize="21600,21600" o:gfxdata="UEsDBAoAAAAAAIdO4kAAAAAAAAAAAAAAAAAEAAAAZHJzL1BLAwQUAAAACACHTuJAzGSSjNkAAAAJ AQAADwAAAGRycy9kb3ducmV2LnhtbE2PzU7DMBCE70i8g7VIXBB1GkIFIU4PSEWoEqAGJK5uvHUi 7HUUuz/06dlygdvO7mj2m2p+8E7scIx9IAXTSQYCqQ2mJ6vg431xfQciJk1Gu0Co4BsjzOvzs0qX JuxphbsmWcEhFEutoEtpKKWMbYdex0kYkPi2CaPXieVopRn1nsO9k3mWzaTXPfGHTg/42GH71Wy9 guXm7el5ZtPq1uYv8ur1uIjNp1Pq8mKaPYBIeEh/ZjjhMzrUzLQOWzJRONZFwV0SD/k9iJPhd7FW UOQ3IOtK/m9Q/wBQSwMEFAAAAAgAh07iQDU4yEz0AQAA6AMAAA4AAABkcnMvZTJvRG9jLnhtbK1T S44TMRDdI3EHy3vSSYTC0EpnFoSBBYKRBg5Q8afbkn9yOenkLFyDFRuOM9eg7A4ZGFjMgl60ylXl V/VeldfXR2fZQSU0wXd8MZtzprwI0vi+418+37y44gwzeAk2eNXxk0J+vXn+bD3GVi3DEKxUiRGI x3aMHR9yjm3ToBiUA5yFqDwFdUgOMh1T38gEI6E72yzn81UzhiRjCkIhknc7BfkZMT0FMGhthNoG sXfK5wk1KQuZKOFgIvJN7VZrJfInrVFlZjtOTHP9UxGyd+XfbNbQ9gniYMS5BXhKC484OTCeil6g tpCB7ZP5C8oZkQIGnWciuGYiUhUhFov5I23uBoiqciGpMV5Ex/8HKz4ebhMzkjbhJWceHE38/uu3 ++8/2NWqqDNGbCnpLt6m8wnJLFSPOjmmrYnv6XIlT3TYsWp7umirjpmJySnIu7harV5X2ZsJoSDF hPmdCo4Vo+PW+MIaWjh8wExVKfVXSnFbz0ZCWr6a0xQF0A5qmj2ZLhIP9H29jMEaeWOsLVcw9bs3 NrEDlD2oXyFHwH+klSpbwGHKq6FpQwYF8q2XLJ8iCeTpYfDSg1OSM6voHRWLAKHNYOxDJqQUxn+n Um3rqYUi8CRpsXZBnmgg+5hMP5AWi9pmidAC1IbPy1o27PdzRXp4oJuf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zGSSjNkAAAAJAQAADwAAAAAAAAABACAAAAAiAAAAZHJzL2Rvd25yZXYueG1sUEsB AhQAFAAAAAgAh07iQDU4yEz0AQAA6AMAAA4AAAAAAAAAAQAgAAAAKAEAAGRycy9lMm9Eb2MueG1s UEsFBgAAAAAGAAYAWQEAAI4FA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268605</wp:posOffset>
                </wp:positionV>
                <wp:extent cx="1257300" cy="419100"/>
                <wp:effectExtent l="5080" t="5080" r="13970" b="13970"/>
                <wp:wrapNone/>
                <wp:docPr id="5" name="矩形 2"/>
                <wp:cNvGraphicFramePr/>
                <a:graphic xmlns:a="http://schemas.openxmlformats.org/drawingml/2006/main">
                  <a:graphicData uri="http://schemas.microsoft.com/office/word/2010/wordprocessingShape">
                    <wps:wsp>
                      <wps:cNvSpPr/>
                      <wps:spPr>
                        <a:xfrm>
                          <a:off x="0" y="0"/>
                          <a:ext cx="12573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宋体" w:hAnsi="宋体"/>
                                <w:sz w:val="24"/>
                              </w:rPr>
                            </w:pPr>
                            <w:r>
                              <w:rPr>
                                <w:rFonts w:hint="eastAsia" w:ascii="宋体" w:hAnsi="宋体"/>
                                <w:sz w:val="24"/>
                              </w:rPr>
                              <w:t>一级A罐</w:t>
                            </w:r>
                          </w:p>
                        </w:txbxContent>
                      </wps:txbx>
                      <wps:bodyPr wrap="square" upright="1"/>
                    </wps:wsp>
                  </a:graphicData>
                </a:graphic>
              </wp:anchor>
            </w:drawing>
          </mc:Choice>
          <mc:Fallback>
            <w:pict>
              <v:rect id="矩形 2" o:spid="_x0000_s1026" o:spt="1" style="position:absolute;left:0pt;margin-left:18pt;margin-top:21.15pt;height:33pt;width:99pt;z-index:251663360;mso-width-relative:page;mso-height-relative:page;" fillcolor="#FFFFFF" filled="t" stroked="t" coordsize="21600,21600" o:gfxdata="UEsDBAoAAAAAAIdO4kAAAAAAAAAAAAAAAAAEAAAAZHJzL1BLAwQUAAAACACHTuJAufPDn9cAAAAJ AQAADwAAAGRycy9kb3ducmV2LnhtbE2PwU7DMBBE70j8g7VI3KjdpKpKiNMDqEg9tumlNydekkC8 jmKnDf16lhMcd2Y0+ybfzq4XFxxD50nDcqFAINXedtRoOJW7pw2IEA1Z03tCDd8YYFvc3+Ums/5K B7wcYyO4hEJmNLQxDpmUoW7RmbDwAxJ7H350JvI5NtKO5srlrpeJUmvpTEf8oTUDvrZYfx0np6Hq kpO5Hcp35Z53adzP5ed0ftP68WGpXkBEnONfGH7xGR0KZqr8RDaIXkO65ilRwypJQbCfpCsWKg6q TQqyyOX/BcUPUEsDBBQAAAAIAIdO4kA8b0GJCAIAADcEAAAOAAAAZHJzL2Uyb0RvYy54bWytU8uu 0zAQ3SPxD5b3NEmhwI2a3gWlbBBc6cIHTG0nseQXttukX4PEjo/gcxC/wdgJvQ9YdEEWyXE8PjPn zHh9PWpFjsIHaU1Dq0VJiTDMcmm6hn7+tHv2mpIQwXBQ1oiGnkSg15unT9aDq8XS9lZx4QmSmFAP rqF9jK4uisB6oSEsrBMGN1vrNURc+q7gHgZk16pYluXLYrCeO2+ZCAH/bqdNOjP6Swht20omtpYd tDBxYvVCQURJoZcu0E2utm0Fix/bNohIVENRacxvTIJ4n97FZg1158H1ks0lwCUlPNKkQRpMeqba QgRy8PIvKi2Zt8G2ccGsLiYh2RFUUZWPvLntwYmsBa0O7mx6+H+07MPxxhPJG7qixIDGhv/6+v3n j29kmbwZXKgx5Nbd+HkVECahY+t1+qIEMmY/T2c/xRgJw5/VcvXqeYlWM9x7UV1ViJGmuDvtfIjv hNUkgYZ67Fe2EY7vQ5xC/4SkZMEqyXdSqbzw3f6N8uQI2Ntdfmb2B2HKkKGhV6slCmSAA9vioCDU DkUH0+V8D06E+8Rlfv5FnArbQuinAjJDCoNayyh8Rr0A/tZwEk8OjTV4n2gqRgtOiRJ4/RLKkRGk uiQSvVMGLUyNmVqRUBz3I9IkuLf8hB0dcKRR3pcDeMx5cF52PRpcZSEpDucpd2Ke/TSw99c5xd19 3/wG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eAQAAFtDb250ZW50X1R5cGVzXS54bWxQSwECFAAKAAAAAACHTuJAAAAAAAAAAAAAAAAABgAAAAAA AAAAABAAAABaAwAAX3JlbHMvUEsBAhQAFAAAAAgAh07iQIoUZjzRAAAAlAEAAAsAAAAAAAAAAQAg AAAAfgMAAF9yZWxzLy5yZWxzUEsBAhQACgAAAAAAh07iQAAAAAAAAAAAAAAAAAQAAAAAAAAAAAAQ AAAAAAAAAGRycy9QSwECFAAUAAAACACHTuJAufPDn9cAAAAJAQAADwAAAAAAAAABACAAAAAiAAAA ZHJzL2Rvd25yZXYueG1sUEsBAhQAFAAAAAgAh07iQDxvQYkIAgAANwQAAA4AAAAAAAAAAQAgAAAA JgEAAGRycy9lMm9Eb2MueG1sUEsFBgAAAAAGAAYAWQEAAKAFAAAAAA== ">
                <v:fill on="t" focussize="0,0"/>
                <v:stroke color="#000000" joinstyle="miter"/>
                <v:imagedata o:title=""/>
                <o:lock v:ext="edit" aspectratio="f"/>
                <v:textbox>
                  <w:txbxContent>
                    <w:p>
                      <w:pPr>
                        <w:spacing w:line="400" w:lineRule="exact"/>
                        <w:jc w:val="center"/>
                        <w:rPr>
                          <w:rFonts w:ascii="宋体" w:hAnsi="宋体"/>
                          <w:sz w:val="24"/>
                        </w:rPr>
                      </w:pPr>
                      <w:r>
                        <w:rPr>
                          <w:rFonts w:hint="eastAsia" w:ascii="宋体" w:hAnsi="宋体"/>
                          <w:sz w:val="24"/>
                        </w:rPr>
                        <w:t>一级A罐</w:t>
                      </w:r>
                    </w:p>
                  </w:txbxContent>
                </v:textbox>
              </v:rect>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95250</wp:posOffset>
                </wp:positionV>
                <wp:extent cx="0" cy="314325"/>
                <wp:effectExtent l="50800" t="0" r="63500" b="9525"/>
                <wp:wrapNone/>
                <wp:docPr id="28" name="直线 33"/>
                <wp:cNvGraphicFramePr/>
                <a:graphic xmlns:a="http://schemas.openxmlformats.org/drawingml/2006/main">
                  <a:graphicData uri="http://schemas.microsoft.com/office/word/2010/wordprocessingShape">
                    <wps:wsp>
                      <wps:cNvSpPr/>
                      <wps:spPr>
                        <a:xfrm>
                          <a:off x="0" y="0"/>
                          <a:ext cx="0" cy="31432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33" o:spid="_x0000_s1026" o:spt="20" style="position:absolute;left:0pt;margin-left:306pt;margin-top:7.5pt;height:24.75pt;width:0pt;z-index:251686912;mso-width-relative:page;mso-height-relative:page;" filled="f" stroked="t" coordsize="21600,21600" o:gfxdata="UEsDBAoAAAAAAIdO4kAAAAAAAAAAAAAAAAAEAAAAZHJzL1BLAwQUAAAACACHTuJAoHGdjdQAAAAJ AQAADwAAAGRycy9kb3ducmV2LnhtbE1PyU7DMBC9I/EP1iD1Rp1UXVCI0wMSSFS9kPbA0Y0HO2o8 jmInLXw9gzjAaZb39JZye/WdmHCIbSAF+TwDgdQE05JVcDw83z+AiEmT0V0gVPCJEbbV7U2pCxMu 9IZTnaxgEYqFVuBS6gspY+PQ6zgPPRJjH2HwOvE5WGkGfWFx38lFlq2l1y2xg9M9PjlszvXoFezH 6f31xUmUNu1qu9vgef+FSs3u8uwRRMJr+iPDT3yODhVnOoWRTBSdgnW+4C6JgRVPJvw+TrwsVyCr Uv5vUH0DUEsDBBQAAAAIAIdO4kCIusOU6wEAAN4DAAAOAAAAZHJzL2Uyb0RvYy54bWytU0tu2zAQ 3RfoHQjua/nTHwTLWdRNN0UbIOkBxiQlEeAPHNqyz9JrdNVNj5NrdEipdptkkUW1oIbk4+O8N8P1 1dEadlARtXcNX8zmnCknvNSua/i3u+tX7znDBE6C8U41/KSQX21evlgPoVZL33sjVWRE4rAeQsP7 lEJdVSh6ZQFnPihHm62PFhJNY1fJCAOxW1Mt5/O31eCjDNELhUir23GTT4zxOYS+bbVQWy/2Vrk0 skZlIJEk7HVAvinZtq0S6WvbokrMNJyUpjLSJRTv8lht1lB3EUKvxZQCPCeFB5osaEeXnqm2kIDt o35EZbWIHn2bZsLbahRSHCEVi/kDb257CKpoIasxnE3H/0crvhxuItOy4UuquwNLFb///uP+5y+2 WmV3hoA1gW7DTZxmSGGWemyjzX8SwY7F0dPZUXVMTIyLglZXi9er5ZtMV13OhYjpk/KW5aDhRrus FWo4fMY0Qv9A8rJxbKB+Xb6bU+0EUOe1VHEKbaDs0XXlMHqj5bU2Jh/B2O0+mMgOkKtfvimHf2D5 li1gP+LKVoZB3SuQH51k6RTIFkfPgeccrJKcGUWvJ0cFmUCbCxJi9MPTUNJvHNmQbR2NzNHOyxOV YR+i7nryYlHSzDtU9mLa1KK5r/6eF6bLs9z8Bl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AAAAABkcnMvUEsBAhQAFAAAAAgAh07iQKBxnY3U AAAACQEAAA8AAAAAAAAAAQAgAAAAIgAAAGRycy9kb3ducmV2LnhtbFBLAQIUABQAAAAIAIdO4kCI usOU6wEAAN4DAAAOAAAAAAAAAAEAIAAAACMBAABkcnMvZTJvRG9jLnhtbFBLBQYAAAAABgAGAFkB AACABQAAAAA= ">
                <v:fill on="f" focussize="0,0"/>
                <v:stroke weight="1pt" color="#000000" joinstyle="round" endarrow="open"/>
                <v:imagedata o:title=""/>
                <o:lock v:ext="edit" aspectratio="f"/>
              </v:line>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73600" behindDoc="0" locked="0" layoutInCell="1" allowOverlap="1">
                <wp:simplePos x="0" y="0"/>
                <wp:positionH relativeFrom="column">
                  <wp:posOffset>869950</wp:posOffset>
                </wp:positionH>
                <wp:positionV relativeFrom="paragraph">
                  <wp:posOffset>106680</wp:posOffset>
                </wp:positionV>
                <wp:extent cx="0" cy="325120"/>
                <wp:effectExtent l="50800" t="0" r="63500" b="17780"/>
                <wp:wrapNone/>
                <wp:docPr id="15" name="直线 20"/>
                <wp:cNvGraphicFramePr/>
                <a:graphic xmlns:a="http://schemas.openxmlformats.org/drawingml/2006/main">
                  <a:graphicData uri="http://schemas.microsoft.com/office/word/2010/wordprocessingShape">
                    <wps:wsp>
                      <wps:cNvSpPr/>
                      <wps:spPr>
                        <a:xfrm flipH="1">
                          <a:off x="0" y="0"/>
                          <a:ext cx="0" cy="32512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20" o:spid="_x0000_s1026" o:spt="20" style="position:absolute;left:0pt;flip:x;margin-left:68.5pt;margin-top:8.4pt;height:25.6pt;width:0pt;z-index:251673600;mso-width-relative:page;mso-height-relative:page;" filled="f" stroked="t" coordsize="21600,21600" o:gfxdata="UEsDBAoAAAAAAIdO4kAAAAAAAAAAAAAAAAAEAAAAZHJzL1BLAwQUAAAACACHTuJAu3VIDNgAAAAJ AQAADwAAAGRycy9kb3ducmV2LnhtbE2PT0sDMRDF74LfIYzgRWzSimtZN9uDUBFBS1fBa7qZZheT ybJJ/+ind+pFb/NmHm/er1ocgxd7HFMfScN0okAgtdH25DS8vy2v5yBSNmSNj4QavjDBoj4/q0xp 44HWuG+yExxCqTQaupyHUsrUdhhMmsQBiW/bOAaTWY5O2tEcODx4OVOqkMH0xB86M+BDh+1nswsa nrerx6fC5fWtm73Iq9fvZWo+vNaXF1N1DyLjMf+Z4VSfq0PNnTZxRzYJz/rmjlkyDwUjnAy/i42G Yq5A1pX8T1D/AFBLAwQUAAAACACHTuJA7C+yQfIBAADoAwAADgAAAGRycy9lMm9Eb2MueG1srVNL jhMxEN0jcQfLe9JJ0ABqpTMLwsACwUgzHKDiT7cl/+Ry0slZuAYrNhxnrkHZHRIYWMyCXrTKVeVX 9V6VV9cHZ9leJTTBd3wxm3OmvAjS+L7jX+5vXrzhDDN4CTZ41fGjQn69fv5sNcZWLcMQrFSJEYjH dowdH3KObdOgGJQDnIWoPAV1SA4yHVPfyAQjoTvbLOfzV80YkowpCIVI3s0U5CfE9BTAoLURahPE zimfJ9SkLGSihIOJyNe1W62VyJ+1RpWZ7TgxzfVPRcjeln+zXkHbJ4iDEacW4CktPOLkwHgqeoba QAa2S+YvKGdEChh0nongmolIVYRYLOaPtLkbIKrKhaTGeBYd/x+s+LS/TcxI2oQrzjw4mvjD128P 33+wZVVnjNhS0l28TaRVOSGZhepBJ8e0NfEDXa7kiQ47VG2PZ23VITMxOQV5Xy6vFhNwMyEUpJgw v1fBsWJ03BpfWEML+4+YqSql/kopbuvZSCWXr+c0RQG0g5pmT6aLxAN9Xy9jsEbeGGvLFUz99q1N bA9lD+pXRk/Af6SVKhvAYcqroWlDBgXynZcsHyMJ5Olh8NKDU5Izq+gdFavuUgZjL5mQUhj/nUq1 racWLpIWaxvkkQayi8n0A2mxqG2WCC1Abfi0rGXDfj9XpMsDXf8E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u3VIDNgAAAAJAQAADwAAAAAAAAABACAAAAAiAAAAZHJzL2Rvd25yZXYueG1sUEsBAhQA FAAAAAgAh07iQOwvskHyAQAA6AMAAA4AAAAAAAAAAQAgAAAAJwEAAGRycy9lMm9Eb2MueG1sUEsF BgAAAAAGAAYAWQEAAIsFA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76200</wp:posOffset>
                </wp:positionV>
                <wp:extent cx="1371600" cy="396240"/>
                <wp:effectExtent l="4445" t="4445" r="14605" b="18415"/>
                <wp:wrapNone/>
                <wp:docPr id="7" name="矩形 10"/>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120" w:firstLineChars="50"/>
                              <w:jc w:val="center"/>
                              <w:rPr>
                                <w:sz w:val="24"/>
                              </w:rPr>
                            </w:pPr>
                            <w:r>
                              <w:rPr>
                                <w:rFonts w:hint="eastAsia"/>
                                <w:sz w:val="24"/>
                              </w:rPr>
                              <w:t>纳滤</w:t>
                            </w:r>
                            <w:r>
                              <w:rPr>
                                <w:sz w:val="24"/>
                              </w:rPr>
                              <w:t>(NF)</w:t>
                            </w:r>
                            <w:r>
                              <w:rPr>
                                <w:rFonts w:hint="eastAsia"/>
                                <w:sz w:val="24"/>
                              </w:rPr>
                              <w:t>系统</w:t>
                            </w:r>
                          </w:p>
                        </w:txbxContent>
                      </wps:txbx>
                      <wps:bodyPr wrap="square" upright="1"/>
                    </wps:wsp>
                  </a:graphicData>
                </a:graphic>
              </wp:anchor>
            </w:drawing>
          </mc:Choice>
          <mc:Fallback>
            <w:pict>
              <v:rect id="矩形 10" o:spid="_x0000_s1026" o:spt="1" style="position:absolute;left:0pt;margin-left:252pt;margin-top:6pt;height:31.2pt;width:108pt;z-index:251665408;mso-width-relative:page;mso-height-relative:page;" fillcolor="#FFFFFF" filled="t" stroked="t" coordsize="21600,21600" o:gfxdata="UEsDBAoAAAAAAIdO4kAAAAAAAAAAAAAAAAAEAAAAZHJzL1BLAwQUAAAACACHTuJAD1xVYNQAAAAJ AQAADwAAAGRycy9kb3ducmV2LnhtbE1PTU+DQBC9m/gfNmPize4W8QtZetDUxGNLL94GGAFlZwm7 tOivdzzpad7kvbyPfLO4QR1pCr1nC+uVAUVc+6bn1sKh3F7dgwoRucHBM1n4ogCb4vwsx6zxJ97R cR9bJSYcMrTQxThmWoe6I4dh5Udi4d795DDKO7W6mfAk5m7QiTG32mHPktDhSE8d1Z/72Vmo+uSA 37vyxbiH7XV8XcqP+e3Z2suLtXkEFWmJf2L4rS/VoZBOlZ+5CWqwcGNS2RKFSOSK4E7yQFUC0hR0 kev/C4ofUEsDBBQAAAAIAIdO4kCdwssaDAIAADgEAAAOAAAAZHJzL2Uyb0RvYy54bWytU82O0zAQ viPxDpbvNEmX7bJR0z1QygXBSgsPMLWdxJL/sN0mfRokbjwEj4N4jR27pd2/Qw/k4MzY42/m+2Y8 vxm1Ilvhg7SmodWkpEQYZrk0XUO/fV29eUdJiGA4KGtEQ3ci0JvF61fzwdVianuruPAEQUyoB9fQ PkZXF0VgvdAQJtYJg4et9Roiur4ruIcB0bUqpmU5KwbrufOWiRBwd7k/pAdEfw6gbVvJxNKyjRYm 7lG9UBCRUuilC3SRq21bweKXtg0iEtVQZBrziknQXqe1WMyh7jy4XrJDCXBOCU84aZAGkx6hlhCB bLx8BqUl8zbYNk6Y1cWeSFYEWVTlE23uenAic0GpgzuKHv4fLPu8vfVE8oZeUWJAY8P//vj15/dP UmVxBhdqjLlztx6lSl5AMzEdW6/THzmQMQu6OwoqxkgYblYXV9WsRK0Znl1cz6ZvM2hxuu18iB+F 1SQZDfXYsKwjbD+FiBkx9F9IShasknwllcqO79bvlSdbwOau8pf6iVcehSlDhoZeX04vsQ7AiW1x UtDUDlkH0+V8j26Eh8Bl/l4CToUtIfT7AjLCfp60jCLJBXUvgH8wnMSdQ2UNPiiaitGCU6IEvr9k 5cgIUp0TieyUQZKnViQrjusRYZK5tnyHLR1wppHe9w14zLlxXnY9ClxlIikOByprdRj+NLEP/Zzi 9OAX9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HkEAABbQ29udGVudF9UeXBlc10ueG1sUEsBAhQACgAAAAAAh07iQAAAAAAAAAAAAAAAAAYAAAAA AAAAAAAQAAAAWwMAAF9yZWxzL1BLAQIUABQAAAAIAIdO4kCKFGY80QAAAJQBAAALAAAAAAAAAAEA IAAAAH8DAABfcmVscy8ucmVsc1BLAQIUAAoAAAAAAIdO4kAAAAAAAAAAAAAAAAAEAAAAAAAAAAAA EAAAAAAAAABkcnMvUEsBAhQAFAAAAAgAh07iQA9cVWDUAAAACQEAAA8AAAAAAAAAAQAgAAAAIgAA AGRycy9kb3ducmV2LnhtbFBLAQIUABQAAAAIAIdO4kCdwssaDAIAADgEAAAOAAAAAAAAAAEAIAAA ACMBAABkcnMvZTJvRG9jLnhtbFBLBQYAAAAABgAGAFkBAAChBQAAAAA= ">
                <v:fill on="t" focussize="0,0"/>
                <v:stroke color="#000000" joinstyle="miter"/>
                <v:imagedata o:title=""/>
                <o:lock v:ext="edit" aspectratio="f"/>
                <v:textbox>
                  <w:txbxContent>
                    <w:p>
                      <w:pPr>
                        <w:spacing w:line="400" w:lineRule="exact"/>
                        <w:ind w:firstLine="120" w:firstLineChars="50"/>
                        <w:jc w:val="center"/>
                        <w:rPr>
                          <w:sz w:val="24"/>
                        </w:rPr>
                      </w:pPr>
                      <w:r>
                        <w:rPr>
                          <w:rFonts w:hint="eastAsia"/>
                          <w:sz w:val="24"/>
                        </w:rPr>
                        <w:t>纳滤</w:t>
                      </w:r>
                      <w:r>
                        <w:rPr>
                          <w:sz w:val="24"/>
                        </w:rPr>
                        <w:t>(NF)</w:t>
                      </w:r>
                      <w:r>
                        <w:rPr>
                          <w:rFonts w:hint="eastAsia"/>
                          <w:sz w:val="24"/>
                        </w:rPr>
                        <w:t>系统</w:t>
                      </w:r>
                    </w:p>
                  </w:txbxContent>
                </v:textbox>
              </v:rect>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70528" behindDoc="0" locked="0" layoutInCell="1" allowOverlap="1">
                <wp:simplePos x="0" y="0"/>
                <wp:positionH relativeFrom="column">
                  <wp:posOffset>266700</wp:posOffset>
                </wp:positionH>
                <wp:positionV relativeFrom="paragraph">
                  <wp:posOffset>123190</wp:posOffset>
                </wp:positionV>
                <wp:extent cx="1257300" cy="404495"/>
                <wp:effectExtent l="5080" t="4445" r="13970" b="10160"/>
                <wp:wrapNone/>
                <wp:docPr id="12" name="矩形 17"/>
                <wp:cNvGraphicFramePr/>
                <a:graphic xmlns:a="http://schemas.openxmlformats.org/drawingml/2006/main">
                  <a:graphicData uri="http://schemas.microsoft.com/office/word/2010/wordprocessingShape">
                    <wps:wsp>
                      <wps:cNvSpPr/>
                      <wps:spPr>
                        <a:xfrm>
                          <a:off x="0" y="0"/>
                          <a:ext cx="1257300" cy="40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宋体" w:hAnsi="宋体"/>
                                <w:sz w:val="24"/>
                              </w:rPr>
                            </w:pPr>
                            <w:r>
                              <w:rPr>
                                <w:rFonts w:hint="eastAsia" w:ascii="宋体" w:hAnsi="宋体"/>
                                <w:sz w:val="24"/>
                              </w:rPr>
                              <w:t>一级O罐</w:t>
                            </w:r>
                          </w:p>
                          <w:p>
                            <w:pPr>
                              <w:rPr>
                                <w:rFonts w:hint="eastAsia" w:ascii="宋体" w:hAnsi="宋体"/>
                                <w:sz w:val="28"/>
                                <w:szCs w:val="28"/>
                              </w:rPr>
                            </w:pPr>
                          </w:p>
                        </w:txbxContent>
                      </wps:txbx>
                      <wps:bodyPr wrap="square" upright="1"/>
                    </wps:wsp>
                  </a:graphicData>
                </a:graphic>
              </wp:anchor>
            </w:drawing>
          </mc:Choice>
          <mc:Fallback>
            <w:pict>
              <v:rect id="矩形 17" o:spid="_x0000_s1026" o:spt="1" style="position:absolute;left:0pt;margin-left:21pt;margin-top:9.7pt;height:31.85pt;width:99pt;z-index:251670528;mso-width-relative:page;mso-height-relative:page;" fillcolor="#FFFFFF" filled="t" stroked="t" coordsize="21600,21600" o:gfxdata="UEsDBAoAAAAAAIdO4kAAAAAAAAAAAAAAAAAEAAAAZHJzL1BLAwQUAAAACACHTuJAUE3eCtYAAAAI AQAADwAAAGRycy9kb3ducmV2LnhtbE2PwU7DMBBE70j8g7VI3KidNEJtiNMDqEgc2/TS2yZekkBs R7HTBr6e5QTHnRnNvil2ix3EhabQe6chWSkQ5BpvetdqOFX7hw2IENEZHLwjDV8UYFfe3hSYG391 B7ocYyu4xIUcNXQxjrmUoenIYlj5kRx7736yGPmcWmkmvHK5HWSq1KO02Dv+0OFIzx01n8fZaqj7 9ITfh+pV2e1+Hd+W6mM+v2h9f5eoJxCRlvgXhl98RoeSmWo/OxPEoCFLeUpkfZuBYD/NFAu1hs06 AVkW8v+A8gdQSwMEFAAAAAgAh07iQKak/wQLAgAAOQQAAA4AAABkcnMvZTJvRG9jLnhtbK1TTa7T MBDeI3EHy3uatLQ8XtT0LShlg+BJDw7g2k5iyX+M3SY9DRI7DsFxENdg7IS+H1h0QRbOjD3+Zr5v xuubwWhylBCUszWdz0pKpOVOKNvW9POn3YvXlITIrGDaWVnTkwz0ZvP82br3lVy4zmkhgSCIDVXv a9rF6KuiCLyThoWZ89LiYePAsIgutIUA1iO60cWiLF8VvQPhwXEZAu5ux0M6IcIlgK5pFJdbxw9G 2jiigtQsIqXQKR/oJlfbNJLHj00TZCS6psg05hWToL1Pa7FZs6oF5jvFpxLYJSU84WSYspj0DLVl kZEDqL+gjOLggmvijDtTjESyIshiXj7R5q5jXmYuKHXwZ9HD/4PlH463QJTASVhQYpnBjv/6+v3n j29kfpXU6X2oMOjO38LkBTQT1aEBk/5IggxZ0dNZUTlEwnFzvlhdvSxRbI5ny3K5vF4l0OL+tocQ 30lnSDJqCtixLCQ7vg9xDP0TkpIFp5XYKa2zA+3+jQZyZNjdXf4m9Edh2pK+pterxQrrYDiyDY4K msYj7WDbnO/RjfAQuMzfv4BTYVsWurGAjJDCWGVUlJCtTjLx1goSTx6VtfiiaCrGSEGJlvgAk5Uj I1P6kkjUTluUMDVmbEWy4rAfECaZeydO2NMehxrpfTkwwJwHD6rtUOB5JpLicKJyJ6bpTyP70M8p 7l/85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6BAAAW0NvbnRlbnRfVHlwZXNdLnhtbFBLAQIUAAoAAAAAAIdO4kAAAAAAAAAAAAAAAAAGAAAA AAAAAAAAEAAAAFwDAABfcmVscy9QSwECFAAUAAAACACHTuJAihRmPNEAAACUAQAACwAAAAAAAAAB ACAAAACAAwAAX3JlbHMvLnJlbHNQSwECFAAKAAAAAACHTuJAAAAAAAAAAAAAAAAABAAAAAAAAAAA ABAAAAAAAAAAZHJzL1BLAQIUABQAAAAIAIdO4kBQTd4K1gAAAAgBAAAPAAAAAAAAAAEAIAAAACIA AABkcnMvZG93bnJldi54bWxQSwECFAAUAAAACACHTuJApqT/BAsCAAA5BAAADgAAAAAAAAABACAA AAAlAQAAZHJzL2Uyb0RvYy54bWxQSwUGAAAAAAYABgBZAQAAogUAAAAA ">
                <v:fill on="t" focussize="0,0"/>
                <v:stroke color="#000000" joinstyle="miter"/>
                <v:imagedata o:title=""/>
                <o:lock v:ext="edit" aspectratio="f"/>
                <v:textbox>
                  <w:txbxContent>
                    <w:p>
                      <w:pPr>
                        <w:spacing w:line="400" w:lineRule="exact"/>
                        <w:jc w:val="center"/>
                        <w:rPr>
                          <w:rFonts w:ascii="宋体" w:hAnsi="宋体"/>
                          <w:sz w:val="24"/>
                        </w:rPr>
                      </w:pPr>
                      <w:r>
                        <w:rPr>
                          <w:rFonts w:hint="eastAsia" w:ascii="宋体" w:hAnsi="宋体"/>
                          <w:sz w:val="24"/>
                        </w:rPr>
                        <w:t>一级O罐</w:t>
                      </w:r>
                    </w:p>
                    <w:p>
                      <w:pPr>
                        <w:rPr>
                          <w:rFonts w:hint="eastAsia" w:ascii="宋体" w:hAnsi="宋体"/>
                          <w:sz w:val="28"/>
                          <w:szCs w:val="28"/>
                        </w:rPr>
                      </w:pPr>
                    </w:p>
                  </w:txbxContent>
                </v:textbox>
              </v:rect>
            </w:pict>
          </mc:Fallback>
        </mc:AlternateContent>
      </w:r>
      <w:r>
        <w:rPr>
          <w:rFonts w:hint="eastAsia" w:ascii="宋体" w:hAnsi="宋体" w:cs="宋体"/>
          <w:b/>
          <w:bCs/>
          <w:color w:val="auto"/>
          <w:szCs w:val="21"/>
        </w:rPr>
        <mc:AlternateContent>
          <mc:Choice Requires="wps">
            <w:drawing>
              <wp:anchor distT="0" distB="0" distL="114300" distR="114300" simplePos="0" relativeHeight="251685888" behindDoc="0" locked="0" layoutInCell="1" allowOverlap="1">
                <wp:simplePos x="0" y="0"/>
                <wp:positionH relativeFrom="column">
                  <wp:posOffset>3886200</wp:posOffset>
                </wp:positionH>
                <wp:positionV relativeFrom="paragraph">
                  <wp:posOffset>175260</wp:posOffset>
                </wp:positionV>
                <wp:extent cx="0" cy="297180"/>
                <wp:effectExtent l="50800" t="0" r="63500" b="7620"/>
                <wp:wrapNone/>
                <wp:docPr id="27" name="直线 32"/>
                <wp:cNvGraphicFramePr/>
                <a:graphic xmlns:a="http://schemas.openxmlformats.org/drawingml/2006/main">
                  <a:graphicData uri="http://schemas.microsoft.com/office/word/2010/wordprocessingShape">
                    <wps:wsp>
                      <wps:cNvSpPr/>
                      <wps:spPr>
                        <a:xfrm>
                          <a:off x="0" y="0"/>
                          <a:ext cx="0" cy="29718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32" o:spid="_x0000_s1026" o:spt="20" style="position:absolute;left:0pt;margin-left:306pt;margin-top:13.8pt;height:23.4pt;width:0pt;z-index:251685888;mso-width-relative:page;mso-height-relative:page;" filled="f" stroked="t" coordsize="21600,21600" o:gfxdata="UEsDBAoAAAAAAIdO4kAAAAAAAAAAAAAAAAAEAAAAZHJzL1BLAwQUAAAACACHTuJAgq0cm9YAAAAJ AQAADwAAAGRycy9kb3ducmV2LnhtbE2PwU7DMBBE70j8g7WVuFEnUZWgkE0PlUCi6oXQA0c3XuKo 8TqKnbTw9RhxgOPsjGbfVNurHcRCk+8dI6TrBARx63TPHcLx7en+AYQPirUaHBPCJ3nY1rc3lSq1 u/ArLU3oRCxhXyoEE8JYSulbQ1b5tRuJo/fhJqtClFMn9aQusdwOMkuSXFrVc/xg1Eg7Q+25mS3C YV7eX56NJNmFfdPtCzofvgjxbpUmjyACXcNfGH7wIzrUkenkZtZeDAh5msUtASErchAx8Hs4IRSb Dci6kv8X1N9QSwMEFAAAAAgAh07iQAPP8hjuAQAA3gMAAA4AAABkcnMvZTJvRG9jLnhtbK1TzY7T MBC+I/EOlu80bZDoEjXdA2W5IFhp2QeY2k5iyX/yuE37LLwGJy48zr4GY6e0sOxhD5uDMx6Pv5nv m/Hq+mAN26uI2ruWL2ZzzpQTXmrXt/z+282bK84wgZNgvFMtPyrk1+vXr1ZjaFTtB2+kioxAHDZj aPmQUmiqCsWgLODMB+XosPPRQqJt7CsZYSR0a6p6Pn9XjT7KEL1QiOTdTIf8hBifA+i7Tgu18WJn lUsTalQGElHCQQfk61Jt1ymRvnYdqsRMy4lpKislIXub12q9gqaPEAYtTiXAc0p4xMmCdpT0DLWB BGwX9X9QVovo0XdpJrytJiJFEWKxmD/S5m6AoAoXkhrDWXR8OVjxZX8bmZYtr5ecObDU8YfvPx5+ /mJv66zOGLChoLtwG087JDNTPXTR5j+RYIei6PGsqDokJianIG/9frm4KmJXl3shYvqkvGXZaLnR LnOFBvafMVEuCv0Tkt3GsZHmtV7OqXcCaPI66jiZNlD16PpyGb3R8kYbk69g7LcfTGR7yN0vX6ZE wP+E5SwbwGGKK0fTXAwK5EcnWToGksXRc+C5BqskZ0bR68kWAUKTQJtLJMTox6dDKbdxVEKWdRIy W1svj9SGXYi6H0iLRSkzn1DbS8GnEc1z9fe+IF2e5fo3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gq0cm9YAAAAJAQAADwAAAAAAAAABACAAAAAiAAAAZHJzL2Rvd25yZXYueG1sUEsBAhQAFAAAAAgA h07iQAPP8hjuAQAA3gMAAA4AAAAAAAAAAQAgAAAAJQEAAGRycy9lMm9Eb2MueG1sUEsFBgAAAAAG AAYAWQEAAIUFAAAAAA== ">
                <v:fill on="f" focussize="0,0"/>
                <v:stroke weight="1pt" color="#000000" joinstyle="round" endarrow="open"/>
                <v:imagedata o:title=""/>
                <o:lock v:ext="edit" aspectratio="f"/>
              </v:line>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74624" behindDoc="0" locked="0" layoutInCell="1" allowOverlap="1">
                <wp:simplePos x="0" y="0"/>
                <wp:positionH relativeFrom="column">
                  <wp:posOffset>869950</wp:posOffset>
                </wp:positionH>
                <wp:positionV relativeFrom="paragraph">
                  <wp:posOffset>224790</wp:posOffset>
                </wp:positionV>
                <wp:extent cx="0" cy="314325"/>
                <wp:effectExtent l="50800" t="0" r="63500" b="9525"/>
                <wp:wrapNone/>
                <wp:docPr id="16" name="直线 21"/>
                <wp:cNvGraphicFramePr/>
                <a:graphic xmlns:a="http://schemas.openxmlformats.org/drawingml/2006/main">
                  <a:graphicData uri="http://schemas.microsoft.com/office/word/2010/wordprocessingShape">
                    <wps:wsp>
                      <wps:cNvSpPr/>
                      <wps:spPr>
                        <a:xfrm>
                          <a:off x="0" y="0"/>
                          <a:ext cx="0" cy="31432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21" o:spid="_x0000_s1026" o:spt="20" style="position:absolute;left:0pt;margin-left:68.5pt;margin-top:17.7pt;height:24.75pt;width:0pt;z-index:251674624;mso-width-relative:page;mso-height-relative:page;" filled="f" stroked="t" coordsize="21600,21600" o:gfxdata="UEsDBAoAAAAAAIdO4kAAAAAAAAAAAAAAAAAEAAAAZHJzL1BLAwQUAAAACACHTuJAn1g0SNcAAAAJ AQAADwAAAGRycy9kb3ducmV2LnhtbE2PwU7DMBBE70j8g7VI3KhTWmgb4vSABBJVLw0cenTjxY4a r6PYSQtfz5YLHGd2NPumWJ99K0bsYxNIwXSSgUCqg2nIKvh4f7lbgohJk9FtIFTwhRHW5fVVoXMT TrTDsUpWcAnFXCtwKXW5lLF26HWchA6Jb5+h9zqx7K00vT5xuW/lfZY9Sq8b4g9Od/jssD5Wg1ew Hcb926uTKG3aVHazwOP2G5W6vZlmTyASntNfGC74jA4lMx3CQCaKlvVswVuSgtnDHMQl8GscFCzn K5BlIf8vKH8AUEsDBBQAAAAIAIdO4kDKZDVd6gEAAN4DAAAOAAAAZHJzL2Uyb0RvYy54bWytU0uS 0zAQ3VPFHVTaEyceGChXnFkQhg0FUzVwgI4k26rSr9RKnJyFa7Biw3HmGrRkk8DAYhZ4Ibekp6d+ r1vrm6M17KAiau9avlosOVNOeKld3/Ivn29fvOEMEzgJxjvV8pNCfrN5/mw9hkbVfvBGqsiIxGEz hpYPKYWmqlAMygIufFCONjsfLSSaxr6SEUZit6aql8vravRRhuiFQqTV7bTJZ8b4FELfdVqorRd7 q1yaWKMykEgSDjog35Rsu06J9KnrUCVmWk5KUxnpEop3eaw2a2j6CGHQYk4BnpLCI00WtKNLz1Rb SMD2Uf9FZbWIHn2XFsLbahJSHCEVq+Ujb+4HCKpoIasxnE3H/0crPh7uItOSOuGaMweWKv7w9dvD 9x+sXmV3xoANge7DXZxnSGGWeuyizX8SwY7F0dPZUXVMTEyLglavVi+v6leZrrqcCxHTe+Uty0HL jXZZKzRw+IBpgv6C5GXj2EhZ1q+XVDsB1HkdVZxCGyh7dH05jN5oeauNyUcw9ru3JrID5OqXb87h D1i+ZQs4TLiylWHQDArkOydZOgWyxdFz4DkHqyRnRtHryVFBJtDmgoQY/fhvKOk3jmzItk5G5mjn 5YnKsA9R9wN5UZwvGCp7MW1u0dxXv88L0+VZbn4C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AAAAAGRycy9QSwECFAAUAAAACACHTuJAn1g0 SNcAAAAJAQAADwAAAAAAAAABACAAAAAiAAAAZHJzL2Rvd25yZXYueG1sUEsBAhQAFAAAAAgAh07i QMpkNV3qAQAA3gMAAA4AAAAAAAAAAQAgAAAAJgEAAGRycy9lMm9Eb2MueG1sUEsFBgAAAAAGAAYA WQEAAIIFA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175260</wp:posOffset>
                </wp:positionV>
                <wp:extent cx="1371600" cy="396240"/>
                <wp:effectExtent l="4445" t="4445" r="14605" b="18415"/>
                <wp:wrapNone/>
                <wp:docPr id="22" name="矩形 27"/>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sz w:val="24"/>
                              </w:rPr>
                            </w:pPr>
                            <w:r>
                              <w:rPr>
                                <w:rFonts w:hint="eastAsia" w:ascii="宋体" w:hAnsi="宋体"/>
                                <w:sz w:val="24"/>
                              </w:rPr>
                              <w:t>反渗透(RO)系统</w:t>
                            </w:r>
                          </w:p>
                          <w:p>
                            <w:pPr>
                              <w:rPr>
                                <w:rFonts w:ascii="宋体" w:hAnsi="宋体"/>
                                <w:sz w:val="28"/>
                                <w:szCs w:val="28"/>
                              </w:rPr>
                            </w:pPr>
                          </w:p>
                        </w:txbxContent>
                      </wps:txbx>
                      <wps:bodyPr wrap="square" upright="1"/>
                    </wps:wsp>
                  </a:graphicData>
                </a:graphic>
              </wp:anchor>
            </w:drawing>
          </mc:Choice>
          <mc:Fallback>
            <w:pict>
              <v:rect id="矩形 27" o:spid="_x0000_s1026" o:spt="1" style="position:absolute;left:0pt;margin-left:252pt;margin-top:13.8pt;height:31.2pt;width:108pt;z-index:251680768;mso-width-relative:page;mso-height-relative:page;" fillcolor="#FFFFFF" filled="t" stroked="t" coordsize="21600,21600" o:gfxdata="UEsDBAoAAAAAAIdO4kAAAAAAAAAAAAAAAAAEAAAAZHJzL1BLAwQUAAAACACHTuJAPwCUftcAAAAJ AQAADwAAAGRycy9kb3ducmV2LnhtbE2PsU7DQBBEeyT+4bRIdOQuBhJifE4BChJl4jR0a3uxDb49 y3dODF/PUkG1Gu1o5k22nV2vTjSGzrOF5cKAIq583XFj4Vjsbh5AhYhcY++ZLHxRgG1+eZFhWvsz 7+l0iI2SEA4pWmhjHFKtQ9WSw7DwA7H83v3oMIocG12PeJZw1+vEmJV22LE0tDjQU0vV52FyFsou OeL3vngxbrO7ja9z8TG9PVt7fbU0j6AizfHPDL/4gg65MJV+4jqo3sK9uZMt0UKyXoESw1r6QJUW NnJ1nun/C/IfUEsDBBQAAAAIAIdO4kClKJyvDwIAADkEAAAOAAAAZHJzL2Uyb0RvYy54bWytU82O 0zAQviPxDpbvNGmW7bJR0z1QygXBSgsPMLWdxJL/sN0mfRokbjwEj4N4jR07pfsDhx7IwZmxx9/M 9814eTNqRfbCB2lNQ+ezkhJhmOXSdA398nnz6g0lIYLhoKwRDT2IQG9WL18sB1eLyvZWceEJgphQ D66hfYyuLorAeqEhzKwTBg9b6zVEdH1XcA8DomtVVGW5KAbrufOWiRBwdz0d0iOiPwfQtq1kYm3Z TgsTJ1QvFESkFHrpAl3lattWsPipbYOIRDUUmca8YhK0t2ktVkuoOw+ul+xYApxTwjNOGqTBpCeo NUQgOy//gtKSeRtsG2fM6mIikhVBFvPymTZ3PTiRuaDUwZ1ED/8Pln3c33oieUOrihIDGjv++9uP Xz+/k+oqqTO4UGPQnbv1Ry+gmaiOrdfpjyTImBU9nBQVYyQMN+cXV/NFiWIzPLu4XlSvs+TFw23n Q3wvrCbJaKjHjmUhYf8hRMyIoX9CUrJgleQbqVR2fLd9qzzZA3Z3k79UMl55EqYMGRp6fVldYh2A I9viqKCpHdIOpsv5ntwIj4HL/P0LOBW2htBPBWSEFAa1llEkuaDuBfB3hpN4cKiswRdFUzFacEqU wAeYrBwZQapzIpGdMkgyNWZqRbLiuB0RJplbyw/Y0wGHGul93YHHnDvnZdejwPNMJMXhRGWtjtOf Rvaxn1M8vPjVP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D8AlH7XAAAACQEAAA8AAAAAAAAAAQAg AAAAIgAAAGRycy9kb3ducmV2LnhtbFBLAQIUABQAAAAIAIdO4kClKJyvDwIAADkEAAAOAAAAAAAA AAEAIAAAACYBAABkcnMvZTJvRG9jLnhtbFBLBQYAAAAABgAGAFkBAACnBQAAAAA= ">
                <v:fill on="t" focussize="0,0"/>
                <v:stroke color="#000000" joinstyle="miter"/>
                <v:imagedata o:title=""/>
                <o:lock v:ext="edit" aspectratio="f"/>
                <v:textbox>
                  <w:txbxContent>
                    <w:p>
                      <w:pPr>
                        <w:spacing w:line="400" w:lineRule="exact"/>
                        <w:jc w:val="center"/>
                        <w:rPr>
                          <w:sz w:val="24"/>
                        </w:rPr>
                      </w:pPr>
                      <w:r>
                        <w:rPr>
                          <w:rFonts w:hint="eastAsia" w:ascii="宋体" w:hAnsi="宋体"/>
                          <w:sz w:val="24"/>
                        </w:rPr>
                        <w:t>反渗透(RO)系统</w:t>
                      </w:r>
                    </w:p>
                    <w:p>
                      <w:pPr>
                        <w:rPr>
                          <w:rFonts w:ascii="宋体" w:hAnsi="宋体"/>
                          <w:sz w:val="28"/>
                          <w:szCs w:val="28"/>
                        </w:rPr>
                      </w:pPr>
                    </w:p>
                  </w:txbxContent>
                </v:textbox>
              </v:rect>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91008" behindDoc="0" locked="0" layoutInCell="1" allowOverlap="1">
                <wp:simplePos x="0" y="0"/>
                <wp:positionH relativeFrom="column">
                  <wp:posOffset>3886200</wp:posOffset>
                </wp:positionH>
                <wp:positionV relativeFrom="paragraph">
                  <wp:posOffset>269240</wp:posOffset>
                </wp:positionV>
                <wp:extent cx="0" cy="221615"/>
                <wp:effectExtent l="50800" t="0" r="63500" b="6985"/>
                <wp:wrapNone/>
                <wp:docPr id="32" name="直线 37"/>
                <wp:cNvGraphicFramePr/>
                <a:graphic xmlns:a="http://schemas.openxmlformats.org/drawingml/2006/main">
                  <a:graphicData uri="http://schemas.microsoft.com/office/word/2010/wordprocessingShape">
                    <wps:wsp>
                      <wps:cNvSpPr/>
                      <wps:spPr>
                        <a:xfrm>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37" o:spid="_x0000_s1026" o:spt="20" style="position:absolute;left:0pt;margin-left:306pt;margin-top:21.2pt;height:17.45pt;width:0pt;z-index:251691008;mso-width-relative:page;mso-height-relative:page;" filled="f" stroked="t" coordsize="21600,21600" o:gfxdata="UEsDBAoAAAAAAIdO4kAAAAAAAAAAAAAAAAAEAAAAZHJzL1BLAwQUAAAACACHTuJABoVo+tYAAAAJ AQAADwAAAGRycy9kb3ducmV2LnhtbE2PwU7DMBBE70j8g7VI3KiTUDUoZNMDEkhUvRA4cHTjxY4a r6PYSQtfjxEHOM7OaPZNvT27QSw0hd4zQr7KQBB3XvdsEN5eH2/uQISoWKvBMyF8UoBtc3lRq0r7 E7/Q0kYjUgmHSiHYGMdKytBZciqs/EicvA8/ORWTnIzUkzqlcjfIIss20qme0werRnqw1B3b2SHs 5+X9+clKkibuWrMr6bj/IsTrqzy7BxHpHP/C8IOf0KFJTAc/sw5iQNjkRdoSEdbFGkQK/B4OCGV5 C7Kp5f8FzTdQSwMEFAAAAAgAh07iQChiaUHrAQAA3gMAAA4AAABkcnMvZTJvRG9jLnhtbK1TzY7T MBC+I/EOlu80bVbsoqjpHijLBcFKCw8wtZ3Ekv/kcZv2WXgNTlx4nH0Nxk5oYeGwB3Jwxvbnz/N9 M17fHq1hBxVRe9fy1WLJmXLCS+36ln/5fPfqDWeYwEkw3qmWnxTy283LF+sxNKr2gzdSRUYkDpsx tHxIKTRVhWJQFnDhg3K02floIdE09pWMMBK7NVW9XF5Xo48yRC8UIq1up00+M8bnEPqu00Jtvdhb 5dLEGpWBRJJw0AH5pmTbdUqkT12HKjHTclKaykiXULzLY7VZQ9NHCIMWcwrwnBSeaLKgHV16ptpC AraP+i8qq0X06Lu0EN5Wk5DiCKlYLZ948zBAUEULWY3hbDr+P1rx8XAfmZYtv6o5c2Cp4o9fvz1+ /8GubrI7Y8CGQA/hPs4zpDBLPXbR5j+JYMfi6OnsqDomJqZFQat1vbpevc501eVciJjeK29ZDlpu tMtaoYHDB0wT9BckLxvHRurX+mZJtRNAnddRxSm0gbJH15fD6I2Wd9qYfARjv3trIjtArn755hz+ gOVbtoDDhCtbGQbNoEC+c5KlUyBbHD0HnnOwSnJmFL2eHBVkAm0uSIjRj/+Gkn7jyIZs62RkjnZe nqgM+xB1P5AXq5Jm3qGyF9PmFs199fu8MF2e5eYn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AAAAAGRycy9QSwECFAAUAAAACACHTuJABoVo +tYAAAAJAQAADwAAAAAAAAABACAAAAAiAAAAZHJzL2Rvd25yZXYueG1sUEsBAhQAFAAAAAgAh07i QChiaUHrAQAA3gMAAA4AAAAAAAAAAQAgAAAAJQEAAGRycy9lMm9Eb2MueG1sUEsFBgAAAAAGAAYA WQEAAIIFA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203835</wp:posOffset>
                </wp:positionV>
                <wp:extent cx="1257300" cy="396240"/>
                <wp:effectExtent l="5080" t="4445" r="13970" b="18415"/>
                <wp:wrapNone/>
                <wp:docPr id="13" name="矩形 18"/>
                <wp:cNvGraphicFramePr/>
                <a:graphic xmlns:a="http://schemas.openxmlformats.org/drawingml/2006/main">
                  <a:graphicData uri="http://schemas.microsoft.com/office/word/2010/wordprocessingShape">
                    <wps:wsp>
                      <wps:cNvSpPr/>
                      <wps:spPr>
                        <a:xfrm>
                          <a:off x="0" y="0"/>
                          <a:ext cx="1257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宋体" w:hAnsi="宋体"/>
                                <w:sz w:val="24"/>
                              </w:rPr>
                            </w:pPr>
                            <w:r>
                              <w:rPr>
                                <w:rFonts w:hint="eastAsia" w:ascii="宋体" w:hAnsi="宋体"/>
                                <w:sz w:val="24"/>
                              </w:rPr>
                              <w:t>一级N罐</w:t>
                            </w:r>
                          </w:p>
                        </w:txbxContent>
                      </wps:txbx>
                      <wps:bodyPr wrap="square" upright="1"/>
                    </wps:wsp>
                  </a:graphicData>
                </a:graphic>
              </wp:anchor>
            </w:drawing>
          </mc:Choice>
          <mc:Fallback>
            <w:pict>
              <v:rect id="矩形 18" o:spid="_x0000_s1026" o:spt="1" style="position:absolute;left:0pt;margin-left:18pt;margin-top:16.05pt;height:31.2pt;width:99pt;z-index:251671552;mso-width-relative:page;mso-height-relative:page;" fillcolor="#FFFFFF" filled="t" stroked="t" coordsize="21600,21600" o:gfxdata="UEsDBAoAAAAAAIdO4kAAAAAAAAAAAAAAAAAEAAAAZHJzL1BLAwQUAAAACACHTuJApBTYxdcAAAAI AQAADwAAAGRycy9kb3ducmV2LnhtbE2PMU/DMBCFdyT+g3VIbNROUioa4nQAFYmxTRc2Jz6SQHyO YqcN/HqOCabT3Xt6971it7hBnHEKvScNyUqBQGq87anVcKr2dw8gQjRkzeAJNXxhgF15fVWY3PoL HfB8jK3gEAq50dDFOOZShqZDZ8LKj0isvfvJmcjr1Eo7mQuHu0GmSm2kMz3xh86M+NRh83mcnYa6 T0/m+1C9KLfdZ/F1qT7mt2etb28S9Qgi4hL/zPCLz+hQMlPtZ7JBDBqyDVeJPNMEBOtptuZDrWG7 vgdZFvJ/gfIHUEsDBBQAAAAIAIdO4kA3zmqVDwIAADkEAAAOAAAAZHJzL2Uyb0RvYy54bWytU82O 0zAQviPxDpbvNGlLl92o6R4o5YJgpYUHmDpOYsl/eNwmfRokbjwEj4N4jR27pfsDhz2QgzNjj7+Z 75vx8no0mu1lQOVszaeTkjNphWuU7Wr+5fPm1SVnGME2oJ2VNT9I5Nerly+Wg6/kzPVONzIwArFY Db7mfYy+KgoUvTSAE+elpcPWBQOR3NAVTYCB0I0uZmV5UQwuND44IRFpd3085CfE8BxA17ZKyLUT OyNtPKIGqSESJeyVR77K1batFPFT26KMTNecmMa8UhKyt2ktVkuougC+V+JUAjynhCecDChLSc9Q a4jAdkH9BWWUCA5dGyfCmeJIJCtCLKblE21ue/AycyGp0Z9Fx/8HKz7ubwJTDU3CnDMLhjr++9uP Xz+/s+llUmfwWFHQrb8JJw/JTFTHNpj0JxJszIoezorKMTJBm9PZ4s28JLEFnc2vLmavs+TF/W0f ML6XzrBk1DxQx7KQsP+AkTJS6J+QlAydVs1GaZ2d0G3f6sD2QN3d5C+VTFcehWnLhppfLWYLqgNo ZFsaFTKNJ9pou5zv0Q18CFzm71/AqbA1YH8sICOkMKiMijLJBVUvoXlnGxYPnpS19KJ4KsbIhjMt 6QEmK0dGUPo5kcROWyKZGnNsRbLiuB0JJplb1xyopwMNNdH7uoNAOXc+qK4ngaeZSIqjicpanaY/ jexDP6e4f/GrO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KQU2MXXAAAACAEAAA8AAAAAAAAAAQAg AAAAIgAAAGRycy9kb3ducmV2LnhtbFBLAQIUABQAAAAIAIdO4kA3zmqVDwIAADkEAAAOAAAAAAAA AAEAIAAAACYBAABkcnMvZTJvRG9jLnhtbFBLBQYAAAAABgAGAFkBAACnBQAAAAA= ">
                <v:fill on="t" focussize="0,0"/>
                <v:stroke color="#000000" joinstyle="miter"/>
                <v:imagedata o:title=""/>
                <o:lock v:ext="edit" aspectratio="f"/>
                <v:textbox>
                  <w:txbxContent>
                    <w:p>
                      <w:pPr>
                        <w:spacing w:line="400" w:lineRule="exact"/>
                        <w:jc w:val="center"/>
                        <w:rPr>
                          <w:rFonts w:ascii="宋体" w:hAnsi="宋体"/>
                          <w:sz w:val="24"/>
                        </w:rPr>
                      </w:pPr>
                      <w:r>
                        <w:rPr>
                          <w:rFonts w:hint="eastAsia" w:ascii="宋体" w:hAnsi="宋体"/>
                          <w:sz w:val="24"/>
                        </w:rPr>
                        <w:t>一级N罐</w:t>
                      </w:r>
                    </w:p>
                  </w:txbxContent>
                </v:textbox>
              </v:rect>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94080" behindDoc="0" locked="0" layoutInCell="1" allowOverlap="1">
                <wp:simplePos x="0" y="0"/>
                <wp:positionH relativeFrom="column">
                  <wp:posOffset>3200400</wp:posOffset>
                </wp:positionH>
                <wp:positionV relativeFrom="paragraph">
                  <wp:posOffset>186690</wp:posOffset>
                </wp:positionV>
                <wp:extent cx="1371600" cy="396240"/>
                <wp:effectExtent l="4445" t="4445" r="14605" b="18415"/>
                <wp:wrapNone/>
                <wp:docPr id="35" name="矩形 97"/>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sz w:val="24"/>
                              </w:rPr>
                            </w:pPr>
                            <w:r>
                              <w:rPr>
                                <w:rFonts w:hint="eastAsia" w:ascii="宋体" w:hAnsi="宋体"/>
                                <w:sz w:val="24"/>
                              </w:rPr>
                              <w:t>自养反硝化系统</w:t>
                            </w:r>
                          </w:p>
                          <w:p>
                            <w:pPr>
                              <w:rPr>
                                <w:rFonts w:ascii="宋体" w:hAnsi="宋体"/>
                                <w:sz w:val="28"/>
                                <w:szCs w:val="28"/>
                              </w:rPr>
                            </w:pPr>
                          </w:p>
                        </w:txbxContent>
                      </wps:txbx>
                      <wps:bodyPr wrap="square" upright="1"/>
                    </wps:wsp>
                  </a:graphicData>
                </a:graphic>
              </wp:anchor>
            </w:drawing>
          </mc:Choice>
          <mc:Fallback>
            <w:pict>
              <v:rect id="矩形 97" o:spid="_x0000_s1026" o:spt="1" style="position:absolute;left:0pt;margin-left:252pt;margin-top:14.7pt;height:31.2pt;width:108pt;z-index:251694080;mso-width-relative:page;mso-height-relative:page;" fillcolor="#FFFFFF" filled="t" stroked="t" coordsize="21600,21600" o:gfxdata="UEsDBAoAAAAAAIdO4kAAAAAAAAAAAAAAAAAEAAAAZHJzL1BLAwQUAAAACACHTuJAKVqmi9cAAAAJ AQAADwAAAGRycy9kb3ducmV2LnhtbE2PMU/DMBSEdyT+g/WQ2KidUKAJcTqAisTYpgvbS/xIArEd xU4b+PU8JhhPd7r7rtgudhAnmkLvnYZkpUCQa7zpXavhWO1uNiBCRGdw8I40fFGAbXl5UWBu/Nnt 6XSIreASF3LU0MU45lKGpiOLYeVHcuy9+8liZDm10kx45nI7yFSpe2mxd7zQ4UhPHTWfh9lqqPv0 iN/76kXZbHcbX5fqY3571vr6KlGPICIt8S8Mv/iMDiUz1X52JohBw51a85eoIc3WIDjwwHsgag1Z sgFZFvL/g/IHUEsDBBQAAAAIAIdO4kAEJa6KDwIAADkEAAAOAAAAZHJzL2Uyb0RvYy54bWytU82O 0zAQviPxDpbvNGnLdmnUdA+UckGw0sIDTG0nseQ/bLdJnwaJGw/B4yBeY8dO6f7AoQdycGbs8Tfz fTNe3QxakYPwQVpT0+mkpEQYZrk0bU2/fN6+ekNJiGA4KGtETY8i0Jv1yxer3lViZjuruPAEQUyo elfTLkZXFUVgndAQJtYJg4eN9Roiur4tuIce0bUqZmW5KHrrufOWiRBwdzMe0hOivwTQNo1kYmPZ XgsTR1QvFESkFDrpAl3naptGsPipaYKIRNUUmca8YhK0d2kt1iuoWg+uk+xUAlxSwjNOGqTBpGeo DUQgey//gtKSeRtsEyfM6mIkkhVBFtPymTZ3HTiRuaDUwZ1FD/8Pln083HoieU3nV5QY0Njx399+ /Pr5nSyvkzq9CxUG3blbf/ICmonq0Hid/kiCDFnR41lRMUTCcHM6v54uShSb4dl8uZi9zpIXD7ed D/G9sJoko6YeO5aFhMOHEDEjhv4JScmCVZJvpVLZ8e3urfLkANjdbf5SyXjlSZgypK/p8mqGDBng yDY4Kmhqh7SDaXO+JzfCY+Ayf/8CToVtIHRjARkhhUGlZRRJLqg6Afyd4SQeHSpr8EXRVIwWnBIl 8AEmK0dGkOqSSGSnDJJMjRlbkaw47AaESebO8iP2tMehRnpf9+Ax59552XYo8DQTSXE4UVmr0/Sn kX3s5xQPL359D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H8EAABbQ29udGVudF9UeXBlc10ueG1sUEsBAhQACgAAAAAAh07iQAAAAAAAAAAAAAAA AAYAAAAAAAAAAAAQAAAAYQMAAF9yZWxzL1BLAQIUABQAAAAIAIdO4kCKFGY80QAAAJQBAAALAAAA AAAAAAEAIAAAAIUDAABfcmVscy8ucmVsc1BLAQIUAAoAAAAAAIdO4kAAAAAAAAAAAAAAAAAEAAAA AAAAAAAAEAAAAAAAAABkcnMvUEsBAhQAFAAAAAgAh07iQClapovXAAAACQEAAA8AAAAAAAAAAQAg AAAAIgAAAGRycy9kb3ducmV2LnhtbFBLAQIUABQAAAAIAIdO4kAEJa6KDwIAADkEAAAOAAAAAAAA AAEAIAAAACYBAABkcnMvZTJvRG9jLnhtbFBLBQYAAAAABgAGAFkBAACnBQAAAAA= ">
                <v:fill on="t" focussize="0,0"/>
                <v:stroke color="#000000" joinstyle="miter"/>
                <v:imagedata o:title=""/>
                <o:lock v:ext="edit" aspectratio="f"/>
                <v:textbox>
                  <w:txbxContent>
                    <w:p>
                      <w:pPr>
                        <w:spacing w:line="400" w:lineRule="exact"/>
                        <w:jc w:val="center"/>
                        <w:rPr>
                          <w:sz w:val="24"/>
                        </w:rPr>
                      </w:pPr>
                      <w:r>
                        <w:rPr>
                          <w:rFonts w:hint="eastAsia" w:ascii="宋体" w:hAnsi="宋体"/>
                          <w:sz w:val="24"/>
                        </w:rPr>
                        <w:t>自养反硝化系统</w:t>
                      </w:r>
                    </w:p>
                    <w:p>
                      <w:pPr>
                        <w:rPr>
                          <w:rFonts w:ascii="宋体" w:hAnsi="宋体"/>
                          <w:sz w:val="28"/>
                          <w:szCs w:val="28"/>
                        </w:rPr>
                      </w:pPr>
                    </w:p>
                  </w:txbxContent>
                </v:textbox>
              </v:rect>
            </w:pict>
          </mc:Fallback>
        </mc:AlternateContent>
      </w:r>
      <w:r>
        <w:rPr>
          <w:rFonts w:hint="eastAsia" w:ascii="宋体" w:hAnsi="宋体" w:cs="宋体"/>
          <w:b/>
          <w:bCs/>
          <w:color w:val="auto"/>
          <w:szCs w:val="21"/>
        </w:rPr>
        <mc:AlternateContent>
          <mc:Choice Requires="wps">
            <w:drawing>
              <wp:anchor distT="0" distB="0" distL="114300" distR="114300" simplePos="0" relativeHeight="251677696" behindDoc="0" locked="0" layoutInCell="1" allowOverlap="1">
                <wp:simplePos x="0" y="0"/>
                <wp:positionH relativeFrom="column">
                  <wp:posOffset>869950</wp:posOffset>
                </wp:positionH>
                <wp:positionV relativeFrom="paragraph">
                  <wp:posOffset>269240</wp:posOffset>
                </wp:positionV>
                <wp:extent cx="0" cy="313690"/>
                <wp:effectExtent l="50800" t="0" r="63500" b="10160"/>
                <wp:wrapNone/>
                <wp:docPr id="19" name="直线 24"/>
                <wp:cNvGraphicFramePr/>
                <a:graphic xmlns:a="http://schemas.openxmlformats.org/drawingml/2006/main">
                  <a:graphicData uri="http://schemas.microsoft.com/office/word/2010/wordprocessingShape">
                    <wps:wsp>
                      <wps:cNvSpPr/>
                      <wps:spPr>
                        <a:xfrm>
                          <a:off x="0" y="0"/>
                          <a:ext cx="0" cy="31369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margin-left:68.5pt;margin-top:21.2pt;height:24.7pt;width:0pt;z-index:251677696;mso-width-relative:page;mso-height-relative:page;" filled="f" stroked="t" coordsize="21600,21600" o:gfxdata="UEsDBAoAAAAAAIdO4kAAAAAAAAAAAAAAAAAEAAAAZHJzL1BLAwQUAAAACACHTuJAtR/sCdYAAAAJ AQAADwAAAGRycy9kb3ducmV2LnhtbE2PwU7DMBBE70j8g7VI3KiTUtE2xOkBCSSqXggcOLrx1o4a r6N4kxa+HpcLHGd2NPum3Jx9JyYcYhtIQT7LQCA1wbRkFXy8P9+tQETWZHQXCBV8YYRNdX1V6sKE E73hVLMVqYRioRU45r6QMjYOvY6z0COl2yEMXnOSg5Vm0KdU7js5z7IH6XVL6YPTPT45bI716BXs xunz9cVJlJa3td0u8bj7RqVub/LsEQTjmf/CcMFP6FAlpn0YyUTRJX2/TFtYwWK+AHEJ/Bp7Bet8 BbIq5f8F1Q9QSwMEFAAAAAgAh07iQDENa63uAQAA3gMAAA4AAABkcnMvZTJvRG9jLnhtbK1TS3IT MRDdU8UdVNrjGTtUIFMeZ4EJGwpSlXCAtqSZUZV+pZY99lm4Bis2HCfXoKUxNiRZZIEX45bUev3e 69byem8N26mI2ruWz2c1Z8oJL7XrW/7t/ubNe84wgZNgvFMtPyjk16vXr5ZjaNTCD95IFRmBOGzG 0PIhpdBUFYpBWcCZD8rRYeejhUTL2Fcywkjo1lSLur6sRh9liF4oRNpdT4f8iBhfAui7Tgu19mJr lUsTalQGEknCQQfkq8K265RIX7sOVWKm5aQ0lS8VoXiTv9VqCU0fIQxaHCnASyg80mRBOyp6glpD AraN+gmU1SJ69F2aCW+rSUhxhFTM60fe3A0QVNFCVmM4mY7/D1Z82d1GpiVNwhVnDix1/OH7j4ef v9jibXZnDNhQ0l24jccVUpil7rto8z+JYPvi6OHkqNonJqZNQbsX84vLq2J2db4XIqZPyluWg5Yb 7bJWaGD3GRPVotQ/KXnbODYSy8W7mnongCavo45TaAOxR9eXy+iNljfamHwFY7/5YCLbQe5++WVJ BPxPWq6yBhymvHI0zcWgQH50kqVDIFscPQeeOVglOTOKXk+OCBCaBNqcMyFGPz6fSrWNIwrZ1snI HG28PFAbtiHqfiAv5oVmPqG2F8LHEc1z9fe6IJ2f5eo3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tR/sCdYAAAAJAQAADwAAAAAAAAABACAAAAAiAAAAZHJzL2Rvd25yZXYueG1sUEsBAhQAFAAAAAgA h07iQDENa63uAQAA3gMAAA4AAAAAAAAAAQAgAAAAJQEAAGRycy9lMm9Eb2MueG1sUEsFBgAAAAAG AAYAWQEAAIUFAAAAAA== ">
                <v:fill on="f" focussize="0,0"/>
                <v:stroke weight="1pt" color="#000000" joinstyle="round" endarrow="open"/>
                <v:imagedata o:title=""/>
                <o:lock v:ext="edit" aspectratio="f"/>
              </v:line>
            </w:pict>
          </mc:Fallback>
        </mc:AlternateContent>
      </w:r>
    </w:p>
    <w:p>
      <w:pPr>
        <w:spacing w:line="360" w:lineRule="auto"/>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95104" behindDoc="0" locked="0" layoutInCell="1" allowOverlap="1">
                <wp:simplePos x="0" y="0"/>
                <wp:positionH relativeFrom="column">
                  <wp:posOffset>3886200</wp:posOffset>
                </wp:positionH>
                <wp:positionV relativeFrom="paragraph">
                  <wp:posOffset>280035</wp:posOffset>
                </wp:positionV>
                <wp:extent cx="0" cy="297180"/>
                <wp:effectExtent l="50800" t="0" r="63500" b="7620"/>
                <wp:wrapNone/>
                <wp:docPr id="36" name="直线 99"/>
                <wp:cNvGraphicFramePr/>
                <a:graphic xmlns:a="http://schemas.openxmlformats.org/drawingml/2006/main">
                  <a:graphicData uri="http://schemas.microsoft.com/office/word/2010/wordprocessingShape">
                    <wps:wsp>
                      <wps:cNvSpPr/>
                      <wps:spPr>
                        <a:xfrm>
                          <a:off x="0" y="0"/>
                          <a:ext cx="0" cy="29718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直线 99" o:spid="_x0000_s1026" o:spt="20" style="position:absolute;left:0pt;margin-left:306pt;margin-top:22.05pt;height:23.4pt;width:0pt;z-index:251695104;mso-width-relative:page;mso-height-relative:page;" filled="f" stroked="t" coordsize="21600,21600" o:gfxdata="UEsDBAoAAAAAAIdO4kAAAAAAAAAAAAAAAAAEAAAAZHJzL1BLAwQUAAAACACHTuJAk8YUrNYAAAAJ AQAADwAAAGRycy9kb3ducmV2LnhtbE2PwU7DMBBE70j8g7VI3Kidqio0ZNMDEkhUvRA4cHTjxY4a r6PYSQtfjxEHOM7OaPZNtT37Xsw0xi4wQrFQIIjbYDq2CG+vjzd3IGLSbHQfmBA+KcK2vryodGnC iV9obpIVuYRjqRFcSkMpZWwdeR0XYSDO3kcYvU5ZjlaaUZ9yue/lUqm19Lrj/MHpgR4ctcdm8gj7 aX5/fnKSpE27xu5u6bj/IsTrq0Ldg0h0Tn9h+MHP6FBnpkOY2ETRI6yLZd6SEFarAkQO/B4OCBu1 AVlX8v+C+htQSwMEFAAAAAgAh07iQF9VCQ7vAQAA3gMAAA4AAABkcnMvZTJvRG9jLnhtbK1TzY7T MBC+I/EOlu80aZF2t1HTPVCWC4KVln2Aqe0klvwnj9u0z8JrcOLC4+xrMHZKCwuHPZCDMx6Pv5nv m/Hq9mAN26uI2ruWz2c1Z8oJL7XrW/745e7NDWeYwEkw3qmWHxXy2/XrV6sxNGrhB2+kioxAHDZj aPmQUmiqCsWgLODMB+XosPPRQqJt7CsZYSR0a6pFXV9Vo48yRC8UInk30yE/IcaXAPqu00JtvNhZ 5dKEGpWBRJRw0AH5ulTbdUqkz12HKjHTcmKaykpJyN7mtVqvoOkjhEGLUwnwkhKecbKgHSU9Q20g AdtF/ReU1SJ69F2aCW+riUhRhFjM62faPAwQVOFCUmM4i47/D1Z82t9HpmXL315x5sBSx5++fnv6 /oMtl1mdMWBDQQ/hPp52SGameuiizX8iwQ5F0eNZUXVITExOQd7F8np+U8SuLvdCxPRBecuy0XKj XeYKDew/YqJcFPorJLuNYyPN6+K6pt4JoMnrqONk2kDVo+vLZfRGyzttTL6Csd++M5HtIXe/fJkS Af8RlrNsAIcprhxNczEokO+dZOkYSBZHz4HnGqySnBlFrydbBAhNAm0ukRCjH/8dSrmNoxKyrJOQ 2dp6eaQ27ELU/UBazEuZ+YTaXgo+jWieq9/3BenyLNc/AV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F4EAABbQ29udGVudF9UeXBlc10ueG1sUEsB AhQACgAAAAAAh07iQAAAAAAAAAAAAAAAAAYAAAAAAAAAAAAQAAAAQAMAAF9yZWxzL1BLAQIUABQA AAAIAIdO4kCKFGY80QAAAJQBAAALAAAAAAAAAAEAIAAAAGQDAABfcmVscy8ucmVsc1BLAQIUAAoA AAAAAIdO4kAAAAAAAAAAAAAAAAAEAAAAAAAAAAAAEAAAAAAAAABkcnMvUEsBAhQAFAAAAAgAh07i QJPGFKzWAAAACQEAAA8AAAAAAAAAAQAgAAAAIgAAAGRycy9kb3ducmV2LnhtbFBLAQIUABQAAAAI AIdO4kBfVQkO7wEAAN4DAAAOAAAAAAAAAAEAIAAAACUBAABkcnMvZTJvRG9jLnhtbFBLBQYAAAAA BgAGAFkBAACGBQAAAAA= ">
                <v:fill on="f" focussize="0,0"/>
                <v:stroke weight="1pt" color="#000000" joinstyle="round" endarrow="open"/>
                <v:imagedata o:title=""/>
                <o:lock v:ext="edit" aspectratio="f"/>
              </v:line>
            </w:pict>
          </mc:Fallback>
        </mc:AlternateContent>
      </w:r>
      <w:r>
        <w:rPr>
          <w:rFonts w:hint="eastAsia" w:ascii="宋体" w:hAnsi="宋体" w:cs="宋体"/>
          <w:b/>
          <w:bCs/>
          <w:color w:val="auto"/>
          <w:szCs w:val="21"/>
        </w:rP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280035</wp:posOffset>
                </wp:positionV>
                <wp:extent cx="1257300" cy="374015"/>
                <wp:effectExtent l="5080" t="4445" r="13970" b="21590"/>
                <wp:wrapNone/>
                <wp:docPr id="17" name="矩形 22"/>
                <wp:cNvGraphicFramePr/>
                <a:graphic xmlns:a="http://schemas.openxmlformats.org/drawingml/2006/main">
                  <a:graphicData uri="http://schemas.microsoft.com/office/word/2010/wordprocessingShape">
                    <wps:wsp>
                      <wps:cNvSpPr/>
                      <wps:spPr>
                        <a:xfrm>
                          <a:off x="0" y="0"/>
                          <a:ext cx="1257300" cy="374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宋体" w:hAnsi="宋体"/>
                                <w:sz w:val="24"/>
                              </w:rPr>
                            </w:pPr>
                            <w:r>
                              <w:rPr>
                                <w:rFonts w:hint="eastAsia" w:ascii="宋体" w:hAnsi="宋体"/>
                                <w:sz w:val="24"/>
                              </w:rPr>
                              <w:t>缓冲池</w:t>
                            </w:r>
                          </w:p>
                        </w:txbxContent>
                      </wps:txbx>
                      <wps:bodyPr wrap="square" upright="1"/>
                    </wps:wsp>
                  </a:graphicData>
                </a:graphic>
              </wp:anchor>
            </w:drawing>
          </mc:Choice>
          <mc:Fallback>
            <w:pict>
              <v:rect id="矩形 22" o:spid="_x0000_s1026" o:spt="1" style="position:absolute;left:0pt;margin-left:18pt;margin-top:22.05pt;height:29.45pt;width:99pt;z-index:251675648;mso-width-relative:page;mso-height-relative:page;" fillcolor="#FFFFFF" filled="t" stroked="t" coordsize="21600,21600" o:gfxdata="UEsDBAoAAAAAAIdO4kAAAAAAAAAAAAAAAAAEAAAAZHJzL1BLAwQUAAAACACHTuJA2camT9YAAAAJ AQAADwAAAGRycy9kb3ducmV2LnhtbE2PzU7DMBCE70i8g7VI3KidH1UQ4vQAKhLHNr1w28RLEojt KHbawNOznOC4M6PZb8rdakdxpjkM3mlINgoEudabwXUaTvX+7h5EiOgMjt6Rhi8KsKuur0osjL+4 A52PsRNc4kKBGvoYp0LK0PZkMWz8RI69dz9bjHzOnTQzXrjcjjJVaistDo4/9DjRU0/t53GxGpoh PeH3oX5R9mGfxde1/ljenrW+vUnUI4hIa/wLwy8+o0PFTI1fnAli1JBteUrUkOcJCPbTLGeh4aDK FMiqlP8XVD9QSwMEFAAAAAgAh07iQPBta+MLAgAAOQQAAA4AAABkcnMvZTJvRG9jLnhtbK1TTa7T MBDeI3EHy3uaNI9SiJq+BaVsEDzpwQGmtpNY8h+226SnQWLHITgO4hpv7JS+H1h0QRbOjD3+Zr5v xqvrUStyED5Iaxo6n5WUCMMsl6Zr6JfP2xevKQkRDAdljWjoUQR6vX7+bDW4WlS2t4oLTxDEhHpw De1jdHVRBNYLDWFmnTB42FqvIaLru4J7GBBdq6Iqy1fFYD133jIRAu5upkN6QvSXANq2lUxsLNtr YeKE6oWCiJRCL12g61xt2woWP7VtEJGohiLTmFdMgvYurcV6BXXnwfWSnUqAS0p4wkmDNJj0DLWB CGTv5V9QWjJvg23jjFldTESyIshiXj7R5rYHJzIXlDq4s+jh/8Gyj4cbTyTHSVhSYkBjx39/+/Hr 53dSVUmdwYUag27djT95Ac1EdWy9Tn8kQcas6PGsqBgjYbg5rxbLqxLFZnh2tXxZzhcJtLi/7XyI 74XVJBkN9dixLCQcPoQ4hf4JScmCVZJvpVLZ8d3urfLkANjdbf5O6I/ClCFDQ98sqgXWATiyLY4K mtoh7WC6nO/RjfAQuMzfv4BTYRsI/VRARkhhUGsZhc9WL4C/M5zEo0NlDb4omorRglOiBD7AZOXI CFJdEonaKYMSpsZMrUhWHHcjwiRzZ/kRezrgUCO9r3vwmHPvvOx6FHieiaQ4nKjcidP0p5F96OcU 9y9+fQ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6BAAAW0NvbnRlbnRfVHlwZXNdLnhtbFBLAQIUAAoAAAAAAIdO4kAAAAAAAAAAAAAAAAAGAAAA AAAAAAAAEAAAAFwDAABfcmVscy9QSwECFAAUAAAACACHTuJAihRmPNEAAACUAQAACwAAAAAAAAAB ACAAAACAAwAAX3JlbHMvLnJlbHNQSwECFAAKAAAAAACHTuJAAAAAAAAAAAAAAAAABAAAAAAAAAAA ABAAAAAAAAAAZHJzL1BLAQIUABQAAAAIAIdO4kDZxqZP1gAAAAkBAAAPAAAAAAAAAAEAIAAAACIA AABkcnMvZG93bnJldi54bWxQSwECFAAUAAAACACHTuJA8G1r4wsCAAA5BAAADgAAAAAAAAABACAA AAAlAQAAZHJzL2Uyb0RvYy54bWxQSwUGAAAAAAYABgBZAQAAogUAAAAA ">
                <v:fill on="t" focussize="0,0"/>
                <v:stroke color="#000000" joinstyle="miter"/>
                <v:imagedata o:title=""/>
                <o:lock v:ext="edit" aspectratio="f"/>
                <v:textbox>
                  <w:txbxContent>
                    <w:p>
                      <w:pPr>
                        <w:spacing w:line="400" w:lineRule="exact"/>
                        <w:jc w:val="center"/>
                        <w:rPr>
                          <w:rFonts w:ascii="宋体" w:hAnsi="宋体"/>
                          <w:sz w:val="24"/>
                        </w:rPr>
                      </w:pPr>
                      <w:r>
                        <w:rPr>
                          <w:rFonts w:hint="eastAsia" w:ascii="宋体" w:hAnsi="宋体"/>
                          <w:sz w:val="24"/>
                        </w:rPr>
                        <w:t>缓冲池</w:t>
                      </w:r>
                    </w:p>
                  </w:txbxContent>
                </v:textbox>
              </v:rect>
            </w:pict>
          </mc:Fallback>
        </mc:AlternateContent>
      </w:r>
    </w:p>
    <w:p>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294005</wp:posOffset>
                </wp:positionV>
                <wp:extent cx="1371600" cy="359410"/>
                <wp:effectExtent l="4445" t="4445" r="14605" b="17145"/>
                <wp:wrapNone/>
                <wp:docPr id="8" name="矩形 9"/>
                <wp:cNvGraphicFramePr/>
                <a:graphic xmlns:a="http://schemas.openxmlformats.org/drawingml/2006/main">
                  <a:graphicData uri="http://schemas.microsoft.com/office/word/2010/wordprocessingShape">
                    <wps:wsp>
                      <wps:cNvSpPr/>
                      <wps:spPr>
                        <a:xfrm>
                          <a:off x="0" y="0"/>
                          <a:ext cx="1371600"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sz w:val="24"/>
                              </w:rPr>
                            </w:pPr>
                            <w:r>
                              <w:rPr>
                                <w:rFonts w:hint="eastAsia"/>
                                <w:sz w:val="24"/>
                              </w:rPr>
                              <w:t>清水池出水</w:t>
                            </w:r>
                          </w:p>
                        </w:txbxContent>
                      </wps:txbx>
                      <wps:bodyPr wrap="square" upright="1"/>
                    </wps:wsp>
                  </a:graphicData>
                </a:graphic>
              </wp:anchor>
            </w:drawing>
          </mc:Choice>
          <mc:Fallback>
            <w:pict>
              <v:rect id="矩形 9" o:spid="_x0000_s1026" o:spt="1" style="position:absolute;left:0pt;margin-left:252pt;margin-top:23.15pt;height:28.3pt;width:108pt;z-index:251666432;mso-width-relative:page;mso-height-relative:page;" fillcolor="#FFFFFF" filled="t" stroked="t" coordsize="21600,21600" o:gfxdata="UEsDBAoAAAAAAIdO4kAAAAAAAAAAAAAAAAAEAAAAZHJzL1BLAwQUAAAACACHTuJAGwXlHNgAAAAK AQAADwAAAGRycy9kb3ducmV2LnhtbE2PMU/DMBCFdyT+g3VIbNRuWgpN43QAFYmxTRe2S+wmgfgc xU4b+PUcUxlP9+m972XbyXXibIfQetIwnykQlipvWqo1HIvdwzOIEJEMdp6shm8bYJvf3mSYGn+h vT0fYi04hEKKGpoY+1TKUDXWYZj53hL/Tn5wGPkcamkGvHC462Si1Eo6bIkbGuztS2Orr8PoNJRt csSfffGm3Hq3iO9T8Tl+vGp9fzdXGxDRTvEKw58+q0POTqUfyQTRaXhUS94SNSxXCxAMPHEfiJJJ laxB5pn8PyH/BVBLAwQUAAAACACHTuJAIKLVwg0CAAA3BAAADgAAAGRycy9lMm9Eb2MueG1srVNN rtMwEN4jcQfLe5qkjz5o1PQtKGWD4EkPDjC1ncSS/7DdJj0NEjsOwXEQ12DslL4fWHRBFs6MPf5m vm/Gq5tRK3IQPkhrGlrNSkqEYZZL0zX086fti9eUhAiGg7JGNPQoAr1ZP3+2Glwt5ra3igtPEMSE enAN7WN0dVEE1gsNYWadMHjYWq8houu7gnsYEF2rYl6W18VgPXfeMhEC7m6mQ3pC9JcA2raVTGws 22th4oTqhYKIlEIvXaDrXG3bChY/tm0QkaiGItOYV0yC9i6txXoFdefB9ZKdSoBLSnjCSYM0mPQM tYEIZO/lX1BaMm+DbeOMWV1MRLIiyKIqn2hz14MTmQtKHdxZ9PD/YNmHw60nkjcU225AY8N/ff3+ 88c3skzaDC7UGHLnbv3JC2gmomPrdfojBTJmPY9nPcUYCcPN6upVdV2i1AzPrhbLl1UWvLi/7XyI 74TVJBkN9divLCMc3oeIGTH0T0hKFqySfCuVyo7vdm+UJwfA3m7zl0rGK4/ClCFDQ5eL+QLrABzY FgcFTe2QdDBdzvfoRngIXObvX8CpsA2EfiogI6QwqLWMIskFdS+AvzWcxKNDYQ2+J5qK0YJTogQ+ v2TlyAhSXRKJ7JRBkqkxUyuSFcfdiDDJ3Fl+xI4OONJI78sePObcOy+7HgWuMpEUh/OUtTrNfhrY h35Ocf/e178B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fgQAAFtDb250ZW50X1R5cGVzXS54bWxQSwECFAAKAAAAAACHTuJAAAAAAAAAAAAAAAAA BgAAAAAAAAAAABAAAABgAwAAX3JlbHMvUEsBAhQAFAAAAAgAh07iQIoUZjzRAAAAlAEAAAsAAAAA AAAAAQAgAAAAhAMAAF9yZWxzLy5yZWxzUEsBAhQACgAAAAAAh07iQAAAAAAAAAAAAAAAAAQAAAAA AAAAAAAQAAAAAAAAAGRycy9QSwECFAAUAAAACACHTuJAGwXlHNgAAAAKAQAADwAAAAAAAAABACAA AAAiAAAAZHJzL2Rvd25yZXYueG1sUEsBAhQAFAAAAAgAh07iQCCi1cINAgAANwQAAA4AAAAAAAAA AQAgAAAAJwEAAGRycy9lMm9Eb2MueG1sUEsFBgAAAAAGAAYAWQEAAKYFAAAAAA== ">
                <v:fill on="t" focussize="0,0"/>
                <v:stroke color="#000000" joinstyle="miter"/>
                <v:imagedata o:title=""/>
                <o:lock v:ext="edit" aspectratio="f"/>
                <v:textbox>
                  <w:txbxContent>
                    <w:p>
                      <w:pPr>
                        <w:spacing w:line="320" w:lineRule="exact"/>
                        <w:jc w:val="center"/>
                        <w:rPr>
                          <w:sz w:val="24"/>
                        </w:rPr>
                      </w:pPr>
                      <w:r>
                        <w:rPr>
                          <w:rFonts w:hint="eastAsia"/>
                          <w:sz w:val="24"/>
                        </w:rPr>
                        <w:t>清水池出水</w:t>
                      </w:r>
                    </w:p>
                  </w:txbxContent>
                </v:textbox>
              </v:rect>
            </w:pict>
          </mc:Fallback>
        </mc:AlternateContent>
      </w:r>
    </w:p>
    <w:p>
      <w:pPr>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mc:AlternateContent>
          <mc:Choice Requires="wps">
            <w:drawing>
              <wp:anchor distT="0" distB="0" distL="114300" distR="114300" simplePos="0" relativeHeight="251681792" behindDoc="0" locked="0" layoutInCell="1" allowOverlap="1">
                <wp:simplePos x="0" y="0"/>
                <wp:positionH relativeFrom="column">
                  <wp:posOffset>869950</wp:posOffset>
                </wp:positionH>
                <wp:positionV relativeFrom="paragraph">
                  <wp:posOffset>48260</wp:posOffset>
                </wp:positionV>
                <wp:extent cx="0" cy="302260"/>
                <wp:effectExtent l="4445" t="0" r="14605" b="2540"/>
                <wp:wrapNone/>
                <wp:docPr id="23" name="直线 28"/>
                <wp:cNvGraphicFramePr/>
                <a:graphic xmlns:a="http://schemas.openxmlformats.org/drawingml/2006/main">
                  <a:graphicData uri="http://schemas.microsoft.com/office/word/2010/wordprocessingShape">
                    <wps:wsp>
                      <wps:cNvSpPr/>
                      <wps:spPr>
                        <a:xfrm flipV="1">
                          <a:off x="0" y="0"/>
                          <a:ext cx="0" cy="30226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flip:y;margin-left:68.5pt;margin-top:3.8pt;height:23.8pt;width:0pt;z-index:251681792;mso-width-relative:page;mso-height-relative:page;" filled="f" stroked="t" coordsize="21600,21600" o:gfxdata="UEsDBAoAAAAAAIdO4kAAAAAAAAAAAAAAAAAEAAAAZHJzL1BLAwQUAAAACACHTuJAgpl6QdYAAAAI AQAADwAAAGRycy9kb3ducmV2LnhtbE2PMU/DMBCFdyT+g3VIbNROUVIU4nSohBiQkFq6sDnxkUTY 52C7Scqvx2WB8dM7vftetV2sYRP6MDiSkK0EMKTW6YE6Cce3p7sHYCEq0so4QglnDLCtr68qVWo3 0x6nQ+xYKqFQKgl9jGPJeWh7tCqs3IiUsg/nrYoJfce1V3Mqt4avhSi4VQOlD70acddj+3k4WQn7 53cx+117bpZvk79mzRd/mQopb28y8Qgs4hL/juGin9ShTk6NO5EOzCS+36QtUcKmAHbJf7mRkOdr 4HXF/w+ofwBQSwMEFAAAAAgAh07iQL5cZd7rAQAA4wMAAA4AAABkcnMvZTJvRG9jLnhtbK1TzW4T MRC+I/EOlu9kk61UVatueiCUC4JKBe4T/+xa8p88TjZ5Fl6DExcep6/B2JsGKJcc2IM1npn9Zr5v xrd3B2fZXiU0wfd8tVhyprwI0vih518+37+54QwzeAk2eNXzo0J+t3796naKnWrDGKxUiRGIx26K PR9zjl3ToBiVA1yEqDwFdUgOMl3T0MgEE6E727TL5XUzhSRjCkIhknczB/kJMV0CGLQ2Qm2C2Dnl 84yalIVMlHA0Efm6dqu1EvmT1qgysz0nprmeVITsbTmb9S10Q4I4GnFqAS5p4QUnB8ZT0TPUBjKw XTL/QDkjUsCg80IE18xEqiLEYrV8oc3jCFFVLiQ1xrPo+P9gxcf9Q2JG9ry94syDo4k/ffv+9OMn a2+KOlPEjpIe40M63ZDMQvWgk2PamviV1qiSJzrsULU9nrVVh8zE7BTkvVq27XWVvZkRClJMmN+r 4Fgxem6NL6yhg/0HzFSVUp9Titt6NtUqAmj/NM2dM+EicUA/1B8xWCPvjbUlHdOwfWsT20PZgfoV YgT6V1qpsAEc57wamrdjVCDfecnyMZI4nh4FL/WdkpxZRW+oWAQIXQZjL8mk0tZTB0XbWc1ibYM8 0ix2MZlhJBlWtcsSodnXfk97Wpbrz3tF+v02178A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AAAAAGRycy9QSwECFAAUAAAACACHTuJAgpl6 QdYAAAAIAQAADwAAAAAAAAABACAAAAAiAAAAZHJzL2Rvd25yZXYueG1sUEsBAhQAFAAAAAgAh07i QL5cZd7rAQAA4wMAAA4AAAAAAAAAAQAgAAAAJQEAAGRycy9lMm9Eb2MueG1sUEsFBgAAAAAGAAYA WQEAAIIFAAAAAA== ">
                <v:fill on="f" focussize="0,0"/>
                <v:stroke weight="0pt" color="#000000" joinstyle="round"/>
                <v:imagedata o:title=""/>
                <o:lock v:ext="edit" aspectratio="f"/>
              </v:line>
            </w:pict>
          </mc:Fallback>
        </mc:AlternateConten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82816" behindDoc="0" locked="0" layoutInCell="1" allowOverlap="1">
                <wp:simplePos x="0" y="0"/>
                <wp:positionH relativeFrom="column">
                  <wp:posOffset>869950</wp:posOffset>
                </wp:positionH>
                <wp:positionV relativeFrom="paragraph">
                  <wp:posOffset>20320</wp:posOffset>
                </wp:positionV>
                <wp:extent cx="1608455" cy="27305"/>
                <wp:effectExtent l="0" t="6350" r="10795" b="23495"/>
                <wp:wrapNone/>
                <wp:docPr id="24" name="直线 29"/>
                <wp:cNvGraphicFramePr/>
                <a:graphic xmlns:a="http://schemas.openxmlformats.org/drawingml/2006/main">
                  <a:graphicData uri="http://schemas.microsoft.com/office/word/2010/wordprocessingShape">
                    <wps:wsp>
                      <wps:cNvSpPr/>
                      <wps:spPr>
                        <a:xfrm flipV="1">
                          <a:off x="0" y="0"/>
                          <a:ext cx="1608455" cy="273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flip:y;margin-left:68.5pt;margin-top:1.6pt;height:2.15pt;width:126.65pt;z-index:251682816;mso-width-relative:page;mso-height-relative:page;" filled="f" stroked="t" coordsize="21600,21600" o:gfxdata="UEsDBAoAAAAAAIdO4kAAAAAAAAAAAAAAAAAEAAAAZHJzL1BLAwQUAAAACACHTuJAbTMbJtcAAAAH AQAADwAAAGRycy9kb3ducmV2LnhtbE2PzU7DMBCE70i8g7VI3KiTRiU0xOmBHwkJRYjSS2/beEki 4nUUu2l5e5YTHEczmvmm3JzdoGaaQu/ZQLpIQBE33vbcGth9PN/cgQoR2eLgmQx8U4BNdXlRYmH9 id9p3sZWSQmHAg10MY6F1qHpyGFY+JFYvE8/OYwip1bbCU9S7ga9TJJb7bBnWehwpIeOmq/t0RmY 05rfXp72/vEV63aV1nbf5NGY66s0uQcV6Rz/wvCLL+hQCdPBH9kGNYjOcvkSDWRLUOJn6yQDdTCQ r0BXpf7PX/0AUEsDBBQAAAAIAIdO4kCnty/S9AEAAOwDAAAOAAAAZHJzL2Uyb0RvYy54bWytU0uO EzEQ3SNxB8t70p1mMp9WOrMgDBsEI80we8efbkv+yeWkk7NwDVZsOM5cg7I7BBg2WeCFVXY9P9d7 Li9v99aQnYygvevofFZTIh33Qru+o18e795cUwKJOcGMd7KjBwn0dvX61XIMrWz84I2QkSCJg3YM HR1SCm1VAR+kZTDzQTpMKh8tS7iMfSUiG5Hdmqqp68tq9FGE6LkEwN31lKRHxngOoVdKc7n2fGul SxNrlIYllASDDkBXpVqlJE+flQKZiOkoKk1lxksw3uS5Wi1Z20cWBs2PJbBzSnihyTLt8NIT1Zol RrZR/0NlNY8evEoz7m01CSmOoIp5/cKbh4EFWbSg1RBOpsP/o+WfdveRaNHR5oISxyy++PPXb8/f f5DmJrszBmgR9BDu43EFGGapexUtUUaHJ2yjIh7lkH3x9nDyVu4T4bg5v6yvLxYLSjjmmqu39SKz VxNNpgsR0gfpLclBR412WTpr2e4jpAn6C5K3jSMjsjZXNT4lZ9iIChsAQxtQDLi+HAZvtLjTxuQj EPvNOxPJjuVmKONYw1+wfMuawTDhSirDWDtIJt47QdIhoEsOfwfNNVgpKDESP1OOCjIxbc5Bonzj 0IVs8mRrjjZeHPBRtiHqfkAr5qXKnMEmKJ4dGzZ32Z/rwvT7k65+Al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GQEAABbQ29udGVudF9UeXBlc10u eG1sUEsBAhQACgAAAAAAh07iQAAAAAAAAAAAAAAAAAYAAAAAAAAAAAAQAAAARgMAAF9yZWxzL1BL AQIUABQAAAAIAIdO4kCKFGY80QAAAJQBAAALAAAAAAAAAAEAIAAAAGoDAABfcmVscy8ucmVsc1BL AQIUAAoAAAAAAIdO4kAAAAAAAAAAAAAAAAAEAAAAAAAAAAAAEAAAAAAAAABkcnMvUEsBAhQAFAAA AAgAh07iQG0zGybXAAAABwEAAA8AAAAAAAAAAQAgAAAAIgAAAGRycy9kb3ducmV2LnhtbFBLAQIU ABQAAAAIAIdO4kCnty/S9AEAAOwDAAAOAAAAAAAAAAEAIAAAACYBAABkcnMvZTJvRG9jLnhtbFBL BQYAAAAABgAGAFkBAACMBQAAAAA= ">
                <v:fill on="f" focussize="0,0"/>
                <v:stroke weight="1pt" color="#000000" joinstyle="round"/>
                <v:imagedata o:title=""/>
                <o:lock v:ext="edit" aspectratio="f"/>
              </v:line>
            </w:pict>
          </mc:Fallback>
        </mc:AlternateConten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2、设施设备：渗滤液处理厂的设施设备详见下图2。</w:t>
      </w:r>
    </w:p>
    <w:p>
      <w:pPr>
        <w:widowControl/>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主要设备清单：以下设备由业主提供给中标单位使用，若有损坏，由中标单位负责修复、</w:t>
      </w:r>
    </w:p>
    <w:p>
      <w:pPr>
        <w:widowControl/>
        <w:spacing w:line="360" w:lineRule="auto"/>
        <w:rPr>
          <w:rFonts w:hint="eastAsia" w:ascii="宋体" w:hAnsi="宋体" w:cs="宋体"/>
          <w:b/>
          <w:bCs/>
          <w:color w:val="auto"/>
          <w:sz w:val="21"/>
          <w:szCs w:val="21"/>
        </w:rPr>
      </w:pPr>
      <w:r>
        <w:rPr>
          <w:rFonts w:hint="eastAsia" w:ascii="宋体" w:hAnsi="宋体" w:cs="宋体"/>
          <w:b/>
          <w:bCs/>
          <w:color w:val="auto"/>
          <w:sz w:val="21"/>
          <w:szCs w:val="21"/>
        </w:rPr>
        <w:t>补齐或更换。</w:t>
      </w:r>
    </w:p>
    <w:p>
      <w:pPr>
        <w:spacing w:line="360" w:lineRule="auto"/>
        <w:ind w:firstLine="420" w:firstLineChars="200"/>
        <w:rPr>
          <w:rFonts w:hint="eastAsia" w:ascii="宋体" w:hAnsi="宋体" w:cs="宋体"/>
          <w:color w:val="auto"/>
          <w:sz w:val="21"/>
          <w:szCs w:val="21"/>
        </w:rPr>
      </w:pPr>
    </w:p>
    <w:p>
      <w:pPr>
        <w:spacing w:line="360" w:lineRule="auto"/>
        <w:ind w:firstLine="420" w:firstLineChars="200"/>
        <w:rPr>
          <w:rFonts w:hint="eastAsia" w:ascii="宋体" w:hAnsi="宋体" w:cs="宋体"/>
          <w:b/>
          <w:color w:val="auto"/>
          <w:sz w:val="21"/>
          <w:szCs w:val="21"/>
        </w:rPr>
      </w:pPr>
      <w:r>
        <w:rPr>
          <w:rFonts w:hint="eastAsia" w:ascii="宋体" w:hAnsi="宋体" w:cs="宋体"/>
          <w:color w:val="auto"/>
          <w:sz w:val="21"/>
          <w:szCs w:val="21"/>
        </w:rPr>
        <w:t>图2：渗滤液处理厂的设施设备</w:t>
      </w:r>
    </w:p>
    <w:tbl>
      <w:tblPr>
        <w:tblStyle w:val="23"/>
        <w:tblW w:w="0" w:type="auto"/>
        <w:tblInd w:w="573" w:type="dxa"/>
        <w:tblLayout w:type="fixed"/>
        <w:tblCellMar>
          <w:top w:w="0" w:type="dxa"/>
          <w:left w:w="108" w:type="dxa"/>
          <w:bottom w:w="0" w:type="dxa"/>
          <w:right w:w="108" w:type="dxa"/>
        </w:tblCellMar>
      </w:tblPr>
      <w:tblGrid>
        <w:gridCol w:w="1050"/>
        <w:gridCol w:w="4605"/>
        <w:gridCol w:w="216"/>
        <w:gridCol w:w="780"/>
        <w:gridCol w:w="99"/>
        <w:gridCol w:w="776"/>
        <w:gridCol w:w="34"/>
        <w:gridCol w:w="1410"/>
      </w:tblGrid>
      <w:tr>
        <w:tblPrEx>
          <w:tblCellMar>
            <w:top w:w="0" w:type="dxa"/>
            <w:left w:w="108" w:type="dxa"/>
            <w:bottom w:w="0" w:type="dxa"/>
            <w:right w:w="108" w:type="dxa"/>
          </w:tblCellMar>
        </w:tblPrEx>
        <w:trPr>
          <w:trHeight w:val="285" w:hRule="atLeast"/>
        </w:trPr>
        <w:tc>
          <w:tcPr>
            <w:tcW w:w="8970" w:type="dxa"/>
            <w:gridSpan w:val="8"/>
            <w:tcBorders>
              <w:top w:val="nil"/>
              <w:left w:val="nil"/>
              <w:bottom w:val="nil"/>
              <w:right w:val="nil"/>
            </w:tcBorders>
            <w:noWrap w:val="0"/>
            <w:vAlign w:val="center"/>
          </w:tcPr>
          <w:p>
            <w:pPr>
              <w:widowControl/>
              <w:spacing w:line="360" w:lineRule="auto"/>
              <w:jc w:val="center"/>
              <w:rPr>
                <w:rFonts w:hint="eastAsia" w:ascii="宋体" w:hAnsi="宋体" w:cs="宋体"/>
                <w:b/>
                <w:bCs/>
                <w:color w:val="auto"/>
                <w:sz w:val="21"/>
                <w:szCs w:val="21"/>
              </w:rPr>
            </w:pPr>
            <w:r>
              <w:rPr>
                <w:rFonts w:hint="eastAsia" w:ascii="宋体" w:hAnsi="宋体" w:cs="宋体"/>
                <w:b/>
                <w:color w:val="auto"/>
                <w:kern w:val="0"/>
                <w:sz w:val="21"/>
                <w:szCs w:val="21"/>
              </w:rPr>
              <w:t>工艺设备主要清单</w:t>
            </w:r>
          </w:p>
        </w:tc>
      </w:tr>
      <w:tr>
        <w:tblPrEx>
          <w:tblCellMar>
            <w:top w:w="0" w:type="dxa"/>
            <w:left w:w="108" w:type="dxa"/>
            <w:bottom w:w="0" w:type="dxa"/>
            <w:right w:w="108" w:type="dxa"/>
          </w:tblCellMar>
        </w:tblPrEx>
        <w:trPr>
          <w:trHeight w:val="285"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序号</w:t>
            </w:r>
          </w:p>
        </w:tc>
        <w:tc>
          <w:tcPr>
            <w:tcW w:w="4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规格、名称</w:t>
            </w:r>
          </w:p>
        </w:tc>
        <w:tc>
          <w:tcPr>
            <w:tcW w:w="1095"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单位</w:t>
            </w:r>
          </w:p>
        </w:tc>
        <w:tc>
          <w:tcPr>
            <w:tcW w:w="810"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数量</w:t>
            </w:r>
          </w:p>
        </w:tc>
        <w:tc>
          <w:tcPr>
            <w:tcW w:w="141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备注</w:t>
            </w:r>
          </w:p>
        </w:tc>
      </w:tr>
      <w:tr>
        <w:tblPrEx>
          <w:tblCellMar>
            <w:top w:w="0" w:type="dxa"/>
            <w:left w:w="108" w:type="dxa"/>
            <w:bottom w:w="0" w:type="dxa"/>
            <w:right w:w="108" w:type="dxa"/>
          </w:tblCellMar>
        </w:tblPrEx>
        <w:trPr>
          <w:trHeight w:val="402"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综合预处理池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机械格栅  宽度600mm，深度1000mm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折浆式搅拌机  n=130r/mir,N=1.1KW </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板框式搅拌机  n=5.2r/mir,N=0.55KW </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污泥泵安装,Q=11</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/h,H=10m，N=0.75KW</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在线PH计 量程 ：0-14</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在线ORP计 量程 ±1999</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不锈钢出水槽 250*300*3000mm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397"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斜管填料Ø50mm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PH调节池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402"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潜水提升泵,Q=12.5</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 xml:space="preserve">/h,H=10m N=1.1KW </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420"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板框式搅拌机  N=5.2r/min N=1.1KW</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超声波液位计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在线PH计 量程 ：0-14</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电磁流量计DN80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不锈钢袋式过滤器安装 Q=10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/h,精度1mm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一级A罐</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330"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一级A反应罐Ø7.5*9m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潜水搅拌器QJB4/6-400/3-960/s，4kW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压力变送器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18</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在线PH计 量程 ：0-14</w:t>
            </w:r>
          </w:p>
        </w:tc>
        <w:tc>
          <w:tcPr>
            <w:tcW w:w="1095" w:type="dxa"/>
            <w:gridSpan w:val="3"/>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一级O罐</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330"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一级O反应罐Ø10.5*9m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射流循环泵Q=240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/h,H=13m N=15KW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射流曝气器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涡街流量计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压力变送器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DO仪  0～10mg/l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一级N罐</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一级N反应罐Ø10.5*9m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射流循环泵Q=240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/h,H=13m N=15KW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混合液回流泵Q=120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/h,H=15m N=11KW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射流曝气器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涡街流量计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压力传感器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DO仪  0～10mg/l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温度变送器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超声波液位计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缓冲池、冷却水池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缓冲池提升泵 Q=80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/h,H=15m N=5.5KW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冷却水提升泵Q=200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/h,H=15m N=15KW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热交换器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冷却塔  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电磁流量计DN150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压力变送器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超声波液位计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二级A/O池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41</w:t>
            </w:r>
          </w:p>
        </w:tc>
        <w:tc>
          <w:tcPr>
            <w:tcW w:w="4605" w:type="dxa"/>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潜水搅拌机，QJB2.2/8-320/3-740/s，2.2KW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混合液回流泵安装,Q=30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 xml:space="preserve">/h,H=4m，N=4.5KW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中间缓冲罐 V=9</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DO仪  0～10mg/l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温度变送器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超声波液位计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曝气管Ø65</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m</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540</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膜处理用房</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MBR进水泵 Q=85</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/h,H=20m 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MBR循环泵 Q=264</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/h,H=50m 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MBR清洗泵 Q=85</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/h,H=20m 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MBR清洗箱 3</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电磁流量计DN200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电磁流量计DN125</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MBR膜组</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MBR不锈钢过滤器 800um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MBR产水箱 5</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气动蝶阀DN125 1.6MPa</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气动蝶阀DN100 1.6MPa</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压力传感器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温度变送器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涡轮流量计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温度表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NF进水泵  Q=9</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/h,H=34m 1.5KW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NF高压泵   Q=9</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/h,H=175m 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NF循环泵  Q=30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/h,H=35m 5.5KW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NF清洗泵  Q=20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/h,H=35m 4.0KW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NF膜组</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NF保安过滤器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NF产水箱5</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NF清洗水箱3</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电导率仪</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在线PH计 量程 ：0-14</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涡轮流量计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电磁阀DN50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压力传感器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压力开关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气动不锈钢球阀DN50 1.6MPa</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RO进水泵  Q=9</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/h,H=34m 1.5KW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RO高压泵  Q=9</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/h,H=175m 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RO循环泵  Q=30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/h,H=35m 5.5KW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RO清洗泵  Q=20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/h,H=35m 4.0KW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RO保安过滤器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RO清洗水箱3</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RO膜组</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电导率仪</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涡轮流量计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电磁阀DN50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压力传感器</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压力开关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气动不锈钢球阀DN50 1.6MPa</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NF阻垢剂计量泵  6.5L/H 7bar 40W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RO阻垢剂计量泵  6.5L/H 7bar 40W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NF杀菌剂计量泵  6.5L/H 7bar 40W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RO杀菌剂计量泵  6.5L/H 7bar 40W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NF酸计量泵  6.5L/H 7bar 40W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阻垢剂计量箱 300L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非氧化性杀菌剂计量箱 300L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酸计量箱 300L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空压机,Q=0.36</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/min,P=7.0MPa 3KW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冷干机,Q=0.6</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/min,0.2KW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储气罐  0.5</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浮球液位开关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清水池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外排泵   Q=87</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/h,H=38m 15kw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事故泵   Q=100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/h,H=35m 18.5KW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超声波液位计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电磁流量计DN100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污泥调节池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超声波液位计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生产用房</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109</w:t>
            </w:r>
          </w:p>
        </w:tc>
        <w:tc>
          <w:tcPr>
            <w:tcW w:w="4605"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罗茨风机  30kW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罗茨风机  45kW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计量泵 GM240/0.5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电磁流量计DN25</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溶药搅拌机 0.75KW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PP溶药桶  Ø800*800mm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PP储药桶  Ø1000*800mm</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连杆浮球液位计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PAM加药装置  ZJY-2000，3KW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板框压滤机XM25-800-UB</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渣浆泵50GMZ10-10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污泥泵 G30－1</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污泥调理桶Ø1.2*2.4m（含搅拌机）</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超声波液位计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电磁流量计DN40</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RO浓缩液池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污水提升泵  Q=10</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/h,H=33m N=3.0KW</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超声波液位计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集水池</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污水提升泵  65WQ25-18-3</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超声波液位计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储酸围堰01</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储酸罐5</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计量泵  GM120/0.7 PVC</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事故泵  40FZB-30L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磁翻板液位计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储酸围堰02</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储酸罐15</w:t>
            </w:r>
            <w:r>
              <w:rPr>
                <w:rFonts w:hint="eastAsia" w:ascii="宋体" w:hAnsi="宋体" w:cs="宋体"/>
                <w:color w:val="auto"/>
                <w:kern w:val="0"/>
                <w:sz w:val="21"/>
                <w:szCs w:val="21"/>
                <w:lang w:eastAsia="zh-CN"/>
              </w:rPr>
              <w:t>m³</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计量泵  GB500/0.8 PTFE</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事故泵  40FZB-30L</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135</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磁翻板液位计</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p>
        </w:tc>
        <w:tc>
          <w:tcPr>
            <w:tcW w:w="460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臭气系统</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136</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引风机JTFY800C</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137</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酸吸收塔 Ø2000*6500  PP</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138</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碱吸收塔 Ø2000*6500  PP</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139</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氧化吸收塔 Ø2000*6500  PP</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140</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排气筒 DN600*15M  PP</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座</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141</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循环泵 Q=25</w:t>
            </w:r>
            <w:r>
              <w:rPr>
                <w:rFonts w:hint="eastAsia" w:ascii="宋体" w:hAnsi="宋体" w:cs="宋体"/>
                <w:color w:val="auto"/>
                <w:kern w:val="0"/>
                <w:sz w:val="21"/>
                <w:szCs w:val="21"/>
                <w:lang w:eastAsia="zh-CN"/>
              </w:rPr>
              <w:t>m³</w:t>
            </w:r>
            <w:r>
              <w:rPr>
                <w:rFonts w:hint="eastAsia" w:ascii="宋体" w:hAnsi="宋体" w:cs="宋体"/>
                <w:color w:val="auto"/>
                <w:kern w:val="0"/>
                <w:sz w:val="21"/>
                <w:szCs w:val="21"/>
              </w:rPr>
              <w:t xml:space="preserve">/h,H=20m,N=3KW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142</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加药系统（储药槽、高位槽、加药泵）</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143</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在线PH计 量程 ：0-14</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144</w:t>
            </w:r>
          </w:p>
        </w:tc>
        <w:tc>
          <w:tcPr>
            <w:tcW w:w="4605"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xml:space="preserve"> 连杆浮球液位计 </w:t>
            </w:r>
          </w:p>
        </w:tc>
        <w:tc>
          <w:tcPr>
            <w:tcW w:w="1095" w:type="dxa"/>
            <w:gridSpan w:val="3"/>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只</w:t>
            </w:r>
          </w:p>
        </w:tc>
        <w:tc>
          <w:tcPr>
            <w:tcW w:w="810"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10"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8970" w:type="dxa"/>
            <w:gridSpan w:val="8"/>
            <w:tcBorders>
              <w:top w:val="nil"/>
              <w:left w:val="nil"/>
              <w:bottom w:val="nil"/>
              <w:right w:val="nil"/>
            </w:tcBorders>
            <w:noWrap w:val="0"/>
            <w:vAlign w:val="center"/>
          </w:tcPr>
          <w:p>
            <w:pPr>
              <w:widowControl/>
              <w:spacing w:line="360" w:lineRule="auto"/>
              <w:ind w:firstLine="2319" w:firstLineChars="1100"/>
              <w:rPr>
                <w:rFonts w:hint="eastAsia" w:ascii="宋体" w:hAnsi="宋体" w:cs="宋体"/>
                <w:b/>
                <w:color w:val="auto"/>
                <w:kern w:val="0"/>
                <w:sz w:val="21"/>
                <w:szCs w:val="21"/>
              </w:rPr>
            </w:pPr>
            <w:r>
              <w:rPr>
                <w:rFonts w:hint="eastAsia" w:ascii="宋体" w:hAnsi="宋体" w:cs="宋体"/>
                <w:b/>
                <w:color w:val="auto"/>
                <w:kern w:val="0"/>
                <w:sz w:val="21"/>
                <w:szCs w:val="21"/>
              </w:rPr>
              <w:t>电气、自控主要设备清单</w:t>
            </w:r>
          </w:p>
        </w:tc>
      </w:tr>
      <w:tr>
        <w:tblPrEx>
          <w:tblCellMar>
            <w:top w:w="0" w:type="dxa"/>
            <w:left w:w="108" w:type="dxa"/>
            <w:bottom w:w="0" w:type="dxa"/>
            <w:right w:w="108" w:type="dxa"/>
          </w:tblCellMar>
        </w:tblPrEx>
        <w:trPr>
          <w:trHeight w:val="285"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4821"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规格、名称</w:t>
            </w:r>
          </w:p>
        </w:tc>
        <w:tc>
          <w:tcPr>
            <w:tcW w:w="7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单位</w:t>
            </w:r>
          </w:p>
        </w:tc>
        <w:tc>
          <w:tcPr>
            <w:tcW w:w="875"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数量</w:t>
            </w:r>
          </w:p>
        </w:tc>
        <w:tc>
          <w:tcPr>
            <w:tcW w:w="1444"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color w:val="auto"/>
                <w:kern w:val="0"/>
                <w:sz w:val="21"/>
                <w:szCs w:val="21"/>
              </w:rPr>
            </w:pPr>
            <w:r>
              <w:rPr>
                <w:rFonts w:hint="eastAsia" w:ascii="宋体" w:hAnsi="宋体" w:cs="宋体"/>
                <w:b/>
                <w:color w:val="auto"/>
                <w:kern w:val="0"/>
                <w:sz w:val="21"/>
                <w:szCs w:val="21"/>
              </w:rPr>
              <w:t>备注</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箱式变电站安装 YB-500/12</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 xml:space="preserve">配电房配电柜 AA1，600*600*2200, </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配电房配电柜 AA1-AA7，800*600*2200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配电房配电柜XL-21，600*400*1200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31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膜处理车间配电柜AP51~54  800*600*2200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31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鼓风机变频柜AP11~12 1000*600*2200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7</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加药间动力柜AP2 800*450*1800，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8</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脱水机房动力箱AP3 600*250*900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9</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臭气系统动力柜AP4 800*400*1800</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10</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 xml:space="preserve">膜车间照明箱安装 </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11</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弱电间PLC柜800*600*2200 含PLC模块</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12</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膜处理车间PLC柜  800*600*2200 含PLC模块</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570"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13</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 xml:space="preserve">操作站（ DELL台式机，含显示器，动态控制软件） </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套</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14</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工业以太网交换机4口/8口</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线</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15</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不间断电源 （山特）</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r>
        <w:tblPrEx>
          <w:tblCellMar>
            <w:top w:w="0" w:type="dxa"/>
            <w:left w:w="108" w:type="dxa"/>
            <w:bottom w:w="0" w:type="dxa"/>
            <w:right w:w="108" w:type="dxa"/>
          </w:tblCellMar>
        </w:tblPrEx>
        <w:trPr>
          <w:trHeight w:val="285" w:hRule="atLeast"/>
        </w:trPr>
        <w:tc>
          <w:tcPr>
            <w:tcW w:w="105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16</w:t>
            </w:r>
          </w:p>
        </w:tc>
        <w:tc>
          <w:tcPr>
            <w:tcW w:w="4821"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rPr>
                <w:rFonts w:hint="eastAsia" w:ascii="宋体" w:hAnsi="宋体" w:cs="宋体"/>
                <w:color w:val="auto"/>
                <w:kern w:val="0"/>
                <w:sz w:val="21"/>
                <w:szCs w:val="21"/>
              </w:rPr>
            </w:pPr>
            <w:r>
              <w:rPr>
                <w:rFonts w:hint="eastAsia" w:ascii="宋体" w:hAnsi="宋体" w:cs="宋体"/>
                <w:color w:val="auto"/>
                <w:kern w:val="0"/>
                <w:sz w:val="21"/>
                <w:szCs w:val="21"/>
              </w:rPr>
              <w:t>打印机（HP）</w:t>
            </w:r>
          </w:p>
        </w:tc>
        <w:tc>
          <w:tcPr>
            <w:tcW w:w="780" w:type="dxa"/>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台</w:t>
            </w:r>
          </w:p>
        </w:tc>
        <w:tc>
          <w:tcPr>
            <w:tcW w:w="875" w:type="dxa"/>
            <w:gridSpan w:val="2"/>
            <w:tcBorders>
              <w:top w:val="nil"/>
              <w:left w:val="nil"/>
              <w:bottom w:val="single" w:color="auto" w:sz="4" w:space="0"/>
              <w:right w:val="single" w:color="auto" w:sz="4" w:space="0"/>
            </w:tcBorders>
            <w:shd w:val="clear" w:color="auto" w:fill="FFFFFF"/>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444" w:type="dxa"/>
            <w:gridSpan w:val="2"/>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　</w:t>
            </w:r>
          </w:p>
        </w:tc>
      </w:tr>
    </w:tbl>
    <w:p>
      <w:pPr>
        <w:spacing w:line="360" w:lineRule="auto"/>
        <w:rPr>
          <w:rFonts w:hint="eastAsia" w:ascii="宋体" w:hAnsi="宋体" w:cs="宋体"/>
          <w:b/>
          <w:color w:val="auto"/>
          <w:sz w:val="21"/>
          <w:szCs w:val="21"/>
        </w:rPr>
      </w:pP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五、 总体要求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1、运营期间，未经采购人同意，中标人不得将该运营服务项目转包给第二承包人。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中标人须在中标后积极配合采购人，进场完成运营的交接工作。中标人进场后，需理顺前端进水管道，统一所有进水管至总管，并在总管安装管道流量计，以统计填埋汇集渗滤液总量，所需费用由中标人负责。</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rPr>
        <w:t>3、中标人在运营服务期</w:t>
      </w:r>
      <w:r>
        <w:rPr>
          <w:rFonts w:hint="eastAsia" w:ascii="宋体" w:hAnsi="宋体" w:cs="宋体"/>
          <w:color w:val="auto"/>
          <w:sz w:val="21"/>
          <w:szCs w:val="21"/>
          <w:highlight w:val="none"/>
        </w:rPr>
        <w:t>内</w:t>
      </w:r>
      <w:r>
        <w:rPr>
          <w:rFonts w:hint="eastAsia" w:ascii="宋体" w:hAnsi="宋体" w:cs="宋体"/>
          <w:color w:val="auto"/>
          <w:sz w:val="21"/>
          <w:szCs w:val="21"/>
          <w:highlight w:val="none"/>
          <w:lang w:val="en-US" w:eastAsia="zh-CN"/>
        </w:rPr>
        <w:t>发生</w:t>
      </w:r>
      <w:r>
        <w:rPr>
          <w:rFonts w:hint="eastAsia" w:ascii="宋体" w:hAnsi="宋体" w:cs="宋体"/>
          <w:color w:val="auto"/>
          <w:sz w:val="21"/>
          <w:szCs w:val="21"/>
          <w:highlight w:val="none"/>
        </w:rPr>
        <w:t>人员伤亡和财产损失的，由中标人负责赔偿。</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4、中标人在运营期间，必须严格遵守相关的规章制度，确保运营正常，污水处理排放及脱水后污泥处理符合</w:t>
      </w:r>
      <w:r>
        <w:rPr>
          <w:rFonts w:hint="eastAsia" w:ascii="宋体" w:hAnsi="宋体" w:cs="宋体"/>
          <w:color w:val="auto"/>
          <w:sz w:val="21"/>
          <w:szCs w:val="21"/>
          <w:highlight w:val="none"/>
          <w:lang w:val="en-US" w:eastAsia="zh-CN"/>
        </w:rPr>
        <w:t>国家或行业环保</w:t>
      </w:r>
      <w:r>
        <w:rPr>
          <w:rFonts w:hint="eastAsia" w:ascii="宋体" w:hAnsi="宋体" w:cs="宋体"/>
          <w:color w:val="auto"/>
          <w:sz w:val="21"/>
          <w:szCs w:val="21"/>
          <w:highlight w:val="none"/>
        </w:rPr>
        <w:t>标准。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5、在运营期间，中标人必须安排足够的工作人员，并建立相应的排班制度。中标人要建立24小时值班制度，保持通讯渠道畅通，设立专门应急队伍，负责运营期间突发事件的处理，确保及时到位。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6、在中标人运营期间，渗滤液处理厂必须随时接受业主检查、考核等。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7、中标人必须负责协调或处理由于渗滤液所带来的与周边及下游单位（或居民）的各种问题的协调工作。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8、渗滤液处理运营所需的药剂使用、易耗用品更换所需费用由中标人自行承担；渗滤液处理过程中使用的主要消耗件、消耗品必须及时更换，更换产生的费用由中标人自行承担。不可为降低运营成本而延迟或拒绝更换主要消耗件、易耗品与配件，如因以上原因导致了渗滤液处理效率与渗滤液处理质量降低，采购人在责成中标人更换有关配件后15天未内完成的，则采购人可委托第三方实施更换，费用由中标人承担。</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9、因违反操作规程或其他人为原因造成生产事故，导致生产设备损坏及影响渗滤液正常处理而导致经济损失，将追究相关责任单位与责任人的有关责任。</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10、中标人在运营期间须负责渗滤液厂环境卫生保洁工作。（包括场地绿化养护工作及场容场貌管护工作，如场区道路日常清扫等）</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11、中标人须对渗滤液处理厂外排管道定期进行清理和维护。</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12、中标人须对渗滤液调节池液位进行日常监测记录，并及时平衡调节池液位。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13、中标人须对调节池区域危险气体浓度进行每日监测，在危险气体值达到临界前及时消除风险。</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14、运营期满，中标人未能继续获取运营资格时，中标人要积极配合与下一运营单位交接。不得以任何方式阻碍交接，影响采购人正常工作。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15、运营期满后，中标人必须确保设备的完好率、备品备件的完整性，并提交移交方案。</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六、 项目运营服务要求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（一）运营服务管理内容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1、处理进厂渗滤液并达标排放；</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2、渗滤液处理设施设备的操作及管理工作；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3、渗滤液处理设备的日常保养维护及更换工作（包括污泥渣物清运及地面、设备保洁工作）；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4、提供渗滤液处理系统运行所需的药品药剂；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5、场内安全、绿化及卫生管理。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（二）运营要求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中标人对常山县城乡生活垃圾卫生填埋场渗滤液处理厂的运营管理须符合《生活垃圾渗滤液处理技术规范》（CJJ150-2010）和《生活垃圾填埋场渗滤液处理工程技术规范》（HJ564-2010），以及采购人的要求，包括但不限于以下内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1、除因不可抗力事故或正常检修期外，中标人应保证渗滤液处理系统各个处理单元处于良好工况，且处理效果稳定，出水水质符合国家及地方现行的标准规范；</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2、按照法律规定和环评要求妥善处理系统产生的污染物，不发生泄漏或二次污染，浓缩液不得未经</w:t>
      </w:r>
      <w:r>
        <w:rPr>
          <w:rFonts w:hint="eastAsia" w:ascii="宋体" w:hAnsi="宋体" w:cs="宋体"/>
          <w:color w:val="auto"/>
          <w:sz w:val="21"/>
          <w:szCs w:val="21"/>
          <w:lang w:eastAsia="zh-CN"/>
        </w:rPr>
        <w:t>业主允许</w:t>
      </w:r>
      <w:r>
        <w:rPr>
          <w:rFonts w:hint="eastAsia" w:ascii="宋体" w:hAnsi="宋体" w:cs="宋体"/>
          <w:color w:val="auto"/>
          <w:sz w:val="21"/>
          <w:szCs w:val="21"/>
        </w:rPr>
        <w:t>回灌或排放，冲洗残液和工艺废水须排入渗滤液处理系统进行处理；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3、具有切合实际的、规程完善的系统设备检修维护计划、设备大修及更新计划、质量保证和质量控制方案、应急预案；</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4、建立完善可行的管理制度，包括但不限于运行管理制度、设备管理制度、消耗品及备品备件管理制度、危险品管理制度、监测分析制度、人员岗位制度、成本控制制度，并严格按照制度执行；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5、对垃圾渗滤液处理系统、输水管线、自动化控制系统、计量系统等所有设备仪表进行保养维修；污染源在线监测系统由采购方委托有资质的第三方进行维护、校准；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配合协助保持水质项目在线监测系统正常运行，配合保障系统可实时传输上报污染物排放数据至采购人及环保部门的监督系统；配备专业人员进行日常监测，制定日常监测计划，按时向采购人或政府监督部门提交监测报告，并接受环保部门的抽检；</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7、水质监测系统、计量系统定期进行校准核实，按时向政府监督部门提交仪表设备的运行记录；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8、药剂、膜等消耗性备品备件须进行统计，及时补充更换；重要的系统设备零部件须配备齐全，设备故障时能及时修理或更换，不影响系统正常运作；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9、乙方应无条件接收原甲方填埋场渗滤液处理厂工作人员；遵守劳动保护法律法规和地方有关规章，最大限度地保护从事本项目的劳动者的合法权益。</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10、本项目定员不低于10人（包括但不限于：运营操作工），采购人为中标人提供办公场所；运营期间中标人须配备齐全的、有经验的运营管理和专业技术人员，主要人员须具备中级以上技术职称或相关职业资格；建立完善的人员管理制度，制定培训计划，定期组织培训；</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11、自觉接受采购人及政府部门的监督，对发现的问题及时做出整改；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12、劳动安全、工业卫生、消防措施应符合国家和行业的有关标准，措施得当，可操作性强；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13、维护公共健康和安全，避免对周边设施、建筑物、居民造成干扰和不良影响；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14、做好厂界内绿化养护、环境卫生保洁、保安管理；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15、运营期满时，运营单位将设施完备、工艺运行良好、环保排放达标的垃圾渗滤液处理厂项目无偿移交给采购人或采购人指定单位；</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16、遇突发事件，中标人应积极配合采购人采取应急措施；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17、投标文件承诺的项目团队人员不得随意变更，如需变更必须征得采购人的书面同意且变更的项目负责人应具有与岗位要求相符合的资格和能力，并具有相关运营经验；</w:t>
      </w:r>
    </w:p>
    <w:p>
      <w:pPr>
        <w:pStyle w:val="2"/>
        <w:ind w:left="420" w:leftChars="200" w:firstLine="0" w:firstLineChars="0"/>
        <w:rPr>
          <w:rFonts w:hint="eastAsia" w:ascii="宋体" w:hAnsi="宋体" w:cs="宋体"/>
          <w:color w:val="auto"/>
          <w:sz w:val="21"/>
          <w:szCs w:val="21"/>
        </w:rPr>
      </w:pPr>
      <w:r>
        <w:rPr>
          <w:rFonts w:hint="eastAsia" w:ascii="宋体" w:hAnsi="宋体" w:cs="宋体"/>
          <w:color w:val="auto"/>
          <w:sz w:val="21"/>
          <w:szCs w:val="21"/>
        </w:rPr>
        <w:t>▲18、自养反硝化滤料必须为非危化品，投标文件中必须提供具有资质的第三方检测报告证明。</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Cs w:val="21"/>
        </w:rPr>
        <w:t>▲1</w:t>
      </w:r>
      <w:r>
        <w:rPr>
          <w:rFonts w:ascii="宋体" w:hAnsi="宋体" w:cs="宋体"/>
          <w:color w:val="auto"/>
          <w:szCs w:val="21"/>
        </w:rPr>
        <w:t>9</w:t>
      </w:r>
      <w:r>
        <w:rPr>
          <w:rFonts w:hint="eastAsia" w:ascii="宋体" w:hAnsi="宋体" w:cs="宋体"/>
          <w:color w:val="auto"/>
          <w:szCs w:val="21"/>
        </w:rPr>
        <w:t>、排污费由中标人负责及缴纳（如有）</w:t>
      </w:r>
      <w:r>
        <w:rPr>
          <w:rFonts w:hint="eastAsia" w:ascii="宋体" w:hAnsi="宋体" w:cs="宋体"/>
          <w:color w:val="auto"/>
          <w:sz w:val="21"/>
          <w:szCs w:val="21"/>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（三）处理量要求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1、在委托运营期内，除因不可抗力事故及检修期外，原则上每天的进水须在当天处理完毕，</w:t>
      </w:r>
      <w:r>
        <w:rPr>
          <w:rFonts w:hint="eastAsia" w:ascii="宋体" w:hAnsi="宋体" w:cs="宋体"/>
          <w:color w:val="auto"/>
          <w:sz w:val="21"/>
          <w:szCs w:val="21"/>
          <w:lang w:eastAsia="zh-CN"/>
        </w:rPr>
        <w:t>在渗滤液产生量充足的情况下，</w:t>
      </w:r>
      <w:r>
        <w:rPr>
          <w:rFonts w:hint="eastAsia" w:ascii="宋体" w:hAnsi="宋体" w:cs="宋体"/>
          <w:color w:val="auto"/>
          <w:sz w:val="21"/>
          <w:szCs w:val="21"/>
        </w:rPr>
        <w:t>中标人应保证本厂的处理能力不低于1</w:t>
      </w:r>
      <w:r>
        <w:rPr>
          <w:rFonts w:hint="eastAsia" w:ascii="宋体" w:hAnsi="宋体" w:cs="宋体"/>
          <w:color w:val="auto"/>
          <w:sz w:val="21"/>
          <w:szCs w:val="21"/>
          <w:lang w:val="en-US" w:eastAsia="zh-CN"/>
        </w:rPr>
        <w:t>4</w:t>
      </w:r>
      <w:r>
        <w:rPr>
          <w:rFonts w:hint="eastAsia" w:ascii="宋体" w:hAnsi="宋体" w:cs="宋体"/>
          <w:color w:val="auto"/>
          <w:sz w:val="21"/>
          <w:szCs w:val="21"/>
        </w:rPr>
        <w:t>0m³/d；</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2、实际进水水质明显优于设计进水水质指标时，应采购人要求，中标人应适当调增污水处理量；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3、中标人应保证项目出水量不超过进水量。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（四）排污控制要求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1、进水水质参考指标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常山县城乡生活垃圾卫生填埋场渗滤液处理厂进水水质指标值，请自行探勘现场。中标人应根据实际进水水质、水量进行调节，使各项污染物在处理系统中得到有效降解，出水达标排放。</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2、出水水质指标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出水水质须达到《生活垃圾填埋污染控制标准》（GB16889-2008）表2标准，达标后经外排管道最终排入常山县城市污水管网。</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表2 《生活垃圾填埋污染控制标准》（GB16889-2008）</w:t>
      </w:r>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3240"/>
        <w:gridCol w:w="16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序号</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控制污染物</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排放浓度限值</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污染物排放监控位置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色度（稀释倍数）</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40</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化学需氧量（CODcr）(mg/L)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100</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生化需氧量(BOD5)(mg/L)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30</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4</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悬浮物(mg/L)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30</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5</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总氮(mg/L)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40</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6</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氨氮(mg/L)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25</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7</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总磷(mg/L)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3</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8</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粪大肠菌群数(mg/L)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10000</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9</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总汞(mg/L)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0.001</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10</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总镉(mg/L)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0.01</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11</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总铬(mg/L)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0.1</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12</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六价铬(mg/L)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0.05</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13</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总砷(mg/L)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0.1</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14</w:t>
            </w:r>
          </w:p>
        </w:tc>
        <w:tc>
          <w:tcPr>
            <w:tcW w:w="324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总铅(mg/L)</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0.1</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color w:val="auto"/>
                <w:sz w:val="21"/>
                <w:szCs w:val="21"/>
              </w:rPr>
            </w:pPr>
            <w:r>
              <w:rPr>
                <w:rFonts w:hint="eastAsia" w:ascii="宋体" w:hAnsi="宋体" w:cs="宋体"/>
                <w:color w:val="auto"/>
                <w:sz w:val="21"/>
                <w:szCs w:val="21"/>
              </w:rPr>
              <w:t>常规污水处理设施排放</w:t>
            </w:r>
          </w:p>
        </w:tc>
      </w:tr>
    </w:tbl>
    <w:p>
      <w:pPr>
        <w:spacing w:line="360" w:lineRule="auto"/>
        <w:rPr>
          <w:rFonts w:hint="eastAsia" w:ascii="宋体" w:hAnsi="宋体" w:cs="宋体"/>
          <w:color w:val="auto"/>
          <w:sz w:val="21"/>
          <w:szCs w:val="21"/>
        </w:rPr>
      </w:pP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3、污泥处置要求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污泥的处理处置应符合《生活垃圾填埋场渗滤液处理工程技术规范》（HJ564-2010）及其他相关法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律法规、标准及规范。污泥脱水至含水率不得超过80%，</w:t>
      </w:r>
      <w:r>
        <w:rPr>
          <w:rFonts w:hint="eastAsia" w:ascii="宋体" w:hAnsi="宋体" w:cs="宋体"/>
          <w:color w:val="auto"/>
          <w:sz w:val="21"/>
          <w:szCs w:val="21"/>
          <w:highlight w:val="none"/>
        </w:rPr>
        <w:t>由中标人按照环保要求委托有资质的单位进行处置，</w:t>
      </w:r>
      <w:r>
        <w:rPr>
          <w:rFonts w:hint="eastAsia" w:ascii="宋体" w:hAnsi="宋体" w:cs="宋体"/>
          <w:color w:val="auto"/>
          <w:sz w:val="21"/>
          <w:szCs w:val="21"/>
        </w:rPr>
        <w:t>中标人需在投标文件中详细阐述污泥处置方案。以符合相关法律法规、标准及规范的处置方式及委托处置方等信息均须在运营前向采购人报告，并承担全部处置责任。</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4、噪声应符合《工业企业厂界噪声标准》(GB12348-2008) 2类标准，即昼间≤60dB（A），夜间≤50dB（A），同时符合国家和地区的声环境保护标准。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5、废气的排放须执行国家《大气污染物综合排放标准》。</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膜深度处理系统排出的浓缩液均须自行通过妥善方式处理，为保障堆体安全原因，浓缩液回灌填埋库区须经采购人同意；中标人不得以未妥善处置渗滤液浓缩液而回灌至调节池，作为其出水水质超标情况的理由；浓缩液回灌管道由中标人负责日常检查、维护，确保安全运行，维护费用由中标方承担。</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（五）监测与计量要求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1、中标人每天应对以下主要进、出厂物料量进行计量，详细记录计量数据，形成日报表备查，每月汇总上报：</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（1）污水进水量及处理量、总出水口出水量；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（2）浓缩液产生量及回流量；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（3）污泥产生量及处置量。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中标人应对计量设备及计量数据进行每班巡查，做好巡检记录；中标人应聘请具有计量检测校验相关资质的单位对流量计进行校验，至少每半年一次。用于结算费用的流量表须配备经标定的备用计量设施，一旦出现异常，立即启用备用计量设施进行计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3、中标人应按要求定期实施日常实验室检测，同时及时掌握在线监测数据，建立完善的环境监测计划与监测台账，每月12号前提交监测报告。</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（六）设备保养、维护、维修与更新要求</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1、制度建立</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中标人在本合同签订生效后十个工作日内负责制定出本项目的《运行操作规程》、《EHS规程》及《标准作业规范（SOP）》等规程报甲方备案，严格遵照执行；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中标人应建立设备与系统预防保养制度，按照本合同规定以及《安全生产法》第九十六条等相关的法律法规承担本项目操作管理、保养、维修、大修及更新的一切责任、风险及费用，包括但不限于厂内道路、绿化、围墙、厂房及建筑物、主体设备等，并按照采购人的要求进行整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中标人须在运营开始日之前的30个工作日内向采购人提交本项目的检验与维护手册。该手册应包括进行定期和年度检验、日常维修、大修维护和年度维护的程序和计划，以及调整和改进检验及维护安排的程序和计划；</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中标人应在试运营开始日之前的30个工作日内向甲方提供一份应急预案，内容包括但不限于各项环境污染及公共安全事件的、设备突发故障、进水水质波动超过项目处理能力等突发事件的应对措施。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2、设备检查、检修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中标人应当对本项目设备设施的维护与保养情况进行定期或不定期检查和检测。中标人应于每年12月第10个工作日前向采购人报送下一年度的设施、设备检修计划，经采购人批准后，按照已批准的检修计划实施检修工作。设施、设备检修计划确需变更的，须重新报采购人批准。每年年度总结中上报设备检修、维护、更新情况。</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3、设备更新及技术改造</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在合同期间，由于出水水质有超标或厂内某些设备设施运转不正常，或</w:t>
      </w:r>
      <w:r>
        <w:rPr>
          <w:rFonts w:hint="eastAsia" w:ascii="宋体" w:hAnsi="宋体" w:cs="宋体"/>
          <w:color w:val="auto"/>
          <w:sz w:val="21"/>
          <w:szCs w:val="21"/>
          <w:lang w:eastAsia="zh-CN"/>
        </w:rPr>
        <w:t>未</w:t>
      </w:r>
      <w:r>
        <w:rPr>
          <w:rFonts w:hint="eastAsia" w:ascii="宋体" w:hAnsi="宋体" w:cs="宋体"/>
          <w:color w:val="auto"/>
          <w:sz w:val="21"/>
          <w:szCs w:val="21"/>
        </w:rPr>
        <w:t>符合新颁布生效的技术或法律法规的要求，需要对设备进行更新或工艺技术进行改造，由中标人提出改造方案报采购人批准后实施。</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4、备品备件的库存</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运营期间，中标人须保存设备与备用零件的适当库存量，库存设备或零件质量及耐用性应与原先装置一致或更佳。如有任何主要设备失灵或严重受损，应立即通知采购人并自行修理或更换，不能影响系统的正常运作。</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5、计划停运与强迫停运</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rPr>
        <w:t>因设备检查检修需要停产或降低处理量的，需在污水接收计划中明确检修、降低处理量或停产的时间（开始日期及持续时间），每次停产或减产必须提前7天与甲方商定停产检修的具体事宜，获得采购人或环保部门书面同意后方可停产或减产检修。非设施大修年，计划停产或减产检修在一个年度内累计不得多于30天，每次计划停产或减产时间不超过连续5天。设施大修年度停产或减产检修时间累计不超过35天，每次计划停产或减产检修时间不超过连续7天</w:t>
      </w:r>
      <w:r>
        <w:rPr>
          <w:rFonts w:hint="eastAsia" w:ascii="宋体" w:hAnsi="宋体" w:cs="宋体"/>
          <w:color w:val="auto"/>
          <w:sz w:val="21"/>
          <w:szCs w:val="21"/>
          <w:highlight w:val="none"/>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若因设备故障或不可抵抗力发生任何强迫停运或临时降低处理量的情形，中标人应于半小时内通知采购人，24小时内向采购人提交书面报告，书面报告须详细说明造成这一紧急事故的可能原因、事故的影响严重程度、处理意见和正在采取的补救措施等，同时，中标人应采取应急抢修措施尽快恢复本项目运行。</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七、 污水供应、交付与接收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（一）污水供应与交付</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1、在整个运营期内日处理水量的规模为200 m³。</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2、渗滤液由采购人负责收集，并通过污水管线输送至调节池，污水管线设有流量表，记录交付水量数据。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3、污水经计量设施计量后即视为污水交付完成。待采购人交付中标人后，污水的处理处置权由中标人享有和行使，污水的所有权及损失或损害风险也从采购人转移至中标人。</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（二）污水接收</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中标人须按时提交月度及年度的污水接收计划，需在污水接收计划中明确检修、降低处理量或停产的时间（开始日期及持续时间）。每月的15日前，中标人应向采购人书面报送下一月度的月度污水处理接收计划。每年的12月5日前，中标人应向采购人书面报送下一年度的年度污水处理接收计划。</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八、 运营监管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（一）采购人有权派驻现场监管人员，根据合同及附件《月度监管考核评分》规定对中标人运营进行监管，采购人进行监督和检查时，中标人应提供所有相关资料供采购人查阅。</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（二）采购人每月对中标人进行全面考核评分，考核评分依照《月度监管考核评分》执行，评分与运营服务费挂钩。</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九、 运营服务费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（一）运营服务费计算</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1、运营服务费按实际污水处理量及中标价以自然月为周期进行核算。</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2、从采购人将项目正式交付于中标人之日起，正式进入运营。运营期间，运营服务费按以下公式计算：</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运营服务费=污水处理量×运营服务费单价－监管扣罚费用－合同违约金</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cs="宋体"/>
          <w:color w:val="auto"/>
          <w:szCs w:val="21"/>
        </w:rPr>
        <w:t>设计日渗滤液处理量200m³，计费水量按照</w:t>
      </w:r>
      <w:r>
        <w:rPr>
          <w:rFonts w:hint="eastAsia" w:ascii="宋体" w:hAnsi="宋体" w:cs="宋体"/>
          <w:color w:val="auto"/>
          <w:szCs w:val="21"/>
          <w:lang w:eastAsia="zh-CN"/>
        </w:rPr>
        <w:t>实际</w:t>
      </w:r>
      <w:r>
        <w:rPr>
          <w:rFonts w:hint="eastAsia" w:ascii="宋体" w:hAnsi="宋体" w:cs="宋体"/>
          <w:color w:val="auto"/>
          <w:szCs w:val="21"/>
        </w:rPr>
        <w:t>进水量</w:t>
      </w:r>
      <w:r>
        <w:rPr>
          <w:rFonts w:hint="eastAsia" w:ascii="宋体" w:hAnsi="宋体" w:cs="宋体"/>
          <w:color w:val="auto"/>
          <w:szCs w:val="21"/>
          <w:lang w:eastAsia="zh-CN"/>
        </w:rPr>
        <w:t>计算；</w:t>
      </w:r>
      <w:r>
        <w:rPr>
          <w:rFonts w:hint="eastAsia" w:ascii="宋体" w:hAnsi="宋体" w:cs="宋体"/>
          <w:color w:val="auto"/>
          <w:szCs w:val="21"/>
        </w:rPr>
        <w:t>当月平均值大于200 m³/天，超进水量部分按照中标单价的70%计算。若月渗滤液产生量少于保底量，按保底量计算</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监管扣罚费用指依据《月度监管考核评分》扣罚的金额；中标人违反《月度监管考核评分》的任何条款所产生的监管扣罚费用，从当月的污水处理服务费总额中扣减。扣分≤10分时，不扣罚；扣分＞10分时，按实际扣分扣罚。监管扣罚费用=当月实际总扣分×200元/分。每月监管扣罚费用由采购人在中标人当月运营服务费中扣除，当月运营服务费不足时则顺延至下月，直到足够支付为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、合同违约金指依据本合同相关规定扣罚的金额。当月运营服务费不足扣付时则顺延至下月，直到足够支付为止。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（二）支付程序</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1、渗滤液处理服务费资金来源为财政资金，每月按照垃圾渗滤液处理量据实结算，向中标人支付。中标人凭以下有效文件与采购人结算：</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（1）合同；</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（2）中标人开具的正式发票；</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（3）中标通知书</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）每月第三方检测公司出具的出水合格检测报告。</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中标人应在每个月结束后10个工作日内计算上月运营服务费,并以结算清单方式报采购人审批。采购人在中标人根据本合同内容履行相关义务且收到中标人提供的开具运营服务费相应金额的合法发票后，按照结算平台支付流程，由采购人完成审核，并于审核同意后向中标人支付运营服务费。</w:t>
      </w:r>
    </w:p>
    <w:p>
      <w:pPr>
        <w:spacing w:line="360" w:lineRule="auto"/>
        <w:ind w:firstLine="422" w:firstLineChars="200"/>
        <w:rPr>
          <w:rFonts w:hint="eastAsia" w:ascii="宋体" w:hAnsi="宋体" w:cs="宋体"/>
          <w:b/>
          <w:color w:val="auto"/>
          <w:sz w:val="21"/>
          <w:szCs w:val="21"/>
        </w:rPr>
      </w:pPr>
      <w:r>
        <w:rPr>
          <w:rFonts w:hint="eastAsia" w:ascii="宋体" w:hAnsi="宋体" w:cs="宋体"/>
          <w:b/>
          <w:color w:val="auto"/>
          <w:sz w:val="21"/>
          <w:szCs w:val="21"/>
        </w:rPr>
        <w:t>十、 运营期满项目移交</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（一）最后恢复性大修</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在移交日之前5个月，中标人应对项目设施进行最后一次大修，但此大修应在移交日前5个月内完成。大修的具体时间和内容由采购人和中标人协定。恢复性大修应保证设备在正常使用状态下，包括但不限于：</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1、本项目设施的设备制造厂商的说明、手册和/或维护计划所列事项；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2、消除实际存在的缺陷；</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3、检修、探伤、检测及易损易耗件更换；</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4、采购人合理要求的其他检修项目，中标人有义务将采购人合理提出的检修项目列入其最后恢复性大修计划。</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（二）性能测试</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最后恢复性大修后并在移交日之前，中标人应在采购人代表在场时进行项目设施的性能测试。测试所得性能数应符合中标人保证的功能标准及本合同规定的安全和环境标准，并处于良好的运营状态，得到良好维护，除正常磨损外完好率达100%。</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（三）移交内容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1、在项目的移交日或之前，中标人应清偿与项目有关的一切债务，解除任何留置、动产质押、不动产抵押、其他担保等，将向采购人或其指定的执行机构无偿移交：</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项目原有的及运营期内改建扩建的所有主体和配套设施、设备、器材和配件、厂房及全部与项目设施相关的所有设备、机器、装置、零部件、备品备件、化学品以及项目场地整体移交给采购人。所发生税费（如有）按有关规定各自承担。</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3、采购人合理要求的此前中标人未曾按照本合同规定交付的运营手册、运营记录、维修记录、移交记录、设计图纸、财务账目与凭证、说明书、管理制度、规范规程、计算机管理程序等其他资料。</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4、中标人对所有承包商及供应商尚未到期的债权（包括相关法律文件及其他书面材料）以及所有保险单、暂保单和保险单批单无偿转让（通过变更受益人或者权利人的方式）给采购人或其指定的执行机构。</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5、中标人应将项目运营和维护所需的知识产权及技术秘密，包括但不限于技术、技术决窍、技术秘密，版权、专利、商标等，全部无偿提供或者责成相关单位和人员无偿提供给采购人或其指定的执行机构使用，并向采购人或其指定执行机构提供一切与知识产权及技术秘密相关的一切文件及数据，包括但不限于证书、说明书、权利要求书及附图、电子文档、数据等。采购人或其指定执行机构有权以该等知识产权及技术秘密进行一切活动，且均无需另行经中标人或相关权利方的同意或确认。</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6、在移交日，由中标人以成本价向采购人转让3个月运营所需的消耗性备件和事故抢修的备品备件。所有备件应具有与中标人从设备制造厂商取得的备件相同的质量和标准，并符合相同的技术规格要求。采购人可以向中标人提交一份其要求的项目设施零备件清单。中标人应尽最大努力以其可以从生产商处得到的同样优惠的价格提供。购买该额外的备品备件费用由采购人支付。</w:t>
      </w:r>
    </w:p>
    <w:p>
      <w:p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十一、 奖惩措施</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rPr>
        <w:t>1、在运营期间，中标人的运营不符合标准，出水无法达标排放时，采购人有权</w:t>
      </w:r>
      <w:r>
        <w:rPr>
          <w:rFonts w:hint="eastAsia" w:ascii="宋体" w:hAnsi="宋体" w:cs="宋体"/>
          <w:color w:val="auto"/>
          <w:sz w:val="21"/>
          <w:szCs w:val="21"/>
          <w:highlight w:val="none"/>
        </w:rPr>
        <w:t>扣除20000元</w:t>
      </w:r>
      <w:r>
        <w:rPr>
          <w:rFonts w:hint="eastAsia" w:ascii="宋体" w:hAnsi="宋体" w:cs="宋体"/>
          <w:color w:val="auto"/>
          <w:sz w:val="21"/>
          <w:szCs w:val="21"/>
          <w:highlight w:val="none"/>
          <w:lang w:val="en-US" w:eastAsia="zh-CN"/>
        </w:rPr>
        <w:t>/次</w:t>
      </w:r>
      <w:r>
        <w:rPr>
          <w:rFonts w:hint="eastAsia" w:ascii="宋体" w:hAnsi="宋体" w:cs="宋体"/>
          <w:color w:val="auto"/>
          <w:sz w:val="21"/>
          <w:szCs w:val="21"/>
          <w:highlight w:val="none"/>
        </w:rPr>
        <w:t>的运营处理费，并通知其进行整改。30天整改期后无特殊原因还不符合标准的，采购人有权无条件终止中标人合同。</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运营期间，若采购人抽查时出现污水处理排放及脱水后污泥处理不符合标准要求的，采购人有权扣除10000元的履约保证金，中标人需进行整改并提交相关方案，若同一季度出现三次上述情况，采购人有权无条件终止中标人合同，履约保证金不予退还。</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highlight w:val="none"/>
        </w:rPr>
        <w:t>3、出现违反第六大点第（四）中点排放控制要求第2、4、5小点，环保部门季度抽检出现超标情况并责令处罚，由中标人缴纳环保处罚并及时进行整改修复。在接受环保处罚2次后，采购人有权委托</w:t>
      </w:r>
      <w:r>
        <w:rPr>
          <w:rFonts w:hint="eastAsia" w:ascii="宋体" w:hAnsi="宋体" w:cs="宋体"/>
          <w:color w:val="auto"/>
          <w:sz w:val="21"/>
          <w:szCs w:val="21"/>
          <w:highlight w:val="none"/>
          <w:lang w:val="en-US" w:eastAsia="zh-CN"/>
        </w:rPr>
        <w:t>符</w:t>
      </w:r>
      <w:r>
        <w:rPr>
          <w:rFonts w:hint="eastAsia" w:ascii="宋体" w:hAnsi="宋体" w:cs="宋体"/>
          <w:color w:val="auto"/>
          <w:sz w:val="21"/>
          <w:szCs w:val="21"/>
          <w:highlight w:val="none"/>
        </w:rPr>
        <w:t>合资格第三方，实施临时到场通知中标人抽检，抽检结果仍未达标时，采购人有权无条件解除运营合同，在采购人再次招标完成</w:t>
      </w:r>
      <w:r>
        <w:rPr>
          <w:rFonts w:hint="eastAsia" w:ascii="宋体" w:hAnsi="宋体" w:cs="宋体"/>
          <w:color w:val="auto"/>
          <w:sz w:val="21"/>
          <w:szCs w:val="21"/>
        </w:rPr>
        <w:t>后，现中标人无条件移交运营权，履约保证金不予退还。法律责任由中标人承担。</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出现违反第六大点第（四）中点排放控制标准中第3及第6小点要求时，采购人以书面形式告知中标人，并责令整改。2次书面告知整改函下达后，中标人拒绝整改，或仍出现违反情形时，采购人有权解除运营合同，在采购人再次招标完成后，现中标人无条件移交运营权，履约保证金不予退还。法律责任由中标人承担。</w:t>
      </w:r>
    </w:p>
    <w:p>
      <w:pPr>
        <w:pStyle w:val="5"/>
        <w:spacing w:before="0" w:after="0" w:line="460" w:lineRule="exact"/>
        <w:rPr>
          <w:rFonts w:hint="eastAsia" w:ascii="宋体" w:hAnsi="宋体" w:cs="宋体"/>
          <w:color w:val="auto"/>
          <w:sz w:val="21"/>
          <w:szCs w:val="21"/>
        </w:rPr>
      </w:pPr>
    </w:p>
    <w:bookmarkEnd w:id="156"/>
    <w:bookmarkEnd w:id="157"/>
    <w:p>
      <w:pPr>
        <w:spacing w:line="360" w:lineRule="auto"/>
        <w:ind w:firstLine="422" w:firstLineChars="200"/>
        <w:rPr>
          <w:rFonts w:hint="eastAsia" w:ascii="宋体" w:hAnsi="宋体" w:cs="宋体"/>
          <w:b/>
          <w:color w:val="auto"/>
          <w:szCs w:val="21"/>
        </w:rPr>
      </w:pPr>
    </w:p>
    <w:p>
      <w:pPr>
        <w:rPr>
          <w:rFonts w:hint="eastAsia"/>
          <w:color w:val="auto"/>
        </w:rPr>
      </w:pPr>
    </w:p>
    <w:p>
      <w:pPr>
        <w:pStyle w:val="22"/>
        <w:ind w:left="840" w:hanging="420"/>
        <w:rPr>
          <w:rFonts w:hint="eastAsia"/>
          <w:color w:val="auto"/>
        </w:rPr>
      </w:pPr>
    </w:p>
    <w:p>
      <w:pPr>
        <w:spacing w:after="159" w:afterLines="50" w:line="360" w:lineRule="auto"/>
        <w:jc w:val="center"/>
        <w:outlineLvl w:val="0"/>
        <w:rPr>
          <w:rFonts w:hint="eastAsia" w:ascii="宋体" w:hAnsi="宋体"/>
          <w:b/>
          <w:color w:val="auto"/>
          <w:sz w:val="32"/>
          <w:szCs w:val="32"/>
        </w:rPr>
      </w:pPr>
    </w:p>
    <w:p>
      <w:pPr>
        <w:spacing w:after="159" w:afterLines="50" w:line="360" w:lineRule="auto"/>
        <w:jc w:val="center"/>
        <w:outlineLvl w:val="0"/>
        <w:rPr>
          <w:rFonts w:hint="eastAsia" w:ascii="宋体" w:hAnsi="宋体"/>
          <w:b/>
          <w:color w:val="auto"/>
          <w:sz w:val="32"/>
          <w:szCs w:val="32"/>
        </w:rPr>
      </w:pPr>
    </w:p>
    <w:p>
      <w:pPr>
        <w:spacing w:after="159" w:afterLines="50" w:line="360" w:lineRule="auto"/>
        <w:jc w:val="both"/>
        <w:outlineLvl w:val="0"/>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pStyle w:val="2"/>
        <w:rPr>
          <w:rFonts w:hint="eastAsia" w:ascii="宋体" w:hAnsi="宋体"/>
          <w:b/>
          <w:color w:val="auto"/>
          <w:sz w:val="32"/>
          <w:szCs w:val="32"/>
        </w:rPr>
      </w:pPr>
    </w:p>
    <w:p>
      <w:pPr>
        <w:rPr>
          <w:rFonts w:hint="eastAsia"/>
          <w:color w:val="auto"/>
        </w:rPr>
      </w:pPr>
    </w:p>
    <w:p>
      <w:pPr>
        <w:numPr>
          <w:ilvl w:val="0"/>
          <w:numId w:val="10"/>
        </w:numPr>
        <w:spacing w:line="360" w:lineRule="auto"/>
        <w:jc w:val="center"/>
        <w:rPr>
          <w:rFonts w:hint="eastAsia" w:ascii="宋体" w:hAnsi="宋体"/>
          <w:b/>
          <w:color w:val="auto"/>
          <w:sz w:val="32"/>
          <w:szCs w:val="32"/>
        </w:rPr>
      </w:pPr>
      <w:r>
        <w:rPr>
          <w:rFonts w:hint="eastAsia" w:ascii="宋体" w:hAnsi="宋体"/>
          <w:b/>
          <w:color w:val="auto"/>
          <w:sz w:val="32"/>
          <w:szCs w:val="32"/>
        </w:rPr>
        <w:t>合同主要条款</w:t>
      </w:r>
      <w:bookmarkEnd w:id="158"/>
    </w:p>
    <w:p>
      <w:pPr>
        <w:numPr>
          <w:ilvl w:val="0"/>
          <w:numId w:val="0"/>
        </w:numPr>
        <w:spacing w:line="360" w:lineRule="auto"/>
        <w:jc w:val="both"/>
        <w:rPr>
          <w:rFonts w:hint="eastAsia" w:ascii="宋体" w:hAnsi="宋体" w:cs="宋体"/>
          <w:color w:val="auto"/>
          <w:szCs w:val="21"/>
        </w:rPr>
      </w:pPr>
      <w:r>
        <w:rPr>
          <w:rFonts w:hint="eastAsia" w:ascii="宋体" w:hAnsi="宋体" w:cs="宋体"/>
          <w:color w:val="auto"/>
          <w:szCs w:val="21"/>
        </w:rPr>
        <w:t>注：本合同条款仅供参考，甲乙双方可根据实际情况进行补充。</w:t>
      </w:r>
    </w:p>
    <w:p>
      <w:pPr>
        <w:spacing w:line="360" w:lineRule="auto"/>
        <w:rPr>
          <w:rFonts w:hint="eastAsia" w:ascii="宋体" w:hAnsi="宋体" w:cs="宋体"/>
          <w:color w:val="auto"/>
          <w:szCs w:val="21"/>
        </w:rPr>
      </w:pPr>
      <w:r>
        <w:rPr>
          <w:rFonts w:hint="eastAsia" w:ascii="宋体" w:hAnsi="宋体" w:cs="宋体"/>
          <w:color w:val="auto"/>
          <w:szCs w:val="21"/>
        </w:rPr>
        <w:t>甲方：</w:t>
      </w:r>
    </w:p>
    <w:p>
      <w:pPr>
        <w:spacing w:line="360" w:lineRule="auto"/>
        <w:rPr>
          <w:rFonts w:hint="eastAsia" w:ascii="宋体" w:hAnsi="宋体" w:cs="宋体"/>
          <w:color w:val="auto"/>
          <w:szCs w:val="21"/>
        </w:rPr>
      </w:pPr>
      <w:r>
        <w:rPr>
          <w:rFonts w:hint="eastAsia" w:ascii="宋体" w:hAnsi="宋体" w:cs="宋体"/>
          <w:color w:val="auto"/>
          <w:szCs w:val="21"/>
        </w:rPr>
        <w:t>统一社会信用代码：</w:t>
      </w:r>
    </w:p>
    <w:p>
      <w:pPr>
        <w:spacing w:line="360" w:lineRule="auto"/>
        <w:rPr>
          <w:rFonts w:hint="eastAsia" w:ascii="宋体" w:hAnsi="宋体" w:cs="宋体"/>
          <w:color w:val="auto"/>
          <w:szCs w:val="21"/>
        </w:rPr>
      </w:pPr>
      <w:r>
        <w:rPr>
          <w:rFonts w:hint="eastAsia" w:ascii="宋体" w:hAnsi="宋体" w:cs="宋体"/>
          <w:color w:val="auto"/>
          <w:szCs w:val="21"/>
        </w:rPr>
        <w:t>乙方：</w:t>
      </w:r>
    </w:p>
    <w:p>
      <w:pPr>
        <w:spacing w:line="360" w:lineRule="auto"/>
        <w:rPr>
          <w:rFonts w:hint="eastAsia" w:ascii="宋体" w:hAnsi="宋体" w:cs="宋体"/>
          <w:color w:val="auto"/>
          <w:szCs w:val="21"/>
        </w:rPr>
      </w:pPr>
      <w:r>
        <w:rPr>
          <w:rFonts w:hint="eastAsia" w:ascii="宋体" w:hAnsi="宋体" w:cs="宋体"/>
          <w:color w:val="auto"/>
          <w:szCs w:val="21"/>
        </w:rPr>
        <w:t>统一社会信用代码：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公开招标结果，甲方将常山县生活垃圾填埋场渗滤液处理及渗滤液处理区运维管理项目委托给乙方（乙方）进行运营维护。委托运营期期满时，乙方将项目设施及项目设施的使用权无偿完好移交给甲方。甲乙双方经友好协商，就以下内容达成协议，于_</w:t>
      </w:r>
      <w:r>
        <w:rPr>
          <w:rFonts w:hint="eastAsia" w:ascii="宋体" w:hAnsi="宋体" w:cs="宋体"/>
          <w:color w:val="auto"/>
          <w:szCs w:val="21"/>
          <w:u w:val="single"/>
        </w:rPr>
        <w:t xml:space="preserve">    </w:t>
      </w:r>
      <w:r>
        <w:rPr>
          <w:rFonts w:hint="eastAsia" w:ascii="宋体" w:hAnsi="宋体" w:cs="宋体"/>
          <w:color w:val="auto"/>
          <w:szCs w:val="21"/>
        </w:rPr>
        <w:t>年__</w:t>
      </w:r>
      <w:r>
        <w:rPr>
          <w:rFonts w:hint="eastAsia" w:ascii="宋体" w:hAnsi="宋体" w:cs="宋体"/>
          <w:color w:val="auto"/>
          <w:szCs w:val="21"/>
          <w:u w:val="single"/>
        </w:rPr>
        <w:t xml:space="preserve"> </w:t>
      </w:r>
      <w:r>
        <w:rPr>
          <w:rFonts w:hint="eastAsia" w:ascii="宋体" w:hAnsi="宋体" w:cs="宋体"/>
          <w:color w:val="auto"/>
          <w:szCs w:val="21"/>
        </w:rPr>
        <w:t>月__</w:t>
      </w:r>
      <w:r>
        <w:rPr>
          <w:rFonts w:hint="eastAsia" w:ascii="宋体" w:hAnsi="宋体" w:cs="宋体"/>
          <w:color w:val="auto"/>
          <w:szCs w:val="21"/>
          <w:u w:val="single"/>
        </w:rPr>
        <w:t xml:space="preserve">  </w:t>
      </w:r>
      <w:r>
        <w:rPr>
          <w:rFonts w:hint="eastAsia" w:ascii="宋体" w:hAnsi="宋体" w:cs="宋体"/>
          <w:color w:val="auto"/>
          <w:szCs w:val="21"/>
        </w:rPr>
        <w:t>日在常山县签署本合同。</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第一章  总则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第1条 项目概况</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常山县生活垃圾填埋场</w:t>
      </w:r>
      <w:r>
        <w:rPr>
          <w:rFonts w:hint="eastAsia" w:ascii="宋体" w:hAnsi="宋体" w:cs="宋体"/>
          <w:color w:val="auto"/>
          <w:szCs w:val="21"/>
        </w:rPr>
        <w:t>位于常山县天马街道下榨（原石坝村）岗塘坞,在常山县城乡生活垃圾卫生填埋场内。渗滤液处理厂</w:t>
      </w:r>
      <w:r>
        <w:rPr>
          <w:rFonts w:hint="eastAsia" w:ascii="宋体" w:hAnsi="宋体" w:cs="宋体"/>
          <w:color w:val="auto"/>
          <w:szCs w:val="21"/>
          <w:lang w:eastAsia="zh-CN"/>
        </w:rPr>
        <w:t>设计</w:t>
      </w:r>
      <w:r>
        <w:rPr>
          <w:rFonts w:hint="eastAsia" w:ascii="宋体" w:hAnsi="宋体" w:cs="宋体"/>
          <w:color w:val="auto"/>
          <w:szCs w:val="21"/>
        </w:rPr>
        <w:t>处理规模为200</w:t>
      </w:r>
      <w:r>
        <w:rPr>
          <w:rFonts w:hint="eastAsia" w:ascii="宋体" w:hAnsi="宋体" w:cs="宋体"/>
          <w:color w:val="auto"/>
          <w:szCs w:val="21"/>
          <w:lang w:eastAsia="zh-CN"/>
        </w:rPr>
        <w:t>m³</w:t>
      </w:r>
      <w:r>
        <w:rPr>
          <w:rFonts w:hint="eastAsia" w:ascii="宋体" w:hAnsi="宋体" w:cs="宋体"/>
          <w:color w:val="auto"/>
          <w:szCs w:val="21"/>
        </w:rPr>
        <w:t>/d。</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第2条 运营总体要求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 运营期间，未经甲方同意，乙方不得将该运营服务项目转包给第二承包人。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 乙方须在中标后积极配合甲方，进场完成运营的交接工作。乙方进场后，需理顺提升前端进水管道，统一所有进水管至总管，并在总管安装管道流量计，以统计填埋汇集渗滤液总量，所需费用由乙方负责。</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2.3 乙方在运营服务期内造成人员伤亡和财产损失的，由乙方负责赔偿。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2.4 乙方在运营期间，必须严格遵守相关的规章制度，确保运营正常，污水处理排放及脱水后污泥处理符合标准。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2.5 在运营期间，乙方必须安排足够的工作人员，并建立相应的排班制度。乙方要建立24小时值班制度，保持通讯渠道畅通，设立专门应急队伍，负责运营期间突发事件的处理，确保及时到位。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 在乙方运营期间，渗滤液处理厂必须随时接受业主检查、考核等。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 乙方必须负责协调或处理由于渗滤液所带来的与周边及下游单位（或居民）的各种问题的协调工作。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 渗滤液处理运营所需的药剂使用、易耗用品更换所需费用由乙方自行承担；渗滤液处理过程中使用的主要消耗件、消耗品必须及时更换，更换产生的费用由乙方自行承担。不可为降低运营成本而延迟或拒绝更换主要消耗件、易耗品与配件，如因以上原因导致了渗滤液处理效率与渗滤液处理质量降低，甲方在责成乙方更换有关配件后15天未内完成的，则甲方可委托第三方实施更换，费用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2.9 因违反操作规程或其他人为原因造成生产事故，导致生产设备损坏及影响渗滤液正常处理而导致经济损失，将追究相关责任单位与责任人的有关责任。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2.10 乙方在运营期间须负责渗滤液厂环境卫生保洁工作。（包括场地绿化养护工作及场容场貌管护工作，如厂区道路日常清扫等）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 乙方须对渗滤液处理外排管道定期进行清理和维护。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 乙方须对渗滤液调节池液位进行日常监测记录。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2.13乙方须对调节池区域危险气体浓度进行每日监测，在危险气体值达到临界前及时消除风险。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2.14 运营期满，乙方未能继续获取运营资格时，乙方要积极配合与下一运营单位交接。不得以任何方式阻碍交接，影响甲方正常工作。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2.15运营期满后，乙方必须确保设备的完好率、备品备件的完整性，并提交移交方案。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第3条 双方职责</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乙方负责常山县城乡生活垃圾卫生填埋场渗滤液处理厂的运营维护，甲方代表县政府向乙方购买垃圾渗滤液处理服务，并对乙方的运营服务进行行业监督管理。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但凡与本合同相关的一切权利义务，均由甲乙双方自行解决。</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第4条 合同有效期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本合同开始生效之日为     年   月    日，有效期</w:t>
      </w:r>
      <w:r>
        <w:rPr>
          <w:rFonts w:hint="eastAsia" w:ascii="宋体" w:hAnsi="宋体" w:cs="宋体"/>
          <w:color w:val="auto"/>
          <w:szCs w:val="21"/>
          <w:highlight w:val="none"/>
          <w:lang w:eastAsia="zh-CN"/>
        </w:rPr>
        <w:t>三</w:t>
      </w:r>
      <w:r>
        <w:rPr>
          <w:rFonts w:hint="eastAsia" w:ascii="宋体" w:hAnsi="宋体" w:cs="宋体"/>
          <w:color w:val="auto"/>
          <w:szCs w:val="21"/>
          <w:highlight w:val="none"/>
        </w:rPr>
        <w:t>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第5条 合同文件的组成</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下列文件视为本合同的组成部份，与本合同具有同等效力。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 本合同，本合同的所有附件以及双方在本合同签署后就本合同相关事项签署的补充文件和澄清文件等；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 投标文件，如投标文件含差异化响应表，则差异化响应表中内容优先适用于招标文件（如有）；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5.3 招标文件；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5.4 构成本合同组成部份的其他文件。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上述文件将互相补充，若有不明确或不一致之处，以上列次序先者为准。</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第二章  定义与解释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第6条 定义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 污水及垃圾渗滤液：合同所述污水及垃圾渗滤液，均指进入本项目处理的有机废水</w:t>
      </w:r>
      <w:r>
        <w:rPr>
          <w:rFonts w:hint="eastAsia" w:ascii="宋体" w:hAnsi="宋体" w:cs="宋体"/>
          <w:color w:val="auto"/>
          <w:szCs w:val="21"/>
          <w:lang w:eastAsia="zh-CN"/>
        </w:rPr>
        <w:t>（含餐厨垃圾废水）</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 运营期：指本合同生效之日起至本合同解除之日期间。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6.3 运营服务费单价：指乙方按照本合同规定每处理</w:t>
      </w:r>
      <w:r>
        <w:rPr>
          <w:rFonts w:hint="eastAsia" w:ascii="宋体" w:hAnsi="宋体" w:cs="宋体"/>
          <w:color w:val="auto"/>
          <w:szCs w:val="21"/>
          <w:lang w:val="en-US" w:eastAsia="zh-CN"/>
        </w:rPr>
        <w:t>1</w:t>
      </w:r>
      <w:r>
        <w:rPr>
          <w:rFonts w:hint="eastAsia" w:ascii="宋体" w:hAnsi="宋体" w:cs="宋体"/>
          <w:color w:val="auto"/>
          <w:szCs w:val="21"/>
        </w:rPr>
        <w:t>m³污水而应向甲方收取的污水处理费用。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6.4 运营与维护履约保证金：指乙方根据本合同的要求向甲方提供的针对项目运营和维护阶段的保证金。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6.5 恢复性大修：为确保项目移交后，甲方能够继续正常运营本项目，乙方在项目移交之前对项目所进行的全面的预防性、恢复性的检修工作。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6.6 重大环境污染事故：指违反国家的规定，向土地、水体、大气排放、倾倒或者处置有放射性的废物、含传染病病原体的废物、有毒物质或者其他危险废物，造成重大环境污染，致使公私财产遭受重大损失或者人身伤亡的严重后果的情况。</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6.7 重大质量事故：凡具备下列条件之一者为重大事故，属建设工程重大事故范畴。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（1）工程倒塌或报废；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（2）由于质量事故，造成人员伤亡或重伤3人以上；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（3）直接经济损失10万元以上；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6.8 重大安全生产事故：是指造成3人以上10人以下死亡，或者10人以上50人以下重伤，或者1000万元以上5000万元以下直接经济损失的事故。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6.9 法律变更：指合同有效期内发生的任何法律、法规、规章和行政规范性文件的实施、颁布、修改或废除。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第7条 解释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在本合同中，标题仅为方便而用，不构成对本合同的解释；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7.1 除非本合同上下文另有规定，所指条款和附件均为本合同的条款和附件；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7.2 除非本合同上下文另有规定，“一方”或“各方”应视为本合同的一方或各方；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7.3 双方在执行本合同规定的义务和责任时，均有义务诚信履约；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7.4 除非本合同另有规定，所指日期、星期、月份和年度均为公历日期、星期、月份和年度；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7.5 若支付款项之日为非工作日，则应视下一个营业日为支付日；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7.6 “批准”包括审批、审查、许可、核准等，其具体含义由甲方根据法律及法规的规定予以解释和应用。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7.7 提及任何一文件时，应包括对该文件的修订、补充、重述、替换或更新。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7.8 提及任何文件之一方时，应包括该方的法定承继人和经授权或许可的受让人。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7.9 所指的“维护”应始终解释为包括“保养”、“修理”与“更换”。</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第三章  声明和保证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第8条 甲方的声明和保证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8.1 遵守国家各级权利机构和政府所颁布的所有法律、法规、规章和规范性文件，依法依规对本项目进行监督管理。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8.2 根据乙方的要求和相关法律法规提供必要的协助，如有费用支出由乙方承担，且甲方不承担任何相关后果，同时不免除乙方在本合同中应承担的义务。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8.3 除本合同另有约定或为了保护公众健康和公共安全履行其法定职责外，甲方不干预本项目的正常运营。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8.4 运营期间，甲方发现乙方在运营管理中存在偏差、遗漏、缺陷、不妥、延误等情况，有权书面或口头通知乙方进行纠正或补救，但甲方未发现、未通知不应被视为其对本合同权利的放弃，也不免除乙方在本合同中的任何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8.5 在本合同履行期间，甲方将严格按照本合同的相关规定提取和使用运营和维护履约保证金。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8.6 甲方鼓励乙方通过优化工艺、建设相关设施等措施以降低各类废渣、废水的排放量，增加回收量或资源化回收量，甲方不因乙方采取了以上措施获得了额外的经济效益而调低运营服务费。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8.7 甲方按照本合同约定按时、足额向乙方支付运营服务费。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第9条 乙方的声明和保证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 始终遵守国家各级权利机构和政府所颁布的所有法律、法规、规章和规范性文件。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9.2 乙方将自行承担运营期内的费用和风险，负责本厂的运营维护，使本厂处于良好运营状态并能按照本合同约定安全、稳定地处理垃圾渗滤液使之达标出水，并防止安全事故和环境污染事故的发生。除本合同解除或终止外，乙方不得以任何理由暂停或终止对本厂的运营服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9.3 乙方对处理系统的运行、设备的维护检修更新、生产管理等生产经营行为须遵循甲方的要求。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9.4 项目用地、项目所有设施、建筑物和构筑物的所有权属于甲方，在运营期间，乙方仅有使用权，乙方不得将项目用地、设施、建筑物和构筑物进行抵押。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9.5 积极接受与配合甲方及相关部门的监督，向甲方开放所有设施，向甲方提供甲方要求的数据和必要的说明，并对数据的真实性负责。</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9.6 保证本项目的运营符合国家和行业的相关标准和规范，以及项目建议书、可行性研究报告、环境报告书等文件及其批复的规定（以要求较严者为准），依法以及谨慎工程和运营惯例运营管理本项目。本合同有效期内，除非出现中国法律规定及/或本合同约定的情况，乙方不得自行停止、中止、终止本项目的全部或部分工作，并不得单方面解除本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9.7 保证及时获得所有当地政府机构或公共服务机构要求的以乙方名义申请的各种许可、批准和许可证以备履行本协议之用。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9.8 负责项目周边环境保护，维护公共健康和安全，保证公开企业环境信息。</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9.9 在运营本项目时应采取一切合理措施来避免或减少对周边设施、建筑物和居民区的不良影响、妨碍或损害。如有不良影响、妨碍或损害，乙方将负责排除和解决，由此产生的一切费用全部由乙方负担。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9.10 乙方应无条件接收原甲方填埋场渗滤液处理厂工作人员；遵守劳动保护法律法规和地方有关规章，最大限度地保护从事本项目的劳动者的合法权益。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9.11 对其承包商和承包商雇员的行为负责，乙方对该等行为承担全部法律和经济责任。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9.12 对本项目全部及其中各部份的技术可行性、运行能力、经济性和可靠性负全部法律和经济责任。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9.13 乙方保证在本项目中采用的所有工艺技术及设备不存在侵犯他人知识产权的情形，在本合同有效期内的任何知识产权纠纷或者其它纠纷，均由乙方负责解决并承担因此而产生的全部法律和经济责任。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9.14 乙方保证依法缴纳与其提供的污水处理服务及从事的任何活动有关的各种税项和费用。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9.15 乙方在运营期间按照适用的法律和法规为本项目购买保险，保险内容包括但不限于财产一切险、机器损坏险及公众责任险，投保期与运营期相同。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第10条 声明和保证的责任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如果任一方违反本章的声明和保证，另一方有权就因此引起的任何损害获得该方的赔偿，并有权按照法律规定或本合同相关约定解除本合同。</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第四章  经营权和使用权</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第11条 项目交付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 本合同签署后甲方即安排交付事项，具体交付日期以甲方通知为准。项目交付后，乙方即正式接管本项目并全权负责本项目所有的运营维护管理工作。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甲方应于项目交付日无偿将项目用地及与运营有关的所有设施设备、建筑物、构筑物以及各种技术文件交付乙方。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第12条 经营权和使用权</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项目交付乙方后，乙方即拥用本项目的经营权和使用权，土地和资产所有权为甲方所有。乙方不得将土地和资产作为担保、抵押、质押。</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第13条 运营业务转包分包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不得擅自将运营业务转包、分包给第三方经营（乙方的全资子公司除外），因运营需要，确须转包、分包的，应当事先取得甲方的书面同意，并须将受委托承包方（以下简称承包方）相关资质报甲方备案。乙方将运营业务转包、分包给第三方经营的，乙方与第三方应共同向甲方承担连带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不经甲方同意对外委托承包相关业务，或不按国家、省、市有关管理规定对外委托相关业务，或向不具备相关资质单位委托承包相关业务的，甲方有权解除本合同并提取运营与维护履约保证金的部份或全部数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第14条 运营与维护履约保证金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15.1 运营与维护履约保证金金额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乙方应在本合同签署前一次性向甲方提交运营与维护履约保证金，作为其履行本协议项下的运营和维护污水处理厂的义务的保证。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15.2 提取运营与维护履约保证金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运营期内，发生乙方未及时完成支付本合同规定应支付的金额、运营服务费未足以扣除违约金、发生事故时乙方未及时赔偿、乙方未能履行合同要求而需甲方聘请第三方进行补救等乙方需支付费用而未及时完成支付的情况时，甲方有权提取运营与维护履约保证金的相应金额进行支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15.3 补足运营与维护履约保证金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如果甲方根据本合同的约定，在经营期内已经提取运营与维护履约保证金的任何数额，应及时书面通知乙方，乙方应确保在前述提取发生后十五（15）个工作日内，补足运营与维护履约保证金的原始数额。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15.4 有效期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运营与维护履约保证金在合同到期并完成项目移交后六个月由甲方退还于乙方。</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第五章  项目运营服务要求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第16条 运营服务管理内容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16.1 处理进厂渗滤液并达标排放；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16.2 渗滤液处理设施设备的操作及管理工作；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16.3 渗滤液处理设备的日常保养维护及更换工作（包括污泥渣物清运及地面、设备保洁工作）；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16.4 提供渗滤液处理系统运行所需的药品药剂；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16.5 场内安全、绿化及卫生管理。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第17条 运营要求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对常山县城乡生活垃圾卫生填埋场渗滤液处理厂的运营管理须符合《生活垃圾渗滤液处理技术规范》（CJJ150-2010）和《生活垃圾填埋场渗滤液处理工程技术规范》（HJ564-2010），以及甲方的要求，包括但不限于以下内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 除因不可抗力事故或正常检修期外，乙方应保证渗滤液处理系统各个处理单元处于良好工况，且处理效果稳定，出水水质符合国家及地方现行的标准规范；</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 按照法律规定和环评要求妥善处理系统产生的污染物，不发生泄漏或二次污染，浓缩液不得未经处理回灌或排放，冲洗残液和工艺废水须排入渗滤液处理系统进行处理；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17.3 具有切合实际的、规程完善的系统设备检修维护计划、设备大修及更新计划、质量保证和质量控制方案、应急预案；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17.4 建立完善可行的管理制度，包括但不限于运行管理制度、设备管理制度、消耗品及备品备件管理制度、危险品管理制度、监测分析制度、人员岗位制度、成本控制制度，并严格按照制度执行；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17.5 对垃圾渗滤液处理系统、输水管线、自动化控制系统、计量系统等所有设备仪表进行保养维修；计量系统须定期委托有资质的第三方进行校准；污染源在线监测系统由甲方委托有资质的第三方进行维护；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17.6 配合协助保持水质项目在线监测系统正常运行，配合保障系统可实时传输上报污染物排放数据至甲方及环保部门的监督系统；配备专业人员进行日常监测，制定日常监测计划，按时向甲方或政府监督部门提交监测报告，并接受环保部门的抽检；</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17.7 水质监测系统、计量系统定期进行校准核实，按时向政府监督部门提交仪表设备的运行记录；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17.8 药剂、膜等消耗性备品备件须进行统计，及时补充更换；重要的系统设备零部件须配备齐全，设备故障时能及时修理或更换，不影响系统正常运作；</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17.9 本项目定员不低于10人（包括但不限于：运营操作工），甲方为乙方提供办公场所；运营期间乙方须配备齐全的、有经验的运营管理和专业技术人员，主要人员须具备中级以上技术职称或相关职业资格；建立完善的人员管理制度，制定培训计划，定期组织培训；</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17.10 自觉接受甲方及政府部门的监督，对发现的问题及时做出整改；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17.11 劳动安全、工业卫生、消防措施应符合国家和行业的有关标准，措施得当，可操作性强；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17.12 维护公共健康和安全，避免对周边设施、建筑物、居民造成干扰和不良影响；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17.13 做好厂界内绿化养护、环境卫生保洁、保安管理；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17.14 运营期满时，运营单位将设施完备、工艺运行良好、环保排放达标的垃圾渗滤液处理厂项目无偿移交给甲方或甲方指定单位。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17.15 遇突发事件，乙方应积极配合甲方采取应急措施。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17.16 投标文件承诺的项目团队人员不得随意变更，如需变更必须征得甲方的书面同意且变更的项目负责人应具有与岗位要求相符合的资格和能力。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17.17 排污费由乙方负责及缴纳（如有）。</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第六章  污水的供应、交付与接收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第18条 污水供应与交付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18.1 经过监测进水水量连续三个月与设计值相差较大且已超过本项目的最大处理能力时，由甲乙双方协商解决</w:t>
      </w:r>
      <w:r>
        <w:rPr>
          <w:rFonts w:hint="eastAsia" w:ascii="宋体" w:hAnsi="宋体" w:cs="宋体"/>
          <w:color w:val="auto"/>
          <w:szCs w:val="21"/>
          <w:lang w:eastAsia="zh-CN"/>
        </w:rPr>
        <w:t>，</w:t>
      </w:r>
      <w:r>
        <w:rPr>
          <w:rFonts w:hint="eastAsia" w:ascii="宋体" w:hAnsi="宋体" w:cs="宋体"/>
          <w:color w:val="auto"/>
          <w:szCs w:val="21"/>
        </w:rPr>
        <w:t>乙方在保证出水达标的前提下，最大量的进行处理。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18.2 渗滤液由甲方负责收集，并通过污水管线输送至调节池，污水管线应设有流量表，记录交付水量数据。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18.3 污水经计量设施计量后即视为污水交付完成。待甲方交付乙方后，污水的处理处置权由乙方享有和行使，污水的所有权及损失或损害风险也从甲方转移至乙方。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第19条 污水接收计划</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19.1 乙方应制定运营月度污水处理接收计划以及运营年度污水处理接收计划。</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19.2 每月的15日前，乙方应向甲方书面报送下一月度的月度污水处理接收计划。</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19.3 每年的12月5日前，乙方应向甲方书面报送下一年度的年度污水处理接收计划。</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19.4 运营期间，乙方应在年度污水处理接收计划中明确因检修导致停产或减产的计划时间（开始日期及持续时间），每次停产或减产必须提前7天与甲方商定停产检修的具体事宜，获得甲方书面同意后方可停产或减产检修。非设施大修年，计划停产或减产检修在一个年度内累计不得多于30天，每次计划停产或减产时间不超过连续5天。设施大修年度停产或减产检修时间累计不超过35天，每次计划停产或减产检修时间不超过连续7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第20条 污水接收计划的调整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 甲方有权单方决定并书面通知乙方下一月的月度污水处理接收计划增加或减少的要求。在不违反本合同其它条款的条件下，乙方应接受调整后的接收计划。在此情况下，甲方只须按修改后的月度污水处理接收计划所规定的污水数量供应污水，双方应按修改后的处理数量结算。乙方如单方要求增加或减少月度污水处理接收计划量，需至少提前一个月书面通知甲方，征得甲方的书面同意答复方可实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20.2当乙方减少后的污水接收量影响到乙方达到年保证处理量时，甲方有权从运营服务费中扣除违约金。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 紧急情况</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（1）乙方在运营期间遇到设备突发故障等因素影响需临时调整处理水量，应在事故发生后启动应急预案并马上通知甲方。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如果甲方以其合理而谨慎判断决定下述紧急情况存在，甲方有权即时停止向乙方提供污水：由于设施的质量或污水处理过程的可靠性、安全性对本项目周边环境造成有关环保的实质性不利影响；对人员或财产造成紧急的实质性威胁。</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第七章  处理要求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第21条 乙方的处理量义务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w:t>
      </w:r>
      <w:r>
        <w:rPr>
          <w:rFonts w:hint="eastAsia" w:ascii="宋体" w:hAnsi="宋体" w:cs="宋体"/>
          <w:color w:val="auto"/>
          <w:sz w:val="21"/>
          <w:szCs w:val="21"/>
        </w:rPr>
        <w:t>在委托运营期内，除因不可抗力事故及检修期外，原则上每天的进水须在当天处理完毕，</w:t>
      </w:r>
      <w:r>
        <w:rPr>
          <w:rFonts w:hint="eastAsia" w:ascii="宋体" w:hAnsi="宋体" w:cs="宋体"/>
          <w:color w:val="auto"/>
          <w:sz w:val="21"/>
          <w:szCs w:val="21"/>
          <w:lang w:eastAsia="zh-CN"/>
        </w:rPr>
        <w:t>在渗滤液产生量充足的情况下，</w:t>
      </w:r>
      <w:r>
        <w:rPr>
          <w:rFonts w:hint="eastAsia" w:ascii="宋体" w:hAnsi="宋体" w:cs="宋体"/>
          <w:color w:val="auto"/>
          <w:sz w:val="21"/>
          <w:szCs w:val="21"/>
        </w:rPr>
        <w:t>中标人应保证本厂的处理能力不低于1</w:t>
      </w:r>
      <w:r>
        <w:rPr>
          <w:rFonts w:hint="eastAsia" w:ascii="宋体" w:hAnsi="宋体" w:cs="宋体"/>
          <w:color w:val="auto"/>
          <w:sz w:val="21"/>
          <w:szCs w:val="21"/>
          <w:lang w:val="en-US" w:eastAsia="zh-CN"/>
        </w:rPr>
        <w:t>4</w:t>
      </w:r>
      <w:r>
        <w:rPr>
          <w:rFonts w:hint="eastAsia" w:ascii="宋体" w:hAnsi="宋体" w:cs="宋体"/>
          <w:color w:val="auto"/>
          <w:sz w:val="21"/>
          <w:szCs w:val="21"/>
        </w:rPr>
        <w:t>0m³/d</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21.2实际进水水质明显优于设计进水水质指标时，应甲方要求，乙方应适当调增污水处理量。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21.3乙方应保证项目出水量不超过进水量。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第22条 乙方的处理达标义务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22.1 出水水质按照《生活垃圾填埋污染控制标准》（GB16889-2008）表2标准执行。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22.2 废气的排放应符合国家《大气污染物综合排放标准》。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22.3 噪声排放执行《工业企业厂界环境噪声排放标准》（GB12348--2008）2类标准，即昼间等效声级≤60dB（A），夜间等效声级≤50dB（A）。</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22.4 项目产生的固体废弃物排放处置应符合《中华人民共和国固体废物污染环境防治法》的规定。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第23条 污泥处置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污泥的处理处置应符合《生活垃圾填埋场渗滤液处理工程技术规范》（HJ564-2010）及其他相关法律法规、标准及规范。污泥脱水至含水率不得超过</w:t>
      </w:r>
      <w:r>
        <w:rPr>
          <w:rFonts w:hint="eastAsia" w:ascii="宋体" w:hAnsi="宋体" w:cs="宋体"/>
          <w:color w:val="auto"/>
          <w:szCs w:val="21"/>
          <w:highlight w:val="none"/>
        </w:rPr>
        <w:t>80%，由乙方按照环保要求委托有资质的单位进行处置。以符</w:t>
      </w:r>
      <w:r>
        <w:rPr>
          <w:rFonts w:hint="eastAsia" w:ascii="宋体" w:hAnsi="宋体" w:cs="宋体"/>
          <w:color w:val="auto"/>
          <w:szCs w:val="21"/>
        </w:rPr>
        <w:t>合相关法律法规、标准及规范的处置方式及委托处置方等信息均须在运营前向甲方报告，并承担全部处置责任。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第24条 浓缩液处置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rPr>
        <w:t>膜深度处理系统排出的浓缩液均须自行通过妥善方式处理，为保障垃圾堆体安全原因，浓缩液回灌填埋库区须经采购人同意；乙方不得以未妥善处置渗滤液浓缩液而回灌至调节池，作为其出水水质超标情况的理由；</w:t>
      </w:r>
      <w:r>
        <w:rPr>
          <w:rFonts w:hint="eastAsia" w:ascii="宋体" w:hAnsi="宋体" w:cs="宋体"/>
          <w:color w:val="auto"/>
          <w:szCs w:val="21"/>
          <w:highlight w:val="none"/>
        </w:rPr>
        <w:t>乙方负责自行处置浓缩液，以符合相关法律法规、标准及规范的处置方式及委托处置方等信息均须在运营前向采购人报告，并承担全部处置责任。</w:t>
      </w:r>
    </w:p>
    <w:p>
      <w:pPr>
        <w:spacing w:line="360" w:lineRule="auto"/>
        <w:jc w:val="center"/>
        <w:rPr>
          <w:rFonts w:hint="eastAsia" w:ascii="宋体" w:hAnsi="宋体" w:cs="宋体"/>
          <w:b/>
          <w:color w:val="auto"/>
          <w:szCs w:val="21"/>
        </w:rPr>
      </w:pPr>
      <w:r>
        <w:rPr>
          <w:rFonts w:hint="eastAsia" w:ascii="宋体" w:hAnsi="宋体" w:cs="宋体"/>
          <w:b/>
          <w:color w:val="auto"/>
          <w:szCs w:val="21"/>
        </w:rPr>
        <w:t>第八章  监测与计量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第25条 水量计量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每日应对污水进水量及处理量、总出水口出水量、浓缩液产生量及回流量、污泥产生量及处置量进行计量，详细记录计量数据，形成日报表备查，每月汇总上报。每月的计量统计数据经甲乙双方签字确认并各自存档。</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第26条 计量设施的校准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26.1 乙方须每半年一次报请有资质的第三方对进、出水流量表进行检测校准，费用由乙方负责，校准合格后，由甲方和乙方双方共同签章密封。如果计量表的密封被破坏，视为乙方修改计量表记录的充分证据，则甲方扣除乙方发现当月运营服务费，并由乙方负责按照以上规定校准流量表。第三方单位应具有政府质量技术监督管理部门认定的“承担计量器具（强制）检定、测试、校准，提供相关技术检测与咨询服务”资质。第三方单位由乙方根据政府质量技术监督管理部门相关规定选择，乙方须将相关资质证明材料报甲方备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26.2 乙方应与甲方商定校准日期，指定一天进行校准检测，并应避免污水的正常计量产生影响。检测完成后，乙方应向甲方提交检验报告。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26.3 甲方可以不定期直接委托有资质的第三方抽验流量表，抽验结果合格的，其费用由甲方承担；结果不合格的，则由乙方承担费用。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26.4 乙方委托第三方对流量表的校准检测。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第27条 计量设施的维护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27.1 流量表的保养和维修，应由具备资质的专业机构进行，并出具合格证明；流量表需要保用维修时，乙方须提前3个工作日书面通知甲方。保养和维修专业机构由乙方选择，乙方须将该专业机构相关资质证明文件报甲方备案；保养和维修费用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27.2 流量表故障时乙方应停止相关工序的进、出水，并通知甲方监管人员到达现场签字确认，直至甲方监管人员确认故障解除为止，之间发生的所有数据（包括自动生成的数据）必须经甲方监管人员确认，否则为争议数据。争议数据在各方未达成一致意见前，暂时停止该部分数据对应的费用支付。牵涉第三方的应由第三方参与确认。</w:t>
      </w:r>
    </w:p>
    <w:p>
      <w:pPr>
        <w:spacing w:line="360" w:lineRule="auto"/>
        <w:jc w:val="center"/>
        <w:rPr>
          <w:rFonts w:hint="eastAsia" w:ascii="宋体" w:hAnsi="宋体" w:cs="宋体"/>
          <w:b/>
          <w:color w:val="auto"/>
          <w:szCs w:val="21"/>
        </w:rPr>
      </w:pPr>
      <w:r>
        <w:rPr>
          <w:rFonts w:hint="eastAsia" w:ascii="宋体" w:hAnsi="宋体" w:cs="宋体"/>
          <w:b/>
          <w:color w:val="auto"/>
          <w:szCs w:val="21"/>
        </w:rPr>
        <w:t>第九章  环境监测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第28条 监测手段</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保证本厂出水、臭气、废气、噪声等环境因子应符合合同约定、环评批复要求及国家、省、市的相关法律、法规、标准，以较严者为准,做到达标排放，不发生泄漏或二次污染。乙方应按要求组织开展环境监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28.1 日常检测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须按国家相关标准、规范及本项目环境影响报告及其批复的要求制定环境监测计划报甲方同意后并组织实施，配备专人负责环境监测工作，检测与记录每天的进、出水指标，每月按时把检测报告上报甲方，并保证检测记录的完整性与真实性。</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28.2 在线监测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甲方在线监测系统与环保监管系统联网，实时传输上报主要污染物排放数据，有效数据捕集率每季度应不低于90%，并定期对系统进行维护及校核，确保检测灵敏及数据传输稳定。甲方将依据在线监测数据核查当日乙方的检测数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28.3 委托第三方监测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乙方应按要求定期委托有相关资质的第三方对相关指标进行监测。甲方将不定期委托有资质的第三方对出水水质及其他污染排放指标进行检测，乙方应积极配合。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28.4 环保部门执法检查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环保部门或其他政府部门会对本厂污染物排放指标进行不定期的执法检查，查出超标所导致的罚款均由乙方自行承担，并由乙方承担整改的所有费用，以及引起的对甲方的所有经济和名誉损失。</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第29条 检测结果效力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上述所有检测结果均可作为甲方对乙方的监管依据，若检测结果超标，甲方将按本合同规定对乙方的运营服务费进行扣罚，同时，乙方应对出水水质不达标的原因进行排查和整改。检测结果效力按环保部门或其他政府部门的执法检查、第三方监测、乙方日常检测、在线监测从高到低排序，上述检测数据之间有矛盾时以排序靠前者为准。</w:t>
      </w:r>
    </w:p>
    <w:p>
      <w:pPr>
        <w:spacing w:line="360" w:lineRule="auto"/>
        <w:jc w:val="center"/>
        <w:rPr>
          <w:rFonts w:hint="eastAsia" w:ascii="宋体" w:hAnsi="宋体" w:cs="宋体"/>
          <w:b/>
          <w:color w:val="auto"/>
          <w:szCs w:val="21"/>
        </w:rPr>
      </w:pPr>
      <w:r>
        <w:rPr>
          <w:rFonts w:hint="eastAsia" w:ascii="宋体" w:hAnsi="宋体" w:cs="宋体"/>
          <w:b/>
          <w:color w:val="auto"/>
          <w:szCs w:val="21"/>
        </w:rPr>
        <w:t>第十章  运营服务费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第30条 运营服务费单价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垃圾渗滤液</w:t>
      </w:r>
      <w:r>
        <w:rPr>
          <w:rFonts w:hint="eastAsia" w:ascii="宋体" w:hAnsi="宋体" w:cs="宋体"/>
          <w:color w:val="auto"/>
          <w:szCs w:val="21"/>
          <w:highlight w:val="none"/>
        </w:rPr>
        <w:t>运营服务费单价为：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元/m³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微电荷及自养反硝化脱氮运营服务</w:t>
      </w:r>
      <w:r>
        <w:rPr>
          <w:rFonts w:hint="eastAsia" w:ascii="宋体" w:hAnsi="宋体" w:cs="宋体"/>
          <w:color w:val="auto"/>
          <w:szCs w:val="21"/>
          <w:highlight w:val="none"/>
        </w:rPr>
        <w:t>单价为：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元/m³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污泥处置费</w:t>
      </w:r>
      <w:r>
        <w:rPr>
          <w:rFonts w:hint="eastAsia" w:ascii="宋体" w:hAnsi="宋体" w:cs="宋体"/>
          <w:color w:val="auto"/>
          <w:szCs w:val="21"/>
          <w:highlight w:val="none"/>
        </w:rPr>
        <w:t>单价为：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元/m³。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第31条 运营服务费计算</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rPr>
        <w:t>运营服务费按实际污水处理量及本项目运营服务费单价以自然月为周期进行核算。从甲方将项目正式交付于乙方之日起，正式进入运营。</w:t>
      </w:r>
      <w:r>
        <w:rPr>
          <w:rFonts w:hint="eastAsia" w:ascii="宋体" w:hAnsi="宋体" w:cs="宋体"/>
          <w:color w:val="auto"/>
          <w:szCs w:val="21"/>
          <w:lang w:eastAsia="zh-CN"/>
        </w:rPr>
        <w:t>生活垃圾渗滤液处置自运营之日起计算，</w:t>
      </w:r>
      <w:r>
        <w:rPr>
          <w:rFonts w:hint="eastAsia" w:ascii="宋体" w:hAnsi="宋体" w:eastAsia="宋体" w:cs="宋体"/>
          <w:b/>
          <w:bCs/>
          <w:color w:val="auto"/>
          <w:sz w:val="21"/>
          <w:szCs w:val="21"/>
          <w:lang w:eastAsia="zh-CN"/>
        </w:rPr>
        <w:t>自</w:t>
      </w:r>
      <w:r>
        <w:rPr>
          <w:rFonts w:hint="eastAsia" w:ascii="宋体" w:hAnsi="宋体" w:eastAsia="宋体" w:cs="宋体"/>
          <w:b/>
          <w:bCs/>
          <w:color w:val="auto"/>
          <w:sz w:val="21"/>
          <w:szCs w:val="21"/>
        </w:rPr>
        <w:t>2023年</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日起，开始结算微电荷及自养反硝化服务费，污泥处置费按照</w:t>
      </w:r>
      <w:r>
        <w:rPr>
          <w:rFonts w:hint="eastAsia" w:ascii="宋体" w:hAnsi="宋体" w:eastAsia="宋体" w:cs="宋体"/>
          <w:b/>
          <w:bCs/>
          <w:color w:val="auto"/>
          <w:sz w:val="21"/>
          <w:szCs w:val="21"/>
          <w:lang w:eastAsia="zh-CN"/>
        </w:rPr>
        <w:t>生活垃圾填埋场</w:t>
      </w:r>
      <w:r>
        <w:rPr>
          <w:rFonts w:hint="eastAsia" w:ascii="宋体" w:hAnsi="宋体" w:eastAsia="宋体" w:cs="宋体"/>
          <w:b/>
          <w:bCs/>
          <w:color w:val="auto"/>
          <w:sz w:val="21"/>
          <w:szCs w:val="21"/>
        </w:rPr>
        <w:t>不能填埋</w:t>
      </w:r>
      <w:r>
        <w:rPr>
          <w:rFonts w:hint="eastAsia" w:ascii="宋体" w:hAnsi="宋体" w:eastAsia="宋体" w:cs="宋体"/>
          <w:b/>
          <w:bCs/>
          <w:color w:val="auto"/>
          <w:sz w:val="21"/>
          <w:szCs w:val="21"/>
          <w:lang w:eastAsia="zh-CN"/>
        </w:rPr>
        <w:t>当月</w:t>
      </w:r>
      <w:r>
        <w:rPr>
          <w:rFonts w:hint="eastAsia" w:ascii="宋体" w:hAnsi="宋体" w:eastAsia="宋体" w:cs="宋体"/>
          <w:b/>
          <w:bCs/>
          <w:color w:val="auto"/>
          <w:sz w:val="21"/>
          <w:szCs w:val="21"/>
        </w:rPr>
        <w:t>开始计费结算。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运营期间，运营服务费按以下公式计算：</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val="en-US" w:eastAsia="zh-CN"/>
        </w:rPr>
        <w:t>31.1</w:t>
      </w:r>
      <w:r>
        <w:rPr>
          <w:rFonts w:hint="eastAsia" w:ascii="宋体" w:hAnsi="宋体" w:cs="宋体"/>
          <w:color w:val="auto"/>
          <w:szCs w:val="21"/>
        </w:rPr>
        <w:t>设计日渗滤液处理量200m³，计费水量按照</w:t>
      </w:r>
      <w:r>
        <w:rPr>
          <w:rFonts w:hint="eastAsia" w:ascii="宋体" w:hAnsi="宋体" w:cs="宋体"/>
          <w:color w:val="auto"/>
          <w:szCs w:val="21"/>
          <w:lang w:eastAsia="zh-CN"/>
        </w:rPr>
        <w:t>实际</w:t>
      </w:r>
      <w:r>
        <w:rPr>
          <w:rFonts w:hint="eastAsia" w:ascii="宋体" w:hAnsi="宋体" w:cs="宋体"/>
          <w:color w:val="auto"/>
          <w:szCs w:val="21"/>
        </w:rPr>
        <w:t>进水量计算</w:t>
      </w:r>
      <w:r>
        <w:rPr>
          <w:rFonts w:hint="eastAsia" w:ascii="宋体" w:hAnsi="宋体" w:cs="宋体"/>
          <w:color w:val="auto"/>
          <w:szCs w:val="21"/>
          <w:lang w:eastAsia="zh-CN"/>
        </w:rPr>
        <w:t>：</w:t>
      </w:r>
    </w:p>
    <w:p>
      <w:pPr>
        <w:spacing w:line="360" w:lineRule="auto"/>
        <w:ind w:firstLine="420" w:firstLineChars="200"/>
        <w:rPr>
          <w:rFonts w:hint="eastAsia" w:ascii="宋体" w:hAnsi="宋体" w:cs="宋体"/>
          <w:color w:val="auto"/>
          <w:szCs w:val="21"/>
        </w:rPr>
      </w:pPr>
      <w:r>
        <w:rPr>
          <w:rFonts w:hint="eastAsia"/>
          <w:color w:val="auto"/>
        </w:rPr>
        <w:t>运营服务费=实际污水处理量×运营服务费单价－监管扣罚费用－合同违约金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31.2当月平均值大于200 m³/天，超进水量部分按照中标单价的70%计算：</w:t>
      </w:r>
    </w:p>
    <w:p>
      <w:pPr>
        <w:spacing w:line="360" w:lineRule="auto"/>
        <w:ind w:firstLine="420" w:firstLineChars="200"/>
        <w:rPr>
          <w:rFonts w:hint="eastAsia" w:ascii="宋体" w:hAnsi="宋体" w:cs="宋体"/>
          <w:color w:val="auto"/>
          <w:szCs w:val="21"/>
        </w:rPr>
      </w:pPr>
      <w:r>
        <w:rPr>
          <w:rFonts w:hint="eastAsia"/>
          <w:color w:val="auto"/>
        </w:rPr>
        <w:t>超额部分的污水处理服务费=</w:t>
      </w:r>
      <w:r>
        <w:rPr>
          <w:color w:val="auto"/>
        </w:rPr>
        <w:t>污水处理单价×</w:t>
      </w:r>
      <w:r>
        <w:rPr>
          <w:rFonts w:hint="eastAsia"/>
          <w:color w:val="auto"/>
        </w:rPr>
        <w:t>超出基本水量的</w:t>
      </w:r>
      <w:r>
        <w:rPr>
          <w:color w:val="auto"/>
        </w:rPr>
        <w:t>处理水量×</w:t>
      </w:r>
      <w:r>
        <w:rPr>
          <w:rFonts w:hint="eastAsia"/>
          <w:color w:val="auto"/>
        </w:rPr>
        <w:t>70%。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监管扣罚费用指依据《月度监管考核评分》扣罚的金额；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合同违约金指依据本合同相关规定扣罚的金额。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shd w:val="clear" w:color="auto" w:fill="FFFFFF"/>
        </w:rPr>
        <w:t>第32</w:t>
      </w:r>
      <w:r>
        <w:rPr>
          <w:rFonts w:hint="eastAsia" w:ascii="宋体" w:hAnsi="宋体" w:cs="宋体"/>
          <w:color w:val="auto"/>
          <w:szCs w:val="21"/>
        </w:rPr>
        <w:t>条 特别情形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如合同期内出现填埋场永久封场、进场填埋垃圾量减少或停止填埋运营等现象，进而导致处理进水量不足的情形时，按如下情况进行：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调节池清空为前提，月</w:t>
      </w:r>
      <w:r>
        <w:rPr>
          <w:rFonts w:hint="eastAsia" w:ascii="宋体" w:hAnsi="宋体" w:cs="宋体"/>
          <w:color w:val="auto"/>
          <w:szCs w:val="21"/>
          <w:highlight w:val="none"/>
        </w:rPr>
        <w:t>保底量按设计进</w:t>
      </w:r>
      <w:r>
        <w:rPr>
          <w:rFonts w:hint="eastAsia" w:ascii="宋体" w:hAnsi="宋体" w:cs="宋体"/>
          <w:color w:val="auto"/>
          <w:szCs w:val="21"/>
          <w:highlight w:val="none"/>
          <w:lang w:eastAsia="zh-CN"/>
        </w:rPr>
        <w:t>水量的50%</w:t>
      </w:r>
      <w:r>
        <w:rPr>
          <w:rFonts w:hint="eastAsia" w:ascii="宋体" w:hAnsi="宋体" w:cs="宋体"/>
          <w:color w:val="auto"/>
          <w:szCs w:val="21"/>
          <w:highlight w:val="none"/>
        </w:rPr>
        <w:t>计，月渗滤液</w:t>
      </w:r>
      <w:r>
        <w:rPr>
          <w:rFonts w:hint="eastAsia" w:ascii="宋体" w:hAnsi="宋体" w:cs="宋体"/>
          <w:color w:val="auto"/>
          <w:szCs w:val="21"/>
        </w:rPr>
        <w:t>产生量少于保底量，按保底量计算。其余情况不再进行保底补偿，按照实际产水量计算处理费用。</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运营期内中标人应以严谨态度积极进行污染物处理生产，</w:t>
      </w:r>
      <w:r>
        <w:rPr>
          <w:rFonts w:hint="eastAsia" w:ascii="宋体" w:hAnsi="宋体" w:cs="宋体"/>
          <w:color w:val="auto"/>
          <w:sz w:val="21"/>
          <w:szCs w:val="21"/>
        </w:rPr>
        <w:t>除因不可抗力事故及检修期外，原则上每天的进水须在当天处理完毕，</w:t>
      </w:r>
      <w:r>
        <w:rPr>
          <w:rFonts w:hint="eastAsia" w:ascii="宋体" w:hAnsi="宋体" w:cs="宋体"/>
          <w:color w:val="auto"/>
          <w:sz w:val="21"/>
          <w:szCs w:val="21"/>
          <w:lang w:eastAsia="zh-CN"/>
        </w:rPr>
        <w:t>在渗滤液产生量充足的情况下，</w:t>
      </w:r>
      <w:r>
        <w:rPr>
          <w:rFonts w:hint="eastAsia" w:ascii="宋体" w:hAnsi="宋体" w:cs="宋体"/>
          <w:color w:val="auto"/>
          <w:sz w:val="21"/>
          <w:szCs w:val="21"/>
        </w:rPr>
        <w:t>中标人应保证本厂的处理能力不低于1</w:t>
      </w:r>
      <w:r>
        <w:rPr>
          <w:rFonts w:hint="eastAsia" w:ascii="宋体" w:hAnsi="宋体" w:cs="宋体"/>
          <w:color w:val="auto"/>
          <w:sz w:val="21"/>
          <w:szCs w:val="21"/>
          <w:lang w:val="en-US" w:eastAsia="zh-CN"/>
        </w:rPr>
        <w:t>4</w:t>
      </w:r>
      <w:r>
        <w:rPr>
          <w:rFonts w:hint="eastAsia" w:ascii="宋体" w:hAnsi="宋体" w:cs="宋体"/>
          <w:color w:val="auto"/>
          <w:sz w:val="21"/>
          <w:szCs w:val="21"/>
        </w:rPr>
        <w:t>0m³/d</w:t>
      </w:r>
      <w:r>
        <w:rPr>
          <w:rFonts w:hint="eastAsia" w:ascii="宋体" w:hAnsi="宋体" w:cs="宋体"/>
          <w:color w:val="auto"/>
          <w:sz w:val="21"/>
          <w:szCs w:val="21"/>
          <w:lang w:eastAsia="zh-CN"/>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第33条 监管扣罚费用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甲方每月对乙方进行全面考核评分，考核评分依照附件1《月度监管考核评分》中的监管评分表执行。评分周期为一个自然月，采用扣分制，按当月总扣分计算监管扣罚费用：总分为100分，扣分≤10分时，不扣除运营服务费。扣分＞10分时，按实际扣分折算扣减运营服务费。监管扣罚费用按如下公式计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监管扣罚费用=当月实际总扣分×200元/分。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每月监管扣罚费用由甲方在乙方当月运营服务费中扣除，当月运营服务费不足时则顺延至下月，直到足够支付为止。监管扣罚不代表甲方允许乙方违反本合同的约定，受到扣罚时，乙方应及时作出整改。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第34条 运营服务费支付程序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34.1 渗滤液处理服务费资金来源为财政资金，每月按照垃圾渗滤液处理量据实结算，向乙方支付。乙方凭以下有效文件与甲方结算：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（2）乙方开具的正式发票；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（3）中标通知书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34.2 乙方应在每个月结束后10个工作日内计算上月运营服务费,并以结算清单方式报</w:t>
      </w:r>
      <w:r>
        <w:rPr>
          <w:rFonts w:hint="eastAsia" w:ascii="宋体" w:hAnsi="宋体" w:cs="宋体"/>
          <w:color w:val="auto"/>
          <w:szCs w:val="21"/>
          <w:lang w:eastAsia="zh-CN"/>
        </w:rPr>
        <w:t>常山县市容环卫中心</w:t>
      </w:r>
      <w:r>
        <w:rPr>
          <w:rFonts w:hint="eastAsia" w:ascii="宋体" w:hAnsi="宋体" w:cs="宋体"/>
          <w:color w:val="auto"/>
          <w:szCs w:val="21"/>
        </w:rPr>
        <w:t>审核，然后报县财政审批。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甲方在乙方根据本合同内容履行相关义务且收到乙方提供的开具抬头为“           ”的运营服务费相应金额的合法发票后，按照结算平台支付流程，由甲方完成审核，并于审核同意后向乙方支付运营服务费。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结算平台的相关政策发生变更时，本协议中相关条款将作相应调整、变更。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34.3 甲方根据本合同支付的任何款项应支付到乙方书面通知的设于常山县境内的银行账户。双方应自行承担各自的银行手续费，乙方应通知甲方汇入款项的银行账户的具体细节，说明该账户的检索号码、账号和账号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第35条 有争议的金额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35.1 当对任何结算清单金额发生争议时，对该笔款额有争议的一方须在应付款的截止日之前向另一方发出书面通知，指明争议的性质和金额。双方对争议应通过友好协商解决，待争议解决后再支付该结算清单金额。如未能协商解决，按照本合同争议解决的规定进行解决。</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35.2 如果结算清单的金额或部分金额已支付，但事后产生争议或异议，且随后根据本合同确定属于不当支付的，则乙方应全额退还不当支付部分并自行承担任何已发生的税费，并支付从收款日（包括该日）至退还日(不包括该日)按照当期银行利率计算的利息，不当支付费用以及利息从最近一次结算中扣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第36条 发票和付税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36.1 乙方应当按照本协议第31条约定的支付程序向甲方开具合法发票。如乙方违反此约定，甲方有权根据乙方违约天数相应顺延下一个应付款的期限，直至乙方开具前述约定的发票给甲方。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36.2 甲方支付的运营服务费已含相关税项（符合国家政策免税的项目除外）。任何因乙方漏税或其它违反税收征管法律法规的后果均由乙方自行承担。</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第十一章  设备保养、维护、维修与更新</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第37条 项目操作规程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乙方在本合同签订生效后十个工作日内负责制定出本项目的《运行操作规程》、《EHS规程》及《标准作业规范（SOP）》等规程报甲方备案，严格遵照执行。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第38条 设备与系统预防保养制度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建立设备与系统预防保养制度，按照本合同规定以及《安全生产法》第九十六条等相关的法律法规承担本项目操作管理、保养、维修、大修及更新的一切责任、风险及费用，包括但不限于厂内道路、绿化、围墙、厂房及建筑物、主体设备等，并按照甲方的要求进行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项目保养、维修、大修及更新的全部费用由乙方承担。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第39条 检验与维护手册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须在运营开始日之前的30个工作日内向甲方提交本项目的检验与维护手册。该手册应包括进行定期和年度检验、日常维修、大修维护和年度维护的程序和计划，以及调整和改进检验及维护安排的程序和计划。对手册的任何增、减和修订应在正式实施之前报甲方备案。如果甲方发现有不符合规范的地方，有权要求乙方更改，并按附件《月度监管考核评分》的有关规定处罚。</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第40条 检查和检测</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40.1乙方在运营期应自主与各设备厂商签署售后维护服务协议（若设备厂商要求），由于设备故障造成的事故均由乙方承担一切责任与损失。</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40.2乙方应当对本项目的维护与保养情况进行定期或不定期检查和检测，甲方亦有权要求乙方进行检测或参加检测活动，检测费用由乙方承担。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第41条 检修计划</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41.1乙方应于每年12月第10个工作日前向甲方报送下一年度的设施、设备检修计划，经甲方批准后，按照已批准的检修计划实施检修工作。设施、设备检修计划确需变更的，须重新报甲方批准。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41.2乙方有权按照计划对本项目进行大修、维护、检查和修理。发生任何非计划停运、降低处理量或强迫停运时，乙方应立即通知甲方，并应书面提供预计的非计划停运、降低处理量或强迫停运可能延续的时间、其详细的原因以及正在采取的补偿措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41.3计划停运与强迫停运：因设备设施检修导致需停产或减产的，乙方需要在污水接收计划明确检修、降低处理量或停产的时间（开始日期及持续时间），每次停产或减产必须提前7天与甲方商定停产检修的具体事宜，获得甲方书面同意后方可停产或减产检修。非设施大修年，计划停产或减产检修在一个年度内累计不得多于30天，每次计划停产或减产时间不超过连续5天。设施大修年度停产或减产检修时间累计不超过35天，每次计划停产或减产检修时间不超过连续7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若因设备故障或不可抵抗力发生任何强迫停运或临时降低处理量的情形，乙方应于半小时内通知甲方，24小时内向甲方提交书面报告，书面报告须详细说明造成这一紧急事故的可能原因、事故的影响严重程度、处理意见和正在采取的补救措施等，同时，乙方应采取应急抢修措施尽快恢复本项目运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第42条 设备更新及技术改造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42.1未经甲方批准，乙方不得私自对本项目内任何设备或工艺进行改造。</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42.2在合同期间，由于出水水质有超标或厂内某些设备设施运转不正常，需要对设备进行更新或工艺技术进行改造，由乙方提出改造方案报甲方批准后实施。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42.3在合同期内，为符合新颁布生效的技术或法律法规的要求而必须进行设备或技术改造，由乙方提出改造方案，并经组织专家评审会通过后，经甲方批准后实施。甲方有权要求乙方为达到新技术或法律法规的要求进行必要的工作。如果该工作交付第三方实施，有关工作应在乙方的监督下进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第43条 备品备件的库存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运营期间，乙方须保存设备与备用零件的适当库存量，库存设备或零件质量及耐用性应与原先装置一致或更佳。如有任何主要设备失灵或严重受损，应立即通知甲方并自行修理或更换，不能影响系统的正常运作。此外，乙方需清除和处理维修所产生的废料及报废的设备（残余价值之收入归乙方所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第44条 维修保养记录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乙方应当建立设备维修保养记录，对维修保养活动，各项审核及检查等进行记录，供甲方随时调取审查。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第45条 应急预案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乙方应在试运营开始日之前的30个工作日内向甲方提供一份应急预案，内容包括但不限于各项环境污染及公共安全事件的、设备突发故障、进水水质波动超过项目处理能力等突发事件的应对措施。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第46条 培训</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应甲方要求，乙方应负责为甲方培训运营、维护和管理本项目所需的技术和管理人员，并承担相关培训费用。</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第十二章  项目移交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第47条 项目移交的日期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本项目正式移交日期为运营期满之日，乙方应按照本合同的约定将项目所有资产和权利移交给甲方或甲方指定的执行机构。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第48条 最后恢复性大修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移交日之前5个月（包括非正常移交情况，如本合同第条原因造成合同提前终止等），乙方应对项目设施进行最后一次大修，但此大修应在移交日前5个月内完成。大修的具体时间和内容由甲乙双方协定。恢复性大修应保证设备在正常使用状态下，包括但不限于：</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48.1 本项目设施的设备制造厂商的说明、手册和/或维护计划所列事项；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48.2 消除实际存在的缺陷；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48.3 检修、探伤、检测及易损易耗件更换；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48.4 甲方合理要求的其他检修项目。乙方有义务将甲方合理提出的检修项目列入其最后恢复性大修计划。</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第49条 性能测试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最后恢复性大修后并在移交日之前，乙方应在甲方代表在场时进行项目设施的性能测试。测试所得性能数应符合乙方保证的功能标准及本合同规定的安全和环境标准，并处理良好的运营状态，得到良好维护，除正常磨损外完好率达100%。</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未达到上述参数标准。乙方应修正项目设施的任何缺陷，并重新进行性能测试。如果乙方不能在合理的时间内修正任何上述缺陷，甲方可以自行修正，由乙方承担风险和费用。甲方有权从运营和维护保证金中支取费用以补偿修正上述缺陷的支出，并将发生的支出详细记录提交给乙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第50条 移交范围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50.1在项目的移交日或之前，乙方应将与项目有关的一切债务债权处理完毕，解除任何留置、动产质押、不动产抵押、其他担保等，将向甲方或其指定的执行机无偿移交。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50.2项目原有的及运营期内改建扩建的所有主体和配套设施、设备、器材和配件、厂房及全部与项目设施相关的所有设备、机器、装置、零部件、备品备件、化学品以及项目场地整体移交给甲方。所发生税费（如有）按有关规定各自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50.3甲方合理要求的此前乙方未曾按照本合同规定交付的运营手册、运营记录、维修记录、移交记录、设计图纸、财务账目与凭证、说明书、管理制度、规范规程、计算机管理程序等其他资料。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50.4乙方对所有承包商以及所有保险单、暂保单和保险单批单无偿转让（通过变更受益人或者权利人的方式）给甲方或其指定的执行机构。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50.5所有移交的资产、资料和权利不存在任何被查封、扣押、留置权、抵押、担保物权或任何种类的其他请求权。</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50.6移交的项目应是处于得到良好维护和符合运营要求的良好状态。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50.7项目移交不应附带任何负债或违约、侵权责任。若有，应由乙方清偿或承担。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第51条 技术移交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51.1 作为移交的重要组成部分，乙方应将项目运营和维护所需的知识产权及技术秘密，包括但不限于技术、技术决窍、技术秘密，版权、专利、商标等，全部无偿提供或者责成相关单位和人员无偿提供给甲方或其指定的执行机构使用，并向甲方或其指定执行机构提供一切与知识产权及技术秘密相关的一切文件及数据，包括但不限于证书、说明书、权利要求书及附图、电子文档、数据等。甲方或其指定执行机构有权以该等知识产权及技术秘密进行一切活动，且均无需另行经乙方或相关权利方的同意或确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51.2 乙方授予甲方及其指定执行机构无偿使用上述知识产权及技术秘密的期限至甲方书面通知乙方不再使用之日止，未经甲方书面同意乙方不得撤销无偿许可使用的授权。</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51.3 甲方及其指定执行机构在上述知识产权及技术秘密使用期间，有权将全部或部分知识产权及技术秘密提供给与项目关联的第三方使用，并由甲方及其指定执行机构确定使用的权限及范围。乙方同意就上述知识产权及技术秘密的使用事项根据甲方的要求予以协助和配合。</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第52条 备品备件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52.1 移交的备品备件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在移交日，由乙方以成本价向甲方转让3个月运营所需的消耗性备件和事故抢修的备品备件。所有备件应具有与乙方从设备制造厂商取得的备件相同的质量和标准，并符合相同的技术规格要求。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52.2 购买额外的备品备件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在移交日之前，甲方可以向乙方提交一份其要求的项目设施零备件清单。乙方应尽最大努力以其可以从生产商处得到的同样优惠的价格提供。购买该额外的备品备件费用由甲方支付。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第53条 移交程序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运营期结束5个月前或出现非正常移交情况5个月内，甲方和乙方应当协商并确定项目移交的详尽程序以及在交接过程中项目正常运转的保障措施。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乙方应在双方协商后的一个月内提交本合同规定的项目移交范围的详尽清单，供甲方审核。</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甲、乙双方应当书面通知对方负责移交和接受移交的负责人及代表，并且督促和保证本方负责人及代表严格按照双方认可的详尽程序和项目移交清单执行移交，并保证项目在移交过程中的正常运营。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第54条 合同签订的限制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在项目移交日之前的5个月内，除非征得甲方的书面同意，乙方不得签署于项目移交日或移交日之后仍具有法律效力的任何涉及本项目及本合同规定的项目移交范围的资产的合同或具有权利、义务性质的文件。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甲方要求，乙方应在其签署的合同中明确于移交日或移交日之后仍有效的任何运营维护合同、设备合同、供货合同或其他合同关于移交日之前解除合同的约定。甲方对于解除合同所发生的费用与赔偿不负责任，也不应受到其他损害。如甲方要求，乙方也可以将上述合同转让给甲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第55条 移交后的有关事项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55.1 移走物品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项目的移交日之后30日内，乙方应自行从项目场地移走其所属物品。移走的物品仅限于乙方雇员的个人用品以及与项目的运营和维护无关的物品，不包括移交清单所列的项目和物品。乙方如果在上述时间没有移走这些物品，甲方在通知乙方限期搬移后，可以移走或将物品转运至适当的地点暂时保管。乙方应承担该搬移、运输、保管产生的合理费用及未及时提取物品导致其灭失或损毁的风险。乙方在转移物品时，应遵守甲方对场（厂）管理的有关规定和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55.2 技术支持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项目的移交日后十二个月之内，甲方或其指定的执行机构进行项目的管理、运营、维护和修理时，若需要乙方提供技术支持、维修服务、项目设施零备件采购价格单或供应必要的但是非移交清单所列的零配件，乙方应按甲方要求进行服务，甲方应支付乙方合理的费用。但按照本合同或双方签订的其他合同应当由乙方支付的费用除外。</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55.3 移交费用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乙方及甲方应承担涉及项目移交的各自的成本和费用，包括项目以及项目移交给甲方及其指定执行机构的法律费用和支出。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第56条 移交终止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若乙方依法再次获得运营权的，本次移交程序终止，本章规定的移交事项在重新签署的运营合同中一并处理。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第57条 移交效力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在本合同项下的权利随移交的完成而终止。乙方应确保所有移交设施在移交时能够正常运行。移交之日起2个月内发现工艺系统和设备有缺陷导致不能达到设计要求时，乙方须整改和维修，或甲乙双方协商整改和维修价格，由甲方或其指定部门负责整改和维修，其费用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第58条 移交过程的运营</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在甲方或其指定的单位完成移交接管前，乙方应当按照甲方的要求维持正常的运营业务，直至移交完毕。</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第59条 移交过程的赔偿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乙方未按上述规定对项目进行移交的，甲方有权从运营与维护履约保证金中提取相应资金作为赔偿。</w:t>
      </w:r>
    </w:p>
    <w:p>
      <w:pPr>
        <w:spacing w:line="360" w:lineRule="auto"/>
        <w:jc w:val="center"/>
        <w:rPr>
          <w:rFonts w:hint="eastAsia" w:ascii="宋体" w:hAnsi="宋体" w:cs="宋体"/>
          <w:b/>
          <w:color w:val="auto"/>
          <w:szCs w:val="21"/>
        </w:rPr>
      </w:pPr>
    </w:p>
    <w:p>
      <w:pPr>
        <w:spacing w:line="360" w:lineRule="auto"/>
        <w:jc w:val="center"/>
        <w:rPr>
          <w:rFonts w:hint="eastAsia" w:ascii="宋体" w:hAnsi="宋体" w:cs="宋体"/>
          <w:b/>
          <w:color w:val="auto"/>
          <w:szCs w:val="21"/>
        </w:rPr>
      </w:pPr>
      <w:r>
        <w:rPr>
          <w:rFonts w:hint="eastAsia" w:ascii="宋体" w:hAnsi="宋体" w:cs="宋体"/>
          <w:b/>
          <w:color w:val="auto"/>
          <w:szCs w:val="21"/>
        </w:rPr>
        <w:t>第十三章  违约和赔偿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第60条 甲方的违约和赔偿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60.1 除非依本合同规定属于可以免除责任(包括不可抗力)的情况，如甲方未能根据本合同规定交付污水或未能履行其在本合同中的其它义务，由此直接造成乙方无污水可处理所带来的一切费用、损害、损失或处罚应由甲方对乙方进行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60.2 在下述情况下甲方无责任对乙方遭受或承担的任何费用、损害、损失或处罚给予赔偿：如果甲方未能履约是由于乙方未能按本合同规定履行其义务；或即使甲方适当履约，乙方仍会遭受或承担类似的费用、损害、损失或处罚。适当履约是指甲方完全按照本合同规定履行了自己应承担的责任和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第61条 乙方的违约和赔偿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除非依本合同规定属于可以免除乙方责任的情况，如乙方未能履行其在本合同项下的任何其它义务，由此直接带来的一切费用、损害、损失或处罚应由乙方对甲方进行赔偿。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乙方如接收非甲方提供的污水，需由甲方书面批准，否则甲方有权按该部分运营服务费费的2倍扣除其运营服务费，且乙方须承担可能发生的环境污染等相关责任。</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61.1移交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运营期满时，乙方移交的项目资产不符合本合同规定的，应向甲方支付违约金，违约金从运营维护履约保证金中扣除。如因乙方过错导致延迟移交的，每延迟一天的违约金额为上月日均运营处理费的三分之一；如乙方不移交或移交不能的，违约金额为未移交项目资产的评估价的三分之一，同时乙方应向甲方移交相应的符合移交要求的项目资产或替代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61.2乙方项目团队人员未经甲方同意变更或减少的，或变更的人员不具有相关资格能力的，扣除当月运营服务费用的20%，逾期不进行整改的，甲方有权解除合同。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61.3在运营期间，乙方的运营不符合标准的，出水无法达标排放时，甲方有权扣除20000元的运营处理费，并通知其进行整改。30天整改期后无特殊原因还不符合标准的，甲方有权无条件终止乙方合同。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61.4在运营期间，若甲方抽查时出现污水处理排放及脱水后污泥处理不符合标准要求的，甲方有权扣除10000元的履约保证金，乙方需进行整改并提交相关方案，若同一季度出现三次上述情况，甲方有权无条件终止乙方合同，履约保证金不予退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61.5出现违反第22、23条要求，环保部门季度抽检出现超标情况并责令处罚，由乙方缴纳环保处罚并及时进行整改修复。在接受环保处罚2次后，甲方有权委托合资格第三方，实施临时到场通知乙方抽检，抽检结果仍未达标时，甲方有权无条件解除运营合同，在甲方再次招标完成后，现乙方无条件移交运营权，履约保证金不予退还。法律责任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61.6出现违反第24、25条要求时，甲方以书面形式告知乙方，并责令整改。2次书面告知整改函下达后，乙方拒绝整改，或仍出现违反情形时，甲方有权解除运营合同，在甲方再次招标完成后，现乙方无条件移交运营权，履约保证金不予退还。法律责任由乙方承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61.7其他</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乙方未履行本合同约定的其他义务，经甲方责成改成而未改正的，造成的直接经济损失应给甲方进行赔偿。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61.8违约金的扣除</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本合同所述的全部违约金及监管扣罚金额，乙方同意甲方均有权根据实际需要直接从运营服务费当中扣除，乙方不得持任何异议。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第62条 解除合同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62.1如乙方出现以下规定的严重违约情形的，甲方有权根据实际需要随时书面通知乙方解除本合同，乙方不得持任何异议，自甲方发出相关解除合同通知书之日起，本合同无条件解除。同时，甲方有权要求乙方按照本合同的规定支付相应的违约金并要求乙方承担一切责任，包括但不限于赔偿甲方因解除本合同而遭受的其他损失。具体严重违约情形包括：</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（1）因乙方原因导致本项目出现重大环境污染事故；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（2）因乙方原因造成本项目出现重大生产安全事故；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（3）乙方擅自停业、歇业导致严重影响到社会公共利益和安全；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（4）乙方蓄意损坏本项目主体工程、配套工程、设施和设备；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（5）乙方连续3个月或一年内累计5个月，每个月的考核扣分高于50分（含50分）且拒绝整改；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（6）其他法律规定的合同解除情形。</w:t>
      </w:r>
    </w:p>
    <w:p>
      <w:pPr>
        <w:spacing w:line="360" w:lineRule="auto"/>
        <w:jc w:val="center"/>
        <w:rPr>
          <w:rFonts w:hint="eastAsia" w:ascii="宋体" w:hAnsi="宋体" w:cs="宋体"/>
          <w:b/>
          <w:color w:val="auto"/>
          <w:szCs w:val="21"/>
        </w:rPr>
      </w:pPr>
      <w:r>
        <w:rPr>
          <w:rFonts w:hint="eastAsia" w:ascii="宋体" w:hAnsi="宋体" w:cs="宋体"/>
          <w:b/>
          <w:color w:val="auto"/>
          <w:szCs w:val="21"/>
        </w:rPr>
        <w:t>第十四章  不可抗力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第63条 不可抗力</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不可抗力是指在签订本合同时不能合理预见的和声称不可抗力的一方对此事件的发生及其后果不能避免并无法克服的事件。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发生不可抗力事件阻碍了一方履行其义务时，该方可暂停履行这些义务，并及时书面通知另一方不可抗力的性质，但是暂停履行这些义务的时间和范围不得超过需要纠正不可抗力所造成的后果的时间和范围，受影响方的其他不受不可抗力事件影响的责任和义务不得解除。声称不可抗力的一方在不可抗力消除之后应继续履行本合同项下的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如任何一方的违约行为发生在不可抗力情形出现前，则该方不得以不可抗力为由中止履行或不履行本合同项下义务。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第64条 不可抗力造成的终止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如果任何不可抗力妨碍或阻止一方履行其义务的时间自该不可抗力发生日起连续超过90天，双方应通过协商决定是否继续履行本合同。如果自不可抗力发生后180天之内双方不能就继续履行达成一致意见，任何一方有权单方书面通知解除本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第65条 关闭项目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因设施设备检修和保养需要，报经甲方书面同意后，乙方可对本项目采取局部关闭或整体关闭措施。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在下列情况下，乙方可以根据实际情况对本项目实施部分或整体关闭，并且必须在下述情况发生后半小时内向甲方口头报告，24小时内向甲方提交书面报告，书面报告须详细说明造成这一紧急事故的可能原因、事故的影响严重程度、处理意见和正在采取的补救措施等，同时，乙方应采取应急抢修措施尽快恢复本项目运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65.1 因项目的设计或建设的缺陷。</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65.2 重大环境污染事故。</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65.3 紧急突发事件（例如危及生命安全或将造成国家财产重大损失等）。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65.4 发生不可抗力时。</w:t>
      </w:r>
    </w:p>
    <w:p>
      <w:pPr>
        <w:widowControl/>
        <w:spacing w:line="360" w:lineRule="auto"/>
        <w:jc w:val="center"/>
        <w:rPr>
          <w:rFonts w:hint="eastAsia" w:ascii="宋体" w:hAnsi="宋体" w:cs="宋体"/>
          <w:b/>
          <w:color w:val="auto"/>
          <w:kern w:val="0"/>
          <w:szCs w:val="21"/>
        </w:rPr>
      </w:pPr>
      <w:r>
        <w:rPr>
          <w:rFonts w:hint="eastAsia" w:ascii="宋体" w:hAnsi="宋体" w:cs="宋体"/>
          <w:b/>
          <w:color w:val="auto"/>
          <w:kern w:val="0"/>
          <w:szCs w:val="21"/>
          <w:shd w:val="clear" w:color="auto" w:fill="FFFFFF"/>
        </w:rPr>
        <w:t>第十五章  其他</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第66条 合同终止</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66.1 本合同在下述任一事件发生时终止：</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66.1.1由于不可抗力阻止一方履行其责任的时间自该不可抗力发生之日起超过30个工作日，双方经协商仍无法就继续履行本合同达成一致意见的，本合同终止。</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66.1.2本合同有效期届满且双方未就续签事宜达成一致意见时，本合同终止。</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66.1.3在发生法律、法规或政策变更使得本合同无法继续履行，本合同终止。</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66.2 终止后的事宜</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本合同终止后，甲乙双方应向对方支付的金额，按本合同约定完成支付。</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第67条 争议解决方式</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凡因执行本合同引起的任何争议，双方应本着友好协商的态度，共同解决。</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如协商不能解决，应提交甲方所在地人民法院诉讼解决。</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第68条 未尽事宜</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合同没有规定或者规定不明的有关事宜，由双方本着平等互利、诚信合作的原则根据中华人民共和国当时有效的法律协商一致并签署补充合同予以确定，补充合同与本合同具有同等法律效力。补充合同与本合同内容规定不一致的，以补充合同为准。</w:t>
      </w:r>
    </w:p>
    <w:p>
      <w:pPr>
        <w:widowControl/>
        <w:shd w:val="clear" w:color="auto" w:fill="FFFFFF"/>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第69条 附件清单</w:t>
      </w:r>
    </w:p>
    <w:p>
      <w:pPr>
        <w:spacing w:line="360" w:lineRule="auto"/>
        <w:ind w:firstLine="420" w:firstLineChars="200"/>
        <w:rPr>
          <w:rFonts w:hint="eastAsia" w:ascii="宋体" w:hAnsi="宋体" w:cs="宋体"/>
          <w:color w:val="auto"/>
          <w:szCs w:val="21"/>
        </w:rPr>
      </w:pPr>
      <w:r>
        <w:rPr>
          <w:rFonts w:hint="eastAsia" w:ascii="宋体" w:hAnsi="宋体" w:cs="宋体"/>
          <w:color w:val="auto"/>
          <w:kern w:val="0"/>
          <w:szCs w:val="21"/>
        </w:rPr>
        <w:t>69.1</w:t>
      </w:r>
      <w:r>
        <w:rPr>
          <w:rFonts w:hint="eastAsia" w:ascii="宋体" w:hAnsi="宋体" w:cs="宋体"/>
          <w:color w:val="auto"/>
          <w:szCs w:val="21"/>
        </w:rPr>
        <w:t>本合同相关事项签署的补充文件和澄清文件等；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69.2 投标文件，如投标文件含差异化响应表，则差异化响应表中内容优先适用于招标文件（如有）；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69.3 招标文件；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69.4 构成本合同组成部份的其他文件。</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69.5</w:t>
      </w:r>
      <w:r>
        <w:rPr>
          <w:rFonts w:hint="eastAsia" w:ascii="宋体" w:hAnsi="宋体" w:cs="宋体"/>
          <w:b/>
          <w:color w:val="auto"/>
          <w:szCs w:val="21"/>
        </w:rPr>
        <w:t>月度监管考核评分表</w:t>
      </w:r>
    </w:p>
    <w:p>
      <w:pPr>
        <w:pStyle w:val="22"/>
        <w:spacing w:line="360" w:lineRule="auto"/>
        <w:ind w:left="210" w:leftChars="100" w:firstLineChars="200"/>
        <w:rPr>
          <w:rFonts w:hint="eastAsia" w:ascii="宋体" w:hAnsi="宋体"/>
          <w:color w:val="auto"/>
        </w:rPr>
      </w:pPr>
    </w:p>
    <w:p>
      <w:pPr>
        <w:pStyle w:val="22"/>
        <w:spacing w:line="360" w:lineRule="auto"/>
        <w:ind w:left="210" w:leftChars="100" w:firstLineChars="200"/>
        <w:rPr>
          <w:rFonts w:hint="eastAsia" w:ascii="宋体" w:hAnsi="宋体"/>
          <w:color w:val="auto"/>
        </w:rPr>
      </w:pPr>
    </w:p>
    <w:p>
      <w:pPr>
        <w:pStyle w:val="22"/>
        <w:spacing w:line="360" w:lineRule="auto"/>
        <w:ind w:left="210" w:leftChars="100" w:firstLineChars="200"/>
        <w:rPr>
          <w:rFonts w:hint="eastAsia" w:ascii="宋体" w:hAnsi="宋体"/>
          <w:color w:val="auto"/>
        </w:rPr>
      </w:pPr>
    </w:p>
    <w:p>
      <w:pPr>
        <w:pStyle w:val="22"/>
        <w:spacing w:line="360" w:lineRule="auto"/>
        <w:ind w:left="210" w:leftChars="100" w:firstLineChars="200"/>
        <w:rPr>
          <w:rFonts w:hint="eastAsia" w:ascii="宋体" w:hAnsi="宋体"/>
          <w:color w:val="auto"/>
        </w:rPr>
      </w:pP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 xml:space="preserve">甲方（盖章）：                             乙方（盖章）：  </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地址：                                     地址：</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法定代表人：                               法定代表人：</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委托代理人：                               委托代理人：</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电话：                                     电话：</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传真：                                     传真：</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开户银行：                                 开户银行：</w:t>
      </w:r>
    </w:p>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帐号：                                     帐号：</w:t>
      </w:r>
    </w:p>
    <w:p>
      <w:pPr>
        <w:spacing w:line="360" w:lineRule="auto"/>
        <w:ind w:firstLine="8085" w:firstLineChars="3850"/>
        <w:rPr>
          <w:rFonts w:hint="eastAsia" w:ascii="宋体" w:hAnsi="宋体" w:cs="宋体"/>
          <w:color w:val="auto"/>
          <w:szCs w:val="21"/>
        </w:rPr>
      </w:pPr>
    </w:p>
    <w:p>
      <w:pPr>
        <w:spacing w:line="360" w:lineRule="auto"/>
        <w:ind w:firstLine="8085" w:firstLineChars="3850"/>
        <w:rPr>
          <w:rFonts w:hint="eastAsia" w:ascii="宋体" w:hAnsi="宋体" w:cs="宋体"/>
          <w:color w:val="auto"/>
          <w:szCs w:val="21"/>
        </w:rPr>
      </w:pPr>
    </w:p>
    <w:p>
      <w:pPr>
        <w:spacing w:line="360" w:lineRule="auto"/>
        <w:ind w:firstLine="8085" w:firstLineChars="3850"/>
        <w:rPr>
          <w:rFonts w:hint="eastAsia" w:ascii="宋体" w:hAnsi="宋体" w:cs="宋体"/>
          <w:color w:val="auto"/>
          <w:szCs w:val="21"/>
        </w:rPr>
      </w:pPr>
      <w:r>
        <w:rPr>
          <w:rFonts w:hint="eastAsia" w:ascii="宋体" w:hAnsi="宋体" w:cs="宋体"/>
          <w:color w:val="auto"/>
          <w:szCs w:val="21"/>
        </w:rPr>
        <w:t>年    月    日</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spacing w:line="360" w:lineRule="auto"/>
        <w:jc w:val="cente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ascii="宋体" w:hAnsi="宋体" w:cs="宋体"/>
          <w:color w:val="auto"/>
          <w:szCs w:val="21"/>
        </w:rPr>
      </w:pPr>
    </w:p>
    <w:p>
      <w:pPr>
        <w:rPr>
          <w:rFonts w:hint="eastAsia" w:ascii="宋体" w:hAnsi="宋体" w:cs="宋体"/>
          <w:color w:val="auto"/>
          <w:szCs w:val="21"/>
        </w:rPr>
      </w:pPr>
    </w:p>
    <w:p>
      <w:pPr>
        <w:pStyle w:val="2"/>
        <w:rPr>
          <w:rFonts w:hint="eastAsia"/>
          <w:color w:val="auto"/>
        </w:rPr>
      </w:pPr>
    </w:p>
    <w:p>
      <w:pPr>
        <w:rPr>
          <w:rFonts w:hint="eastAsia"/>
          <w:color w:val="auto"/>
        </w:rPr>
      </w:pPr>
    </w:p>
    <w:p>
      <w:pPr>
        <w:spacing w:line="360" w:lineRule="auto"/>
        <w:jc w:val="center"/>
        <w:rPr>
          <w:rFonts w:hint="eastAsia" w:ascii="宋体" w:hAnsi="宋体" w:cs="宋体"/>
          <w:b/>
          <w:color w:val="auto"/>
          <w:szCs w:val="21"/>
        </w:rPr>
      </w:pPr>
      <w:r>
        <w:rPr>
          <w:rFonts w:hint="eastAsia" w:ascii="宋体" w:hAnsi="宋体" w:cs="宋体"/>
          <w:b/>
          <w:color w:val="auto"/>
          <w:szCs w:val="21"/>
        </w:rPr>
        <w:t>附件：月度监管考核评分表</w:t>
      </w:r>
    </w:p>
    <w:tbl>
      <w:tblPr>
        <w:tblStyle w:val="23"/>
        <w:tblW w:w="0" w:type="auto"/>
        <w:tblInd w:w="-5" w:type="dxa"/>
        <w:tblLayout w:type="fixed"/>
        <w:tblCellMar>
          <w:top w:w="0" w:type="dxa"/>
          <w:left w:w="0" w:type="dxa"/>
          <w:bottom w:w="0" w:type="dxa"/>
          <w:right w:w="0" w:type="dxa"/>
        </w:tblCellMar>
      </w:tblPr>
      <w:tblGrid>
        <w:gridCol w:w="900"/>
        <w:gridCol w:w="1080"/>
        <w:gridCol w:w="7025"/>
        <w:gridCol w:w="1080"/>
      </w:tblGrid>
      <w:tr>
        <w:tblPrEx>
          <w:tblCellMar>
            <w:top w:w="0" w:type="dxa"/>
            <w:left w:w="0" w:type="dxa"/>
            <w:bottom w:w="0" w:type="dxa"/>
            <w:right w:w="0" w:type="dxa"/>
          </w:tblCellMar>
        </w:tblPrEx>
        <w:trPr>
          <w:trHeight w:val="53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rPr>
            </w:pPr>
            <w:r>
              <w:rPr>
                <w:rFonts w:hint="eastAsia" w:ascii="宋体" w:hAnsi="宋体" w:cs="宋体"/>
                <w:b/>
                <w:color w:val="auto"/>
                <w:szCs w:val="21"/>
              </w:rPr>
              <w:t>项目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rPr>
            </w:pPr>
            <w:r>
              <w:rPr>
                <w:rFonts w:hint="eastAsia" w:ascii="宋体" w:hAnsi="宋体" w:cs="宋体"/>
                <w:b/>
                <w:color w:val="auto"/>
                <w:szCs w:val="21"/>
              </w:rPr>
              <w:t>内容</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rPr>
            </w:pPr>
            <w:r>
              <w:rPr>
                <w:rFonts w:hint="eastAsia" w:ascii="宋体" w:hAnsi="宋体" w:cs="宋体"/>
                <w:b/>
                <w:color w:val="auto"/>
                <w:szCs w:val="21"/>
              </w:rPr>
              <w:t>评分标准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Cs w:val="21"/>
              </w:rPr>
            </w:pPr>
            <w:r>
              <w:rPr>
                <w:rFonts w:hint="eastAsia" w:ascii="宋体" w:hAnsi="宋体" w:cs="宋体"/>
                <w:b/>
                <w:color w:val="auto"/>
                <w:szCs w:val="21"/>
              </w:rPr>
              <w:t>扣分</w:t>
            </w: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行政管理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规章制度</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行政管理、设施设备管理、生产作业规范、污染物监测、安全生产、应急管理等运营工作制度，一项缺失每项扣1分。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资质许可</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资质、许可、批准、认证每缺失一项扣1分；未及时维护许可，每项每延迟一星期扣0.5分；无证上岗每人每次扣0.5分。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业务外包</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业务外包未向甲方申报或未获甲方批准的，扣1分；承包方无相关业务资质或资质造假的，扣1分。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接受检查</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接受检查时态度消极，不配合或阻挠检查的，扣1分；检查时借故不提供资料的，扣1分。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通报及整改</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不派相关负责人或经办人参加会议的，每次扣0.5分；对于甲方通报的问题逾期整改的，每拖延1天扣0.5分；拒不整改，或整改不到位导致问题重复发生的，视情节严重程度扣1～10分；未将整改情况通报甲方的，每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资料提交</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没有在规定时限前提交相应资料的，每拖延一个工作日扣0.5分；提交资料不齐全的，每缺一项扣1分；提供虚假资料的，每次扣1分。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计量管理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计量项目</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对每天应计量的项目没有进行计量的，每项扣0.5分；虚报、乱报计量数据的，每次扣1分。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运输车辆</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运输车辆没有</w:t>
            </w:r>
            <w:r>
              <w:rPr>
                <w:rFonts w:hint="eastAsia" w:ascii="宋体" w:hAnsi="宋体" w:cs="宋体"/>
                <w:color w:val="auto"/>
                <w:szCs w:val="21"/>
                <w:lang w:eastAsia="zh-CN"/>
              </w:rPr>
              <w:t>记录</w:t>
            </w:r>
            <w:r>
              <w:rPr>
                <w:rFonts w:hint="eastAsia" w:ascii="宋体" w:hAnsi="宋体" w:cs="宋体"/>
                <w:color w:val="auto"/>
                <w:szCs w:val="21"/>
              </w:rPr>
              <w:t>相关信息的，每车次扣0.5分。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计量设备巡查与校验</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未按规定对计量设备及计量数据进行巡检的，或巡检记录缺失的，每次扣0.5分；未按要求进行流量计校验的，扣1分；流量计封条未经批准遭损毁的，扣除当月运营费。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计量设备故障处理</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计量设备故障后未及时通知的，每次扣1分；逾时（不超过48小时）修复每次扣1分；备用流量计未标定，每次扣1分。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运营管理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进厂污水</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未经甲方审批接收外源渗滤液或其它污水，接收的外源污水每</w:t>
            </w:r>
            <w:r>
              <w:rPr>
                <w:rFonts w:hint="eastAsia" w:ascii="宋体" w:hAnsi="宋体" w:cs="宋体"/>
                <w:color w:val="auto"/>
                <w:szCs w:val="21"/>
                <w:lang w:val="en-US" w:eastAsia="zh-CN"/>
              </w:rPr>
              <w:t>立方米</w:t>
            </w:r>
            <w:r>
              <w:rPr>
                <w:rFonts w:hint="eastAsia" w:ascii="宋体" w:hAnsi="宋体" w:cs="宋体"/>
                <w:color w:val="auto"/>
                <w:szCs w:val="21"/>
              </w:rPr>
              <w:t>扣1分；对批准进厂的外源污水未进行水量计量及水质检测的，每次扣0.5分；造成不良后果的扣2分。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出水</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出水口设置不合规范的，扣1分；出水私自外排的，每5</w:t>
            </w:r>
            <w:r>
              <w:rPr>
                <w:rFonts w:hint="eastAsia" w:ascii="宋体" w:hAnsi="宋体" w:cs="宋体"/>
                <w:color w:val="auto"/>
                <w:szCs w:val="21"/>
                <w:lang w:val="en-US" w:eastAsia="zh-CN"/>
              </w:rPr>
              <w:t>立方米</w:t>
            </w:r>
            <w:r>
              <w:rPr>
                <w:rFonts w:hint="eastAsia" w:ascii="宋体" w:hAnsi="宋体" w:cs="宋体"/>
                <w:color w:val="auto"/>
                <w:szCs w:val="21"/>
              </w:rPr>
              <w:t>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污泥处置</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污泥脱水后含水率高于80%，每次扣1分；污泥未及时处理以至堆积，每次扣0.5分；因污泥处理不当产生臭气或影响环境卫生，每次扣1分；污泥未经甲方批准运出场区外或作其他用途的，每次扣2分。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浓缩液处置</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浓缩液未经处理回流的，或未经甲方批准运出厂外或作其他用途的，每次扣2分。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臭气处理</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除臭设备未按规定开启的，每次扣0.5分；除臭装置未及时补充或更换填料的，每次扣0.5分；造成环境影响的，每次扣2分。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自控系统与视频监控</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自控系统与视频监控系统未连接至中央控制室的，每次扣0.5分；未及时检修、更新的，每拖延1天扣0.5分。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能源及物</w:t>
            </w:r>
          </w:p>
          <w:p>
            <w:pPr>
              <w:spacing w:line="360" w:lineRule="auto"/>
              <w:jc w:val="center"/>
              <w:rPr>
                <w:rFonts w:hint="eastAsia" w:ascii="宋体" w:hAnsi="宋体" w:cs="宋体"/>
                <w:color w:val="auto"/>
                <w:szCs w:val="21"/>
              </w:rPr>
            </w:pPr>
            <w:r>
              <w:rPr>
                <w:rFonts w:hint="eastAsia" w:ascii="宋体" w:hAnsi="宋体" w:cs="宋体"/>
                <w:color w:val="auto"/>
                <w:szCs w:val="21"/>
              </w:rPr>
              <w:t>料统计</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未对能源消耗量及物料用量、储备量进行统计、上报的，每项扣0.5分。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设备维护</w:t>
            </w:r>
          </w:p>
          <w:p>
            <w:pPr>
              <w:spacing w:line="360" w:lineRule="auto"/>
              <w:jc w:val="center"/>
              <w:rPr>
                <w:rFonts w:hint="eastAsia" w:ascii="宋体" w:hAnsi="宋体" w:cs="宋体"/>
                <w:color w:val="auto"/>
                <w:szCs w:val="21"/>
              </w:rPr>
            </w:pPr>
            <w:r>
              <w:rPr>
                <w:rFonts w:hint="eastAsia" w:ascii="宋体" w:hAnsi="宋体" w:cs="宋体"/>
                <w:color w:val="auto"/>
                <w:szCs w:val="21"/>
              </w:rPr>
              <w:t>更新</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落实设施管理制度的，每次扣1分；设备未按时维护保养或达到使用寿命未及时更新的，每延迟1天扣0.5分；超滤膜及反渗透膜未及时更新每延迟一天扣0.5分；设备损坏未及时修理更换的，每天扣2分，导致影响系统运作的，每天扣3分，导致停产的，每天扣5分；关键设备异常处理情况未及时处理及报告甲方的，每次扣2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计划停产</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计划停产时间超过规定的，每天扣5分。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强迫停运及降低处理量</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未及时通知甲方或向甲方提交书面报告的，每次扣2分；未及时采取相关措施进行补救的，每次扣5分。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环境监测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达标排放</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中标人在运营期间须全面达标渗滤液处理要求，环保处罚直接与运营费用挂钩，处罚费用由中标人支付。2次环保处罚后，当即取消运营资格。如存在弄虚作假行为，即时取消运营资格。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rPr>
          <w:trHeight w:val="1285"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监测计划与</w:t>
            </w:r>
          </w:p>
          <w:p>
            <w:pPr>
              <w:spacing w:line="360" w:lineRule="auto"/>
              <w:jc w:val="center"/>
              <w:rPr>
                <w:rFonts w:hint="eastAsia" w:ascii="宋体" w:hAnsi="宋体" w:cs="宋体"/>
                <w:color w:val="auto"/>
                <w:szCs w:val="21"/>
              </w:rPr>
            </w:pPr>
            <w:r>
              <w:rPr>
                <w:rFonts w:hint="eastAsia" w:ascii="宋体" w:hAnsi="宋体" w:cs="宋体"/>
                <w:color w:val="auto"/>
                <w:szCs w:val="21"/>
              </w:rPr>
              <w:t>监测台账</w:t>
            </w:r>
          </w:p>
        </w:tc>
        <w:tc>
          <w:tcPr>
            <w:tcW w:w="7025"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未按计划实施监测，每次扣2分，责令补做相关监测；拒不实施，</w:t>
            </w:r>
          </w:p>
          <w:p>
            <w:pPr>
              <w:spacing w:line="360" w:lineRule="auto"/>
              <w:rPr>
                <w:rFonts w:hint="eastAsia" w:ascii="宋体" w:hAnsi="宋体" w:cs="宋体"/>
                <w:color w:val="auto"/>
                <w:szCs w:val="21"/>
              </w:rPr>
            </w:pPr>
            <w:r>
              <w:rPr>
                <w:rFonts w:hint="eastAsia" w:ascii="宋体" w:hAnsi="宋体" w:cs="宋体"/>
                <w:color w:val="auto"/>
                <w:szCs w:val="21"/>
              </w:rPr>
              <w:t>每次扣5分；不按时提交监测报告，每拖延一天扣0.5分；监测报告内容弄虚作假的，每次扣5分。</w:t>
            </w:r>
          </w:p>
        </w:tc>
        <w:tc>
          <w:tcPr>
            <w:tcW w:w="1080"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实验室管理</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实验室管理未按章执行每次扣0.5分；易**化学品未有台账以及按时备案每次扣1分；化验人员分析操作违规，每次扣0.5分；仪器未按规范校验每项扣0.5分；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环境污染事故处理</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出水不达标时未采取措施回流至调节池或应急事故池的，每次扣2分；污染物泄漏时未及时回收或进行设备修复的，每次扣2分；发生重大环境污染事故未第一时间通知甲方并采取补救措施的，直接扣除当月的全部运营处理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安全生产</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安全管理制度与落实</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未制订计划的，扣3分；未落实安全操作工作制度的，每次扣0.5分。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安全生产</w:t>
            </w:r>
          </w:p>
          <w:p>
            <w:pPr>
              <w:spacing w:line="360" w:lineRule="auto"/>
              <w:jc w:val="center"/>
              <w:rPr>
                <w:rFonts w:hint="eastAsia" w:ascii="宋体" w:hAnsi="宋体" w:cs="宋体"/>
                <w:color w:val="auto"/>
                <w:szCs w:val="21"/>
              </w:rPr>
            </w:pPr>
            <w:r>
              <w:rPr>
                <w:rFonts w:hint="eastAsia" w:ascii="宋体" w:hAnsi="宋体" w:cs="宋体"/>
                <w:color w:val="auto"/>
                <w:szCs w:val="21"/>
              </w:rPr>
              <w:t>措施</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安全防范设施、设备损坏未及时维护更换的，每次扣1分；未设置安全警示标识或标识错误的，每次扣1分；排污口设置不规范的，每次扣1分；未按计划组织安全演练，每次扣2分；发生安全责任事故的，视情节扣除当月运营处理费，最高扣除当月全部运营处理费。发生重大安全责任事故的，直接扣除当月的全部运营处理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应急管理</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未制订应急预案的，扣3分；突发时间未及时上报的，每次扣2分；应急物资储备不足的，每次扣1分；应急措施落实不到位的，或应急事件处理效果不佳的，视实际情况扣1-5分。</w:t>
            </w:r>
          </w:p>
        </w:tc>
        <w:tc>
          <w:tcPr>
            <w:tcW w:w="108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人员资质与培训</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员工上岗前未进行岗前培训的，每人次扣0.5分。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劳动保护</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发现没按规定进行劳动保护的工作人员，每人次扣0.5分。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综合卫生管理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保洁</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清扫保洁未到位的每处扣0.5分。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防“四害”</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发现蚊蝇滋生、虫害鼠害的，每处扣0.5分。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nil"/>
              <w:left w:val="single" w:color="auto" w:sz="4" w:space="0"/>
              <w:bottom w:val="single" w:color="auto" w:sz="4" w:space="0"/>
              <w:right w:val="nil"/>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厂内标识</w:t>
            </w:r>
          </w:p>
        </w:tc>
        <w:tc>
          <w:tcPr>
            <w:tcW w:w="7025" w:type="dxa"/>
            <w:tcBorders>
              <w:top w:val="nil"/>
              <w:left w:val="nil"/>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标志牌缺失、污浊、损坏的，每处扣0.5分。</w:t>
            </w:r>
          </w:p>
        </w:tc>
        <w:tc>
          <w:tcPr>
            <w:tcW w:w="1080" w:type="dxa"/>
            <w:tcBorders>
              <w:top w:val="nil"/>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信息公开与公共关系</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信息公开</w:t>
            </w:r>
          </w:p>
          <w:p>
            <w:pPr>
              <w:spacing w:line="360" w:lineRule="auto"/>
              <w:jc w:val="center"/>
              <w:rPr>
                <w:rFonts w:hint="eastAsia" w:ascii="宋体" w:hAnsi="宋体" w:cs="宋体"/>
                <w:color w:val="auto"/>
                <w:szCs w:val="21"/>
              </w:rPr>
            </w:pPr>
            <w:r>
              <w:rPr>
                <w:rFonts w:hint="eastAsia" w:ascii="宋体" w:hAnsi="宋体" w:cs="宋体"/>
                <w:color w:val="auto"/>
                <w:szCs w:val="21"/>
              </w:rPr>
              <w:t>制度</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无信息公开制度的，扣3分。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群众关系</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造成的投诉已核实是乙方过错的，每次扣1分；投诉情况逾期办理的，每拖延一天扣0.5分，未及时将办理情况向甲方汇报的，每次扣0.5分。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宣传工作</w:t>
            </w:r>
          </w:p>
        </w:tc>
        <w:tc>
          <w:tcPr>
            <w:tcW w:w="7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cs="宋体"/>
                <w:color w:val="auto"/>
                <w:szCs w:val="21"/>
              </w:rPr>
              <w:t>未配合做好相关宣传的，每次扣0.5分。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p>
        </w:tc>
      </w:tr>
      <w:tr>
        <w:tblPrEx>
          <w:tblCellMar>
            <w:top w:w="0" w:type="dxa"/>
            <w:left w:w="0" w:type="dxa"/>
            <w:bottom w:w="0" w:type="dxa"/>
            <w:right w:w="0" w:type="dxa"/>
          </w:tblCellMar>
        </w:tblPrEx>
        <w:tc>
          <w:tcPr>
            <w:tcW w:w="900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80" w:after="180" w:line="360" w:lineRule="auto"/>
              <w:ind w:firstLine="480"/>
              <w:jc w:val="left"/>
              <w:rPr>
                <w:rFonts w:hint="eastAsia" w:ascii="宋体" w:hAnsi="宋体" w:cs="宋体"/>
                <w:color w:val="auto"/>
                <w:kern w:val="0"/>
                <w:szCs w:val="21"/>
              </w:rPr>
            </w:pPr>
            <w:r>
              <w:rPr>
                <w:rFonts w:hint="eastAsia" w:ascii="宋体" w:hAnsi="宋体" w:cs="宋体"/>
                <w:color w:val="auto"/>
                <w:kern w:val="0"/>
                <w:szCs w:val="21"/>
              </w:rPr>
              <w:t>总扣分：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Cs w:val="21"/>
              </w:rPr>
            </w:pPr>
          </w:p>
        </w:tc>
      </w:tr>
      <w:bookmarkEnd w:id="159"/>
      <w:bookmarkEnd w:id="160"/>
      <w:bookmarkEnd w:id="161"/>
    </w:tbl>
    <w:p>
      <w:pPr>
        <w:pStyle w:val="3"/>
        <w:numPr>
          <w:ilvl w:val="0"/>
          <w:numId w:val="0"/>
        </w:numPr>
        <w:jc w:val="center"/>
        <w:rPr>
          <w:rFonts w:hint="eastAsia" w:ascii="黑体" w:hAnsi="黑体" w:eastAsia="黑体" w:cs="黑体"/>
          <w:b w:val="0"/>
          <w:bCs w:val="0"/>
          <w:color w:val="auto"/>
          <w:sz w:val="32"/>
          <w:szCs w:val="32"/>
        </w:rPr>
      </w:pPr>
      <w:bookmarkStart w:id="162" w:name="_Toc11240"/>
      <w:bookmarkStart w:id="163" w:name="_Toc29160"/>
      <w:bookmarkStart w:id="164" w:name="_Toc12246"/>
      <w:r>
        <w:rPr>
          <w:rFonts w:hint="eastAsia" w:ascii="黑体" w:hAnsi="黑体" w:eastAsia="黑体" w:cs="黑体"/>
          <w:b w:val="0"/>
          <w:bCs w:val="0"/>
          <w:color w:val="auto"/>
          <w:sz w:val="32"/>
          <w:szCs w:val="32"/>
        </w:rPr>
        <w:br w:type="page"/>
      </w:r>
      <w:r>
        <w:rPr>
          <w:rFonts w:hint="eastAsia" w:ascii="黑体" w:hAnsi="黑体" w:eastAsia="黑体" w:cs="黑体"/>
          <w:b w:val="0"/>
          <w:bCs w:val="0"/>
          <w:color w:val="auto"/>
          <w:sz w:val="32"/>
          <w:szCs w:val="32"/>
          <w:lang w:eastAsia="zh-CN"/>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评标原则及方法</w:t>
      </w:r>
      <w:bookmarkEnd w:id="162"/>
      <w:bookmarkEnd w:id="163"/>
      <w:bookmarkEnd w:id="164"/>
    </w:p>
    <w:p>
      <w:pPr>
        <w:spacing w:line="360" w:lineRule="auto"/>
        <w:ind w:left="439" w:leftChars="209"/>
        <w:rPr>
          <w:color w:val="auto"/>
        </w:rPr>
      </w:pPr>
      <w:bookmarkStart w:id="165" w:name="_Toc221356966"/>
      <w:bookmarkStart w:id="166" w:name="_Toc221356903"/>
      <w:r>
        <w:rPr>
          <w:rFonts w:hint="eastAsia" w:ascii="宋体" w:hAnsi="宋体" w:cs="宋体"/>
          <w:b/>
          <w:color w:val="auto"/>
          <w:szCs w:val="21"/>
        </w:rPr>
        <w:t>根据《中华人民共和国政府采购法》等相关法规特制定以下评标办法。</w:t>
      </w:r>
    </w:p>
    <w:p>
      <w:pPr>
        <w:spacing w:line="360" w:lineRule="auto"/>
        <w:rPr>
          <w:rFonts w:hint="eastAsia" w:ascii="宋体" w:hAnsi="宋体" w:cs="宋体"/>
          <w:b/>
          <w:color w:val="auto"/>
          <w:szCs w:val="21"/>
        </w:rPr>
      </w:pPr>
      <w:r>
        <w:rPr>
          <w:rFonts w:hint="eastAsia" w:ascii="宋体" w:hAnsi="宋体" w:cs="宋体"/>
          <w:b/>
          <w:color w:val="auto"/>
          <w:szCs w:val="21"/>
        </w:rPr>
        <w:t>一、评标原则</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响应文件进行综合评定，提出优选方案，编写评标报告。对落标单位，评标委员会不做任何落标解释。供应商不得以任何方式干扰招投标工作的进行，一经发现其响应文件将被拒绝。</w:t>
      </w:r>
    </w:p>
    <w:p>
      <w:pPr>
        <w:autoSpaceDE w:val="0"/>
        <w:autoSpaceDN w:val="0"/>
        <w:adjustRightInd w:val="0"/>
        <w:snapToGrid w:val="0"/>
        <w:spacing w:line="500" w:lineRule="exact"/>
        <w:jc w:val="left"/>
        <w:outlineLvl w:val="1"/>
        <w:rPr>
          <w:rFonts w:hint="eastAsia" w:ascii="宋体" w:hAnsi="宋体" w:cs="宋体"/>
          <w:b/>
          <w:bCs/>
          <w:color w:val="auto"/>
          <w:szCs w:val="21"/>
          <w:lang w:val="zh-CN"/>
        </w:rPr>
      </w:pPr>
      <w:bookmarkStart w:id="167" w:name="_Toc476644266"/>
      <w:bookmarkStart w:id="168" w:name="_Toc476644721"/>
      <w:r>
        <w:rPr>
          <w:rFonts w:hint="eastAsia" w:ascii="宋体" w:hAnsi="宋体" w:cs="宋体"/>
          <w:b/>
          <w:bCs/>
          <w:color w:val="auto"/>
          <w:szCs w:val="21"/>
          <w:lang w:val="zh-CN"/>
        </w:rPr>
        <w:t>二、评标委员会的组成</w:t>
      </w:r>
      <w:bookmarkEnd w:id="167"/>
      <w:bookmarkEnd w:id="168"/>
    </w:p>
    <w:p>
      <w:pPr>
        <w:autoSpaceDE w:val="0"/>
        <w:autoSpaceDN w:val="0"/>
        <w:adjustRightInd w:val="0"/>
        <w:snapToGrid w:val="0"/>
        <w:spacing w:line="540" w:lineRule="exact"/>
        <w:ind w:firstLine="420" w:firstLineChars="200"/>
        <w:rPr>
          <w:rFonts w:hint="eastAsia" w:ascii="宋体" w:hAnsi="宋体" w:cs="宋体"/>
          <w:color w:val="auto"/>
          <w:szCs w:val="21"/>
        </w:rPr>
      </w:pPr>
      <w:r>
        <w:rPr>
          <w:rFonts w:hint="eastAsia" w:ascii="宋体" w:hAnsi="宋体" w:cs="宋体"/>
          <w:color w:val="auto"/>
          <w:szCs w:val="21"/>
          <w:highlight w:val="none"/>
        </w:rPr>
        <w:t>1、评标委员会共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人组成，其中采购单位代表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名，其余</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名专家从常山县政府采购评审专家库中随机抽取产生，评标委员会对投</w:t>
      </w:r>
      <w:r>
        <w:rPr>
          <w:rFonts w:hint="eastAsia" w:ascii="宋体" w:hAnsi="宋体" w:cs="宋体"/>
          <w:color w:val="auto"/>
          <w:szCs w:val="21"/>
        </w:rPr>
        <w:t>标文件进行评审。</w:t>
      </w:r>
    </w:p>
    <w:p>
      <w:pPr>
        <w:autoSpaceDE w:val="0"/>
        <w:autoSpaceDN w:val="0"/>
        <w:adjustRightInd w:val="0"/>
        <w:snapToGrid w:val="0"/>
        <w:spacing w:line="540" w:lineRule="exact"/>
        <w:ind w:firstLine="420" w:firstLineChars="200"/>
        <w:rPr>
          <w:rFonts w:hint="eastAsia"/>
          <w:color w:val="auto"/>
        </w:rPr>
      </w:pPr>
      <w:r>
        <w:rPr>
          <w:rFonts w:hint="eastAsia" w:ascii="宋体" w:hAnsi="宋体" w:cs="宋体"/>
          <w:color w:val="auto"/>
          <w:szCs w:val="21"/>
        </w:rPr>
        <w:t>2、在线询标期间，投标人法定代表人或</w:t>
      </w:r>
      <w:r>
        <w:rPr>
          <w:rFonts w:hint="eastAsia" w:hAnsi="宋体" w:cs="宋体"/>
          <w:color w:val="auto"/>
        </w:rPr>
        <w:t>法定代表人授权委托人</w:t>
      </w:r>
      <w:r>
        <w:rPr>
          <w:rFonts w:hint="eastAsia" w:ascii="宋体" w:hAnsi="宋体" w:cs="宋体"/>
          <w:color w:val="auto"/>
          <w:szCs w:val="21"/>
        </w:rPr>
        <w:t>必须在线，负责解答有关事宜。如不在线或未在规定时间内回复，则事后不得对采购过程及结果提出异议。</w:t>
      </w:r>
    </w:p>
    <w:p>
      <w:pPr>
        <w:spacing w:line="480" w:lineRule="exact"/>
        <w:rPr>
          <w:rFonts w:hint="eastAsia" w:ascii="宋体" w:hAnsi="宋体" w:cs="宋体"/>
          <w:b/>
          <w:color w:val="auto"/>
          <w:szCs w:val="21"/>
        </w:rPr>
      </w:pPr>
      <w:r>
        <w:rPr>
          <w:rFonts w:hint="eastAsia" w:ascii="宋体" w:hAnsi="宋体" w:cs="宋体"/>
          <w:b/>
          <w:color w:val="auto"/>
          <w:szCs w:val="21"/>
        </w:rPr>
        <w:t>三、评标方法</w:t>
      </w:r>
    </w:p>
    <w:p>
      <w:pPr>
        <w:spacing w:line="360" w:lineRule="auto"/>
        <w:ind w:firstLine="420" w:firstLineChars="200"/>
        <w:rPr>
          <w:rFonts w:hint="eastAsia" w:ascii="宋体" w:hAnsi="宋体"/>
          <w:color w:val="auto"/>
          <w:szCs w:val="21"/>
        </w:rPr>
      </w:pPr>
      <w:r>
        <w:rPr>
          <w:rFonts w:hint="eastAsia" w:ascii="宋体" w:hAnsi="宋体"/>
          <w:color w:val="auto"/>
          <w:szCs w:val="21"/>
        </w:rPr>
        <w:t>1、投标报价是指报价合计。</w:t>
      </w:r>
    </w:p>
    <w:p>
      <w:pPr>
        <w:spacing w:line="360" w:lineRule="auto"/>
        <w:ind w:firstLine="420" w:firstLineChars="200"/>
        <w:rPr>
          <w:rFonts w:hint="eastAsia" w:ascii="宋体" w:hAnsi="宋体"/>
          <w:color w:val="auto"/>
          <w:szCs w:val="21"/>
        </w:rPr>
      </w:pPr>
      <w:r>
        <w:rPr>
          <w:rFonts w:hint="eastAsia" w:ascii="宋体" w:hAnsi="宋体"/>
          <w:color w:val="auto"/>
          <w:szCs w:val="21"/>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pPr>
        <w:spacing w:line="360" w:lineRule="auto"/>
        <w:ind w:firstLine="420" w:firstLineChars="200"/>
        <w:rPr>
          <w:b/>
          <w:bCs/>
          <w:color w:val="auto"/>
        </w:rPr>
      </w:pPr>
      <w:r>
        <w:rPr>
          <w:rFonts w:hint="eastAsia"/>
          <w:color w:val="auto"/>
        </w:rPr>
        <w:t>3</w:t>
      </w:r>
      <w:r>
        <w:rPr>
          <w:rFonts w:hint="eastAsia"/>
          <w:b/>
          <w:bCs/>
          <w:color w:val="auto"/>
        </w:rPr>
        <w:t>、</w:t>
      </w:r>
      <w:r>
        <w:rPr>
          <w:b/>
          <w:bCs/>
          <w:color w:val="auto"/>
        </w:rPr>
        <w:t>评标标准</w:t>
      </w:r>
    </w:p>
    <w:p>
      <w:pPr>
        <w:spacing w:line="360" w:lineRule="auto"/>
        <w:ind w:firstLine="420" w:firstLineChars="200"/>
        <w:rPr>
          <w:color w:val="auto"/>
        </w:rPr>
      </w:pPr>
      <w:r>
        <w:rPr>
          <w:color w:val="auto"/>
        </w:rPr>
        <w:t>各投标人的综合得分为报价得分和技术资信得分之和，总分为100分，其中：报价分</w:t>
      </w:r>
      <w:r>
        <w:rPr>
          <w:rFonts w:hint="eastAsia"/>
          <w:color w:val="auto"/>
          <w:lang w:val="en-US" w:eastAsia="zh-CN"/>
        </w:rPr>
        <w:t>2</w:t>
      </w:r>
      <w:r>
        <w:rPr>
          <w:rFonts w:hint="eastAsia"/>
          <w:color w:val="auto"/>
        </w:rPr>
        <w:t>0</w:t>
      </w:r>
      <w:r>
        <w:rPr>
          <w:color w:val="auto"/>
        </w:rPr>
        <w:t>分，技术资信分</w:t>
      </w:r>
      <w:r>
        <w:rPr>
          <w:rFonts w:hint="eastAsia"/>
          <w:color w:val="auto"/>
          <w:lang w:val="en-US" w:eastAsia="zh-CN"/>
        </w:rPr>
        <w:t>8</w:t>
      </w:r>
      <w:r>
        <w:rPr>
          <w:rFonts w:hint="eastAsia"/>
          <w:color w:val="auto"/>
        </w:rPr>
        <w:t>0</w:t>
      </w:r>
      <w:r>
        <w:rPr>
          <w:color w:val="auto"/>
        </w:rPr>
        <w:t>分。各投标人的资信</w:t>
      </w:r>
      <w:r>
        <w:rPr>
          <w:rFonts w:hint="eastAsia"/>
          <w:color w:val="auto"/>
        </w:rPr>
        <w:t>评分由评标委员会统一打分，</w:t>
      </w:r>
      <w:r>
        <w:rPr>
          <w:color w:val="auto"/>
        </w:rPr>
        <w:t>技术评分按照评标委员会成员的独立评分结果汇总后的算术平均分计算；各投标人的报价分得分按低价优先法计算。</w:t>
      </w:r>
    </w:p>
    <w:p>
      <w:pPr>
        <w:spacing w:line="500" w:lineRule="exact"/>
        <w:ind w:firstLine="420" w:firstLineChars="200"/>
        <w:rPr>
          <w:color w:val="auto"/>
        </w:rPr>
      </w:pPr>
      <w:r>
        <w:rPr>
          <w:color w:val="auto"/>
        </w:rPr>
        <w:t>3.1报价分（</w:t>
      </w:r>
      <w:r>
        <w:rPr>
          <w:rFonts w:hint="eastAsia"/>
          <w:color w:val="auto"/>
          <w:lang w:val="en-US" w:eastAsia="zh-CN"/>
        </w:rPr>
        <w:t>2</w:t>
      </w:r>
      <w:r>
        <w:rPr>
          <w:rFonts w:hint="eastAsia"/>
          <w:color w:val="auto"/>
        </w:rPr>
        <w:t>0</w:t>
      </w:r>
      <w:r>
        <w:rPr>
          <w:color w:val="auto"/>
        </w:rPr>
        <w:t>分）：</w:t>
      </w:r>
    </w:p>
    <w:p>
      <w:pPr>
        <w:spacing w:line="500" w:lineRule="exact"/>
        <w:ind w:firstLine="420" w:firstLineChars="200"/>
        <w:rPr>
          <w:color w:val="auto"/>
        </w:rPr>
      </w:pPr>
      <w:r>
        <w:rPr>
          <w:color w:val="auto"/>
        </w:rPr>
        <w:t>3.1.1报价得分采用低价优先法准则，即满足招标文件要求且投标价格最低的投标报价为评标基准价。</w:t>
      </w:r>
    </w:p>
    <w:p>
      <w:pPr>
        <w:pStyle w:val="62"/>
        <w:numPr>
          <w:ilvl w:val="0"/>
          <w:numId w:val="0"/>
        </w:numPr>
        <w:spacing w:before="156" w:beforeLines="50" w:line="300" w:lineRule="auto"/>
        <w:ind w:left="420" w:leftChars="0"/>
        <w:jc w:val="left"/>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（1）各类服务费所占分值分别为：</w:t>
      </w:r>
    </w:p>
    <w:p>
      <w:pPr>
        <w:pStyle w:val="62"/>
        <w:numPr>
          <w:ilvl w:val="0"/>
          <w:numId w:val="11"/>
        </w:numPr>
        <w:spacing w:before="159" w:beforeLines="50" w:line="300" w:lineRule="auto"/>
        <w:jc w:val="left"/>
        <w:rPr>
          <w:rFonts w:hint="eastAsia" w:ascii="Times New Roman" w:hAnsi="Times New Roman" w:cs="Times New Roman"/>
          <w:color w:val="auto"/>
          <w:lang w:val="en-US" w:bidi="ar-SA"/>
        </w:rPr>
      </w:pPr>
      <w:r>
        <w:rPr>
          <w:rFonts w:hint="eastAsia" w:ascii="Times New Roman" w:hAnsi="Times New Roman" w:cs="Times New Roman"/>
          <w:color w:val="auto"/>
          <w:lang w:val="en-US" w:bidi="ar-SA"/>
        </w:rPr>
        <w:t>渗滤液运营服务费报价P1的分值为</w:t>
      </w:r>
      <w:r>
        <w:rPr>
          <w:rFonts w:hint="eastAsia" w:ascii="Times New Roman" w:hAnsi="Times New Roman" w:cs="Times New Roman"/>
          <w:color w:val="auto"/>
          <w:lang w:val="en-US" w:eastAsia="zh-CN" w:bidi="ar-SA"/>
        </w:rPr>
        <w:t>15</w:t>
      </w:r>
      <w:r>
        <w:rPr>
          <w:rFonts w:hint="eastAsia" w:ascii="Times New Roman" w:hAnsi="Times New Roman" w:cs="Times New Roman"/>
          <w:color w:val="auto"/>
          <w:lang w:val="en-US" w:bidi="ar-SA"/>
        </w:rPr>
        <w:t>分，</w:t>
      </w:r>
    </w:p>
    <w:p>
      <w:pPr>
        <w:pStyle w:val="62"/>
        <w:numPr>
          <w:ilvl w:val="0"/>
          <w:numId w:val="11"/>
        </w:numPr>
        <w:spacing w:before="159" w:beforeLines="50" w:line="300" w:lineRule="auto"/>
        <w:jc w:val="left"/>
        <w:rPr>
          <w:rFonts w:ascii="楷体" w:hAnsi="楷体" w:eastAsia="楷体"/>
          <w:color w:val="auto"/>
          <w:szCs w:val="21"/>
        </w:rPr>
      </w:pPr>
      <w:r>
        <w:rPr>
          <w:rFonts w:hint="eastAsia" w:ascii="Times New Roman" w:hAnsi="Times New Roman" w:cs="Times New Roman"/>
          <w:color w:val="auto"/>
          <w:lang w:val="en-US" w:bidi="ar-SA"/>
        </w:rPr>
        <w:t>微电荷及自养反硝化脱氮运营服务费报价P2的分值为</w:t>
      </w:r>
      <w:r>
        <w:rPr>
          <w:rFonts w:hint="eastAsia" w:ascii="Times New Roman" w:hAnsi="Times New Roman" w:cs="Times New Roman"/>
          <w:color w:val="auto"/>
          <w:lang w:val="en-US" w:eastAsia="zh-CN" w:bidi="ar-SA"/>
        </w:rPr>
        <w:t>4</w:t>
      </w:r>
      <w:r>
        <w:rPr>
          <w:rFonts w:hint="eastAsia" w:ascii="Times New Roman" w:hAnsi="Times New Roman" w:cs="Times New Roman"/>
          <w:color w:val="auto"/>
          <w:lang w:val="en-US" w:bidi="ar-SA"/>
        </w:rPr>
        <w:t>分，</w:t>
      </w:r>
    </w:p>
    <w:p>
      <w:pPr>
        <w:pStyle w:val="62"/>
        <w:numPr>
          <w:ilvl w:val="0"/>
          <w:numId w:val="11"/>
        </w:numPr>
        <w:spacing w:before="159" w:beforeLines="50" w:line="300" w:lineRule="auto"/>
        <w:jc w:val="left"/>
        <w:rPr>
          <w:rFonts w:hint="eastAsia" w:ascii="宋体" w:hAnsi="宋体" w:eastAsia="宋体" w:cs="宋体"/>
          <w:color w:val="auto"/>
          <w:szCs w:val="21"/>
        </w:rPr>
      </w:pPr>
      <w:r>
        <w:rPr>
          <w:rFonts w:hint="eastAsia" w:ascii="宋体" w:hAnsi="宋体" w:eastAsia="宋体" w:cs="宋体"/>
          <w:color w:val="auto"/>
          <w:lang w:val="en-US" w:bidi="ar-SA"/>
        </w:rPr>
        <w:t>污泥处置费报价</w:t>
      </w:r>
      <w:r>
        <w:rPr>
          <w:rFonts w:hint="eastAsia" w:ascii="宋体" w:hAnsi="宋体" w:eastAsia="宋体" w:cs="宋体"/>
          <w:color w:val="auto"/>
          <w:sz w:val="21"/>
          <w:szCs w:val="21"/>
        </w:rPr>
        <w:t>P</w:t>
      </w:r>
      <w:r>
        <w:rPr>
          <w:rFonts w:hint="eastAsia" w:ascii="宋体" w:hAnsi="宋体" w:eastAsia="宋体" w:cs="宋体"/>
          <w:color w:val="auto"/>
          <w:sz w:val="21"/>
          <w:szCs w:val="21"/>
          <w:lang w:val="en-US" w:eastAsia="zh-CN"/>
        </w:rPr>
        <w:t>3</w:t>
      </w:r>
      <w:r>
        <w:rPr>
          <w:rFonts w:hint="eastAsia" w:ascii="宋体" w:hAnsi="宋体" w:eastAsia="宋体" w:cs="宋体"/>
          <w:color w:val="auto"/>
          <w:lang w:val="en-US" w:bidi="ar-SA"/>
        </w:rPr>
        <w:t>的分值为</w:t>
      </w:r>
      <w:r>
        <w:rPr>
          <w:rFonts w:hint="eastAsia" w:ascii="宋体" w:hAnsi="宋体" w:eastAsia="宋体" w:cs="宋体"/>
          <w:color w:val="auto"/>
          <w:lang w:val="en-US" w:eastAsia="zh-CN" w:bidi="ar-SA"/>
        </w:rPr>
        <w:t>1</w:t>
      </w:r>
      <w:r>
        <w:rPr>
          <w:rFonts w:hint="eastAsia" w:ascii="宋体" w:hAnsi="宋体" w:eastAsia="宋体" w:cs="宋体"/>
          <w:color w:val="auto"/>
          <w:lang w:val="en-US" w:bidi="ar-SA"/>
        </w:rPr>
        <w:t>分。</w:t>
      </w:r>
    </w:p>
    <w:p>
      <w:pPr>
        <w:pStyle w:val="54"/>
        <w:spacing w:beforeLines="50" w:line="300" w:lineRule="auto"/>
        <w:ind w:left="840" w:firstLine="0"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t>报价得分=</w:t>
      </w:r>
      <w:r>
        <w:rPr>
          <w:rFonts w:hint="eastAsia" w:ascii="宋体" w:hAnsi="宋体" w:eastAsia="宋体" w:cs="宋体"/>
          <w:color w:val="auto"/>
          <w:sz w:val="21"/>
          <w:szCs w:val="21"/>
        </w:rPr>
        <w:t>P1价格得分+P2价格得分+P</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价格得分。</w:t>
      </w:r>
    </w:p>
    <w:p>
      <w:pPr>
        <w:pStyle w:val="54"/>
        <w:spacing w:before="159" w:beforeLines="50" w:line="300" w:lineRule="auto"/>
        <w:ind w:left="420" w:leftChars="200"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注：</w:t>
      </w:r>
      <w:r>
        <w:rPr>
          <w:rFonts w:hint="eastAsia" w:ascii="宋体" w:hAnsi="宋体" w:eastAsia="宋体" w:cs="宋体"/>
          <w:b/>
          <w:bCs/>
          <w:color w:val="auto"/>
          <w:sz w:val="21"/>
          <w:szCs w:val="21"/>
        </w:rPr>
        <w:t>中标后，</w:t>
      </w:r>
      <w:r>
        <w:rPr>
          <w:rFonts w:hint="eastAsia" w:ascii="宋体" w:hAnsi="宋体" w:eastAsia="宋体" w:cs="宋体"/>
          <w:b/>
          <w:bCs/>
          <w:color w:val="auto"/>
          <w:sz w:val="21"/>
          <w:szCs w:val="21"/>
          <w:lang w:eastAsia="zh-CN"/>
        </w:rPr>
        <w:t>自</w:t>
      </w:r>
      <w:r>
        <w:rPr>
          <w:rFonts w:hint="eastAsia" w:ascii="宋体" w:hAnsi="宋体" w:eastAsia="宋体" w:cs="宋体"/>
          <w:b/>
          <w:bCs/>
          <w:color w:val="auto"/>
          <w:sz w:val="21"/>
          <w:szCs w:val="21"/>
        </w:rPr>
        <w:t>2023年</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日起，开始结算微电荷及自养反硝化服务费，污泥处置费按照</w:t>
      </w:r>
      <w:r>
        <w:rPr>
          <w:rFonts w:hint="eastAsia" w:ascii="宋体" w:hAnsi="宋体" w:eastAsia="宋体" w:cs="宋体"/>
          <w:b/>
          <w:bCs/>
          <w:color w:val="auto"/>
          <w:sz w:val="21"/>
          <w:szCs w:val="21"/>
          <w:lang w:eastAsia="zh-CN"/>
        </w:rPr>
        <w:t>生活垃圾填埋场</w:t>
      </w:r>
      <w:r>
        <w:rPr>
          <w:rFonts w:hint="eastAsia" w:ascii="宋体" w:hAnsi="宋体" w:eastAsia="宋体" w:cs="宋体"/>
          <w:b/>
          <w:bCs/>
          <w:color w:val="auto"/>
          <w:sz w:val="21"/>
          <w:szCs w:val="21"/>
        </w:rPr>
        <w:t>不能填埋</w:t>
      </w:r>
      <w:r>
        <w:rPr>
          <w:rFonts w:hint="eastAsia" w:ascii="宋体" w:hAnsi="宋体" w:eastAsia="宋体" w:cs="宋体"/>
          <w:b/>
          <w:bCs/>
          <w:color w:val="auto"/>
          <w:sz w:val="21"/>
          <w:szCs w:val="21"/>
          <w:lang w:eastAsia="zh-CN"/>
        </w:rPr>
        <w:t>当月</w:t>
      </w:r>
      <w:r>
        <w:rPr>
          <w:rFonts w:hint="eastAsia" w:ascii="宋体" w:hAnsi="宋体" w:eastAsia="宋体" w:cs="宋体"/>
          <w:b/>
          <w:bCs/>
          <w:color w:val="auto"/>
          <w:sz w:val="21"/>
          <w:szCs w:val="21"/>
        </w:rPr>
        <w:t>开始计费结算。</w:t>
      </w:r>
    </w:p>
    <w:p>
      <w:pPr>
        <w:spacing w:line="500" w:lineRule="exact"/>
        <w:ind w:firstLine="420" w:firstLineChars="200"/>
        <w:rPr>
          <w:rFonts w:hint="eastAsia" w:ascii="宋体" w:hAnsi="宋体" w:eastAsia="宋体" w:cs="宋体"/>
          <w:color w:val="auto"/>
        </w:rPr>
      </w:pPr>
      <w:r>
        <w:rPr>
          <w:rFonts w:hint="eastAsia" w:ascii="宋体" w:hAnsi="宋体" w:eastAsia="宋体" w:cs="宋体"/>
          <w:color w:val="auto"/>
        </w:rPr>
        <w:t>3.1.2报价得分按下列公式计算：</w:t>
      </w:r>
    </w:p>
    <w:tbl>
      <w:tblPr>
        <w:tblStyle w:val="23"/>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946"/>
        <w:gridCol w:w="597"/>
        <w:gridCol w:w="6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 w:hRule="atLeast"/>
          <w:jc w:val="center"/>
        </w:trPr>
        <w:tc>
          <w:tcPr>
            <w:tcW w:w="628"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before="156" w:beforeLines="50" w:line="300" w:lineRule="auto"/>
              <w:ind w:leftChars="-9" w:hanging="19" w:hangingChars="9"/>
              <w:jc w:val="center"/>
              <w:rPr>
                <w:rFonts w:hint="eastAsia" w:ascii="宋体" w:hAnsi="宋体" w:eastAsia="宋体" w:cs="宋体"/>
                <w:b/>
                <w:color w:val="auto"/>
                <w:szCs w:val="21"/>
              </w:rPr>
            </w:pPr>
            <w:r>
              <w:rPr>
                <w:rFonts w:hint="eastAsia" w:ascii="宋体" w:hAnsi="宋体" w:eastAsia="宋体" w:cs="宋体"/>
                <w:b/>
                <w:color w:val="auto"/>
                <w:szCs w:val="21"/>
              </w:rPr>
              <w:t>类型</w:t>
            </w:r>
          </w:p>
        </w:tc>
        <w:tc>
          <w:tcPr>
            <w:tcW w:w="1946"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00" w:lineRule="auto"/>
              <w:ind w:leftChars="-9" w:hanging="19" w:hangingChars="9"/>
              <w:jc w:val="center"/>
              <w:rPr>
                <w:rFonts w:hint="eastAsia" w:ascii="宋体" w:hAnsi="宋体" w:eastAsia="宋体" w:cs="宋体"/>
                <w:b/>
                <w:color w:val="auto"/>
                <w:szCs w:val="21"/>
              </w:rPr>
            </w:pPr>
            <w:r>
              <w:rPr>
                <w:rFonts w:hint="eastAsia" w:ascii="宋体" w:hAnsi="宋体" w:eastAsia="宋体" w:cs="宋体"/>
                <w:b/>
                <w:color w:val="auto"/>
                <w:szCs w:val="21"/>
              </w:rPr>
              <w:t>评标项目</w:t>
            </w:r>
          </w:p>
        </w:tc>
        <w:tc>
          <w:tcPr>
            <w:tcW w:w="597"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300" w:lineRule="auto"/>
              <w:ind w:leftChars="-9" w:hanging="19" w:hangingChars="9"/>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6587"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before="156" w:beforeLines="50" w:line="300" w:lineRule="auto"/>
              <w:ind w:leftChars="-9" w:hanging="19" w:hangingChars="9"/>
              <w:jc w:val="center"/>
              <w:rPr>
                <w:rFonts w:hint="eastAsia" w:ascii="宋体" w:hAnsi="宋体" w:eastAsia="宋体" w:cs="宋体"/>
                <w:b/>
                <w:color w:val="auto"/>
                <w:szCs w:val="21"/>
              </w:rPr>
            </w:pPr>
            <w:r>
              <w:rPr>
                <w:rFonts w:hint="eastAsia" w:ascii="宋体" w:hAnsi="宋体" w:eastAsia="宋体" w:cs="宋体"/>
                <w:b/>
                <w:color w:val="auto"/>
                <w:szCs w:val="21"/>
              </w:rPr>
              <w:t>评分内容和标准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jc w:val="center"/>
        </w:trPr>
        <w:tc>
          <w:tcPr>
            <w:tcW w:w="628" w:type="dxa"/>
            <w:vMerge w:val="restart"/>
            <w:tcBorders>
              <w:top w:val="single" w:color="auto" w:sz="4" w:space="0"/>
              <w:left w:val="double" w:color="auto" w:sz="4" w:space="0"/>
              <w:right w:val="single" w:color="auto" w:sz="4" w:space="0"/>
            </w:tcBorders>
            <w:noWrap w:val="0"/>
            <w:vAlign w:val="center"/>
          </w:tcPr>
          <w:p>
            <w:pPr>
              <w:spacing w:before="156" w:beforeLines="50" w:line="300" w:lineRule="auto"/>
              <w:ind w:leftChars="-9" w:hanging="18" w:hangingChars="9"/>
              <w:jc w:val="center"/>
              <w:rPr>
                <w:rFonts w:hint="eastAsia" w:ascii="宋体" w:hAnsi="宋体" w:eastAsia="宋体" w:cs="宋体"/>
                <w:color w:val="auto"/>
                <w:szCs w:val="21"/>
              </w:rPr>
            </w:pPr>
            <w:r>
              <w:rPr>
                <w:rFonts w:hint="eastAsia" w:ascii="宋体" w:hAnsi="宋体" w:eastAsia="宋体" w:cs="宋体"/>
                <w:color w:val="auto"/>
                <w:szCs w:val="21"/>
              </w:rPr>
              <w:t>报</w:t>
            </w:r>
          </w:p>
          <w:p>
            <w:pPr>
              <w:spacing w:before="156" w:beforeLines="50" w:line="300" w:lineRule="auto"/>
              <w:ind w:leftChars="-9" w:hanging="18" w:hangingChars="9"/>
              <w:jc w:val="center"/>
              <w:rPr>
                <w:rFonts w:hint="eastAsia" w:ascii="宋体" w:hAnsi="宋体" w:eastAsia="宋体" w:cs="宋体"/>
                <w:color w:val="auto"/>
                <w:szCs w:val="21"/>
              </w:rPr>
            </w:pPr>
            <w:r>
              <w:rPr>
                <w:rFonts w:hint="eastAsia" w:ascii="宋体" w:hAnsi="宋体" w:eastAsia="宋体" w:cs="宋体"/>
                <w:color w:val="auto"/>
                <w:szCs w:val="21"/>
              </w:rPr>
              <w:t>价</w:t>
            </w:r>
          </w:p>
          <w:p>
            <w:pPr>
              <w:spacing w:before="156" w:beforeLines="50" w:line="300" w:lineRule="auto"/>
              <w:ind w:leftChars="-9" w:hanging="18" w:hangingChars="9"/>
              <w:jc w:val="center"/>
              <w:rPr>
                <w:rFonts w:hint="eastAsia" w:ascii="宋体" w:hAnsi="宋体" w:eastAsia="宋体" w:cs="宋体"/>
                <w:color w:val="auto"/>
                <w:szCs w:val="21"/>
              </w:rPr>
            </w:pPr>
            <w:r>
              <w:rPr>
                <w:rFonts w:hint="eastAsia" w:ascii="宋体" w:hAnsi="宋体" w:eastAsia="宋体" w:cs="宋体"/>
                <w:color w:val="auto"/>
                <w:szCs w:val="21"/>
              </w:rPr>
              <w:t>标</w:t>
            </w:r>
          </w:p>
          <w:p>
            <w:pPr>
              <w:spacing w:before="156" w:beforeLines="50" w:line="300" w:lineRule="auto"/>
              <w:ind w:leftChars="-9" w:hanging="18" w:hangingChars="9"/>
              <w:jc w:val="center"/>
              <w:rPr>
                <w:rFonts w:hint="eastAsia" w:ascii="宋体" w:hAnsi="宋体" w:eastAsia="宋体" w:cs="宋体"/>
                <w:color w:val="auto"/>
                <w:szCs w:val="21"/>
              </w:rPr>
            </w:pPr>
            <w:r>
              <w:rPr>
                <w:rFonts w:hint="eastAsia" w:ascii="宋体" w:hAnsi="宋体" w:eastAsia="宋体" w:cs="宋体"/>
                <w:color w:val="auto"/>
                <w:szCs w:val="21"/>
              </w:rPr>
              <w:t>20</w:t>
            </w:r>
          </w:p>
          <w:p>
            <w:pPr>
              <w:spacing w:before="156" w:beforeLines="50" w:line="300" w:lineRule="auto"/>
              <w:ind w:leftChars="-9" w:hanging="18" w:hangingChars="9"/>
              <w:jc w:val="center"/>
              <w:rPr>
                <w:rFonts w:hint="eastAsia" w:ascii="宋体" w:hAnsi="宋体" w:eastAsia="宋体" w:cs="宋体"/>
                <w:color w:val="auto"/>
                <w:szCs w:val="21"/>
              </w:rPr>
            </w:pPr>
            <w:r>
              <w:rPr>
                <w:rFonts w:hint="eastAsia" w:ascii="宋体" w:hAnsi="宋体" w:eastAsia="宋体" w:cs="宋体"/>
                <w:color w:val="auto"/>
                <w:szCs w:val="21"/>
              </w:rPr>
              <w:t>分</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spacing w:before="159" w:beforeLines="50" w:line="300" w:lineRule="auto"/>
              <w:ind w:left="-1" w:leftChars="-9" w:hanging="18" w:hangingChars="9"/>
              <w:rPr>
                <w:rFonts w:hint="eastAsia" w:ascii="宋体" w:hAnsi="宋体" w:eastAsia="宋体" w:cs="宋体"/>
                <w:color w:val="auto"/>
                <w:szCs w:val="21"/>
              </w:rPr>
            </w:pPr>
            <w:r>
              <w:rPr>
                <w:rFonts w:hint="eastAsia" w:ascii="宋体" w:hAnsi="宋体" w:eastAsia="宋体" w:cs="宋体"/>
                <w:color w:val="auto"/>
                <w:szCs w:val="21"/>
              </w:rPr>
              <w:t>垃圾渗滤液运营服务费报价</w:t>
            </w:r>
            <w:r>
              <w:rPr>
                <w:rFonts w:hint="eastAsia" w:ascii="宋体" w:hAnsi="宋体" w:eastAsia="宋体" w:cs="宋体"/>
                <w:b/>
                <w:bCs/>
                <w:color w:val="auto"/>
                <w:szCs w:val="21"/>
              </w:rPr>
              <w:t>P</w:t>
            </w:r>
            <w:r>
              <w:rPr>
                <w:rFonts w:hint="eastAsia" w:ascii="宋体" w:hAnsi="宋体" w:eastAsia="宋体" w:cs="宋体"/>
                <w:b/>
                <w:bCs/>
                <w:color w:val="auto"/>
                <w:szCs w:val="21"/>
                <w:vertAlign w:val="subscript"/>
              </w:rPr>
              <w:t>1</w:t>
            </w: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before="159" w:beforeLines="50" w:line="300" w:lineRule="auto"/>
              <w:ind w:left="-1" w:leftChars="-9" w:hanging="18" w:hangingChars="9"/>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15</w:t>
            </w:r>
          </w:p>
        </w:tc>
        <w:tc>
          <w:tcPr>
            <w:tcW w:w="6587" w:type="dxa"/>
            <w:tcBorders>
              <w:top w:val="single" w:color="auto" w:sz="4" w:space="0"/>
              <w:left w:val="single" w:color="auto" w:sz="4" w:space="0"/>
              <w:bottom w:val="single" w:color="auto" w:sz="4" w:space="0"/>
              <w:right w:val="double" w:color="auto" w:sz="4" w:space="0"/>
            </w:tcBorders>
            <w:noWrap w:val="0"/>
            <w:vAlign w:val="center"/>
          </w:tcPr>
          <w:p>
            <w:pPr>
              <w:spacing w:before="159" w:beforeLines="50" w:line="300" w:lineRule="auto"/>
              <w:ind w:leftChars="-9" w:hanging="18" w:hangingChars="9"/>
              <w:rPr>
                <w:rFonts w:hint="eastAsia" w:ascii="宋体" w:hAnsi="宋体" w:eastAsia="宋体" w:cs="宋体"/>
                <w:color w:val="auto"/>
                <w:szCs w:val="21"/>
              </w:rPr>
            </w:pPr>
            <w:r>
              <w:rPr>
                <w:rFonts w:hint="eastAsia" w:ascii="宋体" w:hAnsi="宋体" w:eastAsia="宋体" w:cs="宋体"/>
                <w:color w:val="auto"/>
                <w:szCs w:val="21"/>
              </w:rPr>
              <w:t>满足招标文件要求且投标价格最低的投标报价为评标基准价，其价格分为满分</w:t>
            </w:r>
            <w:r>
              <w:rPr>
                <w:rFonts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分，其他投标人的价格分统一按照下列公式计算：</w:t>
            </w:r>
          </w:p>
          <w:p>
            <w:pPr>
              <w:spacing w:before="159" w:beforeLines="50" w:line="300" w:lineRule="auto"/>
              <w:ind w:leftChars="-9" w:hanging="18" w:hangingChars="9"/>
              <w:rPr>
                <w:rFonts w:hint="eastAsia" w:ascii="宋体" w:hAnsi="宋体" w:eastAsia="宋体" w:cs="宋体"/>
                <w:color w:val="auto"/>
                <w:szCs w:val="21"/>
              </w:rPr>
            </w:pPr>
            <w:r>
              <w:rPr>
                <w:rFonts w:hint="eastAsia" w:ascii="宋体" w:hAnsi="宋体" w:eastAsia="宋体" w:cs="宋体"/>
                <w:color w:val="auto"/>
                <w:szCs w:val="21"/>
              </w:rPr>
              <w:t>投标报价得分=（评标基准价/投标报价）×1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×100。</w:t>
            </w:r>
          </w:p>
          <w:p>
            <w:pPr>
              <w:pStyle w:val="2"/>
              <w:spacing w:before="159" w:beforeLines="50" w:line="300" w:lineRule="auto"/>
              <w:ind w:left="-1" w:leftChars="-9" w:hanging="18" w:hangingChars="9"/>
              <w:rPr>
                <w:rFonts w:hint="eastAsia" w:ascii="宋体" w:hAnsi="宋体" w:eastAsia="宋体" w:cs="宋体"/>
                <w:color w:val="auto"/>
                <w:sz w:val="21"/>
                <w:szCs w:val="21"/>
              </w:rPr>
            </w:pPr>
            <w:r>
              <w:rPr>
                <w:rFonts w:hint="eastAsia" w:ascii="宋体" w:hAnsi="宋体" w:eastAsia="宋体" w:cs="宋体"/>
                <w:color w:val="auto"/>
                <w:sz w:val="21"/>
                <w:szCs w:val="21"/>
              </w:rPr>
              <w:t>结果四舍五入，保留两位小数。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jc w:val="center"/>
        </w:trPr>
        <w:tc>
          <w:tcPr>
            <w:tcW w:w="628" w:type="dxa"/>
            <w:vMerge w:val="continue"/>
            <w:tcBorders>
              <w:left w:val="double" w:color="auto" w:sz="4" w:space="0"/>
              <w:right w:val="single" w:color="auto" w:sz="4" w:space="0"/>
            </w:tcBorders>
            <w:noWrap w:val="0"/>
            <w:vAlign w:val="center"/>
          </w:tcPr>
          <w:p>
            <w:pPr>
              <w:spacing w:before="156" w:beforeLines="50" w:line="300" w:lineRule="auto"/>
              <w:ind w:leftChars="-9" w:hanging="18" w:hangingChars="9"/>
              <w:jc w:val="center"/>
              <w:rPr>
                <w:rFonts w:hint="eastAsia" w:ascii="宋体" w:hAnsi="宋体" w:eastAsia="宋体" w:cs="宋体"/>
                <w:color w:val="auto"/>
                <w:szCs w:val="21"/>
              </w:rPr>
            </w:pPr>
          </w:p>
        </w:tc>
        <w:tc>
          <w:tcPr>
            <w:tcW w:w="1946" w:type="dxa"/>
            <w:tcBorders>
              <w:top w:val="single" w:color="auto" w:sz="4" w:space="0"/>
              <w:left w:val="single" w:color="auto" w:sz="4" w:space="0"/>
              <w:bottom w:val="single" w:color="auto" w:sz="4" w:space="0"/>
              <w:right w:val="single" w:color="auto" w:sz="4" w:space="0"/>
            </w:tcBorders>
            <w:noWrap w:val="0"/>
            <w:vAlign w:val="center"/>
          </w:tcPr>
          <w:p>
            <w:pPr>
              <w:spacing w:before="159" w:beforeLines="50" w:line="300" w:lineRule="auto"/>
              <w:ind w:left="-1" w:leftChars="-9" w:hanging="18" w:hangingChars="9"/>
              <w:rPr>
                <w:rFonts w:hint="eastAsia" w:ascii="宋体" w:hAnsi="宋体" w:eastAsia="宋体" w:cs="宋体"/>
                <w:color w:val="auto"/>
                <w:szCs w:val="21"/>
              </w:rPr>
            </w:pPr>
            <w:r>
              <w:rPr>
                <w:rFonts w:hint="eastAsia"/>
                <w:color w:val="auto"/>
              </w:rPr>
              <w:t>微电荷及自养反硝化脱氮</w:t>
            </w:r>
            <w:r>
              <w:rPr>
                <w:rFonts w:hint="eastAsia" w:eastAsia="宋体"/>
                <w:color w:val="auto"/>
              </w:rPr>
              <w:t>运营</w:t>
            </w:r>
            <w:r>
              <w:rPr>
                <w:rFonts w:hint="eastAsia" w:ascii="宋体" w:hAnsi="宋体" w:eastAsia="宋体" w:cs="宋体"/>
                <w:color w:val="auto"/>
                <w:szCs w:val="21"/>
              </w:rPr>
              <w:t>服务费报价</w:t>
            </w:r>
            <w:r>
              <w:rPr>
                <w:rFonts w:hint="eastAsia" w:ascii="宋体" w:hAnsi="宋体" w:eastAsia="宋体" w:cs="宋体"/>
                <w:b/>
                <w:bCs/>
                <w:color w:val="auto"/>
                <w:szCs w:val="21"/>
              </w:rPr>
              <w:t>P</w:t>
            </w:r>
            <w:r>
              <w:rPr>
                <w:rFonts w:hint="eastAsia" w:ascii="宋体" w:hAnsi="宋体" w:eastAsia="宋体" w:cs="宋体"/>
                <w:b/>
                <w:bCs/>
                <w:color w:val="auto"/>
                <w:szCs w:val="21"/>
                <w:vertAlign w:val="subscript"/>
              </w:rPr>
              <w:t>2</w:t>
            </w:r>
          </w:p>
        </w:tc>
        <w:tc>
          <w:tcPr>
            <w:tcW w:w="597" w:type="dxa"/>
            <w:tcBorders>
              <w:top w:val="single" w:color="auto" w:sz="4" w:space="0"/>
              <w:left w:val="single" w:color="auto" w:sz="4" w:space="0"/>
              <w:bottom w:val="single" w:color="auto" w:sz="4" w:space="0"/>
              <w:right w:val="single" w:color="auto" w:sz="4" w:space="0"/>
            </w:tcBorders>
            <w:noWrap w:val="0"/>
            <w:vAlign w:val="center"/>
          </w:tcPr>
          <w:p>
            <w:pPr>
              <w:spacing w:before="159" w:beforeLines="50" w:line="300" w:lineRule="auto"/>
              <w:ind w:left="-1" w:leftChars="-9" w:hanging="18" w:hangingChars="9"/>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6587" w:type="dxa"/>
            <w:tcBorders>
              <w:top w:val="single" w:color="auto" w:sz="4" w:space="0"/>
              <w:left w:val="single" w:color="auto" w:sz="4" w:space="0"/>
              <w:bottom w:val="single" w:color="auto" w:sz="4" w:space="0"/>
              <w:right w:val="double" w:color="auto" w:sz="4" w:space="0"/>
            </w:tcBorders>
            <w:noWrap w:val="0"/>
            <w:vAlign w:val="center"/>
          </w:tcPr>
          <w:p>
            <w:pPr>
              <w:spacing w:before="159" w:beforeLines="50" w:line="300" w:lineRule="auto"/>
              <w:ind w:leftChars="-9" w:hanging="18" w:hangingChars="9"/>
              <w:rPr>
                <w:rFonts w:hint="eastAsia" w:ascii="宋体" w:hAnsi="宋体" w:eastAsia="宋体" w:cs="宋体"/>
                <w:color w:val="auto"/>
                <w:szCs w:val="21"/>
              </w:rPr>
            </w:pPr>
            <w:r>
              <w:rPr>
                <w:rFonts w:hint="eastAsia" w:ascii="宋体" w:hAnsi="宋体" w:eastAsia="宋体" w:cs="宋体"/>
                <w:color w:val="auto"/>
                <w:szCs w:val="21"/>
              </w:rPr>
              <w:t>满足招标文件要求且投标价格最低的投标报价为评标基准价，其价格分为满分</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分，其他投标人的价格分统一按照下列公式计算：</w:t>
            </w:r>
          </w:p>
          <w:p>
            <w:pPr>
              <w:spacing w:before="159" w:beforeLines="50" w:line="300" w:lineRule="auto"/>
              <w:ind w:leftChars="-9" w:hanging="18" w:hangingChars="9"/>
              <w:rPr>
                <w:rFonts w:hint="eastAsia" w:ascii="宋体" w:hAnsi="宋体" w:eastAsia="宋体" w:cs="宋体"/>
                <w:color w:val="auto"/>
                <w:szCs w:val="21"/>
              </w:rPr>
            </w:pPr>
            <w:r>
              <w:rPr>
                <w:rFonts w:hint="eastAsia" w:ascii="宋体" w:hAnsi="宋体" w:eastAsia="宋体" w:cs="宋体"/>
                <w:color w:val="auto"/>
                <w:szCs w:val="21"/>
              </w:rPr>
              <w:t>投标报价得分=（评标基准价/投标报价）×</w:t>
            </w:r>
            <w:r>
              <w:rPr>
                <w:rFonts w:hint="eastAsia" w:ascii="宋体" w:hAnsi="宋体" w:eastAsia="宋体" w:cs="宋体"/>
                <w:color w:val="auto"/>
                <w:szCs w:val="21"/>
                <w:lang w:val="en-US" w:eastAsia="zh-CN"/>
              </w:rPr>
              <w:t>4%</w:t>
            </w:r>
            <w:r>
              <w:rPr>
                <w:rFonts w:hint="eastAsia" w:ascii="宋体" w:hAnsi="宋体" w:eastAsia="宋体" w:cs="宋体"/>
                <w:color w:val="auto"/>
                <w:szCs w:val="21"/>
              </w:rPr>
              <w:t>×100。</w:t>
            </w:r>
          </w:p>
          <w:p>
            <w:pPr>
              <w:pStyle w:val="2"/>
              <w:spacing w:before="159" w:beforeLines="50" w:line="300" w:lineRule="auto"/>
              <w:ind w:left="-1" w:leftChars="-9" w:hanging="18" w:hangingChars="9"/>
              <w:rPr>
                <w:rFonts w:hint="eastAsia" w:ascii="宋体" w:hAnsi="宋体" w:eastAsia="宋体" w:cs="宋体"/>
                <w:color w:val="auto"/>
                <w:sz w:val="21"/>
                <w:szCs w:val="21"/>
              </w:rPr>
            </w:pPr>
            <w:r>
              <w:rPr>
                <w:rFonts w:hint="eastAsia" w:ascii="宋体" w:hAnsi="宋体" w:eastAsia="宋体" w:cs="宋体"/>
                <w:color w:val="auto"/>
                <w:sz w:val="21"/>
                <w:szCs w:val="21"/>
              </w:rPr>
              <w:t>结果四舍五入，保留两位小数。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jc w:val="center"/>
        </w:trPr>
        <w:tc>
          <w:tcPr>
            <w:tcW w:w="628" w:type="dxa"/>
            <w:tcBorders>
              <w:left w:val="double" w:color="auto" w:sz="4" w:space="0"/>
              <w:bottom w:val="double" w:color="auto" w:sz="4" w:space="0"/>
              <w:right w:val="single" w:color="auto" w:sz="4" w:space="0"/>
            </w:tcBorders>
            <w:noWrap w:val="0"/>
            <w:vAlign w:val="center"/>
          </w:tcPr>
          <w:p>
            <w:pPr>
              <w:spacing w:before="156" w:beforeLines="50" w:line="300" w:lineRule="auto"/>
              <w:ind w:leftChars="-9" w:hanging="18" w:hangingChars="9"/>
              <w:jc w:val="center"/>
              <w:rPr>
                <w:rFonts w:hint="eastAsia" w:ascii="宋体" w:hAnsi="宋体" w:eastAsia="宋体" w:cs="宋体"/>
                <w:color w:val="auto"/>
                <w:szCs w:val="21"/>
              </w:rPr>
            </w:pPr>
          </w:p>
        </w:tc>
        <w:tc>
          <w:tcPr>
            <w:tcW w:w="1946" w:type="dxa"/>
            <w:tcBorders>
              <w:top w:val="single" w:color="auto" w:sz="4" w:space="0"/>
              <w:left w:val="single" w:color="auto" w:sz="4" w:space="0"/>
              <w:bottom w:val="double" w:color="auto" w:sz="4" w:space="0"/>
              <w:right w:val="single" w:color="auto" w:sz="4" w:space="0"/>
            </w:tcBorders>
            <w:noWrap w:val="0"/>
            <w:vAlign w:val="center"/>
          </w:tcPr>
          <w:p>
            <w:pPr>
              <w:spacing w:before="159" w:beforeLines="50" w:line="300" w:lineRule="auto"/>
              <w:ind w:left="-1" w:leftChars="-9" w:hanging="18" w:hangingChars="9"/>
              <w:rPr>
                <w:rFonts w:hint="eastAsia" w:ascii="宋体" w:hAnsi="宋体" w:eastAsia="宋体" w:cs="宋体"/>
                <w:color w:val="auto"/>
                <w:szCs w:val="21"/>
              </w:rPr>
            </w:pPr>
            <w:r>
              <w:rPr>
                <w:rFonts w:hint="eastAsia"/>
                <w:color w:val="auto"/>
              </w:rPr>
              <w:t>污泥处置费</w:t>
            </w:r>
            <w:r>
              <w:rPr>
                <w:rFonts w:hint="eastAsia" w:eastAsia="宋体"/>
                <w:color w:val="auto"/>
              </w:rPr>
              <w:t>报价P</w:t>
            </w:r>
            <w:r>
              <w:rPr>
                <w:rFonts w:eastAsia="宋体"/>
                <w:color w:val="auto"/>
                <w:vertAlign w:val="subscript"/>
              </w:rPr>
              <w:t>3</w:t>
            </w:r>
          </w:p>
        </w:tc>
        <w:tc>
          <w:tcPr>
            <w:tcW w:w="597" w:type="dxa"/>
            <w:tcBorders>
              <w:top w:val="single" w:color="auto" w:sz="4" w:space="0"/>
              <w:left w:val="single" w:color="auto" w:sz="4" w:space="0"/>
              <w:bottom w:val="double" w:color="auto" w:sz="4" w:space="0"/>
              <w:right w:val="single" w:color="auto" w:sz="4" w:space="0"/>
            </w:tcBorders>
            <w:noWrap w:val="0"/>
            <w:vAlign w:val="center"/>
          </w:tcPr>
          <w:p>
            <w:pPr>
              <w:spacing w:before="159" w:beforeLines="50" w:line="300" w:lineRule="auto"/>
              <w:ind w:left="-1" w:leftChars="-9" w:hanging="18" w:hangingChars="9"/>
              <w:jc w:val="center"/>
              <w:rPr>
                <w:rFonts w:hint="eastAsia" w:ascii="宋体" w:hAnsi="宋体" w:eastAsia="宋体" w:cs="宋体"/>
                <w:color w:val="auto"/>
                <w:szCs w:val="21"/>
                <w:lang w:val="en-US" w:eastAsia="zh-CN"/>
              </w:rPr>
            </w:pPr>
            <w:r>
              <w:rPr>
                <w:rFonts w:hint="eastAsia" w:ascii="宋体" w:hAnsi="宋体" w:eastAsia="等线" w:cs="宋体"/>
                <w:color w:val="auto"/>
                <w:szCs w:val="21"/>
                <w:lang w:val="en-US" w:eastAsia="zh-CN"/>
              </w:rPr>
              <w:t>1</w:t>
            </w:r>
          </w:p>
        </w:tc>
        <w:tc>
          <w:tcPr>
            <w:tcW w:w="6587" w:type="dxa"/>
            <w:tcBorders>
              <w:top w:val="single" w:color="auto" w:sz="4" w:space="0"/>
              <w:left w:val="single" w:color="auto" w:sz="4" w:space="0"/>
              <w:bottom w:val="double" w:color="auto" w:sz="4" w:space="0"/>
              <w:right w:val="double" w:color="auto" w:sz="4" w:space="0"/>
            </w:tcBorders>
            <w:noWrap w:val="0"/>
            <w:vAlign w:val="center"/>
          </w:tcPr>
          <w:p>
            <w:pPr>
              <w:spacing w:before="159" w:beforeLines="50" w:line="300" w:lineRule="auto"/>
              <w:ind w:leftChars="-9" w:hanging="18" w:hangingChars="9"/>
              <w:rPr>
                <w:rFonts w:hint="eastAsia" w:ascii="宋体" w:hAnsi="宋体" w:eastAsia="宋体" w:cs="宋体"/>
                <w:color w:val="auto"/>
                <w:szCs w:val="21"/>
              </w:rPr>
            </w:pPr>
            <w:r>
              <w:rPr>
                <w:rFonts w:hint="eastAsia" w:ascii="宋体" w:hAnsi="宋体" w:eastAsia="宋体" w:cs="宋体"/>
                <w:color w:val="auto"/>
                <w:szCs w:val="21"/>
              </w:rPr>
              <w:t>满足招标文件要求且投标价格最低的投标报价为评标基准价，其价格分为满分</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分，其他投标人的价格分统一按照下列公式计算：</w:t>
            </w:r>
          </w:p>
          <w:p>
            <w:pPr>
              <w:spacing w:before="159" w:beforeLines="50" w:line="300" w:lineRule="auto"/>
              <w:ind w:leftChars="-9" w:hanging="18" w:hangingChars="9"/>
              <w:rPr>
                <w:rFonts w:hint="eastAsia" w:ascii="宋体" w:hAnsi="宋体" w:eastAsia="宋体" w:cs="宋体"/>
                <w:color w:val="auto"/>
                <w:szCs w:val="21"/>
              </w:rPr>
            </w:pPr>
            <w:r>
              <w:rPr>
                <w:rFonts w:hint="eastAsia" w:ascii="宋体" w:hAnsi="宋体" w:eastAsia="宋体" w:cs="宋体"/>
                <w:color w:val="auto"/>
                <w:szCs w:val="21"/>
              </w:rPr>
              <w:t>投标报价得分=（评标基准价/投标报价）×</w:t>
            </w:r>
            <w:r>
              <w:rPr>
                <w:rFonts w:hint="eastAsia" w:ascii="宋体" w:hAnsi="宋体" w:eastAsia="宋体" w:cs="宋体"/>
                <w:color w:val="auto"/>
                <w:szCs w:val="21"/>
                <w:lang w:val="en-US" w:eastAsia="zh-CN"/>
              </w:rPr>
              <w:t>1%</w:t>
            </w:r>
            <w:r>
              <w:rPr>
                <w:rFonts w:hint="eastAsia" w:ascii="宋体" w:hAnsi="宋体" w:eastAsia="宋体" w:cs="宋体"/>
                <w:color w:val="auto"/>
                <w:szCs w:val="21"/>
              </w:rPr>
              <w:t>×100。</w:t>
            </w:r>
          </w:p>
          <w:p>
            <w:pPr>
              <w:spacing w:before="159" w:beforeLines="50" w:line="300" w:lineRule="auto"/>
              <w:ind w:left="-1" w:leftChars="-9" w:hanging="18" w:hangingChars="9"/>
              <w:rPr>
                <w:rFonts w:hint="eastAsia" w:ascii="宋体" w:hAnsi="宋体" w:eastAsia="宋体" w:cs="宋体"/>
                <w:color w:val="auto"/>
                <w:sz w:val="21"/>
                <w:szCs w:val="21"/>
              </w:rPr>
            </w:pPr>
            <w:r>
              <w:rPr>
                <w:rFonts w:hint="eastAsia" w:ascii="宋体" w:hAnsi="宋体" w:eastAsia="宋体" w:cs="宋体"/>
                <w:color w:val="auto"/>
                <w:szCs w:val="21"/>
              </w:rPr>
              <w:t>结果四舍五入，保留两位小数。</w:t>
            </w:r>
          </w:p>
        </w:tc>
      </w:tr>
    </w:tbl>
    <w:p>
      <w:pPr>
        <w:spacing w:line="500" w:lineRule="exact"/>
        <w:ind w:firstLine="420" w:firstLineChars="200"/>
        <w:rPr>
          <w:color w:val="auto"/>
        </w:rPr>
      </w:pPr>
      <w:r>
        <w:rPr>
          <w:color w:val="auto"/>
        </w:rPr>
        <w:t>3.2 技术资信分（</w:t>
      </w:r>
      <w:r>
        <w:rPr>
          <w:rFonts w:hint="eastAsia"/>
          <w:color w:val="auto"/>
          <w:lang w:val="en-US" w:eastAsia="zh-CN"/>
        </w:rPr>
        <w:t>8</w:t>
      </w:r>
      <w:r>
        <w:rPr>
          <w:rFonts w:hint="eastAsia"/>
          <w:color w:val="auto"/>
        </w:rPr>
        <w:t>0</w:t>
      </w:r>
      <w:r>
        <w:rPr>
          <w:color w:val="auto"/>
        </w:rPr>
        <w:t>分）：</w:t>
      </w:r>
    </w:p>
    <w:p>
      <w:pPr>
        <w:spacing w:line="500" w:lineRule="exact"/>
        <w:ind w:firstLine="420" w:firstLineChars="200"/>
        <w:rPr>
          <w:color w:val="auto"/>
        </w:rPr>
      </w:pPr>
      <w:r>
        <w:rPr>
          <w:color w:val="auto"/>
        </w:rPr>
        <w:t>资信</w:t>
      </w:r>
      <w:r>
        <w:rPr>
          <w:rFonts w:hint="eastAsia"/>
          <w:color w:val="auto"/>
        </w:rPr>
        <w:t>评分由评标委员会统一打分，</w:t>
      </w:r>
      <w:r>
        <w:rPr>
          <w:color w:val="auto"/>
        </w:rPr>
        <w:t>技术评分按照评标委员会成员的独立评分结果汇总后的算术平均分计算。</w:t>
      </w:r>
    </w:p>
    <w:tbl>
      <w:tblPr>
        <w:tblStyle w:val="23"/>
        <w:tblW w:w="10264" w:type="dxa"/>
        <w:tblInd w:w="0" w:type="dxa"/>
        <w:tblLayout w:type="fixed"/>
        <w:tblCellMar>
          <w:top w:w="15" w:type="dxa"/>
          <w:left w:w="15" w:type="dxa"/>
          <w:bottom w:w="15" w:type="dxa"/>
          <w:right w:w="15" w:type="dxa"/>
        </w:tblCellMar>
      </w:tblPr>
      <w:tblGrid>
        <w:gridCol w:w="1140"/>
        <w:gridCol w:w="1245"/>
        <w:gridCol w:w="7128"/>
        <w:gridCol w:w="751"/>
      </w:tblGrid>
      <w:tr>
        <w:tblPrEx>
          <w:tblCellMar>
            <w:top w:w="15" w:type="dxa"/>
            <w:left w:w="15" w:type="dxa"/>
            <w:bottom w:w="15" w:type="dxa"/>
            <w:right w:w="15" w:type="dxa"/>
          </w:tblCellMar>
        </w:tblPrEx>
        <w:trPr>
          <w:trHeight w:val="440" w:hRule="atLeast"/>
        </w:trPr>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评分标准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分值</w:t>
            </w:r>
          </w:p>
        </w:tc>
      </w:tr>
      <w:tr>
        <w:tblPrEx>
          <w:tblCellMar>
            <w:top w:w="15" w:type="dxa"/>
            <w:left w:w="15" w:type="dxa"/>
            <w:bottom w:w="15" w:type="dxa"/>
            <w:right w:w="15" w:type="dxa"/>
          </w:tblCellMar>
        </w:tblPrEx>
        <w:trPr>
          <w:trHeight w:val="322" w:hRule="atLeast"/>
        </w:trPr>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资信（</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业绩</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spacing w:line="360" w:lineRule="auto"/>
              <w:ind w:leftChars="0"/>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投标人2019年1月1日以来（以合同签订时间为准）承担过类似业绩（垃圾渗滤液运维服务或微电荷及自养反硝化脱氮运营服务等）的，每个得1分，最高得2分。</w:t>
            </w:r>
          </w:p>
          <w:p>
            <w:pPr>
              <w:widowControl/>
              <w:spacing w:line="360"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注：响应文件中提供合同扫描件，否则不得分。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2</w:t>
            </w:r>
            <w:r>
              <w:rPr>
                <w:rFonts w:hint="eastAsia" w:ascii="宋体" w:hAnsi="宋体" w:eastAsia="宋体" w:cs="宋体"/>
                <w:color w:val="auto"/>
                <w:szCs w:val="21"/>
                <w:lang w:bidi="ar"/>
              </w:rPr>
              <w:t>分</w:t>
            </w:r>
          </w:p>
        </w:tc>
      </w:tr>
      <w:tr>
        <w:tblPrEx>
          <w:tblCellMar>
            <w:top w:w="15" w:type="dxa"/>
            <w:left w:w="15" w:type="dxa"/>
            <w:bottom w:w="15" w:type="dxa"/>
            <w:right w:w="15" w:type="dxa"/>
          </w:tblCellMar>
        </w:tblPrEx>
        <w:trPr>
          <w:trHeight w:val="628" w:hRule="atLeast"/>
        </w:trPr>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r>
              <w:rPr>
                <w:rFonts w:hint="eastAsia" w:ascii="宋体" w:hAnsi="宋体" w:eastAsia="宋体" w:cs="宋体"/>
                <w:color w:val="auto"/>
                <w:szCs w:val="21"/>
              </w:rPr>
              <w:t>企业认证</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投标人具有质量管理体系认证、环境管理体系认证、职业健康安全管理体系认证的每提供一份得1分，最高3分。</w:t>
            </w:r>
          </w:p>
          <w:p>
            <w:pPr>
              <w:widowControl/>
              <w:spacing w:line="360" w:lineRule="auto"/>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注：响应文件提供以上有效期内认证证书扫描件，否则不得分。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r>
              <w:rPr>
                <w:rFonts w:hint="eastAsia" w:ascii="宋体" w:hAnsi="宋体" w:eastAsia="宋体" w:cs="宋体"/>
                <w:color w:val="auto"/>
                <w:szCs w:val="21"/>
                <w:lang w:bidi="ar"/>
              </w:rPr>
              <w:t>3分</w:t>
            </w:r>
          </w:p>
        </w:tc>
      </w:tr>
      <w:tr>
        <w:tblPrEx>
          <w:tblCellMar>
            <w:top w:w="15" w:type="dxa"/>
            <w:left w:w="15" w:type="dxa"/>
            <w:bottom w:w="15" w:type="dxa"/>
            <w:right w:w="15" w:type="dxa"/>
          </w:tblCellMar>
        </w:tblPrEx>
        <w:trPr>
          <w:trHeight w:val="981" w:hRule="atLeast"/>
        </w:trPr>
        <w:tc>
          <w:tcPr>
            <w:tcW w:w="1140" w:type="dxa"/>
            <w:vMerge w:val="restart"/>
            <w:tcBorders>
              <w:top w:val="single" w:color="auto" w:sz="4" w:space="0"/>
              <w:left w:val="single" w:color="auto" w:sz="4" w:space="0"/>
              <w:right w:val="single" w:color="auto" w:sz="4" w:space="0"/>
            </w:tcBorders>
            <w:noWrap w:val="0"/>
            <w:vAlign w:val="center"/>
          </w:tcPr>
          <w:p>
            <w:pPr>
              <w:spacing w:line="360" w:lineRule="auto"/>
              <w:textAlignment w:val="center"/>
              <w:rPr>
                <w:rFonts w:hint="eastAsia" w:ascii="宋体" w:hAnsi="宋体" w:eastAsia="宋体" w:cs="宋体"/>
                <w:color w:val="auto"/>
                <w:szCs w:val="21"/>
              </w:rPr>
            </w:pPr>
          </w:p>
          <w:p>
            <w:pPr>
              <w:spacing w:line="360" w:lineRule="auto"/>
              <w:jc w:val="center"/>
              <w:textAlignment w:val="center"/>
              <w:rPr>
                <w:rFonts w:hint="eastAsia" w:ascii="宋体" w:hAnsi="宋体" w:eastAsia="宋体" w:cs="宋体"/>
                <w:b/>
                <w:bCs/>
                <w:color w:val="auto"/>
                <w:szCs w:val="21"/>
              </w:rPr>
            </w:pPr>
          </w:p>
          <w:p>
            <w:pPr>
              <w:spacing w:line="360" w:lineRule="auto"/>
              <w:jc w:val="center"/>
              <w:textAlignment w:val="center"/>
              <w:rPr>
                <w:rFonts w:hint="eastAsia" w:ascii="宋体" w:hAnsi="宋体" w:eastAsia="宋体" w:cs="宋体"/>
                <w:b/>
                <w:bCs/>
                <w:color w:val="auto"/>
                <w:szCs w:val="21"/>
              </w:rPr>
            </w:pPr>
          </w:p>
          <w:p>
            <w:pPr>
              <w:spacing w:line="360" w:lineRule="auto"/>
              <w:jc w:val="center"/>
              <w:textAlignment w:val="center"/>
              <w:rPr>
                <w:rFonts w:hint="eastAsia" w:ascii="宋体" w:hAnsi="宋体" w:eastAsia="宋体" w:cs="宋体"/>
                <w:b/>
                <w:bCs/>
                <w:color w:val="auto"/>
                <w:szCs w:val="21"/>
              </w:rPr>
            </w:pPr>
          </w:p>
          <w:p>
            <w:pPr>
              <w:spacing w:line="360" w:lineRule="auto"/>
              <w:jc w:val="center"/>
              <w:textAlignment w:val="center"/>
              <w:rPr>
                <w:rFonts w:hint="eastAsia" w:ascii="宋体" w:hAnsi="宋体" w:eastAsia="宋体" w:cs="宋体"/>
                <w:b/>
                <w:bCs/>
                <w:color w:val="auto"/>
                <w:szCs w:val="21"/>
              </w:rPr>
            </w:pPr>
          </w:p>
          <w:p>
            <w:pPr>
              <w:spacing w:line="360" w:lineRule="auto"/>
              <w:jc w:val="center"/>
              <w:textAlignment w:val="center"/>
              <w:rPr>
                <w:rFonts w:hint="eastAsia" w:ascii="宋体" w:hAnsi="宋体" w:eastAsia="宋体" w:cs="宋体"/>
                <w:b/>
                <w:bCs/>
                <w:color w:val="auto"/>
                <w:szCs w:val="21"/>
              </w:rPr>
            </w:pPr>
          </w:p>
          <w:p>
            <w:pPr>
              <w:spacing w:line="360" w:lineRule="auto"/>
              <w:jc w:val="center"/>
              <w:textAlignment w:val="center"/>
              <w:rPr>
                <w:rFonts w:hint="eastAsia" w:ascii="宋体" w:hAnsi="宋体" w:eastAsia="宋体" w:cs="宋体"/>
                <w:b/>
                <w:bCs/>
                <w:color w:val="auto"/>
                <w:szCs w:val="21"/>
              </w:rPr>
            </w:pPr>
          </w:p>
          <w:p>
            <w:pPr>
              <w:spacing w:line="360" w:lineRule="auto"/>
              <w:jc w:val="center"/>
              <w:textAlignment w:val="center"/>
              <w:rPr>
                <w:rFonts w:hint="eastAsia" w:ascii="宋体" w:hAnsi="宋体" w:eastAsia="宋体" w:cs="宋体"/>
                <w:color w:val="auto"/>
                <w:szCs w:val="21"/>
                <w:lang w:bidi="ar"/>
              </w:rPr>
            </w:pPr>
            <w:r>
              <w:rPr>
                <w:rFonts w:hint="eastAsia" w:ascii="宋体" w:hAnsi="宋体" w:eastAsia="宋体" w:cs="宋体"/>
                <w:b/>
                <w:bCs/>
                <w:color w:val="auto"/>
                <w:szCs w:val="21"/>
              </w:rPr>
              <w:t>技术（</w:t>
            </w:r>
            <w:r>
              <w:rPr>
                <w:rFonts w:hint="eastAsia" w:ascii="宋体" w:hAnsi="宋体" w:eastAsia="宋体" w:cs="宋体"/>
                <w:b/>
                <w:bCs/>
                <w:color w:val="auto"/>
                <w:szCs w:val="21"/>
                <w:lang w:val="en-US" w:eastAsia="zh-CN"/>
              </w:rPr>
              <w:t>75分</w:t>
            </w:r>
            <w:r>
              <w:rPr>
                <w:rFonts w:hint="eastAsia" w:ascii="宋体" w:hAnsi="宋体" w:eastAsia="宋体" w:cs="宋体"/>
                <w:b/>
                <w:bCs/>
                <w:color w:val="auto"/>
                <w:szCs w:val="21"/>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kern w:val="0"/>
                <w:szCs w:val="21"/>
              </w:rPr>
              <w:t>项目负责人</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12"/>
              </w:numPr>
              <w:spacing w:line="360" w:lineRule="auto"/>
              <w:ind w:left="0" w:leftChars="0" w:firstLine="0" w:firstLineChars="0"/>
              <w:rPr>
                <w:rFonts w:hint="eastAsia"/>
                <w:color w:val="auto"/>
                <w:lang w:eastAsia="zh-CN"/>
              </w:rPr>
            </w:pPr>
            <w:r>
              <w:rPr>
                <w:rFonts w:hint="eastAsia"/>
                <w:color w:val="auto"/>
              </w:rPr>
              <w:t>拟派项目负责人具有环境保护类</w:t>
            </w:r>
            <w:r>
              <w:rPr>
                <w:rFonts w:hint="eastAsia"/>
                <w:color w:val="auto"/>
                <w:lang w:eastAsia="zh-CN"/>
              </w:rPr>
              <w:t>（包括但不限于：</w:t>
            </w:r>
            <w:r>
              <w:rPr>
                <w:rFonts w:hint="eastAsia"/>
                <w:color w:val="auto"/>
              </w:rPr>
              <w:t>环保或给排水</w:t>
            </w:r>
            <w:r>
              <w:rPr>
                <w:rFonts w:hint="eastAsia"/>
                <w:color w:val="auto"/>
                <w:lang w:eastAsia="zh-CN"/>
              </w:rPr>
              <w:t>）</w:t>
            </w:r>
            <w:r>
              <w:rPr>
                <w:rFonts w:hint="eastAsia"/>
                <w:color w:val="auto"/>
              </w:rPr>
              <w:t>高级</w:t>
            </w:r>
            <w:r>
              <w:rPr>
                <w:rFonts w:hint="eastAsia"/>
                <w:color w:val="auto"/>
                <w:lang w:eastAsia="zh-CN"/>
              </w:rPr>
              <w:t>及以上</w:t>
            </w:r>
            <w:r>
              <w:rPr>
                <w:rFonts w:hint="eastAsia"/>
                <w:color w:val="auto"/>
              </w:rPr>
              <w:t>工程师证书</w:t>
            </w:r>
            <w:r>
              <w:rPr>
                <w:rFonts w:hint="eastAsia"/>
                <w:color w:val="auto"/>
                <w:lang w:val="en-US" w:eastAsia="zh-CN"/>
              </w:rPr>
              <w:t>的得2分；</w:t>
            </w:r>
          </w:p>
          <w:p>
            <w:pPr>
              <w:spacing w:line="360" w:lineRule="auto"/>
              <w:rPr>
                <w:rFonts w:hint="default"/>
                <w:color w:val="auto"/>
                <w:lang w:val="en-US" w:eastAsia="zh-CN"/>
              </w:rPr>
            </w:pPr>
            <w:r>
              <w:rPr>
                <w:rFonts w:hint="eastAsia"/>
                <w:color w:val="auto"/>
                <w:lang w:val="en-US" w:eastAsia="zh-CN"/>
              </w:rPr>
              <w:t>2、</w:t>
            </w:r>
            <w:r>
              <w:rPr>
                <w:rFonts w:hint="eastAsia"/>
                <w:color w:val="auto"/>
              </w:rPr>
              <w:t>拟派项目负责人具有环境保护类</w:t>
            </w:r>
            <w:r>
              <w:rPr>
                <w:rFonts w:hint="eastAsia"/>
                <w:color w:val="auto"/>
                <w:lang w:eastAsia="zh-CN"/>
              </w:rPr>
              <w:t>（包括但不限于：</w:t>
            </w:r>
            <w:r>
              <w:rPr>
                <w:rFonts w:hint="eastAsia"/>
                <w:color w:val="auto"/>
              </w:rPr>
              <w:t>环保或给排水</w:t>
            </w:r>
            <w:r>
              <w:rPr>
                <w:rFonts w:hint="eastAsia"/>
                <w:color w:val="auto"/>
                <w:lang w:eastAsia="zh-CN"/>
              </w:rPr>
              <w:t>）中</w:t>
            </w:r>
            <w:r>
              <w:rPr>
                <w:rFonts w:hint="eastAsia"/>
                <w:color w:val="auto"/>
              </w:rPr>
              <w:t>级工程师证书</w:t>
            </w:r>
            <w:r>
              <w:rPr>
                <w:rFonts w:hint="eastAsia"/>
                <w:color w:val="auto"/>
                <w:lang w:val="en-US" w:eastAsia="zh-CN"/>
              </w:rPr>
              <w:t>的得1分。</w:t>
            </w:r>
          </w:p>
          <w:p>
            <w:pPr>
              <w:widowControl/>
              <w:spacing w:line="360" w:lineRule="auto"/>
              <w:jc w:val="left"/>
              <w:textAlignment w:val="center"/>
              <w:rPr>
                <w:rFonts w:hint="eastAsia"/>
                <w:b/>
                <w:bCs/>
                <w:color w:val="auto"/>
                <w:lang w:val="en-US" w:eastAsia="zh-CN"/>
              </w:rPr>
            </w:pPr>
            <w:r>
              <w:rPr>
                <w:rFonts w:hint="eastAsia"/>
                <w:b/>
                <w:bCs/>
                <w:color w:val="auto"/>
              </w:rPr>
              <w:t>注：响应文件提供项目负责人</w:t>
            </w:r>
            <w:r>
              <w:rPr>
                <w:rFonts w:hint="eastAsia"/>
                <w:b/>
                <w:bCs/>
                <w:color w:val="auto"/>
                <w:lang w:val="en-US" w:eastAsia="zh-CN"/>
              </w:rPr>
              <w:t>有效期内</w:t>
            </w:r>
            <w:r>
              <w:rPr>
                <w:rFonts w:hint="eastAsia"/>
                <w:b/>
                <w:bCs/>
                <w:color w:val="auto"/>
              </w:rPr>
              <w:t>相关证明资料及投标人为其缴纳的近3个月社保证明扫描件，否则不得分。</w:t>
            </w:r>
            <w:r>
              <w:rPr>
                <w:rFonts w:hint="eastAsia"/>
                <w:b/>
                <w:bCs/>
                <w:color w:val="auto"/>
                <w:lang w:val="en-US" w:eastAsia="zh-CN"/>
              </w:rPr>
              <w:t>1、2两项不累计得分，本项最高得两分。</w:t>
            </w:r>
          </w:p>
          <w:p>
            <w:pPr>
              <w:pStyle w:val="2"/>
              <w:rPr>
                <w:rFonts w:hint="eastAsia"/>
                <w:color w:val="auto"/>
              </w:rPr>
            </w:pPr>
            <w:r>
              <w:rPr>
                <w:rFonts w:hint="eastAsia" w:ascii="宋体" w:hAnsi="宋体" w:eastAsia="宋体" w:cs="宋体"/>
                <w:b/>
                <w:bCs/>
                <w:color w:val="auto"/>
                <w:kern w:val="2"/>
                <w:sz w:val="21"/>
                <w:szCs w:val="21"/>
                <w:highlight w:val="none"/>
                <w:lang w:val="en-US" w:eastAsia="zh-CN" w:bidi="ar-SA"/>
              </w:rPr>
              <w:t>▲投标人中标后，必须按照投标文件提供的人员到岗到位。</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tc>
      </w:tr>
      <w:tr>
        <w:tblPrEx>
          <w:tblCellMar>
            <w:top w:w="15" w:type="dxa"/>
            <w:left w:w="15" w:type="dxa"/>
            <w:bottom w:w="15" w:type="dxa"/>
            <w:right w:w="15" w:type="dxa"/>
          </w:tblCellMar>
        </w:tblPrEx>
        <w:trPr>
          <w:trHeight w:val="1393"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eastAsia="zh-CN"/>
              </w:rPr>
            </w:pPr>
            <w:r>
              <w:rPr>
                <w:rFonts w:hint="eastAsia" w:ascii="宋体" w:hAnsi="宋体" w:eastAsia="宋体" w:cs="Times New Roman"/>
                <w:color w:val="auto"/>
                <w:lang w:eastAsia="zh-CN"/>
              </w:rPr>
              <w:t>项目组成员</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color w:val="auto"/>
                <w:lang w:val="en-US" w:eastAsia="zh-CN"/>
              </w:rPr>
            </w:pPr>
            <w:r>
              <w:rPr>
                <w:rFonts w:hint="eastAsia" w:ascii="宋体" w:hAnsi="宋体" w:eastAsia="宋体" w:cs="宋体"/>
                <w:color w:val="auto"/>
                <w:kern w:val="2"/>
                <w:sz w:val="21"/>
                <w:szCs w:val="21"/>
                <w:highlight w:val="none"/>
                <w:lang w:val="en-US" w:eastAsia="zh-CN" w:bidi="ar-SA"/>
              </w:rPr>
              <w:t>1、投标人所拟派的项目组成员中（除项目负责人）具有环保或机电、机械类相关专业证书的，每个得1分，最高得2分。</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2、投标人所拟派的电工具有国家相关部门颁发有效期内的电工上岗证书的得1分；</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3、投标人所拟派的项目组成员具有国家相关部门颁发有效期内的有限空间作业监护证书的得1分；</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b/>
                <w:bCs/>
                <w:color w:val="auto"/>
                <w:kern w:val="2"/>
                <w:sz w:val="21"/>
                <w:szCs w:val="21"/>
                <w:highlight w:val="none"/>
                <w:lang w:val="en-US" w:eastAsia="zh-CN" w:bidi="ar-SA"/>
              </w:rPr>
              <w:t>注：1、响应文件提供相关人员有效期内的证书及投标人为其缴纳的近3个月社保证明扫描件，否则不得分。</w:t>
            </w:r>
            <w:r>
              <w:rPr>
                <w:rFonts w:hint="eastAsia" w:ascii="宋体" w:hAnsi="宋体" w:eastAsia="宋体" w:cs="宋体"/>
                <w:b/>
                <w:bCs/>
                <w:color w:val="auto"/>
                <w:kern w:val="2"/>
                <w:sz w:val="21"/>
                <w:szCs w:val="21"/>
                <w:highlight w:val="none"/>
                <w:lang w:val="en-US" w:eastAsia="zh-CN" w:bidi="ar-SA"/>
              </w:rPr>
              <w:br w:type="textWrapping"/>
            </w:r>
            <w:r>
              <w:rPr>
                <w:rFonts w:hint="eastAsia" w:ascii="宋体" w:hAnsi="宋体" w:eastAsia="宋体" w:cs="宋体"/>
                <w:b/>
                <w:bCs/>
                <w:color w:val="auto"/>
                <w:kern w:val="2"/>
                <w:sz w:val="21"/>
                <w:szCs w:val="21"/>
                <w:highlight w:val="none"/>
                <w:lang w:val="en-US" w:eastAsia="zh-CN" w:bidi="ar-SA"/>
              </w:rPr>
              <w:t>2、▲投标人中标后，必须按照投标文件提供的人员到岗到位。</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highlight w:val="none"/>
                <w:lang w:val="en-US" w:eastAsia="zh-CN"/>
              </w:rPr>
              <w:t>4分</w:t>
            </w:r>
          </w:p>
        </w:tc>
      </w:tr>
      <w:tr>
        <w:tblPrEx>
          <w:tblCellMar>
            <w:top w:w="15" w:type="dxa"/>
            <w:left w:w="15" w:type="dxa"/>
            <w:bottom w:w="15" w:type="dxa"/>
            <w:right w:w="15" w:type="dxa"/>
          </w:tblCellMar>
        </w:tblPrEx>
        <w:trPr>
          <w:trHeight w:val="593"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rPr>
            </w:pPr>
            <w:r>
              <w:rPr>
                <w:rFonts w:hint="eastAsia" w:ascii="宋体" w:hAnsi="宋体"/>
                <w:color w:val="auto"/>
              </w:rPr>
              <w:t>对本项目的</w:t>
            </w:r>
            <w:r>
              <w:rPr>
                <w:rFonts w:hint="eastAsia" w:ascii="宋体" w:hAnsi="宋体"/>
                <w:color w:val="auto"/>
                <w:lang w:eastAsia="zh-CN"/>
              </w:rPr>
              <w:t>采购需求</w:t>
            </w:r>
            <w:r>
              <w:rPr>
                <w:rFonts w:hint="eastAsia" w:ascii="宋体" w:hAnsi="宋体"/>
                <w:color w:val="auto"/>
              </w:rPr>
              <w:t>，重难点问题解决方案及优化提升方案</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对本项目</w:t>
            </w:r>
            <w:r>
              <w:rPr>
                <w:rFonts w:hint="eastAsia" w:ascii="宋体" w:hAnsi="宋体" w:eastAsia="宋体" w:cs="宋体"/>
                <w:color w:val="auto"/>
                <w:sz w:val="21"/>
                <w:szCs w:val="21"/>
                <w:lang w:val="en-US" w:eastAsia="zh-CN"/>
              </w:rPr>
              <w:t>的采购需求的准确性，项目定位的准确性等</w:t>
            </w:r>
            <w:r>
              <w:rPr>
                <w:rFonts w:hint="eastAsia" w:ascii="宋体" w:hAnsi="宋体" w:eastAsia="宋体" w:cs="宋体"/>
                <w:color w:val="auto"/>
                <w:sz w:val="21"/>
                <w:szCs w:val="21"/>
              </w:rPr>
              <w:t>进行评分。（0-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olor w:val="auto"/>
                <w:szCs w:val="21"/>
                <w:lang w:val="en-US" w:eastAsia="zh-CN"/>
              </w:rPr>
              <w:t>4</w:t>
            </w:r>
            <w:r>
              <w:rPr>
                <w:rFonts w:hint="eastAsia" w:ascii="宋体" w:hAnsi="宋体" w:eastAsia="宋体"/>
                <w:color w:val="auto"/>
                <w:szCs w:val="21"/>
              </w:rPr>
              <w:t>分</w:t>
            </w:r>
          </w:p>
        </w:tc>
      </w:tr>
      <w:tr>
        <w:tblPrEx>
          <w:tblCellMar>
            <w:top w:w="15" w:type="dxa"/>
            <w:left w:w="15" w:type="dxa"/>
            <w:bottom w:w="15" w:type="dxa"/>
            <w:right w:w="15" w:type="dxa"/>
          </w:tblCellMar>
        </w:tblPrEx>
        <w:trPr>
          <w:trHeight w:val="593"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rPr>
            </w:pP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根据投标人对现场重难点问题分析及解决方案，提供解决方案的，根据方案的详尽程度进行评分。（0-4分）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olor w:val="auto"/>
                <w:szCs w:val="21"/>
                <w:lang w:val="en-US" w:eastAsia="zh-CN"/>
              </w:rPr>
              <w:t>4</w:t>
            </w:r>
            <w:r>
              <w:rPr>
                <w:rFonts w:hint="eastAsia" w:ascii="宋体" w:hAnsi="宋体" w:eastAsia="宋体"/>
                <w:color w:val="auto"/>
                <w:szCs w:val="21"/>
              </w:rPr>
              <w:t>分</w:t>
            </w:r>
          </w:p>
        </w:tc>
      </w:tr>
      <w:tr>
        <w:tblPrEx>
          <w:tblCellMar>
            <w:top w:w="15" w:type="dxa"/>
            <w:left w:w="15" w:type="dxa"/>
            <w:bottom w:w="15" w:type="dxa"/>
            <w:right w:w="15" w:type="dxa"/>
          </w:tblCellMar>
        </w:tblPrEx>
        <w:trPr>
          <w:trHeight w:val="593"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rPr>
            </w:pP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根据投标人对本项目优化提升方案方案的全面性、合理性情况进行评分（0-4分）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olor w:val="auto"/>
                <w:szCs w:val="21"/>
                <w:lang w:val="en-US" w:eastAsia="zh-CN"/>
              </w:rPr>
              <w:t>4</w:t>
            </w:r>
            <w:r>
              <w:rPr>
                <w:rFonts w:hint="eastAsia" w:ascii="宋体" w:hAnsi="宋体" w:eastAsia="宋体"/>
                <w:color w:val="auto"/>
                <w:szCs w:val="21"/>
                <w:lang w:eastAsia="zh-CN"/>
              </w:rPr>
              <w:t>分</w:t>
            </w:r>
          </w:p>
        </w:tc>
      </w:tr>
      <w:tr>
        <w:tblPrEx>
          <w:tblCellMar>
            <w:top w:w="15" w:type="dxa"/>
            <w:left w:w="15" w:type="dxa"/>
            <w:bottom w:w="15" w:type="dxa"/>
            <w:right w:w="15" w:type="dxa"/>
          </w:tblCellMar>
        </w:tblPrEx>
        <w:trPr>
          <w:trHeight w:val="593"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组织建设</w:t>
            </w:r>
          </w:p>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方案</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根据投标人对组织建设方案的科学性、合理性等内容，进行评分。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方案思路全面、科学、清晰、可行性高的，得4-5分；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方案思路比较全面、科学、清晰、可行性较高的，得2-4分；</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方案思路不够全面、科学、清晰、可行性较差的，得0-2分；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5分</w:t>
            </w:r>
          </w:p>
        </w:tc>
      </w:tr>
      <w:tr>
        <w:tblPrEx>
          <w:tblCellMar>
            <w:top w:w="15" w:type="dxa"/>
            <w:left w:w="15" w:type="dxa"/>
            <w:bottom w:w="15" w:type="dxa"/>
            <w:right w:w="15" w:type="dxa"/>
          </w:tblCellMar>
        </w:tblPrEx>
        <w:trPr>
          <w:trHeight w:val="1575"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工作思路</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根据对本项目不同阶段的工作思路的全面、科学、清晰和可行性等内容由评委进行评分。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工作思路全面、科学、清晰、可行性高的，得4-5分；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工作思路比较全面、科学、清晰、可行性较高的，得2-4分；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工作思路不够全面、科学、清晰、可行性较差的，得0-2分；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5分</w:t>
            </w:r>
          </w:p>
        </w:tc>
      </w:tr>
      <w:tr>
        <w:tblPrEx>
          <w:tblCellMar>
            <w:top w:w="15" w:type="dxa"/>
            <w:left w:w="15" w:type="dxa"/>
            <w:bottom w:w="15" w:type="dxa"/>
            <w:right w:w="15" w:type="dxa"/>
          </w:tblCellMar>
        </w:tblPrEx>
        <w:trPr>
          <w:trHeight w:val="593" w:hRule="atLeast"/>
        </w:trPr>
        <w:tc>
          <w:tcPr>
            <w:tcW w:w="1140" w:type="dxa"/>
            <w:vMerge w:val="continue"/>
            <w:tcBorders>
              <w:left w:val="single" w:color="auto" w:sz="4" w:space="0"/>
              <w:right w:val="single" w:color="auto" w:sz="4" w:space="0"/>
            </w:tcBorders>
            <w:noWrap w:val="0"/>
            <w:vAlign w:val="center"/>
          </w:tcPr>
          <w:p>
            <w:pPr>
              <w:spacing w:line="360" w:lineRule="auto"/>
              <w:jc w:val="center"/>
              <w:textAlignment w:val="center"/>
              <w:rPr>
                <w:rFonts w:hint="eastAsia" w:ascii="宋体" w:hAnsi="宋体" w:eastAsia="宋体" w:cs="宋体"/>
                <w:b/>
                <w:bCs/>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服务承诺</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根据投标人服务承诺内容等进行评分。</w:t>
            </w:r>
          </w:p>
          <w:p>
            <w:pPr>
              <w:pStyle w:val="2"/>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注：响应文件需提供相应承诺函，否则不得分。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3分</w:t>
            </w:r>
          </w:p>
        </w:tc>
      </w:tr>
      <w:tr>
        <w:tblPrEx>
          <w:tblCellMar>
            <w:top w:w="15" w:type="dxa"/>
            <w:left w:w="15" w:type="dxa"/>
            <w:bottom w:w="15" w:type="dxa"/>
            <w:right w:w="15" w:type="dxa"/>
          </w:tblCellMar>
        </w:tblPrEx>
        <w:trPr>
          <w:trHeight w:val="810" w:hRule="atLeast"/>
        </w:trPr>
        <w:tc>
          <w:tcPr>
            <w:tcW w:w="114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53"/>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运营管理</w:t>
            </w:r>
            <w:r>
              <w:rPr>
                <w:rFonts w:hint="eastAsia" w:ascii="宋体" w:hAnsi="宋体" w:eastAsia="宋体" w:cs="宋体"/>
                <w:color w:val="auto"/>
                <w:szCs w:val="21"/>
                <w:highlight w:val="none"/>
                <w:lang w:eastAsia="zh-CN"/>
              </w:rPr>
              <w:t>方案</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A安全管理方案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eastAsia="zh-CN"/>
              </w:rPr>
              <w:t>全面、科学、清晰、可行性较高的，得2-4分；</w:t>
            </w:r>
            <w:r>
              <w:rPr>
                <w:rFonts w:hint="eastAsia" w:ascii="宋体" w:hAnsi="宋体" w:eastAsia="宋体" w:cs="宋体"/>
                <w:color w:val="auto"/>
                <w:sz w:val="21"/>
                <w:szCs w:val="21"/>
                <w:highlight w:val="none"/>
                <w:lang w:val="en-US" w:eastAsia="zh-CN"/>
              </w:rPr>
              <w:t>比较全面、科学、清晰、可行性较高的</w:t>
            </w:r>
            <w:r>
              <w:rPr>
                <w:rFonts w:hint="eastAsia" w:ascii="宋体" w:hAnsi="宋体" w:eastAsia="宋体" w:cs="宋体"/>
                <w:b w:val="0"/>
                <w:bCs w:val="0"/>
                <w:color w:val="auto"/>
                <w:sz w:val="21"/>
                <w:szCs w:val="21"/>
                <w:highlight w:val="none"/>
                <w:lang w:eastAsia="zh-CN"/>
              </w:rPr>
              <w:t>，得0-2分</w:t>
            </w:r>
            <w:r>
              <w:rPr>
                <w:rFonts w:hint="eastAsia" w:ascii="宋体" w:hAnsi="宋体" w:eastAsia="宋体" w:cs="宋体"/>
                <w:b w:val="0"/>
                <w:bCs w:val="0"/>
                <w:color w:val="auto"/>
                <w:sz w:val="21"/>
                <w:szCs w:val="21"/>
                <w:highlight w:val="none"/>
              </w:rPr>
              <w:t>；</w:t>
            </w:r>
          </w:p>
          <w:p>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B工艺运营管理方案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eastAsia="zh-CN"/>
              </w:rPr>
              <w:t>全面、科学、清晰、可行性较高的，得2-4分；</w:t>
            </w:r>
            <w:r>
              <w:rPr>
                <w:rFonts w:hint="eastAsia" w:ascii="宋体" w:hAnsi="宋体" w:eastAsia="宋体" w:cs="宋体"/>
                <w:color w:val="auto"/>
                <w:sz w:val="21"/>
                <w:szCs w:val="21"/>
                <w:highlight w:val="none"/>
                <w:lang w:val="en-US" w:eastAsia="zh-CN"/>
              </w:rPr>
              <w:t>比较全面、科学、清晰、可行性较高的</w:t>
            </w:r>
            <w:r>
              <w:rPr>
                <w:rFonts w:hint="eastAsia" w:ascii="宋体" w:hAnsi="宋体" w:eastAsia="宋体" w:cs="宋体"/>
                <w:b w:val="0"/>
                <w:bCs w:val="0"/>
                <w:color w:val="auto"/>
                <w:sz w:val="21"/>
                <w:szCs w:val="21"/>
                <w:highlight w:val="none"/>
                <w:lang w:eastAsia="zh-CN"/>
              </w:rPr>
              <w:t>，得0-2分</w:t>
            </w:r>
            <w:r>
              <w:rPr>
                <w:rFonts w:hint="eastAsia" w:ascii="宋体" w:hAnsi="宋体" w:eastAsia="宋体" w:cs="宋体"/>
                <w:b w:val="0"/>
                <w:bCs w:val="0"/>
                <w:color w:val="auto"/>
                <w:sz w:val="21"/>
                <w:szCs w:val="21"/>
                <w:highlight w:val="none"/>
              </w:rPr>
              <w:t>；</w:t>
            </w:r>
          </w:p>
          <w:p>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C设备维护管理方案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eastAsia="zh-CN"/>
              </w:rPr>
              <w:t>全面、科学、清晰、可行性较高的，得2-4分；</w:t>
            </w:r>
            <w:r>
              <w:rPr>
                <w:rFonts w:hint="eastAsia" w:ascii="宋体" w:hAnsi="宋体" w:eastAsia="宋体" w:cs="宋体"/>
                <w:color w:val="auto"/>
                <w:sz w:val="21"/>
                <w:szCs w:val="21"/>
                <w:highlight w:val="none"/>
                <w:lang w:val="en-US" w:eastAsia="zh-CN"/>
              </w:rPr>
              <w:t>比较全面、科学、清晰、可行性较高的</w:t>
            </w:r>
            <w:r>
              <w:rPr>
                <w:rFonts w:hint="eastAsia" w:ascii="宋体" w:hAnsi="宋体" w:eastAsia="宋体" w:cs="宋体"/>
                <w:b w:val="0"/>
                <w:bCs w:val="0"/>
                <w:color w:val="auto"/>
                <w:sz w:val="21"/>
                <w:szCs w:val="21"/>
                <w:highlight w:val="none"/>
                <w:lang w:eastAsia="zh-CN"/>
              </w:rPr>
              <w:t>，得0-2分</w:t>
            </w:r>
            <w:r>
              <w:rPr>
                <w:rFonts w:hint="eastAsia" w:ascii="宋体" w:hAnsi="宋体" w:eastAsia="宋体" w:cs="宋体"/>
                <w:b w:val="0"/>
                <w:bCs w:val="0"/>
                <w:color w:val="auto"/>
                <w:sz w:val="21"/>
                <w:szCs w:val="21"/>
                <w:highlight w:val="none"/>
              </w:rPr>
              <w:t>；</w:t>
            </w:r>
          </w:p>
          <w:p>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D水质化验管理方案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0-4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eastAsia="zh-CN"/>
              </w:rPr>
              <w:t>全面、科学、清晰、可行性较高的，得2-4分；</w:t>
            </w:r>
            <w:r>
              <w:rPr>
                <w:rFonts w:hint="eastAsia" w:ascii="宋体" w:hAnsi="宋体" w:eastAsia="宋体" w:cs="宋体"/>
                <w:color w:val="auto"/>
                <w:sz w:val="21"/>
                <w:szCs w:val="21"/>
                <w:highlight w:val="none"/>
                <w:lang w:val="en-US" w:eastAsia="zh-CN"/>
              </w:rPr>
              <w:t>比较全面、科学、清晰、可行性较高的</w:t>
            </w:r>
            <w:r>
              <w:rPr>
                <w:rFonts w:hint="eastAsia" w:ascii="宋体" w:hAnsi="宋体" w:eastAsia="宋体" w:cs="宋体"/>
                <w:b w:val="0"/>
                <w:bCs w:val="0"/>
                <w:color w:val="auto"/>
                <w:sz w:val="21"/>
                <w:szCs w:val="21"/>
                <w:highlight w:val="none"/>
                <w:lang w:eastAsia="zh-CN"/>
              </w:rPr>
              <w:t>，得0-2分</w:t>
            </w:r>
            <w:r>
              <w:rPr>
                <w:rFonts w:hint="eastAsia" w:ascii="宋体" w:hAnsi="宋体" w:eastAsia="宋体" w:cs="宋体"/>
                <w:b w:val="0"/>
                <w:bCs w:val="0"/>
                <w:color w:val="auto"/>
                <w:sz w:val="21"/>
                <w:szCs w:val="21"/>
                <w:highlight w:val="none"/>
              </w:rPr>
              <w:t>；</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E沟通汇报方案（0-4分）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方案</w:t>
            </w:r>
            <w:r>
              <w:rPr>
                <w:rFonts w:hint="eastAsia" w:ascii="宋体" w:hAnsi="宋体" w:eastAsia="宋体" w:cs="宋体"/>
                <w:b w:val="0"/>
                <w:bCs w:val="0"/>
                <w:color w:val="auto"/>
                <w:sz w:val="21"/>
                <w:szCs w:val="21"/>
                <w:highlight w:val="none"/>
                <w:lang w:eastAsia="zh-CN"/>
              </w:rPr>
              <w:t>全面、科学、清晰、可行性较高的，得2-4分；</w:t>
            </w:r>
            <w:r>
              <w:rPr>
                <w:rFonts w:hint="eastAsia" w:ascii="宋体" w:hAnsi="宋体" w:eastAsia="宋体" w:cs="宋体"/>
                <w:color w:val="auto"/>
                <w:sz w:val="21"/>
                <w:szCs w:val="21"/>
                <w:highlight w:val="none"/>
                <w:lang w:val="en-US" w:eastAsia="zh-CN"/>
              </w:rPr>
              <w:t>比较全面、科学、清晰、可行性较高的</w:t>
            </w:r>
            <w:r>
              <w:rPr>
                <w:rFonts w:hint="eastAsia" w:ascii="宋体" w:hAnsi="宋体" w:eastAsia="宋体" w:cs="宋体"/>
                <w:b w:val="0"/>
                <w:bCs w:val="0"/>
                <w:color w:val="auto"/>
                <w:sz w:val="21"/>
                <w:szCs w:val="21"/>
                <w:highlight w:val="none"/>
                <w:lang w:eastAsia="zh-CN"/>
              </w:rPr>
              <w:t>，得0-2分</w:t>
            </w:r>
            <w:r>
              <w:rPr>
                <w:rFonts w:hint="eastAsia" w:ascii="宋体" w:hAnsi="宋体" w:eastAsia="宋体" w:cs="宋体"/>
                <w:b w:val="0"/>
                <w:bCs w:val="0"/>
                <w:color w:val="auto"/>
                <w:sz w:val="21"/>
                <w:szCs w:val="21"/>
                <w:highlight w:val="none"/>
                <w:lang w:val="en-US" w:eastAsia="zh-CN"/>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lang w:bidi="ar"/>
              </w:rPr>
            </w:pPr>
            <w:r>
              <w:rPr>
                <w:rFonts w:hint="eastAsia" w:ascii="宋体" w:hAnsi="宋体" w:eastAsia="宋体"/>
                <w:color w:val="auto"/>
                <w:szCs w:val="21"/>
                <w:lang w:val="en-US" w:eastAsia="zh-CN"/>
              </w:rPr>
              <w:t>20</w:t>
            </w:r>
            <w:r>
              <w:rPr>
                <w:rFonts w:hint="eastAsia" w:ascii="宋体" w:hAnsi="宋体" w:eastAsia="宋体"/>
                <w:color w:val="auto"/>
                <w:szCs w:val="21"/>
              </w:rPr>
              <w:t>分</w:t>
            </w:r>
          </w:p>
        </w:tc>
      </w:tr>
      <w:tr>
        <w:tblPrEx>
          <w:tblCellMar>
            <w:top w:w="15" w:type="dxa"/>
            <w:left w:w="15" w:type="dxa"/>
            <w:bottom w:w="15" w:type="dxa"/>
            <w:right w:w="15" w:type="dxa"/>
          </w:tblCellMar>
        </w:tblPrEx>
        <w:trPr>
          <w:trHeight w:val="418" w:hRule="atLeast"/>
        </w:trPr>
        <w:tc>
          <w:tcPr>
            <w:tcW w:w="1140"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53"/>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运营管理</w:t>
            </w:r>
          </w:p>
          <w:p>
            <w:pPr>
              <w:pStyle w:val="53"/>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体系</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ind w:left="420" w:hanging="420"/>
              <w:rPr>
                <w:rFonts w:ascii="宋体" w:hAnsi="宋体" w:eastAsia="宋体" w:cs="宋体"/>
                <w:color w:val="auto"/>
                <w:sz w:val="21"/>
                <w:szCs w:val="21"/>
              </w:rPr>
            </w:pPr>
            <w:r>
              <w:rPr>
                <w:rFonts w:hint="eastAsia" w:ascii="宋体" w:hAnsi="宋体" w:eastAsia="宋体" w:cs="宋体"/>
                <w:color w:val="auto"/>
                <w:sz w:val="21"/>
                <w:szCs w:val="21"/>
              </w:rPr>
              <w:t>运营管理体系科学、详实和可行性等情况进行评分。</w:t>
            </w:r>
          </w:p>
          <w:p>
            <w:pPr>
              <w:pStyle w:val="2"/>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运营管理体系科学合理、全面的得4-5分；</w:t>
            </w:r>
          </w:p>
          <w:p>
            <w:pPr>
              <w:pStyle w:val="2"/>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运营管理体系较科学合理、全面的得2-4分；</w:t>
            </w:r>
          </w:p>
          <w:p>
            <w:pPr>
              <w:pStyle w:val="2"/>
              <w:ind w:left="420" w:leftChars="0" w:hanging="420" w:hanging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运营管理体系不够科学合理、全面的得0-2分。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rPr>
            </w:pPr>
            <w:r>
              <w:rPr>
                <w:rFonts w:hint="eastAsia" w:ascii="宋体" w:hAnsi="宋体" w:eastAsia="宋体"/>
                <w:color w:val="auto"/>
                <w:szCs w:val="21"/>
                <w:lang w:val="en-US" w:eastAsia="zh-CN"/>
              </w:rPr>
              <w:t>5</w:t>
            </w:r>
            <w:r>
              <w:rPr>
                <w:rFonts w:hint="eastAsia" w:ascii="宋体" w:hAnsi="宋体" w:eastAsia="宋体"/>
                <w:color w:val="auto"/>
                <w:szCs w:val="21"/>
              </w:rPr>
              <w:t>分</w:t>
            </w:r>
          </w:p>
        </w:tc>
      </w:tr>
      <w:tr>
        <w:tblPrEx>
          <w:tblCellMar>
            <w:top w:w="15" w:type="dxa"/>
            <w:left w:w="15" w:type="dxa"/>
            <w:bottom w:w="15" w:type="dxa"/>
            <w:right w:w="15" w:type="dxa"/>
          </w:tblCellMar>
        </w:tblPrEx>
        <w:trPr>
          <w:trHeight w:val="790" w:hRule="atLeast"/>
        </w:trPr>
        <w:tc>
          <w:tcPr>
            <w:tcW w:w="1140"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before="159" w:beforeLines="50" w:line="300" w:lineRule="auto"/>
              <w:jc w:val="center"/>
              <w:rPr>
                <w:rFonts w:ascii="宋体" w:hAnsi="宋体" w:eastAsia="宋体"/>
                <w:color w:val="auto"/>
                <w:szCs w:val="21"/>
              </w:rPr>
            </w:pPr>
            <w:r>
              <w:rPr>
                <w:rFonts w:hint="eastAsia" w:ascii="宋体" w:hAnsi="宋体" w:eastAsia="宋体"/>
                <w:color w:val="auto"/>
                <w:szCs w:val="21"/>
              </w:rPr>
              <w:t>运营管理</w:t>
            </w:r>
          </w:p>
          <w:p>
            <w:pPr>
              <w:pStyle w:val="53"/>
              <w:jc w:val="center"/>
              <w:rPr>
                <w:rFonts w:hint="eastAsia" w:ascii="宋体" w:hAnsi="宋体" w:eastAsia="宋体" w:cs="宋体"/>
                <w:color w:val="auto"/>
                <w:kern w:val="0"/>
                <w:szCs w:val="21"/>
              </w:rPr>
            </w:pPr>
            <w:r>
              <w:rPr>
                <w:rFonts w:hint="eastAsia" w:ascii="宋体" w:hAnsi="宋体" w:eastAsia="宋体"/>
                <w:color w:val="auto"/>
                <w:szCs w:val="21"/>
              </w:rPr>
              <w:t>工具</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2"/>
              <w:ind w:left="420" w:hanging="420"/>
              <w:rPr>
                <w:rFonts w:hint="eastAsia" w:ascii="宋体" w:hAnsi="宋体" w:eastAsia="宋体" w:cs="宋体"/>
                <w:color w:val="auto"/>
                <w:sz w:val="21"/>
                <w:szCs w:val="21"/>
              </w:rPr>
            </w:pPr>
            <w:r>
              <w:rPr>
                <w:rFonts w:hint="eastAsia" w:ascii="宋体" w:hAnsi="宋体" w:eastAsia="宋体" w:cs="宋体"/>
                <w:color w:val="auto"/>
                <w:sz w:val="21"/>
                <w:szCs w:val="21"/>
              </w:rPr>
              <w:t>根据项目运营管理工具的合理性、科学性、全面性等情况进行评分。</w:t>
            </w:r>
          </w:p>
          <w:p>
            <w:pPr>
              <w:pStyle w:val="2"/>
              <w:ind w:left="420" w:leftChars="0" w:hanging="420" w:hanging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运营管理工具科学合理、全面的得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-5分</w:t>
            </w:r>
            <w:r>
              <w:rPr>
                <w:rFonts w:hint="eastAsia" w:ascii="宋体" w:hAnsi="宋体" w:eastAsia="宋体" w:cs="宋体"/>
                <w:color w:val="auto"/>
                <w:sz w:val="21"/>
                <w:szCs w:val="21"/>
                <w:lang w:eastAsia="zh-CN"/>
              </w:rPr>
              <w:t>；</w:t>
            </w:r>
          </w:p>
          <w:p>
            <w:pPr>
              <w:pStyle w:val="2"/>
              <w:ind w:left="420" w:leftChars="0" w:hanging="420" w:hanging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运营管理工具较科学合理、全面的得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pStyle w:val="2"/>
              <w:ind w:left="420" w:hanging="42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运营管理工具</w:t>
            </w:r>
            <w:r>
              <w:rPr>
                <w:rFonts w:hint="eastAsia" w:ascii="宋体" w:hAnsi="宋体" w:eastAsia="宋体" w:cs="宋体"/>
                <w:color w:val="auto"/>
                <w:sz w:val="21"/>
                <w:szCs w:val="21"/>
                <w:lang w:eastAsia="zh-CN"/>
              </w:rPr>
              <w:t>不够</w:t>
            </w:r>
            <w:r>
              <w:rPr>
                <w:rFonts w:hint="eastAsia" w:ascii="宋体" w:hAnsi="宋体" w:eastAsia="宋体" w:cs="宋体"/>
                <w:color w:val="auto"/>
                <w:sz w:val="21"/>
                <w:szCs w:val="21"/>
              </w:rPr>
              <w:t>科学合理、全面的得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olor w:val="auto"/>
                <w:szCs w:val="21"/>
              </w:rPr>
              <w:t>5分</w:t>
            </w:r>
          </w:p>
        </w:tc>
      </w:tr>
      <w:tr>
        <w:tblPrEx>
          <w:tblCellMar>
            <w:top w:w="15" w:type="dxa"/>
            <w:left w:w="15" w:type="dxa"/>
            <w:bottom w:w="15" w:type="dxa"/>
            <w:right w:w="15" w:type="dxa"/>
          </w:tblCellMar>
        </w:tblPrEx>
        <w:trPr>
          <w:trHeight w:val="790" w:hRule="atLeast"/>
        </w:trPr>
        <w:tc>
          <w:tcPr>
            <w:tcW w:w="1140"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53"/>
              <w:jc w:val="center"/>
              <w:rPr>
                <w:rFonts w:hint="eastAsia" w:ascii="宋体" w:hAnsi="宋体" w:eastAsia="宋体" w:cs="Times New Roman"/>
                <w:color w:val="auto"/>
                <w:szCs w:val="21"/>
              </w:rPr>
            </w:pPr>
            <w:r>
              <w:rPr>
                <w:rFonts w:hint="eastAsia" w:ascii="宋体" w:hAnsi="宋体" w:eastAsia="宋体" w:cs="Times New Roman"/>
                <w:color w:val="auto"/>
                <w:szCs w:val="21"/>
              </w:rPr>
              <w:t>移交方案</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5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根据投标人对</w:t>
            </w:r>
            <w:r>
              <w:rPr>
                <w:rFonts w:hint="eastAsia" w:ascii="宋体" w:hAnsi="宋体" w:eastAsia="宋体" w:cs="宋体"/>
                <w:color w:val="auto"/>
                <w:sz w:val="21"/>
                <w:szCs w:val="21"/>
                <w:highlight w:val="none"/>
              </w:rPr>
              <w:t>两个阶段移交程序以及移交内容的安排，对进厂接收期工作安排是否合理、有效，时间控制得当；对运营期满移交期设施运行状态指标的保证性承诺和移交后的保证措施，是否全面、得力等内容，</w:t>
            </w:r>
            <w:r>
              <w:rPr>
                <w:rFonts w:hint="eastAsia" w:ascii="宋体" w:hAnsi="宋体" w:eastAsia="宋体" w:cs="宋体"/>
                <w:color w:val="auto"/>
                <w:sz w:val="21"/>
                <w:szCs w:val="21"/>
                <w:highlight w:val="none"/>
                <w:lang w:eastAsia="zh-CN"/>
              </w:rPr>
              <w:t>进行评</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方案思路全面、科学、清晰、可行性高的，得4-5分；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方案思路比较全面、科学、清晰、可行性较高的，得2-4分；</w:t>
            </w:r>
          </w:p>
          <w:p>
            <w:pPr>
              <w:pStyle w:val="5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方案思路不够全面、科学、清晰、可行性较差的，得0-2分；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olor w:val="auto"/>
                <w:szCs w:val="21"/>
              </w:rPr>
              <w:t>5分</w:t>
            </w:r>
          </w:p>
        </w:tc>
      </w:tr>
      <w:tr>
        <w:tblPrEx>
          <w:tblCellMar>
            <w:top w:w="15" w:type="dxa"/>
            <w:left w:w="15" w:type="dxa"/>
            <w:bottom w:w="15" w:type="dxa"/>
            <w:right w:w="15" w:type="dxa"/>
          </w:tblCellMar>
        </w:tblPrEx>
        <w:trPr>
          <w:trHeight w:val="790" w:hRule="atLeast"/>
        </w:trPr>
        <w:tc>
          <w:tcPr>
            <w:tcW w:w="1140"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53"/>
              <w:jc w:val="center"/>
              <w:rPr>
                <w:rFonts w:hint="eastAsia" w:ascii="宋体" w:hAnsi="宋体" w:eastAsia="宋体" w:cs="Times New Roman"/>
                <w:color w:val="auto"/>
                <w:szCs w:val="21"/>
              </w:rPr>
            </w:pPr>
            <w:r>
              <w:rPr>
                <w:rFonts w:hint="eastAsia" w:ascii="宋体" w:hAnsi="宋体" w:eastAsia="宋体" w:cs="Times New Roman"/>
                <w:color w:val="auto"/>
                <w:szCs w:val="21"/>
              </w:rPr>
              <w:t>应急预案及措施</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53"/>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根据投标供应商对各类意外状况建立应急预案及处置措施、应急人员的调配进行评分。</w:t>
            </w:r>
          </w:p>
          <w:p>
            <w:pPr>
              <w:pStyle w:val="2"/>
              <w:ind w:left="42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应急预案及措施科学合理、全面的得4-5分；</w:t>
            </w:r>
          </w:p>
          <w:p>
            <w:pPr>
              <w:pStyle w:val="2"/>
              <w:ind w:left="420" w:hanging="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应急预案及措施较科学合理、全面的得2-4分；</w:t>
            </w:r>
          </w:p>
          <w:p>
            <w:pPr>
              <w:pStyle w:val="53"/>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应急预案及措施不够科学合理、全面的得0-2分。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rPr>
            </w:pPr>
            <w:r>
              <w:rPr>
                <w:rFonts w:hint="eastAsia" w:ascii="宋体" w:hAnsi="宋体" w:eastAsia="宋体"/>
                <w:color w:val="auto"/>
                <w:szCs w:val="21"/>
              </w:rPr>
              <w:t>5分</w:t>
            </w:r>
          </w:p>
        </w:tc>
      </w:tr>
      <w:tr>
        <w:tblPrEx>
          <w:tblCellMar>
            <w:top w:w="15" w:type="dxa"/>
            <w:left w:w="15" w:type="dxa"/>
            <w:bottom w:w="15" w:type="dxa"/>
            <w:right w:w="15" w:type="dxa"/>
          </w:tblCellMar>
        </w:tblPrEx>
        <w:trPr>
          <w:trHeight w:val="417" w:hRule="atLeast"/>
        </w:trPr>
        <w:tc>
          <w:tcPr>
            <w:tcW w:w="1140"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53"/>
              <w:jc w:val="center"/>
              <w:rPr>
                <w:rFonts w:hint="eastAsia" w:ascii="宋体" w:hAnsi="宋体" w:eastAsia="宋体" w:cs="宋体"/>
                <w:color w:val="auto"/>
                <w:kern w:val="2"/>
                <w:sz w:val="21"/>
                <w:szCs w:val="21"/>
                <w:lang w:val="en-US" w:eastAsia="zh-CN" w:bidi="ar-SA"/>
              </w:rPr>
            </w:pPr>
            <w:r>
              <w:rPr>
                <w:rFonts w:hint="eastAsia"/>
                <w:b w:val="0"/>
                <w:bCs w:val="0"/>
                <w:color w:val="auto"/>
                <w:lang w:val="en-US" w:eastAsia="zh-CN"/>
              </w:rPr>
              <w:t>进度</w:t>
            </w:r>
            <w:r>
              <w:rPr>
                <w:rFonts w:hint="eastAsia" w:ascii="宋体" w:hAnsi="宋体" w:eastAsia="宋体" w:cs="宋体"/>
                <w:color w:val="auto"/>
                <w:sz w:val="22"/>
                <w:lang w:val="en-US" w:eastAsia="zh-CN"/>
              </w:rPr>
              <w:t>保障</w:t>
            </w:r>
            <w:r>
              <w:rPr>
                <w:rFonts w:hint="eastAsia" w:ascii="宋体" w:hAnsi="宋体" w:eastAsia="宋体" w:cs="宋体"/>
                <w:color w:val="auto"/>
                <w:sz w:val="22"/>
                <w:lang w:eastAsia="zh-CN"/>
              </w:rPr>
              <w:t>措施</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pStyle w:val="53"/>
              <w:rPr>
                <w:rFonts w:hint="eastAsia" w:ascii="宋体" w:hAnsi="宋体" w:eastAsia="宋体" w:cs="宋体"/>
                <w:color w:val="auto"/>
                <w:kern w:val="2"/>
                <w:sz w:val="21"/>
                <w:szCs w:val="21"/>
                <w:lang w:val="en-US" w:eastAsia="zh-CN" w:bidi="ar-SA"/>
              </w:rPr>
            </w:pPr>
            <w:r>
              <w:rPr>
                <w:rFonts w:hint="eastAsia"/>
                <w:color w:val="auto"/>
              </w:rPr>
              <w:t>根据</w:t>
            </w:r>
            <w:r>
              <w:rPr>
                <w:rFonts w:hint="eastAsia"/>
                <w:color w:val="auto"/>
                <w:lang w:val="en-US" w:eastAsia="zh-CN"/>
              </w:rPr>
              <w:t>投标人</w:t>
            </w:r>
            <w:r>
              <w:rPr>
                <w:rFonts w:hint="eastAsia"/>
                <w:color w:val="auto"/>
              </w:rPr>
              <w:t>提供的针对本项目的进度管理和保证措施进行评审</w:t>
            </w:r>
            <w:r>
              <w:rPr>
                <w:rFonts w:hint="eastAsia"/>
                <w:color w:val="auto"/>
                <w:lang w:eastAsia="zh-CN"/>
              </w:rPr>
              <w:t>评</w:t>
            </w:r>
            <w:r>
              <w:rPr>
                <w:rFonts w:hint="eastAsia"/>
                <w:color w:val="auto"/>
              </w:rPr>
              <w:t>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（0-3分）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ascii="宋体" w:hAnsi="宋体" w:eastAsia="宋体"/>
                <w:color w:val="auto"/>
                <w:szCs w:val="21"/>
              </w:rPr>
              <w:t>3</w:t>
            </w:r>
            <w:r>
              <w:rPr>
                <w:rFonts w:hint="eastAsia" w:ascii="宋体" w:hAnsi="宋体" w:eastAsia="宋体"/>
                <w:color w:val="auto"/>
                <w:szCs w:val="21"/>
              </w:rPr>
              <w:t>分</w:t>
            </w:r>
          </w:p>
        </w:tc>
      </w:tr>
      <w:tr>
        <w:tblPrEx>
          <w:tblCellMar>
            <w:top w:w="15" w:type="dxa"/>
            <w:left w:w="15" w:type="dxa"/>
            <w:bottom w:w="15" w:type="dxa"/>
            <w:right w:w="15" w:type="dxa"/>
          </w:tblCellMar>
        </w:tblPrEx>
        <w:trPr>
          <w:trHeight w:val="790" w:hRule="atLeast"/>
        </w:trPr>
        <w:tc>
          <w:tcPr>
            <w:tcW w:w="1140" w:type="dxa"/>
            <w:vMerge w:val="continue"/>
            <w:tcBorders>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ind w:left="0" w:leftChars="0" w:firstLine="0" w:firstLineChars="0"/>
              <w:jc w:val="center"/>
              <w:rPr>
                <w:rFonts w:hint="eastAsia" w:ascii="宋体" w:hAnsi="宋体" w:eastAsia="宋体" w:cs="宋体"/>
                <w:bCs/>
                <w:iCs/>
                <w:color w:val="auto"/>
                <w:kern w:val="2"/>
                <w:sz w:val="21"/>
                <w:szCs w:val="21"/>
                <w:lang w:val="en-US" w:eastAsia="zh-CN" w:bidi="ar-SA"/>
              </w:rPr>
            </w:pPr>
            <w:r>
              <w:rPr>
                <w:rFonts w:hint="eastAsia" w:ascii="宋体" w:hAnsi="宋体" w:eastAsia="宋体"/>
                <w:bCs/>
                <w:iCs/>
                <w:color w:val="auto"/>
              </w:rPr>
              <w:t>标书关联</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电子化投标文件与招标文件的评分标准一一对应，关联定位准确。定位不准确的，酌情扣分，扣完为止。（0-</w:t>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分）</w:t>
            </w:r>
          </w:p>
        </w:tc>
        <w:tc>
          <w:tcPr>
            <w:tcW w:w="7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790" w:hRule="atLeast"/>
        </w:trPr>
        <w:tc>
          <w:tcPr>
            <w:tcW w:w="10264" w:type="dxa"/>
            <w:gridSpan w:val="4"/>
            <w:tcBorders>
              <w:top w:val="single" w:color="auto" w:sz="4" w:space="0"/>
            </w:tcBorders>
            <w:noWrap w:val="0"/>
            <w:vAlign w:val="center"/>
          </w:tcPr>
          <w:p>
            <w:pPr>
              <w:widowControl/>
              <w:spacing w:line="360" w:lineRule="auto"/>
              <w:jc w:val="left"/>
              <w:textAlignment w:val="center"/>
              <w:rPr>
                <w:rFonts w:hint="eastAsia" w:ascii="宋体" w:hAnsi="宋体" w:eastAsia="宋体" w:cs="宋体"/>
                <w:color w:val="auto"/>
                <w:szCs w:val="21"/>
              </w:rPr>
            </w:pPr>
            <w:r>
              <w:rPr>
                <w:rFonts w:hint="eastAsia" w:ascii="宋体" w:hAnsi="宋体" w:eastAsia="宋体" w:cs="宋体"/>
                <w:b/>
                <w:bCs/>
                <w:color w:val="auto"/>
                <w:szCs w:val="21"/>
              </w:rPr>
              <w:t>注：技术部分未提供相应方案的不得分。</w:t>
            </w:r>
          </w:p>
        </w:tc>
      </w:tr>
    </w:tbl>
    <w:p>
      <w:pPr>
        <w:pStyle w:val="10"/>
        <w:rPr>
          <w:color w:val="auto"/>
        </w:rPr>
      </w:pPr>
    </w:p>
    <w:p>
      <w:pPr>
        <w:spacing w:line="336" w:lineRule="auto"/>
        <w:rPr>
          <w:rFonts w:hint="eastAsia" w:ascii="宋体" w:hAnsi="宋体" w:cs="宋体"/>
          <w:b/>
          <w:color w:val="auto"/>
          <w:szCs w:val="21"/>
        </w:rPr>
      </w:pPr>
      <w:r>
        <w:rPr>
          <w:rFonts w:hint="eastAsia" w:hAnsi="宋体"/>
          <w:b/>
          <w:bCs/>
          <w:color w:val="auto"/>
        </w:rPr>
        <w:t>四、</w:t>
      </w:r>
      <w:r>
        <w:rPr>
          <w:rFonts w:hint="eastAsia" w:ascii="宋体" w:hAnsi="宋体" w:cs="宋体"/>
          <w:b/>
          <w:color w:val="auto"/>
          <w:szCs w:val="21"/>
        </w:rPr>
        <w:t>定标办法</w:t>
      </w:r>
    </w:p>
    <w:p>
      <w:pPr>
        <w:spacing w:line="336" w:lineRule="auto"/>
        <w:ind w:left="420" w:hanging="420" w:hangingChars="200"/>
        <w:rPr>
          <w:rFonts w:hint="eastAsia" w:ascii="宋体" w:hAnsi="宋体" w:cs="宋体"/>
          <w:color w:val="auto"/>
          <w:szCs w:val="21"/>
        </w:rPr>
      </w:pPr>
      <w:r>
        <w:rPr>
          <w:rFonts w:hint="eastAsia" w:ascii="宋体" w:hAnsi="宋体" w:cs="宋体"/>
          <w:color w:val="auto"/>
          <w:szCs w:val="21"/>
        </w:rPr>
        <w:t xml:space="preserve">    1、本次招标由评标委员会推荐中标候选人，采购单位根据评标委员会的推荐结果进行最终确认。</w:t>
      </w:r>
    </w:p>
    <w:p>
      <w:pPr>
        <w:numPr>
          <w:ilvl w:val="0"/>
          <w:numId w:val="13"/>
        </w:numPr>
        <w:tabs>
          <w:tab w:val="left" w:pos="540"/>
        </w:tabs>
        <w:spacing w:line="336" w:lineRule="auto"/>
        <w:ind w:firstLine="420" w:firstLineChars="200"/>
        <w:rPr>
          <w:rFonts w:hint="eastAsia" w:ascii="宋体" w:hAnsi="宋体" w:cs="宋体"/>
          <w:color w:val="auto"/>
          <w:szCs w:val="21"/>
        </w:rPr>
      </w:pPr>
      <w:r>
        <w:rPr>
          <w:rFonts w:hint="eastAsia" w:ascii="宋体" w:hAnsi="宋体" w:cs="宋体"/>
          <w:color w:val="auto"/>
          <w:szCs w:val="21"/>
        </w:rPr>
        <w:t>评标委员会依据法律、法规及招标文件有关规定在有效标中按投标人的最终得分【即技术资信分与报价分之和】）由高到低进行排序，综合得分最高的投标人作为本项目的第一中标候选人，综合得分第二高的投标人作为本项目的第二中标候选人，以此类推（得分相同的，按投标报价由低到高顺序排列；得分且投标报价相同的，由招标人现场抽签产生中标候选人排序）。</w:t>
      </w:r>
    </w:p>
    <w:p>
      <w:pPr>
        <w:numPr>
          <w:ilvl w:val="0"/>
          <w:numId w:val="13"/>
        </w:numPr>
        <w:tabs>
          <w:tab w:val="left" w:pos="540"/>
        </w:tabs>
        <w:spacing w:line="336" w:lineRule="auto"/>
        <w:ind w:firstLine="420" w:firstLineChars="200"/>
        <w:rPr>
          <w:color w:val="auto"/>
        </w:rPr>
      </w:pPr>
      <w:r>
        <w:rPr>
          <w:rFonts w:hint="eastAsia" w:ascii="宋体" w:hAnsi="宋体" w:cs="宋体"/>
          <w:color w:val="auto"/>
          <w:szCs w:val="21"/>
        </w:rPr>
        <w:t>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w:t>
      </w:r>
      <w:r>
        <w:rPr>
          <w:rFonts w:hint="eastAsia" w:ascii="宋体" w:hAnsi="宋体" w:cs="宋体"/>
          <w:color w:val="auto"/>
          <w:szCs w:val="21"/>
          <w:lang w:eastAsia="zh-CN"/>
        </w:rPr>
        <w:t>将</w:t>
      </w:r>
      <w:r>
        <w:rPr>
          <w:rFonts w:hint="eastAsia" w:ascii="宋体" w:hAnsi="宋体" w:cs="宋体"/>
          <w:color w:val="auto"/>
          <w:szCs w:val="21"/>
        </w:rPr>
        <w:t>重新招标。</w:t>
      </w:r>
    </w:p>
    <w:p>
      <w:pPr>
        <w:snapToGrid w:val="0"/>
        <w:spacing w:line="540" w:lineRule="exact"/>
        <w:rPr>
          <w:rFonts w:hint="eastAsia" w:ascii="宋体" w:hAnsi="宋体" w:cs="宋体"/>
          <w:b/>
          <w:bCs/>
          <w:color w:val="auto"/>
          <w:szCs w:val="21"/>
          <w:lang w:val="zh-CN"/>
        </w:rPr>
      </w:pPr>
      <w:r>
        <w:rPr>
          <w:rFonts w:hint="eastAsia" w:ascii="宋体" w:hAnsi="宋体" w:cs="宋体"/>
          <w:b/>
          <w:bCs/>
          <w:color w:val="auto"/>
          <w:szCs w:val="21"/>
        </w:rPr>
        <w:t>五</w:t>
      </w:r>
      <w:r>
        <w:rPr>
          <w:rFonts w:hint="eastAsia" w:ascii="宋体" w:hAnsi="宋体" w:cs="宋体"/>
          <w:b/>
          <w:bCs/>
          <w:color w:val="auto"/>
          <w:szCs w:val="21"/>
          <w:lang w:val="zh-CN"/>
        </w:rPr>
        <w:t>、</w:t>
      </w:r>
      <w:bookmarkStart w:id="169" w:name="注意事项"/>
      <w:r>
        <w:rPr>
          <w:rFonts w:hint="eastAsia" w:ascii="宋体" w:hAnsi="宋体" w:cs="宋体"/>
          <w:b/>
          <w:bCs/>
          <w:color w:val="auto"/>
          <w:szCs w:val="21"/>
          <w:lang w:val="zh-CN"/>
        </w:rPr>
        <w:t>注意事项</w:t>
      </w:r>
      <w:bookmarkEnd w:id="169"/>
    </w:p>
    <w:p>
      <w:pPr>
        <w:snapToGrid w:val="0"/>
        <w:spacing w:line="540" w:lineRule="exact"/>
        <w:ind w:firstLine="420" w:firstLineChars="200"/>
        <w:rPr>
          <w:rFonts w:hint="eastAsia" w:ascii="宋体" w:hAnsi="宋体" w:cs="宋体"/>
          <w:color w:val="auto"/>
          <w:szCs w:val="21"/>
        </w:rPr>
      </w:pPr>
      <w:r>
        <w:rPr>
          <w:rFonts w:hint="eastAsia" w:ascii="宋体" w:hAnsi="宋体" w:cs="宋体"/>
          <w:color w:val="auto"/>
          <w:szCs w:val="21"/>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65"/>
      <w:bookmarkEnd w:id="166"/>
    </w:p>
    <w:p>
      <w:pPr>
        <w:snapToGrid w:val="0"/>
        <w:spacing w:line="540" w:lineRule="exact"/>
        <w:rPr>
          <w:rFonts w:hint="eastAsia" w:ascii="宋体" w:hAnsi="宋体" w:cs="宋体"/>
          <w:b/>
          <w:color w:val="auto"/>
          <w:szCs w:val="21"/>
        </w:rPr>
      </w:pPr>
      <w:r>
        <w:rPr>
          <w:rFonts w:hint="eastAsia" w:ascii="宋体" w:hAnsi="宋体" w:cs="宋体"/>
          <w:b/>
          <w:color w:val="auto"/>
          <w:szCs w:val="21"/>
        </w:rPr>
        <w:t>六、</w:t>
      </w:r>
      <w:bookmarkStart w:id="170" w:name="_Toc221356968"/>
      <w:bookmarkStart w:id="171" w:name="_Toc221356905"/>
      <w:r>
        <w:rPr>
          <w:rFonts w:hint="eastAsia" w:ascii="宋体" w:hAnsi="宋体" w:cs="宋体"/>
          <w:b/>
          <w:color w:val="auto"/>
          <w:szCs w:val="21"/>
        </w:rPr>
        <w:t>投标人义务</w:t>
      </w:r>
      <w:bookmarkEnd w:id="170"/>
      <w:bookmarkEnd w:id="171"/>
    </w:p>
    <w:p>
      <w:pPr>
        <w:spacing w:line="336" w:lineRule="auto"/>
        <w:ind w:left="439" w:leftChars="209"/>
        <w:rPr>
          <w:rFonts w:hint="eastAsia" w:ascii="宋体" w:hAnsi="宋体" w:cs="宋体"/>
          <w:color w:val="auto"/>
          <w:szCs w:val="21"/>
        </w:rPr>
      </w:pPr>
      <w:r>
        <w:rPr>
          <w:rFonts w:hint="eastAsia" w:ascii="宋体" w:hAnsi="宋体" w:cs="宋体"/>
          <w:color w:val="auto"/>
          <w:szCs w:val="21"/>
        </w:rPr>
        <w:t>投标人应随时接受评标委员会的询标，解答包括有关的商务、技术问题等。评标结束，所有评标资料存招标</w:t>
      </w:r>
    </w:p>
    <w:p>
      <w:pPr>
        <w:spacing w:line="336" w:lineRule="auto"/>
        <w:rPr>
          <w:rFonts w:hint="eastAsia" w:ascii="宋体" w:hAnsi="宋体" w:cs="宋体"/>
          <w:color w:val="auto"/>
          <w:szCs w:val="21"/>
        </w:rPr>
      </w:pPr>
      <w:r>
        <w:rPr>
          <w:rFonts w:hint="eastAsia" w:ascii="宋体" w:hAnsi="宋体" w:cs="宋体"/>
          <w:color w:val="auto"/>
          <w:szCs w:val="21"/>
        </w:rPr>
        <w:t>人备查。</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72" w:name="_Toc249758718"/>
      <w:bookmarkStart w:id="173" w:name="_Toc262049424"/>
      <w:bookmarkStart w:id="174" w:name="_Toc222114884"/>
      <w:bookmarkStart w:id="175" w:name="_Toc262105509"/>
      <w:bookmarkStart w:id="176" w:name="_Toc241404207"/>
      <w:bookmarkStart w:id="177" w:name="_Toc249758870"/>
      <w:bookmarkStart w:id="178" w:name="_Toc410031820"/>
      <w:bookmarkStart w:id="179" w:name="_Toc245722286"/>
      <w:bookmarkStart w:id="180" w:name="_Toc239145359"/>
      <w:bookmarkStart w:id="181" w:name="_Toc221356956"/>
      <w:bookmarkStart w:id="182" w:name="_Toc246261270"/>
      <w:bookmarkStart w:id="183" w:name="_Toc249758719"/>
      <w:bookmarkStart w:id="184" w:name="_Toc245191319"/>
      <w:bookmarkStart w:id="185" w:name="_Toc223716003"/>
      <w:bookmarkStart w:id="186" w:name="_Toc221356892"/>
      <w:bookmarkStart w:id="187" w:name="_Toc221423624"/>
      <w:bookmarkStart w:id="188" w:name="_Toc221374631"/>
    </w:p>
    <w:p>
      <w:pPr>
        <w:spacing w:line="360" w:lineRule="auto"/>
        <w:jc w:val="center"/>
        <w:outlineLvl w:val="0"/>
        <w:rPr>
          <w:color w:val="auto"/>
          <w:sz w:val="36"/>
          <w:szCs w:val="36"/>
        </w:rPr>
      </w:pPr>
      <w:r>
        <w:rPr>
          <w:rFonts w:hint="eastAsia" w:ascii="黑体" w:hAnsi="黑体" w:eastAsia="黑体" w:cs="黑体"/>
          <w:color w:val="auto"/>
          <w:sz w:val="32"/>
          <w:szCs w:val="32"/>
        </w:rPr>
        <w:br w:type="page"/>
      </w:r>
      <w:bookmarkStart w:id="189" w:name="_Toc4861"/>
      <w:bookmarkStart w:id="190" w:name="_Toc4631"/>
      <w:bookmarkStart w:id="191" w:name="_Toc16039"/>
      <w:r>
        <w:rPr>
          <w:rFonts w:hint="eastAsia" w:ascii="黑体" w:hAnsi="黑体" w:eastAsia="黑体" w:cs="黑体"/>
          <w:color w:val="auto"/>
          <w:sz w:val="32"/>
          <w:szCs w:val="32"/>
        </w:rPr>
        <w:t xml:space="preserve">第六章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黑体" w:hAnsi="黑体" w:eastAsia="黑体" w:cs="黑体"/>
          <w:color w:val="auto"/>
          <w:sz w:val="32"/>
          <w:szCs w:val="32"/>
        </w:rPr>
        <w:t>投标文件格式</w:t>
      </w:r>
      <w:bookmarkEnd w:id="189"/>
      <w:bookmarkEnd w:id="190"/>
      <w:bookmarkEnd w:id="191"/>
    </w:p>
    <w:p>
      <w:pPr>
        <w:spacing w:line="460" w:lineRule="exact"/>
        <w:rPr>
          <w:rFonts w:hint="eastAsia"/>
          <w:b/>
          <w:color w:val="auto"/>
          <w:sz w:val="24"/>
        </w:rPr>
      </w:pPr>
      <w:bookmarkStart w:id="192" w:name="_Toc1460"/>
      <w:bookmarkStart w:id="193" w:name="_Toc20872"/>
      <w:r>
        <w:rPr>
          <w:rFonts w:hint="eastAsia"/>
          <w:b/>
          <w:color w:val="auto"/>
          <w:sz w:val="24"/>
        </w:rPr>
        <w:t>投标文件封面格式：</w:t>
      </w:r>
      <w:bookmarkEnd w:id="192"/>
      <w:bookmarkEnd w:id="193"/>
      <w:r>
        <w:rPr>
          <w:rFonts w:hint="eastAsia"/>
          <w:b/>
          <w:color w:val="auto"/>
          <w:sz w:val="24"/>
        </w:rPr>
        <w:t xml:space="preserve">          </w:t>
      </w:r>
    </w:p>
    <w:p>
      <w:pPr>
        <w:spacing w:before="185"/>
        <w:ind w:right="210"/>
        <w:jc w:val="center"/>
        <w:rPr>
          <w:rFonts w:hint="eastAsia" w:ascii="楷体_GB2312" w:eastAsia="楷体_GB2312"/>
          <w:b/>
          <w:bCs/>
          <w:color w:val="auto"/>
          <w:sz w:val="22"/>
          <w:szCs w:val="22"/>
        </w:rPr>
      </w:pPr>
    </w:p>
    <w:p>
      <w:pPr>
        <w:pStyle w:val="22"/>
        <w:ind w:left="840" w:hanging="420"/>
        <w:rPr>
          <w:rFonts w:hint="eastAsia"/>
          <w:color w:val="auto"/>
        </w:rPr>
      </w:pPr>
    </w:p>
    <w:p>
      <w:pPr>
        <w:spacing w:before="185"/>
        <w:ind w:right="210"/>
        <w:jc w:val="center"/>
        <w:outlineLvl w:val="0"/>
        <w:rPr>
          <w:b/>
          <w:color w:val="auto"/>
          <w:sz w:val="52"/>
        </w:rPr>
      </w:pPr>
      <w:bookmarkStart w:id="194" w:name="_Toc4230"/>
      <w:r>
        <w:rPr>
          <w:b/>
          <w:color w:val="auto"/>
          <w:sz w:val="52"/>
        </w:rPr>
        <w:t>投 标 文 件</w:t>
      </w:r>
      <w:bookmarkEnd w:id="194"/>
    </w:p>
    <w:p>
      <w:pPr>
        <w:pStyle w:val="10"/>
        <w:spacing w:before="11"/>
        <w:rPr>
          <w:b/>
          <w:color w:val="auto"/>
          <w:sz w:val="69"/>
        </w:rPr>
      </w:pPr>
    </w:p>
    <w:p>
      <w:pPr>
        <w:ind w:right="208"/>
        <w:jc w:val="center"/>
        <w:outlineLvl w:val="0"/>
        <w:rPr>
          <w:b/>
          <w:color w:val="auto"/>
          <w:sz w:val="32"/>
        </w:rPr>
      </w:pPr>
      <w:bookmarkStart w:id="195" w:name="_Toc27241"/>
      <w:r>
        <w:rPr>
          <w:b/>
          <w:color w:val="auto"/>
          <w:sz w:val="32"/>
        </w:rPr>
        <w:t>资格审查</w:t>
      </w:r>
      <w:r>
        <w:rPr>
          <w:rFonts w:hint="eastAsia"/>
          <w:b/>
          <w:color w:val="auto"/>
          <w:sz w:val="32"/>
        </w:rPr>
        <w:t>资料</w:t>
      </w:r>
      <w:r>
        <w:rPr>
          <w:rFonts w:eastAsia="Times New Roman"/>
          <w:b/>
          <w:color w:val="auto"/>
          <w:sz w:val="32"/>
        </w:rPr>
        <w:t>/</w:t>
      </w:r>
      <w:r>
        <w:rPr>
          <w:b/>
          <w:color w:val="auto"/>
          <w:sz w:val="32"/>
        </w:rPr>
        <w:t>技术资信文件</w:t>
      </w:r>
      <w:r>
        <w:rPr>
          <w:rFonts w:eastAsia="Times New Roman"/>
          <w:b/>
          <w:color w:val="auto"/>
          <w:sz w:val="32"/>
        </w:rPr>
        <w:t>/</w:t>
      </w:r>
      <w:r>
        <w:rPr>
          <w:b/>
          <w:color w:val="auto"/>
          <w:sz w:val="32"/>
        </w:rPr>
        <w:t>报价文件</w:t>
      </w:r>
      <w:bookmarkEnd w:id="195"/>
    </w:p>
    <w:p>
      <w:pPr>
        <w:pStyle w:val="61"/>
        <w:rPr>
          <w:b/>
          <w:color w:val="auto"/>
          <w:sz w:val="32"/>
        </w:rPr>
      </w:pPr>
    </w:p>
    <w:p>
      <w:pPr>
        <w:pStyle w:val="61"/>
        <w:rPr>
          <w:b/>
          <w:color w:val="auto"/>
          <w:sz w:val="32"/>
        </w:rPr>
      </w:pPr>
    </w:p>
    <w:p>
      <w:pPr>
        <w:adjustRightInd w:val="0"/>
        <w:snapToGrid w:val="0"/>
        <w:spacing w:line="720" w:lineRule="auto"/>
        <w:ind w:firstLine="1120" w:firstLineChars="400"/>
        <w:rPr>
          <w:rFonts w:hint="eastAsia" w:ascii="宋体" w:hAnsi="宋体"/>
          <w:color w:val="auto"/>
          <w:sz w:val="28"/>
          <w:szCs w:val="28"/>
          <w:u w:val="single"/>
        </w:rPr>
      </w:pPr>
      <w:r>
        <w:rPr>
          <w:rFonts w:hint="eastAsia" w:ascii="宋体" w:hAnsi="宋体"/>
          <w:color w:val="auto"/>
          <w:sz w:val="28"/>
          <w:szCs w:val="28"/>
        </w:rPr>
        <w:t>项目名称：</w:t>
      </w:r>
      <w:r>
        <w:rPr>
          <w:rFonts w:hint="eastAsia" w:ascii="宋体" w:hAnsi="宋体"/>
          <w:color w:val="auto"/>
          <w:sz w:val="28"/>
          <w:szCs w:val="28"/>
          <w:u w:val="single"/>
        </w:rPr>
        <w:t xml:space="preserve">                       </w:t>
      </w:r>
    </w:p>
    <w:p>
      <w:pPr>
        <w:adjustRightInd w:val="0"/>
        <w:snapToGrid w:val="0"/>
        <w:spacing w:line="720" w:lineRule="auto"/>
        <w:ind w:firstLine="1120" w:firstLineChars="400"/>
        <w:rPr>
          <w:rFonts w:ascii="宋体" w:hAnsi="宋体"/>
          <w:color w:val="auto"/>
          <w:sz w:val="28"/>
          <w:szCs w:val="28"/>
        </w:rPr>
      </w:pPr>
      <w:r>
        <w:rPr>
          <w:rFonts w:hint="eastAsia" w:ascii="宋体" w:hAnsi="宋体"/>
          <w:color w:val="auto"/>
          <w:sz w:val="28"/>
          <w:szCs w:val="28"/>
        </w:rPr>
        <w:t>项目编号：</w:t>
      </w:r>
      <w:r>
        <w:rPr>
          <w:rFonts w:hint="eastAsia" w:ascii="宋体" w:hAnsi="宋体"/>
          <w:color w:val="auto"/>
          <w:sz w:val="28"/>
          <w:szCs w:val="28"/>
          <w:u w:val="single"/>
        </w:rPr>
        <w:t>                       </w:t>
      </w:r>
      <w:r>
        <w:rPr>
          <w:rFonts w:ascii="宋体" w:hAnsi="宋体"/>
          <w:color w:val="auto"/>
          <w:sz w:val="28"/>
          <w:szCs w:val="28"/>
        </w:rPr>
        <w:t xml:space="preserve"> </w:t>
      </w:r>
    </w:p>
    <w:p>
      <w:pPr>
        <w:adjustRightInd w:val="0"/>
        <w:snapToGrid w:val="0"/>
        <w:spacing w:line="720" w:lineRule="auto"/>
        <w:ind w:firstLine="1120" w:firstLineChars="400"/>
        <w:rPr>
          <w:rFonts w:ascii="宋体" w:hAnsi="宋体"/>
          <w:color w:val="auto"/>
          <w:sz w:val="28"/>
          <w:szCs w:val="28"/>
        </w:rPr>
      </w:pPr>
      <w:r>
        <w:rPr>
          <w:rFonts w:ascii="宋体" w:hAnsi="宋体"/>
          <w:color w:val="auto"/>
          <w:sz w:val="28"/>
          <w:szCs w:val="28"/>
        </w:rPr>
        <w:t>投标人</w:t>
      </w:r>
      <w:r>
        <w:rPr>
          <w:rFonts w:hint="eastAsia" w:ascii="宋体" w:hAnsi="宋体"/>
          <w:color w:val="auto"/>
          <w:sz w:val="28"/>
          <w:szCs w:val="28"/>
        </w:rPr>
        <w:t>（全称）</w:t>
      </w:r>
      <w:r>
        <w:rPr>
          <w:rFonts w:ascii="宋体" w:hAnsi="宋体"/>
          <w:color w:val="auto"/>
          <w:sz w:val="28"/>
          <w:szCs w:val="28"/>
        </w:rPr>
        <w:t>：</w:t>
      </w:r>
      <w:r>
        <w:rPr>
          <w:rFonts w:hint="eastAsia" w:ascii="宋体" w:hAnsi="宋体"/>
          <w:color w:val="auto"/>
          <w:sz w:val="28"/>
          <w:szCs w:val="28"/>
          <w:u w:val="single"/>
        </w:rPr>
        <w:t xml:space="preserve">            </w:t>
      </w:r>
      <w:r>
        <w:rPr>
          <w:rFonts w:ascii="宋体" w:hAnsi="宋体"/>
          <w:color w:val="auto"/>
          <w:sz w:val="28"/>
          <w:szCs w:val="28"/>
          <w:u w:val="single"/>
        </w:rPr>
        <w:t>（盖章）</w:t>
      </w:r>
    </w:p>
    <w:p>
      <w:pPr>
        <w:adjustRightInd w:val="0"/>
        <w:snapToGrid w:val="0"/>
        <w:spacing w:line="720" w:lineRule="auto"/>
        <w:ind w:firstLine="1120" w:firstLineChars="400"/>
        <w:rPr>
          <w:rFonts w:hint="eastAsia" w:ascii="宋体" w:hAnsi="宋体"/>
          <w:color w:val="auto"/>
          <w:sz w:val="28"/>
          <w:szCs w:val="28"/>
          <w:u w:val="single"/>
        </w:rPr>
      </w:pPr>
      <w:r>
        <w:rPr>
          <w:rFonts w:ascii="宋体" w:hAnsi="宋体"/>
          <w:color w:val="auto"/>
          <w:sz w:val="28"/>
          <w:szCs w:val="28"/>
        </w:rPr>
        <w:t>投标人地址：</w:t>
      </w:r>
      <w:r>
        <w:rPr>
          <w:rFonts w:hint="eastAsia" w:ascii="宋体" w:hAnsi="宋体"/>
          <w:color w:val="auto"/>
          <w:sz w:val="28"/>
          <w:szCs w:val="28"/>
          <w:u w:val="single"/>
        </w:rPr>
        <w:t>                     </w:t>
      </w:r>
    </w:p>
    <w:p>
      <w:pPr>
        <w:pStyle w:val="61"/>
        <w:rPr>
          <w:rFonts w:hint="eastAsia" w:ascii="宋体" w:hAnsi="宋体"/>
          <w:color w:val="auto"/>
          <w:sz w:val="28"/>
          <w:szCs w:val="28"/>
          <w:u w:val="single"/>
        </w:rPr>
      </w:pPr>
    </w:p>
    <w:p>
      <w:pPr>
        <w:spacing w:line="460" w:lineRule="exact"/>
        <w:outlineLvl w:val="0"/>
        <w:rPr>
          <w:rFonts w:hint="eastAsia" w:ascii="楷体_GB2312" w:eastAsia="楷体_GB2312"/>
          <w:b/>
          <w:bCs/>
          <w:color w:val="auto"/>
          <w:sz w:val="22"/>
          <w:szCs w:val="22"/>
        </w:rPr>
      </w:pPr>
      <w:r>
        <w:rPr>
          <w:rFonts w:hint="eastAsia" w:ascii="楷体_GB2312" w:eastAsia="楷体_GB2312"/>
          <w:b/>
          <w:bCs/>
          <w:color w:val="auto"/>
          <w:sz w:val="22"/>
          <w:szCs w:val="22"/>
        </w:rPr>
        <w:br w:type="page"/>
      </w:r>
      <w:bookmarkStart w:id="196" w:name="_Toc20207"/>
      <w:r>
        <w:rPr>
          <w:rFonts w:hint="eastAsia" w:ascii="宋体" w:hAnsi="宋体" w:cs="宋体"/>
          <w:b/>
          <w:bCs/>
          <w:color w:val="auto"/>
          <w:sz w:val="22"/>
          <w:szCs w:val="22"/>
        </w:rPr>
        <w:t>附件1</w:t>
      </w:r>
      <w:bookmarkEnd w:id="196"/>
    </w:p>
    <w:p>
      <w:pPr>
        <w:spacing w:line="460" w:lineRule="exact"/>
        <w:rPr>
          <w:rFonts w:ascii="楷体_GB2312" w:hAnsi="新宋体" w:eastAsia="楷体_GB2312"/>
          <w:color w:val="auto"/>
          <w:sz w:val="22"/>
          <w:szCs w:val="22"/>
        </w:rPr>
      </w:pPr>
    </w:p>
    <w:p>
      <w:pPr>
        <w:widowControl/>
        <w:spacing w:line="420" w:lineRule="atLeast"/>
        <w:rPr>
          <w:rFonts w:hint="eastAsia" w:ascii="宋体" w:hAnsi="宋体"/>
          <w:b/>
          <w:bCs/>
          <w:color w:val="auto"/>
          <w:kern w:val="0"/>
          <w:sz w:val="24"/>
        </w:rPr>
      </w:pPr>
    </w:p>
    <w:p>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 xml:space="preserve">   法定代表人身份证明</w:t>
      </w:r>
    </w:p>
    <w:p>
      <w:pPr>
        <w:widowControl/>
        <w:spacing w:line="420" w:lineRule="atLeast"/>
        <w:jc w:val="center"/>
        <w:rPr>
          <w:rFonts w:hint="eastAsia" w:ascii="宋体" w:hAnsi="宋体"/>
          <w:b/>
          <w:bCs/>
          <w:color w:val="auto"/>
          <w:kern w:val="0"/>
          <w:sz w:val="24"/>
        </w:rPr>
      </w:pPr>
      <w:r>
        <w:rPr>
          <w:rFonts w:hint="eastAsia" w:ascii="宋体" w:hAnsi="宋体"/>
          <w:b/>
          <w:bCs/>
          <w:color w:val="auto"/>
          <w:kern w:val="0"/>
          <w:sz w:val="24"/>
        </w:rPr>
        <w:t xml:space="preserve"> </w:t>
      </w:r>
    </w:p>
    <w:p>
      <w:pPr>
        <w:widowControl/>
        <w:spacing w:line="420" w:lineRule="atLeast"/>
        <w:ind w:firstLine="480"/>
        <w:jc w:val="left"/>
        <w:rPr>
          <w:rFonts w:hint="eastAsia" w:ascii="宋体" w:hAnsi="宋体"/>
          <w:color w:val="auto"/>
          <w:kern w:val="0"/>
          <w:sz w:val="24"/>
        </w:rPr>
      </w:pPr>
      <w:r>
        <w:rPr>
          <w:rFonts w:hint="eastAsia" w:ascii="宋体" w:hAnsi="宋体"/>
          <w:color w:val="auto"/>
          <w:kern w:val="0"/>
          <w:sz w:val="24"/>
        </w:rPr>
        <w:t xml:space="preserve"> </w:t>
      </w:r>
    </w:p>
    <w:p>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单位名称：</w:t>
      </w:r>
      <w:r>
        <w:rPr>
          <w:rFonts w:hint="eastAsia" w:ascii="宋体" w:hAnsi="宋体"/>
          <w:color w:val="auto"/>
          <w:kern w:val="0"/>
          <w:szCs w:val="21"/>
          <w:u w:val="single"/>
        </w:rPr>
        <w:t xml:space="preserve">                                               </w:t>
      </w:r>
    </w:p>
    <w:p>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单位性质：</w:t>
      </w:r>
      <w:r>
        <w:rPr>
          <w:rFonts w:hint="eastAsia" w:ascii="宋体" w:hAnsi="宋体"/>
          <w:color w:val="auto"/>
          <w:kern w:val="0"/>
          <w:szCs w:val="21"/>
          <w:u w:val="single"/>
        </w:rPr>
        <w:t xml:space="preserve">                                               </w:t>
      </w:r>
    </w:p>
    <w:p>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地    址：</w:t>
      </w:r>
      <w:r>
        <w:rPr>
          <w:rFonts w:hint="eastAsia" w:ascii="宋体" w:hAnsi="宋体"/>
          <w:color w:val="auto"/>
          <w:kern w:val="0"/>
          <w:szCs w:val="21"/>
          <w:u w:val="single"/>
        </w:rPr>
        <w:t xml:space="preserve">                                               </w:t>
      </w:r>
    </w:p>
    <w:p>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成立时间：</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w:t>
      </w:r>
    </w:p>
    <w:p>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经营期限：</w:t>
      </w:r>
      <w:r>
        <w:rPr>
          <w:rFonts w:hint="eastAsia" w:ascii="宋体" w:hAnsi="宋体"/>
          <w:color w:val="auto"/>
          <w:kern w:val="0"/>
          <w:szCs w:val="21"/>
          <w:u w:val="single"/>
        </w:rPr>
        <w:t xml:space="preserve">                                               </w:t>
      </w:r>
    </w:p>
    <w:p>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姓    名：</w:t>
      </w:r>
      <w:r>
        <w:rPr>
          <w:rFonts w:hint="eastAsia" w:ascii="宋体" w:hAnsi="宋体"/>
          <w:color w:val="auto"/>
          <w:kern w:val="0"/>
          <w:szCs w:val="21"/>
          <w:u w:val="single"/>
        </w:rPr>
        <w:t xml:space="preserve">                          </w:t>
      </w:r>
      <w:r>
        <w:rPr>
          <w:rFonts w:hint="eastAsia" w:ascii="宋体" w:hAnsi="宋体"/>
          <w:color w:val="auto"/>
          <w:kern w:val="0"/>
          <w:szCs w:val="21"/>
        </w:rPr>
        <w:t>性    别：</w:t>
      </w:r>
      <w:r>
        <w:rPr>
          <w:rFonts w:hint="eastAsia" w:ascii="宋体" w:hAnsi="宋体"/>
          <w:color w:val="auto"/>
          <w:kern w:val="0"/>
          <w:szCs w:val="21"/>
          <w:u w:val="single"/>
        </w:rPr>
        <w:t xml:space="preserve">            </w:t>
      </w:r>
    </w:p>
    <w:p>
      <w:pPr>
        <w:widowControl/>
        <w:spacing w:line="420" w:lineRule="atLeast"/>
        <w:ind w:firstLine="1080"/>
        <w:rPr>
          <w:rFonts w:hint="eastAsia" w:ascii="宋体" w:hAnsi="宋体"/>
          <w:color w:val="auto"/>
          <w:kern w:val="0"/>
          <w:szCs w:val="21"/>
          <w:u w:val="single"/>
        </w:rPr>
      </w:pPr>
      <w:r>
        <w:rPr>
          <w:rFonts w:hint="eastAsia" w:ascii="宋体" w:hAnsi="宋体"/>
          <w:color w:val="auto"/>
          <w:kern w:val="0"/>
          <w:szCs w:val="21"/>
        </w:rPr>
        <w:t>年    龄：</w:t>
      </w:r>
      <w:r>
        <w:rPr>
          <w:rFonts w:hint="eastAsia" w:ascii="宋体" w:hAnsi="宋体"/>
          <w:color w:val="auto"/>
          <w:kern w:val="0"/>
          <w:szCs w:val="21"/>
          <w:u w:val="single"/>
        </w:rPr>
        <w:t xml:space="preserve">                          </w:t>
      </w:r>
      <w:r>
        <w:rPr>
          <w:rFonts w:hint="eastAsia" w:ascii="宋体" w:hAnsi="宋体"/>
          <w:color w:val="auto"/>
          <w:kern w:val="0"/>
          <w:szCs w:val="21"/>
        </w:rPr>
        <w:t>职    务：</w:t>
      </w:r>
      <w:r>
        <w:rPr>
          <w:rFonts w:hint="eastAsia" w:ascii="宋体" w:hAnsi="宋体"/>
          <w:color w:val="auto"/>
          <w:kern w:val="0"/>
          <w:szCs w:val="21"/>
          <w:u w:val="single"/>
        </w:rPr>
        <w:t xml:space="preserve">            </w:t>
      </w:r>
    </w:p>
    <w:p>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系</w:t>
      </w:r>
      <w:r>
        <w:rPr>
          <w:rFonts w:hint="eastAsia" w:ascii="宋体" w:hAnsi="宋体"/>
          <w:color w:val="auto"/>
          <w:kern w:val="0"/>
          <w:szCs w:val="21"/>
          <w:u w:val="single"/>
        </w:rPr>
        <w:t xml:space="preserve">                             </w:t>
      </w:r>
      <w:r>
        <w:rPr>
          <w:rFonts w:hint="eastAsia" w:ascii="宋体" w:hAnsi="宋体"/>
          <w:color w:val="auto"/>
          <w:kern w:val="0"/>
          <w:szCs w:val="21"/>
        </w:rPr>
        <w:t>（投标人名称）的法定代表人。</w:t>
      </w:r>
    </w:p>
    <w:p>
      <w:pPr>
        <w:widowControl/>
        <w:spacing w:line="420" w:lineRule="atLeast"/>
        <w:ind w:firstLine="1080"/>
        <w:rPr>
          <w:rFonts w:hint="eastAsia" w:ascii="宋体" w:hAnsi="宋体"/>
          <w:color w:val="auto"/>
          <w:kern w:val="0"/>
          <w:szCs w:val="21"/>
        </w:rPr>
      </w:pPr>
      <w:r>
        <w:rPr>
          <w:rFonts w:hint="eastAsia" w:ascii="宋体" w:hAnsi="宋体"/>
          <w:color w:val="auto"/>
          <w:kern w:val="0"/>
          <w:szCs w:val="21"/>
        </w:rPr>
        <w:t>特此证明。</w:t>
      </w:r>
    </w:p>
    <w:p>
      <w:pPr>
        <w:widowControl/>
        <w:spacing w:line="420" w:lineRule="atLeast"/>
        <w:rPr>
          <w:rFonts w:hint="eastAsia" w:ascii="宋体" w:hAnsi="宋体"/>
          <w:color w:val="auto"/>
          <w:kern w:val="0"/>
          <w:szCs w:val="21"/>
        </w:rPr>
      </w:pPr>
      <w:r>
        <w:rPr>
          <w:rFonts w:hint="eastAsia" w:ascii="宋体" w:hAnsi="宋体"/>
          <w:color w:val="auto"/>
          <w:kern w:val="0"/>
          <w:szCs w:val="21"/>
        </w:rPr>
        <w:t xml:space="preserve"> </w:t>
      </w:r>
    </w:p>
    <w:p>
      <w:pPr>
        <w:widowControl/>
        <w:spacing w:line="420" w:lineRule="atLeast"/>
        <w:rPr>
          <w:rFonts w:hint="eastAsia" w:ascii="宋体" w:hAnsi="宋体"/>
          <w:color w:val="auto"/>
          <w:kern w:val="0"/>
          <w:szCs w:val="21"/>
        </w:rPr>
      </w:pPr>
      <w:r>
        <w:rPr>
          <w:rFonts w:hint="eastAsia" w:ascii="宋体" w:hAnsi="宋体"/>
          <w:color w:val="auto"/>
          <w:kern w:val="0"/>
          <w:szCs w:val="21"/>
        </w:rPr>
        <w:t xml:space="preserve"> </w:t>
      </w:r>
    </w:p>
    <w:p>
      <w:pPr>
        <w:widowControl/>
        <w:spacing w:line="420" w:lineRule="atLeast"/>
        <w:ind w:right="-64" w:firstLine="3600"/>
        <w:rPr>
          <w:rFonts w:hint="eastAsia" w:ascii="宋体" w:hAnsi="宋体"/>
          <w:b/>
          <w:bCs/>
          <w:color w:val="auto"/>
          <w:kern w:val="0"/>
          <w:szCs w:val="21"/>
        </w:rPr>
      </w:pPr>
      <w:r>
        <w:rPr>
          <w:rFonts w:hint="eastAsia" w:ascii="宋体" w:hAnsi="宋体"/>
          <w:b/>
          <w:bCs/>
          <w:color w:val="auto"/>
          <w:kern w:val="0"/>
          <w:szCs w:val="21"/>
        </w:rPr>
        <w:t>投标人：</w:t>
      </w:r>
      <w:r>
        <w:rPr>
          <w:rFonts w:hint="eastAsia" w:ascii="宋体" w:hAnsi="宋体"/>
          <w:b/>
          <w:bCs/>
          <w:color w:val="auto"/>
          <w:kern w:val="0"/>
          <w:szCs w:val="21"/>
          <w:u w:val="single"/>
        </w:rPr>
        <w:t xml:space="preserve">                      </w:t>
      </w:r>
      <w:r>
        <w:rPr>
          <w:rFonts w:hint="eastAsia" w:ascii="宋体" w:hAnsi="宋体"/>
          <w:b/>
          <w:bCs/>
          <w:color w:val="auto"/>
          <w:kern w:val="0"/>
          <w:szCs w:val="21"/>
        </w:rPr>
        <w:t>（盖单位章）</w:t>
      </w:r>
    </w:p>
    <w:p>
      <w:pPr>
        <w:widowControl/>
        <w:spacing w:line="420" w:lineRule="atLeast"/>
        <w:ind w:right="420"/>
        <w:rPr>
          <w:rFonts w:hint="eastAsia" w:ascii="宋体" w:hAnsi="宋体"/>
          <w:b/>
          <w:bCs/>
          <w:color w:val="auto"/>
          <w:kern w:val="0"/>
          <w:szCs w:val="21"/>
          <w:u w:val="single"/>
        </w:rPr>
      </w:pPr>
    </w:p>
    <w:p>
      <w:pPr>
        <w:widowControl/>
        <w:spacing w:line="420" w:lineRule="atLeast"/>
        <w:ind w:right="-64" w:firstLine="4320"/>
        <w:rPr>
          <w:rFonts w:hint="eastAsia" w:ascii="宋体" w:hAnsi="宋体"/>
          <w:b/>
          <w:bCs/>
          <w:color w:val="auto"/>
          <w:kern w:val="0"/>
          <w:szCs w:val="21"/>
        </w:rPr>
      </w:pPr>
      <w:r>
        <w:rPr>
          <w:rFonts w:hint="eastAsia" w:ascii="宋体" w:hAnsi="宋体"/>
          <w:b/>
          <w:bCs/>
          <w:color w:val="auto"/>
          <w:kern w:val="0"/>
          <w:szCs w:val="21"/>
          <w:u w:val="single"/>
        </w:rPr>
        <w:t xml:space="preserve">          </w:t>
      </w:r>
      <w:r>
        <w:rPr>
          <w:rFonts w:hint="eastAsia" w:ascii="宋体" w:hAnsi="宋体"/>
          <w:b/>
          <w:bCs/>
          <w:color w:val="auto"/>
          <w:kern w:val="0"/>
          <w:szCs w:val="21"/>
        </w:rPr>
        <w:t>年</w:t>
      </w:r>
      <w:r>
        <w:rPr>
          <w:rFonts w:hint="eastAsia" w:ascii="宋体" w:hAnsi="宋体"/>
          <w:b/>
          <w:bCs/>
          <w:color w:val="auto"/>
          <w:kern w:val="0"/>
          <w:szCs w:val="21"/>
          <w:u w:val="single"/>
        </w:rPr>
        <w:t xml:space="preserve">      </w:t>
      </w:r>
      <w:r>
        <w:rPr>
          <w:rFonts w:hint="eastAsia" w:ascii="宋体" w:hAnsi="宋体"/>
          <w:b/>
          <w:bCs/>
          <w:color w:val="auto"/>
          <w:kern w:val="0"/>
          <w:szCs w:val="21"/>
        </w:rPr>
        <w:t>月</w:t>
      </w:r>
      <w:r>
        <w:rPr>
          <w:rFonts w:hint="eastAsia" w:ascii="宋体" w:hAnsi="宋体"/>
          <w:b/>
          <w:bCs/>
          <w:color w:val="auto"/>
          <w:kern w:val="0"/>
          <w:szCs w:val="21"/>
          <w:u w:val="single"/>
        </w:rPr>
        <w:t xml:space="preserve">        </w:t>
      </w:r>
      <w:r>
        <w:rPr>
          <w:rFonts w:hint="eastAsia" w:ascii="宋体" w:hAnsi="宋体"/>
          <w:b/>
          <w:bCs/>
          <w:color w:val="auto"/>
          <w:kern w:val="0"/>
          <w:szCs w:val="21"/>
        </w:rPr>
        <w:t xml:space="preserve">日 </w:t>
      </w:r>
    </w:p>
    <w:p>
      <w:pPr>
        <w:pStyle w:val="61"/>
        <w:rPr>
          <w:rFonts w:hint="eastAsia"/>
          <w:b/>
          <w:bCs/>
          <w:color w:val="auto"/>
        </w:rPr>
      </w:pPr>
    </w:p>
    <w:p>
      <w:pPr>
        <w:pStyle w:val="10"/>
        <w:ind w:left="1020"/>
        <w:rPr>
          <w:rFonts w:hint="eastAsia"/>
          <w:color w:val="auto"/>
        </w:rPr>
      </w:pPr>
      <w:r>
        <w:rPr>
          <w:rFonts w:hint="eastAsia" w:ascii="宋体" w:hAnsi="宋体" w:cs="宋体"/>
          <w:color w:val="auto"/>
        </w:rPr>
        <w:t>--------------------------------------------------------------------</w:t>
      </w:r>
    </w:p>
    <w:p>
      <w:pPr>
        <w:pStyle w:val="10"/>
        <w:rPr>
          <w:rFonts w:hint="eastAsia" w:ascii="宋体" w:hAnsi="宋体"/>
          <w:color w:val="auto"/>
          <w:kern w:val="0"/>
          <w:sz w:val="24"/>
        </w:rPr>
      </w:pPr>
      <w:r>
        <w:rPr>
          <w:color w:val="auto"/>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1"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0"/>
                              <w:rPr>
                                <w:sz w:val="20"/>
                              </w:rPr>
                            </w:pPr>
                          </w:p>
                          <w:p>
                            <w:pPr>
                              <w:pStyle w:val="10"/>
                              <w:rPr>
                                <w:sz w:val="20"/>
                              </w:rPr>
                            </w:pPr>
                          </w:p>
                          <w:p>
                            <w:pPr>
                              <w:pStyle w:val="10"/>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 AQAADwAAAGRycy9kb3ducmV2LnhtbE2PwU7DMAyG70i8Q2QkbixZq0ApTXdA24UDUsceIGtMW2ic qsnW8fZ4JzhZ1v/p9+dqc/GjOOMch0AG1isFAqkNbqDOwOFj91CAiMmSs2MgNPCDETb17U1lSxcW avC8T53gEoqlNdCnNJVSxrZHb+MqTEicfYbZ28Tr3Ek324XL/SgzpR6ltwPxhd5O+Npj+70/eQPY fA0h7IqlmVJ3eItbrbfv2pj7u7V6AZHwkv5guOqzOtTsdAwnclGMBjKVPzPKwXUyUDxlOYijgTzX GmRdyf8v1L9QSwMEFAAAAAgAh07iQF3NgE0dAgAAQAQAAA4AAABkcnMvZTJvRG9jLnhtbK1TS67T MBSdI7EHy3OatFQVVE2fBOUhJARIDxbgOk5iyT9st0k3ADtgxIQ56+o63rHT9sFj0gEZJDe+1+fe c3y8uhm0Invhg7SmotNJSYkw3NbStBX98vn22QtKQmSmZsoaUdGDCPRm/fTJqndLMbOdVbXwBCAm LHtX0S5GtyyKwDuhWZhYJwySjfWaRfz6tqg964GuVTEry0XRW187b7kIAaubMUlPiP4aQNs0kouN 5TstTBxRvVAsglLopAt0nadtGsHjx6YJIhJVUTCN+Y0miLfpXaxXbNl65jrJTyOwa0Z4xEkzadD0 ArVhkZGdl/9Aacm9DbaJE251MRLJioDFtHykzV3HnMhcIHVwF9HD/4PlH/afPJE1nECJYRoHfvzx /fjz9/HXNzJP8vQuLFF151AXh1d2SKWn9YDFxHpovE5f8CHIQ9zDRVwxRMKxOJ/N58/nSHHkZuV8 Nl1k+YuH7c6H+FZYTVJQUY/Ty6Ky/fsQ0RKl55LUzdhbqVQ+QWVIX9FF+XIBfAZXNnADQu3ALJg2 wwSrZJ22pM3Bt9vXypM9S87IT2KFFn+VpX4bFrqxLqdGz2gZhc+9O8HqN6Ym8eCgnsGloWkYLWpK lMAdS1GujEyqayoxhDKYJUk/SpyiOGwHwKRwa+sDjqOHb0Hv64559FTvDIyRTH4O/DnYnoOd87Lt oG0+wtwAxsq0T5cgOffP/zzGw8Vf3wN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AAAAAZHJzL1BLAQIUABQAAAAIAIdO4kB1ZLZH1gAAAAoB AAAPAAAAAAAAAAEAIAAAACIAAABkcnMvZG93bnJldi54bWxQSwECFAAUAAAACACHTuJAXc2ATR0C AABABAAADgAAAAAAAAABACAAAAAlAQAAZHJzL2Uyb0RvYy54bWxQSwUGAAAAAAYABgBZAQAAtAUA AAAA ">
                <v:fill on="f" focussize="0,0"/>
                <v:stroke weight="0.48pt" color="#000000" joinstyle="miter"/>
                <v:imagedata o:title=""/>
                <o:lock v:ext="edit" aspectratio="f"/>
                <v:textbox inset="0mm,0mm,0mm,0mm">
                  <w:txbxContent>
                    <w:p>
                      <w:pPr>
                        <w:pStyle w:val="10"/>
                        <w:rPr>
                          <w:sz w:val="20"/>
                        </w:rPr>
                      </w:pPr>
                    </w:p>
                    <w:p>
                      <w:pPr>
                        <w:pStyle w:val="10"/>
                        <w:rPr>
                          <w:sz w:val="20"/>
                        </w:rPr>
                      </w:pPr>
                    </w:p>
                    <w:p>
                      <w:pPr>
                        <w:pStyle w:val="10"/>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pPr>
        <w:widowControl/>
        <w:spacing w:line="420" w:lineRule="atLeast"/>
        <w:jc w:val="left"/>
        <w:outlineLvl w:val="0"/>
        <w:rPr>
          <w:rFonts w:ascii="宋体" w:hAnsi="宋体"/>
          <w:b/>
          <w:bCs/>
          <w:color w:val="auto"/>
          <w:kern w:val="0"/>
          <w:sz w:val="30"/>
          <w:szCs w:val="30"/>
        </w:rPr>
      </w:pPr>
      <w:r>
        <w:rPr>
          <w:rFonts w:ascii="宋体" w:hAnsi="宋体"/>
          <w:b/>
          <w:bCs/>
          <w:color w:val="auto"/>
          <w:kern w:val="0"/>
          <w:sz w:val="30"/>
          <w:szCs w:val="30"/>
        </w:rPr>
        <w:br w:type="page"/>
      </w:r>
      <w:bookmarkStart w:id="197" w:name="_Toc26816"/>
      <w:r>
        <w:rPr>
          <w:rFonts w:hint="eastAsia" w:ascii="宋体" w:hAnsi="宋体" w:cs="宋体"/>
          <w:b/>
          <w:bCs/>
          <w:color w:val="auto"/>
          <w:sz w:val="22"/>
          <w:szCs w:val="22"/>
        </w:rPr>
        <w:t>附件1-1</w:t>
      </w:r>
      <w:bookmarkEnd w:id="197"/>
    </w:p>
    <w:p>
      <w:pPr>
        <w:widowControl/>
        <w:spacing w:line="420" w:lineRule="atLeast"/>
        <w:jc w:val="center"/>
        <w:rPr>
          <w:rFonts w:hint="eastAsia" w:ascii="宋体" w:hAnsi="宋体"/>
          <w:b/>
          <w:bCs/>
          <w:color w:val="auto"/>
          <w:kern w:val="0"/>
          <w:sz w:val="30"/>
          <w:szCs w:val="30"/>
        </w:rPr>
      </w:pPr>
      <w:r>
        <w:rPr>
          <w:rFonts w:ascii="宋体" w:hAnsi="宋体"/>
          <w:b/>
          <w:bCs/>
          <w:color w:val="auto"/>
          <w:kern w:val="0"/>
          <w:sz w:val="30"/>
          <w:szCs w:val="30"/>
        </w:rPr>
        <w:t>法定代表人</w:t>
      </w:r>
      <w:r>
        <w:rPr>
          <w:rFonts w:hint="eastAsia" w:ascii="宋体" w:hAnsi="宋体"/>
          <w:b/>
          <w:bCs/>
          <w:color w:val="auto"/>
          <w:kern w:val="0"/>
          <w:sz w:val="30"/>
          <w:szCs w:val="30"/>
        </w:rPr>
        <w:t>授权委托</w:t>
      </w:r>
      <w:r>
        <w:rPr>
          <w:rFonts w:ascii="宋体" w:hAnsi="宋体"/>
          <w:b/>
          <w:bCs/>
          <w:color w:val="auto"/>
          <w:kern w:val="0"/>
          <w:sz w:val="30"/>
          <w:szCs w:val="30"/>
        </w:rPr>
        <w:t>书</w:t>
      </w:r>
    </w:p>
    <w:p>
      <w:pPr>
        <w:widowControl/>
        <w:spacing w:line="420" w:lineRule="atLeast"/>
        <w:ind w:left="120"/>
        <w:jc w:val="left"/>
        <w:rPr>
          <w:rFonts w:hint="eastAsia" w:ascii="宋体" w:hAnsi="宋体"/>
          <w:color w:val="auto"/>
          <w:kern w:val="0"/>
          <w:sz w:val="24"/>
        </w:rPr>
      </w:pPr>
      <w:r>
        <w:rPr>
          <w:rFonts w:hint="eastAsia" w:ascii="宋体" w:hAnsi="宋体"/>
          <w:color w:val="auto"/>
          <w:kern w:val="0"/>
          <w:sz w:val="24"/>
        </w:rPr>
        <w:t xml:space="preserve"> </w:t>
      </w:r>
    </w:p>
    <w:p>
      <w:pPr>
        <w:widowControl/>
        <w:spacing w:line="360" w:lineRule="auto"/>
        <w:ind w:left="120" w:firstLine="480"/>
        <w:jc w:val="left"/>
        <w:rPr>
          <w:rFonts w:hint="eastAsia" w:ascii="宋体" w:hAnsi="宋体"/>
          <w:color w:val="auto"/>
          <w:kern w:val="0"/>
          <w:szCs w:val="21"/>
        </w:rPr>
      </w:pPr>
      <w:r>
        <w:rPr>
          <w:rFonts w:hint="eastAsia" w:ascii="宋体" w:hAnsi="宋体"/>
          <w:color w:val="auto"/>
          <w:kern w:val="0"/>
          <w:szCs w:val="21"/>
        </w:rPr>
        <w:t>本授权书声明：我</w:t>
      </w:r>
      <w:r>
        <w:rPr>
          <w:rFonts w:hint="eastAsia" w:ascii="宋体" w:hAnsi="宋体"/>
          <w:color w:val="auto"/>
          <w:kern w:val="0"/>
          <w:szCs w:val="21"/>
          <w:u w:val="single"/>
        </w:rPr>
        <w:t xml:space="preserve">             </w:t>
      </w:r>
      <w:r>
        <w:rPr>
          <w:rFonts w:hint="eastAsia" w:ascii="宋体" w:hAnsi="宋体"/>
          <w:color w:val="auto"/>
          <w:kern w:val="0"/>
          <w:szCs w:val="21"/>
        </w:rPr>
        <w:t>（法人代表姓名、职务）是</w:t>
      </w:r>
      <w:r>
        <w:rPr>
          <w:rFonts w:hint="eastAsia" w:ascii="宋体" w:hAnsi="宋体"/>
          <w:color w:val="auto"/>
          <w:kern w:val="0"/>
          <w:szCs w:val="21"/>
          <w:u w:val="single"/>
        </w:rPr>
        <w:t xml:space="preserve">                                </w:t>
      </w:r>
      <w:r>
        <w:rPr>
          <w:rFonts w:hint="eastAsia" w:ascii="宋体" w:hAnsi="宋体"/>
          <w:color w:val="auto"/>
          <w:kern w:val="0"/>
          <w:szCs w:val="21"/>
        </w:rPr>
        <w:t>（单位名称）的法人代表，现代表本单位授权</w:t>
      </w:r>
      <w:r>
        <w:rPr>
          <w:rFonts w:hint="eastAsia" w:ascii="宋体" w:hAnsi="宋体"/>
          <w:color w:val="auto"/>
          <w:kern w:val="0"/>
          <w:szCs w:val="21"/>
          <w:u w:val="single"/>
        </w:rPr>
        <w:t xml:space="preserve">                   </w:t>
      </w:r>
      <w:r>
        <w:rPr>
          <w:rFonts w:hint="eastAsia" w:ascii="宋体" w:hAnsi="宋体"/>
          <w:color w:val="auto"/>
          <w:kern w:val="0"/>
          <w:szCs w:val="21"/>
        </w:rPr>
        <w:t>（被授权人的姓名、职务）为本单位的合法代理人，就参加</w:t>
      </w:r>
      <w:r>
        <w:rPr>
          <w:rFonts w:hint="eastAsia" w:ascii="宋体" w:hAnsi="宋体"/>
          <w:color w:val="auto"/>
          <w:kern w:val="0"/>
          <w:szCs w:val="21"/>
          <w:u w:val="single"/>
        </w:rPr>
        <w:t xml:space="preserve"> </w:t>
      </w:r>
      <w:r>
        <w:rPr>
          <w:rFonts w:hint="eastAsia" w:ascii="宋体" w:hAnsi="宋体"/>
          <w:color w:val="auto"/>
          <w:kern w:val="0"/>
          <w:szCs w:val="21"/>
          <w:u w:val="single"/>
          <w:lang w:eastAsia="zh-CN"/>
        </w:rPr>
        <w:t>常山县生活垃圾填埋场渗滤液处理及渗滤液处理区运维管理项目</w:t>
      </w:r>
      <w:r>
        <w:rPr>
          <w:rFonts w:hint="eastAsia" w:ascii="宋体" w:hAnsi="宋体"/>
          <w:color w:val="auto"/>
          <w:kern w:val="0"/>
          <w:szCs w:val="21"/>
          <w:u w:val="single"/>
        </w:rPr>
        <w:t>（项目编号：</w:t>
      </w:r>
      <w:r>
        <w:rPr>
          <w:rFonts w:hint="eastAsia" w:ascii="宋体" w:hAnsi="宋体"/>
          <w:color w:val="auto"/>
          <w:kern w:val="0"/>
          <w:szCs w:val="21"/>
          <w:u w:val="single"/>
          <w:lang w:eastAsia="zh-CN"/>
        </w:rPr>
        <w:t>CSLT-GK-2022022</w:t>
      </w:r>
      <w:r>
        <w:rPr>
          <w:rFonts w:hint="eastAsia" w:ascii="宋体" w:hAnsi="宋体"/>
          <w:color w:val="auto"/>
          <w:kern w:val="0"/>
          <w:szCs w:val="21"/>
          <w:u w:val="single"/>
        </w:rPr>
        <w:t>）</w:t>
      </w:r>
      <w:r>
        <w:rPr>
          <w:rFonts w:hint="eastAsia" w:ascii="宋体" w:hAnsi="宋体"/>
          <w:color w:val="auto"/>
          <w:kern w:val="0"/>
          <w:szCs w:val="21"/>
        </w:rPr>
        <w:t>公开招标的投标、签订合同以及合同的执行、完成和服务，及以本单位名义处理一切与之有关的事务。</w:t>
      </w:r>
    </w:p>
    <w:p>
      <w:pPr>
        <w:widowControl/>
        <w:spacing w:line="360" w:lineRule="auto"/>
        <w:ind w:firstLine="480"/>
        <w:jc w:val="left"/>
        <w:rPr>
          <w:rFonts w:hint="eastAsia" w:ascii="宋体" w:hAnsi="宋体"/>
          <w:color w:val="auto"/>
          <w:kern w:val="0"/>
          <w:szCs w:val="21"/>
        </w:rPr>
      </w:pPr>
      <w:r>
        <w:rPr>
          <w:rFonts w:hint="eastAsia" w:ascii="宋体" w:hAnsi="宋体"/>
          <w:color w:val="auto"/>
          <w:kern w:val="0"/>
          <w:szCs w:val="21"/>
        </w:rPr>
        <w:t xml:space="preserve"> 本授权书于</w:t>
      </w:r>
      <w:r>
        <w:rPr>
          <w:rFonts w:hint="eastAsia" w:ascii="宋体" w:hAnsi="宋体"/>
          <w:color w:val="auto"/>
          <w:kern w:val="0"/>
          <w:szCs w:val="21"/>
          <w:u w:val="single"/>
        </w:rPr>
        <w:t xml:space="preserve">     </w:t>
      </w:r>
      <w:r>
        <w:rPr>
          <w:rFonts w:hint="eastAsia" w:ascii="宋体" w:hAnsi="宋体"/>
          <w:color w:val="auto"/>
          <w:kern w:val="0"/>
          <w:szCs w:val="21"/>
        </w:rPr>
        <w:t>年</w:t>
      </w:r>
      <w:r>
        <w:rPr>
          <w:rFonts w:hint="eastAsia" w:ascii="宋体" w:hAnsi="宋体"/>
          <w:color w:val="auto"/>
          <w:kern w:val="0"/>
          <w:szCs w:val="21"/>
          <w:u w:val="single"/>
        </w:rPr>
        <w:t xml:space="preserve">      </w:t>
      </w:r>
      <w:r>
        <w:rPr>
          <w:rFonts w:hint="eastAsia" w:ascii="宋体" w:hAnsi="宋体"/>
          <w:color w:val="auto"/>
          <w:kern w:val="0"/>
          <w:szCs w:val="21"/>
        </w:rPr>
        <w:t>月</w:t>
      </w:r>
      <w:r>
        <w:rPr>
          <w:rFonts w:hint="eastAsia" w:ascii="宋体" w:hAnsi="宋体"/>
          <w:color w:val="auto"/>
          <w:kern w:val="0"/>
          <w:szCs w:val="21"/>
          <w:u w:val="single"/>
        </w:rPr>
        <w:t xml:space="preserve">      </w:t>
      </w:r>
      <w:r>
        <w:rPr>
          <w:rFonts w:hint="eastAsia" w:ascii="宋体" w:hAnsi="宋体"/>
          <w:color w:val="auto"/>
          <w:kern w:val="0"/>
          <w:szCs w:val="21"/>
        </w:rPr>
        <w:t>日签字生效，特此声明。</w:t>
      </w:r>
    </w:p>
    <w:p>
      <w:pPr>
        <w:pStyle w:val="61"/>
        <w:rPr>
          <w:rFonts w:hint="eastAsia"/>
          <w:color w:val="auto"/>
        </w:rPr>
      </w:pPr>
    </w:p>
    <w:p>
      <w:pPr>
        <w:widowControl/>
        <w:spacing w:line="360" w:lineRule="auto"/>
        <w:ind w:firstLine="600"/>
        <w:jc w:val="left"/>
        <w:rPr>
          <w:rFonts w:hint="eastAsia" w:ascii="宋体" w:hAnsi="宋体"/>
          <w:color w:val="auto"/>
          <w:kern w:val="0"/>
          <w:szCs w:val="21"/>
        </w:rPr>
      </w:pPr>
    </w:p>
    <w:p>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法人代表（签字）</w:t>
      </w:r>
      <w:r>
        <w:rPr>
          <w:rFonts w:hint="eastAsia" w:ascii="宋体" w:hAnsi="宋体"/>
          <w:b/>
          <w:bCs/>
          <w:color w:val="auto"/>
          <w:kern w:val="0"/>
          <w:szCs w:val="21"/>
          <w:u w:val="single"/>
        </w:rPr>
        <w:t xml:space="preserve">                          </w:t>
      </w:r>
    </w:p>
    <w:p>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授权委托人（签字）</w:t>
      </w:r>
      <w:r>
        <w:rPr>
          <w:rFonts w:hint="eastAsia" w:ascii="宋体" w:hAnsi="宋体"/>
          <w:b/>
          <w:bCs/>
          <w:color w:val="auto"/>
          <w:kern w:val="0"/>
          <w:szCs w:val="21"/>
          <w:u w:val="single"/>
        </w:rPr>
        <w:t xml:space="preserve">                        </w:t>
      </w:r>
    </w:p>
    <w:p>
      <w:pPr>
        <w:widowControl/>
        <w:spacing w:line="360" w:lineRule="auto"/>
        <w:ind w:firstLine="600"/>
        <w:jc w:val="left"/>
        <w:rPr>
          <w:rFonts w:hint="eastAsia" w:ascii="宋体" w:hAnsi="宋体"/>
          <w:b/>
          <w:bCs/>
          <w:color w:val="auto"/>
          <w:kern w:val="0"/>
          <w:szCs w:val="21"/>
        </w:rPr>
      </w:pPr>
      <w:r>
        <w:rPr>
          <w:rFonts w:hint="eastAsia" w:ascii="宋体" w:hAnsi="宋体"/>
          <w:b/>
          <w:bCs/>
          <w:color w:val="auto"/>
          <w:kern w:val="0"/>
          <w:szCs w:val="21"/>
        </w:rPr>
        <w:t>单位名称（公章）</w:t>
      </w:r>
      <w:r>
        <w:rPr>
          <w:rFonts w:hint="eastAsia" w:ascii="宋体" w:hAnsi="宋体"/>
          <w:b/>
          <w:bCs/>
          <w:color w:val="auto"/>
          <w:kern w:val="0"/>
          <w:szCs w:val="21"/>
          <w:u w:val="single"/>
        </w:rPr>
        <w:t xml:space="preserve">                              </w:t>
      </w:r>
    </w:p>
    <w:p>
      <w:pPr>
        <w:widowControl/>
        <w:spacing w:line="360" w:lineRule="auto"/>
        <w:ind w:firstLine="480"/>
        <w:jc w:val="left"/>
        <w:rPr>
          <w:rFonts w:hint="eastAsia" w:ascii="宋体" w:hAnsi="宋体"/>
          <w:b/>
          <w:bCs/>
          <w:color w:val="auto"/>
          <w:kern w:val="0"/>
          <w:szCs w:val="21"/>
        </w:rPr>
      </w:pPr>
      <w:r>
        <w:rPr>
          <w:rFonts w:hint="eastAsia" w:ascii="宋体" w:hAnsi="宋体"/>
          <w:b/>
          <w:bCs/>
          <w:color w:val="auto"/>
          <w:kern w:val="0"/>
          <w:szCs w:val="21"/>
        </w:rPr>
        <w:t xml:space="preserve"> 日    期：</w:t>
      </w:r>
      <w:r>
        <w:rPr>
          <w:rFonts w:hint="eastAsia" w:ascii="宋体" w:hAnsi="宋体"/>
          <w:b/>
          <w:bCs/>
          <w:color w:val="auto"/>
          <w:kern w:val="0"/>
          <w:szCs w:val="21"/>
          <w:u w:val="single"/>
        </w:rPr>
        <w:t xml:space="preserve">                                    </w:t>
      </w:r>
    </w:p>
    <w:p>
      <w:pPr>
        <w:widowControl/>
        <w:spacing w:line="360" w:lineRule="auto"/>
        <w:rPr>
          <w:rFonts w:hint="eastAsia" w:ascii="宋体" w:hAnsi="宋体"/>
          <w:color w:val="auto"/>
          <w:kern w:val="0"/>
          <w:szCs w:val="21"/>
        </w:rPr>
      </w:pPr>
      <w:r>
        <w:rPr>
          <w:rFonts w:hint="eastAsia" w:ascii="宋体" w:hAnsi="宋体"/>
          <w:color w:val="auto"/>
          <w:kern w:val="0"/>
          <w:szCs w:val="21"/>
        </w:rPr>
        <w:t xml:space="preserve"> </w:t>
      </w:r>
    </w:p>
    <w:p>
      <w:pPr>
        <w:widowControl/>
        <w:spacing w:line="360" w:lineRule="auto"/>
        <w:rPr>
          <w:rFonts w:hint="eastAsia" w:ascii="宋体" w:hAnsi="宋体"/>
          <w:color w:val="auto"/>
          <w:kern w:val="0"/>
          <w:szCs w:val="21"/>
        </w:rPr>
      </w:pPr>
    </w:p>
    <w:p>
      <w:pPr>
        <w:pStyle w:val="10"/>
        <w:ind w:left="1020"/>
        <w:rPr>
          <w:rFonts w:hint="eastAsia"/>
          <w:color w:val="auto"/>
        </w:rPr>
      </w:pPr>
      <w:r>
        <w:rPr>
          <w:rFonts w:hint="eastAsia" w:ascii="宋体" w:hAnsi="宋体" w:cs="宋体"/>
          <w:color w:val="auto"/>
        </w:rPr>
        <w:t>--------------------------------------------------------------------</w:t>
      </w:r>
    </w:p>
    <w:p>
      <w:pPr>
        <w:pStyle w:val="10"/>
        <w:rPr>
          <w:rFonts w:hint="eastAsia" w:ascii="宋体" w:hAnsi="宋体"/>
          <w:color w:val="auto"/>
          <w:kern w:val="0"/>
          <w:sz w:val="24"/>
        </w:rPr>
      </w:pPr>
      <w:r>
        <w:rPr>
          <w:color w:val="auto"/>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0"/>
                              <w:rPr>
                                <w:sz w:val="20"/>
                              </w:rPr>
                            </w:pPr>
                          </w:p>
                          <w:p>
                            <w:pPr>
                              <w:pStyle w:val="10"/>
                              <w:rPr>
                                <w:sz w:val="20"/>
                              </w:rPr>
                            </w:pPr>
                          </w:p>
                          <w:p>
                            <w:pPr>
                              <w:pStyle w:val="10"/>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 AQAADwAAAGRycy9kb3ducmV2LnhtbE2PwU7DMAyG70i8Q2QkbixZq0ApTXdA24UDUsceIGtMW2ic qsnW8fZ4JzhZ1v/p9+dqc/GjOOMch0AG1isFAqkNbqDOwOFj91CAiMmSs2MgNPCDETb17U1lSxcW avC8T53gEoqlNdCnNJVSxrZHb+MqTEicfYbZ28Tr3Ek324XL/SgzpR6ltwPxhd5O+Npj+70/eQPY fA0h7IqlmVJ3eItbrbfv2pj7u7V6AZHwkv5guOqzOtTsdAwnclGMBjKVPzPKwXUyUDxlOYijgTzX GmRdyf8v1L9QSwMEFAAAAAgAh07iQJsClZ8dAgAAQAQAAA4AAABkcnMvZTJvRG9jLnhtbK1TS67T MBSdI7EHy3OaNJQKqqZPgvIQEgKkBwtwHaex5B+226QbgB0wYsKcdXUdHDttHzwmHZBBcuN7fe49 x8fLm0Ershc+SGtqOp2UlAjDbSPNtqafP90+eU5JiMw0TFkjanoQgd6sHj9a9m4hKttZ1QhPAGLC onc17WJ0i6IIvBOahYl1wiDZWq9ZxK/fFo1nPdC1KqqynBe99Y3zlosQsLoek/SE6K8BtG0ruVhb vtPCxBHVC8UiKIVOukBXedq2FTx+aNsgIlE1BdOY32iCeJPexWrJFlvPXCf5aQR2zQgPOGkmDZpe oNYsMrLz8h8oLbm3wbZxwq0uRiJZEbCYlg+0ueuYE5kLpA7uInr4f7D8/f6jJ7KpaUWJYRoHfvz+ 7fjj1/HnV/IsydO7sEDVnUNdHF7aAaY5rwcsJtZD63X6gg9BHuIeLuKKIRKOxVk1mz2dIcWRq8pZ NZ1n+Yv77c6H+EZYTVJQU4/Ty6Ky/bsQMQpKzyWpm7G3Uql8gsqQvqbz8sUc+AyubOEGhNqBWTDb DBOskk3akjYHv928Up7sWXJGfhIrtPirLPVbs9CNdTk1ekbLKHzu3QnWvDYNiQcH9QwuDU3DaNFQ ogTuWIpyZWRSXVOJIZTBLEn6UeIUxWEzACaFG9sccBw9fAt6X3bMo6d6a2CMZPJz4M/B5hzsnJfb DtrmI8wNYKxM+3QJknP//M9j3F/81W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CMBAAAW0NvbnRlbnRfVHlwZXNdLnhtbFBLAQIUAAoAAAAAAIdO 4kAAAAAAAAAAAAAAAAAGAAAAAAAAAAAAEAAAAG4DAABfcmVscy9QSwECFAAUAAAACACHTuJAihRm PNEAAACUAQAACwAAAAAAAAABACAAAACSAwAAX3JlbHMvLnJlbHNQSwECFAAKAAAAAACHTuJAAAAA AAAAAAAAAAAABAAAAAAAAAAAABAAAAAAAAAAZHJzL1BLAQIUABQAAAAIAIdO4kB1ZLZH1gAAAAoB AAAPAAAAAAAAAAEAIAAAACIAAABkcnMvZG93bnJldi54bWxQSwECFAAUAAAACACHTuJAmwKVnx0C AABABAAADgAAAAAAAAABACAAAAAlAQAAZHJzL2Uyb0RvYy54bWxQSwUGAAAAAAYABgBZAQAAtAUA AAAA ">
                <v:fill on="f" focussize="0,0"/>
                <v:stroke weight="0.48pt" color="#000000" joinstyle="miter"/>
                <v:imagedata o:title=""/>
                <o:lock v:ext="edit" aspectratio="f"/>
                <v:textbox inset="0mm,0mm,0mm,0mm">
                  <w:txbxContent>
                    <w:p>
                      <w:pPr>
                        <w:pStyle w:val="10"/>
                        <w:rPr>
                          <w:sz w:val="20"/>
                        </w:rPr>
                      </w:pPr>
                    </w:p>
                    <w:p>
                      <w:pPr>
                        <w:pStyle w:val="10"/>
                        <w:rPr>
                          <w:sz w:val="20"/>
                        </w:rPr>
                      </w:pPr>
                    </w:p>
                    <w:p>
                      <w:pPr>
                        <w:pStyle w:val="10"/>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olor w:val="auto"/>
          <w:kern w:val="0"/>
          <w:szCs w:val="21"/>
        </w:rPr>
        <w:t xml:space="preserve"> </w:t>
      </w:r>
      <w:r>
        <w:rPr>
          <w:rFonts w:hint="eastAsia" w:ascii="宋体" w:hAnsi="宋体"/>
          <w:color w:val="auto"/>
          <w:kern w:val="0"/>
          <w:sz w:val="24"/>
        </w:rPr>
        <w:t xml:space="preserve">  </w:t>
      </w:r>
    </w:p>
    <w:p>
      <w:pPr>
        <w:spacing w:line="460" w:lineRule="exact"/>
        <w:jc w:val="left"/>
        <w:rPr>
          <w:rFonts w:hint="eastAsia" w:ascii="楷体_GB2312" w:eastAsia="楷体_GB2312"/>
          <w:b/>
          <w:bCs/>
          <w:color w:val="auto"/>
          <w:sz w:val="22"/>
          <w:szCs w:val="22"/>
        </w:rPr>
      </w:pPr>
    </w:p>
    <w:p>
      <w:pPr>
        <w:widowControl/>
        <w:spacing w:line="420" w:lineRule="atLeast"/>
        <w:jc w:val="center"/>
        <w:rPr>
          <w:b/>
          <w:color w:val="auto"/>
          <w:sz w:val="30"/>
        </w:rPr>
      </w:pPr>
      <w:r>
        <w:rPr>
          <w:b/>
          <w:color w:val="auto"/>
          <w:sz w:val="30"/>
        </w:rPr>
        <w:br w:type="page"/>
      </w:r>
      <w:bookmarkStart w:id="198" w:name="_Toc11088"/>
    </w:p>
    <w:p>
      <w:pPr>
        <w:spacing w:line="460" w:lineRule="exact"/>
        <w:jc w:val="left"/>
        <w:outlineLvl w:val="0"/>
        <w:rPr>
          <w:b/>
          <w:color w:val="auto"/>
          <w:sz w:val="30"/>
        </w:rPr>
      </w:pPr>
      <w:r>
        <w:rPr>
          <w:rFonts w:hint="eastAsia" w:ascii="宋体" w:hAnsi="宋体" w:cs="宋体"/>
          <w:b/>
          <w:bCs/>
          <w:color w:val="auto"/>
          <w:sz w:val="22"/>
          <w:szCs w:val="22"/>
        </w:rPr>
        <w:t>附件2</w:t>
      </w:r>
      <w:bookmarkEnd w:id="198"/>
    </w:p>
    <w:p>
      <w:pPr>
        <w:spacing w:line="460" w:lineRule="exact"/>
        <w:jc w:val="center"/>
        <w:rPr>
          <w:b/>
          <w:color w:val="auto"/>
          <w:sz w:val="30"/>
        </w:rPr>
      </w:pPr>
      <w:r>
        <w:rPr>
          <w:b/>
          <w:color w:val="auto"/>
          <w:sz w:val="30"/>
        </w:rPr>
        <w:t>具有履行合同所必需的设备和专业技术能力的承诺函</w:t>
      </w:r>
    </w:p>
    <w:p>
      <w:pPr>
        <w:spacing w:line="460" w:lineRule="exact"/>
        <w:jc w:val="center"/>
        <w:rPr>
          <w:b/>
          <w:color w:val="auto"/>
          <w:sz w:val="30"/>
        </w:rPr>
      </w:pPr>
    </w:p>
    <w:p>
      <w:pPr>
        <w:pStyle w:val="10"/>
        <w:tabs>
          <w:tab w:val="left" w:pos="3659"/>
        </w:tabs>
        <w:jc w:val="lef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eastAsia="zh-CN"/>
        </w:rPr>
        <w:t>常山县市容环卫中心</w:t>
      </w:r>
      <w:r>
        <w:rPr>
          <w:rFonts w:hint="eastAsia" w:ascii="宋体" w:hAnsi="宋体" w:cs="宋体"/>
          <w:color w:val="auto"/>
          <w:szCs w:val="21"/>
          <w:u w:val="single"/>
        </w:rPr>
        <w:t xml:space="preserve"> </w:t>
      </w:r>
      <w:r>
        <w:rPr>
          <w:rFonts w:hint="eastAsia" w:ascii="宋体" w:hAnsi="宋体" w:cs="宋体"/>
          <w:color w:val="auto"/>
          <w:szCs w:val="21"/>
        </w:rPr>
        <w:t>：</w:t>
      </w:r>
    </w:p>
    <w:p>
      <w:pPr>
        <w:pStyle w:val="61"/>
        <w:rPr>
          <w:rFonts w:hint="eastAsia" w:ascii="宋体" w:hAnsi="宋体" w:cs="宋体"/>
          <w:color w:val="auto"/>
          <w:szCs w:val="21"/>
        </w:rPr>
      </w:pPr>
    </w:p>
    <w:p>
      <w:pPr>
        <w:spacing w:line="360" w:lineRule="auto"/>
        <w:ind w:firstLine="412" w:firstLineChars="200"/>
        <w:jc w:val="left"/>
        <w:rPr>
          <w:rFonts w:hint="eastAsia" w:ascii="宋体" w:hAnsi="宋体" w:cs="宋体"/>
          <w:color w:val="auto"/>
          <w:spacing w:val="-8"/>
          <w:szCs w:val="21"/>
        </w:rPr>
      </w:pPr>
      <w:r>
        <w:rPr>
          <w:rFonts w:hint="eastAsia" w:ascii="宋体" w:hAnsi="宋体" w:cs="宋体"/>
          <w:color w:val="auto"/>
          <w:spacing w:val="-2"/>
          <w:szCs w:val="21"/>
        </w:rPr>
        <w:t>根据贵方</w:t>
      </w:r>
      <w:r>
        <w:rPr>
          <w:rFonts w:hint="eastAsia" w:ascii="宋体" w:hAnsi="宋体" w:cs="宋体"/>
          <w:color w:val="auto"/>
          <w:spacing w:val="-2"/>
          <w:szCs w:val="21"/>
          <w:u w:val="single"/>
        </w:rPr>
        <w:t xml:space="preserve"> </w:t>
      </w:r>
      <w:r>
        <w:rPr>
          <w:rFonts w:hint="eastAsia" w:ascii="宋体" w:hAnsi="宋体" w:cs="宋体"/>
          <w:color w:val="auto"/>
          <w:kern w:val="0"/>
          <w:szCs w:val="21"/>
          <w:u w:val="single"/>
          <w:lang w:eastAsia="zh-CN"/>
        </w:rPr>
        <w:t>常山县生活垃圾填埋场渗滤液处理及渗滤液处理区运维管理项目</w:t>
      </w:r>
      <w:r>
        <w:rPr>
          <w:rFonts w:hint="eastAsia" w:ascii="宋体" w:hAnsi="宋体" w:cs="宋体"/>
          <w:color w:val="auto"/>
          <w:kern w:val="0"/>
          <w:szCs w:val="21"/>
          <w:u w:val="single"/>
        </w:rPr>
        <w:t>（项目编号：</w:t>
      </w:r>
      <w:r>
        <w:rPr>
          <w:rFonts w:hint="eastAsia" w:ascii="宋体" w:hAnsi="宋体" w:cs="宋体"/>
          <w:color w:val="auto"/>
          <w:kern w:val="0"/>
          <w:szCs w:val="21"/>
          <w:u w:val="single"/>
          <w:lang w:eastAsia="zh-CN"/>
        </w:rPr>
        <w:t>CSLT-GK-2022022</w:t>
      </w:r>
      <w:r>
        <w:rPr>
          <w:rFonts w:hint="eastAsia" w:ascii="宋体" w:hAnsi="宋体" w:cs="宋体"/>
          <w:color w:val="auto"/>
          <w:kern w:val="0"/>
          <w:szCs w:val="21"/>
          <w:u w:val="single"/>
        </w:rPr>
        <w:t>）</w:t>
      </w:r>
      <w:r>
        <w:rPr>
          <w:rFonts w:hint="eastAsia" w:ascii="宋体" w:hAnsi="宋体" w:cs="宋体"/>
          <w:color w:val="auto"/>
          <w:spacing w:val="-3"/>
          <w:szCs w:val="21"/>
        </w:rPr>
        <w:t>采购文件要求，我公司在完全理解采购文件技术要求、商务条款</w:t>
      </w:r>
      <w:r>
        <w:rPr>
          <w:rFonts w:hint="eastAsia" w:ascii="宋体" w:hAnsi="宋体" w:cs="宋体"/>
          <w:color w:val="auto"/>
          <w:spacing w:val="-6"/>
          <w:szCs w:val="21"/>
        </w:rPr>
        <w:t>及其他内容的基础上，决定参与该项目的投标活动。并承诺，我公司具有履行合同所必需的设备和专业技术能力，符合政府采购法第二十二条第三款规定的资格条件</w:t>
      </w:r>
      <w:r>
        <w:rPr>
          <w:rFonts w:hint="eastAsia" w:ascii="宋体" w:hAnsi="宋体" w:cs="宋体"/>
          <w:color w:val="auto"/>
          <w:spacing w:val="-8"/>
          <w:szCs w:val="21"/>
        </w:rPr>
        <w:t>。</w:t>
      </w:r>
    </w:p>
    <w:p>
      <w:pPr>
        <w:spacing w:line="360" w:lineRule="auto"/>
        <w:ind w:firstLine="388" w:firstLineChars="200"/>
        <w:jc w:val="left"/>
        <w:rPr>
          <w:rFonts w:hint="eastAsia" w:ascii="宋体" w:hAnsi="宋体" w:cs="宋体"/>
          <w:color w:val="auto"/>
          <w:spacing w:val="-3"/>
          <w:szCs w:val="21"/>
        </w:rPr>
      </w:pPr>
      <w:r>
        <w:rPr>
          <w:rFonts w:hint="eastAsia" w:ascii="宋体" w:hAnsi="宋体" w:cs="宋体"/>
          <w:color w:val="auto"/>
          <w:spacing w:val="-8"/>
          <w:szCs w:val="21"/>
        </w:rPr>
        <w:t>本公司对上述承诺的真实性负责，如有虚假，我公司同意按我方提供虚假材料谋取中标</w:t>
      </w:r>
      <w:r>
        <w:rPr>
          <w:rFonts w:hint="eastAsia" w:ascii="宋体" w:hAnsi="宋体" w:cs="宋体"/>
          <w:color w:val="auto"/>
          <w:szCs w:val="21"/>
        </w:rPr>
        <w:t>（成交）</w:t>
      </w:r>
      <w:r>
        <w:rPr>
          <w:rFonts w:hint="eastAsia" w:ascii="宋体" w:hAnsi="宋体" w:cs="宋体"/>
          <w:color w:val="auto"/>
          <w:spacing w:val="-3"/>
          <w:szCs w:val="21"/>
        </w:rPr>
        <w:t>处理，并依法承担相应法律责任。</w:t>
      </w:r>
    </w:p>
    <w:p>
      <w:pPr>
        <w:spacing w:line="360" w:lineRule="auto"/>
        <w:ind w:firstLine="388" w:firstLineChars="200"/>
        <w:jc w:val="left"/>
        <w:rPr>
          <w:rFonts w:hint="eastAsia" w:ascii="宋体" w:hAnsi="宋体" w:cs="宋体"/>
          <w:color w:val="auto"/>
          <w:spacing w:val="-8"/>
          <w:szCs w:val="21"/>
        </w:rPr>
      </w:pPr>
      <w:r>
        <w:rPr>
          <w:rFonts w:hint="eastAsia" w:ascii="宋体" w:hAnsi="宋体" w:cs="宋体"/>
          <w:color w:val="auto"/>
          <w:spacing w:val="-8"/>
          <w:szCs w:val="21"/>
        </w:rPr>
        <w:t>特此承诺。</w:t>
      </w:r>
    </w:p>
    <w:p>
      <w:pPr>
        <w:spacing w:line="360" w:lineRule="auto"/>
        <w:ind w:firstLine="388" w:firstLineChars="200"/>
        <w:jc w:val="left"/>
        <w:rPr>
          <w:rFonts w:hint="eastAsia" w:ascii="宋体" w:hAnsi="宋体" w:cs="宋体"/>
          <w:color w:val="auto"/>
          <w:spacing w:val="-8"/>
          <w:szCs w:val="21"/>
        </w:rPr>
      </w:pPr>
    </w:p>
    <w:p>
      <w:pPr>
        <w:spacing w:line="440" w:lineRule="exact"/>
        <w:ind w:firstLine="4860"/>
        <w:jc w:val="left"/>
        <w:rPr>
          <w:rFonts w:hint="eastAsia" w:ascii="宋体" w:hAnsi="宋体" w:cs="宋体"/>
          <w:b/>
          <w:bCs/>
          <w:color w:val="auto"/>
          <w:szCs w:val="21"/>
          <w:u w:val="single"/>
        </w:rPr>
      </w:pP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pPr>
        <w:pStyle w:val="22"/>
        <w:ind w:left="840" w:hanging="420"/>
        <w:rPr>
          <w:rFonts w:hint="eastAsia"/>
          <w:color w:val="auto"/>
        </w:rPr>
      </w:pPr>
    </w:p>
    <w:p>
      <w:pPr>
        <w:spacing w:line="440" w:lineRule="exact"/>
        <w:ind w:firstLine="4860"/>
        <w:jc w:val="left"/>
        <w:rPr>
          <w:rFonts w:hint="eastAsia" w:ascii="宋体" w:hAnsi="宋体" w:cs="宋体"/>
          <w:color w:val="auto"/>
          <w:szCs w:val="21"/>
          <w:u w:val="single"/>
        </w:rPr>
      </w:pPr>
      <w:r>
        <w:rPr>
          <w:rFonts w:hint="eastAsia" w:ascii="宋体" w:hAnsi="宋体" w:cs="宋体"/>
          <w:b/>
          <w:bCs/>
          <w:color w:val="auto"/>
          <w:szCs w:val="21"/>
        </w:rPr>
        <w:t>日   期：    年     月     日</w:t>
      </w:r>
      <w:r>
        <w:rPr>
          <w:rFonts w:hint="eastAsia" w:ascii="宋体" w:hAnsi="宋体" w:cs="宋体"/>
          <w:color w:val="auto"/>
          <w:szCs w:val="21"/>
        </w:rPr>
        <w:t xml:space="preserve">   </w:t>
      </w:r>
      <w:r>
        <w:rPr>
          <w:rFonts w:hint="eastAsia" w:ascii="宋体" w:hAnsi="宋体" w:cs="宋体"/>
          <w:color w:val="auto"/>
          <w:sz w:val="28"/>
          <w:szCs w:val="28"/>
        </w:rPr>
        <w:t xml:space="preserve"> </w:t>
      </w:r>
      <w:r>
        <w:rPr>
          <w:rFonts w:hint="eastAsia" w:ascii="宋体" w:hAnsi="宋体" w:cs="宋体"/>
          <w:color w:val="auto"/>
          <w:szCs w:val="21"/>
        </w:rPr>
        <w:t xml:space="preserve">                        </w:t>
      </w:r>
    </w:p>
    <w:p>
      <w:pPr>
        <w:spacing w:line="360" w:lineRule="auto"/>
        <w:jc w:val="left"/>
        <w:outlineLvl w:val="0"/>
        <w:rPr>
          <w:rFonts w:hint="eastAsia" w:ascii="宋体" w:hAnsi="宋体" w:cs="宋体"/>
          <w:b/>
          <w:bCs/>
          <w:color w:val="auto"/>
          <w:sz w:val="22"/>
          <w:szCs w:val="22"/>
        </w:rPr>
      </w:pPr>
      <w:r>
        <w:rPr>
          <w:rFonts w:hint="eastAsia" w:ascii="宋体" w:hAnsi="宋体" w:cs="宋体"/>
          <w:b/>
          <w:bCs/>
          <w:color w:val="auto"/>
          <w:sz w:val="24"/>
        </w:rPr>
        <w:br w:type="page"/>
      </w:r>
      <w:bookmarkStart w:id="199" w:name="_Toc16643"/>
      <w:r>
        <w:rPr>
          <w:rFonts w:hint="eastAsia" w:ascii="宋体" w:hAnsi="宋体" w:cs="宋体"/>
          <w:b/>
          <w:bCs/>
          <w:color w:val="auto"/>
          <w:sz w:val="22"/>
          <w:szCs w:val="22"/>
        </w:rPr>
        <w:t>附件3</w:t>
      </w:r>
      <w:bookmarkEnd w:id="199"/>
    </w:p>
    <w:p>
      <w:pPr>
        <w:spacing w:line="360" w:lineRule="auto"/>
        <w:jc w:val="center"/>
        <w:rPr>
          <w:b/>
          <w:color w:val="auto"/>
          <w:sz w:val="30"/>
        </w:rPr>
      </w:pPr>
      <w:r>
        <w:rPr>
          <w:b/>
          <w:color w:val="auto"/>
          <w:sz w:val="30"/>
        </w:rPr>
        <w:t>参加本次政府采购活动前三年内</w:t>
      </w:r>
    </w:p>
    <w:p>
      <w:pPr>
        <w:spacing w:line="360" w:lineRule="auto"/>
        <w:jc w:val="center"/>
        <w:rPr>
          <w:rFonts w:hint="eastAsia"/>
          <w:b/>
          <w:color w:val="auto"/>
          <w:spacing w:val="-1"/>
          <w:sz w:val="30"/>
        </w:rPr>
      </w:pPr>
      <w:r>
        <w:rPr>
          <w:b/>
          <w:color w:val="auto"/>
          <w:spacing w:val="-1"/>
          <w:sz w:val="30"/>
        </w:rPr>
        <w:t>在经营活动中无重大违法记录承诺</w:t>
      </w:r>
      <w:r>
        <w:rPr>
          <w:rFonts w:hint="eastAsia"/>
          <w:b/>
          <w:color w:val="auto"/>
          <w:spacing w:val="-1"/>
          <w:sz w:val="30"/>
        </w:rPr>
        <w:t>函</w:t>
      </w:r>
    </w:p>
    <w:p>
      <w:pPr>
        <w:pStyle w:val="61"/>
        <w:rPr>
          <w:rFonts w:hint="eastAsia"/>
          <w:color w:val="auto"/>
        </w:rPr>
      </w:pPr>
    </w:p>
    <w:p>
      <w:pPr>
        <w:pStyle w:val="10"/>
        <w:tabs>
          <w:tab w:val="left" w:pos="3659"/>
        </w:tabs>
        <w:jc w:val="left"/>
        <w:rPr>
          <w:color w:val="auto"/>
          <w:szCs w:val="21"/>
        </w:rPr>
      </w:pPr>
      <w:r>
        <w:rPr>
          <w:rFonts w:hint="eastAsia"/>
          <w:color w:val="auto"/>
          <w:szCs w:val="21"/>
          <w:u w:val="single"/>
        </w:rPr>
        <w:t xml:space="preserve"> </w:t>
      </w:r>
      <w:r>
        <w:rPr>
          <w:rFonts w:hint="eastAsia"/>
          <w:color w:val="auto"/>
          <w:szCs w:val="21"/>
          <w:u w:val="single"/>
          <w:lang w:eastAsia="zh-CN"/>
        </w:rPr>
        <w:t>常山县市容环卫中心</w:t>
      </w:r>
      <w:r>
        <w:rPr>
          <w:rFonts w:hint="eastAsia"/>
          <w:color w:val="auto"/>
          <w:szCs w:val="21"/>
          <w:u w:val="single"/>
        </w:rPr>
        <w:t xml:space="preserve"> </w:t>
      </w:r>
      <w:r>
        <w:rPr>
          <w:color w:val="auto"/>
          <w:szCs w:val="21"/>
        </w:rPr>
        <w:t>：</w:t>
      </w:r>
    </w:p>
    <w:p>
      <w:pPr>
        <w:pStyle w:val="10"/>
        <w:spacing w:after="0"/>
        <w:rPr>
          <w:color w:val="auto"/>
          <w:szCs w:val="21"/>
        </w:rPr>
      </w:pPr>
    </w:p>
    <w:p>
      <w:pPr>
        <w:pStyle w:val="10"/>
        <w:spacing w:after="0" w:line="610" w:lineRule="auto"/>
        <w:ind w:firstLine="420" w:firstLineChars="200"/>
        <w:rPr>
          <w:color w:val="auto"/>
          <w:szCs w:val="21"/>
        </w:rPr>
      </w:pPr>
      <w:r>
        <w:rPr>
          <w:color w:val="auto"/>
          <w:szCs w:val="21"/>
        </w:rPr>
        <w:t>我公司在参加本次政府采购活动前三年内，在经营活动中没有重大违法</w:t>
      </w:r>
      <w:r>
        <w:rPr>
          <w:color w:val="auto"/>
          <w:spacing w:val="-11"/>
          <w:szCs w:val="21"/>
        </w:rPr>
        <w:t>记录，严格遵守国家有关法律、法规及相关政策，遵循公开、公平、公正和诚实</w:t>
      </w:r>
      <w:r>
        <w:rPr>
          <w:color w:val="auto"/>
          <w:szCs w:val="21"/>
        </w:rPr>
        <w:t>信用的原则参加本次政府采购活动，本公司愿接受监管部门及采购单位监督。</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特此承诺。</w:t>
      </w:r>
    </w:p>
    <w:p>
      <w:pPr>
        <w:pStyle w:val="61"/>
        <w:rPr>
          <w:rFonts w:hint="eastAsia" w:ascii="宋体" w:hAnsi="宋体" w:cs="宋体"/>
          <w:color w:val="auto"/>
          <w:szCs w:val="21"/>
        </w:rPr>
      </w:pPr>
    </w:p>
    <w:p>
      <w:pPr>
        <w:pStyle w:val="61"/>
        <w:rPr>
          <w:rFonts w:hint="eastAsia" w:ascii="宋体" w:hAnsi="宋体" w:cs="宋体"/>
          <w:color w:val="auto"/>
          <w:szCs w:val="21"/>
        </w:rPr>
      </w:pPr>
    </w:p>
    <w:p>
      <w:pPr>
        <w:spacing w:line="440" w:lineRule="exact"/>
        <w:ind w:firstLine="4860"/>
        <w:jc w:val="left"/>
        <w:rPr>
          <w:rFonts w:hint="eastAsia" w:ascii="宋体" w:hAnsi="宋体" w:cs="宋体"/>
          <w:b/>
          <w:bCs/>
          <w:color w:val="auto"/>
          <w:szCs w:val="21"/>
          <w:u w:val="single"/>
        </w:rPr>
      </w:pP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pPr>
        <w:spacing w:line="440" w:lineRule="exact"/>
        <w:jc w:val="left"/>
        <w:rPr>
          <w:rFonts w:hint="eastAsia" w:ascii="宋体" w:hAnsi="宋体" w:cs="宋体"/>
          <w:b/>
          <w:bCs/>
          <w:color w:val="auto"/>
          <w:szCs w:val="21"/>
        </w:rPr>
      </w:pPr>
    </w:p>
    <w:p>
      <w:pPr>
        <w:spacing w:line="440" w:lineRule="exact"/>
        <w:ind w:firstLine="4860"/>
        <w:jc w:val="left"/>
        <w:rPr>
          <w:rFonts w:hint="eastAsia" w:ascii="宋体" w:hAnsi="宋体" w:cs="宋体"/>
          <w:b/>
          <w:bCs/>
          <w:color w:val="auto"/>
          <w:szCs w:val="21"/>
          <w:u w:val="single"/>
        </w:rPr>
      </w:pPr>
      <w:r>
        <w:rPr>
          <w:rFonts w:hint="eastAsia" w:ascii="宋体" w:hAnsi="宋体" w:cs="宋体"/>
          <w:b/>
          <w:bCs/>
          <w:color w:val="auto"/>
          <w:szCs w:val="21"/>
        </w:rPr>
        <w:t>日   期：    年     月     日</w:t>
      </w:r>
    </w:p>
    <w:p>
      <w:pPr>
        <w:spacing w:line="360" w:lineRule="auto"/>
        <w:jc w:val="left"/>
        <w:outlineLvl w:val="0"/>
        <w:rPr>
          <w:rFonts w:hint="eastAsia" w:ascii="宋体" w:hAnsi="宋体" w:cs="宋体"/>
          <w:b/>
          <w:bCs/>
          <w:color w:val="auto"/>
          <w:sz w:val="24"/>
        </w:rPr>
      </w:pPr>
      <w:r>
        <w:rPr>
          <w:rFonts w:hint="eastAsia" w:ascii="宋体" w:hAnsi="宋体" w:cs="宋体"/>
          <w:b/>
          <w:bCs/>
          <w:color w:val="auto"/>
          <w:sz w:val="28"/>
          <w:szCs w:val="28"/>
        </w:rPr>
        <w:br w:type="page"/>
      </w:r>
      <w:bookmarkStart w:id="200" w:name="_Toc32628"/>
      <w:r>
        <w:rPr>
          <w:rFonts w:hint="eastAsia" w:ascii="宋体" w:hAnsi="宋体" w:cs="宋体"/>
          <w:b/>
          <w:bCs/>
          <w:color w:val="auto"/>
          <w:sz w:val="24"/>
        </w:rPr>
        <w:t>附件4</w:t>
      </w:r>
      <w:bookmarkEnd w:id="200"/>
      <w:r>
        <w:rPr>
          <w:rFonts w:hint="eastAsia" w:ascii="宋体" w:hAnsi="宋体" w:cs="宋体"/>
          <w:b/>
          <w:bCs/>
          <w:color w:val="auto"/>
          <w:sz w:val="24"/>
        </w:rPr>
        <w:t xml:space="preserve">                          </w:t>
      </w: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供应商自评表</w:t>
      </w:r>
    </w:p>
    <w:tbl>
      <w:tblPr>
        <w:tblStyle w:val="23"/>
        <w:tblW w:w="0" w:type="auto"/>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wBefore w:w="0" w:type="dxa"/>
          <w:wAfter w:w="0" w:type="dxa"/>
          <w:trHeight w:val="4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评审项目</w:t>
            </w: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分值</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自评</w:t>
            </w:r>
          </w:p>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分值</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w:t>
            </w:r>
          </w:p>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依据</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评分对</w:t>
            </w:r>
          </w:p>
          <w:p>
            <w:pPr>
              <w:widowControl/>
              <w:spacing w:line="360" w:lineRule="auto"/>
              <w:jc w:val="center"/>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应页码</w:t>
            </w:r>
          </w:p>
        </w:tc>
      </w:tr>
      <w:tr>
        <w:tblPrEx>
          <w:tblCellMar>
            <w:top w:w="15" w:type="dxa"/>
            <w:left w:w="15" w:type="dxa"/>
            <w:bottom w:w="15" w:type="dxa"/>
            <w:right w:w="15" w:type="dxa"/>
          </w:tblCellMar>
        </w:tblPrEx>
        <w:trPr>
          <w:wBefore w:w="0" w:type="dxa"/>
          <w:wAfter w:w="0" w:type="dxa"/>
          <w:trHeight w:val="127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eastAsia="宋体"/>
                <w:color w:val="auto"/>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Cs w:val="21"/>
                <w:lang w:bidi="ar"/>
              </w:rPr>
            </w:pPr>
          </w:p>
        </w:tc>
      </w:tr>
      <w:tr>
        <w:tblPrEx>
          <w:tblCellMar>
            <w:top w:w="15" w:type="dxa"/>
            <w:left w:w="15" w:type="dxa"/>
            <w:bottom w:w="15" w:type="dxa"/>
            <w:right w:w="15" w:type="dxa"/>
          </w:tblCellMar>
        </w:tblPrEx>
        <w:trPr>
          <w:wBefore w:w="0" w:type="dxa"/>
          <w:wAfter w:w="0" w:type="dxa"/>
          <w:trHeight w:val="1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r>
      <w:tr>
        <w:tblPrEx>
          <w:tblCellMar>
            <w:top w:w="15" w:type="dxa"/>
            <w:left w:w="15" w:type="dxa"/>
            <w:bottom w:w="15" w:type="dxa"/>
            <w:right w:w="15" w:type="dxa"/>
          </w:tblCellMar>
        </w:tblPrEx>
        <w:trPr>
          <w:wBefore w:w="0" w:type="dxa"/>
          <w:wAfter w:w="0" w:type="dxa"/>
          <w:trHeight w:val="154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color w:val="auto"/>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eastAsia="宋体"/>
                <w:color w:val="auto"/>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lang w:bidi="ar"/>
              </w:rPr>
            </w:pPr>
          </w:p>
        </w:tc>
      </w:tr>
      <w:tr>
        <w:tblPrEx>
          <w:tblCellMar>
            <w:top w:w="15" w:type="dxa"/>
            <w:left w:w="15" w:type="dxa"/>
            <w:bottom w:w="15" w:type="dxa"/>
            <w:right w:w="15" w:type="dxa"/>
          </w:tblCellMar>
        </w:tblPrEx>
        <w:trPr>
          <w:wBefore w:w="0" w:type="dxa"/>
          <w:wAfter w:w="0" w:type="dxa"/>
          <w:trHeight w:val="132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color w:val="auto"/>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eastAsia="宋体"/>
                <w:color w:val="auto"/>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Cs w:val="21"/>
              </w:rPr>
            </w:pPr>
          </w:p>
        </w:tc>
      </w:tr>
    </w:tbl>
    <w:p>
      <w:pPr>
        <w:spacing w:line="440" w:lineRule="exact"/>
        <w:rPr>
          <w:rFonts w:hint="eastAsia" w:ascii="宋体" w:hAnsi="宋体" w:cs="宋体"/>
          <w:b/>
          <w:bCs/>
          <w:color w:val="auto"/>
          <w:szCs w:val="21"/>
        </w:rPr>
      </w:pPr>
      <w:r>
        <w:rPr>
          <w:rFonts w:hint="eastAsia" w:ascii="宋体" w:hAnsi="宋体" w:cs="宋体"/>
          <w:b/>
          <w:bCs/>
          <w:color w:val="auto"/>
          <w:szCs w:val="21"/>
        </w:rPr>
        <w:t>注：评审项目、评分标准、分值对应“第五章  评标原则及方法”技术资信分评审内容。</w:t>
      </w:r>
    </w:p>
    <w:p>
      <w:pPr>
        <w:spacing w:line="440" w:lineRule="exact"/>
        <w:ind w:firstLine="4860"/>
        <w:rPr>
          <w:rFonts w:hint="eastAsia" w:ascii="宋体" w:hAnsi="宋体" w:cs="宋体"/>
          <w:b/>
          <w:bCs/>
          <w:color w:val="auto"/>
          <w:szCs w:val="21"/>
        </w:rPr>
      </w:pPr>
    </w:p>
    <w:p>
      <w:pPr>
        <w:spacing w:line="440" w:lineRule="exact"/>
        <w:ind w:firstLine="4860"/>
        <w:rPr>
          <w:rFonts w:hint="eastAsia" w:ascii="宋体" w:hAnsi="宋体" w:cs="宋体"/>
          <w:b/>
          <w:bCs/>
          <w:color w:val="auto"/>
          <w:szCs w:val="21"/>
        </w:rPr>
      </w:pPr>
    </w:p>
    <w:p>
      <w:pPr>
        <w:spacing w:line="440" w:lineRule="exact"/>
        <w:ind w:firstLine="4860"/>
        <w:rPr>
          <w:rFonts w:hint="eastAsia" w:ascii="宋体" w:hAnsi="宋体" w:cs="宋体"/>
          <w:b/>
          <w:bCs/>
          <w:color w:val="auto"/>
          <w:szCs w:val="21"/>
          <w:u w:val="single"/>
        </w:rPr>
      </w:pP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pPr>
        <w:spacing w:line="440" w:lineRule="exact"/>
        <w:ind w:firstLine="4860"/>
        <w:rPr>
          <w:rFonts w:hint="eastAsia" w:ascii="宋体" w:hAnsi="宋体" w:cs="宋体"/>
          <w:b/>
          <w:bCs/>
          <w:color w:val="auto"/>
          <w:szCs w:val="21"/>
        </w:rPr>
      </w:pPr>
    </w:p>
    <w:p>
      <w:pPr>
        <w:spacing w:line="440" w:lineRule="exact"/>
        <w:ind w:firstLine="4860"/>
        <w:rPr>
          <w:rFonts w:hint="eastAsia" w:ascii="宋体" w:hAnsi="宋体" w:cs="宋体"/>
          <w:b/>
          <w:bCs/>
          <w:color w:val="auto"/>
          <w:szCs w:val="21"/>
          <w:u w:val="single"/>
        </w:rPr>
      </w:pPr>
      <w:r>
        <w:rPr>
          <w:rFonts w:hint="eastAsia" w:ascii="宋体" w:hAnsi="宋体" w:cs="宋体"/>
          <w:b/>
          <w:bCs/>
          <w:color w:val="auto"/>
          <w:szCs w:val="21"/>
        </w:rPr>
        <w:t>日 期：  年  月  日</w:t>
      </w:r>
    </w:p>
    <w:p>
      <w:pPr>
        <w:spacing w:line="360" w:lineRule="auto"/>
        <w:ind w:firstLine="482" w:firstLineChars="200"/>
        <w:jc w:val="left"/>
        <w:outlineLvl w:val="0"/>
        <w:rPr>
          <w:rFonts w:hint="eastAsia" w:ascii="楷体_GB2312" w:eastAsia="楷体_GB2312"/>
          <w:b/>
          <w:bCs/>
          <w:color w:val="auto"/>
          <w:sz w:val="22"/>
          <w:szCs w:val="22"/>
        </w:rPr>
      </w:pPr>
      <w:r>
        <w:rPr>
          <w:rFonts w:hint="eastAsia" w:ascii="宋体" w:hAnsi="宋体" w:cs="宋体"/>
          <w:b/>
          <w:bCs/>
          <w:color w:val="auto"/>
          <w:sz w:val="24"/>
        </w:rPr>
        <w:br w:type="page"/>
      </w:r>
      <w:bookmarkStart w:id="201" w:name="_Toc15990"/>
      <w:r>
        <w:rPr>
          <w:rFonts w:hint="eastAsia" w:ascii="楷体_GB2312" w:eastAsia="楷体_GB2312"/>
          <w:b/>
          <w:bCs/>
          <w:color w:val="auto"/>
          <w:sz w:val="22"/>
          <w:szCs w:val="22"/>
        </w:rPr>
        <w:t>附件5</w:t>
      </w:r>
      <w:bookmarkEnd w:id="201"/>
    </w:p>
    <w:p>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投标声明书</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常山县市容环卫中心</w:t>
      </w:r>
      <w:r>
        <w:rPr>
          <w:rFonts w:hint="eastAsia" w:ascii="宋体" w:hAnsi="宋体" w:cs="宋体"/>
          <w:color w:val="auto"/>
          <w:szCs w:val="21"/>
        </w:rPr>
        <w:t>：</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根据贵方为</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常山县生活垃圾填埋场渗滤液处理及渗滤液处理区运维管理项目</w:t>
      </w:r>
      <w:r>
        <w:rPr>
          <w:rFonts w:hint="eastAsia" w:ascii="宋体" w:hAnsi="宋体" w:cs="宋体"/>
          <w:color w:val="auto"/>
          <w:szCs w:val="21"/>
          <w:u w:val="single"/>
        </w:rPr>
        <w:t>（项目编号：</w:t>
      </w:r>
      <w:r>
        <w:rPr>
          <w:rFonts w:hint="eastAsia" w:ascii="宋体" w:hAnsi="宋体" w:cs="宋体"/>
          <w:color w:val="auto"/>
          <w:szCs w:val="21"/>
          <w:u w:val="single"/>
          <w:lang w:eastAsia="zh-CN"/>
        </w:rPr>
        <w:t>CSLT-GK-2022022</w:t>
      </w:r>
      <w:r>
        <w:rPr>
          <w:rFonts w:hint="eastAsia" w:ascii="宋体" w:hAnsi="宋体" w:cs="宋体"/>
          <w:color w:val="auto"/>
          <w:szCs w:val="21"/>
          <w:u w:val="single"/>
        </w:rPr>
        <w:t>）</w:t>
      </w:r>
      <w:r>
        <w:rPr>
          <w:rFonts w:hint="eastAsia" w:ascii="宋体" w:hAnsi="宋体" w:cs="宋体"/>
          <w:color w:val="auto"/>
          <w:szCs w:val="21"/>
        </w:rPr>
        <w:t>的招标文件，我方</w:t>
      </w:r>
      <w:r>
        <w:rPr>
          <w:rFonts w:hint="eastAsia" w:ascii="宋体" w:hAnsi="宋体" w:cs="宋体"/>
          <w:color w:val="auto"/>
          <w:szCs w:val="21"/>
          <w:u w:val="single"/>
        </w:rPr>
        <w:t xml:space="preserve">           　　</w:t>
      </w:r>
      <w:r>
        <w:rPr>
          <w:rFonts w:hint="eastAsia" w:ascii="宋体" w:hAnsi="宋体" w:cs="宋体"/>
          <w:color w:val="auto"/>
          <w:szCs w:val="21"/>
        </w:rPr>
        <w:t>（投标人名称）作为投标人正式授权</w:t>
      </w:r>
      <w:r>
        <w:rPr>
          <w:rFonts w:hint="eastAsia" w:ascii="宋体" w:hAnsi="宋体" w:cs="宋体"/>
          <w:color w:val="auto"/>
          <w:szCs w:val="21"/>
          <w:u w:val="single"/>
        </w:rPr>
        <w:t>　           （</w:t>
      </w:r>
      <w:r>
        <w:rPr>
          <w:rFonts w:hint="eastAsia" w:ascii="宋体" w:hAnsi="宋体" w:cs="宋体"/>
          <w:color w:val="auto"/>
          <w:szCs w:val="21"/>
        </w:rPr>
        <w:t>授权代表全名，职务）代表我方处理有关本投标的一切事宜。</w:t>
      </w:r>
    </w:p>
    <w:p>
      <w:pPr>
        <w:pStyle w:val="7"/>
        <w:spacing w:line="440" w:lineRule="exact"/>
        <w:ind w:firstLine="440"/>
        <w:rPr>
          <w:rFonts w:hint="eastAsia" w:ascii="宋体" w:hAnsi="宋体" w:cs="宋体"/>
          <w:color w:val="auto"/>
          <w:szCs w:val="21"/>
        </w:rPr>
      </w:pPr>
      <w:r>
        <w:rPr>
          <w:rFonts w:hint="eastAsia" w:ascii="宋体" w:hAnsi="宋体" w:cs="宋体"/>
          <w:color w:val="auto"/>
          <w:szCs w:val="21"/>
        </w:rPr>
        <w:t>在此</w:t>
      </w:r>
      <w:r>
        <w:rPr>
          <w:color w:val="auto"/>
          <w:spacing w:val="-3"/>
        </w:rPr>
        <w:t>提</w:t>
      </w:r>
      <w:r>
        <w:rPr>
          <w:color w:val="auto"/>
        </w:rPr>
        <w:t>供</w:t>
      </w:r>
      <w:r>
        <w:rPr>
          <w:color w:val="auto"/>
          <w:spacing w:val="-3"/>
        </w:rPr>
        <w:t>投</w:t>
      </w:r>
      <w:r>
        <w:rPr>
          <w:color w:val="auto"/>
        </w:rPr>
        <w:t>标</w:t>
      </w:r>
      <w:r>
        <w:rPr>
          <w:color w:val="auto"/>
          <w:spacing w:val="-3"/>
        </w:rPr>
        <w:t>人</w:t>
      </w:r>
      <w:r>
        <w:rPr>
          <w:color w:val="auto"/>
        </w:rPr>
        <w:t>须知规</w:t>
      </w:r>
      <w:r>
        <w:rPr>
          <w:color w:val="auto"/>
          <w:spacing w:val="-3"/>
        </w:rPr>
        <w:t>定的</w:t>
      </w:r>
      <w:r>
        <w:rPr>
          <w:color w:val="auto"/>
        </w:rPr>
        <w:t>全部</w:t>
      </w:r>
      <w:r>
        <w:rPr>
          <w:color w:val="auto"/>
          <w:spacing w:val="-3"/>
        </w:rPr>
        <w:t>投</w:t>
      </w:r>
      <w:r>
        <w:rPr>
          <w:color w:val="auto"/>
        </w:rPr>
        <w:t>标</w:t>
      </w:r>
      <w:r>
        <w:rPr>
          <w:color w:val="auto"/>
          <w:spacing w:val="-3"/>
        </w:rPr>
        <w:t>文</w:t>
      </w:r>
      <w:r>
        <w:rPr>
          <w:color w:val="auto"/>
        </w:rPr>
        <w:t>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我方己完全明白招标文件的所有条款要求，并重申以下几点：</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（二）投标人在投标之前已经与贵方进行了充分的沟通，完全理解并接受招标文件的各项规定和要求，对招标文件的合理性、合法性不再有异议。</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（三）本投标有效期自开标日起90日。</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（四）如中标，本投标文件至本项目合同履行完毕止均保持有效，本投标人将按“招标文件”及政府采购法律、法规的规定履行合同责任和义务。</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（五）投标人同意按照贵方要求提供与投标有关的一切数据或资料。</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（六）我方向贵方提交的所有投标文件、资料都是准确的和真实的。</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（七）我方不是采购单位的附属机构；在获知本项目采购信息后，与采购单位聘请的为此项目提供咨询服务的公司及其附属机构没有任何联系。</w:t>
      </w:r>
    </w:p>
    <w:p>
      <w:pPr>
        <w:spacing w:line="440" w:lineRule="exact"/>
        <w:ind w:firstLine="420" w:firstLineChars="200"/>
        <w:rPr>
          <w:rFonts w:hint="eastAsia" w:ascii="宋体" w:hAnsi="宋体" w:cs="宋体"/>
          <w:color w:val="auto"/>
          <w:szCs w:val="21"/>
          <w:u w:val="single"/>
        </w:rPr>
      </w:pPr>
      <w:r>
        <w:rPr>
          <w:rFonts w:hint="eastAsia" w:ascii="宋体" w:hAnsi="宋体" w:cs="宋体"/>
          <w:color w:val="auto"/>
          <w:szCs w:val="21"/>
        </w:rPr>
        <w:t>（八）以上事项如有虚假或隐瞒，我方愿意承担一切后果，并不再寻求任何旨在减轻或免除法律责任的辩解。</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（九）本投标有关的一切正式往来信函请寄：</w:t>
      </w:r>
    </w:p>
    <w:p>
      <w:pPr>
        <w:spacing w:line="440" w:lineRule="exact"/>
        <w:ind w:firstLine="435"/>
        <w:rPr>
          <w:rFonts w:hint="eastAsia" w:ascii="宋体" w:hAnsi="宋体" w:cs="宋体"/>
          <w:color w:val="auto"/>
          <w:szCs w:val="21"/>
        </w:rPr>
      </w:pPr>
      <w:r>
        <w:rPr>
          <w:rFonts w:hint="eastAsia" w:ascii="宋体" w:hAnsi="宋体" w:cs="宋体"/>
          <w:color w:val="auto"/>
          <w:szCs w:val="21"/>
        </w:rPr>
        <w:t xml:space="preserve">   地址</w:t>
      </w:r>
      <w:r>
        <w:rPr>
          <w:rFonts w:hint="eastAsia" w:ascii="宋体" w:hAnsi="宋体" w:cs="宋体"/>
          <w:color w:val="auto"/>
          <w:szCs w:val="21"/>
          <w:u w:val="single"/>
        </w:rPr>
        <w:t xml:space="preserve">                           </w:t>
      </w:r>
    </w:p>
    <w:p>
      <w:pPr>
        <w:spacing w:line="440" w:lineRule="exact"/>
        <w:ind w:firstLine="435"/>
        <w:rPr>
          <w:rFonts w:hint="eastAsia" w:ascii="宋体" w:hAnsi="宋体" w:cs="宋体"/>
          <w:color w:val="auto"/>
          <w:szCs w:val="21"/>
        </w:rPr>
      </w:pP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spacing w:line="440" w:lineRule="exact"/>
        <w:ind w:firstLine="435"/>
        <w:rPr>
          <w:rFonts w:hint="eastAsia" w:ascii="宋体" w:hAnsi="宋体" w:cs="宋体"/>
          <w:color w:val="auto"/>
          <w:szCs w:val="21"/>
        </w:rPr>
      </w:pPr>
      <w:r>
        <w:rPr>
          <w:rFonts w:hint="eastAsia" w:ascii="宋体" w:hAnsi="宋体" w:cs="宋体"/>
          <w:color w:val="auto"/>
          <w:szCs w:val="21"/>
        </w:rPr>
        <w:t xml:space="preserve">   传真</w:t>
      </w:r>
      <w:r>
        <w:rPr>
          <w:rFonts w:hint="eastAsia" w:ascii="宋体" w:hAnsi="宋体" w:cs="宋体"/>
          <w:color w:val="auto"/>
          <w:szCs w:val="21"/>
          <w:u w:val="single"/>
        </w:rPr>
        <w:t xml:space="preserve">                           </w:t>
      </w:r>
    </w:p>
    <w:p>
      <w:pPr>
        <w:spacing w:line="440" w:lineRule="exact"/>
        <w:ind w:firstLine="735" w:firstLineChars="350"/>
        <w:rPr>
          <w:rFonts w:hint="eastAsia" w:ascii="宋体" w:hAnsi="宋体" w:cs="宋体"/>
          <w:color w:val="auto"/>
          <w:szCs w:val="21"/>
        </w:rPr>
      </w:pPr>
      <w:r>
        <w:rPr>
          <w:rFonts w:hint="eastAsia" w:ascii="宋体" w:hAnsi="宋体" w:cs="宋体"/>
          <w:color w:val="auto"/>
          <w:szCs w:val="21"/>
        </w:rPr>
        <w:t>电子邮件</w:t>
      </w:r>
      <w:r>
        <w:rPr>
          <w:rFonts w:hint="eastAsia" w:ascii="宋体" w:hAnsi="宋体" w:cs="宋体"/>
          <w:color w:val="auto"/>
          <w:szCs w:val="21"/>
          <w:u w:val="single"/>
        </w:rPr>
        <w:t xml:space="preserve">                           </w:t>
      </w:r>
    </w:p>
    <w:p>
      <w:pPr>
        <w:spacing w:line="360" w:lineRule="auto"/>
        <w:ind w:firstLine="435"/>
        <w:rPr>
          <w:rFonts w:hint="eastAsia" w:ascii="宋体" w:hAnsi="宋体" w:cs="宋体"/>
          <w:color w:val="auto"/>
          <w:szCs w:val="21"/>
        </w:rPr>
      </w:pPr>
    </w:p>
    <w:p>
      <w:pPr>
        <w:spacing w:line="440" w:lineRule="exact"/>
        <w:ind w:firstLine="4860"/>
        <w:rPr>
          <w:rFonts w:hint="eastAsia" w:ascii="宋体" w:hAnsi="宋体" w:cs="宋体"/>
          <w:b/>
          <w:bCs/>
          <w:color w:val="auto"/>
          <w:szCs w:val="21"/>
          <w:u w:val="single"/>
        </w:rPr>
      </w:pPr>
      <w:r>
        <w:rPr>
          <w:rFonts w:hint="eastAsia" w:ascii="宋体" w:hAnsi="宋体" w:cs="宋体"/>
          <w:b/>
          <w:bCs/>
          <w:color w:val="auto"/>
          <w:szCs w:val="21"/>
        </w:rPr>
        <w:t>投标人（盖章）：</w:t>
      </w:r>
      <w:r>
        <w:rPr>
          <w:rFonts w:hint="eastAsia" w:ascii="宋体" w:hAnsi="宋体" w:cs="宋体"/>
          <w:b/>
          <w:bCs/>
          <w:color w:val="auto"/>
          <w:szCs w:val="21"/>
          <w:u w:val="single"/>
        </w:rPr>
        <w:t xml:space="preserve">                               </w:t>
      </w:r>
    </w:p>
    <w:p>
      <w:pPr>
        <w:spacing w:line="440" w:lineRule="exact"/>
        <w:ind w:firstLine="4860"/>
        <w:rPr>
          <w:rFonts w:hint="eastAsia" w:ascii="宋体" w:hAnsi="宋体" w:cs="宋体"/>
          <w:b/>
          <w:bCs/>
          <w:color w:val="auto"/>
          <w:szCs w:val="21"/>
        </w:rPr>
      </w:pPr>
    </w:p>
    <w:p>
      <w:pPr>
        <w:spacing w:line="440" w:lineRule="exact"/>
        <w:ind w:firstLine="4860"/>
        <w:rPr>
          <w:rFonts w:hint="eastAsia" w:ascii="宋体" w:hAnsi="宋体" w:cs="宋体"/>
          <w:b/>
          <w:bCs/>
          <w:color w:val="auto"/>
          <w:szCs w:val="21"/>
          <w:u w:val="single"/>
        </w:rPr>
      </w:pPr>
      <w:r>
        <w:rPr>
          <w:rFonts w:hint="eastAsia" w:ascii="宋体" w:hAnsi="宋体" w:cs="宋体"/>
          <w:b/>
          <w:bCs/>
          <w:color w:val="auto"/>
          <w:szCs w:val="21"/>
        </w:rPr>
        <w:t xml:space="preserve">日 期：  年  月  日                            </w:t>
      </w:r>
    </w:p>
    <w:p>
      <w:pPr>
        <w:spacing w:line="460" w:lineRule="exact"/>
        <w:ind w:firstLine="435"/>
        <w:rPr>
          <w:rFonts w:ascii="楷体_GB2312" w:eastAsia="楷体_GB2312"/>
          <w:b/>
          <w:bCs/>
          <w:color w:val="auto"/>
          <w:sz w:val="22"/>
          <w:szCs w:val="22"/>
          <w:u w:val="single"/>
        </w:rPr>
      </w:pPr>
    </w:p>
    <w:p>
      <w:pPr>
        <w:widowControl/>
        <w:spacing w:line="420" w:lineRule="atLeast"/>
        <w:jc w:val="center"/>
        <w:rPr>
          <w:rFonts w:hint="eastAsia" w:ascii="楷体_GB2312" w:eastAsia="楷体_GB2312"/>
          <w:b/>
          <w:bCs/>
          <w:color w:val="auto"/>
          <w:sz w:val="22"/>
          <w:szCs w:val="22"/>
        </w:rPr>
      </w:pPr>
      <w:r>
        <w:rPr>
          <w:rFonts w:hint="eastAsia" w:ascii="楷体_GB2312" w:eastAsia="楷体_GB2312"/>
          <w:b/>
          <w:bCs/>
          <w:color w:val="auto"/>
          <w:sz w:val="22"/>
          <w:szCs w:val="22"/>
        </w:rPr>
        <w:br w:type="page"/>
      </w:r>
      <w:bookmarkStart w:id="202" w:name="_Toc26533"/>
    </w:p>
    <w:p>
      <w:pPr>
        <w:spacing w:line="460" w:lineRule="exact"/>
        <w:outlineLvl w:val="0"/>
        <w:rPr>
          <w:rFonts w:hint="eastAsia" w:ascii="楷体_GB2312" w:eastAsia="楷体_GB2312"/>
          <w:b/>
          <w:bCs/>
          <w:color w:val="auto"/>
          <w:sz w:val="22"/>
          <w:szCs w:val="22"/>
        </w:rPr>
      </w:pPr>
      <w:r>
        <w:rPr>
          <w:rFonts w:hint="eastAsia" w:ascii="楷体_GB2312" w:eastAsia="楷体_GB2312"/>
          <w:b/>
          <w:bCs/>
          <w:color w:val="auto"/>
          <w:sz w:val="22"/>
          <w:szCs w:val="22"/>
        </w:rPr>
        <w:t>附件6</w:t>
      </w:r>
      <w:bookmarkEnd w:id="202"/>
    </w:p>
    <w:p>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投标人基本情况表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auto"/>
                <w:szCs w:val="21"/>
              </w:rPr>
            </w:pPr>
            <w:r>
              <w:rPr>
                <w:rFonts w:hint="eastAsia" w:ascii="宋体" w:hAnsi="宋体" w:eastAsia="宋体"/>
                <w:bCs/>
                <w:color w:val="auto"/>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ascii="宋体" w:hAnsi="宋体" w:eastAsia="宋体"/>
                <w:bCs/>
                <w:color w:val="auto"/>
                <w:szCs w:val="21"/>
              </w:rPr>
            </w:pPr>
            <w:r>
              <w:rPr>
                <w:rFonts w:hint="eastAsia" w:ascii="宋体" w:hAnsi="宋体" w:eastAsia="宋体"/>
                <w:bCs/>
                <w:color w:val="auto"/>
                <w:szCs w:val="21"/>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bCs/>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ascii="宋体" w:hAnsi="宋体" w:eastAsia="宋体"/>
                <w:bCs/>
                <w:color w:val="auto"/>
                <w:szCs w:val="21"/>
              </w:rPr>
            </w:pPr>
            <w:r>
              <w:rPr>
                <w:rFonts w:hint="eastAsia" w:ascii="宋体" w:hAnsi="宋体" w:eastAsia="宋体"/>
                <w:bCs/>
                <w:color w:val="auto"/>
                <w:szCs w:val="21"/>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bCs/>
                <w:color w:val="auto"/>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auto"/>
                <w:szCs w:val="21"/>
              </w:rPr>
            </w:pPr>
            <w:r>
              <w:rPr>
                <w:rFonts w:hint="eastAsia" w:ascii="宋体" w:hAnsi="宋体" w:eastAsia="宋体"/>
                <w:bCs/>
                <w:color w:val="auto"/>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auto"/>
                <w:szCs w:val="21"/>
              </w:rPr>
            </w:pPr>
            <w:r>
              <w:rPr>
                <w:rFonts w:hint="eastAsia" w:ascii="宋体" w:hAnsi="宋体" w:eastAsia="宋体"/>
                <w:bCs/>
                <w:color w:val="auto"/>
                <w:szCs w:val="21"/>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bCs/>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auto"/>
                <w:szCs w:val="21"/>
              </w:rPr>
            </w:pPr>
            <w:r>
              <w:rPr>
                <w:rFonts w:hint="eastAsia" w:ascii="宋体" w:hAnsi="宋体" w:eastAsia="宋体"/>
                <w:bCs/>
                <w:color w:val="auto"/>
                <w:szCs w:val="21"/>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ascii="宋体" w:hAnsi="宋体" w:eastAsia="宋体"/>
                <w:bCs/>
                <w:color w:val="auto"/>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ascii="宋体" w:hAnsi="宋体" w:eastAsia="宋体"/>
                <w:bCs/>
                <w:color w:val="auto"/>
                <w:szCs w:val="21"/>
              </w:rPr>
            </w:pPr>
            <w:r>
              <w:rPr>
                <w:rFonts w:hint="eastAsia" w:ascii="宋体" w:hAnsi="宋体" w:eastAsia="宋体"/>
                <w:bCs/>
                <w:color w:val="auto"/>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宋体"/>
                <w:bCs/>
                <w:color w:val="auto"/>
                <w:szCs w:val="21"/>
              </w:rPr>
            </w:pPr>
            <w:r>
              <w:rPr>
                <w:rFonts w:ascii="宋体" w:hAnsi="宋体" w:eastAsia="宋体"/>
                <w:bCs/>
                <w:color w:val="auto"/>
                <w:szCs w:val="21"/>
              </w:rPr>
              <w:t xml:space="preserve">      </w:t>
            </w:r>
            <w:r>
              <w:rPr>
                <w:rFonts w:hint="eastAsia" w:ascii="宋体" w:hAnsi="宋体" w:eastAsia="宋体"/>
                <w:bCs/>
                <w:color w:val="auto"/>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auto"/>
                <w:szCs w:val="21"/>
              </w:rPr>
            </w:pPr>
            <w:r>
              <w:rPr>
                <w:rFonts w:hint="eastAsia" w:ascii="宋体" w:hAnsi="宋体" w:eastAsia="宋体"/>
                <w:bCs/>
                <w:color w:val="auto"/>
                <w:szCs w:val="21"/>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olor w:val="auto"/>
                <w:szCs w:val="21"/>
              </w:rPr>
            </w:pPr>
            <w:r>
              <w:rPr>
                <w:rFonts w:hint="eastAsia" w:ascii="宋体" w:hAnsi="宋体" w:eastAsia="宋体"/>
                <w:color w:val="auto"/>
                <w:szCs w:val="21"/>
              </w:rPr>
              <w:t>所获资质</w:t>
            </w:r>
          </w:p>
          <w:p>
            <w:pPr>
              <w:spacing w:line="320" w:lineRule="exact"/>
              <w:jc w:val="center"/>
              <w:rPr>
                <w:rFonts w:ascii="宋体" w:hAnsi="宋体" w:eastAsia="宋体"/>
                <w:color w:val="auto"/>
                <w:szCs w:val="21"/>
              </w:rPr>
            </w:pPr>
            <w:r>
              <w:rPr>
                <w:rFonts w:hint="eastAsia" w:ascii="宋体" w:hAnsi="宋体" w:eastAsia="宋体"/>
                <w:color w:val="auto"/>
                <w:szCs w:val="21"/>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auto"/>
                <w:szCs w:val="21"/>
              </w:rPr>
            </w:pPr>
            <w:r>
              <w:rPr>
                <w:rFonts w:hint="eastAsia" w:ascii="宋体" w:hAnsi="宋体" w:eastAsia="宋体"/>
                <w:bCs/>
                <w:color w:val="auto"/>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auto"/>
                <w:szCs w:val="21"/>
              </w:rPr>
            </w:pPr>
            <w:r>
              <w:rPr>
                <w:rFonts w:hint="eastAsia" w:ascii="宋体" w:hAnsi="宋体" w:eastAsia="宋体"/>
                <w:bCs/>
                <w:color w:val="auto"/>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auto"/>
                <w:szCs w:val="21"/>
              </w:rPr>
            </w:pPr>
            <w:r>
              <w:rPr>
                <w:rFonts w:hint="eastAsia" w:ascii="宋体" w:hAnsi="宋体" w:eastAsia="宋体"/>
                <w:bCs/>
                <w:color w:val="auto"/>
                <w:szCs w:val="21"/>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auto"/>
                <w:szCs w:val="21"/>
              </w:rPr>
            </w:pPr>
            <w:r>
              <w:rPr>
                <w:rFonts w:hint="eastAsia" w:ascii="宋体" w:hAnsi="宋体" w:eastAsia="宋体"/>
                <w:bCs/>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olor w:val="auto"/>
                <w:szCs w:val="21"/>
              </w:rPr>
            </w:pPr>
            <w:r>
              <w:rPr>
                <w:rFonts w:hint="eastAsia" w:ascii="宋体" w:hAnsi="宋体" w:eastAsia="宋体"/>
                <w:bCs/>
                <w:color w:val="auto"/>
                <w:szCs w:val="21"/>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auto"/>
                <w:szCs w:val="21"/>
              </w:rPr>
            </w:pPr>
            <w:r>
              <w:rPr>
                <w:rFonts w:hint="eastAsia" w:ascii="宋体" w:hAnsi="宋体" w:eastAsia="宋体"/>
                <w:bCs/>
                <w:color w:val="auto"/>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auto"/>
                <w:szCs w:val="21"/>
              </w:rPr>
            </w:pPr>
            <w:r>
              <w:rPr>
                <w:rFonts w:hint="eastAsia" w:ascii="宋体" w:hAnsi="宋体" w:eastAsia="宋体"/>
                <w:bCs/>
                <w:color w:val="auto"/>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auto"/>
                <w:szCs w:val="21"/>
              </w:rPr>
            </w:pPr>
            <w:r>
              <w:rPr>
                <w:rFonts w:hint="eastAsia" w:ascii="宋体" w:hAnsi="宋体" w:eastAsia="宋体"/>
                <w:bCs/>
                <w:color w:val="auto"/>
                <w:szCs w:val="21"/>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auto"/>
                <w:szCs w:val="21"/>
              </w:rPr>
            </w:pPr>
            <w:r>
              <w:rPr>
                <w:rFonts w:hint="eastAsia" w:ascii="宋体" w:hAnsi="宋体" w:eastAsia="宋体"/>
                <w:bCs/>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olor w:val="auto"/>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auto"/>
                <w:szCs w:val="21"/>
              </w:rPr>
            </w:pPr>
            <w:r>
              <w:rPr>
                <w:rFonts w:hint="eastAsia" w:ascii="宋体" w:hAnsi="宋体" w:eastAsia="宋体"/>
                <w:bCs/>
                <w:color w:val="auto"/>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2"/>
              <w:tabs>
                <w:tab w:val="left" w:pos="1800"/>
                <w:tab w:val="left" w:pos="1980"/>
              </w:tabs>
              <w:spacing w:line="240" w:lineRule="exact"/>
              <w:ind w:left="420" w:hanging="420"/>
              <w:rPr>
                <w:rFonts w:hint="eastAsia"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auto"/>
                <w:szCs w:val="21"/>
              </w:rPr>
            </w:pPr>
            <w:r>
              <w:rPr>
                <w:rFonts w:hint="eastAsia" w:ascii="宋体" w:hAnsi="宋体" w:eastAsia="宋体"/>
                <w:bCs/>
                <w:color w:val="auto"/>
                <w:szCs w:val="21"/>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bCs/>
                <w:color w:val="auto"/>
                <w:szCs w:val="21"/>
              </w:rPr>
            </w:pPr>
          </w:p>
        </w:tc>
      </w:tr>
    </w:tbl>
    <w:p>
      <w:pPr>
        <w:spacing w:line="320" w:lineRule="exact"/>
        <w:ind w:firstLine="90"/>
        <w:rPr>
          <w:rFonts w:hint="eastAsia"/>
          <w:color w:val="auto"/>
          <w:sz w:val="18"/>
          <w:szCs w:val="18"/>
        </w:rPr>
      </w:pPr>
      <w:r>
        <w:rPr>
          <w:rFonts w:hint="eastAsia"/>
          <w:color w:val="auto"/>
          <w:sz w:val="18"/>
          <w:szCs w:val="18"/>
        </w:rPr>
        <w:t>注：1、表格内容不够,可另附页。</w:t>
      </w:r>
    </w:p>
    <w:p>
      <w:pPr>
        <w:spacing w:line="320" w:lineRule="exact"/>
        <w:ind w:firstLine="435"/>
        <w:rPr>
          <w:rFonts w:hint="eastAsia"/>
          <w:color w:val="auto"/>
          <w:sz w:val="18"/>
          <w:szCs w:val="18"/>
        </w:rPr>
      </w:pPr>
      <w:r>
        <w:rPr>
          <w:rFonts w:hint="eastAsia"/>
          <w:color w:val="auto"/>
          <w:sz w:val="18"/>
          <w:szCs w:val="18"/>
        </w:rPr>
        <w:t>2、企业营业执照、所获认证证书、荣誉资料的复印件附后。</w:t>
      </w:r>
    </w:p>
    <w:p>
      <w:pPr>
        <w:spacing w:line="320" w:lineRule="exact"/>
        <w:rPr>
          <w:rFonts w:hint="eastAsia" w:ascii="仿宋_GB2312" w:eastAsia="仿宋_GB2312"/>
          <w:b/>
          <w:color w:val="auto"/>
          <w:sz w:val="24"/>
        </w:rPr>
      </w:pPr>
    </w:p>
    <w:p>
      <w:pPr>
        <w:spacing w:line="320" w:lineRule="exact"/>
        <w:rPr>
          <w:rFonts w:hint="eastAsia" w:ascii="仿宋_GB2312" w:eastAsia="仿宋_GB2312"/>
          <w:b/>
          <w:color w:val="auto"/>
          <w:sz w:val="24"/>
        </w:rPr>
      </w:pPr>
    </w:p>
    <w:p>
      <w:pPr>
        <w:spacing w:line="320" w:lineRule="exact"/>
        <w:rPr>
          <w:rFonts w:hint="eastAsia" w:ascii="仿宋_GB2312" w:eastAsia="仿宋_GB2312"/>
          <w:b/>
          <w:color w:val="auto"/>
          <w:sz w:val="24"/>
        </w:rPr>
      </w:pPr>
    </w:p>
    <w:p>
      <w:pPr>
        <w:spacing w:line="320" w:lineRule="exact"/>
        <w:ind w:firstLine="480"/>
        <w:rPr>
          <w:rFonts w:hint="eastAsia" w:ascii="宋体" w:hAnsi="宋体"/>
          <w:b/>
          <w:color w:val="auto"/>
          <w:szCs w:val="21"/>
        </w:rPr>
      </w:pPr>
      <w:r>
        <w:rPr>
          <w:rFonts w:hint="eastAsia" w:ascii="宋体" w:hAnsi="宋体"/>
          <w:b/>
          <w:color w:val="auto"/>
          <w:szCs w:val="21"/>
        </w:rPr>
        <w:t>投标人（盖章）：</w:t>
      </w:r>
      <w:r>
        <w:rPr>
          <w:rFonts w:ascii="宋体" w:hAnsi="宋体"/>
          <w:b/>
          <w:color w:val="auto"/>
          <w:szCs w:val="21"/>
        </w:rPr>
        <w:t xml:space="preserve">                   </w:t>
      </w:r>
      <w:r>
        <w:rPr>
          <w:rFonts w:hint="eastAsia" w:ascii="宋体" w:hAnsi="宋体"/>
          <w:b/>
          <w:color w:val="auto"/>
          <w:szCs w:val="21"/>
        </w:rPr>
        <w:t xml:space="preserve"> </w:t>
      </w:r>
    </w:p>
    <w:p>
      <w:pPr>
        <w:spacing w:line="320" w:lineRule="exact"/>
        <w:ind w:firstLine="480"/>
        <w:rPr>
          <w:rFonts w:hint="eastAsia" w:ascii="宋体" w:hAnsi="宋体"/>
          <w:b/>
          <w:color w:val="auto"/>
          <w:szCs w:val="21"/>
        </w:rPr>
      </w:pPr>
    </w:p>
    <w:p>
      <w:pPr>
        <w:spacing w:line="320" w:lineRule="exact"/>
        <w:ind w:firstLine="480"/>
        <w:rPr>
          <w:rFonts w:hint="eastAsia" w:ascii="宋体" w:hAnsi="宋体"/>
          <w:b/>
          <w:color w:val="auto"/>
          <w:sz w:val="24"/>
        </w:rPr>
      </w:pPr>
      <w:r>
        <w:rPr>
          <w:rFonts w:hint="eastAsia" w:ascii="宋体" w:hAnsi="宋体"/>
          <w:b/>
          <w:color w:val="auto"/>
          <w:kern w:val="0"/>
          <w:szCs w:val="21"/>
        </w:rPr>
        <w:t>日    期：</w:t>
      </w:r>
    </w:p>
    <w:p>
      <w:pPr>
        <w:spacing w:line="460" w:lineRule="exact"/>
        <w:outlineLvl w:val="0"/>
        <w:rPr>
          <w:rFonts w:hint="eastAsia" w:ascii="宋体" w:hAnsi="宋体"/>
          <w:b/>
          <w:bCs/>
          <w:color w:val="auto"/>
          <w:kern w:val="0"/>
          <w:sz w:val="30"/>
          <w:szCs w:val="30"/>
        </w:rPr>
      </w:pPr>
      <w:r>
        <w:rPr>
          <w:rFonts w:hint="eastAsia" w:ascii="楷体_GB2312" w:eastAsia="楷体_GB2312"/>
          <w:b/>
          <w:bCs/>
          <w:color w:val="auto"/>
          <w:sz w:val="22"/>
          <w:szCs w:val="22"/>
        </w:rPr>
        <w:br w:type="page"/>
      </w:r>
      <w:bookmarkStart w:id="203" w:name="_Toc31207"/>
      <w:r>
        <w:rPr>
          <w:rFonts w:hint="eastAsia" w:ascii="楷体_GB2312" w:eastAsia="楷体_GB2312"/>
          <w:b/>
          <w:bCs/>
          <w:color w:val="auto"/>
          <w:sz w:val="22"/>
          <w:szCs w:val="22"/>
        </w:rPr>
        <w:t>附件7</w:t>
      </w:r>
      <w:bookmarkEnd w:id="203"/>
    </w:p>
    <w:p>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偏离表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color w:val="auto"/>
                <w:szCs w:val="21"/>
              </w:rPr>
            </w:pPr>
            <w:r>
              <w:rPr>
                <w:rFonts w:hint="eastAsia" w:ascii="宋体" w:hAnsi="宋体" w:cs="宋体"/>
                <w:b/>
                <w:color w:val="auto"/>
                <w:szCs w:val="21"/>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color w:val="auto"/>
                <w:szCs w:val="21"/>
              </w:rPr>
            </w:pPr>
            <w:r>
              <w:rPr>
                <w:rFonts w:hint="eastAsia" w:ascii="宋体" w:hAnsi="宋体" w:cs="宋体"/>
                <w:b/>
                <w:color w:val="auto"/>
                <w:szCs w:val="21"/>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Cs w:val="21"/>
                <w:lang w:eastAsia="zh-CN"/>
              </w:rPr>
            </w:pPr>
            <w:r>
              <w:rPr>
                <w:rFonts w:hint="eastAsia" w:ascii="宋体" w:hAnsi="宋体" w:cs="宋体"/>
                <w:b/>
                <w:color w:val="auto"/>
                <w:szCs w:val="21"/>
              </w:rPr>
              <w:t>投标</w:t>
            </w:r>
            <w:r>
              <w:rPr>
                <w:rFonts w:hint="eastAsia" w:ascii="宋体" w:hAnsi="宋体" w:cs="宋体"/>
                <w:b/>
                <w:color w:val="auto"/>
                <w:szCs w:val="21"/>
                <w:lang w:eastAsia="zh-CN"/>
              </w:rPr>
              <w:t>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color w:val="auto"/>
                <w:szCs w:val="21"/>
                <w:lang w:eastAsia="zh-CN"/>
              </w:rPr>
            </w:pPr>
            <w:r>
              <w:rPr>
                <w:rFonts w:hint="eastAsia" w:ascii="宋体" w:hAnsi="宋体" w:cs="宋体"/>
                <w:b/>
                <w:color w:val="auto"/>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line="360" w:lineRule="auto"/>
              <w:ind w:leftChars="0"/>
              <w:jc w:val="center"/>
              <w:rPr>
                <w:rFonts w:hint="eastAsia" w:ascii="宋体" w:hAnsi="宋体" w:eastAsia="宋体" w:cs="宋体"/>
                <w:color w:val="auto"/>
                <w:sz w:val="24"/>
                <w:szCs w:val="24"/>
                <w:lang w:val="en-US" w:eastAsia="zh-CN"/>
              </w:rPr>
            </w:pPr>
          </w:p>
        </w:tc>
        <w:tc>
          <w:tcPr>
            <w:tcW w:w="1455" w:type="dxa"/>
            <w:vMerge w:val="restart"/>
            <w:tcBorders>
              <w:top w:val="single" w:color="auto" w:sz="4" w:space="0"/>
              <w:left w:val="single" w:color="auto" w:sz="4" w:space="0"/>
              <w:right w:val="single" w:color="auto" w:sz="4" w:space="0"/>
            </w:tcBorders>
            <w:noWrap w:val="0"/>
            <w:vAlign w:val="center"/>
          </w:tcPr>
          <w:p>
            <w:pPr>
              <w:spacing w:before="156" w:line="360" w:lineRule="auto"/>
              <w:ind w:firstLine="420" w:firstLineChars="200"/>
              <w:jc w:val="both"/>
              <w:rPr>
                <w:rFonts w:hint="eastAsia" w:ascii="宋体" w:hAnsi="宋体" w:cs="宋体"/>
                <w:color w:val="auto"/>
                <w:szCs w:val="21"/>
                <w:lang w:eastAsia="zh-CN"/>
              </w:rPr>
            </w:pPr>
            <w:r>
              <w:rPr>
                <w:rFonts w:hint="eastAsia" w:ascii="宋体" w:hAnsi="宋体" w:cs="宋体"/>
                <w:color w:val="auto"/>
                <w:szCs w:val="21"/>
                <w:lang w:eastAsia="zh-CN"/>
              </w:rPr>
              <w:t>商务</w:t>
            </w:r>
          </w:p>
          <w:p>
            <w:pPr>
              <w:spacing w:before="156" w:line="360" w:lineRule="auto"/>
              <w:ind w:firstLine="420" w:firstLineChars="200"/>
              <w:jc w:val="both"/>
              <w:rPr>
                <w:rFonts w:hint="eastAsia" w:ascii="宋体" w:hAnsi="宋体" w:eastAsia="宋体" w:cs="宋体"/>
                <w:color w:val="auto"/>
                <w:szCs w:val="21"/>
                <w:lang w:eastAsia="zh-CN"/>
              </w:rPr>
            </w:pPr>
            <w:r>
              <w:rPr>
                <w:rFonts w:hint="eastAsia" w:ascii="宋体" w:hAnsi="宋体" w:cs="宋体"/>
                <w:color w:val="auto"/>
                <w:szCs w:val="21"/>
                <w:lang w:eastAsia="zh-CN"/>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0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line="360" w:lineRule="auto"/>
              <w:ind w:leftChars="0"/>
              <w:jc w:val="center"/>
              <w:rPr>
                <w:rFonts w:hint="eastAsia" w:ascii="宋体" w:hAnsi="宋体" w:cs="宋体"/>
                <w:color w:val="auto"/>
                <w:sz w:val="24"/>
                <w:szCs w:val="24"/>
              </w:rPr>
            </w:pPr>
          </w:p>
        </w:tc>
        <w:tc>
          <w:tcPr>
            <w:tcW w:w="1455" w:type="dxa"/>
            <w:vMerge w:val="continue"/>
            <w:tcBorders>
              <w:left w:val="single" w:color="auto" w:sz="4" w:space="0"/>
              <w:right w:val="single" w:color="auto" w:sz="4" w:space="0"/>
            </w:tcBorders>
            <w:noWrap w:val="0"/>
            <w:vAlign w:val="center"/>
          </w:tcPr>
          <w:p>
            <w:pPr>
              <w:spacing w:before="156" w:line="360" w:lineRule="auto"/>
              <w:ind w:firstLine="420" w:firstLineChars="200"/>
              <w:jc w:val="both"/>
              <w:rPr>
                <w:rFonts w:hint="eastAsia"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0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line="360" w:lineRule="auto"/>
              <w:ind w:leftChars="0"/>
              <w:jc w:val="center"/>
              <w:rPr>
                <w:rFonts w:hint="eastAsia" w:ascii="宋体" w:hAnsi="宋体" w:cs="宋体"/>
                <w:color w:val="auto"/>
                <w:sz w:val="24"/>
                <w:szCs w:val="24"/>
              </w:rPr>
            </w:pPr>
          </w:p>
        </w:tc>
        <w:tc>
          <w:tcPr>
            <w:tcW w:w="1455" w:type="dxa"/>
            <w:vMerge w:val="continue"/>
            <w:tcBorders>
              <w:left w:val="single" w:color="auto" w:sz="4" w:space="0"/>
              <w:bottom w:val="single" w:color="auto" w:sz="4" w:space="0"/>
              <w:right w:val="single" w:color="auto" w:sz="4" w:space="0"/>
            </w:tcBorders>
            <w:noWrap w:val="0"/>
            <w:vAlign w:val="center"/>
          </w:tcPr>
          <w:p>
            <w:pPr>
              <w:spacing w:before="156" w:line="360" w:lineRule="auto"/>
              <w:ind w:firstLine="420" w:firstLineChars="200"/>
              <w:jc w:val="both"/>
              <w:rPr>
                <w:rFonts w:hint="eastAsia"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0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line="360" w:lineRule="auto"/>
              <w:ind w:leftChars="0"/>
              <w:jc w:val="center"/>
              <w:rPr>
                <w:rFonts w:hint="eastAsia" w:ascii="宋体" w:hAnsi="宋体" w:cs="宋体"/>
                <w:color w:val="auto"/>
                <w:sz w:val="24"/>
                <w:szCs w:val="24"/>
              </w:rPr>
            </w:pPr>
          </w:p>
        </w:tc>
        <w:tc>
          <w:tcPr>
            <w:tcW w:w="1455" w:type="dxa"/>
            <w:vMerge w:val="restart"/>
            <w:tcBorders>
              <w:top w:val="single" w:color="auto" w:sz="4" w:space="0"/>
              <w:left w:val="single" w:color="auto" w:sz="4" w:space="0"/>
              <w:right w:val="single" w:color="auto" w:sz="4" w:space="0"/>
            </w:tcBorders>
            <w:noWrap w:val="0"/>
            <w:vAlign w:val="center"/>
          </w:tcPr>
          <w:p>
            <w:pPr>
              <w:spacing w:before="156" w:line="360" w:lineRule="auto"/>
              <w:ind w:firstLine="420" w:firstLineChars="200"/>
              <w:jc w:val="both"/>
              <w:rPr>
                <w:rFonts w:hint="eastAsia" w:ascii="宋体" w:hAnsi="宋体" w:cs="宋体"/>
                <w:color w:val="auto"/>
                <w:szCs w:val="21"/>
                <w:lang w:eastAsia="zh-CN"/>
              </w:rPr>
            </w:pPr>
            <w:r>
              <w:rPr>
                <w:rFonts w:hint="eastAsia" w:ascii="宋体" w:hAnsi="宋体" w:cs="宋体"/>
                <w:color w:val="auto"/>
                <w:szCs w:val="21"/>
                <w:lang w:eastAsia="zh-CN"/>
              </w:rPr>
              <w:t>技术</w:t>
            </w:r>
          </w:p>
          <w:p>
            <w:pPr>
              <w:spacing w:before="156" w:line="360" w:lineRule="auto"/>
              <w:ind w:firstLine="420" w:firstLineChars="200"/>
              <w:jc w:val="both"/>
              <w:rPr>
                <w:rFonts w:hint="eastAsia" w:ascii="宋体" w:hAnsi="宋体" w:eastAsia="宋体" w:cs="宋体"/>
                <w:color w:val="auto"/>
                <w:szCs w:val="21"/>
                <w:lang w:eastAsia="zh-CN"/>
              </w:rPr>
            </w:pPr>
            <w:r>
              <w:rPr>
                <w:rFonts w:hint="eastAsia" w:ascii="宋体" w:hAnsi="宋体" w:cs="宋体"/>
                <w:color w:val="auto"/>
                <w:szCs w:val="21"/>
                <w:lang w:eastAsia="zh-CN"/>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0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line="360" w:lineRule="auto"/>
              <w:ind w:leftChars="0"/>
              <w:jc w:val="center"/>
              <w:rPr>
                <w:rFonts w:hint="eastAsia" w:ascii="宋体" w:hAnsi="宋体" w:cs="宋体"/>
                <w:color w:val="auto"/>
                <w:sz w:val="24"/>
                <w:szCs w:val="24"/>
              </w:rPr>
            </w:pPr>
          </w:p>
        </w:tc>
        <w:tc>
          <w:tcPr>
            <w:tcW w:w="1455" w:type="dxa"/>
            <w:vMerge w:val="continue"/>
            <w:tcBorders>
              <w:left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0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56" w:line="360" w:lineRule="auto"/>
              <w:ind w:leftChars="0"/>
              <w:jc w:val="center"/>
              <w:rPr>
                <w:rFonts w:hint="eastAsia" w:ascii="宋体" w:hAnsi="宋体" w:cs="宋体"/>
                <w:color w:val="auto"/>
                <w:sz w:val="24"/>
                <w:szCs w:val="24"/>
              </w:rPr>
            </w:pPr>
          </w:p>
        </w:tc>
        <w:tc>
          <w:tcPr>
            <w:tcW w:w="1455" w:type="dxa"/>
            <w:vMerge w:val="continue"/>
            <w:tcBorders>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220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color w:val="auto"/>
                <w:szCs w:val="21"/>
              </w:rPr>
            </w:pPr>
          </w:p>
        </w:tc>
      </w:tr>
    </w:tbl>
    <w:p>
      <w:pPr>
        <w:spacing w:before="156" w:line="360" w:lineRule="auto"/>
        <w:rPr>
          <w:rFonts w:hint="eastAsia" w:ascii="宋体" w:hAnsi="宋体" w:cs="宋体"/>
          <w:b/>
          <w:bCs/>
          <w:color w:val="auto"/>
          <w:szCs w:val="21"/>
        </w:rPr>
      </w:pPr>
      <w:r>
        <w:rPr>
          <w:rFonts w:hint="eastAsia" w:ascii="宋体" w:hAnsi="宋体" w:cs="宋体"/>
          <w:b/>
          <w:bCs/>
          <w:color w:val="auto"/>
          <w:szCs w:val="21"/>
        </w:rPr>
        <w:t>填表说明：</w:t>
      </w:r>
    </w:p>
    <w:p>
      <w:pPr>
        <w:numPr>
          <w:ilvl w:val="0"/>
          <w:numId w:val="14"/>
        </w:numPr>
        <w:spacing w:before="156" w:line="480" w:lineRule="auto"/>
        <w:rPr>
          <w:rFonts w:hint="eastAsia" w:ascii="宋体" w:hAnsi="宋体" w:cs="宋体"/>
          <w:color w:val="auto"/>
          <w:szCs w:val="21"/>
        </w:rPr>
      </w:pPr>
      <w:r>
        <w:rPr>
          <w:rFonts w:hint="eastAsia" w:ascii="宋体" w:hAnsi="宋体" w:cs="宋体"/>
          <w:color w:val="auto"/>
          <w:szCs w:val="21"/>
        </w:rPr>
        <w:t>对采购文件有任何偏离（包括无偏离、正偏离、负偏离）均应汇总并填写在此表中。</w:t>
      </w:r>
    </w:p>
    <w:p>
      <w:pPr>
        <w:numPr>
          <w:ilvl w:val="0"/>
          <w:numId w:val="14"/>
        </w:numPr>
        <w:spacing w:line="480" w:lineRule="auto"/>
        <w:rPr>
          <w:rFonts w:hint="eastAsia" w:ascii="宋体" w:hAnsi="宋体" w:cs="宋体"/>
          <w:color w:val="auto"/>
          <w:szCs w:val="21"/>
        </w:rPr>
      </w:pPr>
      <w:r>
        <w:rPr>
          <w:rFonts w:hint="eastAsia" w:ascii="宋体" w:hAnsi="宋体" w:cs="宋体"/>
          <w:color w:val="auto"/>
          <w:szCs w:val="21"/>
        </w:rPr>
        <w:t>此表可在不改变格式的情况下自行制作。</w:t>
      </w:r>
    </w:p>
    <w:p>
      <w:pPr>
        <w:pStyle w:val="11"/>
        <w:tabs>
          <w:tab w:val="left" w:pos="6720"/>
        </w:tabs>
        <w:spacing w:line="480" w:lineRule="auto"/>
        <w:ind w:firstLine="0" w:firstLineChars="0"/>
        <w:rPr>
          <w:rFonts w:hint="eastAsia"/>
          <w:color w:val="auto"/>
          <w:sz w:val="21"/>
          <w:szCs w:val="21"/>
        </w:rPr>
      </w:pPr>
      <w:r>
        <w:rPr>
          <w:rFonts w:hint="eastAsia" w:ascii="宋体" w:hAnsi="宋体" w:cs="宋体"/>
          <w:color w:val="auto"/>
          <w:sz w:val="21"/>
          <w:szCs w:val="21"/>
        </w:rPr>
        <w:t>3、未在偏离表中列明有偏离的，视为无条件响应招标文件的要求。</w:t>
      </w:r>
      <w:r>
        <w:rPr>
          <w:rFonts w:hint="eastAsia" w:ascii="宋体" w:hAnsi="宋体" w:cs="宋体"/>
          <w:color w:val="auto"/>
          <w:sz w:val="21"/>
          <w:szCs w:val="21"/>
        </w:rPr>
        <w:tab/>
      </w:r>
    </w:p>
    <w:p>
      <w:pPr>
        <w:pStyle w:val="22"/>
        <w:ind w:left="840" w:hanging="420"/>
        <w:rPr>
          <w:rFonts w:hint="eastAsia"/>
          <w:color w:val="auto"/>
        </w:rPr>
      </w:pPr>
    </w:p>
    <w:p>
      <w:pPr>
        <w:spacing w:line="360" w:lineRule="auto"/>
        <w:ind w:left="359" w:leftChars="171"/>
        <w:jc w:val="left"/>
        <w:rPr>
          <w:rFonts w:hint="eastAsia" w:ascii="宋体" w:hAnsi="宋体" w:cs="宋体"/>
          <w:b/>
          <w:bCs/>
          <w:color w:val="auto"/>
          <w:szCs w:val="21"/>
        </w:rPr>
      </w:pPr>
      <w:r>
        <w:rPr>
          <w:rFonts w:hint="eastAsia" w:ascii="宋体" w:hAnsi="宋体" w:cs="宋体"/>
          <w:color w:val="auto"/>
          <w:szCs w:val="21"/>
        </w:rPr>
        <w:t xml:space="preserve"> </w:t>
      </w:r>
      <w:r>
        <w:rPr>
          <w:rFonts w:hint="eastAsia" w:ascii="宋体" w:hAnsi="宋体" w:cs="宋体"/>
          <w:b/>
          <w:bCs/>
          <w:color w:val="auto"/>
          <w:szCs w:val="21"/>
        </w:rPr>
        <w:t>投标人（盖章）：</w:t>
      </w:r>
    </w:p>
    <w:p>
      <w:pPr>
        <w:spacing w:line="360" w:lineRule="auto"/>
        <w:ind w:left="359" w:leftChars="171"/>
        <w:jc w:val="left"/>
        <w:rPr>
          <w:rFonts w:hint="eastAsia" w:ascii="宋体" w:hAnsi="宋体" w:cs="宋体"/>
          <w:b/>
          <w:bCs/>
          <w:color w:val="auto"/>
          <w:szCs w:val="21"/>
        </w:rPr>
      </w:pPr>
    </w:p>
    <w:p>
      <w:pPr>
        <w:spacing w:line="360" w:lineRule="auto"/>
        <w:ind w:left="359" w:leftChars="171"/>
        <w:jc w:val="left"/>
        <w:rPr>
          <w:rFonts w:hint="eastAsia" w:ascii="宋体" w:hAnsi="宋体" w:cs="宋体"/>
          <w:b/>
          <w:bCs/>
          <w:color w:val="auto"/>
          <w:szCs w:val="21"/>
        </w:rPr>
      </w:pPr>
      <w:r>
        <w:rPr>
          <w:rFonts w:hint="eastAsia" w:ascii="宋体" w:hAnsi="宋体" w:cs="宋体"/>
          <w:b/>
          <w:bCs/>
          <w:color w:val="auto"/>
          <w:szCs w:val="21"/>
        </w:rPr>
        <w:t xml:space="preserve"> 日 期：  年  月  日</w:t>
      </w:r>
    </w:p>
    <w:p>
      <w:pPr>
        <w:spacing w:line="460" w:lineRule="exact"/>
        <w:jc w:val="center"/>
        <w:rPr>
          <w:rFonts w:hint="eastAsia" w:ascii="楷体_GB2312" w:eastAsia="楷体_GB2312"/>
          <w:b/>
          <w:bCs/>
          <w:color w:val="auto"/>
          <w:sz w:val="28"/>
          <w:szCs w:val="28"/>
        </w:rPr>
      </w:pPr>
    </w:p>
    <w:p>
      <w:pPr>
        <w:pStyle w:val="2"/>
        <w:rPr>
          <w:rFonts w:hint="eastAsia" w:ascii="楷体_GB2312" w:eastAsia="楷体_GB2312"/>
          <w:b/>
          <w:bCs/>
          <w:color w:val="auto"/>
          <w:sz w:val="28"/>
          <w:szCs w:val="28"/>
        </w:rPr>
      </w:pPr>
    </w:p>
    <w:p>
      <w:pPr>
        <w:rPr>
          <w:rFonts w:hint="eastAsia" w:ascii="楷体_GB2312" w:eastAsia="楷体_GB2312"/>
          <w:b/>
          <w:bCs/>
          <w:color w:val="auto"/>
          <w:sz w:val="28"/>
          <w:szCs w:val="28"/>
        </w:rPr>
      </w:pPr>
    </w:p>
    <w:p>
      <w:pPr>
        <w:pStyle w:val="2"/>
        <w:rPr>
          <w:rFonts w:hint="eastAsia" w:ascii="楷体_GB2312" w:eastAsia="楷体_GB2312"/>
          <w:b/>
          <w:bCs/>
          <w:color w:val="auto"/>
          <w:sz w:val="28"/>
          <w:szCs w:val="28"/>
        </w:rPr>
      </w:pPr>
    </w:p>
    <w:p>
      <w:pPr>
        <w:rPr>
          <w:rFonts w:hint="eastAsia" w:ascii="楷体_GB2312" w:eastAsia="楷体_GB2312"/>
          <w:b/>
          <w:bCs/>
          <w:color w:val="auto"/>
          <w:sz w:val="28"/>
          <w:szCs w:val="28"/>
        </w:rPr>
      </w:pPr>
    </w:p>
    <w:p>
      <w:pPr>
        <w:pStyle w:val="2"/>
        <w:rPr>
          <w:rFonts w:hint="eastAsia"/>
          <w:color w:val="auto"/>
        </w:rPr>
      </w:pPr>
    </w:p>
    <w:p>
      <w:pPr>
        <w:spacing w:line="460" w:lineRule="exact"/>
        <w:jc w:val="center"/>
        <w:rPr>
          <w:rFonts w:hint="eastAsia" w:ascii="楷体_GB2312" w:eastAsia="楷体_GB2312"/>
          <w:b/>
          <w:bCs/>
          <w:color w:val="auto"/>
          <w:sz w:val="28"/>
          <w:szCs w:val="28"/>
        </w:rPr>
      </w:pPr>
    </w:p>
    <w:p>
      <w:pPr>
        <w:spacing w:line="460" w:lineRule="exact"/>
        <w:outlineLvl w:val="0"/>
        <w:rPr>
          <w:rFonts w:hint="eastAsia" w:ascii="楷体_GB2312" w:eastAsia="楷体_GB2312"/>
          <w:b/>
          <w:bCs/>
          <w:color w:val="auto"/>
          <w:sz w:val="22"/>
          <w:szCs w:val="22"/>
        </w:rPr>
      </w:pPr>
      <w:bookmarkStart w:id="204" w:name="_Toc6242"/>
      <w:r>
        <w:rPr>
          <w:rFonts w:hint="eastAsia" w:ascii="楷体_GB2312" w:eastAsia="楷体_GB2312"/>
          <w:b/>
          <w:bCs/>
          <w:color w:val="auto"/>
          <w:sz w:val="22"/>
          <w:szCs w:val="22"/>
        </w:rPr>
        <w:t>附件8</w:t>
      </w:r>
      <w:bookmarkEnd w:id="204"/>
    </w:p>
    <w:p>
      <w:pPr>
        <w:widowControl/>
        <w:spacing w:line="420" w:lineRule="atLeast"/>
        <w:jc w:val="center"/>
        <w:rPr>
          <w:rFonts w:hint="eastAsia" w:ascii="宋体" w:hAnsi="宋体"/>
          <w:b/>
          <w:bCs/>
          <w:color w:val="auto"/>
          <w:kern w:val="0"/>
          <w:sz w:val="30"/>
          <w:szCs w:val="30"/>
        </w:rPr>
      </w:pPr>
      <w:r>
        <w:rPr>
          <w:rFonts w:hint="eastAsia" w:ascii="宋体" w:hAnsi="宋体"/>
          <w:b/>
          <w:bCs/>
          <w:color w:val="auto"/>
          <w:kern w:val="0"/>
          <w:sz w:val="30"/>
          <w:szCs w:val="30"/>
        </w:rPr>
        <w:t>开标一览表</w:t>
      </w:r>
    </w:p>
    <w:p>
      <w:pPr>
        <w:spacing w:line="380" w:lineRule="exact"/>
        <w:jc w:val="center"/>
        <w:rPr>
          <w:rFonts w:ascii="楷体_GB2312" w:eastAsia="楷体_GB2312"/>
          <w:b/>
          <w:bCs/>
          <w:color w:val="auto"/>
          <w:sz w:val="28"/>
        </w:rPr>
      </w:pPr>
    </w:p>
    <w:p>
      <w:pPr>
        <w:spacing w:line="380" w:lineRule="exact"/>
        <w:jc w:val="center"/>
        <w:rPr>
          <w:rFonts w:ascii="楷体_GB2312" w:eastAsia="楷体_GB2312"/>
          <w:b/>
          <w:bCs/>
          <w:color w:val="auto"/>
          <w:sz w:val="28"/>
        </w:rPr>
      </w:pPr>
    </w:p>
    <w:p>
      <w:pPr>
        <w:pStyle w:val="22"/>
        <w:ind w:left="842" w:hanging="422"/>
        <w:rPr>
          <w:rFonts w:hint="eastAsia" w:ascii="宋体" w:hAnsi="宋体"/>
          <w:b/>
          <w:color w:val="auto"/>
        </w:rPr>
      </w:pPr>
      <w:r>
        <w:rPr>
          <w:rFonts w:hint="eastAsia" w:ascii="宋体" w:hAnsi="宋体"/>
          <w:b/>
          <w:color w:val="auto"/>
        </w:rPr>
        <w:t>项目名称：</w:t>
      </w:r>
      <w:r>
        <w:rPr>
          <w:rFonts w:hint="eastAsia" w:ascii="宋体" w:hAnsi="宋体"/>
          <w:b/>
          <w:color w:val="auto"/>
          <w:lang w:eastAsia="zh-CN"/>
        </w:rPr>
        <w:t>常山县生活垃圾填埋场渗滤液处理及渗滤液处理区运维管理项目</w:t>
      </w:r>
      <w:r>
        <w:rPr>
          <w:rFonts w:hint="eastAsia" w:ascii="宋体" w:hAnsi="宋体"/>
          <w:b/>
          <w:color w:val="auto"/>
        </w:rPr>
        <w:t xml:space="preserve">           </w:t>
      </w:r>
    </w:p>
    <w:p>
      <w:pPr>
        <w:pStyle w:val="22"/>
        <w:ind w:left="842" w:hanging="422"/>
        <w:rPr>
          <w:rFonts w:hint="eastAsia" w:ascii="宋体" w:hAnsi="宋体" w:eastAsia="宋体"/>
          <w:b/>
          <w:color w:val="auto"/>
          <w:lang w:eastAsia="zh-CN"/>
        </w:rPr>
      </w:pPr>
      <w:r>
        <w:rPr>
          <w:rFonts w:hint="eastAsia" w:ascii="宋体" w:hAnsi="宋体"/>
          <w:b/>
          <w:color w:val="auto"/>
        </w:rPr>
        <w:t>项目编号：</w:t>
      </w:r>
      <w:r>
        <w:rPr>
          <w:rFonts w:hint="eastAsia" w:ascii="宋体" w:hAnsi="宋体"/>
          <w:b/>
          <w:color w:val="auto"/>
          <w:lang w:eastAsia="zh-CN"/>
        </w:rPr>
        <w:t>CSLT-GK-2022022</w:t>
      </w:r>
    </w:p>
    <w:p>
      <w:pPr>
        <w:pStyle w:val="11"/>
        <w:ind w:firstLine="241"/>
        <w:rPr>
          <w:color w:val="auto"/>
        </w:rPr>
      </w:pPr>
      <w:r>
        <w:rPr>
          <w:rFonts w:hint="eastAsia" w:ascii="宋体" w:hAnsi="宋体" w:cs="宋体"/>
          <w:b/>
          <w:color w:val="auto"/>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pPr>
              <w:pStyle w:val="13"/>
              <w:jc w:val="center"/>
              <w:rPr>
                <w:rFonts w:hAnsi="宋体" w:eastAsia="宋体"/>
                <w:color w:val="auto"/>
              </w:rPr>
            </w:pPr>
            <w:r>
              <w:rPr>
                <w:rFonts w:hint="eastAsia" w:hAnsi="宋体" w:eastAsia="宋体"/>
                <w:color w:val="auto"/>
              </w:rPr>
              <w:t>序号</w:t>
            </w:r>
          </w:p>
        </w:tc>
        <w:tc>
          <w:tcPr>
            <w:tcW w:w="2520" w:type="dxa"/>
            <w:tcBorders>
              <w:left w:val="single" w:color="auto" w:sz="4" w:space="0"/>
              <w:bottom w:val="single" w:color="auto" w:sz="4" w:space="0"/>
              <w:right w:val="single" w:color="auto" w:sz="4" w:space="0"/>
            </w:tcBorders>
            <w:noWrap w:val="0"/>
            <w:vAlign w:val="center"/>
          </w:tcPr>
          <w:p>
            <w:pPr>
              <w:pStyle w:val="13"/>
              <w:jc w:val="center"/>
              <w:rPr>
                <w:rFonts w:hAnsi="宋体" w:eastAsia="宋体"/>
                <w:color w:val="auto"/>
              </w:rPr>
            </w:pPr>
            <w:r>
              <w:rPr>
                <w:rFonts w:hint="eastAsia" w:hAnsi="宋体" w:eastAsia="宋体"/>
                <w:color w:val="auto"/>
              </w:rPr>
              <w:t>名称</w:t>
            </w:r>
          </w:p>
        </w:tc>
        <w:tc>
          <w:tcPr>
            <w:tcW w:w="6437" w:type="dxa"/>
            <w:tcBorders>
              <w:left w:val="single" w:color="auto" w:sz="4" w:space="0"/>
              <w:bottom w:val="single" w:color="auto" w:sz="4" w:space="0"/>
            </w:tcBorders>
            <w:noWrap w:val="0"/>
            <w:vAlign w:val="center"/>
          </w:tcPr>
          <w:p>
            <w:pPr>
              <w:pStyle w:val="13"/>
              <w:jc w:val="center"/>
              <w:rPr>
                <w:rFonts w:hAnsi="宋体" w:eastAsia="宋体"/>
                <w:color w:val="auto"/>
              </w:rPr>
            </w:pPr>
            <w:r>
              <w:rPr>
                <w:rFonts w:hint="eastAsia" w:hAnsi="宋体" w:eastAsia="宋体"/>
                <w:color w:val="auto"/>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0"/>
            <w:vAlign w:val="center"/>
          </w:tcPr>
          <w:p>
            <w:pPr>
              <w:pStyle w:val="13"/>
              <w:jc w:val="center"/>
              <w:rPr>
                <w:rFonts w:hint="eastAsia" w:hAnsi="宋体" w:eastAsia="宋体"/>
                <w:color w:val="auto"/>
                <w:lang w:eastAsia="zh-CN"/>
              </w:rPr>
            </w:pPr>
            <w:r>
              <w:rPr>
                <w:rFonts w:hint="eastAsia" w:hAnsi="宋体" w:eastAsia="宋体"/>
                <w:color w:val="auto"/>
                <w:lang w:eastAsia="zh-CN"/>
              </w:rPr>
              <w:t>一</w:t>
            </w:r>
          </w:p>
        </w:tc>
        <w:tc>
          <w:tcPr>
            <w:tcW w:w="2520" w:type="dxa"/>
            <w:tcBorders>
              <w:left w:val="single" w:color="auto" w:sz="4" w:space="0"/>
              <w:bottom w:val="single" w:color="auto" w:sz="4" w:space="0"/>
              <w:right w:val="single" w:color="auto" w:sz="4" w:space="0"/>
            </w:tcBorders>
            <w:noWrap w:val="0"/>
            <w:vAlign w:val="center"/>
          </w:tcPr>
          <w:p>
            <w:pPr>
              <w:pStyle w:val="13"/>
              <w:rPr>
                <w:rFonts w:hint="eastAsia" w:hAnsi="宋体" w:eastAsia="宋体"/>
                <w:color w:val="auto"/>
                <w:lang w:eastAsia="zh-CN"/>
              </w:rPr>
            </w:pPr>
            <w:r>
              <w:rPr>
                <w:rFonts w:hint="eastAsia" w:hAnsi="宋体" w:eastAsia="宋体"/>
                <w:color w:val="auto"/>
              </w:rPr>
              <w:t>垃圾渗滤液运营服务费</w:t>
            </w:r>
            <w:r>
              <w:rPr>
                <w:rFonts w:hint="eastAsia" w:hAnsi="宋体" w:eastAsia="宋体"/>
                <w:color w:val="auto"/>
                <w:lang w:eastAsia="zh-CN"/>
              </w:rPr>
              <w:t>投标</w:t>
            </w:r>
            <w:r>
              <w:rPr>
                <w:rFonts w:hint="eastAsia" w:hAnsi="宋体" w:eastAsia="宋体"/>
                <w:color w:val="auto"/>
              </w:rPr>
              <w:t>报价</w:t>
            </w:r>
            <w:r>
              <w:rPr>
                <w:rFonts w:hint="eastAsia" w:hAnsi="宋体" w:eastAsia="宋体"/>
                <w:color w:val="auto"/>
                <w:lang w:eastAsia="zh-CN"/>
              </w:rPr>
              <w:t>（元</w:t>
            </w:r>
            <w:r>
              <w:rPr>
                <w:rFonts w:hint="eastAsia" w:hAnsi="宋体" w:eastAsia="宋体"/>
                <w:color w:val="auto"/>
                <w:lang w:val="en-US" w:eastAsia="zh-CN"/>
              </w:rPr>
              <w:t>/m³</w:t>
            </w:r>
            <w:r>
              <w:rPr>
                <w:rFonts w:hint="eastAsia" w:hAnsi="宋体" w:eastAsia="宋体"/>
                <w:color w:val="auto"/>
                <w:lang w:eastAsia="zh-CN"/>
              </w:rPr>
              <w:t>）</w:t>
            </w:r>
          </w:p>
        </w:tc>
        <w:tc>
          <w:tcPr>
            <w:tcW w:w="6437" w:type="dxa"/>
            <w:tcBorders>
              <w:top w:val="single" w:color="auto" w:sz="4" w:space="0"/>
              <w:left w:val="single" w:color="auto" w:sz="4" w:space="0"/>
              <w:bottom w:val="single" w:color="auto" w:sz="4" w:space="0"/>
            </w:tcBorders>
            <w:noWrap w:val="0"/>
            <w:vAlign w:val="center"/>
          </w:tcPr>
          <w:p>
            <w:pPr>
              <w:pStyle w:val="13"/>
              <w:rPr>
                <w:rFonts w:hint="eastAsia" w:ascii="宋体" w:hAnsi="宋体" w:eastAsia="宋体" w:cs="黑体"/>
                <w:color w:val="auto"/>
                <w:kern w:val="2"/>
                <w:sz w:val="21"/>
                <w:szCs w:val="21"/>
                <w:lang w:val="en-US" w:eastAsia="zh-CN" w:bidi="ar-SA"/>
              </w:rPr>
            </w:pPr>
            <w:r>
              <w:rPr>
                <w:rFonts w:hint="eastAsia" w:hAnsi="宋体" w:eastAsia="宋体"/>
                <w:color w:val="auto"/>
              </w:rPr>
              <w:t>大写（人民币）：</w:t>
            </w:r>
            <w:r>
              <w:rPr>
                <w:rFonts w:hint="eastAsia" w:hAnsi="宋体" w:eastAsia="宋体"/>
                <w:color w:val="auto"/>
                <w:u w:val="single"/>
              </w:rPr>
              <w:t xml:space="preserve">         </w:t>
            </w:r>
            <w:r>
              <w:rPr>
                <w:rFonts w:hint="eastAsia" w:hAnsi="宋体" w:eastAsia="宋体"/>
                <w:color w:val="auto"/>
                <w:u w:val="single"/>
                <w:lang w:val="en-US" w:eastAsia="zh-CN"/>
              </w:rPr>
              <w:t xml:space="preserve">  </w:t>
            </w:r>
            <w:r>
              <w:rPr>
                <w:rFonts w:hint="eastAsia" w:hAnsi="宋体" w:eastAsia="宋体"/>
                <w:color w:val="auto"/>
                <w:u w:val="single"/>
              </w:rPr>
              <w:t xml:space="preserve"> </w:t>
            </w:r>
            <w:r>
              <w:rPr>
                <w:rFonts w:hint="eastAsia" w:hAnsi="宋体" w:eastAsia="宋体"/>
                <w:color w:val="auto"/>
                <w:u w:val="single"/>
                <w:lang w:val="en-US" w:eastAsia="zh-CN"/>
              </w:rPr>
              <w:t>/m³</w:t>
            </w:r>
            <w:r>
              <w:rPr>
                <w:rFonts w:hint="eastAsia" w:hAnsi="宋体" w:eastAsia="宋体"/>
                <w:color w:val="auto"/>
                <w:u w:val="single"/>
              </w:rPr>
              <w:t xml:space="preserve">  </w:t>
            </w:r>
            <w:r>
              <w:rPr>
                <w:rFonts w:hint="eastAsia" w:hAnsi="宋体" w:eastAsia="宋体"/>
                <w:color w:val="auto"/>
              </w:rPr>
              <w:t>（￥</w:t>
            </w:r>
            <w:r>
              <w:rPr>
                <w:rFonts w:hint="eastAsia" w:hAnsi="宋体" w:eastAsia="宋体"/>
                <w:color w:val="auto"/>
                <w:u w:val="single"/>
              </w:rPr>
              <w:t xml:space="preserve">          </w:t>
            </w:r>
            <w:r>
              <w:rPr>
                <w:rFonts w:hint="eastAsia" w:hAnsi="宋体" w:eastAsia="宋体"/>
                <w:color w:val="auto"/>
                <w:u w:val="single"/>
                <w:lang w:val="en-US" w:eastAsia="zh-CN"/>
              </w:rPr>
              <w:t>/m³</w:t>
            </w:r>
            <w:r>
              <w:rPr>
                <w:rFonts w:hint="eastAsia" w:hAns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0"/>
            <w:vAlign w:val="center"/>
          </w:tcPr>
          <w:p>
            <w:pPr>
              <w:pStyle w:val="13"/>
              <w:jc w:val="center"/>
              <w:rPr>
                <w:rFonts w:hint="eastAsia" w:hAnsi="宋体" w:eastAsia="宋体"/>
                <w:color w:val="auto"/>
                <w:lang w:eastAsia="zh-CN"/>
              </w:rPr>
            </w:pPr>
            <w:r>
              <w:rPr>
                <w:rFonts w:hint="eastAsia" w:hAnsi="宋体" w:eastAsia="宋体"/>
                <w:color w:val="auto"/>
                <w:lang w:eastAsia="zh-CN"/>
              </w:rPr>
              <w:t>二</w:t>
            </w:r>
          </w:p>
        </w:tc>
        <w:tc>
          <w:tcPr>
            <w:tcW w:w="2520" w:type="dxa"/>
            <w:tcBorders>
              <w:left w:val="single" w:color="auto" w:sz="4" w:space="0"/>
              <w:bottom w:val="single" w:color="auto" w:sz="4" w:space="0"/>
              <w:right w:val="single" w:color="auto" w:sz="4" w:space="0"/>
            </w:tcBorders>
            <w:noWrap w:val="0"/>
            <w:vAlign w:val="center"/>
          </w:tcPr>
          <w:p>
            <w:pPr>
              <w:pStyle w:val="13"/>
              <w:rPr>
                <w:rFonts w:hint="eastAsia" w:hAnsi="宋体" w:eastAsia="宋体"/>
                <w:color w:val="auto"/>
                <w:lang w:eastAsia="zh-CN"/>
              </w:rPr>
            </w:pPr>
            <w:r>
              <w:rPr>
                <w:rFonts w:hint="eastAsia"/>
                <w:color w:val="auto"/>
              </w:rPr>
              <w:t>微电荷及自养反硝化脱氮</w:t>
            </w:r>
            <w:r>
              <w:rPr>
                <w:rFonts w:hint="eastAsia" w:eastAsia="宋体"/>
                <w:color w:val="auto"/>
              </w:rPr>
              <w:t>运营</w:t>
            </w:r>
            <w:r>
              <w:rPr>
                <w:rFonts w:hint="eastAsia" w:ascii="宋体" w:hAnsi="宋体" w:eastAsia="宋体" w:cs="宋体"/>
                <w:color w:val="auto"/>
                <w:szCs w:val="21"/>
              </w:rPr>
              <w:t>服务费</w:t>
            </w:r>
            <w:r>
              <w:rPr>
                <w:rFonts w:hint="eastAsia" w:hAnsi="宋体" w:eastAsia="宋体" w:cs="宋体"/>
                <w:color w:val="auto"/>
                <w:szCs w:val="21"/>
                <w:lang w:eastAsia="zh-CN"/>
              </w:rPr>
              <w:t>投标</w:t>
            </w:r>
            <w:r>
              <w:rPr>
                <w:rFonts w:hint="eastAsia" w:ascii="宋体" w:hAnsi="宋体" w:eastAsia="宋体" w:cs="宋体"/>
                <w:color w:val="auto"/>
                <w:szCs w:val="21"/>
              </w:rPr>
              <w:t>报价</w:t>
            </w:r>
            <w:r>
              <w:rPr>
                <w:rFonts w:hint="eastAsia" w:hAnsi="宋体" w:eastAsia="宋体" w:cs="宋体"/>
                <w:color w:val="auto"/>
                <w:szCs w:val="21"/>
                <w:lang w:eastAsia="zh-CN"/>
              </w:rPr>
              <w:t>（</w:t>
            </w:r>
            <w:r>
              <w:rPr>
                <w:rFonts w:hint="eastAsia" w:hAnsi="宋体" w:eastAsia="宋体"/>
                <w:color w:val="auto"/>
                <w:lang w:eastAsia="zh-CN"/>
              </w:rPr>
              <w:t>元</w:t>
            </w:r>
            <w:r>
              <w:rPr>
                <w:rFonts w:hint="eastAsia" w:hAnsi="宋体" w:eastAsia="宋体"/>
                <w:color w:val="auto"/>
                <w:lang w:val="en-US" w:eastAsia="zh-CN"/>
              </w:rPr>
              <w:t>/m³</w:t>
            </w:r>
            <w:r>
              <w:rPr>
                <w:rFonts w:hint="eastAsia" w:hAnsi="宋体" w:eastAsia="宋体" w:cs="宋体"/>
                <w:color w:val="auto"/>
                <w:szCs w:val="21"/>
                <w:lang w:eastAsia="zh-CN"/>
              </w:rPr>
              <w:t>）</w:t>
            </w:r>
          </w:p>
        </w:tc>
        <w:tc>
          <w:tcPr>
            <w:tcW w:w="6437" w:type="dxa"/>
            <w:tcBorders>
              <w:top w:val="single" w:color="auto" w:sz="4" w:space="0"/>
              <w:left w:val="single" w:color="auto" w:sz="4" w:space="0"/>
              <w:bottom w:val="single" w:color="auto" w:sz="4" w:space="0"/>
            </w:tcBorders>
            <w:noWrap w:val="0"/>
            <w:vAlign w:val="center"/>
          </w:tcPr>
          <w:p>
            <w:pPr>
              <w:pStyle w:val="13"/>
              <w:rPr>
                <w:rFonts w:hint="eastAsia" w:hAnsi="宋体" w:eastAsia="宋体"/>
                <w:color w:val="auto"/>
              </w:rPr>
            </w:pPr>
            <w:r>
              <w:rPr>
                <w:rFonts w:hint="eastAsia" w:hAnsi="宋体" w:eastAsia="宋体"/>
                <w:color w:val="auto"/>
              </w:rPr>
              <w:t>大写（人民币）：</w:t>
            </w:r>
            <w:r>
              <w:rPr>
                <w:rFonts w:hint="eastAsia" w:hAnsi="宋体" w:eastAsia="宋体"/>
                <w:color w:val="auto"/>
                <w:u w:val="single"/>
              </w:rPr>
              <w:t xml:space="preserve">         </w:t>
            </w:r>
            <w:r>
              <w:rPr>
                <w:rFonts w:hint="eastAsia" w:hAnsi="宋体" w:eastAsia="宋体"/>
                <w:color w:val="auto"/>
                <w:u w:val="single"/>
                <w:lang w:val="en-US" w:eastAsia="zh-CN"/>
              </w:rPr>
              <w:t xml:space="preserve">  </w:t>
            </w:r>
            <w:r>
              <w:rPr>
                <w:rFonts w:hint="eastAsia" w:hAnsi="宋体" w:eastAsia="宋体"/>
                <w:color w:val="auto"/>
                <w:u w:val="single"/>
              </w:rPr>
              <w:t xml:space="preserve"> </w:t>
            </w:r>
            <w:r>
              <w:rPr>
                <w:rFonts w:hint="eastAsia" w:hAnsi="宋体" w:eastAsia="宋体"/>
                <w:color w:val="auto"/>
                <w:u w:val="single"/>
                <w:lang w:val="en-US" w:eastAsia="zh-CN"/>
              </w:rPr>
              <w:t>/m³</w:t>
            </w:r>
            <w:r>
              <w:rPr>
                <w:rFonts w:hint="eastAsia" w:hAnsi="宋体" w:eastAsia="宋体"/>
                <w:color w:val="auto"/>
                <w:u w:val="single"/>
              </w:rPr>
              <w:t xml:space="preserve">  </w:t>
            </w:r>
            <w:r>
              <w:rPr>
                <w:rFonts w:hint="eastAsia" w:hAnsi="宋体" w:eastAsia="宋体"/>
                <w:color w:val="auto"/>
              </w:rPr>
              <w:t>（￥</w:t>
            </w:r>
            <w:r>
              <w:rPr>
                <w:rFonts w:hint="eastAsia" w:hAnsi="宋体" w:eastAsia="宋体"/>
                <w:color w:val="auto"/>
                <w:u w:val="single"/>
              </w:rPr>
              <w:t xml:space="preserve">          </w:t>
            </w:r>
            <w:r>
              <w:rPr>
                <w:rFonts w:hint="eastAsia" w:hAnsi="宋体" w:eastAsia="宋体"/>
                <w:color w:val="auto"/>
                <w:u w:val="single"/>
                <w:lang w:val="en-US" w:eastAsia="zh-CN"/>
              </w:rPr>
              <w:t>/m³</w:t>
            </w:r>
            <w:r>
              <w:rPr>
                <w:rFonts w:hint="eastAsia" w:hAns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0"/>
            <w:vAlign w:val="center"/>
          </w:tcPr>
          <w:p>
            <w:pPr>
              <w:pStyle w:val="13"/>
              <w:jc w:val="center"/>
              <w:rPr>
                <w:rFonts w:hint="eastAsia" w:hAnsi="宋体" w:eastAsia="宋体"/>
                <w:color w:val="auto"/>
                <w:lang w:eastAsia="zh-CN"/>
              </w:rPr>
            </w:pPr>
            <w:r>
              <w:rPr>
                <w:rFonts w:hint="eastAsia" w:hAnsi="宋体" w:eastAsia="宋体"/>
                <w:color w:val="auto"/>
                <w:lang w:eastAsia="zh-CN"/>
              </w:rPr>
              <w:t>三</w:t>
            </w:r>
          </w:p>
        </w:tc>
        <w:tc>
          <w:tcPr>
            <w:tcW w:w="2520" w:type="dxa"/>
            <w:tcBorders>
              <w:left w:val="single" w:color="auto" w:sz="4" w:space="0"/>
              <w:bottom w:val="single" w:color="auto" w:sz="4" w:space="0"/>
              <w:right w:val="single" w:color="auto" w:sz="4" w:space="0"/>
            </w:tcBorders>
            <w:noWrap w:val="0"/>
            <w:vAlign w:val="center"/>
          </w:tcPr>
          <w:p>
            <w:pPr>
              <w:pStyle w:val="13"/>
              <w:rPr>
                <w:rFonts w:hint="eastAsia" w:hAnsi="宋体" w:eastAsia="宋体"/>
                <w:color w:val="auto"/>
                <w:lang w:eastAsia="zh-CN"/>
              </w:rPr>
            </w:pPr>
            <w:r>
              <w:rPr>
                <w:rFonts w:hint="eastAsia"/>
                <w:color w:val="auto"/>
              </w:rPr>
              <w:t>污泥处置费</w:t>
            </w:r>
            <w:r>
              <w:rPr>
                <w:rFonts w:hint="eastAsia"/>
                <w:color w:val="auto"/>
                <w:lang w:eastAsia="zh-CN"/>
              </w:rPr>
              <w:t>投标</w:t>
            </w:r>
            <w:r>
              <w:rPr>
                <w:rFonts w:hint="eastAsia" w:eastAsia="宋体"/>
                <w:color w:val="auto"/>
              </w:rPr>
              <w:t>报价</w:t>
            </w:r>
            <w:r>
              <w:rPr>
                <w:rFonts w:hint="eastAsia" w:eastAsia="宋体"/>
                <w:color w:val="auto"/>
                <w:lang w:eastAsia="zh-CN"/>
              </w:rPr>
              <w:t>（</w:t>
            </w:r>
            <w:r>
              <w:rPr>
                <w:rFonts w:hint="eastAsia" w:hAnsi="宋体" w:eastAsia="宋体"/>
                <w:color w:val="auto"/>
                <w:lang w:eastAsia="zh-CN"/>
              </w:rPr>
              <w:t>元</w:t>
            </w:r>
            <w:r>
              <w:rPr>
                <w:rFonts w:hint="eastAsia" w:hAnsi="宋体" w:eastAsia="宋体"/>
                <w:color w:val="auto"/>
                <w:lang w:val="en-US" w:eastAsia="zh-CN"/>
              </w:rPr>
              <w:t>/m³</w:t>
            </w:r>
            <w:r>
              <w:rPr>
                <w:rFonts w:hint="eastAsia" w:eastAsia="宋体"/>
                <w:color w:val="auto"/>
                <w:lang w:eastAsia="zh-CN"/>
              </w:rPr>
              <w:t>）</w:t>
            </w:r>
          </w:p>
        </w:tc>
        <w:tc>
          <w:tcPr>
            <w:tcW w:w="6437" w:type="dxa"/>
            <w:tcBorders>
              <w:top w:val="single" w:color="auto" w:sz="4" w:space="0"/>
              <w:left w:val="single" w:color="auto" w:sz="4" w:space="0"/>
              <w:bottom w:val="single" w:color="auto" w:sz="4" w:space="0"/>
            </w:tcBorders>
            <w:noWrap w:val="0"/>
            <w:vAlign w:val="center"/>
          </w:tcPr>
          <w:p>
            <w:pPr>
              <w:pStyle w:val="13"/>
              <w:rPr>
                <w:rFonts w:hint="eastAsia" w:hAnsi="宋体" w:eastAsia="宋体"/>
                <w:color w:val="auto"/>
              </w:rPr>
            </w:pPr>
            <w:r>
              <w:rPr>
                <w:rFonts w:hint="eastAsia" w:hAnsi="宋体" w:eastAsia="宋体"/>
                <w:color w:val="auto"/>
              </w:rPr>
              <w:t>大写（人民币）：</w:t>
            </w:r>
            <w:r>
              <w:rPr>
                <w:rFonts w:hint="eastAsia" w:hAnsi="宋体" w:eastAsia="宋体"/>
                <w:color w:val="auto"/>
                <w:u w:val="single"/>
              </w:rPr>
              <w:t xml:space="preserve">         </w:t>
            </w:r>
            <w:r>
              <w:rPr>
                <w:rFonts w:hint="eastAsia" w:hAnsi="宋体" w:eastAsia="宋体"/>
                <w:color w:val="auto"/>
                <w:u w:val="single"/>
                <w:lang w:val="en-US" w:eastAsia="zh-CN"/>
              </w:rPr>
              <w:t xml:space="preserve">  </w:t>
            </w:r>
            <w:r>
              <w:rPr>
                <w:rFonts w:hint="eastAsia" w:hAnsi="宋体" w:eastAsia="宋体"/>
                <w:color w:val="auto"/>
                <w:u w:val="single"/>
              </w:rPr>
              <w:t xml:space="preserve"> </w:t>
            </w:r>
            <w:r>
              <w:rPr>
                <w:rFonts w:hint="eastAsia" w:hAnsi="宋体" w:eastAsia="宋体"/>
                <w:color w:val="auto"/>
                <w:u w:val="single"/>
                <w:lang w:val="en-US" w:eastAsia="zh-CN"/>
              </w:rPr>
              <w:t>/m³</w:t>
            </w:r>
            <w:r>
              <w:rPr>
                <w:rFonts w:hint="eastAsia" w:hAnsi="宋体" w:eastAsia="宋体"/>
                <w:color w:val="auto"/>
                <w:u w:val="single"/>
              </w:rPr>
              <w:t xml:space="preserve">  </w:t>
            </w:r>
            <w:r>
              <w:rPr>
                <w:rFonts w:hint="eastAsia" w:hAnsi="宋体" w:eastAsia="宋体"/>
                <w:color w:val="auto"/>
              </w:rPr>
              <w:t>（￥</w:t>
            </w:r>
            <w:r>
              <w:rPr>
                <w:rFonts w:hint="eastAsia" w:hAnsi="宋体" w:eastAsia="宋体"/>
                <w:color w:val="auto"/>
                <w:u w:val="single"/>
              </w:rPr>
              <w:t xml:space="preserve">          </w:t>
            </w:r>
            <w:r>
              <w:rPr>
                <w:rFonts w:hint="eastAsia" w:hAnsi="宋体" w:eastAsia="宋体"/>
                <w:color w:val="auto"/>
                <w:u w:val="single"/>
                <w:lang w:val="en-US" w:eastAsia="zh-CN"/>
              </w:rPr>
              <w:t>/m³</w:t>
            </w:r>
            <w:r>
              <w:rPr>
                <w:rFonts w:hint="eastAsia" w:hAns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pPr>
              <w:pStyle w:val="13"/>
              <w:jc w:val="center"/>
              <w:rPr>
                <w:rFonts w:hint="eastAsia" w:hAnsi="宋体" w:eastAsia="宋体"/>
                <w:color w:val="auto"/>
                <w:lang w:eastAsia="zh-CN"/>
              </w:rPr>
            </w:pPr>
            <w:r>
              <w:rPr>
                <w:rFonts w:hint="eastAsia" w:hAnsi="宋体" w:eastAsia="宋体"/>
                <w:color w:val="auto"/>
                <w:lang w:eastAsia="zh-CN"/>
              </w:rPr>
              <w:t>四</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hAnsi="宋体" w:eastAsia="宋体"/>
                <w:color w:val="auto"/>
              </w:rPr>
            </w:pPr>
            <w:r>
              <w:rPr>
                <w:rFonts w:hint="eastAsia" w:hAnsi="宋体" w:eastAsia="宋体"/>
                <w:color w:val="auto"/>
              </w:rPr>
              <w:t>项目负责人</w:t>
            </w:r>
          </w:p>
        </w:tc>
        <w:tc>
          <w:tcPr>
            <w:tcW w:w="6437" w:type="dxa"/>
            <w:tcBorders>
              <w:top w:val="single" w:color="auto" w:sz="4" w:space="0"/>
              <w:left w:val="single" w:color="auto" w:sz="4" w:space="0"/>
              <w:bottom w:val="single" w:color="auto" w:sz="4" w:space="0"/>
            </w:tcBorders>
            <w:noWrap w:val="0"/>
            <w:vAlign w:val="center"/>
          </w:tcPr>
          <w:p>
            <w:pPr>
              <w:pStyle w:val="13"/>
              <w:rPr>
                <w:rFonts w:hAnsi="宋体" w:eastAsia="宋体"/>
                <w:color w:val="auto"/>
                <w:u w:val="single"/>
              </w:rPr>
            </w:pPr>
          </w:p>
        </w:tc>
      </w:tr>
    </w:tbl>
    <w:p>
      <w:pPr>
        <w:spacing w:line="360" w:lineRule="auto"/>
        <w:ind w:firstLine="630" w:firstLineChars="300"/>
        <w:rPr>
          <w:rFonts w:hint="eastAsia" w:ascii="宋体" w:hAnsi="宋体" w:cs="宋体"/>
          <w:color w:val="auto"/>
          <w:szCs w:val="21"/>
        </w:rPr>
      </w:pPr>
    </w:p>
    <w:p>
      <w:pPr>
        <w:tabs>
          <w:tab w:val="left" w:pos="720"/>
          <w:tab w:val="left" w:pos="5355"/>
        </w:tabs>
        <w:spacing w:line="360" w:lineRule="auto"/>
        <w:ind w:firstLine="422" w:firstLineChars="200"/>
        <w:rPr>
          <w:rFonts w:hint="eastAsia" w:ascii="仿宋" w:hAnsi="仿宋" w:cs="仿宋"/>
          <w:b/>
          <w:bCs/>
          <w:color w:val="auto"/>
          <w:highlight w:val="cyan"/>
        </w:rPr>
      </w:pPr>
      <w:r>
        <w:rPr>
          <w:rFonts w:hint="eastAsia" w:ascii="宋体" w:hAnsi="宋体" w:cs="宋体"/>
          <w:b/>
          <w:bCs/>
          <w:color w:val="auto"/>
          <w:szCs w:val="21"/>
          <w:highlight w:val="cyan"/>
        </w:rPr>
        <w:t>注：1、开标时开标一览表</w:t>
      </w:r>
      <w:r>
        <w:rPr>
          <w:rFonts w:hint="eastAsia" w:ascii="仿宋" w:hAnsi="仿宋" w:cs="仿宋"/>
          <w:b/>
          <w:bCs/>
          <w:color w:val="auto"/>
          <w:highlight w:val="cyan"/>
        </w:rPr>
        <w:t>根据系统要求在线填写，中标供应商补纸质投标文件时提供本附件。</w:t>
      </w:r>
    </w:p>
    <w:p>
      <w:pPr>
        <w:pStyle w:val="2"/>
        <w:ind w:left="0" w:leftChars="0" w:firstLine="482" w:firstLineChars="200"/>
        <w:rPr>
          <w:rFonts w:hint="default" w:eastAsia="宋体"/>
          <w:color w:val="auto"/>
          <w:highlight w:val="cyan"/>
          <w:lang w:val="en-US" w:eastAsia="zh-CN"/>
        </w:rPr>
      </w:pPr>
      <w:r>
        <w:rPr>
          <w:rFonts w:hint="eastAsia" w:ascii="仿宋" w:hAnsi="仿宋" w:cs="仿宋"/>
          <w:b/>
          <w:bCs/>
          <w:color w:val="auto"/>
          <w:highlight w:val="cyan"/>
          <w:lang w:val="en-US" w:eastAsia="zh-CN"/>
        </w:rPr>
        <w:t>2、开标一览表中的报价均为投标单价，项目实施按分项投标报价（元）</w:t>
      </w:r>
      <w:r>
        <w:rPr>
          <w:rFonts w:hint="eastAsia" w:ascii="仿宋" w:hAnsi="仿宋" w:cs="仿宋"/>
          <w:b/>
          <w:bCs/>
          <w:color w:val="auto"/>
          <w:highlight w:val="cyan"/>
          <w:lang w:val="en-US" w:eastAsia="zh-CN"/>
        </w:rPr>
        <w:t>*实际立方数。</w:t>
      </w:r>
    </w:p>
    <w:p>
      <w:pPr>
        <w:spacing w:line="360" w:lineRule="auto"/>
        <w:ind w:firstLine="219" w:firstLineChars="104"/>
        <w:jc w:val="left"/>
        <w:rPr>
          <w:rFonts w:hint="eastAsia" w:ascii="宋体" w:hAnsi="宋体" w:cs="宋体"/>
          <w:b/>
          <w:bCs/>
          <w:color w:val="auto"/>
          <w:szCs w:val="21"/>
          <w:highlight w:val="cyan"/>
        </w:rPr>
      </w:pPr>
      <w:r>
        <w:rPr>
          <w:rFonts w:hint="eastAsia" w:ascii="宋体" w:hAnsi="宋体" w:cs="宋体"/>
          <w:b/>
          <w:bCs/>
          <w:color w:val="auto"/>
          <w:szCs w:val="21"/>
          <w:highlight w:val="cyan"/>
        </w:rPr>
        <w:t>投标人（盖章）：</w:t>
      </w:r>
    </w:p>
    <w:p>
      <w:pPr>
        <w:spacing w:line="360" w:lineRule="auto"/>
        <w:ind w:left="357" w:leftChars="104" w:hanging="139" w:hangingChars="66"/>
        <w:jc w:val="left"/>
        <w:rPr>
          <w:rFonts w:hint="eastAsia" w:ascii="宋体" w:hAnsi="宋体" w:cs="宋体"/>
          <w:b/>
          <w:bCs/>
          <w:color w:val="auto"/>
          <w:szCs w:val="21"/>
        </w:rPr>
      </w:pPr>
    </w:p>
    <w:p>
      <w:pPr>
        <w:spacing w:line="360" w:lineRule="auto"/>
        <w:ind w:left="357" w:leftChars="104" w:hanging="139" w:hangingChars="66"/>
        <w:jc w:val="left"/>
        <w:rPr>
          <w:rFonts w:hint="eastAsia" w:ascii="宋体" w:hAnsi="宋体" w:cs="宋体"/>
          <w:b/>
          <w:bCs/>
          <w:color w:val="auto"/>
          <w:szCs w:val="21"/>
        </w:rPr>
      </w:pPr>
      <w:r>
        <w:rPr>
          <w:rFonts w:hint="eastAsia" w:ascii="宋体" w:hAnsi="宋体" w:cs="宋体"/>
          <w:b/>
          <w:bCs/>
          <w:color w:val="auto"/>
          <w:szCs w:val="21"/>
        </w:rPr>
        <w:t>日 期：  年  月  日</w:t>
      </w:r>
    </w:p>
    <w:p>
      <w:pPr>
        <w:spacing w:line="380" w:lineRule="exact"/>
        <w:ind w:left="359" w:leftChars="171"/>
        <w:rPr>
          <w:rFonts w:ascii="楷体_GB2312" w:eastAsia="楷体_GB2312"/>
          <w:color w:val="auto"/>
          <w:sz w:val="22"/>
          <w:szCs w:val="22"/>
        </w:rPr>
      </w:pPr>
    </w:p>
    <w:p>
      <w:pPr>
        <w:spacing w:line="380" w:lineRule="exact"/>
        <w:ind w:left="359" w:leftChars="171"/>
        <w:rPr>
          <w:rFonts w:ascii="楷体_GB2312" w:eastAsia="楷体_GB2312"/>
          <w:color w:val="auto"/>
          <w:sz w:val="22"/>
          <w:szCs w:val="22"/>
        </w:rPr>
      </w:pPr>
    </w:p>
    <w:p>
      <w:pPr>
        <w:spacing w:line="380" w:lineRule="exact"/>
        <w:ind w:left="359" w:leftChars="171"/>
        <w:rPr>
          <w:rFonts w:ascii="楷体_GB2312" w:eastAsia="楷体_GB2312"/>
          <w:color w:val="auto"/>
          <w:sz w:val="22"/>
          <w:szCs w:val="22"/>
        </w:rPr>
      </w:pPr>
    </w:p>
    <w:p>
      <w:pPr>
        <w:spacing w:line="380" w:lineRule="exact"/>
        <w:ind w:left="359" w:leftChars="171"/>
        <w:rPr>
          <w:rFonts w:ascii="楷体_GB2312" w:eastAsia="楷体_GB2312"/>
          <w:color w:val="auto"/>
          <w:sz w:val="22"/>
          <w:szCs w:val="22"/>
        </w:rPr>
      </w:pPr>
    </w:p>
    <w:p>
      <w:pPr>
        <w:spacing w:line="380" w:lineRule="exact"/>
        <w:ind w:left="359" w:leftChars="171"/>
        <w:rPr>
          <w:rFonts w:ascii="楷体_GB2312" w:eastAsia="楷体_GB2312"/>
          <w:color w:val="auto"/>
          <w:sz w:val="22"/>
          <w:szCs w:val="22"/>
        </w:rPr>
      </w:pPr>
    </w:p>
    <w:p>
      <w:pPr>
        <w:rPr>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widowControl/>
        <w:spacing w:line="420" w:lineRule="atLeast"/>
        <w:jc w:val="both"/>
        <w:rPr>
          <w:rFonts w:hint="eastAsia" w:ascii="楷体_GB2312" w:eastAsia="楷体_GB2312"/>
          <w:b/>
          <w:bCs/>
          <w:color w:val="auto"/>
          <w:sz w:val="22"/>
          <w:szCs w:val="22"/>
        </w:rPr>
      </w:pPr>
      <w:r>
        <w:rPr>
          <w:rFonts w:hint="eastAsia" w:ascii="楷体_GB2312" w:eastAsia="楷体_GB2312"/>
          <w:b/>
          <w:bCs/>
          <w:color w:val="auto"/>
          <w:sz w:val="22"/>
          <w:szCs w:val="22"/>
        </w:rPr>
        <w:br w:type="page"/>
      </w:r>
      <w:bookmarkStart w:id="205" w:name="_Toc286"/>
    </w:p>
    <w:p>
      <w:pPr>
        <w:spacing w:line="460" w:lineRule="exact"/>
        <w:outlineLvl w:val="0"/>
        <w:rPr>
          <w:rFonts w:hint="eastAsia" w:ascii="楷体_GB2312" w:eastAsia="楷体_GB2312"/>
          <w:b/>
          <w:bCs/>
          <w:color w:val="auto"/>
          <w:sz w:val="22"/>
          <w:szCs w:val="22"/>
        </w:rPr>
      </w:pPr>
      <w:r>
        <w:rPr>
          <w:rFonts w:hint="eastAsia" w:ascii="楷体_GB2312" w:eastAsia="楷体_GB2312"/>
          <w:b/>
          <w:bCs/>
          <w:color w:val="auto"/>
          <w:sz w:val="22"/>
          <w:szCs w:val="22"/>
        </w:rPr>
        <w:t>附件9</w:t>
      </w:r>
      <w:bookmarkEnd w:id="205"/>
    </w:p>
    <w:p>
      <w:pPr>
        <w:widowControl/>
        <w:spacing w:line="420" w:lineRule="atLeast"/>
        <w:jc w:val="center"/>
        <w:outlineLvl w:val="0"/>
        <w:rPr>
          <w:rFonts w:hint="eastAsia" w:ascii="宋体" w:hAnsi="宋体"/>
          <w:b/>
          <w:bCs/>
          <w:color w:val="auto"/>
          <w:kern w:val="0"/>
          <w:sz w:val="30"/>
          <w:szCs w:val="30"/>
        </w:rPr>
      </w:pPr>
      <w:bookmarkStart w:id="206" w:name="_Toc4811"/>
      <w:r>
        <w:rPr>
          <w:rFonts w:hint="eastAsia" w:ascii="宋体" w:hAnsi="宋体"/>
          <w:b/>
          <w:bCs/>
          <w:color w:val="auto"/>
          <w:kern w:val="0"/>
          <w:sz w:val="30"/>
          <w:szCs w:val="30"/>
        </w:rPr>
        <w:t>投标报价明细表</w:t>
      </w:r>
      <w:bookmarkEnd w:id="206"/>
    </w:p>
    <w:p>
      <w:pPr>
        <w:pStyle w:val="22"/>
        <w:ind w:left="842" w:hanging="422"/>
        <w:rPr>
          <w:rFonts w:hint="eastAsia" w:ascii="宋体" w:hAnsi="宋体"/>
          <w:b/>
          <w:color w:val="auto"/>
        </w:rPr>
      </w:pPr>
      <w:r>
        <w:rPr>
          <w:rFonts w:hint="eastAsia" w:ascii="宋体" w:hAnsi="宋体"/>
          <w:b/>
          <w:color w:val="auto"/>
        </w:rPr>
        <w:t>项目名称：</w:t>
      </w:r>
      <w:r>
        <w:rPr>
          <w:rFonts w:hint="eastAsia" w:ascii="宋体" w:hAnsi="宋体"/>
          <w:b/>
          <w:color w:val="auto"/>
          <w:lang w:eastAsia="zh-CN"/>
        </w:rPr>
        <w:t>常山县生活垃圾填埋场渗滤液处理及渗滤液处理区运维管理项目</w:t>
      </w:r>
      <w:r>
        <w:rPr>
          <w:rFonts w:hint="eastAsia" w:ascii="宋体" w:hAnsi="宋体"/>
          <w:b/>
          <w:color w:val="auto"/>
        </w:rPr>
        <w:t xml:space="preserve">           </w:t>
      </w:r>
    </w:p>
    <w:p>
      <w:pPr>
        <w:pStyle w:val="22"/>
        <w:ind w:left="842" w:hanging="422"/>
        <w:rPr>
          <w:rFonts w:hint="eastAsia" w:ascii="宋体" w:hAnsi="宋体" w:eastAsia="宋体"/>
          <w:b/>
          <w:color w:val="auto"/>
          <w:lang w:eastAsia="zh-CN"/>
        </w:rPr>
      </w:pPr>
      <w:r>
        <w:rPr>
          <w:rFonts w:hint="eastAsia" w:ascii="宋体" w:hAnsi="宋体"/>
          <w:b/>
          <w:color w:val="auto"/>
        </w:rPr>
        <w:t>项目编号：</w:t>
      </w:r>
      <w:r>
        <w:rPr>
          <w:rFonts w:hint="eastAsia" w:ascii="宋体" w:hAnsi="宋体"/>
          <w:b/>
          <w:color w:val="auto"/>
          <w:lang w:eastAsia="zh-CN"/>
        </w:rPr>
        <w:t>CSLT-GK-2022022</w:t>
      </w:r>
    </w:p>
    <w:tbl>
      <w:tblPr>
        <w:tblStyle w:val="23"/>
        <w:tblW w:w="10125" w:type="dxa"/>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735"/>
        <w:gridCol w:w="2325"/>
        <w:gridCol w:w="3540"/>
        <w:gridCol w:w="3525"/>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5" w:type="dxa"/>
            <w:tcBorders>
              <w:top w:val="single" w:color="auto" w:sz="18" w:space="0"/>
              <w:left w:val="single" w:color="auto" w:sz="18" w:space="0"/>
              <w:bottom w:val="single" w:color="auto" w:sz="6" w:space="0"/>
              <w:right w:val="single" w:color="auto" w:sz="4" w:space="0"/>
            </w:tcBorders>
            <w:noWrap w:val="0"/>
            <w:vAlign w:val="center"/>
          </w:tcPr>
          <w:p>
            <w:pPr>
              <w:jc w:val="center"/>
              <w:rPr>
                <w:rFonts w:ascii="新宋体" w:hAnsi="新宋体" w:eastAsia="新宋体"/>
                <w:color w:val="auto"/>
                <w:sz w:val="22"/>
              </w:rPr>
            </w:pPr>
            <w:r>
              <w:rPr>
                <w:rFonts w:hint="eastAsia" w:ascii="新宋体" w:hAnsi="新宋体" w:eastAsia="新宋体"/>
                <w:color w:val="auto"/>
                <w:sz w:val="22"/>
              </w:rPr>
              <w:t>序号</w:t>
            </w:r>
          </w:p>
        </w:tc>
        <w:tc>
          <w:tcPr>
            <w:tcW w:w="2325" w:type="dxa"/>
            <w:tcBorders>
              <w:top w:val="single" w:color="auto" w:sz="18" w:space="0"/>
              <w:left w:val="single" w:color="auto" w:sz="4" w:space="0"/>
              <w:bottom w:val="single" w:color="auto" w:sz="6" w:space="0"/>
              <w:right w:val="single" w:color="auto" w:sz="6" w:space="0"/>
            </w:tcBorders>
            <w:noWrap w:val="0"/>
            <w:vAlign w:val="center"/>
          </w:tcPr>
          <w:p>
            <w:pPr>
              <w:pStyle w:val="60"/>
              <w:ind w:right="613"/>
              <w:jc w:val="center"/>
              <w:rPr>
                <w:rFonts w:ascii="新宋体" w:hAnsi="新宋体" w:eastAsia="新宋体"/>
                <w:color w:val="auto"/>
                <w:spacing w:val="-20"/>
                <w:sz w:val="22"/>
              </w:rPr>
            </w:pPr>
            <w:r>
              <w:rPr>
                <w:color w:val="auto"/>
              </w:rPr>
              <w:t>报价内容</w:t>
            </w:r>
          </w:p>
        </w:tc>
        <w:tc>
          <w:tcPr>
            <w:tcW w:w="3540" w:type="dxa"/>
            <w:tcBorders>
              <w:top w:val="single" w:color="auto" w:sz="18" w:space="0"/>
              <w:left w:val="single" w:color="auto" w:sz="4" w:space="0"/>
              <w:bottom w:val="single" w:color="auto" w:sz="6" w:space="0"/>
              <w:right w:val="single" w:color="auto" w:sz="6" w:space="0"/>
            </w:tcBorders>
            <w:noWrap w:val="0"/>
            <w:vAlign w:val="center"/>
          </w:tcPr>
          <w:p>
            <w:pPr>
              <w:pStyle w:val="60"/>
              <w:spacing w:before="63"/>
              <w:ind w:left="134" w:right="122"/>
              <w:jc w:val="center"/>
              <w:rPr>
                <w:rFonts w:ascii="新宋体" w:hAnsi="新宋体" w:eastAsia="新宋体"/>
                <w:color w:val="auto"/>
                <w:spacing w:val="-20"/>
                <w:sz w:val="22"/>
              </w:rPr>
            </w:pPr>
            <w:r>
              <w:rPr>
                <w:rFonts w:hint="eastAsia"/>
                <w:color w:val="auto"/>
              </w:rPr>
              <w:t>主要工作内容</w:t>
            </w:r>
          </w:p>
        </w:tc>
        <w:tc>
          <w:tcPr>
            <w:tcW w:w="3525" w:type="dxa"/>
            <w:tcBorders>
              <w:top w:val="single" w:color="auto" w:sz="18" w:space="0"/>
              <w:left w:val="single" w:color="auto" w:sz="6" w:space="0"/>
              <w:bottom w:val="single" w:color="auto" w:sz="6" w:space="0"/>
              <w:right w:val="single" w:color="auto" w:sz="18" w:space="0"/>
            </w:tcBorders>
            <w:noWrap w:val="0"/>
            <w:vAlign w:val="center"/>
          </w:tcPr>
          <w:p>
            <w:pPr>
              <w:jc w:val="center"/>
              <w:rPr>
                <w:rFonts w:ascii="新宋体" w:hAnsi="新宋体" w:eastAsia="新宋体"/>
                <w:color w:val="auto"/>
                <w:sz w:val="22"/>
              </w:rPr>
            </w:pPr>
            <w:r>
              <w:rPr>
                <w:rFonts w:hint="eastAsia" w:ascii="新宋体" w:hAnsi="新宋体" w:eastAsia="新宋体"/>
                <w:color w:val="auto"/>
                <w:sz w:val="22"/>
              </w:rPr>
              <w:t>投标报价（元）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735" w:type="dxa"/>
            <w:tcBorders>
              <w:top w:val="single" w:color="auto" w:sz="6" w:space="0"/>
              <w:left w:val="single" w:color="auto" w:sz="18" w:space="0"/>
              <w:right w:val="single" w:color="auto" w:sz="4" w:space="0"/>
            </w:tcBorders>
            <w:noWrap w:val="0"/>
            <w:vAlign w:val="center"/>
          </w:tcPr>
          <w:p>
            <w:pPr>
              <w:jc w:val="center"/>
              <w:rPr>
                <w:rFonts w:ascii="新宋体" w:hAnsi="新宋体" w:eastAsia="新宋体"/>
                <w:bCs/>
                <w:color w:val="auto"/>
                <w:sz w:val="22"/>
              </w:rPr>
            </w:pPr>
            <w:r>
              <w:rPr>
                <w:rFonts w:hint="eastAsia" w:ascii="新宋体" w:hAnsi="新宋体" w:eastAsia="新宋体"/>
                <w:bCs/>
                <w:color w:val="auto"/>
                <w:sz w:val="22"/>
              </w:rPr>
              <w:t>1</w:t>
            </w:r>
          </w:p>
        </w:tc>
        <w:tc>
          <w:tcPr>
            <w:tcW w:w="2325" w:type="dxa"/>
            <w:tcBorders>
              <w:top w:val="single" w:color="auto" w:sz="6" w:space="0"/>
              <w:left w:val="single" w:color="auto" w:sz="4" w:space="0"/>
              <w:right w:val="single" w:color="auto" w:sz="6" w:space="0"/>
            </w:tcBorders>
            <w:noWrap w:val="0"/>
            <w:vAlign w:val="center"/>
          </w:tcPr>
          <w:p>
            <w:pPr>
              <w:jc w:val="center"/>
              <w:rPr>
                <w:rFonts w:ascii="新宋体" w:hAnsi="新宋体" w:eastAsia="新宋体"/>
                <w:b/>
                <w:bCs/>
                <w:color w:val="auto"/>
                <w:sz w:val="22"/>
              </w:rPr>
            </w:pPr>
          </w:p>
        </w:tc>
        <w:tc>
          <w:tcPr>
            <w:tcW w:w="3540" w:type="dxa"/>
            <w:tcBorders>
              <w:top w:val="single" w:color="auto" w:sz="6" w:space="0"/>
              <w:left w:val="single" w:color="auto" w:sz="4" w:space="0"/>
              <w:right w:val="single" w:color="auto" w:sz="6" w:space="0"/>
            </w:tcBorders>
            <w:noWrap w:val="0"/>
            <w:vAlign w:val="center"/>
          </w:tcPr>
          <w:p>
            <w:pPr>
              <w:jc w:val="center"/>
              <w:rPr>
                <w:rFonts w:ascii="新宋体" w:hAnsi="新宋体" w:eastAsia="新宋体"/>
                <w:b/>
                <w:bCs/>
                <w:color w:val="auto"/>
                <w:sz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auto"/>
                <w:sz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735" w:type="dxa"/>
            <w:tcBorders>
              <w:top w:val="single" w:color="auto" w:sz="6" w:space="0"/>
              <w:left w:val="single" w:color="auto" w:sz="18" w:space="0"/>
              <w:bottom w:val="single" w:color="auto" w:sz="4" w:space="0"/>
              <w:right w:val="single" w:color="auto" w:sz="4" w:space="0"/>
            </w:tcBorders>
            <w:noWrap w:val="0"/>
            <w:vAlign w:val="center"/>
          </w:tcPr>
          <w:p>
            <w:pPr>
              <w:jc w:val="center"/>
              <w:rPr>
                <w:rFonts w:ascii="新宋体" w:hAnsi="新宋体" w:eastAsia="新宋体"/>
                <w:bCs/>
                <w:color w:val="auto"/>
                <w:sz w:val="22"/>
              </w:rPr>
            </w:pPr>
            <w:r>
              <w:rPr>
                <w:rFonts w:hint="eastAsia" w:ascii="新宋体" w:hAnsi="新宋体" w:eastAsia="新宋体"/>
                <w:bCs/>
                <w:color w:val="auto"/>
                <w:sz w:val="22"/>
              </w:rPr>
              <w:t>2</w:t>
            </w:r>
          </w:p>
        </w:tc>
        <w:tc>
          <w:tcPr>
            <w:tcW w:w="2325"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新宋体" w:hAnsi="新宋体" w:eastAsia="新宋体"/>
                <w:b/>
                <w:bCs/>
                <w:color w:val="auto"/>
                <w:sz w:val="22"/>
              </w:rPr>
            </w:pPr>
          </w:p>
        </w:tc>
        <w:tc>
          <w:tcPr>
            <w:tcW w:w="3540"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新宋体" w:hAnsi="新宋体" w:eastAsia="新宋体"/>
                <w:b/>
                <w:bCs/>
                <w:color w:val="auto"/>
                <w:sz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auto"/>
                <w:sz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366" w:hRule="atLeast"/>
        </w:trPr>
        <w:tc>
          <w:tcPr>
            <w:tcW w:w="735" w:type="dxa"/>
            <w:tcBorders>
              <w:top w:val="single" w:color="auto" w:sz="4" w:space="0"/>
              <w:left w:val="single" w:color="auto" w:sz="18" w:space="0"/>
              <w:bottom w:val="single" w:color="auto" w:sz="4" w:space="0"/>
              <w:right w:val="single" w:color="auto" w:sz="4" w:space="0"/>
            </w:tcBorders>
            <w:noWrap w:val="0"/>
            <w:vAlign w:val="center"/>
          </w:tcPr>
          <w:p>
            <w:pPr>
              <w:jc w:val="center"/>
              <w:rPr>
                <w:rFonts w:ascii="新宋体" w:hAnsi="新宋体" w:eastAsia="新宋体"/>
                <w:color w:val="auto"/>
                <w:sz w:val="22"/>
              </w:rPr>
            </w:pPr>
            <w:r>
              <w:rPr>
                <w:rFonts w:hint="eastAsia" w:ascii="新宋体" w:hAnsi="新宋体" w:eastAsia="新宋体"/>
                <w:color w:val="auto"/>
                <w:sz w:val="22"/>
              </w:rPr>
              <w:t>3</w:t>
            </w:r>
          </w:p>
        </w:tc>
        <w:tc>
          <w:tcPr>
            <w:tcW w:w="2325" w:type="dxa"/>
            <w:tcBorders>
              <w:top w:val="single" w:color="auto" w:sz="4" w:space="0"/>
              <w:left w:val="single" w:color="auto" w:sz="4" w:space="0"/>
              <w:bottom w:val="single" w:color="auto" w:sz="4" w:space="0"/>
              <w:right w:val="single" w:color="auto" w:sz="6" w:space="0"/>
            </w:tcBorders>
            <w:noWrap w:val="0"/>
            <w:vAlign w:val="center"/>
          </w:tcPr>
          <w:p>
            <w:pPr>
              <w:jc w:val="center"/>
              <w:rPr>
                <w:rFonts w:ascii="新宋体" w:hAnsi="新宋体" w:eastAsia="新宋体"/>
                <w:color w:val="auto"/>
                <w:sz w:val="22"/>
              </w:rPr>
            </w:pPr>
          </w:p>
        </w:tc>
        <w:tc>
          <w:tcPr>
            <w:tcW w:w="35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新宋体" w:hAnsi="新宋体" w:eastAsia="新宋体"/>
                <w:color w:val="auto"/>
                <w:sz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auto"/>
                <w:sz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6600" w:type="dxa"/>
            <w:gridSpan w:val="3"/>
            <w:tcBorders>
              <w:top w:val="single" w:color="auto" w:sz="4" w:space="0"/>
              <w:left w:val="single" w:color="auto" w:sz="18" w:space="0"/>
              <w:bottom w:val="single" w:color="auto" w:sz="6" w:space="0"/>
              <w:right w:val="single" w:color="auto" w:sz="6" w:space="0"/>
            </w:tcBorders>
            <w:noWrap w:val="0"/>
            <w:vAlign w:val="center"/>
          </w:tcPr>
          <w:p>
            <w:pPr>
              <w:jc w:val="center"/>
              <w:rPr>
                <w:rFonts w:ascii="新宋体" w:hAnsi="新宋体" w:eastAsia="新宋体"/>
                <w:color w:val="auto"/>
                <w:sz w:val="22"/>
              </w:rPr>
            </w:pPr>
            <w:r>
              <w:rPr>
                <w:rFonts w:hint="eastAsia" w:ascii="新宋体" w:hAnsi="新宋体" w:eastAsia="新宋体"/>
                <w:bCs/>
                <w:color w:val="auto"/>
                <w:sz w:val="22"/>
              </w:rPr>
              <w:t>合   计（小写）</w:t>
            </w:r>
          </w:p>
        </w:tc>
        <w:tc>
          <w:tcPr>
            <w:tcW w:w="3525"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新宋体" w:hAnsi="新宋体" w:eastAsia="新宋体"/>
                <w:color w:val="auto"/>
                <w:sz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6600" w:type="dxa"/>
            <w:gridSpan w:val="3"/>
            <w:tcBorders>
              <w:left w:val="single" w:color="auto" w:sz="18" w:space="0"/>
              <w:bottom w:val="single" w:color="auto" w:sz="12" w:space="0"/>
              <w:right w:val="single" w:color="auto" w:sz="6" w:space="0"/>
            </w:tcBorders>
            <w:noWrap w:val="0"/>
            <w:vAlign w:val="center"/>
          </w:tcPr>
          <w:p>
            <w:pPr>
              <w:jc w:val="center"/>
              <w:rPr>
                <w:rFonts w:ascii="新宋体" w:hAnsi="新宋体" w:eastAsia="新宋体"/>
                <w:b/>
                <w:bCs/>
                <w:color w:val="auto"/>
                <w:sz w:val="22"/>
              </w:rPr>
            </w:pPr>
            <w:r>
              <w:rPr>
                <w:rFonts w:hint="eastAsia" w:ascii="新宋体" w:hAnsi="新宋体" w:eastAsia="新宋体"/>
                <w:bCs/>
                <w:color w:val="auto"/>
                <w:sz w:val="22"/>
              </w:rPr>
              <w:t>合   计</w:t>
            </w:r>
            <w:r>
              <w:rPr>
                <w:rFonts w:hint="eastAsia" w:ascii="新宋体" w:hAnsi="新宋体" w:eastAsia="新宋体"/>
                <w:color w:val="auto"/>
                <w:sz w:val="22"/>
              </w:rPr>
              <w:t>（大写）</w:t>
            </w:r>
          </w:p>
        </w:tc>
        <w:tc>
          <w:tcPr>
            <w:tcW w:w="3525" w:type="dxa"/>
            <w:tcBorders>
              <w:top w:val="single" w:color="auto" w:sz="6" w:space="0"/>
              <w:left w:val="single" w:color="auto" w:sz="6" w:space="0"/>
              <w:bottom w:val="single" w:color="auto" w:sz="12" w:space="0"/>
              <w:right w:val="single" w:color="auto" w:sz="18" w:space="0"/>
            </w:tcBorders>
            <w:noWrap w:val="0"/>
            <w:vAlign w:val="center"/>
          </w:tcPr>
          <w:p>
            <w:pPr>
              <w:jc w:val="center"/>
              <w:rPr>
                <w:rFonts w:ascii="新宋体" w:hAnsi="新宋体" w:eastAsia="新宋体"/>
                <w:color w:val="auto"/>
                <w:sz w:val="22"/>
              </w:rPr>
            </w:pPr>
          </w:p>
        </w:tc>
      </w:tr>
    </w:tbl>
    <w:p>
      <w:pPr>
        <w:spacing w:line="360" w:lineRule="auto"/>
        <w:ind w:left="723" w:hanging="723" w:hangingChars="343"/>
        <w:rPr>
          <w:rFonts w:hint="eastAsia" w:ascii="宋体" w:hAnsi="宋体" w:cs="宋体"/>
          <w:b/>
          <w:color w:val="auto"/>
          <w:szCs w:val="21"/>
        </w:rPr>
      </w:pPr>
      <w:r>
        <w:rPr>
          <w:rFonts w:hint="eastAsia" w:ascii="宋体" w:hAnsi="宋体" w:cs="宋体"/>
          <w:b/>
          <w:color w:val="auto"/>
          <w:szCs w:val="21"/>
        </w:rPr>
        <w:t>注：1. 总计价应与“开标一览表”中投标报价相一致。</w:t>
      </w:r>
    </w:p>
    <w:p>
      <w:pPr>
        <w:spacing w:line="360" w:lineRule="auto"/>
        <w:ind w:firstLine="421"/>
        <w:rPr>
          <w:rFonts w:hint="eastAsia" w:hAnsi="宋体"/>
          <w:color w:val="auto"/>
          <w:sz w:val="24"/>
        </w:rPr>
      </w:pPr>
      <w:r>
        <w:rPr>
          <w:rFonts w:hint="eastAsia" w:ascii="宋体" w:hAnsi="宋体" w:cs="宋体"/>
          <w:color w:val="auto"/>
          <w:szCs w:val="21"/>
        </w:rPr>
        <w:t xml:space="preserve">2. 本表可在不改变格式的情况下根据具体需要自行增加。 </w:t>
      </w:r>
    </w:p>
    <w:p>
      <w:pPr>
        <w:spacing w:line="360" w:lineRule="auto"/>
        <w:jc w:val="left"/>
        <w:rPr>
          <w:rFonts w:hint="eastAsia" w:ascii="宋体" w:hAnsi="宋体" w:cs="宋体"/>
          <w:b/>
          <w:bCs/>
          <w:color w:val="auto"/>
          <w:szCs w:val="21"/>
        </w:rPr>
      </w:pPr>
      <w:r>
        <w:rPr>
          <w:rFonts w:hint="eastAsia" w:ascii="宋体" w:hAnsi="宋体" w:cs="宋体"/>
          <w:b/>
          <w:bCs/>
          <w:color w:val="auto"/>
          <w:szCs w:val="21"/>
        </w:rPr>
        <w:t>投标人（盖章）：</w:t>
      </w:r>
    </w:p>
    <w:p>
      <w:pPr>
        <w:spacing w:line="360" w:lineRule="auto"/>
        <w:jc w:val="left"/>
        <w:rPr>
          <w:rFonts w:hint="eastAsia"/>
          <w:color w:val="auto"/>
        </w:rPr>
      </w:pPr>
      <w:r>
        <w:rPr>
          <w:rFonts w:hint="eastAsia" w:ascii="宋体" w:hAnsi="宋体" w:cs="宋体"/>
          <w:b/>
          <w:bCs/>
          <w:color w:val="auto"/>
          <w:szCs w:val="21"/>
        </w:rPr>
        <w:t>日 期：  年  月  日</w:t>
      </w:r>
    </w:p>
    <w:p>
      <w:pPr>
        <w:pStyle w:val="49"/>
        <w:widowControl w:val="0"/>
        <w:snapToGrid w:val="0"/>
        <w:spacing w:line="500" w:lineRule="exact"/>
        <w:jc w:val="center"/>
        <w:rPr>
          <w:rFonts w:hint="eastAsia" w:hAnsi="宋体" w:cs="方正小标宋简体"/>
          <w:color w:val="auto"/>
          <w:sz w:val="32"/>
          <w:szCs w:val="32"/>
        </w:rPr>
      </w:pPr>
    </w:p>
    <w:p>
      <w:pPr>
        <w:pStyle w:val="49"/>
        <w:widowControl w:val="0"/>
        <w:snapToGrid w:val="0"/>
        <w:spacing w:line="500" w:lineRule="exact"/>
        <w:jc w:val="center"/>
        <w:rPr>
          <w:rFonts w:hint="eastAsia" w:hAnsi="宋体" w:cs="方正小标宋简体"/>
          <w:color w:val="auto"/>
          <w:sz w:val="32"/>
          <w:szCs w:val="32"/>
        </w:rPr>
      </w:pPr>
    </w:p>
    <w:p>
      <w:pPr>
        <w:pStyle w:val="49"/>
        <w:widowControl w:val="0"/>
        <w:snapToGrid w:val="0"/>
        <w:spacing w:line="500" w:lineRule="exact"/>
        <w:jc w:val="center"/>
        <w:rPr>
          <w:rFonts w:hint="eastAsia" w:hAnsi="宋体" w:cs="方正小标宋简体"/>
          <w:color w:val="auto"/>
          <w:sz w:val="32"/>
          <w:szCs w:val="32"/>
        </w:rPr>
      </w:pPr>
    </w:p>
    <w:p>
      <w:pPr>
        <w:pStyle w:val="49"/>
        <w:widowControl w:val="0"/>
        <w:snapToGrid w:val="0"/>
        <w:spacing w:line="500" w:lineRule="exact"/>
        <w:jc w:val="center"/>
        <w:rPr>
          <w:rFonts w:hint="eastAsia" w:hAnsi="宋体" w:cs="方正小标宋简体"/>
          <w:color w:val="auto"/>
          <w:sz w:val="32"/>
          <w:szCs w:val="32"/>
        </w:rPr>
      </w:pPr>
    </w:p>
    <w:p>
      <w:pPr>
        <w:pStyle w:val="49"/>
        <w:widowControl w:val="0"/>
        <w:snapToGrid w:val="0"/>
        <w:spacing w:line="500" w:lineRule="exact"/>
        <w:jc w:val="center"/>
        <w:rPr>
          <w:rFonts w:hint="eastAsia" w:hAnsi="宋体" w:cs="方正小标宋简体"/>
          <w:color w:val="auto"/>
          <w:sz w:val="32"/>
          <w:szCs w:val="32"/>
        </w:rPr>
      </w:pPr>
    </w:p>
    <w:p>
      <w:pPr>
        <w:pStyle w:val="49"/>
        <w:widowControl w:val="0"/>
        <w:snapToGrid w:val="0"/>
        <w:spacing w:line="500" w:lineRule="exact"/>
        <w:jc w:val="center"/>
        <w:rPr>
          <w:rFonts w:hAnsi="宋体" w:cs="Times New Roman"/>
          <w:color w:val="auto"/>
          <w:sz w:val="32"/>
          <w:szCs w:val="32"/>
        </w:rPr>
      </w:pPr>
      <w:r>
        <w:rPr>
          <w:rFonts w:hint="eastAsia" w:hAnsi="宋体" w:cs="方正小标宋简体"/>
          <w:color w:val="auto"/>
          <w:sz w:val="32"/>
          <w:szCs w:val="32"/>
        </w:rPr>
        <w:t>政府采购活动现场确认声明书</w:t>
      </w:r>
    </w:p>
    <w:p>
      <w:pPr>
        <w:pStyle w:val="49"/>
        <w:widowControl w:val="0"/>
        <w:snapToGrid w:val="0"/>
        <w:spacing w:line="500" w:lineRule="exact"/>
        <w:jc w:val="both"/>
        <w:rPr>
          <w:rFonts w:hAnsi="宋体" w:cs="Times New Roman"/>
          <w:color w:val="auto"/>
          <w:kern w:val="0"/>
          <w:sz w:val="28"/>
          <w:szCs w:val="28"/>
        </w:rPr>
      </w:pPr>
    </w:p>
    <w:p>
      <w:pPr>
        <w:pStyle w:val="49"/>
        <w:widowControl w:val="0"/>
        <w:snapToGrid w:val="0"/>
        <w:spacing w:line="440" w:lineRule="exact"/>
        <w:jc w:val="both"/>
        <w:rPr>
          <w:rFonts w:hAnsi="宋体" w:cs="Times New Roman"/>
          <w:bCs/>
          <w:color w:val="auto"/>
          <w:sz w:val="24"/>
          <w:szCs w:val="24"/>
        </w:rPr>
      </w:pPr>
      <w:r>
        <w:rPr>
          <w:rFonts w:hAnsi="宋体"/>
          <w:color w:val="auto"/>
          <w:kern w:val="0"/>
          <w:sz w:val="24"/>
          <w:szCs w:val="24"/>
        </w:rPr>
        <w:t xml:space="preserve"> </w:t>
      </w:r>
      <w:r>
        <w:rPr>
          <w:rFonts w:hint="eastAsia" w:hAnsi="宋体"/>
          <w:color w:val="auto"/>
          <w:kern w:val="0"/>
          <w:sz w:val="24"/>
          <w:szCs w:val="24"/>
        </w:rPr>
        <w:t>衢州联腾工程咨询有限公司：</w:t>
      </w:r>
    </w:p>
    <w:p>
      <w:pPr>
        <w:pStyle w:val="49"/>
        <w:widowControl w:val="0"/>
        <w:snapToGrid w:val="0"/>
        <w:spacing w:line="440" w:lineRule="exact"/>
        <w:ind w:firstLine="504" w:firstLineChars="200"/>
        <w:rPr>
          <w:rFonts w:hAnsi="宋体"/>
          <w:color w:val="auto"/>
          <w:spacing w:val="6"/>
          <w:sz w:val="24"/>
          <w:szCs w:val="24"/>
          <w:u w:val="single"/>
        </w:rPr>
      </w:pPr>
      <w:r>
        <w:rPr>
          <w:rFonts w:hint="eastAsia" w:hAnsi="宋体"/>
          <w:color w:val="auto"/>
          <w:spacing w:val="6"/>
          <w:sz w:val="24"/>
          <w:szCs w:val="24"/>
        </w:rPr>
        <w:t>本人</w:t>
      </w:r>
      <w:r>
        <w:rPr>
          <w:rFonts w:hAnsi="宋体"/>
          <w:color w:val="auto"/>
          <w:spacing w:val="6"/>
          <w:sz w:val="24"/>
          <w:szCs w:val="24"/>
          <w:u w:val="single"/>
        </w:rPr>
        <w:t xml:space="preserve">        </w:t>
      </w:r>
      <w:r>
        <w:rPr>
          <w:rFonts w:hint="eastAsia" w:hAnsi="宋体"/>
          <w:color w:val="auto"/>
          <w:spacing w:val="6"/>
          <w:sz w:val="24"/>
          <w:szCs w:val="24"/>
        </w:rPr>
        <w:t>（授权代表姓名），经由</w:t>
      </w:r>
      <w:r>
        <w:rPr>
          <w:rFonts w:hAnsi="宋体"/>
          <w:color w:val="auto"/>
          <w:spacing w:val="6"/>
          <w:sz w:val="24"/>
          <w:szCs w:val="24"/>
          <w:u w:val="single"/>
        </w:rPr>
        <w:t xml:space="preserve">        </w:t>
      </w:r>
      <w:r>
        <w:rPr>
          <w:rFonts w:hint="eastAsia" w:hAnsi="宋体"/>
          <w:color w:val="auto"/>
          <w:spacing w:val="6"/>
          <w:sz w:val="24"/>
          <w:szCs w:val="24"/>
          <w:u w:val="single"/>
        </w:rPr>
        <w:t xml:space="preserve">                   </w:t>
      </w:r>
      <w:r>
        <w:rPr>
          <w:rFonts w:hAnsi="宋体"/>
          <w:color w:val="auto"/>
          <w:spacing w:val="6"/>
          <w:sz w:val="24"/>
          <w:szCs w:val="24"/>
          <w:u w:val="single"/>
        </w:rPr>
        <w:t xml:space="preserve">   </w:t>
      </w:r>
      <w:r>
        <w:rPr>
          <w:rFonts w:hint="eastAsia" w:hAnsi="宋体"/>
          <w:color w:val="auto"/>
          <w:spacing w:val="6"/>
          <w:sz w:val="24"/>
          <w:szCs w:val="24"/>
        </w:rPr>
        <w:t>（单位）</w:t>
      </w:r>
      <w:r>
        <w:rPr>
          <w:rFonts w:hAnsi="宋体"/>
          <w:color w:val="auto"/>
          <w:spacing w:val="6"/>
          <w:sz w:val="24"/>
          <w:szCs w:val="24"/>
          <w:u w:val="single"/>
        </w:rPr>
        <w:t xml:space="preserve">         </w:t>
      </w:r>
    </w:p>
    <w:p>
      <w:pPr>
        <w:pStyle w:val="49"/>
        <w:widowControl w:val="0"/>
        <w:wordWrap w:val="0"/>
        <w:snapToGrid w:val="0"/>
        <w:spacing w:line="440" w:lineRule="exact"/>
        <w:rPr>
          <w:rFonts w:hAnsi="宋体"/>
          <w:color w:val="auto"/>
          <w:spacing w:val="6"/>
          <w:sz w:val="24"/>
          <w:szCs w:val="24"/>
        </w:rPr>
      </w:pPr>
      <w:r>
        <w:rPr>
          <w:rFonts w:hint="eastAsia" w:hAnsi="宋体"/>
          <w:color w:val="auto"/>
          <w:spacing w:val="6"/>
          <w:sz w:val="24"/>
          <w:szCs w:val="24"/>
          <w:u w:val="single"/>
        </w:rPr>
        <w:t xml:space="preserve">                 </w:t>
      </w:r>
      <w:r>
        <w:rPr>
          <w:rFonts w:hint="eastAsia" w:hAnsi="宋体"/>
          <w:color w:val="auto"/>
          <w:spacing w:val="6"/>
          <w:sz w:val="24"/>
          <w:szCs w:val="24"/>
        </w:rPr>
        <w:t>（法定代表人姓名）合法授权参加</w:t>
      </w:r>
      <w:r>
        <w:rPr>
          <w:rFonts w:hint="eastAsia" w:hAnsi="宋体"/>
          <w:color w:val="auto"/>
          <w:sz w:val="24"/>
          <w:szCs w:val="24"/>
        </w:rPr>
        <w:t xml:space="preserve"> </w:t>
      </w:r>
      <w:r>
        <w:rPr>
          <w:rFonts w:hint="eastAsia" w:hAnsi="宋体"/>
          <w:color w:val="auto"/>
          <w:sz w:val="24"/>
          <w:szCs w:val="24"/>
          <w:u w:val="single"/>
          <w:lang w:eastAsia="zh-CN"/>
        </w:rPr>
        <w:t>常山县生活垃圾填埋场渗滤液处理及渗滤液处理区运维管理项目</w:t>
      </w:r>
      <w:r>
        <w:rPr>
          <w:rFonts w:hint="eastAsia" w:hAnsi="宋体"/>
          <w:color w:val="auto"/>
          <w:spacing w:val="6"/>
          <w:sz w:val="24"/>
          <w:szCs w:val="24"/>
        </w:rPr>
        <w:t>（编号：</w:t>
      </w:r>
      <w:r>
        <w:rPr>
          <w:rFonts w:hint="eastAsia" w:hAnsi="宋体"/>
          <w:color w:val="auto"/>
          <w:sz w:val="24"/>
          <w:szCs w:val="24"/>
          <w:u w:val="single"/>
        </w:rPr>
        <w:t xml:space="preserve"> </w:t>
      </w:r>
      <w:r>
        <w:rPr>
          <w:rFonts w:hint="eastAsia" w:hAnsi="宋体"/>
          <w:color w:val="auto"/>
          <w:sz w:val="24"/>
          <w:szCs w:val="24"/>
          <w:u w:val="single"/>
          <w:lang w:eastAsia="zh-CN"/>
        </w:rPr>
        <w:t>CSLT-GK-2022022</w:t>
      </w:r>
      <w:r>
        <w:rPr>
          <w:rFonts w:hint="eastAsia" w:hAnsi="宋体"/>
          <w:color w:val="auto"/>
          <w:sz w:val="24"/>
          <w:szCs w:val="24"/>
          <w:u w:val="single"/>
        </w:rPr>
        <w:t xml:space="preserve"> </w:t>
      </w:r>
      <w:r>
        <w:rPr>
          <w:rFonts w:hint="eastAsia" w:hAnsi="宋体"/>
          <w:color w:val="auto"/>
          <w:spacing w:val="6"/>
          <w:sz w:val="24"/>
          <w:szCs w:val="24"/>
        </w:rPr>
        <w:t>）政府采购活动，经与本单位法人代表（负责人）联系确认，现就有关公平竞争事项郑重声明如下：</w:t>
      </w:r>
      <w:r>
        <w:rPr>
          <w:rFonts w:hAnsi="宋体"/>
          <w:color w:val="auto"/>
          <w:spacing w:val="6"/>
          <w:sz w:val="24"/>
          <w:szCs w:val="24"/>
        </w:rPr>
        <w:t xml:space="preserve"> </w:t>
      </w:r>
    </w:p>
    <w:p>
      <w:pPr>
        <w:pStyle w:val="50"/>
        <w:widowControl/>
        <w:numPr>
          <w:ilvl w:val="0"/>
          <w:numId w:val="15"/>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本单位与采购单位之间</w:t>
      </w:r>
      <w:r>
        <w:rPr>
          <w:rFonts w:ascii="宋体" w:hAnsi="宋体" w:cs="宋体"/>
          <w:color w:val="auto"/>
          <w:kern w:val="0"/>
          <w:sz w:val="24"/>
          <w:szCs w:val="24"/>
        </w:rPr>
        <w:t xml:space="preserve"> </w:t>
      </w:r>
      <w:r>
        <w:rPr>
          <w:rFonts w:hint="eastAsia" w:ascii="宋体" w:hAnsi="宋体" w:cs="宋体"/>
          <w:color w:val="auto"/>
          <w:kern w:val="0"/>
          <w:sz w:val="24"/>
          <w:szCs w:val="24"/>
        </w:rPr>
        <w:t>□不存在利害关系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pPr>
        <w:pStyle w:val="50"/>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A.</w:t>
      </w:r>
      <w:r>
        <w:rPr>
          <w:rFonts w:hint="eastAsia" w:ascii="宋体" w:hAnsi="宋体" w:cs="宋体"/>
          <w:color w:val="auto"/>
          <w:kern w:val="0"/>
          <w:sz w:val="24"/>
          <w:szCs w:val="24"/>
        </w:rPr>
        <w:t>投资关系</w:t>
      </w:r>
      <w:r>
        <w:rPr>
          <w:rFonts w:ascii="宋体" w:hAnsi="宋体" w:cs="宋体"/>
          <w:color w:val="auto"/>
          <w:kern w:val="0"/>
          <w:sz w:val="24"/>
          <w:szCs w:val="24"/>
        </w:rPr>
        <w:t xml:space="preserve">    B.</w:t>
      </w:r>
      <w:r>
        <w:rPr>
          <w:rFonts w:hint="eastAsia" w:ascii="宋体" w:hAnsi="宋体" w:cs="宋体"/>
          <w:color w:val="auto"/>
          <w:kern w:val="0"/>
          <w:sz w:val="24"/>
          <w:szCs w:val="24"/>
        </w:rPr>
        <w:t>行政隶属关系</w:t>
      </w:r>
      <w:r>
        <w:rPr>
          <w:rFonts w:ascii="宋体" w:hAnsi="宋体" w:cs="宋体"/>
          <w:color w:val="auto"/>
          <w:kern w:val="0"/>
          <w:sz w:val="24"/>
          <w:szCs w:val="24"/>
        </w:rPr>
        <w:t xml:space="preserve">    C.</w:t>
      </w:r>
      <w:r>
        <w:rPr>
          <w:rFonts w:hint="eastAsia" w:ascii="宋体" w:hAnsi="宋体" w:cs="宋体"/>
          <w:color w:val="auto"/>
          <w:kern w:val="0"/>
          <w:sz w:val="24"/>
          <w:szCs w:val="24"/>
        </w:rPr>
        <w:t>业务指导关系</w:t>
      </w:r>
    </w:p>
    <w:p>
      <w:pPr>
        <w:pStyle w:val="50"/>
        <w:widowControl/>
        <w:snapToGrid w:val="0"/>
        <w:spacing w:line="440" w:lineRule="exact"/>
        <w:rPr>
          <w:rFonts w:ascii="宋体" w:hAnsi="宋体" w:cs="Times New Roman"/>
          <w:color w:val="auto"/>
          <w:kern w:val="0"/>
          <w:sz w:val="24"/>
          <w:szCs w:val="24"/>
        </w:rPr>
      </w:pPr>
      <w:r>
        <w:rPr>
          <w:rFonts w:ascii="宋体" w:hAnsi="宋体" w:cs="宋体"/>
          <w:color w:val="auto"/>
          <w:kern w:val="0"/>
          <w:sz w:val="24"/>
          <w:szCs w:val="24"/>
        </w:rPr>
        <w:t xml:space="preserve">  D.</w:t>
      </w:r>
      <w:r>
        <w:rPr>
          <w:rFonts w:hint="eastAsia" w:ascii="宋体" w:hAnsi="宋体" w:cs="宋体"/>
          <w:color w:val="auto"/>
          <w:kern w:val="0"/>
          <w:sz w:val="24"/>
          <w:szCs w:val="24"/>
        </w:rPr>
        <w:t>其他可能</w:t>
      </w:r>
      <w:r>
        <w:rPr>
          <w:rFonts w:hint="eastAsia" w:ascii="宋体" w:hAnsi="宋体" w:cs="宋体"/>
          <w:color w:val="auto"/>
          <w:sz w:val="24"/>
          <w:szCs w:val="24"/>
        </w:rPr>
        <w:t>影响采购公正的</w:t>
      </w:r>
      <w:r>
        <w:rPr>
          <w:rFonts w:hint="eastAsia" w:ascii="宋体" w:hAnsi="宋体" w:cs="宋体"/>
          <w:color w:val="auto"/>
          <w:kern w:val="0"/>
          <w:sz w:val="24"/>
          <w:szCs w:val="24"/>
        </w:rPr>
        <w:t>利害关系（如有，请如实说明）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pPr>
        <w:pStyle w:val="50"/>
        <w:widowControl/>
        <w:numPr>
          <w:ilvl w:val="0"/>
          <w:numId w:val="15"/>
        </w:numPr>
        <w:snapToGrid w:val="0"/>
        <w:spacing w:line="440" w:lineRule="exact"/>
        <w:ind w:firstLine="453" w:firstLineChars="189"/>
        <w:rPr>
          <w:rFonts w:ascii="宋体" w:hAnsi="宋体" w:cs="宋体"/>
          <w:color w:val="auto"/>
          <w:kern w:val="0"/>
          <w:sz w:val="24"/>
          <w:szCs w:val="24"/>
        </w:rPr>
      </w:pPr>
      <w:r>
        <w:rPr>
          <w:rFonts w:hint="eastAsia" w:ascii="宋体" w:hAnsi="宋体" w:cs="宋体"/>
          <w:color w:val="auto"/>
          <w:kern w:val="0"/>
          <w:sz w:val="24"/>
          <w:szCs w:val="24"/>
        </w:rPr>
        <w:t>现已清楚知道参加本项目采购活动的其他所有供应商名称，本单位</w:t>
      </w:r>
      <w:r>
        <w:rPr>
          <w:rFonts w:ascii="宋体" w:hAnsi="宋体" w:cs="宋体"/>
          <w:color w:val="auto"/>
          <w:kern w:val="0"/>
          <w:sz w:val="24"/>
          <w:szCs w:val="24"/>
        </w:rPr>
        <w:t xml:space="preserve"> </w:t>
      </w:r>
      <w:r>
        <w:rPr>
          <w:rFonts w:hint="eastAsia" w:ascii="宋体" w:hAnsi="宋体" w:cs="宋体"/>
          <w:color w:val="auto"/>
          <w:kern w:val="0"/>
          <w:sz w:val="24"/>
          <w:szCs w:val="24"/>
        </w:rPr>
        <w:t>□与其他所有供应商之间均不存在利害关系</w:t>
      </w:r>
      <w:r>
        <w:rPr>
          <w:rFonts w:ascii="宋体" w:hAnsi="宋体" w:cs="宋体"/>
          <w:color w:val="auto"/>
          <w:kern w:val="0"/>
          <w:sz w:val="24"/>
          <w:szCs w:val="24"/>
        </w:rPr>
        <w:t xml:space="preserve"> </w:t>
      </w:r>
      <w:r>
        <w:rPr>
          <w:rFonts w:hint="eastAsia" w:ascii="宋体" w:hAnsi="宋体" w:cs="宋体"/>
          <w:color w:val="auto"/>
          <w:kern w:val="0"/>
          <w:sz w:val="24"/>
          <w:szCs w:val="24"/>
        </w:rPr>
        <w:t>□与</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（供应商名称）之间存在下列利害关系</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pPr>
        <w:pStyle w:val="49"/>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A.</w:t>
      </w:r>
      <w:r>
        <w:rPr>
          <w:rFonts w:hint="eastAsia" w:hAnsi="宋体"/>
          <w:color w:val="auto"/>
          <w:kern w:val="0"/>
          <w:sz w:val="24"/>
          <w:szCs w:val="24"/>
        </w:rPr>
        <w:t>法定代表人或负责人或实际控制人是同一人</w:t>
      </w:r>
    </w:p>
    <w:p>
      <w:pPr>
        <w:pStyle w:val="49"/>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B.</w:t>
      </w:r>
      <w:r>
        <w:rPr>
          <w:rFonts w:hint="eastAsia" w:hAnsi="宋体"/>
          <w:color w:val="auto"/>
          <w:kern w:val="0"/>
          <w:sz w:val="24"/>
          <w:szCs w:val="24"/>
        </w:rPr>
        <w:t>法定代表人或负责人或实际控制人是夫妻关系</w:t>
      </w:r>
    </w:p>
    <w:p>
      <w:pPr>
        <w:pStyle w:val="49"/>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C.</w:t>
      </w:r>
      <w:r>
        <w:rPr>
          <w:rFonts w:hint="eastAsia" w:hAnsi="宋体"/>
          <w:color w:val="auto"/>
          <w:kern w:val="0"/>
          <w:sz w:val="24"/>
          <w:szCs w:val="24"/>
        </w:rPr>
        <w:t>法定代表人或负责人或实际控制人是直系血亲关系</w:t>
      </w:r>
    </w:p>
    <w:p>
      <w:pPr>
        <w:pStyle w:val="49"/>
        <w:widowControl w:val="0"/>
        <w:snapToGrid w:val="0"/>
        <w:spacing w:line="440" w:lineRule="exact"/>
        <w:jc w:val="both"/>
        <w:rPr>
          <w:rFonts w:hAnsi="宋体" w:cs="Times New Roman"/>
          <w:color w:val="auto"/>
          <w:spacing w:val="6"/>
          <w:sz w:val="24"/>
          <w:szCs w:val="24"/>
        </w:rPr>
      </w:pPr>
      <w:r>
        <w:rPr>
          <w:rFonts w:hAnsi="宋体"/>
          <w:color w:val="auto"/>
          <w:kern w:val="0"/>
          <w:sz w:val="24"/>
          <w:szCs w:val="24"/>
        </w:rPr>
        <w:t xml:space="preserve">  D.</w:t>
      </w:r>
      <w:r>
        <w:rPr>
          <w:rFonts w:hint="eastAsia" w:hAnsi="宋体"/>
          <w:color w:val="auto"/>
          <w:kern w:val="0"/>
          <w:sz w:val="24"/>
          <w:szCs w:val="24"/>
        </w:rPr>
        <w:t>法定代表人或负责人或实际控制人存在三代以内旁系血亲关系</w:t>
      </w:r>
    </w:p>
    <w:p>
      <w:pPr>
        <w:pStyle w:val="49"/>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E.</w:t>
      </w:r>
      <w:r>
        <w:rPr>
          <w:rFonts w:hint="eastAsia" w:hAnsi="宋体"/>
          <w:color w:val="auto"/>
          <w:kern w:val="0"/>
          <w:sz w:val="24"/>
          <w:szCs w:val="24"/>
        </w:rPr>
        <w:t>法定代表人或负责人或实际控制人存在近姻亲关系</w:t>
      </w:r>
    </w:p>
    <w:p>
      <w:pPr>
        <w:pStyle w:val="49"/>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F.</w:t>
      </w:r>
      <w:r>
        <w:rPr>
          <w:rFonts w:hint="eastAsia" w:hAnsi="宋体"/>
          <w:color w:val="auto"/>
          <w:kern w:val="0"/>
          <w:sz w:val="24"/>
          <w:szCs w:val="24"/>
        </w:rPr>
        <w:t>法定代表人或负责人或实际控制人存在股份控制或实际控制关系</w:t>
      </w:r>
    </w:p>
    <w:p>
      <w:pPr>
        <w:pStyle w:val="49"/>
        <w:widowControl w:val="0"/>
        <w:snapToGrid w:val="0"/>
        <w:spacing w:line="440" w:lineRule="exact"/>
        <w:jc w:val="both"/>
        <w:rPr>
          <w:rFonts w:hAnsi="宋体" w:cs="Times New Roman"/>
          <w:color w:val="auto"/>
          <w:kern w:val="0"/>
          <w:sz w:val="24"/>
          <w:szCs w:val="24"/>
        </w:rPr>
      </w:pPr>
      <w:r>
        <w:rPr>
          <w:rFonts w:hAnsi="宋体"/>
          <w:color w:val="auto"/>
          <w:kern w:val="0"/>
          <w:sz w:val="24"/>
          <w:szCs w:val="24"/>
        </w:rPr>
        <w:t xml:space="preserve">  G.</w:t>
      </w:r>
      <w:r>
        <w:rPr>
          <w:rFonts w:hint="eastAsia" w:hAnsi="宋体"/>
          <w:color w:val="auto"/>
          <w:kern w:val="0"/>
          <w:sz w:val="24"/>
          <w:szCs w:val="24"/>
        </w:rPr>
        <w:t>存在共同直接或间接投资设立子公司、联营企业和合营企业情况</w:t>
      </w:r>
    </w:p>
    <w:p>
      <w:pPr>
        <w:pStyle w:val="49"/>
        <w:widowControl w:val="0"/>
        <w:snapToGrid w:val="0"/>
        <w:spacing w:line="440" w:lineRule="exact"/>
        <w:jc w:val="both"/>
        <w:rPr>
          <w:rFonts w:hAnsi="宋体" w:cs="Times New Roman"/>
          <w:color w:val="auto"/>
          <w:sz w:val="24"/>
          <w:szCs w:val="24"/>
        </w:rPr>
      </w:pPr>
      <w:r>
        <w:rPr>
          <w:rFonts w:hAnsi="宋体"/>
          <w:color w:val="auto"/>
          <w:kern w:val="0"/>
          <w:sz w:val="24"/>
          <w:szCs w:val="24"/>
        </w:rPr>
        <w:t xml:space="preserve">  H.</w:t>
      </w:r>
      <w:r>
        <w:rPr>
          <w:rFonts w:hint="eastAsia" w:hAnsi="宋体"/>
          <w:color w:val="auto"/>
          <w:kern w:val="0"/>
          <w:sz w:val="24"/>
          <w:szCs w:val="24"/>
        </w:rPr>
        <w:t>存在分级代理或代销关系、同一生产制造商关系、</w:t>
      </w:r>
      <w:r>
        <w:rPr>
          <w:rFonts w:hint="eastAsia" w:hAnsi="宋体"/>
          <w:color w:val="auto"/>
          <w:sz w:val="24"/>
          <w:szCs w:val="24"/>
        </w:rPr>
        <w:t>管理关系、重要业务（占主营业务收入</w:t>
      </w:r>
      <w:r>
        <w:rPr>
          <w:rFonts w:hAnsi="宋体"/>
          <w:color w:val="auto"/>
          <w:sz w:val="24"/>
          <w:szCs w:val="24"/>
        </w:rPr>
        <w:t>50%</w:t>
      </w:r>
      <w:r>
        <w:rPr>
          <w:rFonts w:hint="eastAsia" w:hAnsi="宋体"/>
          <w:color w:val="auto"/>
          <w:sz w:val="24"/>
          <w:szCs w:val="24"/>
        </w:rPr>
        <w:t>以上）或重要财务往来关系（如融资）等其他实质性控制关系</w:t>
      </w:r>
    </w:p>
    <w:p>
      <w:pPr>
        <w:pStyle w:val="49"/>
        <w:widowControl w:val="0"/>
        <w:snapToGrid w:val="0"/>
        <w:spacing w:line="440" w:lineRule="exact"/>
        <w:jc w:val="both"/>
        <w:outlineLvl w:val="0"/>
        <w:rPr>
          <w:rFonts w:hAnsi="宋体" w:cs="Times New Roman"/>
          <w:color w:val="auto"/>
          <w:spacing w:val="6"/>
          <w:sz w:val="24"/>
          <w:szCs w:val="24"/>
        </w:rPr>
      </w:pPr>
      <w:r>
        <w:rPr>
          <w:rFonts w:hAnsi="宋体"/>
          <w:color w:val="auto"/>
          <w:sz w:val="24"/>
          <w:szCs w:val="24"/>
        </w:rPr>
        <w:t xml:space="preserve">  </w:t>
      </w:r>
      <w:bookmarkStart w:id="207" w:name="_Toc30242"/>
      <w:r>
        <w:rPr>
          <w:rFonts w:hAnsi="宋体"/>
          <w:color w:val="auto"/>
          <w:sz w:val="24"/>
          <w:szCs w:val="24"/>
        </w:rPr>
        <w:t>I</w:t>
      </w:r>
      <w:r>
        <w:rPr>
          <w:rFonts w:hAnsi="宋体"/>
          <w:color w:val="auto"/>
          <w:kern w:val="0"/>
          <w:sz w:val="24"/>
          <w:szCs w:val="24"/>
        </w:rPr>
        <w:t>.</w:t>
      </w:r>
      <w:r>
        <w:rPr>
          <w:rFonts w:hint="eastAsia" w:hAnsi="宋体"/>
          <w:color w:val="auto"/>
          <w:sz w:val="24"/>
          <w:szCs w:val="24"/>
        </w:rPr>
        <w:t>其他利害关系情况</w:t>
      </w:r>
      <w:r>
        <w:rPr>
          <w:rFonts w:hAnsi="宋体"/>
          <w:color w:val="auto"/>
          <w:sz w:val="24"/>
          <w:szCs w:val="24"/>
          <w:u w:val="single"/>
        </w:rPr>
        <w:t xml:space="preserve">                              </w:t>
      </w:r>
      <w:r>
        <w:rPr>
          <w:rFonts w:hint="eastAsia" w:hAnsi="宋体"/>
          <w:color w:val="auto"/>
          <w:kern w:val="0"/>
          <w:sz w:val="24"/>
          <w:szCs w:val="24"/>
        </w:rPr>
        <w:t>。</w:t>
      </w:r>
      <w:bookmarkEnd w:id="207"/>
    </w:p>
    <w:p>
      <w:pPr>
        <w:pStyle w:val="50"/>
        <w:widowControl/>
        <w:numPr>
          <w:ilvl w:val="0"/>
          <w:numId w:val="16"/>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sz w:val="24"/>
          <w:szCs w:val="24"/>
        </w:rPr>
        <w:t>现已清楚知道并</w:t>
      </w:r>
      <w:r>
        <w:rPr>
          <w:rFonts w:hint="eastAsia" w:ascii="宋体" w:hAnsi="宋体" w:cs="宋体"/>
          <w:color w:val="auto"/>
          <w:kern w:val="0"/>
          <w:sz w:val="24"/>
          <w:szCs w:val="24"/>
        </w:rPr>
        <w:t>严格遵守政府采购法律法规和现场纪律。</w:t>
      </w:r>
    </w:p>
    <w:p>
      <w:pPr>
        <w:pStyle w:val="50"/>
        <w:widowControl/>
        <w:numPr>
          <w:ilvl w:val="0"/>
          <w:numId w:val="16"/>
        </w:numPr>
        <w:snapToGrid w:val="0"/>
        <w:spacing w:line="440" w:lineRule="exact"/>
        <w:ind w:firstLine="453" w:firstLineChars="189"/>
        <w:rPr>
          <w:rFonts w:ascii="宋体" w:hAnsi="宋体" w:cs="Times New Roman"/>
          <w:color w:val="auto"/>
          <w:kern w:val="0"/>
          <w:sz w:val="24"/>
          <w:szCs w:val="24"/>
        </w:rPr>
      </w:pPr>
      <w:r>
        <w:rPr>
          <w:rFonts w:hint="eastAsia" w:ascii="宋体" w:hAnsi="宋体" w:cs="宋体"/>
          <w:color w:val="auto"/>
          <w:kern w:val="0"/>
          <w:sz w:val="24"/>
          <w:szCs w:val="24"/>
        </w:rPr>
        <w:t>我发现</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供应商之间存在或可能存在上述第二条第</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项利害关系。</w:t>
      </w:r>
    </w:p>
    <w:p>
      <w:pPr>
        <w:pStyle w:val="49"/>
        <w:widowControl w:val="0"/>
        <w:snapToGrid w:val="0"/>
        <w:spacing w:line="440" w:lineRule="exact"/>
        <w:jc w:val="both"/>
        <w:rPr>
          <w:rFonts w:hAnsi="宋体"/>
          <w:color w:val="auto"/>
          <w:sz w:val="24"/>
          <w:szCs w:val="24"/>
        </w:rPr>
      </w:pPr>
      <w:r>
        <w:rPr>
          <w:rFonts w:hint="eastAsia" w:hAnsi="宋体"/>
          <w:color w:val="auto"/>
          <w:sz w:val="24"/>
          <w:szCs w:val="24"/>
        </w:rPr>
        <w:t>（供应商代表签名）：</w:t>
      </w:r>
      <w:r>
        <w:rPr>
          <w:rFonts w:hAnsi="宋体"/>
          <w:color w:val="auto"/>
          <w:sz w:val="24"/>
          <w:szCs w:val="24"/>
        </w:rPr>
        <w:t xml:space="preserve">                                </w:t>
      </w:r>
    </w:p>
    <w:p>
      <w:pPr>
        <w:pStyle w:val="49"/>
        <w:widowControl w:val="0"/>
        <w:snapToGrid w:val="0"/>
        <w:spacing w:line="440" w:lineRule="exact"/>
        <w:ind w:firstLine="6000" w:firstLineChars="2500"/>
        <w:jc w:val="both"/>
        <w:rPr>
          <w:rFonts w:hint="eastAsia" w:hAnsi="宋体"/>
          <w:color w:val="auto"/>
          <w:sz w:val="24"/>
          <w:szCs w:val="24"/>
        </w:rPr>
      </w:pPr>
      <w:r>
        <w:rPr>
          <w:rFonts w:hAnsi="宋体"/>
          <w:color w:val="auto"/>
          <w:sz w:val="24"/>
          <w:szCs w:val="24"/>
        </w:rPr>
        <w:t xml:space="preserve">  </w:t>
      </w:r>
      <w:r>
        <w:rPr>
          <w:rFonts w:hint="eastAsia" w:hAnsi="宋体"/>
          <w:color w:val="auto"/>
          <w:sz w:val="24"/>
          <w:szCs w:val="24"/>
        </w:rPr>
        <w:t>202</w:t>
      </w:r>
      <w:r>
        <w:rPr>
          <w:rFonts w:hint="eastAsia" w:hAnsi="宋体"/>
          <w:color w:val="auto"/>
          <w:sz w:val="24"/>
          <w:szCs w:val="24"/>
          <w:lang w:val="en-US" w:eastAsia="zh-CN"/>
        </w:rPr>
        <w:t>2</w:t>
      </w:r>
      <w:r>
        <w:rPr>
          <w:rFonts w:hint="eastAsia" w:hAnsi="宋体"/>
          <w:color w:val="auto"/>
          <w:sz w:val="24"/>
          <w:szCs w:val="24"/>
        </w:rPr>
        <w:t>年  月  日</w:t>
      </w:r>
    </w:p>
    <w:p>
      <w:pPr>
        <w:pStyle w:val="49"/>
        <w:widowControl w:val="0"/>
        <w:snapToGrid w:val="0"/>
        <w:spacing w:line="440" w:lineRule="exact"/>
        <w:rPr>
          <w:rFonts w:hint="eastAsia" w:hAnsi="宋体"/>
          <w:color w:val="auto"/>
          <w:sz w:val="24"/>
          <w:szCs w:val="24"/>
        </w:rPr>
      </w:pPr>
    </w:p>
    <w:p>
      <w:pPr>
        <w:pStyle w:val="49"/>
        <w:widowControl w:val="0"/>
        <w:snapToGrid w:val="0"/>
        <w:spacing w:line="440" w:lineRule="exact"/>
        <w:rPr>
          <w:rFonts w:hint="eastAsia" w:hAnsi="宋体"/>
          <w:b/>
          <w:bCs/>
          <w:color w:val="auto"/>
          <w:sz w:val="24"/>
          <w:szCs w:val="24"/>
        </w:rPr>
      </w:pPr>
      <w:r>
        <w:rPr>
          <w:rFonts w:hint="eastAsia" w:hAnsi="宋体"/>
          <w:b/>
          <w:bCs/>
          <w:color w:val="auto"/>
          <w:sz w:val="24"/>
          <w:szCs w:val="24"/>
        </w:rPr>
        <w:t>注：开标前半小时加QQ群：1127034678，待完成解密后填写本确认书再以扫描件的形式发到QQ群内，打印时请删除此项注明。</w:t>
      </w:r>
    </w:p>
    <w:sectPr>
      <w:headerReference r:id="rId4" w:type="default"/>
      <w:footerReference r:id="rId5" w:type="default"/>
      <w:pgSz w:w="11906" w:h="16838"/>
      <w:pgMar w:top="1440" w:right="850" w:bottom="1440" w:left="85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OqTl7UAQAApQMAAA4AAABkcnMvZTJvRG9jLnhtbK1TS27bMBDd F8gdCO5jKQ6SCoLloIGRoEDRFkh7AJoiLQL8gUNb8gXaG3TVTfc9l8/RISU5RbrJohtqhjN8M+/N aHU3GE0OIoBytqFXi5ISYblrld019OuXh8uKEojMtkw7Kxp6FEDv1hdvVr2vxdJ1TrciEASxUPe+ oV2Mvi4K4J0wDBbOC4tB6YJhEd2wK9rAekQ3uliW5W3Ru9D64LgAwNvNGKQTYngNoJNScbFxfG+E jSNqEJpFpASd8kDXuVspBY+fpAQRiW4oMo35xCJob9NZrFes3gXmO8WnFthrWnjByTBlsegZasMi I/ug/oEyigcHTsYFd6YYiWRFkMVV+UKbp455kbmg1ODPosP/g+UfD58DUW1Dr3Hulhmc+OnH99PP 36df38j1bRKo91Bj3pPHzDjcuwHXZr4HvEy8BxlM+iIjgnGU93iWVwyR8PSoWlZViSGOsdlB/OL5 uQ8QH4UzJBkNDTi/LCs7fIA4ps4pqZp1D0rrPENtSY+oN9Xbm/ziHEJ0bbFIYjF2m6w4bIeJ2ta1 R2TW4xI01OLOU6LfW9Q47ctshNnYzsbeB7Xr8kKlVsC/20dsJ3eZKoywU2GcXuY5bVpaj7/9nPX8 d63/AF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Dzqk5e1AEAAKUDAAAOAAAAAAAAAAEAIAAA ACIBAABkcnMvZTJvRG9jLnhtbFBLBQYAAAAABgAGAFkBAABoBQAAAAA= ">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5D08C"/>
    <w:multiLevelType w:val="singleLevel"/>
    <w:tmpl w:val="B385D08C"/>
    <w:lvl w:ilvl="0" w:tentative="0">
      <w:start w:val="1"/>
      <w:numFmt w:val="decimal"/>
      <w:lvlText w:val="%1."/>
      <w:lvlJc w:val="left"/>
      <w:pPr>
        <w:tabs>
          <w:tab w:val="left" w:pos="312"/>
        </w:tabs>
      </w:pPr>
    </w:lvl>
  </w:abstractNum>
  <w:abstractNum w:abstractNumId="1">
    <w:nsid w:val="B898FF68"/>
    <w:multiLevelType w:val="singleLevel"/>
    <w:tmpl w:val="B898FF68"/>
    <w:lvl w:ilvl="0" w:tentative="0">
      <w:start w:val="1"/>
      <w:numFmt w:val="decimal"/>
      <w:suff w:val="nothing"/>
      <w:lvlText w:val="%1、"/>
      <w:lvlJc w:val="left"/>
    </w:lvl>
  </w:abstractNum>
  <w:abstractNum w:abstractNumId="2">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3">
    <w:nsid w:val="D6DAE2C8"/>
    <w:multiLevelType w:val="singleLevel"/>
    <w:tmpl w:val="D6DAE2C8"/>
    <w:lvl w:ilvl="0" w:tentative="0">
      <w:start w:val="4"/>
      <w:numFmt w:val="decimal"/>
      <w:suff w:val="space"/>
      <w:lvlText w:val="%1）"/>
      <w:lvlJc w:val="left"/>
    </w:lvl>
  </w:abstractNum>
  <w:abstractNum w:abstractNumId="4">
    <w:nsid w:val="F32CC20B"/>
    <w:multiLevelType w:val="singleLevel"/>
    <w:tmpl w:val="F32CC20B"/>
    <w:lvl w:ilvl="0" w:tentative="0">
      <w:start w:val="4"/>
      <w:numFmt w:val="chineseCounting"/>
      <w:suff w:val="space"/>
      <w:lvlText w:val="第%1章"/>
      <w:lvlJc w:val="left"/>
      <w:rPr>
        <w:rFonts w:hint="eastAsia"/>
      </w:rPr>
    </w:lvl>
  </w:abstractNum>
  <w:abstractNum w:abstractNumId="5">
    <w:nsid w:val="01C498A1"/>
    <w:multiLevelType w:val="singleLevel"/>
    <w:tmpl w:val="01C498A1"/>
    <w:lvl w:ilvl="0" w:tentative="0">
      <w:start w:val="1"/>
      <w:numFmt w:val="decimal"/>
      <w:suff w:val="nothing"/>
      <w:lvlText w:val="（%1）"/>
      <w:lvlJc w:val="left"/>
    </w:lvl>
  </w:abstractNum>
  <w:abstractNum w:abstractNumId="6">
    <w:nsid w:val="05792193"/>
    <w:multiLevelType w:val="singleLevel"/>
    <w:tmpl w:val="05792193"/>
    <w:lvl w:ilvl="0" w:tentative="0">
      <w:start w:val="6"/>
      <w:numFmt w:val="decimal"/>
      <w:suff w:val="nothing"/>
      <w:lvlText w:val="%1、"/>
      <w:lvlJc w:val="left"/>
    </w:lvl>
  </w:abstractNum>
  <w:abstractNum w:abstractNumId="7">
    <w:nsid w:val="125E0AA1"/>
    <w:multiLevelType w:val="singleLevel"/>
    <w:tmpl w:val="125E0AA1"/>
    <w:lvl w:ilvl="0" w:tentative="0">
      <w:start w:val="1"/>
      <w:numFmt w:val="decimal"/>
      <w:suff w:val="nothing"/>
      <w:lvlText w:val="%1、"/>
      <w:lvlJc w:val="left"/>
    </w:lvl>
  </w:abstractNum>
  <w:abstractNum w:abstractNumId="8">
    <w:nsid w:val="29391921"/>
    <w:multiLevelType w:val="singleLevel"/>
    <w:tmpl w:val="29391921"/>
    <w:lvl w:ilvl="0" w:tentative="0">
      <w:start w:val="1"/>
      <w:numFmt w:val="decimal"/>
      <w:suff w:val="nothing"/>
      <w:lvlText w:val="%1、"/>
      <w:lvlJc w:val="left"/>
    </w:lvl>
  </w:abstractNum>
  <w:abstractNum w:abstractNumId="9">
    <w:nsid w:val="3FA9E490"/>
    <w:multiLevelType w:val="singleLevel"/>
    <w:tmpl w:val="3FA9E490"/>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45CB81"/>
    <w:multiLevelType w:val="singleLevel"/>
    <w:tmpl w:val="5545CB81"/>
    <w:lvl w:ilvl="0" w:tentative="0">
      <w:start w:val="1"/>
      <w:numFmt w:val="chineseCounting"/>
      <w:suff w:val="space"/>
      <w:lvlText w:val="第%1章"/>
      <w:lvlJc w:val="left"/>
    </w:lvl>
  </w:abstractNum>
  <w:abstractNum w:abstractNumId="12">
    <w:nsid w:val="55608325"/>
    <w:multiLevelType w:val="singleLevel"/>
    <w:tmpl w:val="55608325"/>
    <w:lvl w:ilvl="0" w:tentative="0">
      <w:start w:val="4"/>
      <w:numFmt w:val="decimal"/>
      <w:suff w:val="nothing"/>
      <w:lvlText w:val="%1、"/>
      <w:lvlJc w:val="left"/>
    </w:lvl>
  </w:abstractNum>
  <w:abstractNum w:abstractNumId="13">
    <w:nsid w:val="55608DE2"/>
    <w:multiLevelType w:val="singleLevel"/>
    <w:tmpl w:val="55608DE2"/>
    <w:lvl w:ilvl="0" w:tentative="0">
      <w:start w:val="2"/>
      <w:numFmt w:val="decimal"/>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6D2D3083"/>
    <w:multiLevelType w:val="multilevel"/>
    <w:tmpl w:val="6D2D30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2"/>
  </w:num>
  <w:num w:numId="3">
    <w:abstractNumId w:val="7"/>
  </w:num>
  <w:num w:numId="4">
    <w:abstractNumId w:val="6"/>
  </w:num>
  <w:num w:numId="5">
    <w:abstractNumId w:val="3"/>
  </w:num>
  <w:num w:numId="6">
    <w:abstractNumId w:val="12"/>
  </w:num>
  <w:num w:numId="7">
    <w:abstractNumId w:val="9"/>
  </w:num>
  <w:num w:numId="8">
    <w:abstractNumId w:val="5"/>
  </w:num>
  <w:num w:numId="9">
    <w:abstractNumId w:val="0"/>
  </w:num>
  <w:num w:numId="10">
    <w:abstractNumId w:val="4"/>
  </w:num>
  <w:num w:numId="11">
    <w:abstractNumId w:val="15"/>
  </w:num>
  <w:num w:numId="12">
    <w:abstractNumId w:val="1"/>
  </w:num>
  <w:num w:numId="13">
    <w:abstractNumId w:val="13"/>
  </w:num>
  <w:num w:numId="14">
    <w:abstractNumId w:val="8"/>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zMxMDJmOGZkYjdhYjQxNzA5ZTg5OTI3YjIzNjUifQ=="/>
  </w:docVars>
  <w:rsids>
    <w:rsidRoot w:val="00172A27"/>
    <w:rsid w:val="00000A8C"/>
    <w:rsid w:val="00020A18"/>
    <w:rsid w:val="00030B71"/>
    <w:rsid w:val="000767BF"/>
    <w:rsid w:val="0008329C"/>
    <w:rsid w:val="000D2B3B"/>
    <w:rsid w:val="000F215E"/>
    <w:rsid w:val="000F71FD"/>
    <w:rsid w:val="00104F98"/>
    <w:rsid w:val="0014012E"/>
    <w:rsid w:val="00146C54"/>
    <w:rsid w:val="001632CA"/>
    <w:rsid w:val="001D5684"/>
    <w:rsid w:val="001F0EE1"/>
    <w:rsid w:val="00224322"/>
    <w:rsid w:val="0025544A"/>
    <w:rsid w:val="002B36C8"/>
    <w:rsid w:val="002B7F50"/>
    <w:rsid w:val="002E1F6F"/>
    <w:rsid w:val="002E706F"/>
    <w:rsid w:val="003272ED"/>
    <w:rsid w:val="00342A6B"/>
    <w:rsid w:val="00352EAF"/>
    <w:rsid w:val="00395342"/>
    <w:rsid w:val="003C77E8"/>
    <w:rsid w:val="003F6141"/>
    <w:rsid w:val="00446537"/>
    <w:rsid w:val="00471656"/>
    <w:rsid w:val="004E6F06"/>
    <w:rsid w:val="00511884"/>
    <w:rsid w:val="00552201"/>
    <w:rsid w:val="0056487B"/>
    <w:rsid w:val="005831AF"/>
    <w:rsid w:val="005C7778"/>
    <w:rsid w:val="0060501E"/>
    <w:rsid w:val="00617069"/>
    <w:rsid w:val="006507E3"/>
    <w:rsid w:val="00677B5F"/>
    <w:rsid w:val="0074620C"/>
    <w:rsid w:val="00775775"/>
    <w:rsid w:val="00815042"/>
    <w:rsid w:val="0082281E"/>
    <w:rsid w:val="0084193A"/>
    <w:rsid w:val="008514F9"/>
    <w:rsid w:val="00852311"/>
    <w:rsid w:val="00860EC1"/>
    <w:rsid w:val="00895AC0"/>
    <w:rsid w:val="00895CF3"/>
    <w:rsid w:val="008B0F8F"/>
    <w:rsid w:val="00910B01"/>
    <w:rsid w:val="00912877"/>
    <w:rsid w:val="0091297F"/>
    <w:rsid w:val="00955438"/>
    <w:rsid w:val="00973DA7"/>
    <w:rsid w:val="009B7DB0"/>
    <w:rsid w:val="009D3EEF"/>
    <w:rsid w:val="009D6FB4"/>
    <w:rsid w:val="009E7445"/>
    <w:rsid w:val="009F3510"/>
    <w:rsid w:val="00A14A6F"/>
    <w:rsid w:val="00A32958"/>
    <w:rsid w:val="00AC44E9"/>
    <w:rsid w:val="00B47A30"/>
    <w:rsid w:val="00B73383"/>
    <w:rsid w:val="00B87236"/>
    <w:rsid w:val="00B95009"/>
    <w:rsid w:val="00B973F5"/>
    <w:rsid w:val="00BB1398"/>
    <w:rsid w:val="00BB7DA6"/>
    <w:rsid w:val="00BC65E2"/>
    <w:rsid w:val="00BF6054"/>
    <w:rsid w:val="00C44682"/>
    <w:rsid w:val="00C93A28"/>
    <w:rsid w:val="00CA0C6D"/>
    <w:rsid w:val="00CF4B2D"/>
    <w:rsid w:val="00D02DF1"/>
    <w:rsid w:val="00D0572A"/>
    <w:rsid w:val="00D34FA3"/>
    <w:rsid w:val="00D52A99"/>
    <w:rsid w:val="00DB25B5"/>
    <w:rsid w:val="00E61DEB"/>
    <w:rsid w:val="00E80851"/>
    <w:rsid w:val="00E82E47"/>
    <w:rsid w:val="00EC7F25"/>
    <w:rsid w:val="00ED5D2D"/>
    <w:rsid w:val="00EE7253"/>
    <w:rsid w:val="00EF3422"/>
    <w:rsid w:val="00F354FC"/>
    <w:rsid w:val="00F57102"/>
    <w:rsid w:val="01085B27"/>
    <w:rsid w:val="0115527F"/>
    <w:rsid w:val="01301E7C"/>
    <w:rsid w:val="014178C7"/>
    <w:rsid w:val="015B6924"/>
    <w:rsid w:val="016F0582"/>
    <w:rsid w:val="018D0F17"/>
    <w:rsid w:val="01983295"/>
    <w:rsid w:val="019E547F"/>
    <w:rsid w:val="01AF70E0"/>
    <w:rsid w:val="01C0309B"/>
    <w:rsid w:val="01E44870"/>
    <w:rsid w:val="0219685F"/>
    <w:rsid w:val="021A1C5F"/>
    <w:rsid w:val="021A30A1"/>
    <w:rsid w:val="02225B04"/>
    <w:rsid w:val="023B3DE3"/>
    <w:rsid w:val="02651D9E"/>
    <w:rsid w:val="02760981"/>
    <w:rsid w:val="02780024"/>
    <w:rsid w:val="028344BC"/>
    <w:rsid w:val="02873805"/>
    <w:rsid w:val="02A26311"/>
    <w:rsid w:val="02B353FD"/>
    <w:rsid w:val="02D54924"/>
    <w:rsid w:val="02E0727B"/>
    <w:rsid w:val="02F76051"/>
    <w:rsid w:val="03085B3D"/>
    <w:rsid w:val="0315427F"/>
    <w:rsid w:val="03164F99"/>
    <w:rsid w:val="03483AC2"/>
    <w:rsid w:val="0369379C"/>
    <w:rsid w:val="037E5831"/>
    <w:rsid w:val="039B582A"/>
    <w:rsid w:val="03B75C87"/>
    <w:rsid w:val="03CB041B"/>
    <w:rsid w:val="03DF4F77"/>
    <w:rsid w:val="03E95174"/>
    <w:rsid w:val="03F47021"/>
    <w:rsid w:val="04092DCE"/>
    <w:rsid w:val="040A56B0"/>
    <w:rsid w:val="04410E59"/>
    <w:rsid w:val="044547EC"/>
    <w:rsid w:val="04A11817"/>
    <w:rsid w:val="04B4200C"/>
    <w:rsid w:val="04B816CC"/>
    <w:rsid w:val="04DB2D4A"/>
    <w:rsid w:val="04DF792A"/>
    <w:rsid w:val="04E57AC0"/>
    <w:rsid w:val="04F8095C"/>
    <w:rsid w:val="05186801"/>
    <w:rsid w:val="055D27D3"/>
    <w:rsid w:val="05754340"/>
    <w:rsid w:val="05895984"/>
    <w:rsid w:val="059565ED"/>
    <w:rsid w:val="05B214AF"/>
    <w:rsid w:val="05BE581F"/>
    <w:rsid w:val="05C0366A"/>
    <w:rsid w:val="05E23977"/>
    <w:rsid w:val="05E32B58"/>
    <w:rsid w:val="05E51D4A"/>
    <w:rsid w:val="05F62914"/>
    <w:rsid w:val="066A1A1E"/>
    <w:rsid w:val="067302D8"/>
    <w:rsid w:val="0680729D"/>
    <w:rsid w:val="068C3E93"/>
    <w:rsid w:val="069072E5"/>
    <w:rsid w:val="06952273"/>
    <w:rsid w:val="06957A65"/>
    <w:rsid w:val="06D84A45"/>
    <w:rsid w:val="070D6976"/>
    <w:rsid w:val="071F0978"/>
    <w:rsid w:val="075722A2"/>
    <w:rsid w:val="075E2523"/>
    <w:rsid w:val="077614EF"/>
    <w:rsid w:val="0786239F"/>
    <w:rsid w:val="07921036"/>
    <w:rsid w:val="079D7419"/>
    <w:rsid w:val="07B266C9"/>
    <w:rsid w:val="07B57556"/>
    <w:rsid w:val="07B90CB8"/>
    <w:rsid w:val="07DB0C2F"/>
    <w:rsid w:val="07E63F17"/>
    <w:rsid w:val="080B7E6A"/>
    <w:rsid w:val="080C2A50"/>
    <w:rsid w:val="082C1B58"/>
    <w:rsid w:val="08541602"/>
    <w:rsid w:val="087342D9"/>
    <w:rsid w:val="08905EB4"/>
    <w:rsid w:val="08C568EA"/>
    <w:rsid w:val="08FB78ED"/>
    <w:rsid w:val="09151759"/>
    <w:rsid w:val="09393F35"/>
    <w:rsid w:val="093E3C1D"/>
    <w:rsid w:val="09894266"/>
    <w:rsid w:val="09C0778A"/>
    <w:rsid w:val="09C13E54"/>
    <w:rsid w:val="09D56313"/>
    <w:rsid w:val="09D72FE0"/>
    <w:rsid w:val="09EF4BB6"/>
    <w:rsid w:val="09F8096C"/>
    <w:rsid w:val="09F811A4"/>
    <w:rsid w:val="09FB4081"/>
    <w:rsid w:val="09FC57C8"/>
    <w:rsid w:val="0A0D52EB"/>
    <w:rsid w:val="0A106B58"/>
    <w:rsid w:val="0A1E4E03"/>
    <w:rsid w:val="0A2646F3"/>
    <w:rsid w:val="0A4038E0"/>
    <w:rsid w:val="0A4A3BB2"/>
    <w:rsid w:val="0A5237DA"/>
    <w:rsid w:val="0A557A10"/>
    <w:rsid w:val="0A5A3A1F"/>
    <w:rsid w:val="0AAC240E"/>
    <w:rsid w:val="0AAF7892"/>
    <w:rsid w:val="0ABE4DCB"/>
    <w:rsid w:val="0AC37E7A"/>
    <w:rsid w:val="0AC50575"/>
    <w:rsid w:val="0AC91212"/>
    <w:rsid w:val="0AD5052F"/>
    <w:rsid w:val="0B2B5A29"/>
    <w:rsid w:val="0B61769D"/>
    <w:rsid w:val="0B65076A"/>
    <w:rsid w:val="0B6727D9"/>
    <w:rsid w:val="0BC33D9E"/>
    <w:rsid w:val="0BE5578A"/>
    <w:rsid w:val="0BEC2CBA"/>
    <w:rsid w:val="0C3B1C9C"/>
    <w:rsid w:val="0C580D74"/>
    <w:rsid w:val="0C6E02C3"/>
    <w:rsid w:val="0C8D3182"/>
    <w:rsid w:val="0CC117BB"/>
    <w:rsid w:val="0CC42BB0"/>
    <w:rsid w:val="0CF912DF"/>
    <w:rsid w:val="0D0F138E"/>
    <w:rsid w:val="0D250D19"/>
    <w:rsid w:val="0D2A0BF6"/>
    <w:rsid w:val="0D2A3ABE"/>
    <w:rsid w:val="0D32005A"/>
    <w:rsid w:val="0D3C568E"/>
    <w:rsid w:val="0D664C1F"/>
    <w:rsid w:val="0D820AF1"/>
    <w:rsid w:val="0E1A5A3B"/>
    <w:rsid w:val="0E1B19B0"/>
    <w:rsid w:val="0E230C39"/>
    <w:rsid w:val="0E4D1B27"/>
    <w:rsid w:val="0E6146F0"/>
    <w:rsid w:val="0E6E6507"/>
    <w:rsid w:val="0E722040"/>
    <w:rsid w:val="0E886846"/>
    <w:rsid w:val="0EA9647A"/>
    <w:rsid w:val="0EAC59CD"/>
    <w:rsid w:val="0EBC076E"/>
    <w:rsid w:val="0ECA07E2"/>
    <w:rsid w:val="0EE0605F"/>
    <w:rsid w:val="0EE708B1"/>
    <w:rsid w:val="0EF87BE4"/>
    <w:rsid w:val="0F0B7D27"/>
    <w:rsid w:val="0F175CCD"/>
    <w:rsid w:val="0F231D7E"/>
    <w:rsid w:val="0F2C0C63"/>
    <w:rsid w:val="0F324815"/>
    <w:rsid w:val="0F3550C8"/>
    <w:rsid w:val="0F471D99"/>
    <w:rsid w:val="0F4E2875"/>
    <w:rsid w:val="0F5E251F"/>
    <w:rsid w:val="0F7C60F1"/>
    <w:rsid w:val="0F9119CD"/>
    <w:rsid w:val="0FAD1DC8"/>
    <w:rsid w:val="0FE12B5A"/>
    <w:rsid w:val="10032C94"/>
    <w:rsid w:val="10153218"/>
    <w:rsid w:val="10200AD5"/>
    <w:rsid w:val="10914B80"/>
    <w:rsid w:val="109B03CC"/>
    <w:rsid w:val="10B12DC4"/>
    <w:rsid w:val="10BE2E9B"/>
    <w:rsid w:val="10D87FA1"/>
    <w:rsid w:val="10F34165"/>
    <w:rsid w:val="11196324"/>
    <w:rsid w:val="115B70AB"/>
    <w:rsid w:val="1178129C"/>
    <w:rsid w:val="118766D4"/>
    <w:rsid w:val="119E701A"/>
    <w:rsid w:val="11CB3AC2"/>
    <w:rsid w:val="11CD1C03"/>
    <w:rsid w:val="11E50C23"/>
    <w:rsid w:val="11F47704"/>
    <w:rsid w:val="122461F8"/>
    <w:rsid w:val="1252783C"/>
    <w:rsid w:val="126A2E48"/>
    <w:rsid w:val="128853C9"/>
    <w:rsid w:val="1293615E"/>
    <w:rsid w:val="12A43DE9"/>
    <w:rsid w:val="12AC282E"/>
    <w:rsid w:val="12BD5D04"/>
    <w:rsid w:val="12D07AF9"/>
    <w:rsid w:val="12E36BE9"/>
    <w:rsid w:val="12FD5A6C"/>
    <w:rsid w:val="13126151"/>
    <w:rsid w:val="13247774"/>
    <w:rsid w:val="132A73D8"/>
    <w:rsid w:val="135E1F57"/>
    <w:rsid w:val="13611C3D"/>
    <w:rsid w:val="138B79EB"/>
    <w:rsid w:val="138C7281"/>
    <w:rsid w:val="13A248EB"/>
    <w:rsid w:val="13A91D3D"/>
    <w:rsid w:val="13B21F67"/>
    <w:rsid w:val="13BC5A88"/>
    <w:rsid w:val="13D777CD"/>
    <w:rsid w:val="13E022FC"/>
    <w:rsid w:val="14047C59"/>
    <w:rsid w:val="141B3661"/>
    <w:rsid w:val="144B7786"/>
    <w:rsid w:val="145854BE"/>
    <w:rsid w:val="146F7418"/>
    <w:rsid w:val="1473015F"/>
    <w:rsid w:val="147F0B94"/>
    <w:rsid w:val="14877FF9"/>
    <w:rsid w:val="14893935"/>
    <w:rsid w:val="148E7575"/>
    <w:rsid w:val="14A3762E"/>
    <w:rsid w:val="14D63C04"/>
    <w:rsid w:val="14FA1EFB"/>
    <w:rsid w:val="15000D6C"/>
    <w:rsid w:val="15062FD8"/>
    <w:rsid w:val="1508527E"/>
    <w:rsid w:val="150A14DA"/>
    <w:rsid w:val="15335936"/>
    <w:rsid w:val="15394A1A"/>
    <w:rsid w:val="15453724"/>
    <w:rsid w:val="155B587D"/>
    <w:rsid w:val="15634011"/>
    <w:rsid w:val="15655FDB"/>
    <w:rsid w:val="156C55ED"/>
    <w:rsid w:val="157553B2"/>
    <w:rsid w:val="158521DA"/>
    <w:rsid w:val="15D55268"/>
    <w:rsid w:val="16107F19"/>
    <w:rsid w:val="162C7F37"/>
    <w:rsid w:val="164539D5"/>
    <w:rsid w:val="165244D0"/>
    <w:rsid w:val="165A3C2E"/>
    <w:rsid w:val="16686B33"/>
    <w:rsid w:val="16723142"/>
    <w:rsid w:val="16866470"/>
    <w:rsid w:val="16900E36"/>
    <w:rsid w:val="16A037D8"/>
    <w:rsid w:val="16AE42C4"/>
    <w:rsid w:val="16D327B3"/>
    <w:rsid w:val="174A10C0"/>
    <w:rsid w:val="17593175"/>
    <w:rsid w:val="175F594F"/>
    <w:rsid w:val="177721CA"/>
    <w:rsid w:val="17822524"/>
    <w:rsid w:val="17855F09"/>
    <w:rsid w:val="17B0699C"/>
    <w:rsid w:val="17F141D6"/>
    <w:rsid w:val="18193C6E"/>
    <w:rsid w:val="181D051D"/>
    <w:rsid w:val="182D2313"/>
    <w:rsid w:val="1833336E"/>
    <w:rsid w:val="184C5C83"/>
    <w:rsid w:val="1855363B"/>
    <w:rsid w:val="18731F74"/>
    <w:rsid w:val="18980476"/>
    <w:rsid w:val="18D845E1"/>
    <w:rsid w:val="19177FDB"/>
    <w:rsid w:val="19314C24"/>
    <w:rsid w:val="193B7216"/>
    <w:rsid w:val="19516372"/>
    <w:rsid w:val="19526877"/>
    <w:rsid w:val="19567039"/>
    <w:rsid w:val="19783362"/>
    <w:rsid w:val="19984B48"/>
    <w:rsid w:val="1998580F"/>
    <w:rsid w:val="19B17A41"/>
    <w:rsid w:val="19CF5F18"/>
    <w:rsid w:val="19D13C3F"/>
    <w:rsid w:val="19DF4927"/>
    <w:rsid w:val="19FF1BE0"/>
    <w:rsid w:val="1A1C6548"/>
    <w:rsid w:val="1A4047D9"/>
    <w:rsid w:val="1A62782A"/>
    <w:rsid w:val="1A6C09BE"/>
    <w:rsid w:val="1A71584C"/>
    <w:rsid w:val="1A88601E"/>
    <w:rsid w:val="1A9C13A6"/>
    <w:rsid w:val="1AA47997"/>
    <w:rsid w:val="1AA81168"/>
    <w:rsid w:val="1AC8570C"/>
    <w:rsid w:val="1AFC5DDB"/>
    <w:rsid w:val="1B03409B"/>
    <w:rsid w:val="1B2B662E"/>
    <w:rsid w:val="1B464791"/>
    <w:rsid w:val="1B570174"/>
    <w:rsid w:val="1B8946A5"/>
    <w:rsid w:val="1B8B31A3"/>
    <w:rsid w:val="1B901690"/>
    <w:rsid w:val="1B945EA9"/>
    <w:rsid w:val="1BBE3A57"/>
    <w:rsid w:val="1BC82196"/>
    <w:rsid w:val="1BD13616"/>
    <w:rsid w:val="1BEC4D61"/>
    <w:rsid w:val="1BFA43E7"/>
    <w:rsid w:val="1C074AA2"/>
    <w:rsid w:val="1C0A51E7"/>
    <w:rsid w:val="1C0D5A40"/>
    <w:rsid w:val="1C4E2F00"/>
    <w:rsid w:val="1C8323D1"/>
    <w:rsid w:val="1C864BDA"/>
    <w:rsid w:val="1C8D1599"/>
    <w:rsid w:val="1CA92E1C"/>
    <w:rsid w:val="1CBD7537"/>
    <w:rsid w:val="1CD60277"/>
    <w:rsid w:val="1CEB3B08"/>
    <w:rsid w:val="1CEC289E"/>
    <w:rsid w:val="1CEC2B3E"/>
    <w:rsid w:val="1CEF58FE"/>
    <w:rsid w:val="1D1C2193"/>
    <w:rsid w:val="1D1D7985"/>
    <w:rsid w:val="1D5F5A06"/>
    <w:rsid w:val="1D692E97"/>
    <w:rsid w:val="1D8560DB"/>
    <w:rsid w:val="1D9123CC"/>
    <w:rsid w:val="1DC278D2"/>
    <w:rsid w:val="1DD0508C"/>
    <w:rsid w:val="1DF64031"/>
    <w:rsid w:val="1E5C52B0"/>
    <w:rsid w:val="1E627229"/>
    <w:rsid w:val="1E877C09"/>
    <w:rsid w:val="1E8C45D9"/>
    <w:rsid w:val="1E9A18BA"/>
    <w:rsid w:val="1EB1719C"/>
    <w:rsid w:val="1ECC0F61"/>
    <w:rsid w:val="1EFF26CA"/>
    <w:rsid w:val="1F1B478E"/>
    <w:rsid w:val="1F26169B"/>
    <w:rsid w:val="1F47475D"/>
    <w:rsid w:val="1F5C15E9"/>
    <w:rsid w:val="1F6372C7"/>
    <w:rsid w:val="1F640000"/>
    <w:rsid w:val="1F7678D8"/>
    <w:rsid w:val="1F7A6EF9"/>
    <w:rsid w:val="1F81648C"/>
    <w:rsid w:val="1FAE5D8D"/>
    <w:rsid w:val="1FB97650"/>
    <w:rsid w:val="1FD637A8"/>
    <w:rsid w:val="1FD63B62"/>
    <w:rsid w:val="1FEB7427"/>
    <w:rsid w:val="1FEC0DF3"/>
    <w:rsid w:val="20000026"/>
    <w:rsid w:val="200A2E86"/>
    <w:rsid w:val="204147CB"/>
    <w:rsid w:val="20796D7F"/>
    <w:rsid w:val="20DA0FFF"/>
    <w:rsid w:val="20E17767"/>
    <w:rsid w:val="20EB4EDE"/>
    <w:rsid w:val="21042B4C"/>
    <w:rsid w:val="210F3D49"/>
    <w:rsid w:val="211803A6"/>
    <w:rsid w:val="2122605F"/>
    <w:rsid w:val="214E2B5A"/>
    <w:rsid w:val="21626E08"/>
    <w:rsid w:val="216929AF"/>
    <w:rsid w:val="21700CBC"/>
    <w:rsid w:val="217671A6"/>
    <w:rsid w:val="21DA4D44"/>
    <w:rsid w:val="21EC7417"/>
    <w:rsid w:val="22044B66"/>
    <w:rsid w:val="22161E2A"/>
    <w:rsid w:val="221B370C"/>
    <w:rsid w:val="22457E73"/>
    <w:rsid w:val="226F2247"/>
    <w:rsid w:val="227F6529"/>
    <w:rsid w:val="22995516"/>
    <w:rsid w:val="22E83BD1"/>
    <w:rsid w:val="22F63916"/>
    <w:rsid w:val="22F8166B"/>
    <w:rsid w:val="22FA5637"/>
    <w:rsid w:val="232D3728"/>
    <w:rsid w:val="23775858"/>
    <w:rsid w:val="23AB3753"/>
    <w:rsid w:val="23CA17F1"/>
    <w:rsid w:val="23FA18B9"/>
    <w:rsid w:val="23FC3497"/>
    <w:rsid w:val="24075D60"/>
    <w:rsid w:val="24167BB0"/>
    <w:rsid w:val="242E2AF5"/>
    <w:rsid w:val="243A7591"/>
    <w:rsid w:val="244E3AB0"/>
    <w:rsid w:val="245378CD"/>
    <w:rsid w:val="245D127D"/>
    <w:rsid w:val="24627B11"/>
    <w:rsid w:val="24756E66"/>
    <w:rsid w:val="249D01D9"/>
    <w:rsid w:val="24A51F50"/>
    <w:rsid w:val="24D11CBA"/>
    <w:rsid w:val="24D32246"/>
    <w:rsid w:val="24FB727B"/>
    <w:rsid w:val="24FD3846"/>
    <w:rsid w:val="250D0222"/>
    <w:rsid w:val="252C57A1"/>
    <w:rsid w:val="2551032A"/>
    <w:rsid w:val="255A7841"/>
    <w:rsid w:val="25915CC7"/>
    <w:rsid w:val="259C3D0D"/>
    <w:rsid w:val="25AB7A3A"/>
    <w:rsid w:val="25AD0397"/>
    <w:rsid w:val="25AD64F9"/>
    <w:rsid w:val="25CC2FCE"/>
    <w:rsid w:val="25D95CB8"/>
    <w:rsid w:val="25EC667D"/>
    <w:rsid w:val="25F767DC"/>
    <w:rsid w:val="260907CC"/>
    <w:rsid w:val="26154EB4"/>
    <w:rsid w:val="261C718E"/>
    <w:rsid w:val="26391FCA"/>
    <w:rsid w:val="264F6E86"/>
    <w:rsid w:val="26597D4B"/>
    <w:rsid w:val="265B08A2"/>
    <w:rsid w:val="269875C4"/>
    <w:rsid w:val="26A768F9"/>
    <w:rsid w:val="26C757BD"/>
    <w:rsid w:val="26CA64B0"/>
    <w:rsid w:val="26D02A8A"/>
    <w:rsid w:val="26F36550"/>
    <w:rsid w:val="2700193B"/>
    <w:rsid w:val="27054F28"/>
    <w:rsid w:val="27191CB0"/>
    <w:rsid w:val="271F1091"/>
    <w:rsid w:val="272D6CDB"/>
    <w:rsid w:val="272F1FA5"/>
    <w:rsid w:val="276C266E"/>
    <w:rsid w:val="276E1265"/>
    <w:rsid w:val="27A20A19"/>
    <w:rsid w:val="27B9449E"/>
    <w:rsid w:val="27BE1230"/>
    <w:rsid w:val="27C22E19"/>
    <w:rsid w:val="27D46494"/>
    <w:rsid w:val="27E47B16"/>
    <w:rsid w:val="281F6636"/>
    <w:rsid w:val="282910EA"/>
    <w:rsid w:val="283716E3"/>
    <w:rsid w:val="28402479"/>
    <w:rsid w:val="284A5E22"/>
    <w:rsid w:val="28512968"/>
    <w:rsid w:val="286B5CC1"/>
    <w:rsid w:val="28862099"/>
    <w:rsid w:val="28A368BB"/>
    <w:rsid w:val="28CF3A55"/>
    <w:rsid w:val="29017971"/>
    <w:rsid w:val="293221E0"/>
    <w:rsid w:val="293B2E83"/>
    <w:rsid w:val="294E4ED0"/>
    <w:rsid w:val="295977AD"/>
    <w:rsid w:val="298F1941"/>
    <w:rsid w:val="298F5898"/>
    <w:rsid w:val="29A62D96"/>
    <w:rsid w:val="29D109CD"/>
    <w:rsid w:val="29D56AB0"/>
    <w:rsid w:val="2A0471AA"/>
    <w:rsid w:val="2A303070"/>
    <w:rsid w:val="2A4D10C0"/>
    <w:rsid w:val="2AC409B1"/>
    <w:rsid w:val="2AE35581"/>
    <w:rsid w:val="2AE705C9"/>
    <w:rsid w:val="2AFE6B29"/>
    <w:rsid w:val="2B067F52"/>
    <w:rsid w:val="2B2A38E7"/>
    <w:rsid w:val="2B3E0648"/>
    <w:rsid w:val="2B674404"/>
    <w:rsid w:val="2B7B387E"/>
    <w:rsid w:val="2B937D0B"/>
    <w:rsid w:val="2BB563D7"/>
    <w:rsid w:val="2BCD020C"/>
    <w:rsid w:val="2BDC1FC1"/>
    <w:rsid w:val="2BF26637"/>
    <w:rsid w:val="2C0F0720"/>
    <w:rsid w:val="2C1370AC"/>
    <w:rsid w:val="2C1E34C8"/>
    <w:rsid w:val="2C301588"/>
    <w:rsid w:val="2C477D91"/>
    <w:rsid w:val="2C586B12"/>
    <w:rsid w:val="2C682624"/>
    <w:rsid w:val="2C8D7E9A"/>
    <w:rsid w:val="2C9100BE"/>
    <w:rsid w:val="2C9805ED"/>
    <w:rsid w:val="2C9D0FF3"/>
    <w:rsid w:val="2CAA2166"/>
    <w:rsid w:val="2CB74EC4"/>
    <w:rsid w:val="2CC23330"/>
    <w:rsid w:val="2CFA3776"/>
    <w:rsid w:val="2CFE673C"/>
    <w:rsid w:val="2D045C82"/>
    <w:rsid w:val="2D376058"/>
    <w:rsid w:val="2D586823"/>
    <w:rsid w:val="2DA538B1"/>
    <w:rsid w:val="2DBA2F11"/>
    <w:rsid w:val="2DD05575"/>
    <w:rsid w:val="2DE02914"/>
    <w:rsid w:val="2DFD4420"/>
    <w:rsid w:val="2E006668"/>
    <w:rsid w:val="2E074233"/>
    <w:rsid w:val="2E317702"/>
    <w:rsid w:val="2E3F4AFD"/>
    <w:rsid w:val="2E4313F5"/>
    <w:rsid w:val="2E4E18AB"/>
    <w:rsid w:val="2E831067"/>
    <w:rsid w:val="2E905383"/>
    <w:rsid w:val="2EA11B8C"/>
    <w:rsid w:val="2ECE02F6"/>
    <w:rsid w:val="2F027615"/>
    <w:rsid w:val="2F0B5C61"/>
    <w:rsid w:val="2F226D91"/>
    <w:rsid w:val="2F2F4352"/>
    <w:rsid w:val="2F6241ED"/>
    <w:rsid w:val="2F784DB2"/>
    <w:rsid w:val="2F9B5627"/>
    <w:rsid w:val="2FA479CB"/>
    <w:rsid w:val="2FA76B4C"/>
    <w:rsid w:val="2FCA4F61"/>
    <w:rsid w:val="2FD17CDB"/>
    <w:rsid w:val="2FD90A44"/>
    <w:rsid w:val="2FF90A15"/>
    <w:rsid w:val="304139A7"/>
    <w:rsid w:val="306457AA"/>
    <w:rsid w:val="306851A4"/>
    <w:rsid w:val="306A18C0"/>
    <w:rsid w:val="306C6B01"/>
    <w:rsid w:val="307B3B60"/>
    <w:rsid w:val="307C362A"/>
    <w:rsid w:val="3094583F"/>
    <w:rsid w:val="30A457B2"/>
    <w:rsid w:val="30A92536"/>
    <w:rsid w:val="30AF0589"/>
    <w:rsid w:val="30E40FE8"/>
    <w:rsid w:val="31115EB7"/>
    <w:rsid w:val="31171837"/>
    <w:rsid w:val="31226F35"/>
    <w:rsid w:val="3172328C"/>
    <w:rsid w:val="318B6FEA"/>
    <w:rsid w:val="318E0026"/>
    <w:rsid w:val="31A203EF"/>
    <w:rsid w:val="31A43215"/>
    <w:rsid w:val="31B33007"/>
    <w:rsid w:val="31C33D33"/>
    <w:rsid w:val="31C62DE9"/>
    <w:rsid w:val="31EB2517"/>
    <w:rsid w:val="31F62EA1"/>
    <w:rsid w:val="31F84838"/>
    <w:rsid w:val="321604CA"/>
    <w:rsid w:val="32362D7B"/>
    <w:rsid w:val="323B58DF"/>
    <w:rsid w:val="32544A18"/>
    <w:rsid w:val="325D4BD8"/>
    <w:rsid w:val="32617F82"/>
    <w:rsid w:val="326824B3"/>
    <w:rsid w:val="32AA2E28"/>
    <w:rsid w:val="32E60B60"/>
    <w:rsid w:val="3314338B"/>
    <w:rsid w:val="331436AD"/>
    <w:rsid w:val="3356566C"/>
    <w:rsid w:val="33732D77"/>
    <w:rsid w:val="33870C71"/>
    <w:rsid w:val="338F179B"/>
    <w:rsid w:val="339E2904"/>
    <w:rsid w:val="33AD11DA"/>
    <w:rsid w:val="33B50B2C"/>
    <w:rsid w:val="33E16D1D"/>
    <w:rsid w:val="33F56325"/>
    <w:rsid w:val="33F645BC"/>
    <w:rsid w:val="340F45D1"/>
    <w:rsid w:val="3449571F"/>
    <w:rsid w:val="34561530"/>
    <w:rsid w:val="3465102C"/>
    <w:rsid w:val="3498562E"/>
    <w:rsid w:val="34A83397"/>
    <w:rsid w:val="34AE1BA1"/>
    <w:rsid w:val="34E3558E"/>
    <w:rsid w:val="34E8621F"/>
    <w:rsid w:val="34EB2444"/>
    <w:rsid w:val="35025C17"/>
    <w:rsid w:val="35141D1E"/>
    <w:rsid w:val="35285D6D"/>
    <w:rsid w:val="35395502"/>
    <w:rsid w:val="35845746"/>
    <w:rsid w:val="358B32FA"/>
    <w:rsid w:val="35BA2B74"/>
    <w:rsid w:val="35D72A77"/>
    <w:rsid w:val="35DE5918"/>
    <w:rsid w:val="35E44E2B"/>
    <w:rsid w:val="362067DD"/>
    <w:rsid w:val="363225A5"/>
    <w:rsid w:val="36376F10"/>
    <w:rsid w:val="364100A6"/>
    <w:rsid w:val="36435A38"/>
    <w:rsid w:val="364610BA"/>
    <w:rsid w:val="364C40BF"/>
    <w:rsid w:val="364F4412"/>
    <w:rsid w:val="36572AA4"/>
    <w:rsid w:val="36724168"/>
    <w:rsid w:val="367319B6"/>
    <w:rsid w:val="367E1870"/>
    <w:rsid w:val="36CA6903"/>
    <w:rsid w:val="36CE4181"/>
    <w:rsid w:val="36DA5CED"/>
    <w:rsid w:val="36F20269"/>
    <w:rsid w:val="36F913B7"/>
    <w:rsid w:val="36FF744C"/>
    <w:rsid w:val="3702779A"/>
    <w:rsid w:val="371B0FD4"/>
    <w:rsid w:val="371B2869"/>
    <w:rsid w:val="374D2804"/>
    <w:rsid w:val="376F5C45"/>
    <w:rsid w:val="378735A3"/>
    <w:rsid w:val="379262AD"/>
    <w:rsid w:val="37BF0BC2"/>
    <w:rsid w:val="37C34A98"/>
    <w:rsid w:val="380A4BFE"/>
    <w:rsid w:val="3810197F"/>
    <w:rsid w:val="38120E84"/>
    <w:rsid w:val="38184EE4"/>
    <w:rsid w:val="38353194"/>
    <w:rsid w:val="385D0A6F"/>
    <w:rsid w:val="386D0450"/>
    <w:rsid w:val="387E4575"/>
    <w:rsid w:val="388750AD"/>
    <w:rsid w:val="38955D96"/>
    <w:rsid w:val="389A3776"/>
    <w:rsid w:val="389E074E"/>
    <w:rsid w:val="389F4A50"/>
    <w:rsid w:val="38C2712E"/>
    <w:rsid w:val="38CB4227"/>
    <w:rsid w:val="38CF4734"/>
    <w:rsid w:val="38E233F3"/>
    <w:rsid w:val="38F40AE7"/>
    <w:rsid w:val="39081AA5"/>
    <w:rsid w:val="390C7EAC"/>
    <w:rsid w:val="395A22DE"/>
    <w:rsid w:val="398D74F1"/>
    <w:rsid w:val="398E6BC8"/>
    <w:rsid w:val="399A53CD"/>
    <w:rsid w:val="39A607ED"/>
    <w:rsid w:val="39B95EA3"/>
    <w:rsid w:val="3A150E8C"/>
    <w:rsid w:val="3A1E5D66"/>
    <w:rsid w:val="3A3A218C"/>
    <w:rsid w:val="3A3F6AEA"/>
    <w:rsid w:val="3A577C79"/>
    <w:rsid w:val="3A5E23D3"/>
    <w:rsid w:val="3A6C4E35"/>
    <w:rsid w:val="3A8C79E3"/>
    <w:rsid w:val="3A901E68"/>
    <w:rsid w:val="3AA32B49"/>
    <w:rsid w:val="3AB3567E"/>
    <w:rsid w:val="3AB64A60"/>
    <w:rsid w:val="3AE354E4"/>
    <w:rsid w:val="3B20012B"/>
    <w:rsid w:val="3B37120B"/>
    <w:rsid w:val="3B40518E"/>
    <w:rsid w:val="3B4E189F"/>
    <w:rsid w:val="3B4E2EEA"/>
    <w:rsid w:val="3B516536"/>
    <w:rsid w:val="3B6E3676"/>
    <w:rsid w:val="3BF70EF8"/>
    <w:rsid w:val="3C2F2BD2"/>
    <w:rsid w:val="3C3C6EC2"/>
    <w:rsid w:val="3C6272E7"/>
    <w:rsid w:val="3CC74D33"/>
    <w:rsid w:val="3CD25455"/>
    <w:rsid w:val="3D2A5291"/>
    <w:rsid w:val="3D3D6563"/>
    <w:rsid w:val="3D5A7364"/>
    <w:rsid w:val="3D6D1FD5"/>
    <w:rsid w:val="3D842A28"/>
    <w:rsid w:val="3D8A664E"/>
    <w:rsid w:val="3D977E94"/>
    <w:rsid w:val="3D9C5762"/>
    <w:rsid w:val="3DD82F3F"/>
    <w:rsid w:val="3DEE1866"/>
    <w:rsid w:val="3DFB09DB"/>
    <w:rsid w:val="3E151A9D"/>
    <w:rsid w:val="3E194C24"/>
    <w:rsid w:val="3E3852D2"/>
    <w:rsid w:val="3E442382"/>
    <w:rsid w:val="3E586144"/>
    <w:rsid w:val="3E5C433B"/>
    <w:rsid w:val="3E6C262F"/>
    <w:rsid w:val="3E784169"/>
    <w:rsid w:val="3E7D413D"/>
    <w:rsid w:val="3ECE25F7"/>
    <w:rsid w:val="3ED93501"/>
    <w:rsid w:val="3EDD0730"/>
    <w:rsid w:val="3EE047D6"/>
    <w:rsid w:val="3EF041EC"/>
    <w:rsid w:val="3F00249A"/>
    <w:rsid w:val="3F0A27EB"/>
    <w:rsid w:val="3F1A7CCE"/>
    <w:rsid w:val="3F2B5235"/>
    <w:rsid w:val="3F710F55"/>
    <w:rsid w:val="3F8909C6"/>
    <w:rsid w:val="3F95362A"/>
    <w:rsid w:val="3FCA1F0B"/>
    <w:rsid w:val="3FD62D2B"/>
    <w:rsid w:val="3FED2FEE"/>
    <w:rsid w:val="404068E2"/>
    <w:rsid w:val="40734C2D"/>
    <w:rsid w:val="4073557B"/>
    <w:rsid w:val="408468B0"/>
    <w:rsid w:val="40862ED4"/>
    <w:rsid w:val="40F606B2"/>
    <w:rsid w:val="41240D7A"/>
    <w:rsid w:val="413C5EF8"/>
    <w:rsid w:val="413D2771"/>
    <w:rsid w:val="416071C4"/>
    <w:rsid w:val="417970A7"/>
    <w:rsid w:val="417D1202"/>
    <w:rsid w:val="418136EC"/>
    <w:rsid w:val="41896292"/>
    <w:rsid w:val="41A67FDD"/>
    <w:rsid w:val="41AD3F63"/>
    <w:rsid w:val="41E356A7"/>
    <w:rsid w:val="41E37814"/>
    <w:rsid w:val="41F64A9D"/>
    <w:rsid w:val="42101652"/>
    <w:rsid w:val="421424CC"/>
    <w:rsid w:val="4229257D"/>
    <w:rsid w:val="42601976"/>
    <w:rsid w:val="426254CD"/>
    <w:rsid w:val="426E79CE"/>
    <w:rsid w:val="42772D26"/>
    <w:rsid w:val="42B6688B"/>
    <w:rsid w:val="42E45EE2"/>
    <w:rsid w:val="42F86C64"/>
    <w:rsid w:val="430622FC"/>
    <w:rsid w:val="431241DB"/>
    <w:rsid w:val="432509D4"/>
    <w:rsid w:val="434774ED"/>
    <w:rsid w:val="43642335"/>
    <w:rsid w:val="437A41A8"/>
    <w:rsid w:val="43C62693"/>
    <w:rsid w:val="43E048FB"/>
    <w:rsid w:val="43E22445"/>
    <w:rsid w:val="43F12FEC"/>
    <w:rsid w:val="44017938"/>
    <w:rsid w:val="440773D8"/>
    <w:rsid w:val="440B61AF"/>
    <w:rsid w:val="441739E0"/>
    <w:rsid w:val="441A38CC"/>
    <w:rsid w:val="44250560"/>
    <w:rsid w:val="445B582E"/>
    <w:rsid w:val="445D7628"/>
    <w:rsid w:val="447A1A0A"/>
    <w:rsid w:val="447F1B4C"/>
    <w:rsid w:val="4489238D"/>
    <w:rsid w:val="449B2D5F"/>
    <w:rsid w:val="44A233DD"/>
    <w:rsid w:val="44B916E1"/>
    <w:rsid w:val="44C62A50"/>
    <w:rsid w:val="44CC2A04"/>
    <w:rsid w:val="44CD6220"/>
    <w:rsid w:val="44DB2CD5"/>
    <w:rsid w:val="44DF5CFB"/>
    <w:rsid w:val="44F558E3"/>
    <w:rsid w:val="450D05A9"/>
    <w:rsid w:val="45236D4C"/>
    <w:rsid w:val="45570BED"/>
    <w:rsid w:val="456F1071"/>
    <w:rsid w:val="458B1F8E"/>
    <w:rsid w:val="45913BAE"/>
    <w:rsid w:val="45BB3CA3"/>
    <w:rsid w:val="45D40758"/>
    <w:rsid w:val="45F951D2"/>
    <w:rsid w:val="462D08CE"/>
    <w:rsid w:val="46440B84"/>
    <w:rsid w:val="465D2233"/>
    <w:rsid w:val="46960951"/>
    <w:rsid w:val="46C6602A"/>
    <w:rsid w:val="46DE2657"/>
    <w:rsid w:val="46F94C35"/>
    <w:rsid w:val="470A2892"/>
    <w:rsid w:val="47395243"/>
    <w:rsid w:val="474D31B4"/>
    <w:rsid w:val="476447B7"/>
    <w:rsid w:val="47892599"/>
    <w:rsid w:val="478A252F"/>
    <w:rsid w:val="47985063"/>
    <w:rsid w:val="479E3A26"/>
    <w:rsid w:val="47B00925"/>
    <w:rsid w:val="47B03BA9"/>
    <w:rsid w:val="47B27EE7"/>
    <w:rsid w:val="47BE64ED"/>
    <w:rsid w:val="47C260B0"/>
    <w:rsid w:val="47F565AD"/>
    <w:rsid w:val="48034865"/>
    <w:rsid w:val="4808052D"/>
    <w:rsid w:val="480A1F47"/>
    <w:rsid w:val="48123849"/>
    <w:rsid w:val="481D4885"/>
    <w:rsid w:val="484C6120"/>
    <w:rsid w:val="487321E2"/>
    <w:rsid w:val="48775FDD"/>
    <w:rsid w:val="48943F23"/>
    <w:rsid w:val="48B3589C"/>
    <w:rsid w:val="48C60D29"/>
    <w:rsid w:val="48C76DAE"/>
    <w:rsid w:val="48C87F0E"/>
    <w:rsid w:val="48D44131"/>
    <w:rsid w:val="48EF132D"/>
    <w:rsid w:val="48EF2E72"/>
    <w:rsid w:val="48EF4ADE"/>
    <w:rsid w:val="48F03548"/>
    <w:rsid w:val="49226017"/>
    <w:rsid w:val="492405FC"/>
    <w:rsid w:val="49431BB4"/>
    <w:rsid w:val="495D5333"/>
    <w:rsid w:val="498C7D60"/>
    <w:rsid w:val="49E94BC3"/>
    <w:rsid w:val="49ED27EE"/>
    <w:rsid w:val="49FC0ACA"/>
    <w:rsid w:val="4A0C11FC"/>
    <w:rsid w:val="4A3A1243"/>
    <w:rsid w:val="4A4468E9"/>
    <w:rsid w:val="4A617E1F"/>
    <w:rsid w:val="4A635E5A"/>
    <w:rsid w:val="4A6A141F"/>
    <w:rsid w:val="4AB61CA3"/>
    <w:rsid w:val="4ABB1C1E"/>
    <w:rsid w:val="4AC73BC0"/>
    <w:rsid w:val="4ACF2AA9"/>
    <w:rsid w:val="4AD538CF"/>
    <w:rsid w:val="4AD854AB"/>
    <w:rsid w:val="4B1F0583"/>
    <w:rsid w:val="4B1F3F5B"/>
    <w:rsid w:val="4B78351B"/>
    <w:rsid w:val="4B80722D"/>
    <w:rsid w:val="4B9D38D8"/>
    <w:rsid w:val="4BC744BC"/>
    <w:rsid w:val="4C0B6E28"/>
    <w:rsid w:val="4C2B6930"/>
    <w:rsid w:val="4C3C2E50"/>
    <w:rsid w:val="4C467C13"/>
    <w:rsid w:val="4C4C64EA"/>
    <w:rsid w:val="4C547605"/>
    <w:rsid w:val="4C673E0C"/>
    <w:rsid w:val="4C7B597E"/>
    <w:rsid w:val="4C806B9E"/>
    <w:rsid w:val="4C8976D4"/>
    <w:rsid w:val="4CC02D87"/>
    <w:rsid w:val="4CC13419"/>
    <w:rsid w:val="4DBC743D"/>
    <w:rsid w:val="4DE176B5"/>
    <w:rsid w:val="4DFB1507"/>
    <w:rsid w:val="4E371AEB"/>
    <w:rsid w:val="4E404CA1"/>
    <w:rsid w:val="4E8B7A26"/>
    <w:rsid w:val="4E9702AC"/>
    <w:rsid w:val="4EAB0B37"/>
    <w:rsid w:val="4EBB70DD"/>
    <w:rsid w:val="4EBC759E"/>
    <w:rsid w:val="4EC156F9"/>
    <w:rsid w:val="4ED60D1A"/>
    <w:rsid w:val="4EF17E6C"/>
    <w:rsid w:val="4F022D8D"/>
    <w:rsid w:val="4F0E76AE"/>
    <w:rsid w:val="4F21757A"/>
    <w:rsid w:val="4F5F3149"/>
    <w:rsid w:val="4F817631"/>
    <w:rsid w:val="4FA83498"/>
    <w:rsid w:val="4FB56C3C"/>
    <w:rsid w:val="4FC449F6"/>
    <w:rsid w:val="4FD33566"/>
    <w:rsid w:val="4FF365C3"/>
    <w:rsid w:val="502130D8"/>
    <w:rsid w:val="504D083B"/>
    <w:rsid w:val="505E36C5"/>
    <w:rsid w:val="505F0470"/>
    <w:rsid w:val="50965F39"/>
    <w:rsid w:val="50AC0FE9"/>
    <w:rsid w:val="50C06161"/>
    <w:rsid w:val="50F70A6B"/>
    <w:rsid w:val="50FA2CEF"/>
    <w:rsid w:val="5119199D"/>
    <w:rsid w:val="511B5CB9"/>
    <w:rsid w:val="51270A29"/>
    <w:rsid w:val="51422BA4"/>
    <w:rsid w:val="5145540F"/>
    <w:rsid w:val="514C3315"/>
    <w:rsid w:val="51786AF6"/>
    <w:rsid w:val="519413C5"/>
    <w:rsid w:val="51C50CF2"/>
    <w:rsid w:val="51D43763"/>
    <w:rsid w:val="51E27266"/>
    <w:rsid w:val="51E6296E"/>
    <w:rsid w:val="52036385"/>
    <w:rsid w:val="5232169D"/>
    <w:rsid w:val="52377DDC"/>
    <w:rsid w:val="525A1D1D"/>
    <w:rsid w:val="52772C2B"/>
    <w:rsid w:val="52A7330A"/>
    <w:rsid w:val="52AC145C"/>
    <w:rsid w:val="52B30136"/>
    <w:rsid w:val="52B30437"/>
    <w:rsid w:val="52C05FBF"/>
    <w:rsid w:val="530603A1"/>
    <w:rsid w:val="53083087"/>
    <w:rsid w:val="53490328"/>
    <w:rsid w:val="535C236C"/>
    <w:rsid w:val="537D209B"/>
    <w:rsid w:val="539F6C2B"/>
    <w:rsid w:val="53D65B8E"/>
    <w:rsid w:val="53D847C0"/>
    <w:rsid w:val="53EE7F3A"/>
    <w:rsid w:val="5402441A"/>
    <w:rsid w:val="541802FB"/>
    <w:rsid w:val="54336CC9"/>
    <w:rsid w:val="54520EFE"/>
    <w:rsid w:val="54636158"/>
    <w:rsid w:val="546B15C3"/>
    <w:rsid w:val="546D0D9C"/>
    <w:rsid w:val="548230BE"/>
    <w:rsid w:val="548E0DEC"/>
    <w:rsid w:val="54AC438C"/>
    <w:rsid w:val="54C2282D"/>
    <w:rsid w:val="54D809D0"/>
    <w:rsid w:val="554845EA"/>
    <w:rsid w:val="55570796"/>
    <w:rsid w:val="55572544"/>
    <w:rsid w:val="556A5A93"/>
    <w:rsid w:val="55853420"/>
    <w:rsid w:val="55CA0F67"/>
    <w:rsid w:val="55EE4C56"/>
    <w:rsid w:val="5605308A"/>
    <w:rsid w:val="56113A87"/>
    <w:rsid w:val="5627042C"/>
    <w:rsid w:val="563F478D"/>
    <w:rsid w:val="56535401"/>
    <w:rsid w:val="56A75D6A"/>
    <w:rsid w:val="56AB162B"/>
    <w:rsid w:val="571E2390"/>
    <w:rsid w:val="572B14E9"/>
    <w:rsid w:val="57404612"/>
    <w:rsid w:val="57475789"/>
    <w:rsid w:val="574A2360"/>
    <w:rsid w:val="57757D3A"/>
    <w:rsid w:val="57A92A8B"/>
    <w:rsid w:val="57C87729"/>
    <w:rsid w:val="57DD47C3"/>
    <w:rsid w:val="580D26DE"/>
    <w:rsid w:val="580D3184"/>
    <w:rsid w:val="58311496"/>
    <w:rsid w:val="58407B49"/>
    <w:rsid w:val="585A2A77"/>
    <w:rsid w:val="585A4825"/>
    <w:rsid w:val="58A13AA3"/>
    <w:rsid w:val="58A363C3"/>
    <w:rsid w:val="58B9632B"/>
    <w:rsid w:val="58DC0099"/>
    <w:rsid w:val="58E379C5"/>
    <w:rsid w:val="58EB3605"/>
    <w:rsid w:val="58F829CC"/>
    <w:rsid w:val="58FA1178"/>
    <w:rsid w:val="590B4B61"/>
    <w:rsid w:val="590D1D3E"/>
    <w:rsid w:val="591946E0"/>
    <w:rsid w:val="592B61C1"/>
    <w:rsid w:val="59357708"/>
    <w:rsid w:val="593A620B"/>
    <w:rsid w:val="596E502E"/>
    <w:rsid w:val="59796F2C"/>
    <w:rsid w:val="599A5D5C"/>
    <w:rsid w:val="599D0EEF"/>
    <w:rsid w:val="59A03742"/>
    <w:rsid w:val="59A819F5"/>
    <w:rsid w:val="59B166C6"/>
    <w:rsid w:val="59BE276D"/>
    <w:rsid w:val="59EA7E2A"/>
    <w:rsid w:val="5A056C78"/>
    <w:rsid w:val="5A467175"/>
    <w:rsid w:val="5A4F1B6F"/>
    <w:rsid w:val="5A572311"/>
    <w:rsid w:val="5A6E3BF8"/>
    <w:rsid w:val="5A7E2423"/>
    <w:rsid w:val="5A955B8A"/>
    <w:rsid w:val="5A96530F"/>
    <w:rsid w:val="5A96692C"/>
    <w:rsid w:val="5A9B49C8"/>
    <w:rsid w:val="5AD34A66"/>
    <w:rsid w:val="5B073821"/>
    <w:rsid w:val="5B455011"/>
    <w:rsid w:val="5B607711"/>
    <w:rsid w:val="5B7E42FC"/>
    <w:rsid w:val="5BAD55B3"/>
    <w:rsid w:val="5BB458F3"/>
    <w:rsid w:val="5BCD0CB1"/>
    <w:rsid w:val="5BD12B1F"/>
    <w:rsid w:val="5BDD2B45"/>
    <w:rsid w:val="5BE033E5"/>
    <w:rsid w:val="5BFB25E8"/>
    <w:rsid w:val="5C1908DF"/>
    <w:rsid w:val="5C2A3D47"/>
    <w:rsid w:val="5C2D0C63"/>
    <w:rsid w:val="5C353D98"/>
    <w:rsid w:val="5C3A24C1"/>
    <w:rsid w:val="5C4B74E7"/>
    <w:rsid w:val="5C515F3F"/>
    <w:rsid w:val="5C537F09"/>
    <w:rsid w:val="5C5925DD"/>
    <w:rsid w:val="5C681A15"/>
    <w:rsid w:val="5C9D5167"/>
    <w:rsid w:val="5CA574D6"/>
    <w:rsid w:val="5CC35640"/>
    <w:rsid w:val="5CC90559"/>
    <w:rsid w:val="5CC92147"/>
    <w:rsid w:val="5CCB3F43"/>
    <w:rsid w:val="5D003511"/>
    <w:rsid w:val="5D053A28"/>
    <w:rsid w:val="5D4761E3"/>
    <w:rsid w:val="5D55229A"/>
    <w:rsid w:val="5DA960F7"/>
    <w:rsid w:val="5E224037"/>
    <w:rsid w:val="5E2247F3"/>
    <w:rsid w:val="5E47553D"/>
    <w:rsid w:val="5E4A076A"/>
    <w:rsid w:val="5E504659"/>
    <w:rsid w:val="5E5C0451"/>
    <w:rsid w:val="5EAC7F4D"/>
    <w:rsid w:val="5EB735EC"/>
    <w:rsid w:val="5EB80AB4"/>
    <w:rsid w:val="5EE906B0"/>
    <w:rsid w:val="5EEA70AD"/>
    <w:rsid w:val="5EF774B8"/>
    <w:rsid w:val="5F094B10"/>
    <w:rsid w:val="5F0B6AB7"/>
    <w:rsid w:val="5F104B12"/>
    <w:rsid w:val="5F124D5E"/>
    <w:rsid w:val="5F1C1A53"/>
    <w:rsid w:val="5F277BE4"/>
    <w:rsid w:val="5F294F51"/>
    <w:rsid w:val="5F2E401C"/>
    <w:rsid w:val="5F335DCF"/>
    <w:rsid w:val="5F420D99"/>
    <w:rsid w:val="5F463D55"/>
    <w:rsid w:val="5F4F6954"/>
    <w:rsid w:val="5F553F98"/>
    <w:rsid w:val="5F5A377D"/>
    <w:rsid w:val="5F660729"/>
    <w:rsid w:val="5F731BB4"/>
    <w:rsid w:val="5F77485B"/>
    <w:rsid w:val="5F9469FC"/>
    <w:rsid w:val="60143E69"/>
    <w:rsid w:val="601B6B46"/>
    <w:rsid w:val="601C4AB5"/>
    <w:rsid w:val="60397D38"/>
    <w:rsid w:val="6072602C"/>
    <w:rsid w:val="607B17DC"/>
    <w:rsid w:val="6093187E"/>
    <w:rsid w:val="609A6E5E"/>
    <w:rsid w:val="609E371C"/>
    <w:rsid w:val="60B51DE0"/>
    <w:rsid w:val="60EE3012"/>
    <w:rsid w:val="60F373C2"/>
    <w:rsid w:val="61033787"/>
    <w:rsid w:val="61042408"/>
    <w:rsid w:val="611E1E93"/>
    <w:rsid w:val="61212E10"/>
    <w:rsid w:val="61391124"/>
    <w:rsid w:val="615649E9"/>
    <w:rsid w:val="616D08A6"/>
    <w:rsid w:val="617836D6"/>
    <w:rsid w:val="618E75B4"/>
    <w:rsid w:val="61B66726"/>
    <w:rsid w:val="61CB22EF"/>
    <w:rsid w:val="61DB6EE5"/>
    <w:rsid w:val="61F3292C"/>
    <w:rsid w:val="61FB6A67"/>
    <w:rsid w:val="61FD64B9"/>
    <w:rsid w:val="621544FA"/>
    <w:rsid w:val="62350AD4"/>
    <w:rsid w:val="6249103C"/>
    <w:rsid w:val="625C563D"/>
    <w:rsid w:val="6275561B"/>
    <w:rsid w:val="627C367E"/>
    <w:rsid w:val="62886C4F"/>
    <w:rsid w:val="628F7A21"/>
    <w:rsid w:val="62BE7506"/>
    <w:rsid w:val="62C00CBC"/>
    <w:rsid w:val="62CC0C4A"/>
    <w:rsid w:val="62EE2771"/>
    <w:rsid w:val="62FC5875"/>
    <w:rsid w:val="62FD3964"/>
    <w:rsid w:val="6320267D"/>
    <w:rsid w:val="632655D5"/>
    <w:rsid w:val="633068A6"/>
    <w:rsid w:val="63397B03"/>
    <w:rsid w:val="634E0016"/>
    <w:rsid w:val="634F0EFE"/>
    <w:rsid w:val="63534F55"/>
    <w:rsid w:val="637C024C"/>
    <w:rsid w:val="640F0BB9"/>
    <w:rsid w:val="641247FB"/>
    <w:rsid w:val="64243F39"/>
    <w:rsid w:val="64253FF0"/>
    <w:rsid w:val="643C7CD6"/>
    <w:rsid w:val="6445534E"/>
    <w:rsid w:val="645B046E"/>
    <w:rsid w:val="64A55606"/>
    <w:rsid w:val="64C0071B"/>
    <w:rsid w:val="64C172EE"/>
    <w:rsid w:val="64C17FC4"/>
    <w:rsid w:val="64F84CD8"/>
    <w:rsid w:val="650414C0"/>
    <w:rsid w:val="65200BA4"/>
    <w:rsid w:val="653F0904"/>
    <w:rsid w:val="655D188E"/>
    <w:rsid w:val="65641774"/>
    <w:rsid w:val="656D31F8"/>
    <w:rsid w:val="659E5744"/>
    <w:rsid w:val="65A53714"/>
    <w:rsid w:val="65A80CA8"/>
    <w:rsid w:val="65AE3962"/>
    <w:rsid w:val="65AE7B04"/>
    <w:rsid w:val="65C12D12"/>
    <w:rsid w:val="65C14135"/>
    <w:rsid w:val="65C3465D"/>
    <w:rsid w:val="65D047D8"/>
    <w:rsid w:val="660C0E45"/>
    <w:rsid w:val="660E4EA0"/>
    <w:rsid w:val="6611663A"/>
    <w:rsid w:val="66170653"/>
    <w:rsid w:val="66207A57"/>
    <w:rsid w:val="663E3EC9"/>
    <w:rsid w:val="66421D7B"/>
    <w:rsid w:val="66740BCE"/>
    <w:rsid w:val="66904FDD"/>
    <w:rsid w:val="669929BC"/>
    <w:rsid w:val="669941AC"/>
    <w:rsid w:val="66B45E9B"/>
    <w:rsid w:val="66BC428C"/>
    <w:rsid w:val="66C53FA5"/>
    <w:rsid w:val="66CA75A2"/>
    <w:rsid w:val="66FC3FF8"/>
    <w:rsid w:val="670153B7"/>
    <w:rsid w:val="6716239D"/>
    <w:rsid w:val="671E3634"/>
    <w:rsid w:val="671E6E81"/>
    <w:rsid w:val="673F17B5"/>
    <w:rsid w:val="677B6C9B"/>
    <w:rsid w:val="67887F27"/>
    <w:rsid w:val="679C6C08"/>
    <w:rsid w:val="67AE5C12"/>
    <w:rsid w:val="67D0463A"/>
    <w:rsid w:val="6808436D"/>
    <w:rsid w:val="680D710B"/>
    <w:rsid w:val="681C6479"/>
    <w:rsid w:val="681C7A3F"/>
    <w:rsid w:val="685C6397"/>
    <w:rsid w:val="687522D7"/>
    <w:rsid w:val="68972DEC"/>
    <w:rsid w:val="68A8612E"/>
    <w:rsid w:val="68B95313"/>
    <w:rsid w:val="68BE43EC"/>
    <w:rsid w:val="68D53732"/>
    <w:rsid w:val="690B56C7"/>
    <w:rsid w:val="69196B15"/>
    <w:rsid w:val="69407D02"/>
    <w:rsid w:val="69553B8D"/>
    <w:rsid w:val="69B354C7"/>
    <w:rsid w:val="69B8584F"/>
    <w:rsid w:val="69C61397"/>
    <w:rsid w:val="69D1379B"/>
    <w:rsid w:val="69FF347E"/>
    <w:rsid w:val="6A141DD1"/>
    <w:rsid w:val="6A21386E"/>
    <w:rsid w:val="6A2F29BF"/>
    <w:rsid w:val="6A3264C7"/>
    <w:rsid w:val="6A5A471D"/>
    <w:rsid w:val="6A786389"/>
    <w:rsid w:val="6A7A782A"/>
    <w:rsid w:val="6A7D3749"/>
    <w:rsid w:val="6A7F3F8A"/>
    <w:rsid w:val="6A8C3373"/>
    <w:rsid w:val="6A905B89"/>
    <w:rsid w:val="6A974C10"/>
    <w:rsid w:val="6AA036F7"/>
    <w:rsid w:val="6AA05738"/>
    <w:rsid w:val="6AAC22AA"/>
    <w:rsid w:val="6ABE0C43"/>
    <w:rsid w:val="6AD3375C"/>
    <w:rsid w:val="6AFB39EB"/>
    <w:rsid w:val="6B2D6B7E"/>
    <w:rsid w:val="6B417110"/>
    <w:rsid w:val="6B4C255C"/>
    <w:rsid w:val="6B670466"/>
    <w:rsid w:val="6B835D47"/>
    <w:rsid w:val="6B8F197C"/>
    <w:rsid w:val="6B924F89"/>
    <w:rsid w:val="6BB81476"/>
    <w:rsid w:val="6BC13E3F"/>
    <w:rsid w:val="6BCD17A2"/>
    <w:rsid w:val="6BD31472"/>
    <w:rsid w:val="6BE7789C"/>
    <w:rsid w:val="6BF9229B"/>
    <w:rsid w:val="6BFB1A4D"/>
    <w:rsid w:val="6C3B6074"/>
    <w:rsid w:val="6C550A5C"/>
    <w:rsid w:val="6C56247B"/>
    <w:rsid w:val="6C5A4184"/>
    <w:rsid w:val="6C783410"/>
    <w:rsid w:val="6C8E1DB0"/>
    <w:rsid w:val="6C942E12"/>
    <w:rsid w:val="6CA16F18"/>
    <w:rsid w:val="6CBC7404"/>
    <w:rsid w:val="6CD152E3"/>
    <w:rsid w:val="6CE432DD"/>
    <w:rsid w:val="6D01666A"/>
    <w:rsid w:val="6D1676CC"/>
    <w:rsid w:val="6D30634A"/>
    <w:rsid w:val="6D314CD6"/>
    <w:rsid w:val="6D4D672D"/>
    <w:rsid w:val="6D537CBC"/>
    <w:rsid w:val="6D684244"/>
    <w:rsid w:val="6D732BA2"/>
    <w:rsid w:val="6DA279A2"/>
    <w:rsid w:val="6DBA57DA"/>
    <w:rsid w:val="6DD75847"/>
    <w:rsid w:val="6DD8090F"/>
    <w:rsid w:val="6DEA2065"/>
    <w:rsid w:val="6E097D55"/>
    <w:rsid w:val="6E180193"/>
    <w:rsid w:val="6E2B153F"/>
    <w:rsid w:val="6E416608"/>
    <w:rsid w:val="6E557B10"/>
    <w:rsid w:val="6E5813AF"/>
    <w:rsid w:val="6E5B492D"/>
    <w:rsid w:val="6E6D6BF9"/>
    <w:rsid w:val="6E75648E"/>
    <w:rsid w:val="6E934195"/>
    <w:rsid w:val="6E9D0018"/>
    <w:rsid w:val="6EA46048"/>
    <w:rsid w:val="6EAF5752"/>
    <w:rsid w:val="6EC407F2"/>
    <w:rsid w:val="6ECE1D5E"/>
    <w:rsid w:val="6EF25AD3"/>
    <w:rsid w:val="6F547DC8"/>
    <w:rsid w:val="6F6124E5"/>
    <w:rsid w:val="6F6763B4"/>
    <w:rsid w:val="6F76203C"/>
    <w:rsid w:val="6F8C5938"/>
    <w:rsid w:val="6FAD1E39"/>
    <w:rsid w:val="6FAF0FBC"/>
    <w:rsid w:val="6FD67088"/>
    <w:rsid w:val="6FE5453E"/>
    <w:rsid w:val="6FE63C54"/>
    <w:rsid w:val="6FE91A27"/>
    <w:rsid w:val="6FF0591F"/>
    <w:rsid w:val="6FF94963"/>
    <w:rsid w:val="70051287"/>
    <w:rsid w:val="7014037A"/>
    <w:rsid w:val="70182112"/>
    <w:rsid w:val="702C63C5"/>
    <w:rsid w:val="703201EC"/>
    <w:rsid w:val="705B3F13"/>
    <w:rsid w:val="705F18F5"/>
    <w:rsid w:val="707D0976"/>
    <w:rsid w:val="70917112"/>
    <w:rsid w:val="70B11C30"/>
    <w:rsid w:val="70C40F7D"/>
    <w:rsid w:val="70C930F5"/>
    <w:rsid w:val="71377A0E"/>
    <w:rsid w:val="7141612A"/>
    <w:rsid w:val="71441FE3"/>
    <w:rsid w:val="7148570A"/>
    <w:rsid w:val="71681B04"/>
    <w:rsid w:val="71692AF0"/>
    <w:rsid w:val="7169619C"/>
    <w:rsid w:val="71C63CFC"/>
    <w:rsid w:val="71F87B97"/>
    <w:rsid w:val="72387222"/>
    <w:rsid w:val="72391287"/>
    <w:rsid w:val="725C14B3"/>
    <w:rsid w:val="725E7B5C"/>
    <w:rsid w:val="726A010E"/>
    <w:rsid w:val="7283557F"/>
    <w:rsid w:val="72846232"/>
    <w:rsid w:val="7287198D"/>
    <w:rsid w:val="729F5B73"/>
    <w:rsid w:val="72A33CBA"/>
    <w:rsid w:val="72A92CA4"/>
    <w:rsid w:val="72B1787C"/>
    <w:rsid w:val="72DD2898"/>
    <w:rsid w:val="72F77CB0"/>
    <w:rsid w:val="733757B2"/>
    <w:rsid w:val="734B3290"/>
    <w:rsid w:val="734C681C"/>
    <w:rsid w:val="738812D9"/>
    <w:rsid w:val="73A412F4"/>
    <w:rsid w:val="73A82490"/>
    <w:rsid w:val="73D220E3"/>
    <w:rsid w:val="73E53785"/>
    <w:rsid w:val="74047C18"/>
    <w:rsid w:val="740D3DFA"/>
    <w:rsid w:val="741144D9"/>
    <w:rsid w:val="74123799"/>
    <w:rsid w:val="741713C4"/>
    <w:rsid w:val="741B2C62"/>
    <w:rsid w:val="74246C03"/>
    <w:rsid w:val="74335733"/>
    <w:rsid w:val="743D01AB"/>
    <w:rsid w:val="74411ACE"/>
    <w:rsid w:val="7459685A"/>
    <w:rsid w:val="745F0FF5"/>
    <w:rsid w:val="746740F9"/>
    <w:rsid w:val="74701C1A"/>
    <w:rsid w:val="74827185"/>
    <w:rsid w:val="74AA6190"/>
    <w:rsid w:val="74D6471E"/>
    <w:rsid w:val="74D74BBC"/>
    <w:rsid w:val="74DA4663"/>
    <w:rsid w:val="74E90FB2"/>
    <w:rsid w:val="74EA5713"/>
    <w:rsid w:val="750B376D"/>
    <w:rsid w:val="75343838"/>
    <w:rsid w:val="753A2F23"/>
    <w:rsid w:val="757069FE"/>
    <w:rsid w:val="75976C60"/>
    <w:rsid w:val="75A201FA"/>
    <w:rsid w:val="75C712CB"/>
    <w:rsid w:val="75CA1ADA"/>
    <w:rsid w:val="75FB4D1F"/>
    <w:rsid w:val="760E7A34"/>
    <w:rsid w:val="761821C5"/>
    <w:rsid w:val="76244692"/>
    <w:rsid w:val="762F2292"/>
    <w:rsid w:val="76612301"/>
    <w:rsid w:val="76647E2A"/>
    <w:rsid w:val="76820227"/>
    <w:rsid w:val="76A038F3"/>
    <w:rsid w:val="76A621DF"/>
    <w:rsid w:val="76C67C59"/>
    <w:rsid w:val="76CE3448"/>
    <w:rsid w:val="771C68FB"/>
    <w:rsid w:val="772B137B"/>
    <w:rsid w:val="77352DB4"/>
    <w:rsid w:val="773A72C3"/>
    <w:rsid w:val="775153D6"/>
    <w:rsid w:val="778D1C32"/>
    <w:rsid w:val="77936F63"/>
    <w:rsid w:val="77D01FB6"/>
    <w:rsid w:val="77D727F8"/>
    <w:rsid w:val="7835510B"/>
    <w:rsid w:val="783E0BC0"/>
    <w:rsid w:val="78464F94"/>
    <w:rsid w:val="78494805"/>
    <w:rsid w:val="787B157A"/>
    <w:rsid w:val="787C3AB9"/>
    <w:rsid w:val="78801DFB"/>
    <w:rsid w:val="789613C3"/>
    <w:rsid w:val="7896481B"/>
    <w:rsid w:val="78A23952"/>
    <w:rsid w:val="78A52DEB"/>
    <w:rsid w:val="78C45F14"/>
    <w:rsid w:val="78C66259"/>
    <w:rsid w:val="78CC4E37"/>
    <w:rsid w:val="78D4455D"/>
    <w:rsid w:val="78F55113"/>
    <w:rsid w:val="79085C9E"/>
    <w:rsid w:val="791A3B31"/>
    <w:rsid w:val="791F69FB"/>
    <w:rsid w:val="79202AC9"/>
    <w:rsid w:val="792768EF"/>
    <w:rsid w:val="79392C09"/>
    <w:rsid w:val="795B5FB6"/>
    <w:rsid w:val="795D02FA"/>
    <w:rsid w:val="797A450C"/>
    <w:rsid w:val="79C50F95"/>
    <w:rsid w:val="79E8143C"/>
    <w:rsid w:val="79F75F20"/>
    <w:rsid w:val="7A086AEA"/>
    <w:rsid w:val="7A161B9B"/>
    <w:rsid w:val="7A27753D"/>
    <w:rsid w:val="7A2860D9"/>
    <w:rsid w:val="7A512256"/>
    <w:rsid w:val="7A58670F"/>
    <w:rsid w:val="7A66785F"/>
    <w:rsid w:val="7A7255A6"/>
    <w:rsid w:val="7A75036E"/>
    <w:rsid w:val="7A7A7AB8"/>
    <w:rsid w:val="7A875793"/>
    <w:rsid w:val="7AC32C89"/>
    <w:rsid w:val="7AC5017B"/>
    <w:rsid w:val="7AD96CDC"/>
    <w:rsid w:val="7AE32E1D"/>
    <w:rsid w:val="7B1125BE"/>
    <w:rsid w:val="7B133B27"/>
    <w:rsid w:val="7B232C0C"/>
    <w:rsid w:val="7B27620B"/>
    <w:rsid w:val="7B29770D"/>
    <w:rsid w:val="7B3810EB"/>
    <w:rsid w:val="7B4A207F"/>
    <w:rsid w:val="7B6554DF"/>
    <w:rsid w:val="7B665696"/>
    <w:rsid w:val="7B80230E"/>
    <w:rsid w:val="7B806E6E"/>
    <w:rsid w:val="7B831783"/>
    <w:rsid w:val="7B8735D8"/>
    <w:rsid w:val="7BA14990"/>
    <w:rsid w:val="7BBB774F"/>
    <w:rsid w:val="7BF546E1"/>
    <w:rsid w:val="7C080A91"/>
    <w:rsid w:val="7C086B8F"/>
    <w:rsid w:val="7C0A203B"/>
    <w:rsid w:val="7C12717A"/>
    <w:rsid w:val="7C284C6A"/>
    <w:rsid w:val="7C864D75"/>
    <w:rsid w:val="7CA247BC"/>
    <w:rsid w:val="7CCE0C1F"/>
    <w:rsid w:val="7CD97B5E"/>
    <w:rsid w:val="7CEA58C8"/>
    <w:rsid w:val="7CED016A"/>
    <w:rsid w:val="7D155D68"/>
    <w:rsid w:val="7D2A7A76"/>
    <w:rsid w:val="7D8C697F"/>
    <w:rsid w:val="7D934B29"/>
    <w:rsid w:val="7D980F97"/>
    <w:rsid w:val="7DC91981"/>
    <w:rsid w:val="7DEA5E45"/>
    <w:rsid w:val="7DEB5982"/>
    <w:rsid w:val="7DEB5D9B"/>
    <w:rsid w:val="7E1009E5"/>
    <w:rsid w:val="7E202036"/>
    <w:rsid w:val="7E4D4AB6"/>
    <w:rsid w:val="7E8759AD"/>
    <w:rsid w:val="7EC53A44"/>
    <w:rsid w:val="7ECB5261"/>
    <w:rsid w:val="7ED22AB7"/>
    <w:rsid w:val="7EEF01B9"/>
    <w:rsid w:val="7F6A6118"/>
    <w:rsid w:val="7FA66645"/>
    <w:rsid w:val="7FB52327"/>
    <w:rsid w:val="7FD628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qFormat="1" w:uiPriority="99" w:semiHidden="0"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semiHidden="0"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31"/>
    <w:qFormat/>
    <w:uiPriority w:val="9"/>
    <w:pPr>
      <w:keepNext/>
      <w:jc w:val="center"/>
      <w:outlineLvl w:val="0"/>
    </w:pPr>
    <w:rPr>
      <w:rFonts w:ascii="楷体_GB2312" w:eastAsia="楷体_GB2312"/>
      <w:b/>
      <w:bCs/>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5" w:lineRule="auto"/>
      <w:outlineLvl w:val="2"/>
    </w:pPr>
    <w:rPr>
      <w:b/>
      <w:bCs/>
      <w:sz w:val="32"/>
      <w:szCs w:val="32"/>
    </w:rPr>
  </w:style>
  <w:style w:type="paragraph" w:styleId="6">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25">
    <w:name w:val="Default Paragraph Font"/>
    <w:uiPriority w:val="0"/>
  </w:style>
  <w:style w:type="table" w:default="1" w:styleId="23">
    <w:name w:val="Normal Table"/>
    <w:unhideWhenUsed/>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Style w:val="23"/>
      <w:tblCellMar>
        <w:top w:w="0" w:type="dxa"/>
        <w:left w:w="108" w:type="dxa"/>
        <w:bottom w:w="0" w:type="dxa"/>
        <w:right w:w="108" w:type="dxa"/>
      </w:tblCellMar>
    </w:tblPr>
  </w:style>
  <w:style w:type="paragraph" w:styleId="2">
    <w:name w:val="Body Text Indent"/>
    <w:basedOn w:val="1"/>
    <w:next w:val="1"/>
    <w:unhideWhenUsed/>
    <w:uiPriority w:val="99"/>
    <w:pPr>
      <w:ind w:left="480" w:hanging="480" w:hangingChars="200"/>
    </w:pPr>
    <w:rPr>
      <w:sz w:val="24"/>
    </w:rPr>
  </w:style>
  <w:style w:type="paragraph" w:styleId="7">
    <w:name w:val="Normal Indent"/>
    <w:basedOn w:val="1"/>
    <w:next w:val="2"/>
    <w:unhideWhenUsed/>
    <w:uiPriority w:val="99"/>
    <w:pPr>
      <w:adjustRightInd w:val="0"/>
      <w:spacing w:line="312" w:lineRule="atLeast"/>
      <w:ind w:firstLine="420"/>
    </w:pPr>
    <w:rPr>
      <w:rFonts w:ascii="Calibri" w:hAnsi="Calibri" w:eastAsia="宋体" w:cs="黑体"/>
      <w:szCs w:val="22"/>
    </w:rPr>
  </w:style>
  <w:style w:type="paragraph" w:styleId="8">
    <w:name w:val="toa heading"/>
    <w:basedOn w:val="1"/>
    <w:next w:val="1"/>
    <w:unhideWhenUsed/>
    <w:uiPriority w:val="99"/>
    <w:pPr>
      <w:spacing w:before="120"/>
    </w:pPr>
    <w:rPr>
      <w:rFonts w:ascii="Arial" w:hAnsi="Arial" w:eastAsia="仿宋_GB2312" w:cs="Arial"/>
      <w:b/>
      <w:bCs/>
      <w:color w:val="000000"/>
      <w:kern w:val="0"/>
      <w:sz w:val="24"/>
      <w:szCs w:val="21"/>
    </w:rPr>
  </w:style>
  <w:style w:type="paragraph" w:styleId="9">
    <w:name w:val="annotation text"/>
    <w:basedOn w:val="1"/>
    <w:unhideWhenUsed/>
    <w:uiPriority w:val="99"/>
    <w:pPr>
      <w:jc w:val="left"/>
    </w:pPr>
  </w:style>
  <w:style w:type="paragraph" w:styleId="10">
    <w:name w:val="Body Text"/>
    <w:basedOn w:val="1"/>
    <w:next w:val="11"/>
    <w:unhideWhenUsed/>
    <w:uiPriority w:val="99"/>
    <w:pPr>
      <w:spacing w:after="120"/>
    </w:pPr>
  </w:style>
  <w:style w:type="paragraph" w:styleId="11">
    <w:name w:val="Body Text First Indent"/>
    <w:basedOn w:val="10"/>
    <w:next w:val="1"/>
    <w:uiPriority w:val="0"/>
    <w:pPr>
      <w:autoSpaceDE w:val="0"/>
      <w:autoSpaceDN w:val="0"/>
      <w:adjustRightInd w:val="0"/>
      <w:ind w:firstLine="420" w:firstLineChars="100"/>
      <w:textAlignment w:val="baseline"/>
    </w:pPr>
    <w:rPr>
      <w:sz w:val="24"/>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unhideWhenUsed/>
    <w:uiPriority w:val="99"/>
    <w:pPr>
      <w:widowControl/>
      <w:overflowPunct w:val="0"/>
      <w:autoSpaceDE w:val="0"/>
      <w:autoSpaceDN w:val="0"/>
      <w:adjustRightInd w:val="0"/>
      <w:jc w:val="left"/>
    </w:pPr>
    <w:rPr>
      <w:rFonts w:ascii="宋体" w:hAnsi="Courier New" w:cs="黑体"/>
      <w:szCs w:val="21"/>
    </w:rPr>
  </w:style>
  <w:style w:type="paragraph" w:styleId="14">
    <w:name w:val="Body Text Indent 2"/>
    <w:basedOn w:val="1"/>
    <w:qFormat/>
    <w:uiPriority w:val="0"/>
    <w:pPr>
      <w:spacing w:after="120" w:line="480" w:lineRule="auto"/>
      <w:ind w:left="420" w:leftChars="200"/>
    </w:pPr>
  </w:style>
  <w:style w:type="paragraph" w:styleId="15">
    <w:name w:val="footer"/>
    <w:basedOn w:val="1"/>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
    <w:next w:val="1"/>
    <w:unhideWhenUsed/>
    <w:uiPriority w:val="39"/>
    <w:pPr>
      <w:tabs>
        <w:tab w:val="right" w:leader="dot" w:pos="9628"/>
      </w:tabs>
      <w:spacing w:line="480" w:lineRule="auto"/>
    </w:pPr>
    <w:rPr>
      <w:rFonts w:ascii="Arial" w:hAnsi="Arial" w:eastAsia="新宋体" w:cs="Arial"/>
      <w:bCs/>
      <w:sz w:val="24"/>
    </w:rPr>
  </w:style>
  <w:style w:type="paragraph" w:styleId="18">
    <w:name w:val="footnote text"/>
    <w:basedOn w:val="1"/>
    <w:unhideWhenUsed/>
    <w:qFormat/>
    <w:uiPriority w:val="99"/>
    <w:pPr>
      <w:snapToGrid w:val="0"/>
      <w:spacing w:beforeLines="0" w:afterLines="0"/>
      <w:jc w:val="left"/>
    </w:pPr>
    <w:rPr>
      <w:rFonts w:hint="eastAsia"/>
      <w:sz w:val="18"/>
    </w:rPr>
  </w:style>
  <w:style w:type="paragraph" w:styleId="19">
    <w:name w:val="toc 2"/>
    <w:basedOn w:val="1"/>
    <w:next w:val="1"/>
    <w:qFormat/>
    <w:uiPriority w:val="0"/>
    <w:pPr>
      <w:ind w:left="420" w:leftChars="200"/>
    </w:pPr>
  </w:style>
  <w:style w:type="paragraph" w:styleId="20">
    <w:name w:val="Normal (Web)"/>
    <w:basedOn w:val="1"/>
    <w:unhideWhenUsed/>
    <w:uiPriority w:val="99"/>
    <w:pPr>
      <w:widowControl/>
      <w:spacing w:before="100" w:beforeLines="0" w:beforeAutospacing="1" w:after="100" w:afterLines="0" w:afterAutospacing="1"/>
      <w:jc w:val="left"/>
    </w:pPr>
    <w:rPr>
      <w:rFonts w:ascii="宋体" w:hAnsi="宋体"/>
      <w:kern w:val="0"/>
      <w:sz w:val="24"/>
    </w:rPr>
  </w:style>
  <w:style w:type="paragraph" w:styleId="21">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2">
    <w:name w:val="Body Text First Indent 2"/>
    <w:basedOn w:val="2"/>
    <w:next w:val="11"/>
    <w:unhideWhenUsed/>
    <w:uiPriority w:val="99"/>
    <w:pPr>
      <w:spacing w:after="120" w:line="240" w:lineRule="auto"/>
      <w:ind w:left="420" w:leftChars="200" w:firstLine="420"/>
    </w:pPr>
    <w:rPr>
      <w:rFonts w:cs="宋体"/>
      <w:sz w:val="21"/>
      <w:szCs w:val="21"/>
    </w:rPr>
  </w:style>
  <w:style w:type="table" w:styleId="24">
    <w:name w:val="Table Grid"/>
    <w:basedOn w:val="23"/>
    <w:unhideWhenUsed/>
    <w:uiPriority w:val="99"/>
    <w:pPr>
      <w:widowControl w:val="0"/>
      <w:jc w:val="both"/>
    </w:pPr>
    <w:rPr>
      <w:rFonts w:ascii="Times New Roman" w:hAnsi="Times New Roman" w:eastAsia="宋体" w:cs="Times New Roman"/>
      <w:kern w:val="0"/>
      <w:sz w:val="20"/>
      <w:szCs w:val="20"/>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unhideWhenUsed/>
    <w:uiPriority w:val="99"/>
  </w:style>
  <w:style w:type="character" w:styleId="28">
    <w:name w:val="FollowedHyperlink"/>
    <w:unhideWhenUsed/>
    <w:uiPriority w:val="99"/>
    <w:rPr>
      <w:color w:val="000000"/>
      <w:u w:val="none"/>
    </w:rPr>
  </w:style>
  <w:style w:type="character" w:styleId="29">
    <w:name w:val="Hyperlink"/>
    <w:unhideWhenUsed/>
    <w:uiPriority w:val="99"/>
    <w:rPr>
      <w:color w:val="000000"/>
      <w:sz w:val="20"/>
      <w:szCs w:val="20"/>
      <w:u w:val="none"/>
    </w:rPr>
  </w:style>
  <w:style w:type="character" w:styleId="30">
    <w:name w:val="footnote reference"/>
    <w:unhideWhenUsed/>
    <w:qFormat/>
    <w:uiPriority w:val="99"/>
    <w:rPr>
      <w:rFonts w:hint="default" w:ascii="Times New Roman"/>
      <w:sz w:val="24"/>
      <w:vertAlign w:val="superscript"/>
    </w:rPr>
  </w:style>
  <w:style w:type="character" w:customStyle="1" w:styleId="31">
    <w:name w:val="标题 1 字符"/>
    <w:link w:val="3"/>
    <w:qFormat/>
    <w:locked/>
    <w:uiPriority w:val="99"/>
    <w:rPr>
      <w:rFonts w:ascii="楷体_GB2312" w:eastAsia="楷体_GB2312"/>
      <w:b/>
      <w:bCs/>
    </w:rPr>
  </w:style>
  <w:style w:type="character" w:customStyle="1" w:styleId="32">
    <w:name w:val="font01"/>
    <w:basedOn w:val="25"/>
    <w:uiPriority w:val="0"/>
    <w:rPr>
      <w:rFonts w:hint="default" w:ascii="等线" w:hAnsi="等线" w:eastAsia="等线" w:cs="等线"/>
      <w:color w:val="000000"/>
      <w:sz w:val="22"/>
      <w:szCs w:val="22"/>
      <w:u w:val="none"/>
    </w:rPr>
  </w:style>
  <w:style w:type="character" w:customStyle="1" w:styleId="33">
    <w:name w:val="font21"/>
    <w:basedOn w:val="25"/>
    <w:uiPriority w:val="0"/>
    <w:rPr>
      <w:rFonts w:hint="default" w:ascii="Times New Roman" w:hAnsi="Times New Roman" w:cs="Times New Roman"/>
      <w:color w:val="000000"/>
      <w:sz w:val="22"/>
      <w:szCs w:val="22"/>
      <w:u w:val="none"/>
    </w:rPr>
  </w:style>
  <w:style w:type="character" w:customStyle="1" w:styleId="34">
    <w:name w:val="!表格正文 Char Char"/>
    <w:link w:val="35"/>
    <w:uiPriority w:val="0"/>
    <w:rPr>
      <w:rFonts w:ascii="Calibri" w:hAnsi="Calibri" w:eastAsia="宋体" w:cs="Calibri"/>
      <w:sz w:val="21"/>
      <w:szCs w:val="21"/>
      <w:lang w:val="en-US" w:eastAsia="zh-CN" w:bidi="ar-SA"/>
    </w:rPr>
  </w:style>
  <w:style w:type="paragraph" w:customStyle="1" w:styleId="35">
    <w:name w:val="!表格正文"/>
    <w:basedOn w:val="1"/>
    <w:link w:val="34"/>
    <w:uiPriority w:val="0"/>
    <w:rPr>
      <w:rFonts w:ascii="Calibri" w:hAnsi="Calibri" w:cs="Calibri"/>
      <w:kern w:val="0"/>
      <w:szCs w:val="21"/>
    </w:rPr>
  </w:style>
  <w:style w:type="character" w:customStyle="1" w:styleId="36">
    <w:name w:val="font41"/>
    <w:basedOn w:val="25"/>
    <w:uiPriority w:val="0"/>
    <w:rPr>
      <w:rFonts w:hint="eastAsia" w:ascii="宋体" w:hAnsi="宋体" w:eastAsia="宋体" w:cs="宋体"/>
      <w:color w:val="000000"/>
      <w:sz w:val="22"/>
      <w:szCs w:val="22"/>
      <w:u w:val="none"/>
    </w:rPr>
  </w:style>
  <w:style w:type="character" w:customStyle="1" w:styleId="37">
    <w:name w:val="large1"/>
    <w:qFormat/>
    <w:uiPriority w:val="0"/>
    <w:rPr>
      <w:rFonts w:hint="eastAsia" w:ascii="宋体" w:hAnsi="宋体" w:eastAsia="宋体"/>
      <w:sz w:val="21"/>
      <w:szCs w:val="21"/>
    </w:rPr>
  </w:style>
  <w:style w:type="paragraph" w:customStyle="1" w:styleId="38">
    <w:name w:val="正文首行缩进1"/>
    <w:basedOn w:val="10"/>
    <w:next w:val="1"/>
    <w:uiPriority w:val="2457"/>
    <w:pPr>
      <w:autoSpaceDE w:val="0"/>
      <w:ind w:left="0" w:right="0" w:firstLine="420"/>
      <w:textAlignment w:val="baseline"/>
    </w:pPr>
    <w:rPr>
      <w:sz w:val="24"/>
      <w:szCs w:val="20"/>
    </w:rPr>
  </w:style>
  <w:style w:type="paragraph" w:customStyle="1" w:styleId="39">
    <w:name w:val="默认段落字体 Para Char Char Char Char Char Char Char Char Char1 Char Char Char Char"/>
    <w:basedOn w:val="1"/>
    <w:qFormat/>
    <w:uiPriority w:val="0"/>
    <w:rPr>
      <w:rFonts w:ascii="Tahoma" w:hAnsi="Tahoma"/>
      <w:sz w:val="24"/>
      <w:szCs w:val="20"/>
    </w:rPr>
  </w:style>
  <w:style w:type="paragraph" w:customStyle="1" w:styleId="40">
    <w:name w:val="Body Text First Indent 21"/>
    <w:basedOn w:val="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41">
    <w:name w:val="Body Text Indent1"/>
    <w:basedOn w:val="1"/>
    <w:next w:val="1"/>
    <w:qFormat/>
    <w:uiPriority w:val="0"/>
    <w:pPr>
      <w:spacing w:after="120" w:afterLines="0"/>
      <w:ind w:left="420" w:leftChars="200"/>
    </w:pPr>
    <w:rPr>
      <w:color w:val="000000"/>
      <w:sz w:val="21"/>
      <w:szCs w:val="21"/>
    </w:rPr>
  </w:style>
  <w:style w:type="paragraph" w:customStyle="1" w:styleId="42">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43">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44">
    <w:name w:val="正文_17"/>
    <w:qFormat/>
    <w:uiPriority w:val="0"/>
    <w:pPr>
      <w:widowControl w:val="0"/>
      <w:jc w:val="both"/>
    </w:pPr>
    <w:rPr>
      <w:kern w:val="2"/>
      <w:sz w:val="21"/>
      <w:szCs w:val="24"/>
      <w:lang w:val="en-US" w:eastAsia="zh-CN" w:bidi="ar-SA"/>
    </w:rPr>
  </w:style>
  <w:style w:type="paragraph" w:customStyle="1" w:styleId="45">
    <w:name w:val="xl53"/>
    <w:basedOn w:val="1"/>
    <w:next w:val="1"/>
    <w:qFormat/>
    <w:uiPriority w:val="0"/>
    <w:pPr>
      <w:spacing w:before="280" w:after="280" w:line="100" w:lineRule="exact"/>
      <w:jc w:val="center"/>
    </w:pPr>
    <w:rPr>
      <w:rFonts w:ascii="宋体"/>
      <w:b/>
      <w:sz w:val="20"/>
    </w:rPr>
  </w:style>
  <w:style w:type="paragraph" w:customStyle="1" w:styleId="46">
    <w:name w:val="正文段"/>
    <w:basedOn w:val="1"/>
    <w:uiPriority w:val="0"/>
    <w:pPr>
      <w:widowControl/>
      <w:snapToGrid w:val="0"/>
      <w:ind w:firstLine="200" w:firstLineChars="200"/>
    </w:pPr>
    <w:rPr>
      <w:kern w:val="0"/>
      <w:sz w:val="24"/>
      <w:szCs w:val="20"/>
    </w:rPr>
  </w:style>
  <w:style w:type="paragraph" w:customStyle="1" w:styleId="47">
    <w:name w:val="p18"/>
    <w:uiPriority w:val="0"/>
    <w:pPr>
      <w:spacing w:line="748" w:lineRule="atLeast"/>
      <w:ind w:left="-527" w:firstLine="527"/>
    </w:pPr>
    <w:rPr>
      <w:rFonts w:ascii="宋体" w:hAnsi="宋体" w:cs="宋体"/>
      <w:sz w:val="24"/>
      <w:u w:val="none" w:color="000000"/>
      <w:lang w:val="en-US" w:eastAsia="zh-CN" w:bidi="ar-SA"/>
    </w:rPr>
  </w:style>
  <w:style w:type="paragraph" w:customStyle="1" w:styleId="48">
    <w:name w:val=" Char Char Char Char Char Char2 Char Char Char Char"/>
    <w:basedOn w:val="1"/>
    <w:uiPriority w:val="0"/>
  </w:style>
  <w:style w:type="paragraph" w:customStyle="1" w:styleId="49">
    <w:name w:val="纯文本1"/>
    <w:basedOn w:val="50"/>
    <w:qFormat/>
    <w:uiPriority w:val="99"/>
    <w:pPr>
      <w:widowControl/>
      <w:jc w:val="left"/>
    </w:pPr>
    <w:rPr>
      <w:rFonts w:ascii="宋体" w:hAnsi="Courier New" w:cs="宋体"/>
    </w:rPr>
  </w:style>
  <w:style w:type="paragraph" w:customStyle="1" w:styleId="50">
    <w:name w:val="正文1"/>
    <w:qFormat/>
    <w:uiPriority w:val="99"/>
    <w:pPr>
      <w:widowControl w:val="0"/>
      <w:jc w:val="both"/>
    </w:pPr>
    <w:rPr>
      <w:rFonts w:ascii="Calibri" w:hAnsi="Calibri" w:cs="Calibri"/>
      <w:kern w:val="2"/>
      <w:sz w:val="21"/>
      <w:szCs w:val="21"/>
      <w:lang w:val="en-US" w:eastAsia="zh-CN" w:bidi="ar-SA"/>
    </w:rPr>
  </w:style>
  <w:style w:type="paragraph" w:customStyle="1" w:styleId="51">
    <w:name w:val="WPSOffice手动目录 1"/>
    <w:uiPriority w:val="0"/>
    <w:rPr>
      <w:lang w:val="en-US" w:eastAsia="zh-CN" w:bidi="ar-SA"/>
    </w:rPr>
  </w:style>
  <w:style w:type="paragraph" w:customStyle="1" w:styleId="52">
    <w:name w:val="正文首行缩进 21"/>
    <w:uiPriority w:val="2457"/>
    <w:pPr>
      <w:spacing w:after="120"/>
      <w:ind w:left="420" w:firstLine="420"/>
    </w:pPr>
    <w:rPr>
      <w:rFonts w:eastAsia="Times New Roman" w:cs="宋体"/>
      <w:sz w:val="21"/>
      <w:szCs w:val="21"/>
      <w:lang w:val="en-US" w:eastAsia="zh-CN" w:bidi="ar-SA"/>
    </w:rPr>
  </w:style>
  <w:style w:type="paragraph" w:customStyle="1" w:styleId="53">
    <w:name w:val="_Style 3"/>
    <w:qFormat/>
    <w:uiPriority w:val="99"/>
    <w:pPr>
      <w:widowControl w:val="0"/>
      <w:jc w:val="both"/>
    </w:pPr>
    <w:rPr>
      <w:rFonts w:ascii="Calibri" w:hAnsi="Calibri"/>
      <w:kern w:val="2"/>
      <w:sz w:val="21"/>
      <w:szCs w:val="22"/>
      <w:lang w:val="en-US" w:eastAsia="zh-CN" w:bidi="ar-SA"/>
    </w:rPr>
  </w:style>
  <w:style w:type="paragraph" w:customStyle="1" w:styleId="54">
    <w:name w:val="正文2"/>
    <w:basedOn w:val="1"/>
    <w:qFormat/>
    <w:uiPriority w:val="0"/>
    <w:pPr>
      <w:spacing w:before="156" w:beforeLines="0" w:line="360" w:lineRule="auto"/>
      <w:ind w:firstLine="510" w:firstLineChars="200"/>
    </w:pPr>
    <w:rPr>
      <w:sz w:val="24"/>
      <w:szCs w:val="20"/>
    </w:rPr>
  </w:style>
  <w:style w:type="paragraph" w:customStyle="1" w:styleId="55">
    <w:name w:val="样式1"/>
    <w:basedOn w:val="1"/>
    <w:qFormat/>
    <w:uiPriority w:val="0"/>
    <w:pPr>
      <w:spacing w:line="360" w:lineRule="exact"/>
      <w:ind w:firstLine="200" w:firstLineChars="200"/>
    </w:pPr>
    <w:rPr>
      <w:rFonts w:ascii="Arial" w:hAnsi="Arial"/>
    </w:rPr>
  </w:style>
  <w:style w:type="paragraph" w:customStyle="1" w:styleId="56">
    <w:name w:val="表格内容"/>
    <w:basedOn w:val="1"/>
    <w:qFormat/>
    <w:uiPriority w:val="2"/>
    <w:pPr>
      <w:widowControl/>
      <w:jc w:val="center"/>
    </w:pPr>
    <w:rPr>
      <w:kern w:val="0"/>
      <w:sz w:val="24"/>
      <w:szCs w:val="28"/>
    </w:rPr>
  </w:style>
  <w:style w:type="paragraph" w:customStyle="1" w:styleId="57">
    <w:name w:val="msonormalcxspmiddle"/>
    <w:basedOn w:val="1"/>
    <w:qFormat/>
    <w:uiPriority w:val="0"/>
    <w:pPr>
      <w:widowControl/>
      <w:spacing w:before="100" w:beforeAutospacing="1" w:after="100" w:afterAutospacing="1"/>
      <w:jc w:val="left"/>
    </w:pPr>
    <w:rPr>
      <w:rFonts w:ascii="宋体" w:hAnsi="宋体"/>
      <w:kern w:val="0"/>
      <w:sz w:val="24"/>
    </w:rPr>
  </w:style>
  <w:style w:type="paragraph" w:customStyle="1" w:styleId="58">
    <w:name w:val="保留正文"/>
    <w:basedOn w:val="10"/>
    <w:uiPriority w:val="0"/>
    <w:pPr>
      <w:keepNext/>
      <w:spacing w:after="160"/>
    </w:pPr>
  </w:style>
  <w:style w:type="paragraph" w:customStyle="1" w:styleId="59">
    <w:name w:val=" Char Char1 Char"/>
    <w:basedOn w:val="1"/>
    <w:uiPriority w:val="0"/>
    <w:rPr>
      <w:rFonts w:ascii="仿宋_GB2312" w:eastAsia="仿宋_GB2312"/>
      <w:b/>
      <w:sz w:val="32"/>
      <w:szCs w:val="32"/>
    </w:rPr>
  </w:style>
  <w:style w:type="paragraph" w:customStyle="1" w:styleId="60">
    <w:name w:val="Table Paragraph"/>
    <w:basedOn w:val="1"/>
    <w:qFormat/>
    <w:uiPriority w:val="1"/>
    <w:rPr>
      <w:rFonts w:ascii="宋体" w:hAnsi="宋体" w:eastAsia="宋体" w:cs="宋体"/>
      <w:lang w:val="zh-CN" w:eastAsia="zh-CN" w:bidi="zh-CN"/>
    </w:rPr>
  </w:style>
  <w:style w:type="paragraph" w:customStyle="1" w:styleId="61">
    <w:name w:val="Fließtext"/>
    <w:basedOn w:val="1"/>
    <w:qFormat/>
    <w:uiPriority w:val="0"/>
    <w:pPr>
      <w:overflowPunct w:val="0"/>
      <w:autoSpaceDE w:val="0"/>
      <w:autoSpaceDN w:val="0"/>
      <w:adjustRightInd w:val="0"/>
      <w:textAlignment w:val="baseline"/>
    </w:pPr>
    <w:rPr>
      <w:kern w:val="28"/>
      <w:szCs w:val="20"/>
    </w:rPr>
  </w:style>
  <w:style w:type="paragraph" w:styleId="62">
    <w:name w:val="List Paragraph"/>
    <w:basedOn w:val="1"/>
    <w:qFormat/>
    <w:uiPriority w:val="1"/>
    <w:pPr>
      <w:ind w:left="253" w:firstLine="420"/>
    </w:pPr>
    <w:rPr>
      <w:rFonts w:ascii="宋体" w:hAnsi="宋体" w:eastAsia="宋体" w:cs="宋体"/>
      <w:lang w:val="zh-CN" w:eastAsia="zh-CN" w:bidi="zh-C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media/image1.png" Type="http://schemas.openxmlformats.org/officeDocument/2006/relationships/imag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52757</Words>
  <Characters>56746</Characters>
  <Lines>248</Lines>
  <Paragraphs>69</Paragraphs>
  <TotalTime>0</TotalTime>
  <ScaleCrop>false</ScaleCrop>
  <LinksUpToDate>false</LinksUpToDate>
  <CharactersWithSpaces>59763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2015-05-29T09:10:00Z</dcterms:created>
  <dc:creator>浙江求是工程咨询监理有限公司</dc:creator>
  <cp:lastModifiedBy>WPS_1701756769</cp:lastModifiedBy>
  <cp:lastPrinted>2022-04-01T00:51:21Z</cp:lastPrinted>
  <dcterms:modified xsi:type="dcterms:W3CDTF">2024-02-22T03:46:50Z</dcterms:modified>
  <cp:revision>2</cp:revision>
  <dc:title>常山县地下管线探测项目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AB16F09641C64E62B5439C8A78D57809_13</vt:lpwstr>
  </property>
</Properties>
</file>