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附件3</w:t>
      </w: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市人力社保局运维服务内容及需求</w:t>
      </w:r>
    </w:p>
    <w:p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机房网络技术支撑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项目</w:t>
      </w:r>
    </w:p>
    <w:p>
      <w:pPr>
        <w:spacing w:line="360" w:lineRule="auto"/>
        <w:ind w:firstLine="482" w:firstLineChars="200"/>
        <w:outlineLvl w:val="1"/>
        <w:rPr>
          <w:rFonts w:hint="default" w:ascii="Times New Roman" w:hAnsi="Times New Roman" w:cs="Times New Roman" w:eastAsiaTheme="minorEastAsia"/>
          <w:b/>
          <w:sz w:val="24"/>
          <w:szCs w:val="24"/>
        </w:rPr>
      </w:pPr>
      <w:bookmarkStart w:id="0" w:name="OLE_LINK1"/>
      <w:r>
        <w:rPr>
          <w:rFonts w:hint="default" w:ascii="Times New Roman" w:hAnsi="Times New Roman" w:cs="Times New Roman" w:eastAsiaTheme="minorEastAsia"/>
          <w:b/>
          <w:sz w:val="24"/>
          <w:szCs w:val="24"/>
          <w:lang w:val="en-US" w:eastAsia="zh-CN"/>
        </w:rPr>
        <w:t>（一）</w:t>
      </w:r>
      <w:r>
        <w:rPr>
          <w:rFonts w:hint="default" w:ascii="Times New Roman" w:hAnsi="Times New Roman" w:cs="Times New Roman" w:eastAsiaTheme="minorEastAsia"/>
          <w:b/>
          <w:sz w:val="24"/>
          <w:szCs w:val="24"/>
        </w:rPr>
        <w:t>机房软硬件网络维保清单</w:t>
      </w:r>
    </w:p>
    <w:tbl>
      <w:tblPr>
        <w:tblStyle w:val="7"/>
        <w:tblW w:w="50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943"/>
        <w:gridCol w:w="2045"/>
        <w:gridCol w:w="4317"/>
        <w:gridCol w:w="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9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  <w:t>设备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  <w:t>类型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  <w:t>设备型号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  <w:t>配置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1</w:t>
            </w:r>
          </w:p>
        </w:tc>
        <w:tc>
          <w:tcPr>
            <w:tcW w:w="943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交换机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H3C S5500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24个千兆电口，4个千兆combo口，1个console口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2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H3C S5600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24个千兆光口，4个千兆combo口，1个console口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3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H3C S5110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24个千兆电口，4个千兆combo口，1个console口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4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H3C S10508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双主控，一块48口千兆电口板，一块24口千兆光与4个万兆光口板，一块16口万兆光口板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5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H3C S5130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24个千兆光口，8个千兆电口，4个SFP+，1个console口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6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H3C S5500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24个千兆电口，4个千兆combo口，1个console口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7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H3C S5110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24个千兆电口，4个千兆combo口，1个console口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8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Brocade 300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8端口光纤网络（SAN）交换机 ，4Gb SFP短波收发器*8个光纤通道光缆 ，8根LC-LC光纤跳线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9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H3C S3100V2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24个百兆电口，2个千兆combo口，1个console口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24台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943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路由器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华为SRG2300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VPN3路由器 4个电口，4个光口，2个combo口，1个CON/AUX口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华为SRG2300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VPN3路由器4个电口，4个光口，2个combo口，1个CON/AUX口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943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防火墙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天融信NGFW4000-UF（TG-5128）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4个千兆光口，4个千兆电口，1个管理口，1个HA口，1个console口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天融信NGFW4000-UF（TG-1000）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6个千兆光口，6个千兆电口，1个管理口，1个HA口，1个console口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天融信NGFW4000-UF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 xml:space="preserve"> 4个电口，4个光口，1个MGMT口，1个HA口，1个console口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943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入侵防御系统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WBAS1900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专网安全管控设备 6个电口，2个光口，1个console口</w:t>
            </w:r>
          </w:p>
        </w:tc>
        <w:tc>
          <w:tcPr>
            <w:tcW w:w="748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APBS1700</w:t>
            </w:r>
          </w:p>
        </w:tc>
        <w:tc>
          <w:tcPr>
            <w:tcW w:w="43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专网安全管控设备6个电口，2个光口，1个console口</w:t>
            </w:r>
          </w:p>
        </w:tc>
        <w:tc>
          <w:tcPr>
            <w:tcW w:w="748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NACS3200</w:t>
            </w:r>
          </w:p>
        </w:tc>
        <w:tc>
          <w:tcPr>
            <w:tcW w:w="43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专网安全管控设备6个电口，2个光口，1个console口</w:t>
            </w:r>
          </w:p>
        </w:tc>
        <w:tc>
          <w:tcPr>
            <w:tcW w:w="748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9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网闸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网御网闸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SIS-3000-Z6101 一套设备上有内外两套相同的端口，8个网络光口，5个网络电口，1个管理口，1个HA口，1个console口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943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VPN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深信服VPN-3050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6个千兆电口，1个console口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深信服VPN-1000-D600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6个千兆电口，1个console口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943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存储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HP store serv 7200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24个900GB 10K SAS盘 2.5寸</w:t>
            </w: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（697389）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EMC 5400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配置双控制器，32G缓存，25块900G 10 k 2.5寸 SAS磁盘，8个8GB/S FC主机端口，3年7*24小时保修服务，含</w:t>
            </w:r>
            <w:bookmarkStart w:id="1" w:name="OLE_LINK4"/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EMC VPLEX SR1530</w:t>
            </w:r>
            <w:bookmarkEnd w:id="1"/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虚拟化网关设备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全套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EMC 5400扩展柜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1.2TB 10000转 2.5英寸 SAS硬盘，数量22块；400GB 2.5英寸 固态硬盘，用于FAST Cache，数量3块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EMC unity400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1.2TB 10000转 2.5英寸 SAS硬盘 ，数量16块；400GB 2.5英寸 固态硬盘，用于FAST Cache，数量3块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943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审计系统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明御综合日志审计平台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8盘位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明御运维审计系统 DAS-USM500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4个千兆电口,1个HA口，1个管理口，1个console口。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美创审计MC-01-w-069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4个千兆电口，一个HA口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943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PC服务器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内网虚拟机HP DL 580G7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3个300GB 15K SAS盘 2.5寸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HPE Proliant DL388 Gen9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标配8 个SAS  2.5英寸小尺寸(Smart Drive)硬盘槽); 标配4端口千兆网络适配器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943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IBM X3650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4块900GB 2.5寸 SAS 盘(43X0825)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9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备份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  <w:t>Symantec NBU7.5备份软件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配置:1个windows平台管理端，2个UNIX客户端， 数据库模块配置2个ORACLE，2个UNIX平台LAN_FREE主机节点模块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9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灭火设备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柜式七氟丙烷自动灭火装置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GQQ90/2.5B  227ea，90kg，含七氟丙烷钢瓶90L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9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精密空调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艾默生DME12MH1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标配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4台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9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ups主机+蓄电池</w:t>
            </w:r>
          </w:p>
        </w:tc>
        <w:tc>
          <w:tcPr>
            <w:tcW w:w="20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华为</w:t>
            </w:r>
          </w:p>
        </w:tc>
        <w:tc>
          <w:tcPr>
            <w:tcW w:w="43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一台功率为75KW的华为UPS主机、64节伊美康蓄电池及新纪元消防报警系统</w:t>
            </w:r>
          </w:p>
        </w:tc>
        <w:tc>
          <w:tcPr>
            <w:tcW w:w="74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</w:rPr>
              <w:t>全套</w:t>
            </w: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服务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要求</w:t>
      </w:r>
    </w:p>
    <w:bookmarkEnd w:id="0"/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版本和特征库升级服务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对于服务范围内的主机系统软件提供版本管理和升级服务。对于发布的相关软件最新版本，及时做好升级工作。若原厂商发布新的系统软件版本或补丁升级程序，提供系统软件版本和补丁测试，以及软件版本和补丁的升级实施服务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方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需将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天融信外网防火墙升级到最新版本（含应用特征库、规则库、病毒库升级）。</w:t>
      </w:r>
      <w:bookmarkStart w:id="2" w:name="_GoBack"/>
      <w:bookmarkEnd w:id="2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安全风险评估和漏洞检测服务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方必须具有远程安全评估系统工具，每季度为用户方提供专业的漏洞扫描报告，授权可扫描总数量为无限的IP地址或域名，并对存在的风险点提供打补丁及优化等服务。</w:t>
      </w:r>
    </w:p>
    <w:p>
      <w:pP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 xml:space="preserve">    3.除上述事项外，还需落实机房运维的整体性工作要求。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机房机柜租赁项目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（一）总体要求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单个机柜空间上要保证至少满足8台服务器上架运行条件（空间不少于48U），后期要根据实际业务需要进行扩容改造。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根据项目需求，机房要求位于东阳市范围内。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</w:rPr>
        <w:t>机房环境干净整洁，机柜摆放、布线合理；机房机柜采用上进线、上出线形式，引入机柜背部；具备机房环境、动力监控（电源监测、温湿度在线监测、烟感在线监测、空调运行在线监测等），可实现在线告警。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</w:rPr>
        <w:t>接地防雷保护要求：提供交流工作接地、安全保护接地及防雷保护接地，镀锌钢管、金属软管、金属接线盒外壳、机柜外壳、金属管道及支架等均进行可靠接地。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  <w:szCs w:val="24"/>
        </w:rPr>
        <w:t>机房巡检：机房巡检间隔不大于24小时。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sz w:val="24"/>
          <w:szCs w:val="24"/>
        </w:rPr>
        <w:t>运维保障：提供不低于10㎡备品备件间，为维护人员提供必要的办公场所及生活配套设施。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（二）机房网络资源要求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机房可提供政务外网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互联网、视频专网接入，能根据业务发展提供其他专网接入保障，并且接入参数满足用户需求；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网络要求：机房配备的政务外网具备双路由冗余配置且出口带宽不少于2G；互联网带宽出口不少于2G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（三）动力保障要求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机房须具备市电、油机、UPS多重电力保障能力，确保机房持续不间断的电力供应：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firstLine="0" w:firstLineChars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市电常供具备400KVA供电容量，电压220/380V、波动范围在+/-10%以内；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配备专业UPS不小于200KVA容量，蓄电池组容量不小于500AH，可以实现自动切换，至少提供1小时的后备供电能力；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</w:rPr>
        <w:t>配备大功率柴油发电机，单台油机容量不小于500KVA，在市电停电后要保证在5分钟内自动启用供电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（四）机房空调制冷要求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机房必须具备至少2台专业级的机房专用精密空调，单台制冷量不少于60KW。机房夏季温度为23±2℃，冬季温度为23±2℃，温度变化率＜5℃/h，并不结露；相对湿度40%-70%且有专用通风通道。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（五）安全及消防要求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消防灭火系统：</w:t>
      </w:r>
      <w:r>
        <w:rPr>
          <w:rFonts w:hint="default" w:ascii="Times New Roman" w:hAnsi="Times New Roman" w:eastAsia="宋体" w:cs="Times New Roman"/>
          <w:sz w:val="24"/>
          <w:szCs w:val="24"/>
        </w:rPr>
        <w:t>机房必须具备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七氟丙烷气体灭火系统</w:t>
      </w:r>
      <w:r>
        <w:rPr>
          <w:rFonts w:hint="default" w:ascii="Times New Roman" w:hAnsi="Times New Roman" w:eastAsia="宋体" w:cs="Times New Roman"/>
          <w:sz w:val="24"/>
          <w:szCs w:val="24"/>
        </w:rPr>
        <w:t>，不少于4组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柜式七氟丙烷灭火装置；</w:t>
      </w:r>
      <w:r>
        <w:rPr>
          <w:rFonts w:hint="default" w:ascii="Times New Roman" w:hAnsi="Times New Roman" w:eastAsia="宋体" w:cs="Times New Roman"/>
          <w:sz w:val="24"/>
          <w:szCs w:val="24"/>
        </w:rPr>
        <w:t>在防护区域内根据有关规范设计安装具有独立的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火灾自动探测、自动报警</w:t>
      </w:r>
      <w:r>
        <w:rPr>
          <w:rFonts w:hint="default" w:ascii="Times New Roman" w:hAnsi="Times New Roman" w:eastAsia="宋体" w:cs="Times New Roman"/>
          <w:sz w:val="24"/>
          <w:szCs w:val="24"/>
        </w:rPr>
        <w:t>及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气体灭火</w:t>
      </w:r>
      <w:r>
        <w:rPr>
          <w:rFonts w:hint="default" w:ascii="Times New Roman" w:hAnsi="Times New Roman" w:eastAsia="宋体" w:cs="Times New Roman"/>
          <w:sz w:val="24"/>
          <w:szCs w:val="24"/>
        </w:rPr>
        <w:t>功能。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火灾时关闭进风系统及空调或类似功能设施，经灭火完成并确认后，由消控中心控制开启机房事故排风机及相关风阀，排除灭火后产生的气体，为人员能够安全地进入房间做准备。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门禁系统：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机房要求安装智能门禁系统，所有机柜配备门锁。机房采取24小时值守，人员经用户授权、机房值守人员审核后才能进入机房，出入记录保存时间不低于180天。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视频监控：</w:t>
      </w:r>
      <w:r>
        <w:rPr>
          <w:rFonts w:hint="default" w:ascii="Times New Roman" w:hAnsi="Times New Roman" w:eastAsia="宋体" w:cs="Times New Roman"/>
          <w:sz w:val="24"/>
          <w:szCs w:val="24"/>
        </w:rPr>
        <w:t>机房安装有视频监控系统，能清晰记录人员进出及操作情况，可实时查看机房情况并回放录像，视频录像保存时间不低于90日。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12" w:lineRule="auto"/>
        <w:ind w:firstLine="482"/>
        <w:jc w:val="both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（六）日常运维服务要求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.建立专业的运维团队，负责机房设备的日常管理和维护。运维团队应具备专业的技术能力和丰富的经验，能够及时发现和解决设备故障，并进行定期的巡检和维护工作。建立完善的设备台账和维修记录，以便及时了解机房设备的使用情况和维修历史。此外，还应对机房进行定期安全评估，确保安全性符合标准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Cs w:val="0"/>
          <w:sz w:val="24"/>
          <w:szCs w:val="24"/>
        </w:rPr>
        <w:t>2.负责城市大脑政务外网侧网络运维。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（七）重保支持服务要求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在重要会议或重大活动（如国庆、两会等）期间，提供全方位的网络基础设施安全保障方案以及事前、事中、事后的安全保障服务，加强机房电力系统、消防系统、环境动力等系统监控。根据重保期间的有关要求，提供7×24小时在线或现场值守服务，值守期间，发生运行异常事件后，按照应急预案即时处理，即时报告、第一时间修复，确保机房网络基础设施能够在重大活动期间安全平稳运行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A75CD"/>
    <w:rsid w:val="12FD2763"/>
    <w:rsid w:val="17AD5D80"/>
    <w:rsid w:val="1C836969"/>
    <w:rsid w:val="1E590341"/>
    <w:rsid w:val="23EA75CD"/>
    <w:rsid w:val="3E9F313E"/>
    <w:rsid w:val="44C61769"/>
    <w:rsid w:val="57B7695F"/>
    <w:rsid w:val="77913F59"/>
    <w:rsid w:val="7FC8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200" w:firstLineChars="200"/>
      <w:jc w:val="left"/>
    </w:pPr>
    <w:rPr>
      <w:bCs/>
      <w:sz w:val="24"/>
    </w:rPr>
  </w:style>
  <w:style w:type="paragraph" w:styleId="3">
    <w:name w:val="Body Text"/>
    <w:basedOn w:val="1"/>
    <w:next w:val="2"/>
    <w:qFormat/>
    <w:uiPriority w:val="0"/>
    <w:pPr>
      <w:spacing w:after="120"/>
    </w:pPr>
    <w:rPr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单位"/>
    <w:basedOn w:val="1"/>
    <w:qFormat/>
    <w:uiPriority w:val="0"/>
    <w:pPr>
      <w:adjustRightInd w:val="0"/>
      <w:jc w:val="center"/>
    </w:pPr>
    <w:rPr>
      <w:rFonts w:ascii="宋体"/>
      <w:b/>
      <w:kern w:val="0"/>
      <w:sz w:val="32"/>
      <w:szCs w:val="20"/>
    </w:rPr>
  </w:style>
  <w:style w:type="paragraph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2025-06-18T11:39:00Z</dcterms:created>
  <dc:creator>张瀚</dc:creator>
  <cp:lastModifiedBy>张瀚</cp:lastModifiedBy>
  <dcterms:modified xsi:type="dcterms:W3CDTF">2025-07-03T05:03:50Z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