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1"/>
        <w:keepNext w:val="0"/>
        <w:keepLines w:val="0"/>
        <w:pageBreakBefore w:val="0"/>
        <w:widowControl w:val="0"/>
        <w:kinsoku/>
        <w:wordWrap/>
        <w:overflowPunct/>
        <w:topLinePunct w:val="0"/>
        <w:autoSpaceDE w:val="0"/>
        <w:autoSpaceDN w:val="0"/>
        <w:bidi w:val="0"/>
        <w:adjustRightInd w:val="0"/>
        <w:snapToGrid/>
        <w:spacing w:before="0" w:after="0" w:line="560" w:lineRule="exact"/>
        <w:jc w:val="both"/>
        <w:textAlignment w:val="auto"/>
        <w:outlineLvl w:val="0"/>
        <w:rPr>
          <w:rFonts w:hint="eastAsia" w:ascii="宋体" w:hAnsi="宋体" w:eastAsia="宋体" w:cs="宋体"/>
          <w:b/>
          <w:bCs/>
          <w:color w:val="auto"/>
          <w:sz w:val="30"/>
          <w:szCs w:val="30"/>
          <w:highlight w:val="none"/>
          <w:lang w:val="en-US" w:eastAsia="zh-CN"/>
        </w:rPr>
      </w:pPr>
      <w:r>
        <w:rPr>
          <w:rFonts w:hint="eastAsia" w:ascii="黑体" w:hAnsi="黑体" w:eastAsia="黑体" w:cs="黑体"/>
          <w:b w:val="0"/>
          <w:bCs w:val="0"/>
          <w:color w:val="auto"/>
          <w:sz w:val="32"/>
          <w:szCs w:val="32"/>
          <w:highlight w:val="none"/>
          <w:lang w:val="en-US" w:eastAsia="zh-CN"/>
        </w:rPr>
        <w:t xml:space="preserve">附件2  </w:t>
      </w:r>
      <w:r>
        <w:rPr>
          <w:rFonts w:hint="eastAsia" w:ascii="宋体" w:hAnsi="宋体" w:eastAsia="宋体" w:cs="宋体"/>
          <w:b/>
          <w:bCs/>
          <w:color w:val="auto"/>
          <w:sz w:val="30"/>
          <w:szCs w:val="30"/>
          <w:highlight w:val="none"/>
          <w:lang w:val="en-US" w:eastAsia="zh-CN"/>
        </w:rPr>
        <w:t xml:space="preserve"> </w:t>
      </w:r>
    </w:p>
    <w:p>
      <w:pPr>
        <w:pStyle w:val="21"/>
        <w:keepNext w:val="0"/>
        <w:keepLines w:val="0"/>
        <w:pageBreakBefore w:val="0"/>
        <w:widowControl w:val="0"/>
        <w:kinsoku/>
        <w:wordWrap/>
        <w:overflowPunct/>
        <w:topLinePunct w:val="0"/>
        <w:autoSpaceDE w:val="0"/>
        <w:autoSpaceDN w:val="0"/>
        <w:bidi w:val="0"/>
        <w:adjustRightInd w:val="0"/>
        <w:snapToGrid/>
        <w:spacing w:before="0" w:after="0" w:line="560" w:lineRule="exact"/>
        <w:jc w:val="center"/>
        <w:textAlignment w:val="auto"/>
        <w:outlineLvl w:val="0"/>
        <w:rPr>
          <w:rFonts w:hint="eastAsia" w:ascii="方正小标宋简体" w:hAnsi="方正小标宋简体" w:eastAsia="方正小标宋简体" w:cs="方正小标宋简体"/>
          <w:b w:val="0"/>
          <w:bCs w:val="0"/>
          <w:color w:val="auto"/>
          <w:sz w:val="44"/>
          <w:szCs w:val="44"/>
          <w:highlight w:val="none"/>
          <w:lang w:val="en-US" w:eastAsia="zh-CN"/>
        </w:rPr>
      </w:pPr>
      <w:r>
        <w:rPr>
          <w:rFonts w:hint="eastAsia" w:ascii="方正小标宋简体" w:hAnsi="方正小标宋简体" w:eastAsia="方正小标宋简体" w:cs="方正小标宋简体"/>
          <w:b w:val="0"/>
          <w:bCs w:val="0"/>
          <w:color w:val="auto"/>
          <w:sz w:val="44"/>
          <w:szCs w:val="44"/>
          <w:highlight w:val="none"/>
          <w:lang w:val="en-US" w:eastAsia="zh-CN"/>
        </w:rPr>
        <w:t>卫健局运维服务内容及要求</w:t>
      </w:r>
    </w:p>
    <w:p>
      <w:pPr>
        <w:pStyle w:val="21"/>
        <w:keepNext w:val="0"/>
        <w:keepLines w:val="0"/>
        <w:pageBreakBefore w:val="0"/>
        <w:widowControl w:val="0"/>
        <w:kinsoku/>
        <w:wordWrap/>
        <w:overflowPunct/>
        <w:topLinePunct w:val="0"/>
        <w:autoSpaceDE w:val="0"/>
        <w:autoSpaceDN w:val="0"/>
        <w:bidi w:val="0"/>
        <w:adjustRightInd w:val="0"/>
        <w:snapToGrid w:val="0"/>
        <w:spacing w:before="0" w:after="0" w:line="560" w:lineRule="exact"/>
        <w:jc w:val="center"/>
        <w:textAlignment w:val="auto"/>
        <w:outlineLvl w:val="0"/>
        <w:rPr>
          <w:rFonts w:hint="eastAsia" w:ascii="方正小标宋简体" w:hAnsi="方正小标宋简体" w:eastAsia="方正小标宋简体" w:cs="方正小标宋简体"/>
          <w:b w:val="0"/>
          <w:bCs w:val="0"/>
          <w:color w:val="auto"/>
          <w:sz w:val="44"/>
          <w:szCs w:val="44"/>
          <w:highlight w:val="none"/>
          <w:lang w:val="en-US" w:eastAsia="zh-CN"/>
        </w:rPr>
      </w:pPr>
      <w:bookmarkStart w:id="1" w:name="_GoBack"/>
      <w:bookmarkEnd w:id="1"/>
    </w:p>
    <w:p>
      <w:pPr>
        <w:pStyle w:val="21"/>
        <w:keepNext w:val="0"/>
        <w:keepLines w:val="0"/>
        <w:pageBreakBefore w:val="0"/>
        <w:widowControl w:val="0"/>
        <w:kinsoku/>
        <w:wordWrap/>
        <w:overflowPunct/>
        <w:topLinePunct w:val="0"/>
        <w:bidi w:val="0"/>
        <w:snapToGrid w:val="0"/>
        <w:spacing w:before="0" w:after="0" w:line="560" w:lineRule="exact"/>
        <w:ind w:firstLine="602" w:firstLineChars="200"/>
        <w:jc w:val="both"/>
        <w:textAlignment w:val="auto"/>
        <w:outlineLvl w:val="0"/>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一、机房IT设施运维服务</w:t>
      </w:r>
    </w:p>
    <w:p>
      <w:pPr>
        <w:keepNext w:val="0"/>
        <w:keepLines w:val="0"/>
        <w:pageBreakBefore w:val="0"/>
        <w:widowControl w:val="0"/>
        <w:kinsoku/>
        <w:wordWrap/>
        <w:overflowPunct/>
        <w:topLinePunct w:val="0"/>
        <w:bidi w:val="0"/>
        <w:snapToGrid w:val="0"/>
        <w:spacing w:line="560" w:lineRule="exact"/>
        <w:ind w:firstLine="964" w:firstLineChars="400"/>
        <w:textAlignment w:val="auto"/>
        <w:rPr>
          <w:rFonts w:hint="eastAsia" w:ascii="宋体" w:hAnsi="宋体" w:cs="宋体"/>
          <w:b/>
          <w:bCs w:val="0"/>
          <w:sz w:val="24"/>
        </w:rPr>
      </w:pPr>
      <w:bookmarkStart w:id="0" w:name="_Toc1473"/>
      <w:r>
        <w:rPr>
          <w:rFonts w:hint="eastAsia" w:ascii="宋体" w:hAnsi="宋体" w:cs="宋体"/>
          <w:b/>
          <w:bCs w:val="0"/>
          <w:sz w:val="24"/>
          <w:lang w:eastAsia="zh-CN"/>
        </w:rPr>
        <w:t>（</w:t>
      </w:r>
      <w:r>
        <w:rPr>
          <w:rFonts w:hint="eastAsia" w:ascii="宋体" w:hAnsi="宋体" w:cs="宋体"/>
          <w:b/>
          <w:bCs w:val="0"/>
          <w:sz w:val="24"/>
          <w:lang w:val="en-US" w:eastAsia="zh-CN"/>
        </w:rPr>
        <w:t>一</w:t>
      </w:r>
      <w:r>
        <w:rPr>
          <w:rFonts w:hint="eastAsia" w:ascii="宋体" w:hAnsi="宋体" w:cs="宋体"/>
          <w:b/>
          <w:bCs w:val="0"/>
          <w:sz w:val="24"/>
          <w:lang w:eastAsia="zh-CN"/>
        </w:rPr>
        <w:t>）</w:t>
      </w:r>
      <w:r>
        <w:rPr>
          <w:rFonts w:hint="eastAsia" w:ascii="宋体" w:hAnsi="宋体" w:cs="宋体"/>
          <w:b/>
          <w:bCs w:val="0"/>
          <w:sz w:val="24"/>
        </w:rPr>
        <w:t>机房IT设施运维清单</w:t>
      </w:r>
    </w:p>
    <w:tbl>
      <w:tblPr>
        <w:tblStyle w:val="16"/>
        <w:tblW w:w="49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3"/>
        <w:gridCol w:w="2696"/>
        <w:gridCol w:w="4425"/>
        <w:gridCol w:w="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b/>
                <w:snapToGrid w:val="0"/>
              </w:rPr>
            </w:pPr>
            <w:r>
              <w:rPr>
                <w:rFonts w:hint="eastAsia" w:ascii="宋体" w:hAnsi="宋体" w:cs="宋体"/>
                <w:b/>
                <w:snapToGrid w:val="0"/>
              </w:rPr>
              <w:t>序号</w:t>
            </w:r>
          </w:p>
        </w:tc>
        <w:tc>
          <w:tcPr>
            <w:tcW w:w="1521" w:type="pct"/>
            <w:shd w:val="clear" w:color="auto" w:fill="auto"/>
            <w:vAlign w:val="center"/>
          </w:tcPr>
          <w:p>
            <w:pPr>
              <w:pStyle w:val="3"/>
              <w:spacing w:after="0" w:line="440" w:lineRule="exact"/>
              <w:jc w:val="center"/>
              <w:rPr>
                <w:rFonts w:hint="eastAsia" w:ascii="宋体" w:hAnsi="宋体" w:cs="宋体"/>
                <w:b/>
                <w:snapToGrid w:val="0"/>
              </w:rPr>
            </w:pPr>
            <w:r>
              <w:rPr>
                <w:rFonts w:hint="eastAsia" w:ascii="宋体" w:hAnsi="宋体" w:cs="宋体"/>
                <w:b/>
              </w:rPr>
              <w:t>设备类型</w:t>
            </w:r>
          </w:p>
        </w:tc>
        <w:tc>
          <w:tcPr>
            <w:tcW w:w="2496" w:type="pct"/>
            <w:shd w:val="clear" w:color="auto" w:fill="auto"/>
            <w:vAlign w:val="center"/>
          </w:tcPr>
          <w:p>
            <w:pPr>
              <w:pStyle w:val="3"/>
              <w:spacing w:after="0" w:line="440" w:lineRule="exact"/>
              <w:jc w:val="center"/>
              <w:rPr>
                <w:rFonts w:hint="eastAsia" w:ascii="宋体" w:hAnsi="宋体" w:cs="宋体"/>
                <w:b/>
              </w:rPr>
            </w:pPr>
            <w:r>
              <w:rPr>
                <w:rFonts w:hint="eastAsia" w:ascii="宋体" w:hAnsi="宋体" w:cs="宋体"/>
                <w:b/>
              </w:rPr>
              <w:t>设备型号</w:t>
            </w:r>
          </w:p>
        </w:tc>
        <w:tc>
          <w:tcPr>
            <w:tcW w:w="561" w:type="pct"/>
            <w:shd w:val="clear" w:color="auto" w:fill="auto"/>
            <w:vAlign w:val="center"/>
          </w:tcPr>
          <w:p>
            <w:pPr>
              <w:pStyle w:val="3"/>
              <w:spacing w:after="0" w:line="440" w:lineRule="exact"/>
              <w:jc w:val="center"/>
              <w:rPr>
                <w:rFonts w:hint="eastAsia" w:ascii="宋体" w:hAnsi="宋体" w:cs="宋体"/>
                <w:b/>
              </w:rPr>
            </w:pPr>
            <w:r>
              <w:rPr>
                <w:rFonts w:hint="eastAsia" w:ascii="宋体" w:hAnsi="宋体" w:cs="宋体"/>
                <w:b/>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PC服务器</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浪潮 NF8460M3</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6台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PC服务器</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Lenovo X3650 M5</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8台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3</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PC服务器</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IBM X3650 M4</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7台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4</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PC服务器</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DELL R730</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3台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5</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PC服务器</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IBM X3650</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3台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6</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PC服务器</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IBM X3850 X5</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7</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PC服务器</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HP DL385G7</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8</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PC服务器</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DELL R710</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9</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PC服务器</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DELL R840</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10</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存储</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EMC VNX5300</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11</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存储</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EMC VNXe3200</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12</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存储</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神州云科NCS4250H</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13</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虚拟带库</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神州云科NDP 320</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14</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存储虚拟网关</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EMC VPLEX</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15</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光纤交换机</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博科300</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16</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光纤交换机</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EMC DS300B</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17</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交换机</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H3C S7503E-M</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18</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交换机</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H3C LS-5130S-52P-EI</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19</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交换机</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H3C S3600V2-28TP</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20</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交换机</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H3C S5500</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21</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交换机</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神州数码DCRS-5960</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22</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交换机</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华为S5700S-28P-LI</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23</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交换机</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H3C S5500V2-48P-SI</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24</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交换机</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H3C S5500V3-48P-SI</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25</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交换机</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H3C LS-5500-52S</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26</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交换机</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华为S3700</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27</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交换机</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H3C LS-3600V2</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28</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路由器</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H3C S6602-X</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29</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防火墙</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天融信TG-41406</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30</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防火墙</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天融信 TG-51030</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sz w:val="18"/>
                <w:szCs w:val="18"/>
              </w:rPr>
            </w:pPr>
            <w:r>
              <w:rPr>
                <w:rFonts w:hint="eastAsia" w:ascii="宋体" w:hAnsi="宋体" w:cs="宋体"/>
              </w:rPr>
              <w:t>31</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防火墙</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360 NSG3000-TE25P-Q</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32</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防火墙</w:t>
            </w:r>
          </w:p>
        </w:tc>
        <w:tc>
          <w:tcPr>
            <w:tcW w:w="2496" w:type="pct"/>
            <w:shd w:val="clear" w:color="auto" w:fill="auto"/>
            <w:vAlign w:val="center"/>
          </w:tcPr>
          <w:p>
            <w:pPr>
              <w:pStyle w:val="3"/>
              <w:spacing w:after="0" w:line="440" w:lineRule="exact"/>
              <w:jc w:val="left"/>
              <w:rPr>
                <w:rFonts w:hint="eastAsia" w:ascii="宋体" w:hAnsi="宋体" w:cs="宋体"/>
                <w:sz w:val="18"/>
                <w:szCs w:val="18"/>
              </w:rPr>
            </w:pPr>
            <w:r>
              <w:rPr>
                <w:rFonts w:hint="eastAsia" w:ascii="宋体" w:hAnsi="宋体" w:cs="宋体"/>
              </w:rPr>
              <w:t>安恒 DAS-NGFW660</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33</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防火墙</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天融信 NG-51038</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34</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入侵检测</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天融信 TI-31114</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35</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防毒墙</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天融信TU-31513F</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36</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网站防护</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铱讯 WAF-3780</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419"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37</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数据库审计</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安恒DAS-A1000</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38</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综合日志审计</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安恒DAS-LOG500</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39</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堡垒机</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安恒DAS-USM200</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40</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网闸</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金电网安5000SZ</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41</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视频网闸</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金电网安ZP 3650</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42</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准入管理</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盈高 ASM6503</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43</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移动准入管理</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盈高IMC2301</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44</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桌面管理</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盈高桌面管理</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45</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VPN</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深信服VPN-1000-A400</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46</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负载均衡系统</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深信服AD-1000-D620</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47</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杀毒</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奇安信网神统一服务器安全管理系统</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48</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杀毒</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奇安信网神终端安全管理系统</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49</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安全感知系统</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奇安信网神TSS10000-A58</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50</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流量传感器</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奇安信网神TSS10000-S53</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419"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51</w:t>
            </w:r>
          </w:p>
        </w:tc>
        <w:tc>
          <w:tcPr>
            <w:tcW w:w="152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数据库实时复制系统</w:t>
            </w:r>
          </w:p>
        </w:tc>
        <w:tc>
          <w:tcPr>
            <w:tcW w:w="2496" w:type="pct"/>
            <w:shd w:val="clear" w:color="auto" w:fill="auto"/>
            <w:vAlign w:val="center"/>
          </w:tcPr>
          <w:p>
            <w:pPr>
              <w:pStyle w:val="3"/>
              <w:spacing w:after="0" w:line="440" w:lineRule="exact"/>
              <w:jc w:val="left"/>
              <w:rPr>
                <w:rFonts w:hint="eastAsia" w:ascii="宋体" w:hAnsi="宋体" w:cs="宋体"/>
              </w:rPr>
            </w:pPr>
            <w:r>
              <w:rPr>
                <w:rFonts w:hint="eastAsia" w:ascii="宋体" w:hAnsi="宋体" w:cs="宋体"/>
              </w:rPr>
              <w:t>DSG数据库实时复制系统</w:t>
            </w:r>
          </w:p>
        </w:tc>
        <w:tc>
          <w:tcPr>
            <w:tcW w:w="561" w:type="pct"/>
            <w:shd w:val="clear" w:color="auto" w:fill="auto"/>
            <w:vAlign w:val="center"/>
          </w:tcPr>
          <w:p>
            <w:pPr>
              <w:pStyle w:val="3"/>
              <w:spacing w:after="0" w:line="440" w:lineRule="exact"/>
              <w:jc w:val="center"/>
              <w:rPr>
                <w:rFonts w:hint="eastAsia" w:ascii="宋体" w:hAnsi="宋体" w:cs="宋体"/>
              </w:rPr>
            </w:pPr>
            <w:r>
              <w:rPr>
                <w:rFonts w:hint="eastAsia" w:ascii="宋体" w:hAnsi="宋体" w:cs="宋体"/>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19"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52</w:t>
            </w:r>
          </w:p>
        </w:tc>
        <w:tc>
          <w:tcPr>
            <w:tcW w:w="1521"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虚拟化平台</w:t>
            </w:r>
          </w:p>
        </w:tc>
        <w:tc>
          <w:tcPr>
            <w:tcW w:w="2496" w:type="pct"/>
            <w:shd w:val="clear" w:color="auto" w:fill="auto"/>
            <w:vAlign w:val="center"/>
          </w:tcPr>
          <w:p>
            <w:pPr>
              <w:spacing w:line="440" w:lineRule="exact"/>
              <w:jc w:val="left"/>
              <w:rPr>
                <w:rFonts w:hint="eastAsia" w:ascii="宋体" w:hAnsi="宋体" w:cs="宋体"/>
                <w:sz w:val="24"/>
              </w:rPr>
            </w:pPr>
            <w:r>
              <w:rPr>
                <w:rFonts w:hint="eastAsia" w:ascii="宋体" w:hAnsi="宋体" w:cs="宋体"/>
                <w:sz w:val="24"/>
              </w:rPr>
              <w:t>VMware虚拟化软件</w:t>
            </w:r>
          </w:p>
        </w:tc>
        <w:tc>
          <w:tcPr>
            <w:tcW w:w="561"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53</w:t>
            </w:r>
          </w:p>
        </w:tc>
        <w:tc>
          <w:tcPr>
            <w:tcW w:w="1521" w:type="pct"/>
            <w:shd w:val="clear" w:color="auto" w:fill="auto"/>
            <w:vAlign w:val="center"/>
          </w:tcPr>
          <w:p>
            <w:pPr>
              <w:spacing w:line="440" w:lineRule="exact"/>
              <w:jc w:val="center"/>
              <w:rPr>
                <w:rFonts w:hint="eastAsia" w:ascii="宋体" w:hAnsi="宋体" w:cs="宋体"/>
              </w:rPr>
            </w:pPr>
            <w:r>
              <w:rPr>
                <w:rFonts w:hint="eastAsia" w:ascii="宋体" w:hAnsi="宋体" w:cs="宋体"/>
                <w:sz w:val="24"/>
              </w:rPr>
              <w:t>虚拟化平台备份系统</w:t>
            </w:r>
          </w:p>
        </w:tc>
        <w:tc>
          <w:tcPr>
            <w:tcW w:w="2496" w:type="pct"/>
            <w:shd w:val="clear" w:color="auto" w:fill="auto"/>
            <w:vAlign w:val="center"/>
          </w:tcPr>
          <w:p>
            <w:pPr>
              <w:spacing w:line="440" w:lineRule="exact"/>
              <w:jc w:val="left"/>
              <w:rPr>
                <w:rFonts w:hint="eastAsia" w:ascii="宋体" w:hAnsi="宋体" w:cs="宋体"/>
              </w:rPr>
            </w:pPr>
            <w:r>
              <w:rPr>
                <w:rFonts w:hint="eastAsia" w:ascii="宋体" w:hAnsi="宋体" w:cs="宋体"/>
                <w:sz w:val="24"/>
              </w:rPr>
              <w:t>卫盟虚拟化平台数据备份系统</w:t>
            </w:r>
          </w:p>
        </w:tc>
        <w:tc>
          <w:tcPr>
            <w:tcW w:w="561" w:type="pct"/>
            <w:shd w:val="clear" w:color="auto" w:fill="auto"/>
            <w:vAlign w:val="center"/>
          </w:tcPr>
          <w:p>
            <w:pPr>
              <w:spacing w:line="440" w:lineRule="exact"/>
              <w:jc w:val="center"/>
              <w:rPr>
                <w:rFonts w:hint="eastAsia" w:ascii="宋体" w:hAnsi="宋体" w:cs="宋体"/>
              </w:rPr>
            </w:pPr>
            <w:r>
              <w:rPr>
                <w:rFonts w:hint="eastAsia" w:ascii="宋体" w:hAnsi="宋体" w:cs="宋体"/>
                <w:sz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adjustRightInd w:val="0"/>
              <w:snapToGrid w:val="0"/>
              <w:spacing w:line="440" w:lineRule="exact"/>
              <w:jc w:val="center"/>
              <w:rPr>
                <w:rFonts w:hint="eastAsia" w:ascii="宋体" w:hAnsi="宋体" w:cs="宋体"/>
                <w:sz w:val="24"/>
                <w:szCs w:val="24"/>
              </w:rPr>
            </w:pPr>
            <w:r>
              <w:rPr>
                <w:rFonts w:hint="eastAsia" w:ascii="宋体" w:hAnsi="宋体" w:cs="宋体"/>
                <w:sz w:val="24"/>
                <w:szCs w:val="24"/>
              </w:rPr>
              <w:t>54</w:t>
            </w:r>
          </w:p>
        </w:tc>
        <w:tc>
          <w:tcPr>
            <w:tcW w:w="1521" w:type="pct"/>
            <w:shd w:val="clear" w:color="auto" w:fill="auto"/>
            <w:vAlign w:val="center"/>
          </w:tcPr>
          <w:p>
            <w:pPr>
              <w:spacing w:line="440" w:lineRule="exact"/>
              <w:jc w:val="center"/>
              <w:rPr>
                <w:rFonts w:hint="eastAsia" w:ascii="宋体" w:hAnsi="宋体" w:cs="宋体"/>
              </w:rPr>
            </w:pPr>
            <w:r>
              <w:rPr>
                <w:rFonts w:hint="eastAsia" w:ascii="宋体" w:hAnsi="宋体" w:cs="宋体"/>
                <w:sz w:val="24"/>
              </w:rPr>
              <w:t>数据库</w:t>
            </w:r>
          </w:p>
        </w:tc>
        <w:tc>
          <w:tcPr>
            <w:tcW w:w="2496" w:type="pct"/>
            <w:shd w:val="clear" w:color="auto" w:fill="auto"/>
            <w:vAlign w:val="center"/>
          </w:tcPr>
          <w:p>
            <w:pPr>
              <w:jc w:val="left"/>
              <w:rPr>
                <w:rFonts w:hint="eastAsia" w:ascii="宋体" w:hAnsi="宋体" w:cs="宋体"/>
              </w:rPr>
            </w:pPr>
            <w:r>
              <w:rPr>
                <w:rFonts w:hint="eastAsia" w:ascii="宋体" w:hAnsi="宋体" w:cs="宋体"/>
                <w:sz w:val="24"/>
              </w:rPr>
              <w:t>Oracle、SQLserver、MySQL、Mongodb数据库日常运维</w:t>
            </w:r>
          </w:p>
        </w:tc>
        <w:tc>
          <w:tcPr>
            <w:tcW w:w="561" w:type="pct"/>
            <w:shd w:val="clear" w:color="auto" w:fill="auto"/>
            <w:vAlign w:val="center"/>
          </w:tcPr>
          <w:p>
            <w:pPr>
              <w:spacing w:line="440" w:lineRule="exact"/>
              <w:jc w:val="center"/>
              <w:rPr>
                <w:rFonts w:hint="eastAsia" w:ascii="宋体" w:hAnsi="宋体" w:cs="宋体"/>
              </w:rPr>
            </w:pPr>
            <w:r>
              <w:rPr>
                <w:rFonts w:hint="eastAsia" w:ascii="宋体" w:hAnsi="宋体" w:cs="宋体"/>
                <w:sz w:val="24"/>
              </w:rPr>
              <w:t>1批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19" w:type="pct"/>
            <w:shd w:val="clear" w:color="auto" w:fill="auto"/>
            <w:vAlign w:val="center"/>
          </w:tcPr>
          <w:p>
            <w:pPr>
              <w:spacing w:line="440" w:lineRule="exact"/>
              <w:jc w:val="center"/>
              <w:rPr>
                <w:rFonts w:hint="eastAsia" w:ascii="宋体" w:hAnsi="宋体" w:cs="宋体"/>
                <w:sz w:val="24"/>
              </w:rPr>
            </w:pPr>
            <w:r>
              <w:rPr>
                <w:rFonts w:hint="eastAsia" w:ascii="宋体" w:hAnsi="宋体" w:cs="宋体"/>
                <w:sz w:val="24"/>
              </w:rPr>
              <w:t>55</w:t>
            </w:r>
          </w:p>
        </w:tc>
        <w:tc>
          <w:tcPr>
            <w:tcW w:w="1521" w:type="pct"/>
            <w:shd w:val="clear" w:color="auto" w:fill="auto"/>
            <w:vAlign w:val="center"/>
          </w:tcPr>
          <w:p>
            <w:pPr>
              <w:adjustRightInd w:val="0"/>
              <w:snapToGrid w:val="0"/>
              <w:spacing w:line="440" w:lineRule="exact"/>
              <w:ind w:firstLine="240" w:firstLineChars="100"/>
              <w:rPr>
                <w:rFonts w:hint="eastAsia" w:ascii="宋体" w:hAnsi="宋体" w:cs="宋体"/>
                <w:sz w:val="24"/>
              </w:rPr>
            </w:pPr>
            <w:r>
              <w:rPr>
                <w:rFonts w:hint="eastAsia" w:ascii="宋体" w:hAnsi="宋体" w:cs="宋体"/>
                <w:sz w:val="24"/>
                <w:szCs w:val="24"/>
              </w:rPr>
              <w:t>城市大脑云资源</w:t>
            </w:r>
          </w:p>
        </w:tc>
        <w:tc>
          <w:tcPr>
            <w:tcW w:w="2496" w:type="pct"/>
            <w:shd w:val="clear" w:color="auto" w:fill="auto"/>
            <w:vAlign w:val="center"/>
          </w:tcPr>
          <w:p>
            <w:pPr>
              <w:adjustRightInd w:val="0"/>
              <w:snapToGrid w:val="0"/>
              <w:spacing w:line="440" w:lineRule="exact"/>
              <w:jc w:val="left"/>
              <w:rPr>
                <w:rFonts w:hint="eastAsia" w:ascii="宋体" w:hAnsi="宋体" w:cs="宋体"/>
                <w:sz w:val="24"/>
              </w:rPr>
            </w:pPr>
            <w:r>
              <w:rPr>
                <w:rFonts w:hint="eastAsia" w:ascii="宋体" w:hAnsi="宋体" w:cs="宋体"/>
                <w:sz w:val="24"/>
                <w:szCs w:val="24"/>
              </w:rPr>
              <w:t>VPC云资源维护</w:t>
            </w:r>
          </w:p>
        </w:tc>
        <w:tc>
          <w:tcPr>
            <w:tcW w:w="561" w:type="pct"/>
            <w:shd w:val="clear" w:color="auto" w:fill="auto"/>
            <w:vAlign w:val="center"/>
          </w:tcPr>
          <w:p>
            <w:pPr>
              <w:adjustRightInd w:val="0"/>
              <w:snapToGrid w:val="0"/>
              <w:spacing w:line="440" w:lineRule="exact"/>
              <w:jc w:val="center"/>
              <w:rPr>
                <w:rFonts w:hint="eastAsia" w:ascii="宋体" w:hAnsi="宋体" w:cs="宋体"/>
                <w:sz w:val="24"/>
              </w:rPr>
            </w:pPr>
            <w:r>
              <w:rPr>
                <w:rFonts w:hint="eastAsia" w:ascii="宋体" w:hAnsi="宋体" w:cs="宋体"/>
                <w:sz w:val="24"/>
              </w:rPr>
              <w:t>1批</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注：最终运维设备以用户现场实际设备型号、数量为准。</w:t>
      </w:r>
    </w:p>
    <w:p>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outlineLvl w:val="0"/>
        <w:rPr>
          <w:rFonts w:hint="eastAsia" w:ascii="宋体" w:hAnsi="宋体" w:cs="宋体"/>
          <w:b/>
          <w:bCs/>
          <w:sz w:val="24"/>
          <w:szCs w:val="24"/>
        </w:rPr>
      </w:pPr>
      <w:r>
        <w:rPr>
          <w:rFonts w:hint="eastAsia" w:ascii="宋体" w:hAnsi="宋体" w:cs="宋体"/>
          <w:b/>
          <w:bCs/>
          <w:sz w:val="24"/>
          <w:szCs w:val="24"/>
          <w:lang w:eastAsia="zh-CN"/>
        </w:rPr>
        <w:t>（</w:t>
      </w:r>
      <w:r>
        <w:rPr>
          <w:rFonts w:hint="eastAsia" w:ascii="宋体" w:hAnsi="宋体" w:cs="宋体"/>
          <w:b/>
          <w:bCs/>
          <w:sz w:val="24"/>
          <w:szCs w:val="24"/>
          <w:lang w:val="en-US" w:eastAsia="zh-CN"/>
        </w:rPr>
        <w:t>二</w:t>
      </w:r>
      <w:r>
        <w:rPr>
          <w:rFonts w:hint="eastAsia" w:ascii="宋体" w:hAnsi="宋体" w:cs="宋体"/>
          <w:b/>
          <w:bCs/>
          <w:sz w:val="24"/>
          <w:szCs w:val="24"/>
          <w:lang w:eastAsia="zh-CN"/>
        </w:rPr>
        <w:t>）</w:t>
      </w:r>
      <w:r>
        <w:rPr>
          <w:rFonts w:hint="eastAsia" w:ascii="宋体" w:hAnsi="宋体" w:cs="宋体"/>
          <w:b/>
          <w:bCs/>
          <w:sz w:val="24"/>
          <w:szCs w:val="24"/>
        </w:rPr>
        <w:t>服务要求</w:t>
      </w:r>
    </w:p>
    <w:p>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outlineLvl w:val="0"/>
        <w:rPr>
          <w:rFonts w:hint="eastAsia" w:ascii="宋体" w:hAnsi="宋体" w:cs="宋体"/>
          <w:sz w:val="24"/>
          <w:szCs w:val="24"/>
        </w:rPr>
      </w:pPr>
      <w:r>
        <w:rPr>
          <w:rFonts w:hint="eastAsia" w:ascii="宋体" w:hAnsi="宋体" w:cs="宋体"/>
          <w:b/>
          <w:bCs/>
          <w:sz w:val="24"/>
          <w:szCs w:val="24"/>
          <w:lang w:val="en-US" w:eastAsia="zh-CN"/>
        </w:rPr>
        <w:t>1.</w:t>
      </w:r>
      <w:r>
        <w:rPr>
          <w:rFonts w:hint="eastAsia" w:ascii="宋体" w:hAnsi="宋体" w:cs="宋体"/>
          <w:sz w:val="24"/>
          <w:szCs w:val="24"/>
        </w:rPr>
        <w:t>要求每年提供不少于1次的备份恢复测试演练和容灾演练服务；运维服务期内提供深信服VPN设备软硬件原厂运维升级服务(2025年11月16日-2026年12月31日），涉及到的费用由中标方承担。</w:t>
      </w:r>
    </w:p>
    <w:p>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outlineLvl w:val="0"/>
        <w:rPr>
          <w:rFonts w:hint="default" w:ascii="宋体" w:hAnsi="宋体" w:cs="宋体"/>
          <w:sz w:val="24"/>
          <w:szCs w:val="24"/>
          <w:lang w:val="en-US" w:eastAsia="zh-CN"/>
        </w:rPr>
      </w:pPr>
      <w:r>
        <w:rPr>
          <w:rFonts w:hint="eastAsia" w:ascii="宋体" w:hAnsi="宋体" w:cs="宋体"/>
          <w:sz w:val="24"/>
          <w:szCs w:val="24"/>
          <w:lang w:val="en-US" w:eastAsia="zh-CN"/>
        </w:rPr>
        <w:t>2.按要求落实招标文件中的机房运维要求及整体服务要求。</w:t>
      </w:r>
    </w:p>
    <w:p>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outlineLvl w:val="0"/>
        <w:rPr>
          <w:rFonts w:hint="default" w:ascii="宋体" w:hAnsi="宋体" w:cs="宋体"/>
          <w:sz w:val="24"/>
          <w:szCs w:val="24"/>
          <w:lang w:val="en-US" w:eastAsia="zh-CN"/>
        </w:rPr>
      </w:pPr>
    </w:p>
    <w:p>
      <w:pPr>
        <w:pStyle w:val="6"/>
        <w:keepNext w:val="0"/>
        <w:keepLines w:val="0"/>
        <w:pageBreakBefore w:val="0"/>
        <w:widowControl w:val="0"/>
        <w:kinsoku/>
        <w:wordWrap/>
        <w:overflowPunct/>
        <w:topLinePunct w:val="0"/>
        <w:autoSpaceDE/>
        <w:autoSpaceDN/>
        <w:bidi w:val="0"/>
        <w:snapToGrid w:val="0"/>
        <w:spacing w:line="360" w:lineRule="auto"/>
        <w:textAlignment w:val="auto"/>
        <w:rPr>
          <w:rFonts w:hint="default" w:eastAsia="宋体"/>
          <w:lang w:val="en-US" w:eastAsia="zh-CN"/>
        </w:rPr>
      </w:pPr>
    </w:p>
    <w:p>
      <w:pPr>
        <w:adjustRightInd w:val="0"/>
        <w:snapToGrid w:val="0"/>
        <w:spacing w:line="460" w:lineRule="exact"/>
        <w:ind w:firstLine="480" w:firstLineChars="200"/>
        <w:rPr>
          <w:rFonts w:hint="eastAsia" w:ascii="宋体" w:hAnsi="宋体" w:cs="宋体"/>
          <w:sz w:val="24"/>
          <w:szCs w:val="24"/>
        </w:rPr>
      </w:pPr>
    </w:p>
    <w:p>
      <w:pPr>
        <w:pStyle w:val="21"/>
        <w:spacing w:before="156" w:beforeLines="50" w:after="156" w:afterLines="50" w:line="480" w:lineRule="exact"/>
        <w:ind w:firstLine="602" w:firstLineChars="200"/>
        <w:jc w:val="both"/>
        <w:outlineLvl w:val="0"/>
        <w:rPr>
          <w:rFonts w:hint="eastAsia"/>
          <w:b/>
          <w:bCs/>
          <w:color w:val="auto"/>
          <w:sz w:val="30"/>
          <w:szCs w:val="30"/>
        </w:rPr>
        <w:sectPr>
          <w:footerReference r:id="rId3" w:type="default"/>
          <w:pgSz w:w="11906" w:h="16838"/>
          <w:pgMar w:top="1474" w:right="1587" w:bottom="1474" w:left="1587" w:header="851" w:footer="992" w:gutter="0"/>
          <w:pgNumType w:fmt="decimal"/>
          <w:cols w:space="0" w:num="1"/>
          <w:rtlGutter w:val="0"/>
          <w:docGrid w:type="lines" w:linePitch="312" w:charSpace="0"/>
        </w:sectPr>
      </w:pPr>
    </w:p>
    <w:p>
      <w:pPr>
        <w:pStyle w:val="21"/>
        <w:spacing w:before="156" w:beforeLines="50" w:after="156" w:afterLines="50" w:line="480" w:lineRule="exact"/>
        <w:ind w:firstLine="602" w:firstLineChars="200"/>
        <w:jc w:val="both"/>
        <w:outlineLvl w:val="0"/>
        <w:rPr>
          <w:rStyle w:val="27"/>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color w:val="auto"/>
          <w:sz w:val="30"/>
          <w:szCs w:val="30"/>
        </w:rPr>
        <w:t>二、</w:t>
      </w:r>
      <w:r>
        <w:rPr>
          <w:rStyle w:val="27"/>
          <w:rFonts w:hint="eastAsia" w:asciiTheme="minorEastAsia" w:hAnsiTheme="minorEastAsia" w:eastAsiaTheme="minorEastAsia" w:cstheme="minorEastAsia"/>
          <w:b/>
          <w:bCs/>
          <w:sz w:val="30"/>
          <w:szCs w:val="30"/>
        </w:rPr>
        <w:t>机房基础设施运维</w:t>
      </w:r>
    </w:p>
    <w:p>
      <w:pPr>
        <w:pStyle w:val="21"/>
        <w:spacing w:before="156" w:beforeLines="50" w:after="156" w:afterLines="50" w:line="480" w:lineRule="exact"/>
        <w:ind w:firstLine="482" w:firstLineChars="200"/>
        <w:jc w:val="both"/>
        <w:outlineLvl w:val="0"/>
        <w:rPr>
          <w:rFonts w:hint="default" w:eastAsia="宋体"/>
          <w:b/>
          <w:bCs/>
          <w:color w:val="auto"/>
          <w:sz w:val="24"/>
          <w:szCs w:val="24"/>
          <w:lang w:val="en-US" w:eastAsia="zh-CN"/>
        </w:rPr>
      </w:pPr>
      <w:r>
        <w:rPr>
          <w:rFonts w:hint="eastAsia"/>
          <w:b/>
          <w:bCs/>
          <w:color w:val="auto"/>
          <w:sz w:val="24"/>
          <w:szCs w:val="24"/>
          <w:lang w:eastAsia="zh-CN"/>
        </w:rPr>
        <w:t>（</w:t>
      </w:r>
      <w:r>
        <w:rPr>
          <w:rFonts w:hint="eastAsia"/>
          <w:b/>
          <w:bCs/>
          <w:color w:val="auto"/>
          <w:sz w:val="24"/>
          <w:szCs w:val="24"/>
          <w:lang w:val="en-US" w:eastAsia="zh-CN"/>
        </w:rPr>
        <w:t>一</w:t>
      </w:r>
      <w:r>
        <w:rPr>
          <w:rFonts w:hint="eastAsia"/>
          <w:b/>
          <w:bCs/>
          <w:color w:val="auto"/>
          <w:sz w:val="24"/>
          <w:szCs w:val="24"/>
          <w:lang w:eastAsia="zh-CN"/>
        </w:rPr>
        <w:t>）</w:t>
      </w:r>
      <w:r>
        <w:rPr>
          <w:rFonts w:hint="eastAsia"/>
          <w:b/>
          <w:bCs/>
          <w:color w:val="auto"/>
          <w:sz w:val="24"/>
          <w:szCs w:val="24"/>
          <w:lang w:val="en-US" w:eastAsia="zh-CN"/>
        </w:rPr>
        <w:t>运维设施清单</w:t>
      </w:r>
    </w:p>
    <w:tbl>
      <w:tblPr>
        <w:tblStyle w:val="16"/>
        <w:tblW w:w="496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3139"/>
        <w:gridCol w:w="3649"/>
        <w:gridCol w:w="1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Align w:val="center"/>
          </w:tcPr>
          <w:p>
            <w:pPr>
              <w:spacing w:line="400" w:lineRule="exact"/>
              <w:jc w:val="center"/>
              <w:rPr>
                <w:rFonts w:hint="eastAsia" w:ascii="宋体" w:hAnsi="宋体" w:cs="宋体"/>
                <w:sz w:val="24"/>
              </w:rPr>
            </w:pPr>
            <w:r>
              <w:rPr>
                <w:rFonts w:hint="eastAsia" w:ascii="宋体" w:hAnsi="宋体" w:cs="宋体"/>
                <w:sz w:val="24"/>
              </w:rPr>
              <w:t>序号</w:t>
            </w:r>
          </w:p>
        </w:tc>
        <w:tc>
          <w:tcPr>
            <w:tcW w:w="1766" w:type="pct"/>
            <w:vAlign w:val="center"/>
          </w:tcPr>
          <w:p>
            <w:pPr>
              <w:spacing w:line="400" w:lineRule="exact"/>
              <w:jc w:val="center"/>
              <w:rPr>
                <w:rFonts w:hint="eastAsia" w:ascii="宋体" w:hAnsi="宋体" w:cs="宋体"/>
                <w:sz w:val="24"/>
              </w:rPr>
            </w:pPr>
            <w:r>
              <w:rPr>
                <w:rFonts w:hint="eastAsia" w:ascii="宋体" w:hAnsi="宋体" w:cs="宋体"/>
                <w:sz w:val="24"/>
              </w:rPr>
              <w:t>服务项目</w:t>
            </w:r>
          </w:p>
        </w:tc>
        <w:tc>
          <w:tcPr>
            <w:tcW w:w="2053" w:type="pct"/>
            <w:vAlign w:val="center"/>
          </w:tcPr>
          <w:p>
            <w:pPr>
              <w:spacing w:line="400" w:lineRule="exact"/>
              <w:jc w:val="center"/>
              <w:rPr>
                <w:rFonts w:hint="eastAsia" w:ascii="宋体" w:hAnsi="宋体" w:cs="宋体"/>
                <w:sz w:val="24"/>
              </w:rPr>
            </w:pPr>
            <w:r>
              <w:rPr>
                <w:rFonts w:hint="eastAsia" w:ascii="宋体" w:hAnsi="宋体" w:cs="宋体"/>
                <w:sz w:val="24"/>
              </w:rPr>
              <w:t>设备型号</w:t>
            </w:r>
          </w:p>
        </w:tc>
        <w:tc>
          <w:tcPr>
            <w:tcW w:w="699" w:type="pct"/>
            <w:vAlign w:val="center"/>
          </w:tcPr>
          <w:p>
            <w:pPr>
              <w:spacing w:line="400" w:lineRule="exact"/>
              <w:jc w:val="center"/>
              <w:rPr>
                <w:rFonts w:hint="eastAsia" w:ascii="宋体" w:hAnsi="宋体" w:cs="宋体"/>
                <w:sz w:val="24"/>
              </w:rPr>
            </w:pPr>
            <w:r>
              <w:rPr>
                <w:rFonts w:hint="eastAsia" w:ascii="宋体" w:hAnsi="宋体" w:cs="宋体"/>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Merge w:val="restart"/>
            <w:vAlign w:val="center"/>
          </w:tcPr>
          <w:p>
            <w:pPr>
              <w:spacing w:line="400" w:lineRule="exact"/>
              <w:jc w:val="center"/>
              <w:rPr>
                <w:rFonts w:hint="eastAsia" w:ascii="宋体" w:hAnsi="宋体" w:cs="宋体"/>
                <w:sz w:val="24"/>
              </w:rPr>
            </w:pPr>
            <w:r>
              <w:rPr>
                <w:rFonts w:hint="eastAsia" w:ascii="宋体" w:hAnsi="宋体" w:cs="宋体"/>
                <w:sz w:val="24"/>
              </w:rPr>
              <w:t>1</w:t>
            </w:r>
          </w:p>
        </w:tc>
        <w:tc>
          <w:tcPr>
            <w:tcW w:w="1766" w:type="pct"/>
            <w:vMerge w:val="restart"/>
            <w:vAlign w:val="center"/>
          </w:tcPr>
          <w:p>
            <w:pPr>
              <w:spacing w:line="400" w:lineRule="exact"/>
              <w:rPr>
                <w:rFonts w:hint="eastAsia" w:ascii="宋体" w:hAnsi="宋体" w:cs="宋体"/>
                <w:sz w:val="24"/>
              </w:rPr>
            </w:pPr>
            <w:r>
              <w:rPr>
                <w:rFonts w:hint="eastAsia" w:ascii="宋体" w:hAnsi="宋体" w:cs="宋体"/>
                <w:sz w:val="24"/>
              </w:rPr>
              <w:t>精密空调系统、新风系统维保服务</w:t>
            </w:r>
          </w:p>
        </w:tc>
        <w:tc>
          <w:tcPr>
            <w:tcW w:w="2053" w:type="pct"/>
            <w:vAlign w:val="center"/>
          </w:tcPr>
          <w:p>
            <w:pPr>
              <w:widowControl/>
              <w:spacing w:line="400" w:lineRule="exact"/>
              <w:jc w:val="center"/>
              <w:rPr>
                <w:rFonts w:hint="eastAsia" w:ascii="宋体" w:hAnsi="宋体" w:cs="宋体"/>
                <w:sz w:val="24"/>
              </w:rPr>
            </w:pPr>
            <w:r>
              <w:rPr>
                <w:rFonts w:hint="eastAsia" w:ascii="宋体" w:hAnsi="宋体" w:cs="宋体"/>
                <w:sz w:val="24"/>
              </w:rPr>
              <w:t>佳力图 13AD12L</w:t>
            </w:r>
          </w:p>
        </w:tc>
        <w:tc>
          <w:tcPr>
            <w:tcW w:w="699" w:type="pct"/>
            <w:vAlign w:val="center"/>
          </w:tcPr>
          <w:p>
            <w:pPr>
              <w:spacing w:line="400" w:lineRule="exact"/>
              <w:jc w:val="center"/>
              <w:rPr>
                <w:rFonts w:hint="eastAsia" w:ascii="宋体" w:hAnsi="宋体" w:cs="宋体"/>
                <w:sz w:val="24"/>
              </w:rPr>
            </w:pPr>
            <w:r>
              <w:rPr>
                <w:rFonts w:hint="eastAsia" w:ascii="宋体" w:hAnsi="宋体" w:cs="宋体"/>
                <w:sz w:val="24"/>
              </w:rPr>
              <w:t>2套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Merge w:val="continue"/>
            <w:vAlign w:val="center"/>
          </w:tcPr>
          <w:p>
            <w:pPr>
              <w:spacing w:line="400" w:lineRule="exact"/>
              <w:jc w:val="center"/>
              <w:rPr>
                <w:rFonts w:hint="eastAsia" w:ascii="宋体" w:hAnsi="宋体" w:cs="宋体"/>
                <w:sz w:val="24"/>
              </w:rPr>
            </w:pPr>
          </w:p>
        </w:tc>
        <w:tc>
          <w:tcPr>
            <w:tcW w:w="1766" w:type="pct"/>
            <w:vMerge w:val="continue"/>
            <w:vAlign w:val="center"/>
          </w:tcPr>
          <w:p>
            <w:pPr>
              <w:spacing w:line="400" w:lineRule="exact"/>
              <w:rPr>
                <w:rFonts w:hint="eastAsia" w:ascii="宋体" w:hAnsi="宋体" w:cs="宋体"/>
                <w:sz w:val="24"/>
              </w:rPr>
            </w:pPr>
          </w:p>
        </w:tc>
        <w:tc>
          <w:tcPr>
            <w:tcW w:w="2053" w:type="pct"/>
            <w:vAlign w:val="center"/>
          </w:tcPr>
          <w:p>
            <w:pPr>
              <w:widowControl/>
              <w:spacing w:line="400" w:lineRule="exact"/>
              <w:jc w:val="center"/>
              <w:rPr>
                <w:rFonts w:hint="eastAsia" w:ascii="宋体" w:hAnsi="宋体" w:cs="宋体"/>
                <w:sz w:val="24"/>
              </w:rPr>
            </w:pPr>
            <w:r>
              <w:rPr>
                <w:rFonts w:hint="eastAsia" w:ascii="宋体" w:hAnsi="宋体" w:cs="宋体"/>
                <w:sz w:val="24"/>
              </w:rPr>
              <w:t>佳力图 MEAD301</w:t>
            </w:r>
          </w:p>
        </w:tc>
        <w:tc>
          <w:tcPr>
            <w:tcW w:w="699" w:type="pct"/>
            <w:vAlign w:val="center"/>
          </w:tcPr>
          <w:p>
            <w:pPr>
              <w:spacing w:line="400" w:lineRule="exact"/>
              <w:jc w:val="center"/>
              <w:rPr>
                <w:rFonts w:hint="eastAsia" w:ascii="宋体" w:hAnsi="宋体" w:cs="宋体"/>
                <w:sz w:val="24"/>
              </w:rPr>
            </w:pPr>
            <w:r>
              <w:rPr>
                <w:rFonts w:hint="eastAsia" w:ascii="宋体" w:hAnsi="宋体" w:cs="宋体"/>
                <w:sz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Merge w:val="continue"/>
            <w:vAlign w:val="center"/>
          </w:tcPr>
          <w:p>
            <w:pPr>
              <w:spacing w:line="400" w:lineRule="exact"/>
              <w:jc w:val="center"/>
              <w:rPr>
                <w:rFonts w:hint="eastAsia" w:ascii="宋体" w:hAnsi="宋体" w:cs="宋体"/>
                <w:sz w:val="24"/>
              </w:rPr>
            </w:pPr>
          </w:p>
        </w:tc>
        <w:tc>
          <w:tcPr>
            <w:tcW w:w="1766" w:type="pct"/>
            <w:vMerge w:val="continue"/>
            <w:vAlign w:val="center"/>
          </w:tcPr>
          <w:p>
            <w:pPr>
              <w:spacing w:line="400" w:lineRule="exact"/>
              <w:rPr>
                <w:rFonts w:hint="eastAsia" w:ascii="宋体" w:hAnsi="宋体" w:cs="宋体"/>
                <w:sz w:val="24"/>
              </w:rPr>
            </w:pPr>
          </w:p>
        </w:tc>
        <w:tc>
          <w:tcPr>
            <w:tcW w:w="2053" w:type="pct"/>
            <w:vAlign w:val="center"/>
          </w:tcPr>
          <w:p>
            <w:pPr>
              <w:widowControl/>
              <w:spacing w:line="400" w:lineRule="exact"/>
              <w:jc w:val="center"/>
              <w:rPr>
                <w:rFonts w:hint="eastAsia" w:ascii="宋体" w:hAnsi="宋体" w:cs="宋体"/>
                <w:sz w:val="24"/>
              </w:rPr>
            </w:pPr>
            <w:r>
              <w:rPr>
                <w:rFonts w:hint="eastAsia" w:ascii="宋体" w:hAnsi="宋体" w:cs="宋体"/>
                <w:sz w:val="24"/>
              </w:rPr>
              <w:t>艾默生 DME07MC1</w:t>
            </w:r>
          </w:p>
        </w:tc>
        <w:tc>
          <w:tcPr>
            <w:tcW w:w="699" w:type="pct"/>
            <w:vAlign w:val="center"/>
          </w:tcPr>
          <w:p>
            <w:pPr>
              <w:spacing w:line="400" w:lineRule="exact"/>
              <w:jc w:val="center"/>
              <w:rPr>
                <w:rFonts w:hint="eastAsia" w:ascii="宋体" w:hAnsi="宋体" w:cs="宋体"/>
                <w:sz w:val="24"/>
              </w:rPr>
            </w:pPr>
            <w:r>
              <w:rPr>
                <w:rFonts w:hint="eastAsia" w:ascii="宋体" w:hAnsi="宋体" w:cs="宋体"/>
                <w:sz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Merge w:val="continue"/>
            <w:vAlign w:val="center"/>
          </w:tcPr>
          <w:p>
            <w:pPr>
              <w:spacing w:line="400" w:lineRule="exact"/>
              <w:jc w:val="center"/>
              <w:rPr>
                <w:rFonts w:hint="eastAsia" w:ascii="宋体" w:hAnsi="宋体" w:cs="宋体"/>
                <w:sz w:val="24"/>
              </w:rPr>
            </w:pPr>
          </w:p>
        </w:tc>
        <w:tc>
          <w:tcPr>
            <w:tcW w:w="1766" w:type="pct"/>
            <w:vMerge w:val="continue"/>
            <w:vAlign w:val="center"/>
          </w:tcPr>
          <w:p>
            <w:pPr>
              <w:spacing w:line="400" w:lineRule="exact"/>
              <w:rPr>
                <w:rFonts w:hint="eastAsia" w:ascii="宋体" w:hAnsi="宋体" w:cs="宋体"/>
                <w:sz w:val="24"/>
              </w:rPr>
            </w:pPr>
          </w:p>
        </w:tc>
        <w:tc>
          <w:tcPr>
            <w:tcW w:w="2053" w:type="pct"/>
            <w:vAlign w:val="center"/>
          </w:tcPr>
          <w:p>
            <w:pPr>
              <w:widowControl/>
              <w:spacing w:line="400" w:lineRule="exact"/>
              <w:jc w:val="center"/>
              <w:rPr>
                <w:rFonts w:hint="eastAsia" w:ascii="宋体" w:hAnsi="宋体" w:cs="宋体"/>
                <w:sz w:val="24"/>
              </w:rPr>
            </w:pPr>
            <w:r>
              <w:rPr>
                <w:rFonts w:hint="eastAsia" w:ascii="宋体" w:hAnsi="宋体" w:cs="宋体"/>
                <w:sz w:val="24"/>
              </w:rPr>
              <w:t>新风机</w:t>
            </w:r>
          </w:p>
        </w:tc>
        <w:tc>
          <w:tcPr>
            <w:tcW w:w="699" w:type="pct"/>
            <w:vAlign w:val="center"/>
          </w:tcPr>
          <w:p>
            <w:pPr>
              <w:spacing w:line="400" w:lineRule="exact"/>
              <w:jc w:val="center"/>
              <w:rPr>
                <w:rFonts w:hint="eastAsia" w:ascii="宋体" w:hAnsi="宋体" w:cs="宋体"/>
                <w:sz w:val="24"/>
              </w:rPr>
            </w:pPr>
            <w:r>
              <w:rPr>
                <w:rFonts w:hint="eastAsia" w:ascii="宋体" w:hAnsi="宋体" w:cs="宋体"/>
                <w:sz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Merge w:val="restart"/>
            <w:vAlign w:val="center"/>
          </w:tcPr>
          <w:p>
            <w:pPr>
              <w:spacing w:line="400" w:lineRule="exact"/>
              <w:jc w:val="center"/>
              <w:rPr>
                <w:rFonts w:hint="eastAsia" w:ascii="宋体" w:hAnsi="宋体" w:cs="宋体"/>
                <w:sz w:val="24"/>
              </w:rPr>
            </w:pPr>
            <w:r>
              <w:rPr>
                <w:rFonts w:hint="eastAsia" w:ascii="宋体" w:hAnsi="宋体" w:cs="宋体"/>
                <w:sz w:val="24"/>
              </w:rPr>
              <w:t>2</w:t>
            </w:r>
          </w:p>
        </w:tc>
        <w:tc>
          <w:tcPr>
            <w:tcW w:w="1766" w:type="pct"/>
            <w:vMerge w:val="restart"/>
            <w:vAlign w:val="center"/>
          </w:tcPr>
          <w:p>
            <w:pPr>
              <w:spacing w:line="400" w:lineRule="exact"/>
              <w:rPr>
                <w:rFonts w:hint="eastAsia" w:ascii="宋体" w:hAnsi="宋体" w:cs="宋体"/>
                <w:sz w:val="24"/>
              </w:rPr>
            </w:pPr>
            <w:r>
              <w:rPr>
                <w:rFonts w:hint="eastAsia" w:ascii="宋体" w:hAnsi="宋体" w:cs="宋体"/>
                <w:sz w:val="24"/>
              </w:rPr>
              <w:t>不间断电源系统维保服务</w:t>
            </w:r>
          </w:p>
        </w:tc>
        <w:tc>
          <w:tcPr>
            <w:tcW w:w="2053" w:type="pct"/>
            <w:vAlign w:val="center"/>
          </w:tcPr>
          <w:p>
            <w:pPr>
              <w:widowControl/>
              <w:spacing w:line="400" w:lineRule="exact"/>
              <w:jc w:val="center"/>
              <w:rPr>
                <w:rFonts w:hint="eastAsia" w:ascii="宋体" w:hAnsi="宋体" w:cs="宋体"/>
                <w:sz w:val="24"/>
              </w:rPr>
            </w:pPr>
            <w:r>
              <w:rPr>
                <w:rFonts w:hint="eastAsia" w:ascii="宋体" w:hAnsi="宋体" w:cs="宋体"/>
                <w:sz w:val="24"/>
              </w:rPr>
              <w:t>华为 50KVA</w:t>
            </w:r>
          </w:p>
        </w:tc>
        <w:tc>
          <w:tcPr>
            <w:tcW w:w="699" w:type="pct"/>
            <w:vAlign w:val="center"/>
          </w:tcPr>
          <w:p>
            <w:pPr>
              <w:spacing w:line="400" w:lineRule="exact"/>
              <w:jc w:val="center"/>
              <w:rPr>
                <w:rFonts w:hint="eastAsia" w:ascii="宋体" w:hAnsi="宋体" w:cs="宋体"/>
                <w:sz w:val="24"/>
              </w:rPr>
            </w:pPr>
            <w:r>
              <w:rPr>
                <w:rFonts w:hint="eastAsia" w:ascii="宋体" w:hAnsi="宋体" w:cs="宋体"/>
                <w:sz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Merge w:val="continue"/>
            <w:vAlign w:val="center"/>
          </w:tcPr>
          <w:p>
            <w:pPr>
              <w:spacing w:line="400" w:lineRule="exact"/>
              <w:jc w:val="center"/>
              <w:rPr>
                <w:rFonts w:hint="eastAsia" w:ascii="宋体" w:hAnsi="宋体" w:cs="宋体"/>
                <w:sz w:val="24"/>
              </w:rPr>
            </w:pPr>
          </w:p>
        </w:tc>
        <w:tc>
          <w:tcPr>
            <w:tcW w:w="1766" w:type="pct"/>
            <w:vMerge w:val="continue"/>
            <w:vAlign w:val="center"/>
          </w:tcPr>
          <w:p>
            <w:pPr>
              <w:spacing w:line="400" w:lineRule="exact"/>
              <w:rPr>
                <w:rFonts w:hint="eastAsia" w:ascii="宋体" w:hAnsi="宋体" w:cs="宋体"/>
                <w:sz w:val="24"/>
              </w:rPr>
            </w:pPr>
          </w:p>
        </w:tc>
        <w:tc>
          <w:tcPr>
            <w:tcW w:w="2053" w:type="pct"/>
            <w:vAlign w:val="center"/>
          </w:tcPr>
          <w:p>
            <w:pPr>
              <w:widowControl/>
              <w:spacing w:line="400" w:lineRule="exact"/>
              <w:jc w:val="center"/>
              <w:rPr>
                <w:rFonts w:hint="eastAsia" w:ascii="宋体" w:hAnsi="宋体" w:cs="宋体"/>
                <w:sz w:val="24"/>
              </w:rPr>
            </w:pPr>
            <w:r>
              <w:rPr>
                <w:rFonts w:hint="eastAsia" w:ascii="宋体" w:hAnsi="宋体" w:cs="宋体"/>
                <w:sz w:val="24"/>
              </w:rPr>
              <w:t>先控 30KVA</w:t>
            </w:r>
          </w:p>
        </w:tc>
        <w:tc>
          <w:tcPr>
            <w:tcW w:w="699" w:type="pct"/>
            <w:vAlign w:val="center"/>
          </w:tcPr>
          <w:p>
            <w:pPr>
              <w:spacing w:line="400" w:lineRule="exact"/>
              <w:jc w:val="center"/>
              <w:rPr>
                <w:rFonts w:hint="eastAsia" w:ascii="宋体" w:hAnsi="宋体" w:cs="宋体"/>
                <w:sz w:val="24"/>
              </w:rPr>
            </w:pPr>
            <w:r>
              <w:rPr>
                <w:rFonts w:hint="eastAsia" w:ascii="宋体" w:hAnsi="宋体" w:cs="宋体"/>
                <w:sz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Merge w:val="restart"/>
            <w:vAlign w:val="center"/>
          </w:tcPr>
          <w:p>
            <w:pPr>
              <w:spacing w:line="400" w:lineRule="exact"/>
              <w:jc w:val="center"/>
              <w:rPr>
                <w:rFonts w:hint="eastAsia" w:ascii="宋体" w:hAnsi="宋体" w:cs="宋体"/>
                <w:sz w:val="24"/>
              </w:rPr>
            </w:pPr>
            <w:r>
              <w:rPr>
                <w:rFonts w:hint="eastAsia" w:ascii="宋体" w:hAnsi="宋体" w:cs="宋体"/>
                <w:sz w:val="24"/>
              </w:rPr>
              <w:t>3</w:t>
            </w:r>
          </w:p>
        </w:tc>
        <w:tc>
          <w:tcPr>
            <w:tcW w:w="1766" w:type="pct"/>
            <w:vMerge w:val="restart"/>
            <w:vAlign w:val="center"/>
          </w:tcPr>
          <w:p>
            <w:pPr>
              <w:spacing w:line="400" w:lineRule="exact"/>
              <w:rPr>
                <w:rFonts w:hint="eastAsia" w:ascii="宋体" w:hAnsi="宋体" w:cs="宋体"/>
                <w:sz w:val="24"/>
              </w:rPr>
            </w:pPr>
            <w:r>
              <w:rPr>
                <w:rFonts w:hint="eastAsia" w:ascii="宋体" w:hAnsi="宋体" w:cs="宋体"/>
                <w:sz w:val="24"/>
              </w:rPr>
              <w:t>气体消防系统维保服务</w:t>
            </w:r>
          </w:p>
        </w:tc>
        <w:tc>
          <w:tcPr>
            <w:tcW w:w="2053" w:type="pct"/>
            <w:vAlign w:val="center"/>
          </w:tcPr>
          <w:p>
            <w:pPr>
              <w:spacing w:line="400" w:lineRule="exact"/>
              <w:jc w:val="center"/>
              <w:rPr>
                <w:rFonts w:hint="eastAsia" w:ascii="宋体" w:hAnsi="宋体" w:cs="宋体"/>
                <w:sz w:val="24"/>
              </w:rPr>
            </w:pPr>
            <w:r>
              <w:rPr>
                <w:rFonts w:hint="eastAsia" w:ascii="宋体" w:hAnsi="宋体" w:cs="宋体"/>
                <w:sz w:val="24"/>
              </w:rPr>
              <w:t>灭火系统：新纪元</w:t>
            </w:r>
          </w:p>
        </w:tc>
        <w:tc>
          <w:tcPr>
            <w:tcW w:w="699" w:type="pct"/>
            <w:vMerge w:val="restart"/>
            <w:vAlign w:val="center"/>
          </w:tcPr>
          <w:p>
            <w:pPr>
              <w:spacing w:line="400" w:lineRule="exact"/>
              <w:jc w:val="center"/>
              <w:rPr>
                <w:rFonts w:hint="eastAsia" w:ascii="宋体" w:hAnsi="宋体" w:cs="宋体"/>
                <w:sz w:val="24"/>
              </w:rPr>
            </w:pPr>
            <w:r>
              <w:rPr>
                <w:rFonts w:hint="eastAsia" w:ascii="宋体" w:hAnsi="宋体" w:cs="宋体"/>
                <w:sz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Merge w:val="continue"/>
            <w:vAlign w:val="center"/>
          </w:tcPr>
          <w:p>
            <w:pPr>
              <w:spacing w:line="400" w:lineRule="exact"/>
              <w:jc w:val="center"/>
              <w:rPr>
                <w:rFonts w:hint="eastAsia" w:ascii="宋体" w:hAnsi="宋体" w:cs="宋体"/>
                <w:sz w:val="24"/>
              </w:rPr>
            </w:pPr>
          </w:p>
        </w:tc>
        <w:tc>
          <w:tcPr>
            <w:tcW w:w="1766" w:type="pct"/>
            <w:vMerge w:val="continue"/>
            <w:vAlign w:val="center"/>
          </w:tcPr>
          <w:p>
            <w:pPr>
              <w:spacing w:line="400" w:lineRule="exact"/>
              <w:rPr>
                <w:rFonts w:hint="eastAsia" w:ascii="宋体" w:hAnsi="宋体" w:cs="宋体"/>
                <w:sz w:val="24"/>
              </w:rPr>
            </w:pPr>
          </w:p>
        </w:tc>
        <w:tc>
          <w:tcPr>
            <w:tcW w:w="2053" w:type="pct"/>
            <w:vAlign w:val="center"/>
          </w:tcPr>
          <w:p>
            <w:pPr>
              <w:spacing w:line="400" w:lineRule="exact"/>
              <w:jc w:val="center"/>
              <w:rPr>
                <w:rFonts w:hint="eastAsia" w:ascii="宋体" w:hAnsi="宋体" w:cs="宋体"/>
                <w:sz w:val="24"/>
              </w:rPr>
            </w:pPr>
            <w:r>
              <w:rPr>
                <w:rFonts w:hint="eastAsia" w:ascii="宋体" w:hAnsi="宋体" w:cs="宋体"/>
                <w:sz w:val="24"/>
              </w:rPr>
              <w:t>报警系统：北大青鸟</w:t>
            </w:r>
          </w:p>
        </w:tc>
        <w:tc>
          <w:tcPr>
            <w:tcW w:w="699" w:type="pct"/>
            <w:vMerge w:val="continue"/>
            <w:vAlign w:val="center"/>
          </w:tcPr>
          <w:p>
            <w:pPr>
              <w:spacing w:line="400" w:lineRule="exact"/>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Align w:val="center"/>
          </w:tcPr>
          <w:p>
            <w:pPr>
              <w:spacing w:line="400" w:lineRule="exact"/>
              <w:jc w:val="center"/>
              <w:rPr>
                <w:rFonts w:hint="eastAsia" w:ascii="宋体" w:hAnsi="宋体" w:cs="宋体"/>
                <w:sz w:val="24"/>
              </w:rPr>
            </w:pPr>
            <w:r>
              <w:rPr>
                <w:rFonts w:hint="eastAsia" w:ascii="宋体" w:hAnsi="宋体" w:cs="宋体"/>
                <w:sz w:val="24"/>
              </w:rPr>
              <w:t>4</w:t>
            </w:r>
          </w:p>
        </w:tc>
        <w:tc>
          <w:tcPr>
            <w:tcW w:w="1766" w:type="pct"/>
            <w:vAlign w:val="center"/>
          </w:tcPr>
          <w:p>
            <w:pPr>
              <w:spacing w:line="400" w:lineRule="exact"/>
              <w:rPr>
                <w:rFonts w:hint="eastAsia" w:ascii="宋体" w:hAnsi="宋体" w:cs="宋体"/>
                <w:sz w:val="24"/>
              </w:rPr>
            </w:pPr>
            <w:r>
              <w:rPr>
                <w:rFonts w:hint="eastAsia" w:ascii="宋体" w:hAnsi="宋体" w:cs="宋体"/>
                <w:sz w:val="24"/>
              </w:rPr>
              <w:t>配电、防雷等系统维保服务</w:t>
            </w:r>
          </w:p>
        </w:tc>
        <w:tc>
          <w:tcPr>
            <w:tcW w:w="2053" w:type="pct"/>
            <w:vAlign w:val="center"/>
          </w:tcPr>
          <w:p>
            <w:pPr>
              <w:spacing w:line="400" w:lineRule="exact"/>
              <w:jc w:val="center"/>
              <w:rPr>
                <w:rFonts w:hint="eastAsia" w:ascii="宋体" w:hAnsi="宋体" w:cs="宋体"/>
                <w:sz w:val="24"/>
              </w:rPr>
            </w:pPr>
            <w:r>
              <w:rPr>
                <w:rFonts w:hint="eastAsia" w:ascii="宋体" w:hAnsi="宋体" w:cs="宋体"/>
                <w:sz w:val="24"/>
              </w:rPr>
              <w:t>机房电源：施耐德</w:t>
            </w:r>
          </w:p>
        </w:tc>
        <w:tc>
          <w:tcPr>
            <w:tcW w:w="699" w:type="pct"/>
            <w:vAlign w:val="center"/>
          </w:tcPr>
          <w:p>
            <w:pPr>
              <w:spacing w:line="400" w:lineRule="exact"/>
              <w:jc w:val="center"/>
              <w:rPr>
                <w:rFonts w:hint="eastAsia" w:ascii="宋体" w:hAnsi="宋体" w:cs="宋体"/>
                <w:sz w:val="24"/>
              </w:rPr>
            </w:pPr>
            <w:r>
              <w:rPr>
                <w:rFonts w:hint="eastAsia" w:ascii="宋体" w:hAnsi="宋体" w:cs="宋体"/>
                <w:sz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Merge w:val="restart"/>
            <w:vAlign w:val="center"/>
          </w:tcPr>
          <w:p>
            <w:pPr>
              <w:spacing w:line="400" w:lineRule="exact"/>
              <w:jc w:val="center"/>
              <w:rPr>
                <w:rFonts w:hint="eastAsia" w:ascii="宋体" w:hAnsi="宋体" w:cs="宋体"/>
                <w:sz w:val="24"/>
              </w:rPr>
            </w:pPr>
            <w:r>
              <w:rPr>
                <w:rFonts w:hint="eastAsia" w:ascii="宋体" w:hAnsi="宋体" w:cs="宋体"/>
                <w:sz w:val="24"/>
              </w:rPr>
              <w:t>5</w:t>
            </w:r>
          </w:p>
        </w:tc>
        <w:tc>
          <w:tcPr>
            <w:tcW w:w="1766" w:type="pct"/>
            <w:vMerge w:val="restart"/>
            <w:vAlign w:val="center"/>
          </w:tcPr>
          <w:p>
            <w:pPr>
              <w:spacing w:line="400" w:lineRule="exact"/>
              <w:rPr>
                <w:rFonts w:hint="eastAsia" w:ascii="宋体" w:hAnsi="宋体" w:cs="宋体"/>
                <w:sz w:val="24"/>
              </w:rPr>
            </w:pPr>
            <w:r>
              <w:rPr>
                <w:rFonts w:hint="eastAsia" w:ascii="宋体" w:hAnsi="宋体" w:cs="宋体"/>
                <w:sz w:val="24"/>
              </w:rPr>
              <w:t>机房环境监控、视频监控系统维保服务</w:t>
            </w:r>
          </w:p>
        </w:tc>
        <w:tc>
          <w:tcPr>
            <w:tcW w:w="2053" w:type="pct"/>
            <w:vAlign w:val="center"/>
          </w:tcPr>
          <w:p>
            <w:pPr>
              <w:spacing w:line="400" w:lineRule="exact"/>
              <w:jc w:val="center"/>
              <w:rPr>
                <w:rFonts w:hint="eastAsia" w:ascii="宋体" w:hAnsi="宋体" w:cs="宋体"/>
                <w:sz w:val="24"/>
              </w:rPr>
            </w:pPr>
            <w:r>
              <w:rPr>
                <w:rFonts w:hint="eastAsia" w:ascii="宋体" w:hAnsi="宋体" w:cs="宋体"/>
                <w:sz w:val="24"/>
              </w:rPr>
              <w:t>环境集中监控系统：赛恩</w:t>
            </w:r>
          </w:p>
        </w:tc>
        <w:tc>
          <w:tcPr>
            <w:tcW w:w="699" w:type="pct"/>
            <w:vAlign w:val="center"/>
          </w:tcPr>
          <w:p>
            <w:pPr>
              <w:spacing w:line="400" w:lineRule="exact"/>
              <w:jc w:val="center"/>
              <w:rPr>
                <w:rFonts w:hint="eastAsia" w:ascii="宋体" w:hAnsi="宋体" w:cs="宋体"/>
                <w:sz w:val="24"/>
              </w:rPr>
            </w:pPr>
            <w:r>
              <w:rPr>
                <w:rFonts w:hint="eastAsia" w:ascii="宋体" w:hAnsi="宋体" w:cs="宋体"/>
                <w:sz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Merge w:val="continue"/>
            <w:vAlign w:val="center"/>
          </w:tcPr>
          <w:p>
            <w:pPr>
              <w:spacing w:line="400" w:lineRule="exact"/>
              <w:jc w:val="center"/>
              <w:rPr>
                <w:rFonts w:hint="eastAsia" w:ascii="宋体" w:hAnsi="宋体" w:cs="宋体"/>
                <w:sz w:val="24"/>
              </w:rPr>
            </w:pPr>
          </w:p>
        </w:tc>
        <w:tc>
          <w:tcPr>
            <w:tcW w:w="1766" w:type="pct"/>
            <w:vMerge w:val="continue"/>
            <w:vAlign w:val="center"/>
          </w:tcPr>
          <w:p>
            <w:pPr>
              <w:spacing w:line="400" w:lineRule="exact"/>
              <w:rPr>
                <w:rFonts w:hint="eastAsia" w:ascii="宋体" w:hAnsi="宋体" w:cs="宋体"/>
                <w:sz w:val="24"/>
              </w:rPr>
            </w:pPr>
          </w:p>
        </w:tc>
        <w:tc>
          <w:tcPr>
            <w:tcW w:w="2053" w:type="pct"/>
            <w:vAlign w:val="center"/>
          </w:tcPr>
          <w:p>
            <w:pPr>
              <w:spacing w:line="400" w:lineRule="exact"/>
              <w:jc w:val="center"/>
              <w:rPr>
                <w:rFonts w:hint="eastAsia" w:ascii="宋体" w:hAnsi="宋体" w:cs="宋体"/>
                <w:sz w:val="24"/>
              </w:rPr>
            </w:pPr>
            <w:r>
              <w:rPr>
                <w:rFonts w:hint="eastAsia" w:ascii="宋体" w:hAnsi="宋体" w:cs="宋体"/>
                <w:sz w:val="24"/>
              </w:rPr>
              <w:t>视频监控系统：海康威视</w:t>
            </w:r>
          </w:p>
        </w:tc>
        <w:tc>
          <w:tcPr>
            <w:tcW w:w="699" w:type="pct"/>
            <w:vAlign w:val="center"/>
          </w:tcPr>
          <w:p>
            <w:pPr>
              <w:spacing w:line="400" w:lineRule="exact"/>
              <w:jc w:val="center"/>
              <w:rPr>
                <w:rFonts w:hint="eastAsia" w:ascii="宋体" w:hAnsi="宋体" w:cs="宋体"/>
                <w:sz w:val="24"/>
              </w:rPr>
            </w:pPr>
            <w:r>
              <w:rPr>
                <w:rFonts w:hint="eastAsia" w:ascii="宋体" w:hAnsi="宋体" w:cs="宋体"/>
                <w:sz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Merge w:val="restart"/>
            <w:vAlign w:val="center"/>
          </w:tcPr>
          <w:p>
            <w:pPr>
              <w:spacing w:line="400" w:lineRule="exact"/>
              <w:jc w:val="center"/>
              <w:rPr>
                <w:rFonts w:hint="eastAsia" w:ascii="宋体" w:hAnsi="宋体" w:cs="宋体"/>
                <w:sz w:val="24"/>
              </w:rPr>
            </w:pPr>
            <w:r>
              <w:rPr>
                <w:rFonts w:hint="eastAsia" w:ascii="宋体" w:hAnsi="宋体" w:cs="宋体"/>
                <w:sz w:val="24"/>
              </w:rPr>
              <w:t>6</w:t>
            </w:r>
          </w:p>
        </w:tc>
        <w:tc>
          <w:tcPr>
            <w:tcW w:w="1766" w:type="pct"/>
            <w:vMerge w:val="restart"/>
            <w:vAlign w:val="center"/>
          </w:tcPr>
          <w:p>
            <w:pPr>
              <w:spacing w:line="400" w:lineRule="exact"/>
              <w:rPr>
                <w:rFonts w:hint="eastAsia" w:ascii="宋体" w:hAnsi="宋体" w:cs="宋体"/>
                <w:sz w:val="24"/>
              </w:rPr>
            </w:pPr>
            <w:r>
              <w:rPr>
                <w:rFonts w:hint="eastAsia" w:ascii="宋体" w:hAnsi="宋体" w:cs="宋体"/>
                <w:sz w:val="24"/>
              </w:rPr>
              <w:t>机房基础维护</w:t>
            </w:r>
          </w:p>
        </w:tc>
        <w:tc>
          <w:tcPr>
            <w:tcW w:w="2053" w:type="pct"/>
            <w:vAlign w:val="center"/>
          </w:tcPr>
          <w:p>
            <w:pPr>
              <w:widowControl/>
              <w:spacing w:line="400" w:lineRule="exact"/>
              <w:jc w:val="center"/>
              <w:rPr>
                <w:rFonts w:hint="eastAsia" w:ascii="宋体" w:hAnsi="宋体" w:cs="宋体"/>
                <w:sz w:val="24"/>
              </w:rPr>
            </w:pPr>
            <w:r>
              <w:rPr>
                <w:rFonts w:hint="eastAsia" w:ascii="宋体" w:hAnsi="宋体" w:cs="宋体"/>
                <w:sz w:val="24"/>
              </w:rPr>
              <w:t>门禁系统</w:t>
            </w:r>
          </w:p>
        </w:tc>
        <w:tc>
          <w:tcPr>
            <w:tcW w:w="699" w:type="pct"/>
            <w:vAlign w:val="center"/>
          </w:tcPr>
          <w:p>
            <w:pPr>
              <w:spacing w:line="400" w:lineRule="exact"/>
              <w:jc w:val="center"/>
              <w:rPr>
                <w:rFonts w:hint="eastAsia" w:ascii="宋体" w:hAnsi="宋体" w:cs="宋体"/>
                <w:sz w:val="24"/>
              </w:rPr>
            </w:pPr>
            <w:r>
              <w:rPr>
                <w:rFonts w:hint="eastAsia" w:ascii="宋体" w:hAnsi="宋体" w:cs="宋体"/>
                <w:sz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Merge w:val="continue"/>
            <w:vAlign w:val="center"/>
          </w:tcPr>
          <w:p>
            <w:pPr>
              <w:spacing w:line="400" w:lineRule="exact"/>
              <w:jc w:val="center"/>
              <w:rPr>
                <w:rFonts w:hint="eastAsia" w:ascii="宋体" w:hAnsi="宋体" w:cs="宋体"/>
                <w:sz w:val="24"/>
              </w:rPr>
            </w:pPr>
          </w:p>
        </w:tc>
        <w:tc>
          <w:tcPr>
            <w:tcW w:w="1766" w:type="pct"/>
            <w:vMerge w:val="continue"/>
            <w:vAlign w:val="center"/>
          </w:tcPr>
          <w:p>
            <w:pPr>
              <w:spacing w:line="400" w:lineRule="exact"/>
              <w:jc w:val="center"/>
              <w:rPr>
                <w:rFonts w:hint="eastAsia" w:ascii="宋体" w:hAnsi="宋体" w:cs="宋体"/>
                <w:sz w:val="24"/>
              </w:rPr>
            </w:pPr>
          </w:p>
        </w:tc>
        <w:tc>
          <w:tcPr>
            <w:tcW w:w="2053" w:type="pct"/>
            <w:vAlign w:val="center"/>
          </w:tcPr>
          <w:p>
            <w:pPr>
              <w:widowControl/>
              <w:spacing w:line="320" w:lineRule="exact"/>
              <w:rPr>
                <w:rFonts w:hint="eastAsia" w:ascii="宋体" w:hAnsi="宋体" w:cs="宋体"/>
                <w:sz w:val="24"/>
              </w:rPr>
            </w:pPr>
            <w:r>
              <w:rPr>
                <w:rFonts w:hint="eastAsia" w:ascii="宋体" w:hAnsi="宋体" w:cs="宋体"/>
                <w:sz w:val="24"/>
              </w:rPr>
              <w:t>除尘清洁、地板、墙面、吊顶、灯管及相关基础配套的维护</w:t>
            </w:r>
          </w:p>
        </w:tc>
        <w:tc>
          <w:tcPr>
            <w:tcW w:w="699" w:type="pct"/>
            <w:vAlign w:val="center"/>
          </w:tcPr>
          <w:p>
            <w:pPr>
              <w:spacing w:line="400" w:lineRule="exact"/>
              <w:jc w:val="center"/>
              <w:rPr>
                <w:rFonts w:hint="eastAsia" w:ascii="宋体" w:hAnsi="宋体" w:cs="宋体"/>
                <w:sz w:val="24"/>
              </w:rPr>
            </w:pPr>
            <w:r>
              <w:rPr>
                <w:rFonts w:hint="eastAsia" w:ascii="宋体" w:hAnsi="宋体" w:cs="宋体"/>
                <w:sz w:val="24"/>
              </w:rPr>
              <w:t>1套</w:t>
            </w:r>
          </w:p>
        </w:tc>
      </w:tr>
    </w:tbl>
    <w:p>
      <w:pPr>
        <w:spacing w:line="440" w:lineRule="exact"/>
        <w:ind w:firstLine="480" w:firstLineChars="200"/>
      </w:pPr>
      <w:r>
        <w:rPr>
          <w:rFonts w:hint="eastAsia" w:ascii="宋体" w:hAnsi="宋体" w:cs="宋体"/>
          <w:sz w:val="24"/>
        </w:rPr>
        <w:t>注：最终维保设备以用户现场实际设备型号、数量为准。</w:t>
      </w:r>
    </w:p>
    <w:bookmarkEnd w:id="0"/>
    <w:p>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outlineLvl w:val="0"/>
        <w:rPr>
          <w:rFonts w:hint="eastAsia" w:ascii="宋体" w:hAnsi="宋体" w:cs="宋体"/>
          <w:b/>
          <w:bCs/>
          <w:sz w:val="24"/>
          <w:szCs w:val="24"/>
          <w:lang w:eastAsia="zh-CN"/>
        </w:rPr>
      </w:pPr>
    </w:p>
    <w:p>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outlineLvl w:val="0"/>
        <w:rPr>
          <w:rFonts w:hint="eastAsia" w:ascii="宋体" w:hAnsi="宋体" w:cs="宋体"/>
          <w:b/>
          <w:bCs/>
          <w:sz w:val="24"/>
          <w:szCs w:val="24"/>
        </w:rPr>
      </w:pPr>
      <w:r>
        <w:rPr>
          <w:rFonts w:hint="eastAsia" w:ascii="宋体" w:hAnsi="宋体" w:cs="宋体"/>
          <w:b/>
          <w:bCs/>
          <w:sz w:val="24"/>
          <w:szCs w:val="24"/>
          <w:lang w:eastAsia="zh-CN"/>
        </w:rPr>
        <w:t>（</w:t>
      </w:r>
      <w:r>
        <w:rPr>
          <w:rFonts w:hint="eastAsia" w:ascii="宋体" w:hAnsi="宋体" w:cs="宋体"/>
          <w:b/>
          <w:bCs/>
          <w:sz w:val="24"/>
          <w:szCs w:val="24"/>
          <w:lang w:val="en-US" w:eastAsia="zh-CN"/>
        </w:rPr>
        <w:t>二</w:t>
      </w:r>
      <w:r>
        <w:rPr>
          <w:rFonts w:hint="eastAsia" w:ascii="宋体" w:hAnsi="宋体" w:cs="宋体"/>
          <w:b/>
          <w:bCs/>
          <w:sz w:val="24"/>
          <w:szCs w:val="24"/>
          <w:lang w:eastAsia="zh-CN"/>
        </w:rPr>
        <w:t>）</w:t>
      </w:r>
      <w:r>
        <w:rPr>
          <w:rFonts w:hint="eastAsia" w:ascii="宋体" w:hAnsi="宋体" w:cs="宋体"/>
          <w:b/>
          <w:bCs/>
          <w:sz w:val="24"/>
          <w:szCs w:val="24"/>
        </w:rPr>
        <w:t>服务要求</w:t>
      </w:r>
    </w:p>
    <w:p>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outlineLvl w:val="0"/>
        <w:rPr>
          <w:rFonts w:hint="default" w:ascii="宋体" w:hAnsi="宋体" w:cs="宋体"/>
          <w:sz w:val="24"/>
          <w:szCs w:val="24"/>
          <w:lang w:val="en-US" w:eastAsia="zh-CN"/>
        </w:rPr>
      </w:pPr>
      <w:r>
        <w:rPr>
          <w:rFonts w:hint="eastAsia" w:ascii="宋体" w:hAnsi="宋体" w:cs="宋体"/>
          <w:sz w:val="24"/>
          <w:szCs w:val="24"/>
          <w:lang w:val="en-US" w:eastAsia="zh-CN"/>
        </w:rPr>
        <w:t>按要求落实招标文件中的机房运维要求及整体服务要求。</w:t>
      </w:r>
    </w:p>
    <w:p>
      <w:pPr>
        <w:pStyle w:val="21"/>
        <w:keepNext w:val="0"/>
        <w:keepLines w:val="0"/>
        <w:pageBreakBefore w:val="0"/>
        <w:widowControl w:val="0"/>
        <w:kinsoku/>
        <w:wordWrap/>
        <w:overflowPunct/>
        <w:topLinePunct w:val="0"/>
        <w:bidi w:val="0"/>
        <w:snapToGrid w:val="0"/>
        <w:spacing w:before="0" w:after="0" w:line="312" w:lineRule="auto"/>
        <w:ind w:firstLine="602" w:firstLineChars="200"/>
        <w:jc w:val="both"/>
        <w:textAlignment w:val="auto"/>
        <w:outlineLvl w:val="0"/>
        <w:rPr>
          <w:rFonts w:hint="eastAsia" w:ascii="宋体" w:hAnsi="宋体" w:eastAsia="宋体" w:cs="宋体"/>
          <w:b/>
          <w:bCs/>
          <w:color w:val="auto"/>
          <w:sz w:val="30"/>
          <w:szCs w:val="30"/>
          <w:highlight w:val="none"/>
          <w:lang w:val="en-US" w:eastAsia="zh-CN"/>
        </w:rPr>
        <w:sectPr>
          <w:pgSz w:w="11906" w:h="16838"/>
          <w:pgMar w:top="1474" w:right="1587" w:bottom="1474" w:left="1587" w:header="851" w:footer="992" w:gutter="0"/>
          <w:pgNumType w:fmt="decimal"/>
          <w:cols w:space="0" w:num="1"/>
          <w:rtlGutter w:val="0"/>
          <w:docGrid w:type="lines" w:linePitch="312" w:charSpace="0"/>
        </w:sectPr>
      </w:pPr>
    </w:p>
    <w:p>
      <w:pPr>
        <w:pStyle w:val="21"/>
        <w:keepNext w:val="0"/>
        <w:keepLines w:val="0"/>
        <w:pageBreakBefore w:val="0"/>
        <w:kinsoku/>
        <w:wordWrap/>
        <w:overflowPunct/>
        <w:topLinePunct w:val="0"/>
        <w:bidi w:val="0"/>
        <w:snapToGrid/>
        <w:spacing w:beforeLines="50" w:afterLines="50" w:line="480" w:lineRule="exact"/>
        <w:ind w:firstLine="602" w:firstLineChars="200"/>
        <w:jc w:val="both"/>
        <w:outlineLvl w:val="0"/>
        <w:rPr>
          <w:rFonts w:hint="eastAsia" w:ascii="宋体" w:hAnsi="宋体" w:eastAsia="宋体" w:cs="宋体"/>
          <w:b/>
          <w:bCs/>
          <w:color w:val="auto"/>
          <w:sz w:val="30"/>
          <w:szCs w:val="30"/>
          <w:highlight w:val="none"/>
          <w:lang w:val="en-US" w:eastAsia="zh-CN"/>
        </w:rPr>
      </w:pPr>
      <w:r>
        <w:rPr>
          <w:rFonts w:hint="eastAsia" w:ascii="宋体" w:hAnsi="宋体" w:eastAsia="宋体" w:cs="宋体"/>
          <w:b/>
          <w:bCs/>
          <w:color w:val="auto"/>
          <w:sz w:val="30"/>
          <w:szCs w:val="30"/>
          <w:highlight w:val="none"/>
          <w:lang w:val="en-US" w:eastAsia="zh-CN"/>
        </w:rPr>
        <w:t>三、网络安全服务</w:t>
      </w:r>
    </w:p>
    <w:p>
      <w:pPr>
        <w:keepNext w:val="0"/>
        <w:keepLines w:val="0"/>
        <w:pageBreakBefore w:val="0"/>
        <w:widowControl w:val="0"/>
        <w:kinsoku/>
        <w:wordWrap/>
        <w:overflowPunct/>
        <w:topLinePunct w:val="0"/>
        <w:autoSpaceDE/>
        <w:autoSpaceDN/>
        <w:bidi w:val="0"/>
        <w:snapToGrid w:val="0"/>
        <w:spacing w:line="460" w:lineRule="exact"/>
        <w:ind w:firstLine="482" w:firstLineChars="200"/>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（一）服务内容及要求</w:t>
      </w:r>
    </w:p>
    <w:p>
      <w:pPr>
        <w:numPr>
          <w:ilvl w:val="0"/>
          <w:numId w:val="0"/>
        </w:numPr>
        <w:spacing w:line="360" w:lineRule="auto"/>
        <w:ind w:firstLine="482" w:firstLineChars="200"/>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网络安全</w:t>
      </w:r>
      <w:r>
        <w:rPr>
          <w:rFonts w:hint="eastAsia" w:ascii="宋体" w:hAnsi="宋体" w:eastAsia="宋体" w:cs="宋体"/>
          <w:b/>
          <w:bCs/>
          <w:color w:val="auto"/>
          <w:sz w:val="24"/>
          <w:szCs w:val="24"/>
          <w:highlight w:val="none"/>
          <w:lang w:eastAsia="zh-CN"/>
        </w:rPr>
        <w:t>巡查</w:t>
      </w:r>
      <w:r>
        <w:rPr>
          <w:rFonts w:hint="eastAsia" w:ascii="宋体" w:hAnsi="宋体" w:eastAsia="宋体" w:cs="宋体"/>
          <w:b/>
          <w:bCs/>
          <w:color w:val="auto"/>
          <w:sz w:val="24"/>
          <w:szCs w:val="24"/>
          <w:highlight w:val="none"/>
        </w:rPr>
        <w:t>服务</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0"/>
        <w:gridCol w:w="7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1" w:type="pct"/>
            <w:shd w:val="clear" w:color="auto" w:fill="auto"/>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技术指标</w:t>
            </w:r>
          </w:p>
        </w:tc>
        <w:tc>
          <w:tcPr>
            <w:tcW w:w="4088" w:type="pct"/>
            <w:shd w:val="clear" w:color="auto" w:fill="auto"/>
            <w:vAlign w:val="center"/>
          </w:tcPr>
          <w:p>
            <w:pPr>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b/>
                <w:color w:val="auto"/>
                <w:sz w:val="21"/>
                <w:szCs w:val="21"/>
                <w:highlight w:val="none"/>
              </w:rPr>
              <w:t>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6" w:hRule="atLeast"/>
        </w:trPr>
        <w:tc>
          <w:tcPr>
            <w:tcW w:w="911" w:type="pct"/>
            <w:shd w:val="clear" w:color="auto" w:fill="auto"/>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服务内容</w:t>
            </w:r>
          </w:p>
        </w:tc>
        <w:tc>
          <w:tcPr>
            <w:tcW w:w="4088"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40" w:lineRule="exact"/>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bCs w:val="0"/>
                <w:color w:val="auto"/>
                <w:kern w:val="2"/>
                <w:sz w:val="21"/>
                <w:szCs w:val="21"/>
                <w:highlight w:val="none"/>
                <w:lang w:val="en-US" w:eastAsia="zh-CN" w:bidi="ar-SA"/>
              </w:rPr>
              <w:t>通过主动扫描、渗透测试等手段，综合检查东阳市卫生健康局的内部网络和外部网络的网络安全责任落实情况。检测网络与信息系统在安全方面存在的安全隐患和安全漏洞，出具网络安全评估检查报告，协助开展网络安全整改工作。检查内容包括，内外网信息系统网络隔离、身份鉴别、访问控制、口令管理、边界防护、数据保护、密码应用、容灾备份、安全审计等技术措施的落实情况和有效性，网络安全监测手段的建设和运行情况，相关软硬件和业务系统是否存在技术漏洞、业务逻辑漏洞；是否关闭或删除了不必要的系统、网站、应用、服务、端口和链接；是否存在重要漏洞未修复情况，是否存在弱口令、默认口令、通用口令和长期未更换的口令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0" w:hRule="atLeast"/>
        </w:trPr>
        <w:tc>
          <w:tcPr>
            <w:tcW w:w="911" w:type="pct"/>
            <w:shd w:val="clear" w:color="auto" w:fill="auto"/>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服务要求</w:t>
            </w:r>
          </w:p>
        </w:tc>
        <w:tc>
          <w:tcPr>
            <w:tcW w:w="4088"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40" w:lineRule="exact"/>
              <w:ind w:left="0" w:leftChars="0" w:firstLine="0" w:firstLineChars="0"/>
              <w:textAlignment w:val="auto"/>
              <w:rPr>
                <w:rFonts w:hint="eastAsia" w:ascii="宋体" w:hAnsi="宋体" w:eastAsia="宋体" w:cs="宋体"/>
                <w:bCs w:val="0"/>
                <w:color w:val="auto"/>
                <w:kern w:val="2"/>
                <w:sz w:val="21"/>
                <w:szCs w:val="21"/>
                <w:highlight w:val="none"/>
                <w:lang w:val="en-US" w:eastAsia="zh-CN" w:bidi="ar-SA"/>
              </w:rPr>
            </w:pPr>
            <w:r>
              <w:rPr>
                <w:rFonts w:hint="eastAsia" w:ascii="宋体" w:hAnsi="宋体" w:eastAsia="宋体" w:cs="宋体"/>
                <w:bCs w:val="0"/>
                <w:color w:val="auto"/>
                <w:kern w:val="2"/>
                <w:sz w:val="21"/>
                <w:szCs w:val="21"/>
                <w:highlight w:val="none"/>
                <w:lang w:val="en-US" w:eastAsia="zh-CN" w:bidi="ar-SA"/>
              </w:rPr>
              <w:t>1.投标人应保证业主方信息系统正常运行前提下，模拟黑客攻击行为通过远程或本地方式对信息系统进行非破坏性的入侵测试，查找针对应用程序的各种漏洞，帮助业主方理解应用系统当前的安全状况，发现在系统复杂结构中的最脆弱链路并针对安全隐患提出解决办法，切实保证信息系统安全。</w:t>
            </w:r>
          </w:p>
          <w:p>
            <w:pPr>
              <w:pStyle w:val="2"/>
              <w:keepNext w:val="0"/>
              <w:keepLines w:val="0"/>
              <w:pageBreakBefore w:val="0"/>
              <w:widowControl w:val="0"/>
              <w:kinsoku/>
              <w:wordWrap/>
              <w:overflowPunct/>
              <w:topLinePunct w:val="0"/>
              <w:autoSpaceDE/>
              <w:autoSpaceDN/>
              <w:bidi w:val="0"/>
              <w:adjustRightInd/>
              <w:snapToGrid/>
              <w:spacing w:after="0" w:line="340" w:lineRule="exact"/>
              <w:ind w:left="0" w:leftChars="0" w:firstLine="0" w:firstLineChars="0"/>
              <w:textAlignment w:val="auto"/>
              <w:rPr>
                <w:rFonts w:hint="eastAsia" w:ascii="宋体" w:hAnsi="宋体" w:eastAsia="宋体" w:cs="宋体"/>
                <w:bCs w:val="0"/>
                <w:color w:val="auto"/>
                <w:kern w:val="2"/>
                <w:sz w:val="21"/>
                <w:szCs w:val="21"/>
                <w:highlight w:val="none"/>
                <w:lang w:val="en-US" w:eastAsia="zh-CN" w:bidi="ar-SA"/>
              </w:rPr>
            </w:pPr>
            <w:r>
              <w:rPr>
                <w:rFonts w:hint="eastAsia" w:ascii="宋体" w:hAnsi="宋体" w:eastAsia="宋体" w:cs="宋体"/>
                <w:bCs w:val="0"/>
                <w:color w:val="auto"/>
                <w:kern w:val="2"/>
                <w:sz w:val="21"/>
                <w:szCs w:val="21"/>
                <w:highlight w:val="none"/>
                <w:lang w:val="en-US" w:eastAsia="zh-CN" w:bidi="ar-SA"/>
              </w:rPr>
              <w:t>2.投标人应在得到业主方授权后方可开始实施相关检查评估工作。</w:t>
            </w:r>
          </w:p>
          <w:p>
            <w:pPr>
              <w:pStyle w:val="2"/>
              <w:keepNext w:val="0"/>
              <w:keepLines w:val="0"/>
              <w:pageBreakBefore w:val="0"/>
              <w:widowControl w:val="0"/>
              <w:kinsoku/>
              <w:wordWrap/>
              <w:overflowPunct/>
              <w:topLinePunct w:val="0"/>
              <w:autoSpaceDE/>
              <w:autoSpaceDN/>
              <w:bidi w:val="0"/>
              <w:adjustRightInd/>
              <w:snapToGrid/>
              <w:spacing w:after="0" w:line="340" w:lineRule="exact"/>
              <w:ind w:left="0" w:leftChars="0" w:firstLine="0" w:firstLineChars="0"/>
              <w:textAlignment w:val="auto"/>
              <w:rPr>
                <w:rFonts w:hint="eastAsia" w:ascii="宋体" w:hAnsi="宋体" w:eastAsia="宋体" w:cs="宋体"/>
                <w:bCs w:val="0"/>
                <w:color w:val="auto"/>
                <w:kern w:val="2"/>
                <w:sz w:val="21"/>
                <w:szCs w:val="21"/>
                <w:highlight w:val="none"/>
                <w:lang w:val="en-US" w:eastAsia="zh-CN" w:bidi="ar-SA"/>
              </w:rPr>
            </w:pPr>
            <w:r>
              <w:rPr>
                <w:rFonts w:hint="eastAsia" w:ascii="宋体" w:hAnsi="宋体" w:eastAsia="宋体" w:cs="宋体"/>
                <w:bCs w:val="0"/>
                <w:color w:val="auto"/>
                <w:kern w:val="2"/>
                <w:sz w:val="21"/>
                <w:szCs w:val="21"/>
                <w:highlight w:val="none"/>
                <w:lang w:val="en-US" w:eastAsia="zh-CN" w:bidi="ar-SA"/>
              </w:rPr>
              <w:t>3.投标人应确保实施检查评分的服务人员的工作保密性，签署相关的保密协议，在未经业主方允许的情况下，不得将识别的漏洞外泄、传递。</w:t>
            </w:r>
          </w:p>
          <w:p>
            <w:pPr>
              <w:pStyle w:val="2"/>
              <w:keepNext w:val="0"/>
              <w:keepLines w:val="0"/>
              <w:pageBreakBefore w:val="0"/>
              <w:widowControl w:val="0"/>
              <w:kinsoku/>
              <w:wordWrap/>
              <w:overflowPunct/>
              <w:topLinePunct w:val="0"/>
              <w:autoSpaceDE/>
              <w:autoSpaceDN/>
              <w:bidi w:val="0"/>
              <w:adjustRightInd/>
              <w:snapToGrid/>
              <w:spacing w:after="0" w:line="340" w:lineRule="exact"/>
              <w:ind w:left="0" w:leftChars="0" w:firstLine="0" w:firstLineChars="0"/>
              <w:textAlignment w:val="auto"/>
              <w:rPr>
                <w:rFonts w:hint="eastAsia" w:ascii="宋体" w:hAnsi="宋体" w:eastAsia="宋体" w:cs="宋体"/>
                <w:bCs w:val="0"/>
                <w:color w:val="auto"/>
                <w:kern w:val="2"/>
                <w:sz w:val="21"/>
                <w:szCs w:val="21"/>
                <w:highlight w:val="none"/>
                <w:lang w:val="en-US" w:eastAsia="zh-CN" w:bidi="ar-SA"/>
              </w:rPr>
            </w:pPr>
            <w:r>
              <w:rPr>
                <w:rFonts w:hint="eastAsia" w:ascii="宋体" w:hAnsi="宋体" w:eastAsia="宋体" w:cs="宋体"/>
                <w:bCs w:val="0"/>
                <w:color w:val="auto"/>
                <w:kern w:val="2"/>
                <w:sz w:val="21"/>
                <w:szCs w:val="21"/>
                <w:highlight w:val="none"/>
                <w:lang w:val="en-US" w:eastAsia="zh-CN" w:bidi="ar-SA"/>
              </w:rPr>
              <w:t>4.实施检查评估服务后，未经业主方同意，禁止在系统留存后门。</w:t>
            </w:r>
          </w:p>
          <w:p>
            <w:pPr>
              <w:pStyle w:val="2"/>
              <w:keepNext w:val="0"/>
              <w:keepLines w:val="0"/>
              <w:pageBreakBefore w:val="0"/>
              <w:widowControl w:val="0"/>
              <w:kinsoku/>
              <w:wordWrap/>
              <w:overflowPunct/>
              <w:topLinePunct w:val="0"/>
              <w:autoSpaceDE/>
              <w:autoSpaceDN/>
              <w:bidi w:val="0"/>
              <w:adjustRightInd/>
              <w:snapToGrid/>
              <w:spacing w:after="0" w:line="340" w:lineRule="exact"/>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bCs w:val="0"/>
                <w:color w:val="auto"/>
                <w:kern w:val="2"/>
                <w:sz w:val="21"/>
                <w:szCs w:val="21"/>
                <w:highlight w:val="none"/>
                <w:lang w:val="en-US" w:eastAsia="zh-CN" w:bidi="ar-SA"/>
              </w:rPr>
              <w:t>5.检查评估中涉及的工具均由投标人自行提供。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911" w:type="pct"/>
            <w:shd w:val="clear" w:color="auto" w:fill="auto"/>
            <w:vAlign w:val="center"/>
          </w:tcPr>
          <w:p>
            <w:pPr>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服务频率</w:t>
            </w:r>
          </w:p>
        </w:tc>
        <w:tc>
          <w:tcPr>
            <w:tcW w:w="4088"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4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Cs w:val="0"/>
                <w:color w:val="auto"/>
                <w:kern w:val="2"/>
                <w:sz w:val="21"/>
                <w:szCs w:val="21"/>
                <w:highlight w:val="none"/>
                <w:lang w:val="en-US" w:eastAsia="zh-CN" w:bidi="ar-SA"/>
              </w:rPr>
              <w:t>每季度1次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911" w:type="pct"/>
            <w:shd w:val="clear" w:color="auto" w:fill="auto"/>
            <w:vAlign w:val="center"/>
          </w:tcPr>
          <w:p>
            <w:pPr>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服务交付</w:t>
            </w:r>
          </w:p>
        </w:tc>
        <w:tc>
          <w:tcPr>
            <w:tcW w:w="4088" w:type="pct"/>
            <w:shd w:val="clear" w:color="auto" w:fill="auto"/>
            <w:vAlign w:val="center"/>
          </w:tcPr>
          <w:p>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《网络安全检查评估报告》等</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firstLine="482" w:firstLineChars="200"/>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2.专项网络安全检查服务</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0"/>
        <w:gridCol w:w="7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1" w:type="pct"/>
            <w:shd w:val="clear" w:color="auto" w:fill="auto"/>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技术指标</w:t>
            </w:r>
          </w:p>
        </w:tc>
        <w:tc>
          <w:tcPr>
            <w:tcW w:w="4088" w:type="pct"/>
            <w:shd w:val="clear" w:color="auto" w:fill="auto"/>
            <w:vAlign w:val="center"/>
          </w:tcPr>
          <w:p>
            <w:pPr>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b/>
                <w:color w:val="auto"/>
                <w:sz w:val="21"/>
                <w:szCs w:val="21"/>
                <w:highlight w:val="none"/>
              </w:rPr>
              <w:t>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911" w:type="pct"/>
            <w:shd w:val="clear" w:color="auto" w:fill="auto"/>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服务内容</w:t>
            </w:r>
          </w:p>
        </w:tc>
        <w:tc>
          <w:tcPr>
            <w:tcW w:w="4088"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40" w:lineRule="exact"/>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bCs w:val="0"/>
                <w:color w:val="auto"/>
                <w:kern w:val="2"/>
                <w:sz w:val="21"/>
                <w:szCs w:val="21"/>
                <w:highlight w:val="none"/>
                <w:lang w:val="en-US" w:eastAsia="zh-CN" w:bidi="ar-SA"/>
              </w:rPr>
              <w:t>针对东阳市卫生健康局网络及重点信息系统开展专项网络安全风险排查工作，确保网络安全风险隐患及时排除。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911" w:type="pct"/>
            <w:shd w:val="clear" w:color="auto" w:fill="auto"/>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服务要求</w:t>
            </w:r>
          </w:p>
        </w:tc>
        <w:tc>
          <w:tcPr>
            <w:tcW w:w="4088"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40" w:lineRule="exact"/>
              <w:ind w:left="0" w:leftChars="0" w:firstLine="0" w:firstLineChars="0"/>
              <w:textAlignment w:val="auto"/>
              <w:rPr>
                <w:rFonts w:hint="eastAsia" w:ascii="宋体" w:hAnsi="宋体" w:eastAsia="宋体" w:cs="宋体"/>
                <w:bCs w:val="0"/>
                <w:color w:val="auto"/>
                <w:kern w:val="2"/>
                <w:sz w:val="21"/>
                <w:szCs w:val="21"/>
                <w:highlight w:val="none"/>
                <w:lang w:val="en-US" w:eastAsia="zh-CN" w:bidi="ar-SA"/>
              </w:rPr>
            </w:pPr>
            <w:r>
              <w:rPr>
                <w:rFonts w:hint="eastAsia" w:ascii="宋体" w:hAnsi="宋体" w:eastAsia="宋体" w:cs="宋体"/>
                <w:bCs w:val="0"/>
                <w:color w:val="auto"/>
                <w:kern w:val="2"/>
                <w:sz w:val="21"/>
                <w:szCs w:val="21"/>
                <w:highlight w:val="none"/>
                <w:lang w:val="en-US" w:eastAsia="zh-CN" w:bidi="ar-SA"/>
              </w:rPr>
              <w:t>1.投标人应保证业主方信息系统正常运行前提下，通过远程或本地方式对信息系统进行非破坏性的入侵测试，查找针对应用程序的各种漏洞，协助业主方理清应用系统当前的安全状况，发现在系统复杂结构中的最脆弱链路并针对安全隐患提出解决办法，切实保证信息系统网络安全。</w:t>
            </w:r>
          </w:p>
          <w:p>
            <w:pPr>
              <w:pStyle w:val="2"/>
              <w:keepNext w:val="0"/>
              <w:keepLines w:val="0"/>
              <w:pageBreakBefore w:val="0"/>
              <w:widowControl w:val="0"/>
              <w:kinsoku/>
              <w:wordWrap/>
              <w:overflowPunct/>
              <w:topLinePunct w:val="0"/>
              <w:autoSpaceDE/>
              <w:autoSpaceDN/>
              <w:bidi w:val="0"/>
              <w:adjustRightInd/>
              <w:snapToGrid/>
              <w:spacing w:after="0" w:line="340" w:lineRule="exact"/>
              <w:ind w:left="0" w:leftChars="0" w:firstLine="0" w:firstLineChars="0"/>
              <w:textAlignment w:val="auto"/>
              <w:rPr>
                <w:rFonts w:hint="eastAsia" w:ascii="宋体" w:hAnsi="宋体" w:eastAsia="宋体" w:cs="宋体"/>
                <w:bCs w:val="0"/>
                <w:color w:val="auto"/>
                <w:kern w:val="2"/>
                <w:sz w:val="21"/>
                <w:szCs w:val="21"/>
                <w:highlight w:val="none"/>
                <w:lang w:val="en-US" w:eastAsia="zh-CN" w:bidi="ar-SA"/>
              </w:rPr>
            </w:pPr>
            <w:r>
              <w:rPr>
                <w:rFonts w:hint="eastAsia" w:ascii="宋体" w:hAnsi="宋体" w:eastAsia="宋体" w:cs="宋体"/>
                <w:bCs w:val="0"/>
                <w:color w:val="auto"/>
                <w:kern w:val="2"/>
                <w:sz w:val="21"/>
                <w:szCs w:val="21"/>
                <w:highlight w:val="none"/>
                <w:lang w:val="en-US" w:eastAsia="zh-CN" w:bidi="ar-SA"/>
              </w:rPr>
              <w:t>2.投标人应确保实施人员的工作保密性，签署相关的保密协议，在未经业主方允许的情况下，不得将识别的漏洞外泄、传递。</w:t>
            </w:r>
          </w:p>
          <w:p>
            <w:pPr>
              <w:pStyle w:val="2"/>
              <w:keepNext w:val="0"/>
              <w:keepLines w:val="0"/>
              <w:pageBreakBefore w:val="0"/>
              <w:widowControl w:val="0"/>
              <w:kinsoku/>
              <w:wordWrap/>
              <w:overflowPunct/>
              <w:topLinePunct w:val="0"/>
              <w:autoSpaceDE/>
              <w:autoSpaceDN/>
              <w:bidi w:val="0"/>
              <w:adjustRightInd/>
              <w:snapToGrid/>
              <w:spacing w:after="0" w:line="340" w:lineRule="exact"/>
              <w:ind w:left="0" w:leftChars="0" w:firstLine="0" w:firstLineChars="0"/>
              <w:textAlignment w:val="auto"/>
              <w:rPr>
                <w:rFonts w:hint="eastAsia" w:ascii="宋体" w:hAnsi="宋体" w:eastAsia="宋体" w:cs="宋体"/>
                <w:bCs w:val="0"/>
                <w:color w:val="auto"/>
                <w:kern w:val="2"/>
                <w:sz w:val="21"/>
                <w:szCs w:val="21"/>
                <w:highlight w:val="none"/>
                <w:lang w:val="en-US" w:eastAsia="zh-CN" w:bidi="ar-SA"/>
              </w:rPr>
            </w:pPr>
            <w:r>
              <w:rPr>
                <w:rFonts w:hint="eastAsia" w:ascii="宋体" w:hAnsi="宋体" w:eastAsia="宋体" w:cs="宋体"/>
                <w:bCs w:val="0"/>
                <w:color w:val="auto"/>
                <w:kern w:val="2"/>
                <w:sz w:val="21"/>
                <w:szCs w:val="21"/>
                <w:highlight w:val="none"/>
                <w:lang w:val="en-US" w:eastAsia="zh-CN" w:bidi="ar-SA"/>
              </w:rPr>
              <w:t>3.实施服务后，未经业主方同意，禁止在系统留存后门。</w:t>
            </w:r>
          </w:p>
          <w:p>
            <w:pPr>
              <w:pStyle w:val="2"/>
              <w:keepNext w:val="0"/>
              <w:keepLines w:val="0"/>
              <w:pageBreakBefore w:val="0"/>
              <w:widowControl w:val="0"/>
              <w:kinsoku/>
              <w:wordWrap/>
              <w:overflowPunct/>
              <w:topLinePunct w:val="0"/>
              <w:autoSpaceDE/>
              <w:autoSpaceDN/>
              <w:bidi w:val="0"/>
              <w:adjustRightInd/>
              <w:snapToGrid/>
              <w:spacing w:after="0" w:line="340" w:lineRule="exact"/>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bCs w:val="0"/>
                <w:color w:val="auto"/>
                <w:kern w:val="2"/>
                <w:sz w:val="21"/>
                <w:szCs w:val="21"/>
                <w:highlight w:val="none"/>
                <w:lang w:val="en-US" w:eastAsia="zh-CN" w:bidi="ar-SA"/>
              </w:rPr>
              <w:t>4.检查中涉及的工具均由投标人自行提供。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911" w:type="pct"/>
            <w:shd w:val="clear" w:color="auto" w:fill="auto"/>
            <w:vAlign w:val="center"/>
          </w:tcPr>
          <w:p>
            <w:pPr>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服务频率</w:t>
            </w:r>
          </w:p>
        </w:tc>
        <w:tc>
          <w:tcPr>
            <w:tcW w:w="4088"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4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911" w:type="pct"/>
            <w:shd w:val="clear" w:color="auto" w:fill="auto"/>
            <w:vAlign w:val="center"/>
          </w:tcPr>
          <w:p>
            <w:pPr>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服务交付</w:t>
            </w:r>
          </w:p>
        </w:tc>
        <w:tc>
          <w:tcPr>
            <w:tcW w:w="4088"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《网络安全</w:t>
            </w:r>
            <w:r>
              <w:rPr>
                <w:rFonts w:hint="eastAsia" w:ascii="宋体" w:hAnsi="宋体" w:eastAsia="宋体" w:cs="宋体"/>
                <w:color w:val="auto"/>
                <w:sz w:val="21"/>
                <w:szCs w:val="21"/>
                <w:highlight w:val="none"/>
                <w:lang w:eastAsia="zh-CN"/>
              </w:rPr>
              <w:t>专项</w:t>
            </w:r>
            <w:r>
              <w:rPr>
                <w:rFonts w:hint="eastAsia" w:ascii="宋体" w:hAnsi="宋体" w:eastAsia="宋体" w:cs="宋体"/>
                <w:color w:val="auto"/>
                <w:sz w:val="21"/>
                <w:szCs w:val="21"/>
                <w:highlight w:val="none"/>
              </w:rPr>
              <w:t>检查报告》等</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firstLine="482" w:firstLineChars="200"/>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3.CNVD漏洞数据报送服务</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0"/>
        <w:gridCol w:w="7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1" w:type="pct"/>
            <w:shd w:val="clear" w:color="auto" w:fill="auto"/>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技术指标</w:t>
            </w:r>
          </w:p>
        </w:tc>
        <w:tc>
          <w:tcPr>
            <w:tcW w:w="4088" w:type="pct"/>
            <w:shd w:val="clear" w:color="auto" w:fill="auto"/>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服务内容</w:t>
            </w:r>
          </w:p>
        </w:tc>
        <w:tc>
          <w:tcPr>
            <w:tcW w:w="40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bCs w:val="0"/>
                <w:color w:val="auto"/>
                <w:kern w:val="2"/>
                <w:sz w:val="21"/>
                <w:szCs w:val="21"/>
                <w:highlight w:val="none"/>
                <w:lang w:val="en-US" w:eastAsia="zh-CN" w:bidi="ar-SA"/>
              </w:rPr>
              <w:t>基于国家信息安全漏洞共享平台（CNVD），收集、分析涉及用户的安全漏洞，在发现涉及用户相关信息系统安全漏洞后，第一时间向用户报送，并向用户提供技术咨询服务，协助排除风险隐患。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服务要求</w:t>
            </w:r>
          </w:p>
        </w:tc>
        <w:tc>
          <w:tcPr>
            <w:tcW w:w="40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漏洞报</w:t>
            </w:r>
            <w:r>
              <w:rPr>
                <w:rFonts w:hint="eastAsia" w:ascii="宋体" w:hAnsi="宋体" w:eastAsia="宋体" w:cs="宋体"/>
                <w:color w:val="auto"/>
                <w:sz w:val="21"/>
                <w:szCs w:val="21"/>
                <w:highlight w:val="none"/>
                <w:lang w:eastAsia="zh-CN"/>
              </w:rPr>
              <w:t>送</w:t>
            </w:r>
            <w:r>
              <w:rPr>
                <w:rFonts w:hint="eastAsia" w:ascii="宋体" w:hAnsi="宋体" w:eastAsia="宋体" w:cs="宋体"/>
                <w:color w:val="auto"/>
                <w:sz w:val="21"/>
                <w:szCs w:val="21"/>
                <w:highlight w:val="none"/>
              </w:rPr>
              <w:t>涉及信息系统类型包括网站、APP</w:t>
            </w:r>
            <w:r>
              <w:rPr>
                <w:rFonts w:hint="eastAsia" w:ascii="宋体" w:hAnsi="宋体" w:eastAsia="宋体" w:cs="宋体"/>
                <w:color w:val="auto"/>
                <w:sz w:val="21"/>
                <w:szCs w:val="21"/>
                <w:highlight w:val="none"/>
                <w:lang w:eastAsia="zh-CN"/>
              </w:rPr>
              <w:t>、信息系统</w:t>
            </w:r>
            <w:r>
              <w:rPr>
                <w:rFonts w:hint="eastAsia" w:ascii="宋体" w:hAnsi="宋体" w:eastAsia="宋体" w:cs="宋体"/>
                <w:color w:val="auto"/>
                <w:sz w:val="21"/>
                <w:szCs w:val="21"/>
                <w:highlight w:val="none"/>
              </w:rPr>
              <w:t>等。漏洞</w:t>
            </w:r>
            <w:r>
              <w:rPr>
                <w:rFonts w:hint="eastAsia" w:ascii="宋体" w:hAnsi="宋体" w:eastAsia="宋体" w:cs="宋体"/>
                <w:color w:val="auto"/>
                <w:sz w:val="21"/>
                <w:szCs w:val="21"/>
                <w:highlight w:val="none"/>
                <w:lang w:eastAsia="zh-CN"/>
              </w:rPr>
              <w:t>报送</w:t>
            </w:r>
            <w:r>
              <w:rPr>
                <w:rFonts w:hint="eastAsia" w:ascii="宋体" w:hAnsi="宋体" w:eastAsia="宋体" w:cs="宋体"/>
                <w:color w:val="auto"/>
                <w:sz w:val="21"/>
                <w:szCs w:val="21"/>
                <w:highlight w:val="none"/>
              </w:rPr>
              <w:t>内容包括漏洞事件名称、漏洞引发的威胁、评分评级、影响产品、信息来源、漏洞描述、影响范围、漏洞验证情况、</w:t>
            </w:r>
            <w:r>
              <w:rPr>
                <w:rFonts w:hint="eastAsia" w:ascii="宋体" w:hAnsi="宋体" w:eastAsia="宋体" w:cs="宋体"/>
                <w:color w:val="auto"/>
                <w:sz w:val="21"/>
                <w:szCs w:val="21"/>
                <w:highlight w:val="none"/>
                <w:lang w:eastAsia="zh-CN"/>
              </w:rPr>
              <w:t>发现</w:t>
            </w:r>
            <w:r>
              <w:rPr>
                <w:rFonts w:hint="eastAsia" w:ascii="宋体" w:hAnsi="宋体" w:eastAsia="宋体" w:cs="宋体"/>
                <w:color w:val="auto"/>
                <w:sz w:val="21"/>
                <w:szCs w:val="21"/>
                <w:highlight w:val="none"/>
              </w:rPr>
              <w:t>时间等。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服务</w:t>
            </w:r>
            <w:r>
              <w:rPr>
                <w:rFonts w:hint="eastAsia" w:ascii="宋体" w:hAnsi="宋体" w:eastAsia="宋体" w:cs="宋体"/>
                <w:color w:val="auto"/>
                <w:sz w:val="21"/>
                <w:szCs w:val="21"/>
                <w:highlight w:val="none"/>
              </w:rPr>
              <w:t>频率</w:t>
            </w:r>
          </w:p>
        </w:tc>
        <w:tc>
          <w:tcPr>
            <w:tcW w:w="40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eastAsia="zh-CN"/>
              </w:rPr>
              <w:t>不定期推送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服务交付</w:t>
            </w:r>
          </w:p>
        </w:tc>
        <w:tc>
          <w:tcPr>
            <w:tcW w:w="40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《CNVD漏洞报告》</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firstLine="482" w:firstLineChars="200"/>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4.应急响应服务</w:t>
      </w:r>
    </w:p>
    <w:tbl>
      <w:tblPr>
        <w:tblStyle w:val="16"/>
        <w:tblW w:w="5140" w:type="pct"/>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229"/>
        <w:gridCol w:w="77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167" w:type="dxa"/>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技术指标</w:t>
            </w:r>
          </w:p>
        </w:tc>
        <w:tc>
          <w:tcPr>
            <w:tcW w:w="7365" w:type="dxa"/>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指标要求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167" w:type="dxa"/>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服务内</w:t>
            </w:r>
            <w:r>
              <w:rPr>
                <w:rFonts w:hint="eastAsia" w:ascii="宋体" w:hAnsi="宋体" w:eastAsia="宋体" w:cs="宋体"/>
                <w:color w:val="auto"/>
                <w:spacing w:val="-10"/>
                <w:sz w:val="21"/>
                <w:szCs w:val="21"/>
                <w:highlight w:val="none"/>
              </w:rPr>
              <w:t>容</w:t>
            </w:r>
          </w:p>
        </w:tc>
        <w:tc>
          <w:tcPr>
            <w:tcW w:w="7365" w:type="dxa"/>
            <w:vAlign w:val="center"/>
          </w:tcPr>
          <w:p>
            <w:pPr>
              <w:pStyle w:val="25"/>
              <w:keepNext w:val="0"/>
              <w:keepLines w:val="0"/>
              <w:pageBreakBefore w:val="0"/>
              <w:widowControl w:val="0"/>
              <w:numPr>
                <w:ilvl w:val="0"/>
                <w:numId w:val="1"/>
              </w:numPr>
              <w:kinsoku/>
              <w:wordWrap/>
              <w:overflowPunct/>
              <w:topLinePunct w:val="0"/>
              <w:autoSpaceDE/>
              <w:autoSpaceDN/>
              <w:bidi w:val="0"/>
              <w:adjustRightInd w:val="0"/>
              <w:snapToGrid w:val="0"/>
              <w:spacing w:line="240" w:lineRule="auto"/>
              <w:ind w:left="0" w:right="0" w:firstLine="0"/>
              <w:jc w:val="left"/>
              <w:textAlignment w:val="auto"/>
              <w:rPr>
                <w:rFonts w:hint="eastAsia" w:ascii="宋体" w:hAnsi="宋体" w:eastAsia="宋体" w:cs="宋体"/>
                <w:color w:val="auto"/>
                <w:spacing w:val="-2"/>
                <w:kern w:val="0"/>
                <w:sz w:val="21"/>
                <w:szCs w:val="21"/>
                <w:highlight w:val="none"/>
              </w:rPr>
            </w:pPr>
            <w:r>
              <w:rPr>
                <w:rFonts w:hint="eastAsia" w:ascii="宋体" w:hAnsi="宋体" w:eastAsia="宋体" w:cs="宋体"/>
                <w:color w:val="auto"/>
                <w:spacing w:val="-2"/>
                <w:kern w:val="0"/>
                <w:sz w:val="21"/>
                <w:szCs w:val="21"/>
                <w:highlight w:val="none"/>
                <w:lang w:eastAsia="zh-CN"/>
              </w:rPr>
              <w:t>投标人</w:t>
            </w:r>
            <w:r>
              <w:rPr>
                <w:rFonts w:hint="eastAsia" w:ascii="宋体" w:hAnsi="宋体" w:eastAsia="宋体" w:cs="宋体"/>
                <w:color w:val="auto"/>
                <w:spacing w:val="-2"/>
                <w:kern w:val="0"/>
                <w:sz w:val="21"/>
                <w:szCs w:val="21"/>
                <w:highlight w:val="none"/>
              </w:rPr>
              <w:t>应在</w:t>
            </w:r>
            <w:r>
              <w:rPr>
                <w:rFonts w:hint="eastAsia" w:ascii="宋体" w:hAnsi="宋体" w:eastAsia="宋体" w:cs="宋体"/>
                <w:color w:val="auto"/>
                <w:spacing w:val="-2"/>
                <w:kern w:val="0"/>
                <w:sz w:val="21"/>
                <w:szCs w:val="21"/>
                <w:highlight w:val="none"/>
                <w:lang w:eastAsia="zh-CN"/>
              </w:rPr>
              <w:t>业主方</w:t>
            </w:r>
            <w:r>
              <w:rPr>
                <w:rFonts w:hint="eastAsia" w:ascii="宋体" w:hAnsi="宋体" w:eastAsia="宋体" w:cs="宋体"/>
                <w:color w:val="auto"/>
                <w:spacing w:val="-2"/>
                <w:kern w:val="0"/>
                <w:sz w:val="21"/>
                <w:szCs w:val="21"/>
                <w:highlight w:val="none"/>
              </w:rPr>
              <w:t>遇到重大或突发事件后按照要求的服务响应级别采取相关的措施和行动。帮助</w:t>
            </w:r>
            <w:r>
              <w:rPr>
                <w:rFonts w:hint="eastAsia" w:ascii="宋体" w:hAnsi="宋体" w:eastAsia="宋体" w:cs="宋体"/>
                <w:color w:val="auto"/>
                <w:spacing w:val="-2"/>
                <w:kern w:val="0"/>
                <w:sz w:val="21"/>
                <w:szCs w:val="21"/>
                <w:highlight w:val="none"/>
                <w:lang w:eastAsia="zh-CN"/>
              </w:rPr>
              <w:t>业主方</w:t>
            </w:r>
            <w:r>
              <w:rPr>
                <w:rFonts w:hint="eastAsia" w:ascii="宋体" w:hAnsi="宋体" w:eastAsia="宋体" w:cs="宋体"/>
                <w:color w:val="auto"/>
                <w:spacing w:val="-2"/>
                <w:kern w:val="0"/>
                <w:sz w:val="21"/>
                <w:szCs w:val="21"/>
                <w:highlight w:val="none"/>
              </w:rPr>
              <w:t>正确应对安全事件，降低安全事件带来的损失和影响，并将业务以及网络恢复到正常状态。</w:t>
            </w:r>
          </w:p>
          <w:p>
            <w:pPr>
              <w:pStyle w:val="25"/>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Chars="0" w:right="0" w:right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spacing w:val="-1"/>
                <w:kern w:val="0"/>
                <w:sz w:val="21"/>
                <w:szCs w:val="21"/>
                <w:highlight w:val="none"/>
              </w:rPr>
              <w:t>、本次</w:t>
            </w:r>
            <w:r>
              <w:rPr>
                <w:rFonts w:hint="eastAsia" w:ascii="宋体" w:hAnsi="宋体" w:eastAsia="宋体" w:cs="宋体"/>
                <w:color w:val="auto"/>
                <w:spacing w:val="-1"/>
                <w:kern w:val="0"/>
                <w:sz w:val="21"/>
                <w:szCs w:val="21"/>
                <w:highlight w:val="none"/>
                <w:lang w:eastAsia="zh-CN"/>
              </w:rPr>
              <w:t>采购</w:t>
            </w:r>
            <w:r>
              <w:rPr>
                <w:rFonts w:hint="eastAsia" w:ascii="宋体" w:hAnsi="宋体" w:eastAsia="宋体" w:cs="宋体"/>
                <w:color w:val="auto"/>
                <w:spacing w:val="-1"/>
                <w:kern w:val="0"/>
                <w:sz w:val="21"/>
                <w:szCs w:val="21"/>
                <w:highlight w:val="none"/>
              </w:rPr>
              <w:t>的应急响应包含但不限于以下几类安全事件：</w:t>
            </w:r>
          </w:p>
          <w:p>
            <w:pPr>
              <w:pStyle w:val="25"/>
              <w:keepNext w:val="0"/>
              <w:keepLines w:val="0"/>
              <w:pageBreakBefore w:val="0"/>
              <w:widowControl w:val="0"/>
              <w:numPr>
                <w:ilvl w:val="0"/>
                <w:numId w:val="2"/>
              </w:numPr>
              <w:tabs>
                <w:tab w:val="left" w:pos="528"/>
              </w:tabs>
              <w:kinsoku/>
              <w:wordWrap/>
              <w:overflowPunct/>
              <w:topLinePunct w:val="0"/>
              <w:autoSpaceDE/>
              <w:autoSpaceDN/>
              <w:bidi w:val="0"/>
              <w:adjustRightInd w:val="0"/>
              <w:snapToGrid w:val="0"/>
              <w:spacing w:after="0" w:line="240" w:lineRule="auto"/>
              <w:ind w:left="0" w:right="0" w:firstLine="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WEB</w:t>
            </w:r>
            <w:r>
              <w:rPr>
                <w:rFonts w:hint="eastAsia" w:ascii="宋体" w:hAnsi="宋体" w:eastAsia="宋体" w:cs="宋体"/>
                <w:color w:val="auto"/>
                <w:spacing w:val="-14"/>
                <w:kern w:val="0"/>
                <w:sz w:val="21"/>
                <w:szCs w:val="21"/>
                <w:highlight w:val="none"/>
              </w:rPr>
              <w:t xml:space="preserve"> 安全事件</w:t>
            </w:r>
          </w:p>
          <w:p>
            <w:pPr>
              <w:pStyle w:val="25"/>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spacing w:val="-10"/>
                <w:kern w:val="0"/>
                <w:sz w:val="21"/>
                <w:szCs w:val="21"/>
                <w:highlight w:val="none"/>
              </w:rPr>
              <w:t xml:space="preserve">针对 </w:t>
            </w:r>
            <w:r>
              <w:rPr>
                <w:rFonts w:hint="eastAsia" w:ascii="宋体" w:hAnsi="宋体" w:eastAsia="宋体" w:cs="宋体"/>
                <w:color w:val="auto"/>
                <w:kern w:val="0"/>
                <w:sz w:val="21"/>
                <w:szCs w:val="21"/>
                <w:highlight w:val="none"/>
              </w:rPr>
              <w:t>B/S</w:t>
            </w:r>
            <w:r>
              <w:rPr>
                <w:rFonts w:hint="eastAsia" w:ascii="宋体" w:hAnsi="宋体" w:eastAsia="宋体" w:cs="宋体"/>
                <w:color w:val="auto"/>
                <w:spacing w:val="-6"/>
                <w:kern w:val="0"/>
                <w:sz w:val="21"/>
                <w:szCs w:val="21"/>
                <w:highlight w:val="none"/>
              </w:rPr>
              <w:t xml:space="preserve"> 类信息系统或网站遭受恶意入侵，利用网站进行反</w:t>
            </w:r>
            <w:r>
              <w:rPr>
                <w:rFonts w:hint="eastAsia" w:ascii="宋体" w:hAnsi="宋体" w:eastAsia="宋体" w:cs="宋体"/>
                <w:color w:val="auto"/>
                <w:spacing w:val="-2"/>
                <w:kern w:val="0"/>
                <w:sz w:val="21"/>
                <w:szCs w:val="21"/>
                <w:highlight w:val="none"/>
              </w:rPr>
              <w:t>动信息、赌博、黄色等信息发布，传播危害国家安全、社会稳定和公共利益的内容的安全事件，包括但不限于：篡改、</w:t>
            </w:r>
            <w:r>
              <w:rPr>
                <w:rFonts w:hint="eastAsia" w:ascii="宋体" w:hAnsi="宋体" w:eastAsia="宋体" w:cs="宋体"/>
                <w:color w:val="auto"/>
                <w:kern w:val="0"/>
                <w:sz w:val="21"/>
                <w:szCs w:val="21"/>
                <w:highlight w:val="none"/>
              </w:rPr>
              <w:t>暗链、挂马、Webshell</w:t>
            </w:r>
            <w:r>
              <w:rPr>
                <w:rFonts w:hint="eastAsia" w:ascii="宋体" w:hAnsi="宋体" w:eastAsia="宋体" w:cs="宋体"/>
                <w:color w:val="auto"/>
                <w:spacing w:val="-21"/>
                <w:kern w:val="0"/>
                <w:sz w:val="21"/>
                <w:szCs w:val="21"/>
                <w:highlight w:val="none"/>
              </w:rPr>
              <w:t xml:space="preserve"> 等</w:t>
            </w:r>
            <w:r>
              <w:rPr>
                <w:rFonts w:hint="eastAsia" w:ascii="宋体" w:hAnsi="宋体" w:eastAsia="宋体" w:cs="宋体"/>
                <w:color w:val="auto"/>
                <w:spacing w:val="-21"/>
                <w:kern w:val="0"/>
                <w:sz w:val="21"/>
                <w:szCs w:val="21"/>
                <w:highlight w:val="none"/>
                <w:lang w:eastAsia="zh-CN"/>
              </w:rPr>
              <w:t>。</w:t>
            </w:r>
          </w:p>
          <w:p>
            <w:pPr>
              <w:pStyle w:val="25"/>
              <w:keepNext w:val="0"/>
              <w:keepLines w:val="0"/>
              <w:pageBreakBefore w:val="0"/>
              <w:widowControl w:val="0"/>
              <w:numPr>
                <w:ilvl w:val="0"/>
                <w:numId w:val="3"/>
              </w:numPr>
              <w:tabs>
                <w:tab w:val="left" w:pos="527"/>
              </w:tabs>
              <w:kinsoku/>
              <w:wordWrap/>
              <w:overflowPunct/>
              <w:topLinePunct w:val="0"/>
              <w:autoSpaceDE/>
              <w:autoSpaceDN/>
              <w:bidi w:val="0"/>
              <w:adjustRightInd w:val="0"/>
              <w:snapToGrid w:val="0"/>
              <w:spacing w:after="0" w:line="240" w:lineRule="auto"/>
              <w:ind w:left="0" w:right="0" w:firstLine="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pacing w:val="-2"/>
                <w:kern w:val="0"/>
                <w:sz w:val="21"/>
                <w:szCs w:val="21"/>
                <w:highlight w:val="none"/>
              </w:rPr>
              <w:t>恶意程序事件</w:t>
            </w:r>
          </w:p>
          <w:p>
            <w:pPr>
              <w:pStyle w:val="25"/>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spacing w:val="1"/>
                <w:kern w:val="0"/>
                <w:sz w:val="21"/>
                <w:szCs w:val="21"/>
                <w:highlight w:val="none"/>
              </w:rPr>
              <w:t>针对遭受的各类恶意程序事件进行快速处置，包括不限于病</w:t>
            </w:r>
            <w:r>
              <w:rPr>
                <w:rFonts w:hint="eastAsia" w:ascii="宋体" w:hAnsi="宋体" w:eastAsia="宋体" w:cs="宋体"/>
                <w:color w:val="auto"/>
                <w:spacing w:val="-11"/>
                <w:kern w:val="0"/>
                <w:sz w:val="21"/>
                <w:szCs w:val="21"/>
                <w:highlight w:val="none"/>
              </w:rPr>
              <w:t>毒事件/木马事件、蠕虫事件、僵尸网络事件、勒索病毒事件、</w:t>
            </w:r>
            <w:r>
              <w:rPr>
                <w:rFonts w:hint="eastAsia" w:ascii="宋体" w:hAnsi="宋体" w:eastAsia="宋体" w:cs="宋体"/>
                <w:color w:val="auto"/>
                <w:kern w:val="0"/>
                <w:sz w:val="21"/>
                <w:szCs w:val="21"/>
                <w:highlight w:val="none"/>
              </w:rPr>
              <w:t>挖矿病毒事件等</w:t>
            </w:r>
            <w:r>
              <w:rPr>
                <w:rFonts w:hint="eastAsia" w:ascii="宋体" w:hAnsi="宋体" w:eastAsia="宋体" w:cs="宋体"/>
                <w:color w:val="auto"/>
                <w:kern w:val="0"/>
                <w:sz w:val="21"/>
                <w:szCs w:val="21"/>
                <w:highlight w:val="none"/>
                <w:lang w:eastAsia="zh-CN"/>
              </w:rPr>
              <w:t>。</w:t>
            </w:r>
          </w:p>
          <w:p>
            <w:pPr>
              <w:pStyle w:val="25"/>
              <w:keepNext w:val="0"/>
              <w:keepLines w:val="0"/>
              <w:pageBreakBefore w:val="0"/>
              <w:widowControl w:val="0"/>
              <w:numPr>
                <w:ilvl w:val="0"/>
                <w:numId w:val="4"/>
              </w:numPr>
              <w:tabs>
                <w:tab w:val="left" w:pos="528"/>
              </w:tabs>
              <w:kinsoku/>
              <w:wordWrap/>
              <w:overflowPunct/>
              <w:topLinePunct w:val="0"/>
              <w:autoSpaceDE/>
              <w:autoSpaceDN/>
              <w:bidi w:val="0"/>
              <w:adjustRightInd w:val="0"/>
              <w:snapToGrid w:val="0"/>
              <w:spacing w:after="0" w:line="240" w:lineRule="auto"/>
              <w:ind w:left="0" w:right="0" w:firstLine="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pacing w:val="-2"/>
                <w:kern w:val="0"/>
                <w:sz w:val="21"/>
                <w:szCs w:val="21"/>
                <w:highlight w:val="none"/>
              </w:rPr>
              <w:t>网络攻击事件</w:t>
            </w:r>
          </w:p>
          <w:p>
            <w:pPr>
              <w:pStyle w:val="25"/>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spacing w:val="-2"/>
                <w:kern w:val="0"/>
                <w:sz w:val="21"/>
                <w:szCs w:val="21"/>
                <w:highlight w:val="none"/>
              </w:rPr>
              <w:t>针对</w:t>
            </w:r>
            <w:r>
              <w:rPr>
                <w:rFonts w:hint="eastAsia" w:ascii="宋体" w:hAnsi="宋体" w:eastAsia="宋体" w:cs="宋体"/>
                <w:color w:val="auto"/>
                <w:spacing w:val="-2"/>
                <w:kern w:val="0"/>
                <w:sz w:val="21"/>
                <w:szCs w:val="21"/>
                <w:highlight w:val="none"/>
                <w:lang w:eastAsia="zh-CN"/>
              </w:rPr>
              <w:t>业主方</w:t>
            </w:r>
            <w:r>
              <w:rPr>
                <w:rFonts w:hint="eastAsia" w:ascii="宋体" w:hAnsi="宋体" w:eastAsia="宋体" w:cs="宋体"/>
                <w:color w:val="auto"/>
                <w:spacing w:val="-2"/>
                <w:kern w:val="0"/>
                <w:sz w:val="21"/>
                <w:szCs w:val="21"/>
                <w:highlight w:val="none"/>
              </w:rPr>
              <w:t>由于信息系统的配置缺陷、协议缺陷、程序缺陷，造成的信息系统异常的安全事件进行应急响应</w:t>
            </w:r>
            <w:r>
              <w:rPr>
                <w:rFonts w:hint="eastAsia" w:ascii="宋体" w:hAnsi="宋体" w:eastAsia="宋体" w:cs="宋体"/>
                <w:color w:val="auto"/>
                <w:spacing w:val="-2"/>
                <w:kern w:val="0"/>
                <w:sz w:val="21"/>
                <w:szCs w:val="21"/>
                <w:highlight w:val="none"/>
                <w:lang w:eastAsia="zh-CN"/>
              </w:rPr>
              <w:t>。</w:t>
            </w:r>
          </w:p>
          <w:p>
            <w:pPr>
              <w:pStyle w:val="25"/>
              <w:keepNext w:val="0"/>
              <w:keepLines w:val="0"/>
              <w:pageBreakBefore w:val="0"/>
              <w:widowControl w:val="0"/>
              <w:numPr>
                <w:ilvl w:val="0"/>
                <w:numId w:val="5"/>
              </w:numPr>
              <w:tabs>
                <w:tab w:val="left" w:pos="528"/>
              </w:tabs>
              <w:kinsoku/>
              <w:wordWrap/>
              <w:overflowPunct/>
              <w:topLinePunct w:val="0"/>
              <w:autoSpaceDE/>
              <w:autoSpaceDN/>
              <w:bidi w:val="0"/>
              <w:adjustRightInd w:val="0"/>
              <w:snapToGrid w:val="0"/>
              <w:spacing w:after="0" w:line="240" w:lineRule="auto"/>
              <w:ind w:left="0" w:right="0" w:firstLine="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pacing w:val="-2"/>
                <w:kern w:val="0"/>
                <w:sz w:val="21"/>
                <w:szCs w:val="21"/>
                <w:highlight w:val="none"/>
              </w:rPr>
              <w:t>信息破坏事件</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color w:val="auto"/>
                <w:spacing w:val="-2"/>
                <w:kern w:val="0"/>
                <w:sz w:val="21"/>
                <w:szCs w:val="21"/>
                <w:highlight w:val="none"/>
              </w:rPr>
              <w:t>针对</w:t>
            </w:r>
            <w:r>
              <w:rPr>
                <w:rFonts w:hint="eastAsia" w:ascii="宋体" w:hAnsi="宋体" w:eastAsia="宋体" w:cs="宋体"/>
                <w:color w:val="auto"/>
                <w:spacing w:val="-2"/>
                <w:kern w:val="0"/>
                <w:sz w:val="21"/>
                <w:szCs w:val="21"/>
                <w:highlight w:val="none"/>
                <w:lang w:eastAsia="zh-CN"/>
              </w:rPr>
              <w:t>业主方</w:t>
            </w:r>
            <w:r>
              <w:rPr>
                <w:rFonts w:hint="eastAsia" w:ascii="宋体" w:hAnsi="宋体" w:eastAsia="宋体" w:cs="宋体"/>
                <w:color w:val="auto"/>
                <w:spacing w:val="-2"/>
                <w:kern w:val="0"/>
                <w:sz w:val="21"/>
                <w:szCs w:val="21"/>
                <w:highlight w:val="none"/>
              </w:rPr>
              <w:t>信息系统中的信息被篡改、假冒、泄漏、窃取等而导致的信息安全事件进行应急响应，包括但不限于系统配置遭篡改、数据库内容篡改、网站内容篡改事件、信息数据泄露事件等</w:t>
            </w:r>
            <w:r>
              <w:rPr>
                <w:rFonts w:hint="eastAsia" w:ascii="宋体" w:hAnsi="宋体" w:eastAsia="宋体" w:cs="宋体"/>
                <w:color w:val="auto"/>
                <w:spacing w:val="-2"/>
                <w:kern w:val="0"/>
                <w:sz w:val="21"/>
                <w:szCs w:val="21"/>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167" w:type="dxa"/>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响应时间要求</w:t>
            </w:r>
          </w:p>
        </w:tc>
        <w:tc>
          <w:tcPr>
            <w:tcW w:w="7365" w:type="dxa"/>
            <w:vAlign w:val="center"/>
          </w:tcPr>
          <w:p>
            <w:pPr>
              <w:pStyle w:val="25"/>
              <w:keepNext w:val="0"/>
              <w:keepLines w:val="0"/>
              <w:pageBreakBefore w:val="0"/>
              <w:widowControl w:val="0"/>
              <w:numPr>
                <w:ilvl w:val="0"/>
                <w:numId w:val="6"/>
              </w:numPr>
              <w:kinsoku/>
              <w:wordWrap/>
              <w:overflowPunct/>
              <w:topLinePunct w:val="0"/>
              <w:autoSpaceDE/>
              <w:autoSpaceDN/>
              <w:bidi w:val="0"/>
              <w:adjustRightInd w:val="0"/>
              <w:snapToGrid w:val="0"/>
              <w:spacing w:line="240" w:lineRule="auto"/>
              <w:ind w:left="0" w:right="0" w:firstLine="0"/>
              <w:jc w:val="both"/>
              <w:textAlignment w:val="auto"/>
              <w:rPr>
                <w:rFonts w:hint="eastAsia" w:ascii="宋体" w:hAnsi="宋体" w:eastAsia="宋体" w:cs="宋体"/>
                <w:color w:val="auto"/>
                <w:spacing w:val="-10"/>
                <w:kern w:val="0"/>
                <w:sz w:val="21"/>
                <w:szCs w:val="21"/>
                <w:highlight w:val="none"/>
                <w:shd w:val="clear" w:color="auto" w:fill="auto"/>
                <w:lang w:eastAsia="zh-CN"/>
              </w:rPr>
            </w:pPr>
            <w:r>
              <w:rPr>
                <w:rFonts w:hint="eastAsia" w:ascii="宋体" w:hAnsi="宋体" w:eastAsia="宋体" w:cs="宋体"/>
                <w:color w:val="auto"/>
                <w:spacing w:val="-4"/>
                <w:kern w:val="0"/>
                <w:sz w:val="21"/>
                <w:szCs w:val="21"/>
                <w:highlight w:val="none"/>
                <w:lang w:eastAsia="zh-CN"/>
              </w:rPr>
              <w:t>投标人</w:t>
            </w:r>
            <w:r>
              <w:rPr>
                <w:rFonts w:hint="eastAsia" w:ascii="宋体" w:hAnsi="宋体" w:eastAsia="宋体" w:cs="宋体"/>
                <w:color w:val="auto"/>
                <w:spacing w:val="-4"/>
                <w:kern w:val="0"/>
                <w:sz w:val="21"/>
                <w:szCs w:val="21"/>
                <w:highlight w:val="none"/>
              </w:rPr>
              <w:t xml:space="preserve">应提供 </w:t>
            </w:r>
            <w:r>
              <w:rPr>
                <w:rFonts w:hint="eastAsia" w:ascii="宋体" w:hAnsi="宋体" w:eastAsia="宋体" w:cs="宋体"/>
                <w:color w:val="auto"/>
                <w:kern w:val="0"/>
                <w:sz w:val="21"/>
                <w:szCs w:val="21"/>
                <w:highlight w:val="none"/>
                <w:lang w:eastAsia="zh-CN"/>
              </w:rPr>
              <w:t>7×</w:t>
            </w:r>
            <w:r>
              <w:rPr>
                <w:rFonts w:hint="eastAsia" w:ascii="宋体" w:hAnsi="宋体" w:eastAsia="宋体" w:cs="宋体"/>
                <w:color w:val="auto"/>
                <w:kern w:val="0"/>
                <w:sz w:val="21"/>
                <w:szCs w:val="21"/>
                <w:highlight w:val="none"/>
              </w:rPr>
              <w:t>24</w:t>
            </w:r>
            <w:r>
              <w:rPr>
                <w:rFonts w:hint="eastAsia" w:ascii="宋体" w:hAnsi="宋体" w:eastAsia="宋体" w:cs="宋体"/>
                <w:color w:val="auto"/>
                <w:spacing w:val="-6"/>
                <w:kern w:val="0"/>
                <w:sz w:val="21"/>
                <w:szCs w:val="21"/>
                <w:highlight w:val="none"/>
              </w:rPr>
              <w:t xml:space="preserve"> 应急响应服务</w:t>
            </w:r>
            <w:r>
              <w:rPr>
                <w:rFonts w:hint="eastAsia" w:ascii="宋体" w:hAnsi="宋体" w:eastAsia="宋体" w:cs="宋体"/>
                <w:color w:val="auto"/>
                <w:spacing w:val="-10"/>
                <w:kern w:val="0"/>
                <w:sz w:val="21"/>
                <w:szCs w:val="21"/>
                <w:highlight w:val="none"/>
                <w:lang w:eastAsia="zh-CN"/>
              </w:rPr>
              <w:t>。要求服务方工程师队伍需要启动紧急响应流程，第一时间调派工程师</w:t>
            </w:r>
            <w:r>
              <w:rPr>
                <w:rFonts w:hint="eastAsia" w:ascii="宋体" w:hAnsi="宋体" w:eastAsia="宋体" w:cs="宋体"/>
                <w:color w:val="auto"/>
                <w:spacing w:val="-10"/>
                <w:kern w:val="0"/>
                <w:sz w:val="21"/>
                <w:szCs w:val="21"/>
                <w:highlight w:val="none"/>
                <w:lang w:val="en-US" w:eastAsia="zh-CN"/>
              </w:rPr>
              <w:t>到达用户</w:t>
            </w:r>
            <w:r>
              <w:rPr>
                <w:rFonts w:hint="eastAsia" w:ascii="宋体" w:hAnsi="宋体" w:eastAsia="宋体" w:cs="宋体"/>
                <w:color w:val="auto"/>
                <w:spacing w:val="-10"/>
                <w:kern w:val="0"/>
                <w:sz w:val="21"/>
                <w:szCs w:val="21"/>
                <w:highlight w:val="none"/>
                <w:lang w:eastAsia="zh-CN"/>
              </w:rPr>
              <w:t>现场，制定解决方案，并协助处理，确保系统尽快恢复正常运行。对于同一故障，紧急响应的服务次数和服务时间不作限制。服务方的技术人员需要跟进到问题</w:t>
            </w:r>
            <w:r>
              <w:rPr>
                <w:rFonts w:hint="eastAsia" w:ascii="宋体" w:hAnsi="宋体" w:eastAsia="宋体" w:cs="宋体"/>
                <w:color w:val="auto"/>
                <w:spacing w:val="-10"/>
                <w:kern w:val="0"/>
                <w:sz w:val="21"/>
                <w:szCs w:val="21"/>
                <w:highlight w:val="none"/>
                <w:shd w:val="clear" w:color="auto" w:fill="auto"/>
                <w:lang w:eastAsia="zh-CN"/>
              </w:rPr>
              <w:t>解决为止。</w:t>
            </w:r>
          </w:p>
          <w:p>
            <w:pPr>
              <w:pStyle w:val="25"/>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both"/>
              <w:textAlignment w:val="auto"/>
              <w:rPr>
                <w:rFonts w:hint="eastAsia" w:ascii="宋体" w:hAnsi="宋体" w:eastAsia="宋体" w:cs="宋体"/>
                <w:color w:val="auto"/>
                <w:kern w:val="0"/>
                <w:sz w:val="21"/>
                <w:szCs w:val="21"/>
                <w:highlight w:val="none"/>
                <w:shd w:val="clear" w:color="auto" w:fill="auto"/>
              </w:rPr>
            </w:pPr>
            <w:r>
              <w:rPr>
                <w:rFonts w:hint="eastAsia" w:ascii="宋体" w:hAnsi="宋体" w:eastAsia="宋体" w:cs="宋体"/>
                <w:color w:val="auto"/>
                <w:spacing w:val="-4"/>
                <w:kern w:val="0"/>
                <w:sz w:val="21"/>
                <w:szCs w:val="21"/>
                <w:highlight w:val="none"/>
                <w:shd w:val="clear" w:color="auto" w:fill="auto"/>
              </w:rPr>
              <w:t>2</w:t>
            </w:r>
            <w:r>
              <w:rPr>
                <w:rFonts w:hint="eastAsia" w:ascii="宋体" w:hAnsi="宋体" w:eastAsia="宋体" w:cs="宋体"/>
                <w:color w:val="auto"/>
                <w:spacing w:val="-6"/>
                <w:kern w:val="0"/>
                <w:sz w:val="21"/>
                <w:szCs w:val="21"/>
                <w:highlight w:val="none"/>
                <w:shd w:val="clear" w:color="auto" w:fill="auto"/>
              </w:rPr>
              <w:t xml:space="preserve">、安全事件要求应急团队须在 </w:t>
            </w:r>
            <w:r>
              <w:rPr>
                <w:rFonts w:hint="eastAsia" w:ascii="宋体" w:hAnsi="宋体" w:eastAsia="宋体" w:cs="宋体"/>
                <w:color w:val="auto"/>
                <w:spacing w:val="-4"/>
                <w:kern w:val="0"/>
                <w:sz w:val="21"/>
                <w:szCs w:val="21"/>
                <w:highlight w:val="none"/>
                <w:shd w:val="clear" w:color="auto" w:fill="auto"/>
              </w:rPr>
              <w:t>5</w:t>
            </w:r>
            <w:r>
              <w:rPr>
                <w:rFonts w:hint="eastAsia" w:ascii="宋体" w:hAnsi="宋体" w:eastAsia="宋体" w:cs="宋体"/>
                <w:color w:val="auto"/>
                <w:spacing w:val="-9"/>
                <w:kern w:val="0"/>
                <w:sz w:val="21"/>
                <w:szCs w:val="21"/>
                <w:highlight w:val="none"/>
                <w:shd w:val="clear" w:color="auto" w:fill="auto"/>
              </w:rPr>
              <w:t xml:space="preserve"> 分钟内，对信息安全事件做</w:t>
            </w:r>
            <w:r>
              <w:rPr>
                <w:rFonts w:hint="eastAsia" w:ascii="宋体" w:hAnsi="宋体" w:eastAsia="宋体" w:cs="宋体"/>
                <w:color w:val="auto"/>
                <w:spacing w:val="-2"/>
                <w:kern w:val="0"/>
                <w:sz w:val="21"/>
                <w:szCs w:val="21"/>
                <w:highlight w:val="none"/>
                <w:shd w:val="clear" w:color="auto" w:fill="auto"/>
              </w:rPr>
              <w:t>出响应，并严格按照</w:t>
            </w:r>
            <w:r>
              <w:rPr>
                <w:rFonts w:hint="eastAsia" w:ascii="宋体" w:hAnsi="宋体" w:eastAsia="宋体" w:cs="宋体"/>
                <w:color w:val="auto"/>
                <w:spacing w:val="-2"/>
                <w:kern w:val="0"/>
                <w:sz w:val="21"/>
                <w:szCs w:val="21"/>
                <w:highlight w:val="none"/>
                <w:shd w:val="clear" w:color="auto" w:fill="auto"/>
                <w:lang w:eastAsia="zh-CN"/>
              </w:rPr>
              <w:t>业主方</w:t>
            </w:r>
            <w:r>
              <w:rPr>
                <w:rFonts w:hint="eastAsia" w:ascii="宋体" w:hAnsi="宋体" w:eastAsia="宋体" w:cs="宋体"/>
                <w:color w:val="auto"/>
                <w:spacing w:val="-2"/>
                <w:kern w:val="0"/>
                <w:sz w:val="21"/>
                <w:szCs w:val="21"/>
                <w:highlight w:val="none"/>
                <w:shd w:val="clear" w:color="auto" w:fill="auto"/>
              </w:rPr>
              <w:t>信息安全等级要求迅速到达现场并解决问题：</w:t>
            </w:r>
          </w:p>
          <w:p>
            <w:pPr>
              <w:pStyle w:val="25"/>
              <w:keepNext w:val="0"/>
              <w:keepLines w:val="0"/>
              <w:pageBreakBefore w:val="0"/>
              <w:widowControl w:val="0"/>
              <w:numPr>
                <w:ilvl w:val="0"/>
                <w:numId w:val="7"/>
              </w:numPr>
              <w:tabs>
                <w:tab w:val="left" w:pos="527"/>
              </w:tabs>
              <w:kinsoku/>
              <w:wordWrap/>
              <w:overflowPunct/>
              <w:topLinePunct w:val="0"/>
              <w:autoSpaceDE/>
              <w:autoSpaceDN/>
              <w:bidi w:val="0"/>
              <w:adjustRightInd w:val="0"/>
              <w:snapToGrid w:val="0"/>
              <w:spacing w:after="0" w:line="240" w:lineRule="auto"/>
              <w:ind w:left="0" w:right="0" w:firstLine="0"/>
              <w:jc w:val="both"/>
              <w:textAlignment w:val="auto"/>
              <w:rPr>
                <w:rFonts w:hint="eastAsia" w:ascii="宋体" w:hAnsi="宋体" w:eastAsia="宋体" w:cs="宋体"/>
                <w:color w:val="auto"/>
                <w:spacing w:val="0"/>
                <w:kern w:val="0"/>
                <w:sz w:val="21"/>
                <w:szCs w:val="21"/>
                <w:highlight w:val="none"/>
                <w:shd w:val="clear" w:color="auto" w:fill="auto"/>
              </w:rPr>
            </w:pPr>
            <w:r>
              <w:rPr>
                <w:rFonts w:hint="eastAsia" w:ascii="宋体" w:hAnsi="宋体" w:eastAsia="宋体" w:cs="宋体"/>
                <w:color w:val="auto"/>
                <w:spacing w:val="0"/>
                <w:kern w:val="0"/>
                <w:sz w:val="21"/>
                <w:szCs w:val="21"/>
                <w:highlight w:val="none"/>
                <w:shd w:val="clear" w:color="auto" w:fill="auto"/>
              </w:rPr>
              <w:t xml:space="preserve">特别重大事件（Ⅰ级），5 分钟作出响应，提供远程 </w:t>
            </w:r>
            <w:r>
              <w:rPr>
                <w:rFonts w:hint="eastAsia" w:ascii="宋体" w:hAnsi="宋体" w:eastAsia="宋体" w:cs="宋体"/>
                <w:color w:val="auto"/>
                <w:spacing w:val="0"/>
                <w:kern w:val="0"/>
                <w:sz w:val="21"/>
                <w:szCs w:val="21"/>
                <w:highlight w:val="none"/>
                <w:shd w:val="clear" w:color="auto" w:fill="auto"/>
                <w:lang w:eastAsia="zh-CN"/>
              </w:rPr>
              <w:t>7×</w:t>
            </w:r>
            <w:r>
              <w:rPr>
                <w:rFonts w:hint="eastAsia" w:ascii="宋体" w:hAnsi="宋体" w:eastAsia="宋体" w:cs="宋体"/>
                <w:color w:val="auto"/>
                <w:spacing w:val="0"/>
                <w:kern w:val="0"/>
                <w:sz w:val="21"/>
                <w:szCs w:val="21"/>
                <w:highlight w:val="none"/>
                <w:shd w:val="clear" w:color="auto" w:fill="auto"/>
              </w:rPr>
              <w:t>24小时响应服务、1 小时到达现场进行应急响应服务</w:t>
            </w:r>
            <w:r>
              <w:rPr>
                <w:rFonts w:hint="eastAsia" w:ascii="宋体" w:hAnsi="宋体" w:eastAsia="宋体" w:cs="宋体"/>
                <w:color w:val="auto"/>
                <w:spacing w:val="0"/>
                <w:kern w:val="0"/>
                <w:sz w:val="21"/>
                <w:szCs w:val="21"/>
                <w:highlight w:val="none"/>
                <w:shd w:val="clear" w:color="auto" w:fill="auto"/>
                <w:lang w:eastAsia="zh-CN"/>
              </w:rPr>
              <w:t>。</w:t>
            </w:r>
          </w:p>
          <w:p>
            <w:pPr>
              <w:pStyle w:val="25"/>
              <w:keepNext w:val="0"/>
              <w:keepLines w:val="0"/>
              <w:pageBreakBefore w:val="0"/>
              <w:widowControl w:val="0"/>
              <w:numPr>
                <w:ilvl w:val="0"/>
                <w:numId w:val="8"/>
              </w:numPr>
              <w:tabs>
                <w:tab w:val="left" w:pos="528"/>
              </w:tabs>
              <w:kinsoku/>
              <w:wordWrap/>
              <w:overflowPunct/>
              <w:topLinePunct w:val="0"/>
              <w:autoSpaceDE/>
              <w:autoSpaceDN/>
              <w:bidi w:val="0"/>
              <w:adjustRightInd w:val="0"/>
              <w:snapToGrid w:val="0"/>
              <w:spacing w:after="0" w:line="240" w:lineRule="auto"/>
              <w:ind w:left="0" w:right="0" w:firstLine="0"/>
              <w:jc w:val="left"/>
              <w:textAlignment w:val="auto"/>
              <w:rPr>
                <w:rFonts w:hint="eastAsia" w:ascii="宋体" w:hAnsi="宋体" w:eastAsia="宋体" w:cs="宋体"/>
                <w:color w:val="auto"/>
                <w:spacing w:val="0"/>
                <w:kern w:val="0"/>
                <w:sz w:val="21"/>
                <w:szCs w:val="21"/>
                <w:highlight w:val="none"/>
                <w:shd w:val="clear" w:color="auto" w:fill="auto"/>
              </w:rPr>
            </w:pPr>
            <w:r>
              <w:rPr>
                <w:rFonts w:hint="eastAsia" w:ascii="宋体" w:hAnsi="宋体" w:eastAsia="宋体" w:cs="宋体"/>
                <w:color w:val="auto"/>
                <w:spacing w:val="0"/>
                <w:kern w:val="0"/>
                <w:sz w:val="21"/>
                <w:szCs w:val="21"/>
                <w:highlight w:val="none"/>
                <w:shd w:val="clear" w:color="auto" w:fill="auto"/>
              </w:rPr>
              <w:t xml:space="preserve">重大事件（Ⅱ级），10 分钟作出响应，提供远程 </w:t>
            </w:r>
            <w:r>
              <w:rPr>
                <w:rFonts w:hint="eastAsia" w:ascii="宋体" w:hAnsi="宋体" w:eastAsia="宋体" w:cs="宋体"/>
                <w:color w:val="auto"/>
                <w:spacing w:val="0"/>
                <w:kern w:val="0"/>
                <w:sz w:val="21"/>
                <w:szCs w:val="21"/>
                <w:highlight w:val="none"/>
                <w:shd w:val="clear" w:color="auto" w:fill="auto"/>
                <w:lang w:eastAsia="zh-CN"/>
              </w:rPr>
              <w:t>7×</w:t>
            </w:r>
            <w:r>
              <w:rPr>
                <w:rFonts w:hint="eastAsia" w:ascii="宋体" w:hAnsi="宋体" w:eastAsia="宋体" w:cs="宋体"/>
                <w:color w:val="auto"/>
                <w:spacing w:val="0"/>
                <w:kern w:val="0"/>
                <w:sz w:val="21"/>
                <w:szCs w:val="21"/>
                <w:highlight w:val="none"/>
                <w:shd w:val="clear" w:color="auto" w:fill="auto"/>
              </w:rPr>
              <w:t>24 小时</w:t>
            </w:r>
            <w:r>
              <w:rPr>
                <w:rFonts w:hint="eastAsia" w:ascii="宋体" w:hAnsi="宋体" w:eastAsia="宋体" w:cs="宋体"/>
                <w:color w:val="auto"/>
                <w:spacing w:val="0"/>
                <w:kern w:val="0"/>
                <w:sz w:val="21"/>
                <w:szCs w:val="21"/>
                <w:highlight w:val="none"/>
                <w:shd w:val="clear" w:color="auto" w:fill="auto"/>
                <w:lang w:val="en-US" w:eastAsia="zh-CN"/>
              </w:rPr>
              <w:t>响应服务</w:t>
            </w:r>
            <w:r>
              <w:rPr>
                <w:rFonts w:hint="eastAsia" w:ascii="宋体" w:hAnsi="宋体" w:eastAsia="宋体" w:cs="宋体"/>
                <w:color w:val="auto"/>
                <w:spacing w:val="0"/>
                <w:kern w:val="0"/>
                <w:sz w:val="21"/>
                <w:szCs w:val="21"/>
                <w:highlight w:val="none"/>
                <w:shd w:val="clear" w:color="auto" w:fill="auto"/>
              </w:rPr>
              <w:t>、2 小时到达现场进行应急响应服务</w:t>
            </w:r>
            <w:r>
              <w:rPr>
                <w:rFonts w:hint="eastAsia" w:ascii="宋体" w:hAnsi="宋体" w:eastAsia="宋体" w:cs="宋体"/>
                <w:color w:val="auto"/>
                <w:spacing w:val="0"/>
                <w:kern w:val="0"/>
                <w:sz w:val="21"/>
                <w:szCs w:val="21"/>
                <w:highlight w:val="none"/>
                <w:shd w:val="clear" w:color="auto" w:fill="auto"/>
                <w:lang w:eastAsia="zh-CN"/>
              </w:rPr>
              <w:t>。</w:t>
            </w:r>
          </w:p>
          <w:p>
            <w:pPr>
              <w:pStyle w:val="25"/>
              <w:keepNext w:val="0"/>
              <w:keepLines w:val="0"/>
              <w:pageBreakBefore w:val="0"/>
              <w:widowControl w:val="0"/>
              <w:numPr>
                <w:ilvl w:val="0"/>
                <w:numId w:val="9"/>
              </w:numPr>
              <w:tabs>
                <w:tab w:val="left" w:pos="528"/>
              </w:tabs>
              <w:kinsoku/>
              <w:wordWrap/>
              <w:overflowPunct/>
              <w:topLinePunct w:val="0"/>
              <w:autoSpaceDE/>
              <w:autoSpaceDN/>
              <w:bidi w:val="0"/>
              <w:adjustRightInd w:val="0"/>
              <w:snapToGrid w:val="0"/>
              <w:spacing w:after="0" w:line="240" w:lineRule="auto"/>
              <w:ind w:left="0" w:right="0" w:firstLine="0"/>
              <w:jc w:val="left"/>
              <w:textAlignment w:val="auto"/>
              <w:rPr>
                <w:rFonts w:hint="eastAsia" w:ascii="宋体" w:hAnsi="宋体" w:eastAsia="宋体" w:cs="宋体"/>
                <w:color w:val="auto"/>
                <w:spacing w:val="0"/>
                <w:kern w:val="0"/>
                <w:sz w:val="21"/>
                <w:szCs w:val="21"/>
                <w:highlight w:val="none"/>
                <w:shd w:val="clear" w:color="auto" w:fill="auto"/>
              </w:rPr>
            </w:pPr>
            <w:r>
              <w:rPr>
                <w:rFonts w:hint="eastAsia" w:ascii="宋体" w:hAnsi="宋体" w:eastAsia="宋体" w:cs="宋体"/>
                <w:color w:val="auto"/>
                <w:spacing w:val="0"/>
                <w:kern w:val="0"/>
                <w:sz w:val="21"/>
                <w:szCs w:val="21"/>
                <w:highlight w:val="none"/>
                <w:shd w:val="clear" w:color="auto" w:fill="auto"/>
              </w:rPr>
              <w:t xml:space="preserve">较大突发事件（Ⅲ级），30 分钟作出响应，提供远程 </w:t>
            </w:r>
            <w:r>
              <w:rPr>
                <w:rFonts w:hint="eastAsia" w:ascii="宋体" w:hAnsi="宋体" w:eastAsia="宋体" w:cs="宋体"/>
                <w:color w:val="auto"/>
                <w:spacing w:val="0"/>
                <w:kern w:val="0"/>
                <w:sz w:val="21"/>
                <w:szCs w:val="21"/>
                <w:highlight w:val="none"/>
                <w:shd w:val="clear" w:color="auto" w:fill="auto"/>
                <w:lang w:eastAsia="zh-CN"/>
              </w:rPr>
              <w:t>7×</w:t>
            </w:r>
            <w:r>
              <w:rPr>
                <w:rFonts w:hint="eastAsia" w:ascii="宋体" w:hAnsi="宋体" w:eastAsia="宋体" w:cs="宋体"/>
                <w:color w:val="auto"/>
                <w:spacing w:val="0"/>
                <w:kern w:val="0"/>
                <w:sz w:val="21"/>
                <w:szCs w:val="21"/>
                <w:highlight w:val="none"/>
                <w:shd w:val="clear" w:color="auto" w:fill="auto"/>
              </w:rPr>
              <w:t>24小时响应服务、4 小时到达现场进行应急响应服务</w:t>
            </w:r>
            <w:r>
              <w:rPr>
                <w:rFonts w:hint="eastAsia" w:ascii="宋体" w:hAnsi="宋体" w:eastAsia="宋体" w:cs="宋体"/>
                <w:color w:val="auto"/>
                <w:spacing w:val="0"/>
                <w:kern w:val="0"/>
                <w:sz w:val="21"/>
                <w:szCs w:val="21"/>
                <w:highlight w:val="none"/>
                <w:shd w:val="clear" w:color="auto" w:fill="auto"/>
                <w:lang w:eastAsia="zh-CN"/>
              </w:rPr>
              <w:t>。</w:t>
            </w:r>
          </w:p>
          <w:p>
            <w:pPr>
              <w:pStyle w:val="25"/>
              <w:keepNext w:val="0"/>
              <w:keepLines w:val="0"/>
              <w:pageBreakBefore w:val="0"/>
              <w:widowControl w:val="0"/>
              <w:numPr>
                <w:ilvl w:val="0"/>
                <w:numId w:val="10"/>
              </w:numPr>
              <w:tabs>
                <w:tab w:val="left" w:pos="528"/>
              </w:tabs>
              <w:kinsoku/>
              <w:wordWrap/>
              <w:overflowPunct/>
              <w:topLinePunct w:val="0"/>
              <w:autoSpaceDE/>
              <w:autoSpaceDN/>
              <w:bidi w:val="0"/>
              <w:adjustRightInd w:val="0"/>
              <w:snapToGrid w:val="0"/>
              <w:spacing w:after="0" w:line="240" w:lineRule="auto"/>
              <w:ind w:left="0" w:right="0" w:firstLine="0"/>
              <w:jc w:val="left"/>
              <w:textAlignment w:val="auto"/>
              <w:rPr>
                <w:rFonts w:hint="eastAsia" w:ascii="宋体" w:hAnsi="宋体" w:eastAsia="宋体" w:cs="宋体"/>
                <w:color w:val="auto"/>
                <w:spacing w:val="0"/>
                <w:kern w:val="0"/>
                <w:sz w:val="21"/>
                <w:szCs w:val="21"/>
                <w:highlight w:val="none"/>
                <w:shd w:val="clear" w:color="auto" w:fill="auto"/>
              </w:rPr>
            </w:pPr>
            <w:r>
              <w:rPr>
                <w:rFonts w:hint="eastAsia" w:ascii="宋体" w:hAnsi="宋体" w:eastAsia="宋体" w:cs="宋体"/>
                <w:color w:val="auto"/>
                <w:spacing w:val="0"/>
                <w:kern w:val="0"/>
                <w:sz w:val="21"/>
                <w:szCs w:val="21"/>
                <w:highlight w:val="none"/>
                <w:shd w:val="clear" w:color="auto" w:fill="auto"/>
              </w:rPr>
              <w:t xml:space="preserve">一般性突发事件（Ⅳ级），30 分钟作出响应，提供远程 </w:t>
            </w:r>
            <w:r>
              <w:rPr>
                <w:rFonts w:hint="eastAsia" w:ascii="宋体" w:hAnsi="宋体" w:eastAsia="宋体" w:cs="宋体"/>
                <w:color w:val="auto"/>
                <w:spacing w:val="0"/>
                <w:kern w:val="0"/>
                <w:sz w:val="21"/>
                <w:szCs w:val="21"/>
                <w:highlight w:val="none"/>
                <w:shd w:val="clear" w:color="auto" w:fill="auto"/>
                <w:lang w:eastAsia="zh-CN"/>
              </w:rPr>
              <w:t>7×</w:t>
            </w:r>
            <w:r>
              <w:rPr>
                <w:rFonts w:hint="eastAsia" w:ascii="宋体" w:hAnsi="宋体" w:eastAsia="宋体" w:cs="宋体"/>
                <w:color w:val="auto"/>
                <w:spacing w:val="0"/>
                <w:kern w:val="0"/>
                <w:sz w:val="21"/>
                <w:szCs w:val="21"/>
                <w:highlight w:val="none"/>
                <w:shd w:val="clear" w:color="auto" w:fill="auto"/>
              </w:rPr>
              <w:t>24小时响应服务、远程无法解决时，在 4 小时到达现场进行应急响应服务</w:t>
            </w:r>
            <w:r>
              <w:rPr>
                <w:rFonts w:hint="eastAsia" w:ascii="宋体" w:hAnsi="宋体" w:eastAsia="宋体" w:cs="宋体"/>
                <w:color w:val="auto"/>
                <w:spacing w:val="0"/>
                <w:kern w:val="0"/>
                <w:sz w:val="21"/>
                <w:szCs w:val="21"/>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color w:val="auto"/>
                <w:spacing w:val="-2"/>
                <w:sz w:val="21"/>
                <w:szCs w:val="21"/>
                <w:highlight w:val="none"/>
                <w:lang w:eastAsia="zh-CN"/>
              </w:rPr>
            </w:pPr>
            <w:r>
              <w:rPr>
                <w:rFonts w:hint="eastAsia" w:ascii="宋体" w:hAnsi="宋体" w:eastAsia="宋体" w:cs="宋体"/>
                <w:color w:val="auto"/>
                <w:spacing w:val="0"/>
                <w:kern w:val="0"/>
                <w:sz w:val="21"/>
                <w:szCs w:val="21"/>
                <w:highlight w:val="none"/>
              </w:rPr>
              <w:t>3、每次故障处理完毕</w:t>
            </w:r>
            <w:r>
              <w:rPr>
                <w:rFonts w:hint="eastAsia" w:ascii="宋体" w:hAnsi="宋体" w:eastAsia="宋体" w:cs="宋体"/>
                <w:color w:val="auto"/>
                <w:spacing w:val="0"/>
                <w:kern w:val="0"/>
                <w:sz w:val="21"/>
                <w:szCs w:val="21"/>
                <w:highlight w:val="none"/>
                <w:lang w:val="en-US" w:eastAsia="zh-CN"/>
              </w:rPr>
              <w:t>3</w:t>
            </w:r>
            <w:r>
              <w:rPr>
                <w:rFonts w:hint="eastAsia" w:ascii="宋体" w:hAnsi="宋体" w:eastAsia="宋体" w:cs="宋体"/>
                <w:color w:val="auto"/>
                <w:spacing w:val="0"/>
                <w:kern w:val="0"/>
                <w:sz w:val="21"/>
                <w:szCs w:val="21"/>
                <w:highlight w:val="none"/>
              </w:rPr>
              <w:t>个工作日内提供详细</w:t>
            </w:r>
            <w:r>
              <w:rPr>
                <w:rFonts w:hint="eastAsia" w:ascii="宋体" w:hAnsi="宋体" w:eastAsia="宋体" w:cs="宋体"/>
                <w:color w:val="auto"/>
                <w:spacing w:val="-2"/>
                <w:kern w:val="0"/>
                <w:sz w:val="21"/>
                <w:szCs w:val="21"/>
                <w:highlight w:val="none"/>
              </w:rPr>
              <w:t>的故障处理报告</w:t>
            </w:r>
            <w:r>
              <w:rPr>
                <w:rFonts w:hint="eastAsia" w:ascii="宋体" w:hAnsi="宋体" w:eastAsia="宋体" w:cs="宋体"/>
                <w:color w:val="auto"/>
                <w:spacing w:val="-2"/>
                <w:kern w:val="0"/>
                <w:sz w:val="21"/>
                <w:szCs w:val="21"/>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167" w:type="dxa"/>
            <w:vAlign w:val="center"/>
          </w:tcPr>
          <w:p>
            <w:pPr>
              <w:pStyle w:val="25"/>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服务频率</w:t>
            </w:r>
          </w:p>
        </w:tc>
        <w:tc>
          <w:tcPr>
            <w:tcW w:w="7365" w:type="dxa"/>
            <w:vAlign w:val="center"/>
          </w:tcPr>
          <w:p>
            <w:pPr>
              <w:pStyle w:val="24"/>
              <w:keepNext w:val="0"/>
              <w:keepLines w:val="0"/>
              <w:pageBreakBefore w:val="0"/>
              <w:widowControl w:val="0"/>
              <w:kinsoku/>
              <w:wordWrap/>
              <w:overflowPunct/>
              <w:topLinePunct w:val="0"/>
              <w:autoSpaceDE/>
              <w:autoSpaceDN/>
              <w:bidi w:val="0"/>
              <w:snapToGrid w:val="0"/>
              <w:spacing w:line="24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按需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167" w:type="dxa"/>
            <w:vAlign w:val="center"/>
          </w:tcPr>
          <w:p>
            <w:pPr>
              <w:pStyle w:val="25"/>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服务交</w:t>
            </w:r>
            <w:r>
              <w:rPr>
                <w:rFonts w:hint="eastAsia" w:ascii="宋体" w:hAnsi="宋体" w:eastAsia="宋体" w:cs="宋体"/>
                <w:color w:val="auto"/>
                <w:spacing w:val="-5"/>
                <w:sz w:val="21"/>
                <w:szCs w:val="21"/>
                <w:highlight w:val="none"/>
              </w:rPr>
              <w:t>付</w:t>
            </w:r>
          </w:p>
        </w:tc>
        <w:tc>
          <w:tcPr>
            <w:tcW w:w="7365" w:type="dxa"/>
            <w:vAlign w:val="center"/>
          </w:tcPr>
          <w:p>
            <w:pPr>
              <w:pStyle w:val="24"/>
              <w:keepNext w:val="0"/>
              <w:keepLines w:val="0"/>
              <w:pageBreakBefore w:val="0"/>
              <w:widowControl w:val="0"/>
              <w:kinsoku/>
              <w:wordWrap/>
              <w:overflowPunct/>
              <w:topLinePunct w:val="0"/>
              <w:autoSpaceDE/>
              <w:autoSpaceDN/>
              <w:bidi w:val="0"/>
              <w:snapToGrid w:val="0"/>
              <w:spacing w:line="24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eastAsia="zh-CN"/>
              </w:rPr>
              <w:t>《XX 系统（事件）应急响应报告》</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firstLine="482" w:firstLineChars="200"/>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5</w:t>
      </w:r>
      <w:r>
        <w:rPr>
          <w:rFonts w:hint="eastAsia" w:ascii="宋体" w:hAnsi="宋体" w:eastAsia="宋体" w:cs="宋体"/>
          <w:b/>
          <w:bCs/>
          <w:color w:val="auto"/>
          <w:sz w:val="24"/>
          <w:szCs w:val="24"/>
          <w:highlight w:val="none"/>
          <w:lang w:val="en-US" w:eastAsia="zh-CN"/>
        </w:rPr>
        <w:t>.网络安全培训服务</w:t>
      </w:r>
    </w:p>
    <w:tbl>
      <w:tblPr>
        <w:tblStyle w:val="17"/>
        <w:tblW w:w="89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9"/>
        <w:gridCol w:w="7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9" w:type="dxa"/>
            <w:vAlign w:val="center"/>
          </w:tcPr>
          <w:p>
            <w:pPr>
              <w:pStyle w:val="2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b/>
                <w:color w:val="auto"/>
                <w:kern w:val="2"/>
                <w:sz w:val="21"/>
                <w:szCs w:val="21"/>
                <w:highlight w:val="none"/>
              </w:rPr>
              <w:t>技术指标</w:t>
            </w:r>
          </w:p>
        </w:tc>
        <w:tc>
          <w:tcPr>
            <w:tcW w:w="7689" w:type="dxa"/>
          </w:tcPr>
          <w:p>
            <w:pPr>
              <w:pStyle w:val="2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b/>
                <w:color w:val="auto"/>
                <w:kern w:val="2"/>
                <w:sz w:val="21"/>
                <w:szCs w:val="21"/>
                <w:highlight w:val="none"/>
              </w:rPr>
              <w:t>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9" w:type="dxa"/>
            <w:vAlign w:val="center"/>
          </w:tcPr>
          <w:p>
            <w:pPr>
              <w:pStyle w:val="2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服务内容</w:t>
            </w:r>
          </w:p>
        </w:tc>
        <w:tc>
          <w:tcPr>
            <w:tcW w:w="7689" w:type="dxa"/>
            <w:vAlign w:val="center"/>
          </w:tcPr>
          <w:p>
            <w:pPr>
              <w:pStyle w:val="2"/>
              <w:keepNext w:val="0"/>
              <w:keepLines w:val="0"/>
              <w:pageBreakBefore w:val="0"/>
              <w:widowControl w:val="0"/>
              <w:kinsoku/>
              <w:wordWrap/>
              <w:overflowPunct/>
              <w:topLinePunct w:val="0"/>
              <w:autoSpaceDE/>
              <w:autoSpaceDN/>
              <w:bidi w:val="0"/>
              <w:adjustRightInd/>
              <w:snapToGrid w:val="0"/>
              <w:spacing w:after="0" w:line="240" w:lineRule="auto"/>
              <w:ind w:left="0" w:leftChars="0" w:firstLine="0" w:firstLineChars="0"/>
              <w:jc w:val="left"/>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bCs w:val="0"/>
                <w:color w:val="auto"/>
                <w:kern w:val="2"/>
                <w:sz w:val="21"/>
                <w:szCs w:val="21"/>
                <w:highlight w:val="none"/>
                <w:lang w:val="en-US" w:eastAsia="zh-CN" w:bidi="ar-SA"/>
              </w:rPr>
              <w:t>根据用户需求开展针对性网络与信息安全培训，提高用户隐私保护、常规攻击防护、信息安全管理等能力，增强用户网络安全防护意识，规避网络攻击风险，补齐短板、夯实基础。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9" w:type="dxa"/>
            <w:vAlign w:val="center"/>
          </w:tcPr>
          <w:p>
            <w:pPr>
              <w:pStyle w:val="2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服务要求</w:t>
            </w:r>
          </w:p>
        </w:tc>
        <w:tc>
          <w:tcPr>
            <w:tcW w:w="768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聘请业内专家讲师为用户</w:t>
            </w:r>
            <w:r>
              <w:rPr>
                <w:rFonts w:hint="eastAsia" w:ascii="宋体" w:hAnsi="宋体" w:eastAsia="宋体" w:cs="宋体"/>
                <w:color w:val="auto"/>
                <w:sz w:val="21"/>
                <w:szCs w:val="21"/>
                <w:highlight w:val="none"/>
                <w:lang w:eastAsia="zh-CN"/>
              </w:rPr>
              <w:t>提供网络安全</w:t>
            </w:r>
            <w:r>
              <w:rPr>
                <w:rFonts w:hint="eastAsia" w:ascii="宋体" w:hAnsi="宋体" w:eastAsia="宋体" w:cs="宋体"/>
                <w:color w:val="auto"/>
                <w:sz w:val="21"/>
                <w:szCs w:val="21"/>
                <w:highlight w:val="none"/>
              </w:rPr>
              <w:t>综合性培训</w:t>
            </w:r>
            <w:r>
              <w:rPr>
                <w:rFonts w:hint="eastAsia" w:ascii="宋体" w:hAnsi="宋体" w:eastAsia="宋体" w:cs="宋体"/>
                <w:color w:val="auto"/>
                <w:sz w:val="21"/>
                <w:szCs w:val="21"/>
                <w:highlight w:val="none"/>
                <w:lang w:eastAsia="zh-CN"/>
              </w:rPr>
              <w:t>。针对</w:t>
            </w:r>
            <w:r>
              <w:rPr>
                <w:rFonts w:hint="eastAsia" w:ascii="宋体" w:hAnsi="宋体" w:eastAsia="宋体" w:cs="宋体"/>
                <w:color w:val="auto"/>
                <w:kern w:val="0"/>
                <w:sz w:val="21"/>
                <w:szCs w:val="21"/>
                <w:highlight w:val="none"/>
              </w:rPr>
              <w:t>管理和技术两个层面制定</w:t>
            </w:r>
            <w:r>
              <w:rPr>
                <w:rFonts w:hint="eastAsia" w:ascii="宋体" w:hAnsi="宋体" w:eastAsia="宋体" w:cs="宋体"/>
                <w:color w:val="auto"/>
                <w:kern w:val="0"/>
                <w:sz w:val="21"/>
                <w:szCs w:val="21"/>
                <w:highlight w:val="none"/>
                <w:lang w:val="en-US" w:eastAsia="zh-CN"/>
              </w:rPr>
              <w:t>网络安全</w:t>
            </w:r>
            <w:r>
              <w:rPr>
                <w:rFonts w:hint="eastAsia" w:ascii="宋体" w:hAnsi="宋体" w:eastAsia="宋体" w:cs="宋体"/>
                <w:color w:val="auto"/>
                <w:kern w:val="0"/>
                <w:sz w:val="21"/>
                <w:szCs w:val="21"/>
                <w:highlight w:val="none"/>
              </w:rPr>
              <w:t>培训计划，通过安全培训使相关人员的安全意识、安全技术能力及安全管理能力有明显提升。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9" w:type="dxa"/>
            <w:vAlign w:val="center"/>
          </w:tcPr>
          <w:p>
            <w:pPr>
              <w:pStyle w:val="2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服务频率</w:t>
            </w:r>
          </w:p>
        </w:tc>
        <w:tc>
          <w:tcPr>
            <w:tcW w:w="768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每年不少于1次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9" w:type="dxa"/>
            <w:vAlign w:val="center"/>
          </w:tcPr>
          <w:p>
            <w:pPr>
              <w:pStyle w:val="2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服务交付</w:t>
            </w:r>
          </w:p>
        </w:tc>
        <w:tc>
          <w:tcPr>
            <w:tcW w:w="7689" w:type="dxa"/>
            <w:vAlign w:val="center"/>
          </w:tcPr>
          <w:p>
            <w:pPr>
              <w:pStyle w:val="24"/>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《网络安全培训课件》</w:t>
            </w:r>
            <w:r>
              <w:rPr>
                <w:rFonts w:hint="eastAsia" w:ascii="宋体" w:hAnsi="宋体" w:eastAsia="宋体" w:cs="宋体"/>
                <w:color w:val="auto"/>
                <w:kern w:val="0"/>
                <w:sz w:val="21"/>
                <w:szCs w:val="21"/>
                <w:highlight w:val="none"/>
                <w:lang w:val="en-US" w:eastAsia="zh-CN"/>
              </w:rPr>
              <w:t>等。</w:t>
            </w:r>
          </w:p>
        </w:tc>
      </w:tr>
    </w:tbl>
    <w:p>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auto"/>
          <w:sz w:val="24"/>
          <w:szCs w:val="24"/>
          <w:highlight w:val="none"/>
        </w:rPr>
      </w:pPr>
    </w:p>
    <w:p>
      <w:pPr>
        <w:pStyle w:val="21"/>
        <w:keepNext w:val="0"/>
        <w:keepLines w:val="0"/>
        <w:pageBreakBefore w:val="0"/>
        <w:kinsoku/>
        <w:wordWrap/>
        <w:overflowPunct/>
        <w:topLinePunct w:val="0"/>
        <w:bidi w:val="0"/>
        <w:snapToGrid/>
        <w:spacing w:beforeLines="50" w:afterLines="50" w:line="480" w:lineRule="exact"/>
        <w:ind w:firstLine="602" w:firstLineChars="200"/>
        <w:jc w:val="both"/>
        <w:outlineLvl w:val="0"/>
        <w:rPr>
          <w:rFonts w:hint="eastAsia" w:ascii="宋体" w:hAnsi="宋体" w:eastAsia="宋体" w:cs="宋体"/>
          <w:b/>
          <w:bCs/>
          <w:color w:val="auto"/>
          <w:sz w:val="30"/>
          <w:szCs w:val="30"/>
          <w:highlight w:val="none"/>
          <w:lang w:val="en-US" w:eastAsia="zh-CN"/>
        </w:rPr>
        <w:sectPr>
          <w:pgSz w:w="11906" w:h="16838"/>
          <w:pgMar w:top="1474" w:right="1587" w:bottom="1474" w:left="1587" w:header="851" w:footer="992" w:gutter="0"/>
          <w:pgNumType w:fmt="decimal"/>
          <w:cols w:space="0" w:num="1"/>
          <w:rtlGutter w:val="0"/>
          <w:docGrid w:type="lines" w:linePitch="312" w:charSpace="0"/>
        </w:sectPr>
      </w:pPr>
    </w:p>
    <w:p>
      <w:pPr>
        <w:pStyle w:val="21"/>
        <w:keepNext w:val="0"/>
        <w:keepLines w:val="0"/>
        <w:pageBreakBefore w:val="0"/>
        <w:kinsoku/>
        <w:wordWrap/>
        <w:overflowPunct/>
        <w:topLinePunct w:val="0"/>
        <w:bidi w:val="0"/>
        <w:snapToGrid/>
        <w:spacing w:beforeLines="50" w:afterLines="50" w:line="480" w:lineRule="exact"/>
        <w:ind w:firstLine="602" w:firstLineChars="200"/>
        <w:jc w:val="both"/>
        <w:outlineLvl w:val="0"/>
        <w:rPr>
          <w:rFonts w:hint="eastAsia" w:ascii="宋体" w:hAnsi="宋体" w:eastAsia="宋体" w:cs="宋体"/>
          <w:b/>
          <w:bCs/>
          <w:color w:val="auto"/>
          <w:sz w:val="30"/>
          <w:szCs w:val="30"/>
          <w:highlight w:val="none"/>
          <w:lang w:val="en-US" w:eastAsia="zh-CN"/>
        </w:rPr>
      </w:pPr>
      <w:r>
        <w:rPr>
          <w:rFonts w:hint="eastAsia" w:ascii="宋体" w:hAnsi="宋体" w:eastAsia="宋体" w:cs="宋体"/>
          <w:b/>
          <w:bCs/>
          <w:color w:val="auto"/>
          <w:sz w:val="30"/>
          <w:szCs w:val="30"/>
          <w:highlight w:val="none"/>
          <w:lang w:val="en-US" w:eastAsia="zh-CN"/>
        </w:rPr>
        <w:t>四、数据库运维服务</w:t>
      </w:r>
    </w:p>
    <w:p>
      <w:pPr>
        <w:widowControl/>
        <w:spacing w:line="360" w:lineRule="auto"/>
        <w:ind w:firstLine="482" w:firstLineChars="200"/>
        <w:textAlignment w:val="center"/>
        <w:outlineLvl w:val="0"/>
        <w:rPr>
          <w:rFonts w:hint="eastAsia" w:ascii="宋体" w:hAnsi="宋体" w:eastAsia="宋体" w:cs="宋体"/>
          <w:b/>
          <w:bCs/>
          <w:snapToGrid w:val="0"/>
          <w:color w:val="auto"/>
          <w:kern w:val="0"/>
          <w:sz w:val="24"/>
          <w:szCs w:val="24"/>
          <w:highlight w:val="none"/>
          <w:lang w:val="en-US" w:eastAsia="zh-CN"/>
        </w:rPr>
      </w:pPr>
      <w:r>
        <w:rPr>
          <w:rFonts w:hint="eastAsia" w:ascii="宋体" w:hAnsi="宋体" w:eastAsia="宋体" w:cs="宋体"/>
          <w:b/>
          <w:bCs/>
          <w:snapToGrid w:val="0"/>
          <w:color w:val="auto"/>
          <w:kern w:val="0"/>
          <w:sz w:val="24"/>
          <w:szCs w:val="24"/>
          <w:highlight w:val="none"/>
          <w:lang w:val="en-US" w:eastAsia="zh-CN"/>
        </w:rPr>
        <w:t>（一）服务内容</w:t>
      </w:r>
    </w:p>
    <w:p>
      <w:pPr>
        <w:keepNext w:val="0"/>
        <w:keepLines w:val="0"/>
        <w:pageBreakBefore w:val="0"/>
        <w:kinsoku/>
        <w:wordWrap/>
        <w:overflowPunct/>
        <w:topLinePunct w:val="0"/>
        <w:autoSpaceDE/>
        <w:autoSpaceDN/>
        <w:bidi w:val="0"/>
        <w:adjustRightInd/>
        <w:snapToGrid/>
        <w:spacing w:line="460" w:lineRule="exact"/>
        <w:ind w:firstLine="480" w:firstLineChars="200"/>
        <w:outlineLvl w:val="9"/>
        <w:rPr>
          <w:rFonts w:hint="eastAsia" w:ascii="宋体" w:hAnsi="宋体" w:eastAsia="宋体" w:cs="宋体"/>
          <w:bCs/>
          <w:color w:val="auto"/>
          <w:sz w:val="24"/>
          <w:highlight w:val="none"/>
          <w:lang w:val="en-US" w:eastAsia="zh-CN"/>
        </w:rPr>
      </w:pPr>
      <w:r>
        <w:rPr>
          <w:rFonts w:hint="eastAsia" w:ascii="宋体" w:hAnsi="宋体" w:eastAsia="宋体" w:cs="宋体"/>
          <w:color w:val="auto"/>
          <w:sz w:val="24"/>
          <w:highlight w:val="none"/>
          <w:lang w:val="en-US" w:eastAsia="zh-CN"/>
        </w:rPr>
        <w:t>运维服务清单如下：</w:t>
      </w:r>
    </w:p>
    <w:tbl>
      <w:tblPr>
        <w:tblStyle w:val="16"/>
        <w:tblW w:w="42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7"/>
        <w:gridCol w:w="4956"/>
        <w:gridCol w:w="1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26" w:type="pct"/>
            <w:shd w:val="clear" w:color="auto" w:fill="auto"/>
            <w:vAlign w:val="center"/>
          </w:tcPr>
          <w:p>
            <w:pPr>
              <w:pStyle w:val="3"/>
              <w:spacing w:after="0" w:line="440" w:lineRule="exact"/>
              <w:jc w:val="center"/>
              <w:rPr>
                <w:rFonts w:hint="eastAsia" w:ascii="宋体" w:hAnsi="宋体" w:eastAsia="宋体" w:cs="宋体"/>
                <w:b/>
                <w:snapToGrid w:val="0"/>
                <w:color w:val="auto"/>
                <w:highlight w:val="none"/>
              </w:rPr>
            </w:pPr>
            <w:r>
              <w:rPr>
                <w:rFonts w:hint="eastAsia" w:ascii="宋体" w:hAnsi="宋体" w:eastAsia="宋体" w:cs="宋体"/>
                <w:b/>
                <w:snapToGrid w:val="0"/>
                <w:color w:val="auto"/>
                <w:highlight w:val="none"/>
              </w:rPr>
              <w:t>序号</w:t>
            </w:r>
          </w:p>
        </w:tc>
        <w:tc>
          <w:tcPr>
            <w:tcW w:w="3274" w:type="pct"/>
            <w:shd w:val="clear" w:color="auto" w:fill="auto"/>
            <w:vAlign w:val="center"/>
          </w:tcPr>
          <w:p>
            <w:pPr>
              <w:pStyle w:val="3"/>
              <w:spacing w:after="0" w:line="440" w:lineRule="exact"/>
              <w:jc w:val="center"/>
              <w:rPr>
                <w:rFonts w:hint="eastAsia" w:ascii="宋体" w:hAnsi="宋体" w:eastAsia="宋体" w:cs="宋体"/>
                <w:b/>
                <w:snapToGrid w:val="0"/>
                <w:color w:val="auto"/>
                <w:highlight w:val="none"/>
                <w:lang w:val="en-US" w:eastAsia="zh-CN"/>
              </w:rPr>
            </w:pPr>
            <w:r>
              <w:rPr>
                <w:rFonts w:hint="eastAsia" w:ascii="宋体" w:hAnsi="宋体" w:eastAsia="宋体" w:cs="宋体"/>
                <w:b/>
                <w:snapToGrid w:val="0"/>
                <w:color w:val="auto"/>
                <w:highlight w:val="none"/>
                <w:lang w:val="en-US" w:eastAsia="zh-CN"/>
              </w:rPr>
              <w:t>服务内容</w:t>
            </w:r>
          </w:p>
        </w:tc>
        <w:tc>
          <w:tcPr>
            <w:tcW w:w="1098" w:type="pct"/>
            <w:shd w:val="clear" w:color="auto" w:fill="auto"/>
            <w:vAlign w:val="center"/>
          </w:tcPr>
          <w:p>
            <w:pPr>
              <w:pStyle w:val="3"/>
              <w:spacing w:after="0" w:line="440" w:lineRule="exact"/>
              <w:jc w:val="center"/>
              <w:rPr>
                <w:rFonts w:hint="eastAsia" w:ascii="宋体" w:hAnsi="宋体" w:eastAsia="宋体" w:cs="宋体"/>
                <w:b/>
                <w:color w:val="auto"/>
                <w:highlight w:val="none"/>
                <w:lang w:val="en-US" w:eastAsia="zh-CN"/>
              </w:rPr>
            </w:pPr>
            <w:r>
              <w:rPr>
                <w:rFonts w:hint="eastAsia" w:ascii="宋体" w:hAnsi="宋体" w:eastAsia="宋体" w:cs="宋体"/>
                <w:b/>
                <w:color w:val="auto"/>
                <w:highlight w:val="none"/>
                <w:lang w:val="en-US"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626" w:type="pct"/>
            <w:shd w:val="clear" w:color="auto" w:fill="auto"/>
            <w:vAlign w:val="center"/>
          </w:tcPr>
          <w:p>
            <w:pPr>
              <w:pStyle w:val="3"/>
              <w:spacing w:after="0"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1</w:t>
            </w:r>
          </w:p>
        </w:tc>
        <w:tc>
          <w:tcPr>
            <w:tcW w:w="3274" w:type="pct"/>
            <w:shd w:val="clear" w:color="auto" w:fill="auto"/>
            <w:vAlign w:val="center"/>
          </w:tcPr>
          <w:p>
            <w:pPr>
              <w:pStyle w:val="3"/>
              <w:spacing w:after="0" w:line="240"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highlight w:val="none"/>
                <w:lang w:val="en-US" w:eastAsia="zh-CN"/>
              </w:rPr>
              <w:t>核心数据库运维</w:t>
            </w:r>
          </w:p>
        </w:tc>
        <w:tc>
          <w:tcPr>
            <w:tcW w:w="1098" w:type="pct"/>
            <w:shd w:val="clear" w:color="auto" w:fill="auto"/>
            <w:vAlign w:val="center"/>
          </w:tcPr>
          <w:p>
            <w:pPr>
              <w:pStyle w:val="3"/>
              <w:spacing w:after="0" w:line="24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626" w:type="pct"/>
            <w:shd w:val="clear" w:color="auto" w:fill="auto"/>
            <w:vAlign w:val="center"/>
          </w:tcPr>
          <w:p>
            <w:pPr>
              <w:pStyle w:val="3"/>
              <w:spacing w:after="0"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2</w:t>
            </w:r>
          </w:p>
        </w:tc>
        <w:tc>
          <w:tcPr>
            <w:tcW w:w="3274" w:type="pct"/>
            <w:shd w:val="clear" w:color="auto" w:fill="auto"/>
            <w:vAlign w:val="center"/>
          </w:tcPr>
          <w:p>
            <w:pPr>
              <w:pStyle w:val="3"/>
              <w:spacing w:after="0" w:line="240"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highlight w:val="none"/>
                <w:lang w:val="en-US" w:eastAsia="zh-CN"/>
              </w:rPr>
              <w:t>数据库可视化运维监控系统运维</w:t>
            </w:r>
          </w:p>
        </w:tc>
        <w:tc>
          <w:tcPr>
            <w:tcW w:w="1098" w:type="pct"/>
            <w:shd w:val="clear" w:color="auto" w:fill="auto"/>
            <w:vAlign w:val="center"/>
          </w:tcPr>
          <w:p>
            <w:pPr>
              <w:pStyle w:val="3"/>
              <w:spacing w:after="0" w:line="240" w:lineRule="auto"/>
              <w:jc w:val="center"/>
              <w:rPr>
                <w:rFonts w:hint="eastAsia" w:ascii="宋体" w:hAnsi="宋体" w:eastAsia="宋体" w:cs="宋体"/>
                <w:color w:val="auto"/>
                <w:highlight w:val="none"/>
                <w:lang w:val="en-US"/>
              </w:rPr>
            </w:pPr>
            <w:r>
              <w:rPr>
                <w:rFonts w:hint="eastAsia" w:ascii="宋体" w:hAnsi="宋体" w:eastAsia="宋体" w:cs="宋体"/>
                <w:color w:val="auto"/>
                <w:highlight w:val="none"/>
                <w:lang w:val="en-US" w:eastAsia="zh-CN"/>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626" w:type="pct"/>
            <w:shd w:val="clear" w:color="auto" w:fill="auto"/>
            <w:vAlign w:val="center"/>
          </w:tcPr>
          <w:p>
            <w:pPr>
              <w:pStyle w:val="3"/>
              <w:spacing w:after="0"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3</w:t>
            </w:r>
          </w:p>
        </w:tc>
        <w:tc>
          <w:tcPr>
            <w:tcW w:w="3274" w:type="pct"/>
            <w:shd w:val="clear" w:color="auto" w:fill="auto"/>
            <w:vAlign w:val="center"/>
          </w:tcPr>
          <w:p>
            <w:pPr>
              <w:pStyle w:val="3"/>
              <w:spacing w:after="0" w:line="240"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highlight w:val="none"/>
                <w:lang w:val="en-US" w:eastAsia="zh-CN"/>
              </w:rPr>
              <w:t>数据库安全审计系统运维</w:t>
            </w:r>
          </w:p>
        </w:tc>
        <w:tc>
          <w:tcPr>
            <w:tcW w:w="1098" w:type="pct"/>
            <w:shd w:val="clear" w:color="auto" w:fill="auto"/>
            <w:vAlign w:val="center"/>
          </w:tcPr>
          <w:p>
            <w:pPr>
              <w:pStyle w:val="3"/>
              <w:spacing w:after="0" w:line="24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626" w:type="pct"/>
            <w:shd w:val="clear" w:color="auto" w:fill="auto"/>
            <w:vAlign w:val="center"/>
          </w:tcPr>
          <w:p>
            <w:pPr>
              <w:pStyle w:val="3"/>
              <w:spacing w:after="0" w:line="440" w:lineRule="exact"/>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w:t>
            </w:r>
          </w:p>
        </w:tc>
        <w:tc>
          <w:tcPr>
            <w:tcW w:w="3274" w:type="pct"/>
            <w:shd w:val="clear" w:color="auto" w:fill="auto"/>
            <w:vAlign w:val="center"/>
          </w:tcPr>
          <w:p>
            <w:pPr>
              <w:pStyle w:val="3"/>
              <w:spacing w:after="0" w:line="240"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highlight w:val="none"/>
                <w:lang w:val="en-US" w:eastAsia="zh-CN"/>
              </w:rPr>
              <w:t>运维一体机软硬件运维</w:t>
            </w:r>
          </w:p>
        </w:tc>
        <w:tc>
          <w:tcPr>
            <w:tcW w:w="1098" w:type="pct"/>
            <w:shd w:val="clear" w:color="auto" w:fill="auto"/>
            <w:vAlign w:val="center"/>
          </w:tcPr>
          <w:p>
            <w:pPr>
              <w:pStyle w:val="3"/>
              <w:spacing w:after="0" w:line="240" w:lineRule="auto"/>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1套</w:t>
            </w:r>
          </w:p>
        </w:tc>
      </w:tr>
    </w:tbl>
    <w:p>
      <w:pPr>
        <w:keepNext w:val="0"/>
        <w:keepLines w:val="0"/>
        <w:pageBreakBefore w:val="0"/>
        <w:widowControl/>
        <w:kinsoku/>
        <w:wordWrap/>
        <w:overflowPunct/>
        <w:topLinePunct w:val="0"/>
        <w:bidi w:val="0"/>
        <w:spacing w:line="312" w:lineRule="auto"/>
        <w:ind w:firstLine="482" w:firstLineChars="200"/>
        <w:textAlignment w:val="center"/>
        <w:outlineLvl w:val="0"/>
        <w:rPr>
          <w:rFonts w:hint="eastAsia" w:ascii="宋体" w:hAnsi="宋体" w:eastAsia="宋体" w:cs="宋体"/>
          <w:b/>
          <w:bCs/>
          <w:snapToGrid w:val="0"/>
          <w:color w:val="auto"/>
          <w:kern w:val="0"/>
          <w:sz w:val="24"/>
          <w:szCs w:val="24"/>
          <w:highlight w:val="none"/>
          <w:lang w:val="en-US" w:eastAsia="zh-CN"/>
        </w:rPr>
      </w:pPr>
      <w:r>
        <w:rPr>
          <w:rFonts w:hint="eastAsia" w:ascii="宋体" w:hAnsi="宋体" w:eastAsia="宋体" w:cs="宋体"/>
          <w:b/>
          <w:bCs/>
          <w:snapToGrid w:val="0"/>
          <w:color w:val="auto"/>
          <w:kern w:val="0"/>
          <w:sz w:val="24"/>
          <w:szCs w:val="24"/>
          <w:highlight w:val="none"/>
          <w:lang w:val="en-US" w:eastAsia="zh-CN"/>
        </w:rPr>
        <w:t>（</w:t>
      </w:r>
      <w:r>
        <w:rPr>
          <w:rFonts w:hint="eastAsia" w:ascii="宋体" w:hAnsi="宋体" w:cs="宋体"/>
          <w:b/>
          <w:bCs/>
          <w:snapToGrid w:val="0"/>
          <w:color w:val="auto"/>
          <w:kern w:val="0"/>
          <w:sz w:val="24"/>
          <w:szCs w:val="24"/>
          <w:highlight w:val="none"/>
          <w:lang w:val="en-US" w:eastAsia="zh-CN"/>
        </w:rPr>
        <w:t>二</w:t>
      </w:r>
      <w:r>
        <w:rPr>
          <w:rFonts w:hint="eastAsia" w:ascii="宋体" w:hAnsi="宋体" w:eastAsia="宋体" w:cs="宋体"/>
          <w:b/>
          <w:bCs/>
          <w:snapToGrid w:val="0"/>
          <w:color w:val="auto"/>
          <w:kern w:val="0"/>
          <w:sz w:val="24"/>
          <w:szCs w:val="24"/>
          <w:highlight w:val="none"/>
          <w:lang w:val="en-US" w:eastAsia="zh-CN"/>
        </w:rPr>
        <w:t>）服务要求</w:t>
      </w:r>
    </w:p>
    <w:p>
      <w:pPr>
        <w:keepNext w:val="0"/>
        <w:keepLines w:val="0"/>
        <w:pageBreakBefore w:val="0"/>
        <w:kinsoku/>
        <w:wordWrap/>
        <w:overflowPunct/>
        <w:topLinePunct w:val="0"/>
        <w:bidi w:val="0"/>
        <w:spacing w:beforeAutospacing="0" w:afterAutospacing="0" w:line="312" w:lineRule="auto"/>
        <w:ind w:firstLine="420"/>
        <w:outlineLvl w:val="1"/>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预防性巡检</w:t>
      </w:r>
      <w:r>
        <w:rPr>
          <w:rFonts w:hint="eastAsia" w:ascii="宋体" w:hAnsi="宋体" w:eastAsia="宋体" w:cs="宋体"/>
          <w:bCs/>
          <w:color w:val="auto"/>
          <w:sz w:val="24"/>
          <w:szCs w:val="24"/>
          <w:highlight w:val="none"/>
          <w:lang w:val="en-US" w:eastAsia="zh-CN"/>
        </w:rPr>
        <w:t>服务</w:t>
      </w:r>
    </w:p>
    <w:p>
      <w:pPr>
        <w:keepNext w:val="0"/>
        <w:keepLines w:val="0"/>
        <w:pageBreakBefore w:val="0"/>
        <w:kinsoku/>
        <w:wordWrap/>
        <w:overflowPunct/>
        <w:topLinePunct w:val="0"/>
        <w:bidi w:val="0"/>
        <w:spacing w:beforeAutospacing="0" w:afterAutospacing="0" w:line="312" w:lineRule="auto"/>
        <w:ind w:firstLine="42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定期提供全面巡检服务，巡检范围为运维服务清单内所有运维硬件及软件，及时发现各种隐患，并做出相应处理。要求每季度提供不少于1次的上门巡检和维护服务，出具详细的巡检报告，并给出优化解决方案。</w:t>
      </w:r>
    </w:p>
    <w:p>
      <w:pPr>
        <w:keepNext w:val="0"/>
        <w:keepLines w:val="0"/>
        <w:pageBreakBefore w:val="0"/>
        <w:kinsoku/>
        <w:wordWrap/>
        <w:overflowPunct/>
        <w:topLinePunct w:val="0"/>
        <w:bidi w:val="0"/>
        <w:spacing w:beforeAutospacing="0" w:afterAutospacing="0" w:line="312" w:lineRule="auto"/>
        <w:ind w:firstLine="42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运维服务期内提供美创数据库可视化运维监控系统、美创数据库安全审计系统和运维一体机软硬件(硬件：OKPT-G300、软件：美创自动化运维平台)原厂运维升级服务(2025年8月10日-2026年12月31日），涉及到的费用由中标方承担。</w:t>
      </w:r>
    </w:p>
    <w:p>
      <w:pPr>
        <w:keepNext w:val="0"/>
        <w:keepLines w:val="0"/>
        <w:pageBreakBefore w:val="0"/>
        <w:kinsoku/>
        <w:wordWrap/>
        <w:overflowPunct/>
        <w:topLinePunct w:val="0"/>
        <w:bidi w:val="0"/>
        <w:spacing w:beforeAutospacing="0" w:afterAutospacing="0" w:line="312" w:lineRule="auto"/>
        <w:ind w:firstLine="420"/>
        <w:outlineLvl w:val="1"/>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2.灾难性故障紧急服务</w:t>
      </w:r>
    </w:p>
    <w:p>
      <w:pPr>
        <w:keepNext w:val="0"/>
        <w:keepLines w:val="0"/>
        <w:pageBreakBefore w:val="0"/>
        <w:kinsoku/>
        <w:wordWrap/>
        <w:overflowPunct/>
        <w:topLinePunct w:val="0"/>
        <w:bidi w:val="0"/>
        <w:spacing w:beforeAutospacing="0" w:afterAutospacing="0" w:line="312" w:lineRule="auto"/>
        <w:ind w:firstLine="42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在整个服务期内，如果发生对业务产生重大影响的数据库层面问题，要求服务方工程师队伍需要启动紧急</w:t>
      </w:r>
      <w:r>
        <w:rPr>
          <w:rFonts w:hint="eastAsia" w:ascii="宋体" w:hAnsi="宋体" w:cs="宋体"/>
          <w:bCs/>
          <w:color w:val="auto"/>
          <w:sz w:val="24"/>
          <w:szCs w:val="24"/>
          <w:highlight w:val="none"/>
          <w:lang w:val="en-US" w:eastAsia="zh-CN"/>
        </w:rPr>
        <w:t>响应</w:t>
      </w:r>
      <w:r>
        <w:rPr>
          <w:rFonts w:hint="eastAsia" w:ascii="宋体" w:hAnsi="宋体" w:eastAsia="宋体" w:cs="宋体"/>
          <w:bCs/>
          <w:color w:val="auto"/>
          <w:sz w:val="24"/>
          <w:szCs w:val="24"/>
          <w:highlight w:val="none"/>
          <w:lang w:val="en-US" w:eastAsia="zh-CN"/>
        </w:rPr>
        <w:t>流程，第一时间调派工程师到达用户现场，确保系</w:t>
      </w:r>
      <w:r>
        <w:rPr>
          <w:rFonts w:hint="eastAsia" w:ascii="宋体" w:hAnsi="宋体" w:eastAsia="宋体" w:cs="宋体"/>
          <w:bCs/>
          <w:color w:val="auto"/>
          <w:sz w:val="24"/>
          <w:szCs w:val="24"/>
          <w:highlight w:val="none"/>
        </w:rPr>
        <w:t>统尽快恢复。对于同一故障，紧急响应的服务次数和服务时间不作限制。服务方的技术人员需要跟进到问题解决为止</w:t>
      </w:r>
      <w:r>
        <w:rPr>
          <w:rFonts w:hint="eastAsia" w:ascii="宋体" w:hAnsi="宋体" w:eastAsia="宋体" w:cs="宋体"/>
          <w:bCs/>
          <w:color w:val="auto"/>
          <w:sz w:val="24"/>
          <w:szCs w:val="24"/>
          <w:highlight w:val="none"/>
          <w:lang w:eastAsia="zh-CN"/>
        </w:rPr>
        <w:t>。</w:t>
      </w:r>
    </w:p>
    <w:p>
      <w:pPr>
        <w:keepNext w:val="0"/>
        <w:keepLines w:val="0"/>
        <w:pageBreakBefore w:val="0"/>
        <w:kinsoku/>
        <w:wordWrap/>
        <w:overflowPunct/>
        <w:topLinePunct w:val="0"/>
        <w:bidi w:val="0"/>
        <w:spacing w:line="312"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当技术或</w:t>
      </w:r>
      <w:r>
        <w:rPr>
          <w:rFonts w:hint="eastAsia" w:ascii="宋体" w:hAnsi="宋体" w:eastAsia="宋体" w:cs="宋体"/>
          <w:bCs/>
          <w:color w:val="auto"/>
          <w:sz w:val="24"/>
          <w:szCs w:val="24"/>
          <w:highlight w:val="none"/>
          <w:lang w:val="en-US" w:eastAsia="zh-CN"/>
        </w:rPr>
        <w:t>设备</w:t>
      </w:r>
      <w:r>
        <w:rPr>
          <w:rFonts w:hint="eastAsia" w:ascii="宋体" w:hAnsi="宋体" w:eastAsia="宋体" w:cs="宋体"/>
          <w:bCs/>
          <w:color w:val="auto"/>
          <w:sz w:val="24"/>
          <w:szCs w:val="24"/>
          <w:highlight w:val="none"/>
        </w:rPr>
        <w:t>能力不能满足</w:t>
      </w:r>
      <w:r>
        <w:rPr>
          <w:rFonts w:hint="eastAsia" w:ascii="宋体" w:hAnsi="宋体" w:eastAsia="宋体" w:cs="宋体"/>
          <w:bCs/>
          <w:color w:val="auto"/>
          <w:sz w:val="24"/>
          <w:szCs w:val="24"/>
          <w:highlight w:val="none"/>
          <w:lang w:eastAsia="zh-CN"/>
        </w:rPr>
        <w:t>业主方</w:t>
      </w:r>
      <w:r>
        <w:rPr>
          <w:rFonts w:hint="eastAsia" w:ascii="宋体" w:hAnsi="宋体" w:eastAsia="宋体" w:cs="宋体"/>
          <w:bCs/>
          <w:color w:val="auto"/>
          <w:sz w:val="24"/>
          <w:szCs w:val="24"/>
          <w:highlight w:val="none"/>
        </w:rPr>
        <w:t>维保需要，对关键性问题若</w:t>
      </w: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rPr>
        <w:t>小时内无法修复或对一般问题</w:t>
      </w:r>
      <w:r>
        <w:rPr>
          <w:rFonts w:hint="eastAsia" w:ascii="宋体" w:hAnsi="宋体" w:eastAsia="宋体" w:cs="宋体"/>
          <w:bCs/>
          <w:color w:val="auto"/>
          <w:sz w:val="24"/>
          <w:szCs w:val="24"/>
          <w:highlight w:val="none"/>
          <w:lang w:val="en-US" w:eastAsia="zh-CN"/>
        </w:rPr>
        <w:t>12</w:t>
      </w:r>
      <w:r>
        <w:rPr>
          <w:rFonts w:hint="eastAsia" w:ascii="宋体" w:hAnsi="宋体" w:eastAsia="宋体" w:cs="宋体"/>
          <w:bCs/>
          <w:color w:val="auto"/>
          <w:sz w:val="24"/>
          <w:szCs w:val="24"/>
          <w:highlight w:val="none"/>
        </w:rPr>
        <w:t>小时内无法修复的，</w:t>
      </w:r>
      <w:r>
        <w:rPr>
          <w:rFonts w:hint="eastAsia" w:ascii="宋体" w:hAnsi="宋体" w:eastAsia="宋体" w:cs="宋体"/>
          <w:bCs/>
          <w:color w:val="auto"/>
          <w:sz w:val="24"/>
          <w:szCs w:val="24"/>
          <w:highlight w:val="none"/>
          <w:lang w:eastAsia="zh-CN"/>
        </w:rPr>
        <w:t>业主方</w:t>
      </w:r>
      <w:r>
        <w:rPr>
          <w:rFonts w:hint="eastAsia" w:ascii="宋体" w:hAnsi="宋体" w:eastAsia="宋体" w:cs="宋体"/>
          <w:bCs/>
          <w:color w:val="auto"/>
          <w:sz w:val="24"/>
          <w:szCs w:val="24"/>
          <w:highlight w:val="none"/>
        </w:rPr>
        <w:t>有权请任何第三方公司进行维保，由此产生的一切费用，由中标方承担。</w:t>
      </w:r>
    </w:p>
    <w:p>
      <w:pPr>
        <w:keepNext w:val="0"/>
        <w:keepLines w:val="0"/>
        <w:pageBreakBefore w:val="0"/>
        <w:kinsoku/>
        <w:wordWrap/>
        <w:overflowPunct/>
        <w:topLinePunct w:val="0"/>
        <w:bidi w:val="0"/>
        <w:spacing w:beforeAutospacing="0" w:afterAutospacing="0" w:line="312" w:lineRule="auto"/>
        <w:ind w:firstLine="420"/>
        <w:outlineLvl w:val="1"/>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3.数据灾难挽救服务</w:t>
      </w:r>
    </w:p>
    <w:p>
      <w:pPr>
        <w:keepNext w:val="0"/>
        <w:keepLines w:val="0"/>
        <w:pageBreakBefore w:val="0"/>
        <w:kinsoku/>
        <w:wordWrap/>
        <w:overflowPunct/>
        <w:topLinePunct w:val="0"/>
        <w:bidi w:val="0"/>
        <w:spacing w:beforeAutospacing="0" w:afterAutospacing="0" w:line="312" w:lineRule="auto"/>
        <w:ind w:firstLine="42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在极端情况下，如备份丢失或者备份比较久远，需服务方专业技术人</w:t>
      </w:r>
      <w:r>
        <w:rPr>
          <w:rFonts w:hint="eastAsia" w:ascii="宋体" w:hAnsi="宋体" w:cs="宋体"/>
          <w:bCs/>
          <w:color w:val="auto"/>
          <w:sz w:val="24"/>
          <w:szCs w:val="24"/>
          <w:highlight w:val="none"/>
          <w:lang w:val="en-US" w:eastAsia="zh-CN"/>
        </w:rPr>
        <w:t>员最</w:t>
      </w:r>
      <w:r>
        <w:rPr>
          <w:rFonts w:hint="eastAsia" w:ascii="宋体" w:hAnsi="宋体" w:eastAsia="宋体" w:cs="宋体"/>
          <w:bCs/>
          <w:color w:val="auto"/>
          <w:sz w:val="24"/>
          <w:szCs w:val="24"/>
          <w:highlight w:val="none"/>
          <w:lang w:val="en-US" w:eastAsia="zh-CN"/>
        </w:rPr>
        <w:t>大限度找回需要的数据，降低数据丢失损失。</w:t>
      </w:r>
    </w:p>
    <w:p>
      <w:pPr>
        <w:keepNext w:val="0"/>
        <w:keepLines w:val="0"/>
        <w:pageBreakBefore w:val="0"/>
        <w:kinsoku/>
        <w:wordWrap/>
        <w:overflowPunct/>
        <w:topLinePunct w:val="0"/>
        <w:bidi w:val="0"/>
        <w:spacing w:beforeAutospacing="0" w:afterAutospacing="0" w:line="312" w:lineRule="auto"/>
        <w:ind w:firstLine="42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除利用数据库自身具备以及用户提供的各种技术实现数据灾难挽救外，同时还能提供一个自行开发的数据挖掘工具，该工具能支持在数据库无法打开的情形下，实现数据最大可能的IO读取，获取数据表格。</w:t>
      </w:r>
    </w:p>
    <w:p>
      <w:pPr>
        <w:keepNext w:val="0"/>
        <w:keepLines w:val="0"/>
        <w:pageBreakBefore w:val="0"/>
        <w:kinsoku/>
        <w:wordWrap/>
        <w:overflowPunct/>
        <w:topLinePunct w:val="0"/>
        <w:bidi w:val="0"/>
        <w:spacing w:beforeAutospacing="0" w:afterAutospacing="0" w:line="312" w:lineRule="auto"/>
        <w:ind w:firstLine="420"/>
        <w:outlineLvl w:val="1"/>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4.数据库性能优化服务</w:t>
      </w:r>
    </w:p>
    <w:p>
      <w:pPr>
        <w:keepNext w:val="0"/>
        <w:keepLines w:val="0"/>
        <w:pageBreakBefore w:val="0"/>
        <w:kinsoku/>
        <w:wordWrap/>
        <w:overflowPunct/>
        <w:topLinePunct w:val="0"/>
        <w:bidi w:val="0"/>
        <w:spacing w:line="312" w:lineRule="auto"/>
        <w:ind w:firstLine="480" w:firstLineChars="200"/>
        <w:rPr>
          <w:rFonts w:hint="eastAsia" w:ascii="宋体" w:hAnsi="宋体" w:eastAsia="宋体" w:cs="宋体"/>
          <w:b w:val="0"/>
          <w:bCs/>
          <w:color w:val="auto"/>
          <w:sz w:val="24"/>
          <w:szCs w:val="24"/>
          <w:highlight w:val="none"/>
          <w:lang w:eastAsia="zh-CN"/>
        </w:rPr>
      </w:pPr>
      <w:r>
        <w:rPr>
          <w:rFonts w:hint="eastAsia" w:ascii="宋体" w:hAnsi="宋体" w:eastAsia="宋体" w:cs="宋体"/>
          <w:bCs/>
          <w:color w:val="auto"/>
          <w:sz w:val="24"/>
          <w:szCs w:val="24"/>
          <w:highlight w:val="none"/>
          <w:lang w:val="en-US" w:eastAsia="zh-CN"/>
        </w:rPr>
        <w:t>系统运行情况与应用业务紧密相关，系统运行效率直接影响到应用业务的处理能力和前台应用的体验。运维人员应根据对目标系统的了解和检查情况，结合实际应用系统及主机网络运行环境，制定数据库性能调优方案，对数据库提供性</w:t>
      </w:r>
      <w:r>
        <w:rPr>
          <w:rFonts w:hint="eastAsia" w:ascii="宋体" w:hAnsi="宋体" w:eastAsia="宋体" w:cs="宋体"/>
          <w:b w:val="0"/>
          <w:bCs/>
          <w:color w:val="auto"/>
          <w:sz w:val="24"/>
          <w:szCs w:val="24"/>
          <w:highlight w:val="none"/>
        </w:rPr>
        <w:t>能评测、瓶颈分析、优化提升建议，并与</w:t>
      </w:r>
      <w:r>
        <w:rPr>
          <w:rFonts w:hint="eastAsia" w:ascii="宋体" w:hAnsi="宋体" w:eastAsia="宋体" w:cs="宋体"/>
          <w:b w:val="0"/>
          <w:bCs/>
          <w:color w:val="auto"/>
          <w:sz w:val="24"/>
          <w:szCs w:val="24"/>
          <w:highlight w:val="none"/>
          <w:lang w:eastAsia="zh-CN"/>
        </w:rPr>
        <w:t>系统</w:t>
      </w:r>
      <w:r>
        <w:rPr>
          <w:rFonts w:hint="eastAsia" w:ascii="宋体" w:hAnsi="宋体" w:eastAsia="宋体" w:cs="宋体"/>
          <w:b w:val="0"/>
          <w:bCs/>
          <w:color w:val="auto"/>
          <w:sz w:val="24"/>
          <w:szCs w:val="24"/>
          <w:highlight w:val="none"/>
        </w:rPr>
        <w:t>开发商一起协同配合，解决系统中的性能重疾与隐患。</w:t>
      </w:r>
      <w:r>
        <w:rPr>
          <w:rFonts w:hint="eastAsia" w:ascii="宋体" w:hAnsi="宋体" w:cs="宋体"/>
          <w:b w:val="0"/>
          <w:bCs/>
          <w:color w:val="auto"/>
          <w:sz w:val="24"/>
          <w:szCs w:val="24"/>
          <w:highlight w:val="none"/>
          <w:lang w:eastAsia="zh-CN"/>
        </w:rPr>
        <w:t>每年</w:t>
      </w:r>
      <w:r>
        <w:rPr>
          <w:rFonts w:hint="eastAsia" w:ascii="宋体" w:hAnsi="宋体" w:eastAsia="宋体" w:cs="宋体"/>
          <w:b w:val="0"/>
          <w:bCs/>
          <w:color w:val="auto"/>
          <w:sz w:val="24"/>
          <w:szCs w:val="24"/>
          <w:highlight w:val="none"/>
        </w:rPr>
        <w:t>提供</w:t>
      </w:r>
      <w:r>
        <w:rPr>
          <w:rFonts w:hint="eastAsia" w:ascii="宋体" w:hAnsi="宋体" w:eastAsia="宋体" w:cs="宋体"/>
          <w:b w:val="0"/>
          <w:bCs/>
          <w:color w:val="auto"/>
          <w:sz w:val="24"/>
          <w:szCs w:val="24"/>
          <w:highlight w:val="none"/>
          <w:lang w:val="en-US" w:eastAsia="zh-CN"/>
        </w:rPr>
        <w:t>不少于</w:t>
      </w:r>
      <w:r>
        <w:rPr>
          <w:rFonts w:hint="eastAsia" w:ascii="宋体" w:hAnsi="宋体" w:eastAsia="宋体" w:cs="宋体"/>
          <w:b w:val="0"/>
          <w:bCs/>
          <w:color w:val="auto"/>
          <w:sz w:val="24"/>
          <w:szCs w:val="24"/>
          <w:highlight w:val="none"/>
        </w:rPr>
        <w:t>1</w:t>
      </w:r>
      <w:r>
        <w:rPr>
          <w:rFonts w:hint="eastAsia" w:ascii="宋体" w:hAnsi="宋体" w:eastAsia="宋体" w:cs="宋体"/>
          <w:b w:val="0"/>
          <w:bCs/>
          <w:color w:val="auto"/>
          <w:sz w:val="24"/>
          <w:szCs w:val="24"/>
          <w:highlight w:val="none"/>
          <w:lang w:val="en-US" w:eastAsia="zh-CN"/>
        </w:rPr>
        <w:t>次</w:t>
      </w:r>
      <w:r>
        <w:rPr>
          <w:rFonts w:hint="eastAsia" w:ascii="宋体" w:hAnsi="宋体" w:eastAsia="宋体" w:cs="宋体"/>
          <w:b w:val="0"/>
          <w:bCs/>
          <w:color w:val="auto"/>
          <w:sz w:val="24"/>
          <w:szCs w:val="24"/>
          <w:highlight w:val="none"/>
        </w:rPr>
        <w:t>的数据库性能优化服务。</w:t>
      </w:r>
    </w:p>
    <w:p>
      <w:pPr>
        <w:keepNext w:val="0"/>
        <w:keepLines w:val="0"/>
        <w:pageBreakBefore w:val="0"/>
        <w:kinsoku/>
        <w:wordWrap/>
        <w:overflowPunct/>
        <w:topLinePunct w:val="0"/>
        <w:bidi w:val="0"/>
        <w:spacing w:beforeAutospacing="0" w:afterAutospacing="0" w:line="312" w:lineRule="auto"/>
        <w:ind w:firstLine="420"/>
        <w:outlineLvl w:val="1"/>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5.数据库安装升级迁移服务</w:t>
      </w:r>
    </w:p>
    <w:p>
      <w:pPr>
        <w:keepNext w:val="0"/>
        <w:keepLines w:val="0"/>
        <w:pageBreakBefore w:val="0"/>
        <w:kinsoku/>
        <w:wordWrap/>
        <w:overflowPunct/>
        <w:topLinePunct w:val="0"/>
        <w:bidi w:val="0"/>
        <w:spacing w:beforeAutospacing="0" w:afterAutospacing="0" w:line="312" w:lineRule="auto"/>
        <w:ind w:firstLine="42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根据业主方的实际情况，制定数据库安装、升级、迁移实施工作计划，并配合用户进行实施工作。</w:t>
      </w:r>
    </w:p>
    <w:p>
      <w:pPr>
        <w:keepNext w:val="0"/>
        <w:keepLines w:val="0"/>
        <w:pageBreakBefore w:val="0"/>
        <w:kinsoku/>
        <w:wordWrap/>
        <w:overflowPunct/>
        <w:topLinePunct w:val="0"/>
        <w:bidi w:val="0"/>
        <w:spacing w:beforeAutospacing="0" w:afterAutospacing="0" w:line="312" w:lineRule="auto"/>
        <w:ind w:firstLine="420"/>
        <w:outlineLvl w:val="1"/>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6.数据库备份恢复演练服务</w:t>
      </w:r>
    </w:p>
    <w:p>
      <w:pPr>
        <w:keepNext w:val="0"/>
        <w:keepLines w:val="0"/>
        <w:pageBreakBefore w:val="0"/>
        <w:kinsoku/>
        <w:wordWrap/>
        <w:overflowPunct/>
        <w:topLinePunct w:val="0"/>
        <w:bidi w:val="0"/>
        <w:spacing w:beforeAutospacing="0" w:afterAutospacing="0" w:line="312"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根据实际应用角度出发，根据硬件环境，应用类型进行分析，推荐多种数据库备份策略以及实施，为</w:t>
      </w:r>
      <w:r>
        <w:rPr>
          <w:rFonts w:hint="eastAsia" w:ascii="宋体" w:hAnsi="宋体" w:eastAsia="宋体" w:cs="宋体"/>
          <w:bCs/>
          <w:color w:val="auto"/>
          <w:sz w:val="24"/>
          <w:szCs w:val="24"/>
          <w:highlight w:val="none"/>
          <w:lang w:eastAsia="zh-CN"/>
        </w:rPr>
        <w:t>业主方</w:t>
      </w:r>
      <w:r>
        <w:rPr>
          <w:rFonts w:hint="eastAsia" w:ascii="宋体" w:hAnsi="宋体" w:eastAsia="宋体" w:cs="宋体"/>
          <w:bCs/>
          <w:color w:val="auto"/>
          <w:sz w:val="24"/>
          <w:szCs w:val="24"/>
          <w:highlight w:val="none"/>
        </w:rPr>
        <w:t>系统数据库提供最安全可靠的备份服务，同时为了备份的有效性，定期对备份进行模拟恢复的操作以验证备份的有效性时效性，确保在紧急情况</w:t>
      </w:r>
      <w:r>
        <w:rPr>
          <w:rFonts w:hint="default" w:ascii="宋体" w:hAnsi="宋体" w:eastAsia="宋体" w:cs="宋体"/>
          <w:bCs/>
          <w:color w:val="auto"/>
          <w:sz w:val="24"/>
          <w:szCs w:val="24"/>
          <w:highlight w:val="none"/>
          <w:lang w:val="en-US"/>
        </w:rPr>
        <w:t>在</w:t>
      </w:r>
      <w:r>
        <w:rPr>
          <w:rFonts w:hint="eastAsia" w:ascii="宋体" w:hAnsi="宋体" w:eastAsia="宋体" w:cs="宋体"/>
          <w:bCs/>
          <w:color w:val="auto"/>
          <w:sz w:val="24"/>
          <w:szCs w:val="24"/>
          <w:highlight w:val="none"/>
        </w:rPr>
        <w:t>最快的时间内恢复数据保证生产数据库的运行。</w:t>
      </w:r>
      <w:r>
        <w:rPr>
          <w:rFonts w:hint="eastAsia" w:ascii="宋体" w:hAnsi="宋体" w:cs="宋体"/>
          <w:bCs/>
          <w:color w:val="auto"/>
          <w:sz w:val="24"/>
          <w:szCs w:val="24"/>
          <w:highlight w:val="none"/>
          <w:lang w:eastAsia="zh-CN"/>
        </w:rPr>
        <w:t>每年</w:t>
      </w:r>
      <w:r>
        <w:rPr>
          <w:rFonts w:hint="eastAsia" w:ascii="宋体" w:hAnsi="宋体" w:eastAsia="宋体" w:cs="宋体"/>
          <w:bCs/>
          <w:color w:val="auto"/>
          <w:sz w:val="24"/>
          <w:szCs w:val="24"/>
          <w:highlight w:val="none"/>
        </w:rPr>
        <w:t>提供不少于1次的备份恢复测试演练服务和容灾演练服务。</w:t>
      </w:r>
    </w:p>
    <w:p>
      <w:pPr>
        <w:keepNext w:val="0"/>
        <w:keepLines w:val="0"/>
        <w:pageBreakBefore w:val="0"/>
        <w:kinsoku/>
        <w:wordWrap/>
        <w:overflowPunct/>
        <w:topLinePunct w:val="0"/>
        <w:bidi w:val="0"/>
        <w:spacing w:beforeAutospacing="0" w:afterAutospacing="0" w:line="312" w:lineRule="auto"/>
        <w:ind w:firstLine="420"/>
        <w:outlineLvl w:val="1"/>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7.技术培训及咨询服务</w:t>
      </w:r>
    </w:p>
    <w:p>
      <w:pPr>
        <w:keepNext w:val="0"/>
        <w:keepLines w:val="0"/>
        <w:pageBreakBefore w:val="0"/>
        <w:kinsoku/>
        <w:wordWrap/>
        <w:overflowPunct/>
        <w:topLinePunct w:val="0"/>
        <w:bidi w:val="0"/>
        <w:spacing w:beforeAutospacing="0" w:afterAutospacing="0" w:line="312" w:lineRule="auto"/>
        <w:ind w:firstLine="42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提供技术培训服务，帮助用户提高技术水平和解决常见故障的能力。为业主方数据库的运行、数据安全建设等提供技术咨询，</w:t>
      </w:r>
      <w:r>
        <w:rPr>
          <w:rFonts w:hint="eastAsia" w:ascii="宋体" w:hAnsi="宋体" w:eastAsia="宋体" w:cs="宋体"/>
          <w:color w:val="auto"/>
          <w:sz w:val="24"/>
          <w:highlight w:val="none"/>
        </w:rPr>
        <w:t>根据</w:t>
      </w:r>
      <w:r>
        <w:rPr>
          <w:rFonts w:hint="eastAsia" w:ascii="宋体" w:hAnsi="宋体" w:eastAsia="宋体" w:cs="宋体"/>
          <w:color w:val="auto"/>
          <w:sz w:val="24"/>
          <w:highlight w:val="none"/>
          <w:lang w:val="en-US" w:eastAsia="zh-CN"/>
        </w:rPr>
        <w:t>实际情况</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结合有关安全要求，</w:t>
      </w:r>
      <w:r>
        <w:rPr>
          <w:rFonts w:hint="eastAsia" w:ascii="宋体" w:hAnsi="宋体" w:eastAsia="宋体" w:cs="宋体"/>
          <w:color w:val="auto"/>
          <w:sz w:val="24"/>
          <w:highlight w:val="none"/>
        </w:rPr>
        <w:t>提出调整建议</w:t>
      </w:r>
      <w:r>
        <w:rPr>
          <w:rFonts w:hint="eastAsia" w:ascii="宋体" w:hAnsi="宋体" w:eastAsia="宋体" w:cs="宋体"/>
          <w:bCs/>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宋体" w:hAnsi="宋体" w:eastAsia="宋体" w:cs="宋体"/>
          <w:color w:val="auto"/>
          <w:sz w:val="24"/>
          <w:szCs w:val="24"/>
          <w:highlight w:val="none"/>
        </w:rPr>
      </w:pPr>
    </w:p>
    <w:p>
      <w:pPr>
        <w:pStyle w:val="21"/>
        <w:keepNext w:val="0"/>
        <w:keepLines w:val="0"/>
        <w:pageBreakBefore w:val="0"/>
        <w:kinsoku/>
        <w:wordWrap/>
        <w:overflowPunct/>
        <w:topLinePunct w:val="0"/>
        <w:bidi w:val="0"/>
        <w:snapToGrid/>
        <w:spacing w:before="0" w:after="0" w:line="312" w:lineRule="auto"/>
        <w:ind w:firstLine="602" w:firstLineChars="200"/>
        <w:jc w:val="both"/>
        <w:outlineLvl w:val="0"/>
        <w:rPr>
          <w:rFonts w:hint="eastAsia" w:ascii="宋体" w:hAnsi="宋体" w:eastAsia="宋体" w:cs="宋体"/>
          <w:b/>
          <w:bCs/>
          <w:color w:val="auto"/>
          <w:sz w:val="30"/>
          <w:szCs w:val="30"/>
          <w:highlight w:val="none"/>
          <w:lang w:val="en-US" w:eastAsia="zh-CN"/>
        </w:rPr>
        <w:sectPr>
          <w:pgSz w:w="11906" w:h="16838"/>
          <w:pgMar w:top="1474" w:right="1587" w:bottom="1474" w:left="1587" w:header="851" w:footer="992" w:gutter="0"/>
          <w:pgNumType w:fmt="decimal"/>
          <w:cols w:space="0" w:num="1"/>
          <w:rtlGutter w:val="0"/>
          <w:docGrid w:type="lines" w:linePitch="312" w:charSpace="0"/>
        </w:sectPr>
      </w:pPr>
    </w:p>
    <w:p>
      <w:pPr>
        <w:pStyle w:val="21"/>
        <w:keepNext w:val="0"/>
        <w:keepLines w:val="0"/>
        <w:pageBreakBefore w:val="0"/>
        <w:kinsoku/>
        <w:wordWrap/>
        <w:overflowPunct/>
        <w:topLinePunct w:val="0"/>
        <w:bidi w:val="0"/>
        <w:snapToGrid/>
        <w:spacing w:before="0" w:after="0" w:line="312" w:lineRule="auto"/>
        <w:ind w:firstLine="602" w:firstLineChars="200"/>
        <w:jc w:val="both"/>
        <w:outlineLvl w:val="0"/>
        <w:rPr>
          <w:rFonts w:hint="eastAsia" w:ascii="宋体" w:hAnsi="宋体" w:eastAsia="宋体" w:cs="宋体"/>
          <w:b/>
          <w:bCs/>
          <w:color w:val="auto"/>
          <w:sz w:val="30"/>
          <w:szCs w:val="30"/>
          <w:highlight w:val="none"/>
          <w:lang w:val="en-US" w:eastAsia="zh-CN"/>
        </w:rPr>
      </w:pPr>
      <w:r>
        <w:rPr>
          <w:rFonts w:hint="eastAsia" w:ascii="宋体" w:hAnsi="宋体" w:eastAsia="宋体" w:cs="宋体"/>
          <w:b/>
          <w:bCs/>
          <w:color w:val="auto"/>
          <w:sz w:val="30"/>
          <w:szCs w:val="30"/>
          <w:highlight w:val="none"/>
          <w:lang w:val="en-US" w:eastAsia="zh-CN"/>
        </w:rPr>
        <w:t>五、软件运维服务要求</w:t>
      </w:r>
    </w:p>
    <w:p>
      <w:pPr>
        <w:keepNext w:val="0"/>
        <w:keepLines w:val="0"/>
        <w:pageBreakBefore w:val="0"/>
        <w:widowControl/>
        <w:kinsoku/>
        <w:wordWrap/>
        <w:overflowPunct/>
        <w:topLinePunct w:val="0"/>
        <w:autoSpaceDE/>
        <w:autoSpaceDN/>
        <w:bidi w:val="0"/>
        <w:adjustRightInd/>
        <w:snapToGrid/>
        <w:spacing w:line="312" w:lineRule="auto"/>
        <w:ind w:firstLine="482" w:firstLineChars="200"/>
        <w:textAlignment w:val="center"/>
        <w:outlineLvl w:val="0"/>
        <w:rPr>
          <w:rFonts w:hint="eastAsia" w:ascii="宋体" w:hAnsi="宋体" w:eastAsia="宋体" w:cs="宋体"/>
          <w:b/>
          <w:bCs/>
          <w:snapToGrid w:val="0"/>
          <w:color w:val="auto"/>
          <w:kern w:val="0"/>
          <w:sz w:val="24"/>
          <w:szCs w:val="24"/>
          <w:highlight w:val="none"/>
          <w:lang w:val="en-US" w:eastAsia="zh-CN"/>
        </w:rPr>
      </w:pPr>
      <w:r>
        <w:rPr>
          <w:rFonts w:hint="eastAsia" w:ascii="宋体" w:hAnsi="宋体" w:eastAsia="宋体" w:cs="宋体"/>
          <w:b/>
          <w:bCs/>
          <w:snapToGrid w:val="0"/>
          <w:color w:val="auto"/>
          <w:kern w:val="0"/>
          <w:sz w:val="24"/>
          <w:szCs w:val="24"/>
          <w:highlight w:val="none"/>
          <w:lang w:val="en-US" w:eastAsia="zh-CN"/>
        </w:rPr>
        <w:t>（一）服务要求</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1.日常运行维护</w:t>
      </w:r>
    </w:p>
    <w:p>
      <w:pPr>
        <w:keepNext w:val="0"/>
        <w:keepLines w:val="0"/>
        <w:pageBreakBefore w:val="0"/>
        <w:widowControl/>
        <w:kinsoku/>
        <w:wordWrap/>
        <w:overflowPunct/>
        <w:topLinePunct w:val="0"/>
        <w:bidi w:val="0"/>
        <w:spacing w:line="312"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提供7×24小时热线或远程技术支持服务，及时处理和解答问题。做好日常运行维护工作和操作使用指导。</w:t>
      </w:r>
    </w:p>
    <w:p>
      <w:pPr>
        <w:keepNext w:val="0"/>
        <w:keepLines w:val="0"/>
        <w:pageBreakBefore w:val="0"/>
        <w:widowControl/>
        <w:kinsoku/>
        <w:wordWrap/>
        <w:overflowPunct/>
        <w:topLinePunct w:val="0"/>
        <w:bidi w:val="0"/>
        <w:spacing w:line="312"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包含</w:t>
      </w:r>
      <w:r>
        <w:rPr>
          <w:rFonts w:hint="eastAsia" w:ascii="宋体" w:hAnsi="宋体" w:eastAsia="宋体" w:cs="宋体"/>
          <w:bCs/>
          <w:color w:val="auto"/>
          <w:sz w:val="24"/>
          <w:szCs w:val="24"/>
          <w:highlight w:val="none"/>
        </w:rPr>
        <w:t>软件问题排查、</w:t>
      </w:r>
      <w:r>
        <w:rPr>
          <w:rFonts w:hint="eastAsia" w:ascii="宋体" w:hAnsi="宋体" w:eastAsia="宋体" w:cs="宋体"/>
          <w:color w:val="auto"/>
          <w:sz w:val="24"/>
          <w:szCs w:val="24"/>
          <w:highlight w:val="none"/>
        </w:rPr>
        <w:t>修改程序本身问题、版本升级、功能完善与升级、用户需求修改、</w:t>
      </w:r>
      <w:r>
        <w:rPr>
          <w:rFonts w:hint="eastAsia" w:ascii="宋体" w:hAnsi="宋体" w:eastAsia="宋体" w:cs="宋体"/>
          <w:bCs/>
          <w:color w:val="auto"/>
          <w:sz w:val="24"/>
          <w:szCs w:val="24"/>
          <w:highlight w:val="none"/>
        </w:rPr>
        <w:t>各类第三方系统接口问题处理</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各类统计报表及数据准确性维护</w:t>
      </w: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rPr>
        <w:t>在用户允许下的后台数据查询</w:t>
      </w:r>
      <w:r>
        <w:rPr>
          <w:rFonts w:hint="eastAsia" w:ascii="宋体" w:hAnsi="宋体" w:eastAsia="宋体" w:cs="宋体"/>
          <w:bCs/>
          <w:color w:val="auto"/>
          <w:sz w:val="24"/>
          <w:szCs w:val="24"/>
          <w:highlight w:val="none"/>
          <w:lang w:eastAsia="zh-CN"/>
        </w:rPr>
        <w:t>、</w:t>
      </w:r>
      <w:r>
        <w:rPr>
          <w:rFonts w:hint="eastAsia" w:ascii="宋体" w:hAnsi="宋体" w:eastAsia="宋体" w:cs="宋体"/>
          <w:color w:val="auto"/>
          <w:sz w:val="24"/>
          <w:szCs w:val="24"/>
          <w:highlight w:val="none"/>
        </w:rPr>
        <w:t>提供配合其他系统的相关的数据接口</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针对信息安全等级保护整改要求修改等工作</w:t>
      </w:r>
      <w:r>
        <w:rPr>
          <w:rFonts w:hint="eastAsia" w:ascii="宋体" w:hAnsi="宋体" w:eastAsia="宋体" w:cs="宋体"/>
          <w:color w:val="auto"/>
          <w:sz w:val="24"/>
          <w:szCs w:val="24"/>
          <w:highlight w:val="none"/>
          <w:lang w:val="en-US" w:eastAsia="zh-CN"/>
        </w:rPr>
        <w:t>，保证系统正常运转。</w:t>
      </w:r>
      <w:r>
        <w:rPr>
          <w:rFonts w:hint="eastAsia" w:ascii="宋体" w:hAnsi="宋体" w:eastAsia="宋体" w:cs="宋体"/>
          <w:bCs/>
          <w:color w:val="auto"/>
          <w:kern w:val="0"/>
          <w:sz w:val="24"/>
          <w:szCs w:val="24"/>
          <w:highlight w:val="none"/>
          <w:lang w:val="en-US" w:eastAsia="zh-CN"/>
        </w:rPr>
        <w:t>对于错误性、程序本身的Bug并影响业务流程的需求，应立即响应(时间不能超过3个工作日)。</w:t>
      </w:r>
    </w:p>
    <w:p>
      <w:pPr>
        <w:keepNext w:val="0"/>
        <w:keepLines w:val="0"/>
        <w:pageBreakBefore w:val="0"/>
        <w:widowControl/>
        <w:kinsoku/>
        <w:wordWrap/>
        <w:overflowPunct/>
        <w:topLinePunct w:val="0"/>
        <w:bidi w:val="0"/>
        <w:spacing w:line="312"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bCs/>
          <w:color w:val="auto"/>
          <w:sz w:val="24"/>
          <w:szCs w:val="24"/>
          <w:highlight w:val="none"/>
        </w:rPr>
        <w:t>定期更新《常见问题处理手册》并提交给</w:t>
      </w:r>
      <w:r>
        <w:rPr>
          <w:rFonts w:hint="eastAsia" w:ascii="宋体" w:hAnsi="宋体" w:eastAsia="宋体" w:cs="宋体"/>
          <w:bCs/>
          <w:color w:val="auto"/>
          <w:sz w:val="24"/>
          <w:szCs w:val="24"/>
          <w:highlight w:val="none"/>
          <w:lang w:eastAsia="zh-CN"/>
        </w:rPr>
        <w:t>用户</w:t>
      </w:r>
      <w:r>
        <w:rPr>
          <w:rFonts w:hint="eastAsia" w:ascii="宋体" w:hAnsi="宋体" w:eastAsia="宋体" w:cs="宋体"/>
          <w:bCs/>
          <w:color w:val="auto"/>
          <w:sz w:val="24"/>
          <w:szCs w:val="24"/>
          <w:highlight w:val="none"/>
        </w:rPr>
        <w:t>，用户在使用系统时出现问题，可通过手册查询解决方案，帮助医院管理员提高维护水平并能快速的解決常见问题。</w:t>
      </w:r>
    </w:p>
    <w:p>
      <w:pPr>
        <w:keepNext w:val="0"/>
        <w:keepLines w:val="0"/>
        <w:pageBreakBefore w:val="0"/>
        <w:widowControl/>
        <w:kinsoku/>
        <w:wordWrap/>
        <w:overflowPunct/>
        <w:topLinePunct w:val="0"/>
        <w:bidi w:val="0"/>
        <w:spacing w:line="312"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（3）定期收集相关用户的需求，并将需求归纳后形成文档，根据这些需求对系统进行更新，以不断完善该系统。</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2.故障修复服务</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提供7×24小时故障修复响应服务，对用户反映的紧急故障问题，</w:t>
      </w:r>
      <w:r>
        <w:rPr>
          <w:rFonts w:hint="eastAsia" w:ascii="宋体" w:hAnsi="宋体" w:eastAsia="宋体" w:cs="宋体"/>
          <w:color w:val="auto"/>
          <w:sz w:val="24"/>
          <w:szCs w:val="24"/>
          <w:highlight w:val="none"/>
        </w:rPr>
        <w:t>应在10分钟之内做出实质性响应，</w:t>
      </w:r>
      <w:r>
        <w:rPr>
          <w:rFonts w:hint="eastAsia" w:ascii="宋体" w:hAnsi="宋体" w:eastAsia="宋体" w:cs="宋体"/>
          <w:color w:val="auto"/>
          <w:sz w:val="24"/>
          <w:szCs w:val="24"/>
          <w:highlight w:val="none"/>
          <w:lang w:val="en-US" w:eastAsia="zh-CN"/>
        </w:rPr>
        <w:t>第一时间排除故障，确保系统的正常高效运行。</w:t>
      </w:r>
      <w:r>
        <w:rPr>
          <w:rFonts w:hint="eastAsia" w:ascii="宋体" w:hAnsi="宋体" w:eastAsia="宋体" w:cs="宋体"/>
          <w:color w:val="auto"/>
          <w:sz w:val="24"/>
          <w:szCs w:val="24"/>
          <w:highlight w:val="none"/>
        </w:rPr>
        <w:t>如远程无法解决问题，则要求及时派相关认证工程师到达现场，提供不间断故障处理服务，直至故障解除，现场服务次数和时间不限。</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当技术或备件能力不能满足业主方维保需要，对关键性问题若2小时内无法修复或对一般问题12小时内无法修复的，业主方有权请任何第三方公司进行维保，由此产生的一切费用，由中标方承担。</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若本项目的软硬件系统发生重大故障，须在故障发生的第3个工作日内提供故障分析报告，并提出问题解决方案。</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3.预防性巡检</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定期对系统进行全面检测，确认系统运行状态，检查系统错误记录，排除隐患故障，并进行系统运维工作及提出预防措施。每季度提供不少于1次的现场巡检和维护服务，并出具详细的巡检报告。</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4.数据维护与上传（若无涉及，此项不做要求）</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（1）日常相关数据处理：对卫生健康局提出的相关数据的处理，并针对提出的问题进行后台数据的完善，以及数据的核查、导出等维护工作。</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（2）根据实际的业务需求，拓展完善相关数据集，对东阳市数据传输规范进行相应的调整或扩展。</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（3）平台数据上传：根据金华市平台数据</w:t>
      </w:r>
      <w:r>
        <w:rPr>
          <w:rFonts w:hint="eastAsia" w:ascii="宋体" w:hAnsi="宋体" w:cs="宋体"/>
          <w:color w:val="auto"/>
          <w:sz w:val="24"/>
          <w:szCs w:val="24"/>
          <w:highlight w:val="none"/>
          <w:lang w:val="en-US" w:eastAsia="zh-CN"/>
        </w:rPr>
        <w:t>采</w:t>
      </w:r>
      <w:r>
        <w:rPr>
          <w:rFonts w:hint="eastAsia" w:ascii="宋体" w:hAnsi="宋体" w:eastAsia="宋体" w:cs="宋体"/>
          <w:color w:val="auto"/>
          <w:sz w:val="24"/>
          <w:szCs w:val="24"/>
          <w:highlight w:val="none"/>
          <w:lang w:val="en-US" w:eastAsia="zh-CN"/>
        </w:rPr>
        <w:t>集交换技术规范的要求，做好数据对接，并根据金华市平台规范的调整或扩展，对东阳市数据传输规范进行相应的调整或扩展，实现与金华市平台的互联互通，且数据质量达标。</w:t>
      </w:r>
      <w:r>
        <w:rPr>
          <w:rFonts w:hint="eastAsia" w:ascii="宋体" w:hAnsi="宋体" w:eastAsia="宋体" w:cs="宋体"/>
          <w:color w:val="auto"/>
          <w:sz w:val="24"/>
          <w:szCs w:val="24"/>
          <w:highlight w:val="none"/>
          <w:lang w:eastAsia="zh-CN"/>
        </w:rPr>
        <w:t>数据质量连续不达标情况下，中标方须在3个工作日内完成问题整改。如若整改情况依旧达不到标准的，需到场集中办公完成问题整改。</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（4）维护外部数据接口，保障接口的畅通以及在更改或新增接口时，进行接口规范的变更或增加，支持与第三方数据接口的对接工作。</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（5）数据监测：主要监测数据的规范（准确）性、完整性、一致性和及时性。</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5.数据保护及性能调优</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对数据库进行日常性能巡检及调优，保障整体性能。配合做好数据备份和数据恢复测试，协助进行灾难恢复、数据安全性评估、灾难事件分析。</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6.技术咨询及培训服务</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宋体" w:hAnsi="宋体" w:eastAsia="宋体" w:cs="宋体"/>
          <w:bCs/>
          <w:color w:val="auto"/>
          <w:kern w:val="0"/>
          <w:sz w:val="24"/>
          <w:szCs w:val="24"/>
          <w:highlight w:val="none"/>
        </w:rPr>
      </w:pPr>
      <w:r>
        <w:rPr>
          <w:rFonts w:hint="eastAsia" w:ascii="宋体" w:hAnsi="宋体" w:eastAsia="宋体" w:cs="宋体"/>
          <w:color w:val="auto"/>
          <w:sz w:val="24"/>
          <w:szCs w:val="24"/>
          <w:highlight w:val="none"/>
          <w:lang w:val="en-US" w:eastAsia="zh-CN"/>
        </w:rPr>
        <w:t>提供软件使用问题解答、软件使用指导、软件功能介绍、技术咨询等服务。</w:t>
      </w:r>
      <w:r>
        <w:rPr>
          <w:rFonts w:hint="eastAsia" w:ascii="宋体" w:hAnsi="宋体" w:eastAsia="宋体" w:cs="宋体"/>
          <w:bCs/>
          <w:color w:val="auto"/>
          <w:kern w:val="0"/>
          <w:sz w:val="24"/>
          <w:szCs w:val="24"/>
          <w:highlight w:val="none"/>
        </w:rPr>
        <w:t>提供用户培训服务，在项目维护期内对</w:t>
      </w:r>
      <w:r>
        <w:rPr>
          <w:rFonts w:hint="eastAsia" w:ascii="宋体" w:hAnsi="宋体" w:eastAsia="宋体" w:cs="宋体"/>
          <w:bCs/>
          <w:color w:val="auto"/>
          <w:kern w:val="0"/>
          <w:sz w:val="24"/>
          <w:szCs w:val="24"/>
          <w:highlight w:val="none"/>
          <w:lang w:val="en-US" w:eastAsia="zh-CN"/>
        </w:rPr>
        <w:t>业主方</w:t>
      </w:r>
      <w:r>
        <w:rPr>
          <w:rFonts w:hint="eastAsia" w:ascii="宋体" w:hAnsi="宋体" w:eastAsia="宋体" w:cs="宋体"/>
          <w:bCs/>
          <w:color w:val="auto"/>
          <w:kern w:val="0"/>
          <w:sz w:val="24"/>
          <w:szCs w:val="24"/>
          <w:highlight w:val="none"/>
        </w:rPr>
        <w:t>技术人员提供必要的技术培训，包括数据结构培训、软件设计培训、软件应用培训等；对</w:t>
      </w:r>
      <w:r>
        <w:rPr>
          <w:rFonts w:hint="eastAsia" w:ascii="宋体" w:hAnsi="宋体" w:eastAsia="宋体" w:cs="宋体"/>
          <w:bCs/>
          <w:color w:val="auto"/>
          <w:kern w:val="0"/>
          <w:sz w:val="24"/>
          <w:szCs w:val="24"/>
          <w:highlight w:val="none"/>
          <w:lang w:val="en-US" w:eastAsia="zh-CN"/>
        </w:rPr>
        <w:t>业主方</w:t>
      </w:r>
      <w:r>
        <w:rPr>
          <w:rFonts w:hint="eastAsia" w:ascii="宋体" w:hAnsi="宋体" w:eastAsia="宋体" w:cs="宋体"/>
          <w:bCs/>
          <w:color w:val="auto"/>
          <w:kern w:val="0"/>
          <w:sz w:val="24"/>
          <w:szCs w:val="24"/>
          <w:highlight w:val="none"/>
        </w:rPr>
        <w:t>提供必要的用户操作培训等现场服务。</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7.电话投诉与回访服务</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宋体" w:hAnsi="宋体" w:eastAsia="宋体" w:cs="宋体"/>
          <w:bCs/>
          <w:color w:val="auto"/>
          <w:kern w:val="0"/>
          <w:sz w:val="24"/>
          <w:szCs w:val="24"/>
          <w:highlight w:val="none"/>
          <w:lang w:val="en-US" w:eastAsia="zh-CN"/>
        </w:rPr>
      </w:pPr>
      <w:r>
        <w:rPr>
          <w:rFonts w:hint="eastAsia" w:ascii="宋体" w:hAnsi="宋体" w:eastAsia="宋体" w:cs="宋体"/>
          <w:bCs/>
          <w:color w:val="auto"/>
          <w:kern w:val="0"/>
          <w:sz w:val="24"/>
          <w:szCs w:val="24"/>
          <w:highlight w:val="none"/>
          <w:lang w:val="en-US" w:eastAsia="zh-CN"/>
        </w:rPr>
        <w:t>在系统运维服务期间，如对服务质量和服务人员不满意，可以进行投诉，并在第二个工作日内向用户答复投诉处理情况；在项目运维期间，不定期对某次服务进行电话回访，了解服务完成的情况和质量。</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8.值班保障要求</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宋体" w:hAnsi="宋体" w:eastAsia="宋体" w:cs="宋体"/>
          <w:bCs/>
          <w:color w:val="auto"/>
          <w:kern w:val="0"/>
          <w:sz w:val="24"/>
          <w:szCs w:val="24"/>
          <w:highlight w:val="none"/>
          <w:lang w:val="en-US" w:eastAsia="zh-CN"/>
        </w:rPr>
      </w:pPr>
      <w:r>
        <w:rPr>
          <w:rFonts w:hint="eastAsia" w:ascii="宋体" w:hAnsi="宋体" w:eastAsia="宋体" w:cs="宋体"/>
          <w:bCs/>
          <w:color w:val="auto"/>
          <w:kern w:val="0"/>
          <w:sz w:val="24"/>
          <w:szCs w:val="24"/>
          <w:highlight w:val="none"/>
          <w:lang w:val="en-US" w:eastAsia="zh-CN"/>
        </w:rPr>
        <w:t>提供节假日专人值班服务，确保在节假日如遇到问题能够及时找到专人解决，保证系统的稳定运行。按要求完成节前巡检。</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outlineLvl w:val="1"/>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val="en-US" w:eastAsia="zh-CN"/>
        </w:rPr>
        <w:t>.其他要求</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）中标应方须保证本项目人员的稳定性，在未经业主方同意，不得单方面擅自更换项目组人员。</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运维人员在故障处理、性能优化、系统更新等过程中，必须按照业主方内部的管理流程，对设备的硬件配置及软件配置参数的变更进行评估、审批后方可实施，并及时记录变更实施过程。不得擅自对业主方业务经营数据进行增删、修改等操作。</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）如业主方需在本合同所维护的内容上迁移其应用软件及其它软硬件产品，投标人应承诺无条件配合完成安装工作。</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）中标方对系统或运行环境等进行改动后，须及时向业主方递交最新的文档资料，该文档资料作为验收资料的一部分。</w:t>
      </w:r>
    </w:p>
    <w:sectPr>
      <w:pgSz w:w="11906" w:h="16838"/>
      <w:pgMar w:top="1474" w:right="1587" w:bottom="147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姚体">
    <w:panose1 w:val="02010601030101010101"/>
    <w:charset w:val="86"/>
    <w:family w:val="auto"/>
    <w:pitch w:val="default"/>
    <w:sig w:usb0="00000003" w:usb1="080E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楷体_GB2312">
    <w:panose1 w:val="02010609030101010101"/>
    <w:charset w:val="86"/>
    <w:family w:val="modern"/>
    <w:pitch w:val="default"/>
    <w:sig w:usb0="00000001" w:usb1="080E0000" w:usb2="00000000" w:usb3="00000000" w:csb0="00040000" w:csb1="00000000"/>
  </w:font>
  <w:font w:name="PMingLiU">
    <w:altName w:val="PMingLiU-ExtB"/>
    <w:panose1 w:val="02020500000000000000"/>
    <w:charset w:val="88"/>
    <w:family w:val="auto"/>
    <w:pitch w:val="default"/>
    <w:sig w:usb0="00000000" w:usb1="00000000"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9264" behindDoc="0" locked="0" layoutInCell="1" allowOverlap="1">
              <wp:simplePos x="0" y="0"/>
              <wp:positionH relativeFrom="margin">
                <wp:posOffset>5080000</wp:posOffset>
              </wp:positionH>
              <wp:positionV relativeFrom="paragraph">
                <wp:posOffset>-15240</wp:posOffset>
              </wp:positionV>
              <wp:extent cx="464820" cy="1695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64820" cy="1695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宋体"/>
                              <w:sz w:val="21"/>
                              <w:szCs w:val="28"/>
                              <w:lang w:eastAsia="zh-CN"/>
                            </w:rPr>
                          </w:pPr>
                          <w:r>
                            <w:rPr>
                              <w:rFonts w:hint="eastAsia"/>
                              <w:sz w:val="21"/>
                              <w:szCs w:val="28"/>
                              <w:lang w:eastAsia="zh-CN"/>
                            </w:rPr>
                            <w:t xml:space="preserve">— </w:t>
                          </w:r>
                          <w:r>
                            <w:rPr>
                              <w:rFonts w:hint="eastAsia"/>
                              <w:sz w:val="21"/>
                              <w:szCs w:val="28"/>
                              <w:lang w:eastAsia="zh-CN"/>
                            </w:rPr>
                            <w:fldChar w:fldCharType="begin"/>
                          </w:r>
                          <w:r>
                            <w:rPr>
                              <w:rFonts w:hint="eastAsia"/>
                              <w:sz w:val="21"/>
                              <w:szCs w:val="28"/>
                              <w:lang w:eastAsia="zh-CN"/>
                            </w:rPr>
                            <w:instrText xml:space="preserve"> PAGE  \* MERGEFORMAT </w:instrText>
                          </w:r>
                          <w:r>
                            <w:rPr>
                              <w:rFonts w:hint="eastAsia"/>
                              <w:sz w:val="21"/>
                              <w:szCs w:val="28"/>
                              <w:lang w:eastAsia="zh-CN"/>
                            </w:rPr>
                            <w:fldChar w:fldCharType="separate"/>
                          </w:r>
                          <w:r>
                            <w:rPr>
                              <w:rFonts w:hint="eastAsia"/>
                              <w:sz w:val="21"/>
                              <w:szCs w:val="28"/>
                              <w:lang w:eastAsia="zh-CN"/>
                            </w:rPr>
                            <w:t>1</w:t>
                          </w:r>
                          <w:r>
                            <w:rPr>
                              <w:rFonts w:hint="eastAsia"/>
                              <w:sz w:val="21"/>
                              <w:szCs w:val="28"/>
                              <w:lang w:eastAsia="zh-CN"/>
                            </w:rPr>
                            <w:fldChar w:fldCharType="end"/>
                          </w:r>
                          <w:r>
                            <w:rPr>
                              <w:rFonts w:hint="eastAsia"/>
                              <w:sz w:val="21"/>
                              <w:szCs w:val="28"/>
                              <w:lang w:eastAsia="zh-CN"/>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400pt;margin-top:-1.2pt;height:13.35pt;width:36.6pt;mso-position-horizontal-relative:margin;z-index:251659264;mso-width-relative:page;mso-height-relative:page;" filled="f" stroked="f" coordsize="21600,21600" o:gfxdata="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cfG1UdkAAAAJ&#10;AQAADwAAAAAAAAABACAAAAAiAAAAZHJzL2Rvd25yZXYueG1sUEsBAhQAFAAAAAgAh07iQI7V7qQb&#10;AgAAEwQAAA4AAAAAAAAAAQAgAAAAKAEAAGRycy9lMm9Eb2MueG1sUEsFBgAAAAAGAAYAWQEAALUF&#10;AAAAAA==&#10;">
              <v:fill on="f" focussize="0,0"/>
              <v:stroke on="f" weight="0.5pt"/>
              <v:imagedata o:title=""/>
              <o:lock v:ext="edit" aspectratio="f"/>
              <v:textbox inset="0mm,0mm,0mm,0mm">
                <w:txbxContent>
                  <w:p>
                    <w:pPr>
                      <w:pStyle w:val="11"/>
                      <w:rPr>
                        <w:rFonts w:hint="eastAsia" w:eastAsia="宋体"/>
                        <w:sz w:val="21"/>
                        <w:szCs w:val="28"/>
                        <w:lang w:eastAsia="zh-CN"/>
                      </w:rPr>
                    </w:pPr>
                    <w:r>
                      <w:rPr>
                        <w:rFonts w:hint="eastAsia"/>
                        <w:sz w:val="21"/>
                        <w:szCs w:val="28"/>
                        <w:lang w:eastAsia="zh-CN"/>
                      </w:rPr>
                      <w:t xml:space="preserve">— </w:t>
                    </w:r>
                    <w:r>
                      <w:rPr>
                        <w:rFonts w:hint="eastAsia"/>
                        <w:sz w:val="21"/>
                        <w:szCs w:val="28"/>
                        <w:lang w:eastAsia="zh-CN"/>
                      </w:rPr>
                      <w:fldChar w:fldCharType="begin"/>
                    </w:r>
                    <w:r>
                      <w:rPr>
                        <w:rFonts w:hint="eastAsia"/>
                        <w:sz w:val="21"/>
                        <w:szCs w:val="28"/>
                        <w:lang w:eastAsia="zh-CN"/>
                      </w:rPr>
                      <w:instrText xml:space="preserve"> PAGE  \* MERGEFORMAT </w:instrText>
                    </w:r>
                    <w:r>
                      <w:rPr>
                        <w:rFonts w:hint="eastAsia"/>
                        <w:sz w:val="21"/>
                        <w:szCs w:val="28"/>
                        <w:lang w:eastAsia="zh-CN"/>
                      </w:rPr>
                      <w:fldChar w:fldCharType="separate"/>
                    </w:r>
                    <w:r>
                      <w:rPr>
                        <w:rFonts w:hint="eastAsia"/>
                        <w:sz w:val="21"/>
                        <w:szCs w:val="28"/>
                        <w:lang w:eastAsia="zh-CN"/>
                      </w:rPr>
                      <w:t>1</w:t>
                    </w:r>
                    <w:r>
                      <w:rPr>
                        <w:rFonts w:hint="eastAsia"/>
                        <w:sz w:val="21"/>
                        <w:szCs w:val="28"/>
                        <w:lang w:eastAsia="zh-CN"/>
                      </w:rPr>
                      <w:fldChar w:fldCharType="end"/>
                    </w:r>
                    <w:r>
                      <w:rPr>
                        <w:rFonts w:hint="eastAsia"/>
                        <w:sz w:val="21"/>
                        <w:szCs w:val="28"/>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0"/>
      <w:numFmt w:val="bullet"/>
      <w:lvlText w:val=""/>
      <w:lvlJc w:val="left"/>
      <w:pPr>
        <w:ind w:left="528" w:hanging="420"/>
      </w:pPr>
      <w:rPr>
        <w:rFonts w:hint="default" w:ascii="Wingdings" w:hAnsi="Wingdings" w:eastAsia="Wingdings" w:cs="Wingdings"/>
        <w:b w:val="0"/>
        <w:bCs w:val="0"/>
        <w:i w:val="0"/>
        <w:iCs w:val="0"/>
        <w:spacing w:val="0"/>
        <w:w w:val="100"/>
        <w:sz w:val="24"/>
        <w:szCs w:val="24"/>
        <w:lang w:val="en-US" w:eastAsia="zh-CN" w:bidi="ar-SA"/>
      </w:rPr>
    </w:lvl>
    <w:lvl w:ilvl="1" w:tentative="0">
      <w:start w:val="0"/>
      <w:numFmt w:val="bullet"/>
      <w:lvlText w:val="•"/>
      <w:lvlJc w:val="left"/>
      <w:pPr>
        <w:ind w:left="1122" w:hanging="420"/>
      </w:pPr>
      <w:rPr>
        <w:rFonts w:hint="default"/>
        <w:lang w:val="en-US" w:eastAsia="zh-CN" w:bidi="ar-SA"/>
      </w:rPr>
    </w:lvl>
    <w:lvl w:ilvl="2" w:tentative="0">
      <w:start w:val="0"/>
      <w:numFmt w:val="bullet"/>
      <w:lvlText w:val="•"/>
      <w:lvlJc w:val="left"/>
      <w:pPr>
        <w:ind w:left="1724" w:hanging="420"/>
      </w:pPr>
      <w:rPr>
        <w:rFonts w:hint="default"/>
        <w:lang w:val="en-US" w:eastAsia="zh-CN" w:bidi="ar-SA"/>
      </w:rPr>
    </w:lvl>
    <w:lvl w:ilvl="3" w:tentative="0">
      <w:start w:val="0"/>
      <w:numFmt w:val="bullet"/>
      <w:lvlText w:val="•"/>
      <w:lvlJc w:val="left"/>
      <w:pPr>
        <w:ind w:left="2326" w:hanging="420"/>
      </w:pPr>
      <w:rPr>
        <w:rFonts w:hint="default"/>
        <w:lang w:val="en-US" w:eastAsia="zh-CN" w:bidi="ar-SA"/>
      </w:rPr>
    </w:lvl>
    <w:lvl w:ilvl="4" w:tentative="0">
      <w:start w:val="0"/>
      <w:numFmt w:val="bullet"/>
      <w:lvlText w:val="•"/>
      <w:lvlJc w:val="left"/>
      <w:pPr>
        <w:ind w:left="2928" w:hanging="420"/>
      </w:pPr>
      <w:rPr>
        <w:rFonts w:hint="default"/>
        <w:lang w:val="en-US" w:eastAsia="zh-CN" w:bidi="ar-SA"/>
      </w:rPr>
    </w:lvl>
    <w:lvl w:ilvl="5" w:tentative="0">
      <w:start w:val="0"/>
      <w:numFmt w:val="bullet"/>
      <w:lvlText w:val="•"/>
      <w:lvlJc w:val="left"/>
      <w:pPr>
        <w:ind w:left="3530" w:hanging="420"/>
      </w:pPr>
      <w:rPr>
        <w:rFonts w:hint="default"/>
        <w:lang w:val="en-US" w:eastAsia="zh-CN" w:bidi="ar-SA"/>
      </w:rPr>
    </w:lvl>
    <w:lvl w:ilvl="6" w:tentative="0">
      <w:start w:val="0"/>
      <w:numFmt w:val="bullet"/>
      <w:lvlText w:val="•"/>
      <w:lvlJc w:val="left"/>
      <w:pPr>
        <w:ind w:left="4132" w:hanging="420"/>
      </w:pPr>
      <w:rPr>
        <w:rFonts w:hint="default"/>
        <w:lang w:val="en-US" w:eastAsia="zh-CN" w:bidi="ar-SA"/>
      </w:rPr>
    </w:lvl>
    <w:lvl w:ilvl="7" w:tentative="0">
      <w:start w:val="0"/>
      <w:numFmt w:val="bullet"/>
      <w:lvlText w:val="•"/>
      <w:lvlJc w:val="left"/>
      <w:pPr>
        <w:ind w:left="4734" w:hanging="420"/>
      </w:pPr>
      <w:rPr>
        <w:rFonts w:hint="default"/>
        <w:lang w:val="en-US" w:eastAsia="zh-CN" w:bidi="ar-SA"/>
      </w:rPr>
    </w:lvl>
    <w:lvl w:ilvl="8" w:tentative="0">
      <w:start w:val="0"/>
      <w:numFmt w:val="bullet"/>
      <w:lvlText w:val="•"/>
      <w:lvlJc w:val="left"/>
      <w:pPr>
        <w:ind w:left="5336" w:hanging="420"/>
      </w:pPr>
      <w:rPr>
        <w:rFonts w:hint="default"/>
        <w:lang w:val="en-US" w:eastAsia="zh-CN" w:bidi="ar-SA"/>
      </w:rPr>
    </w:lvl>
  </w:abstractNum>
  <w:abstractNum w:abstractNumId="1">
    <w:nsid w:val="C8879AEF"/>
    <w:multiLevelType w:val="multilevel"/>
    <w:tmpl w:val="C8879AEF"/>
    <w:lvl w:ilvl="0" w:tentative="0">
      <w:start w:val="0"/>
      <w:numFmt w:val="bullet"/>
      <w:lvlText w:val=""/>
      <w:lvlJc w:val="left"/>
      <w:pPr>
        <w:ind w:left="528" w:hanging="420"/>
      </w:pPr>
      <w:rPr>
        <w:rFonts w:hint="default" w:ascii="Wingdings" w:hAnsi="Wingdings" w:eastAsia="Wingdings" w:cs="Wingdings"/>
        <w:b w:val="0"/>
        <w:bCs w:val="0"/>
        <w:i w:val="0"/>
        <w:iCs w:val="0"/>
        <w:spacing w:val="0"/>
        <w:w w:val="100"/>
        <w:sz w:val="24"/>
        <w:szCs w:val="24"/>
        <w:lang w:val="en-US" w:eastAsia="zh-CN" w:bidi="ar-SA"/>
      </w:rPr>
    </w:lvl>
    <w:lvl w:ilvl="1" w:tentative="0">
      <w:start w:val="0"/>
      <w:numFmt w:val="bullet"/>
      <w:lvlText w:val="•"/>
      <w:lvlJc w:val="left"/>
      <w:pPr>
        <w:ind w:left="1122" w:hanging="420"/>
      </w:pPr>
      <w:rPr>
        <w:rFonts w:hint="default"/>
        <w:lang w:val="en-US" w:eastAsia="zh-CN" w:bidi="ar-SA"/>
      </w:rPr>
    </w:lvl>
    <w:lvl w:ilvl="2" w:tentative="0">
      <w:start w:val="0"/>
      <w:numFmt w:val="bullet"/>
      <w:lvlText w:val="•"/>
      <w:lvlJc w:val="left"/>
      <w:pPr>
        <w:ind w:left="1724" w:hanging="420"/>
      </w:pPr>
      <w:rPr>
        <w:rFonts w:hint="default"/>
        <w:lang w:val="en-US" w:eastAsia="zh-CN" w:bidi="ar-SA"/>
      </w:rPr>
    </w:lvl>
    <w:lvl w:ilvl="3" w:tentative="0">
      <w:start w:val="0"/>
      <w:numFmt w:val="bullet"/>
      <w:lvlText w:val="•"/>
      <w:lvlJc w:val="left"/>
      <w:pPr>
        <w:ind w:left="2326" w:hanging="420"/>
      </w:pPr>
      <w:rPr>
        <w:rFonts w:hint="default"/>
        <w:lang w:val="en-US" w:eastAsia="zh-CN" w:bidi="ar-SA"/>
      </w:rPr>
    </w:lvl>
    <w:lvl w:ilvl="4" w:tentative="0">
      <w:start w:val="0"/>
      <w:numFmt w:val="bullet"/>
      <w:lvlText w:val="•"/>
      <w:lvlJc w:val="left"/>
      <w:pPr>
        <w:ind w:left="2928" w:hanging="420"/>
      </w:pPr>
      <w:rPr>
        <w:rFonts w:hint="default"/>
        <w:lang w:val="en-US" w:eastAsia="zh-CN" w:bidi="ar-SA"/>
      </w:rPr>
    </w:lvl>
    <w:lvl w:ilvl="5" w:tentative="0">
      <w:start w:val="0"/>
      <w:numFmt w:val="bullet"/>
      <w:lvlText w:val="•"/>
      <w:lvlJc w:val="left"/>
      <w:pPr>
        <w:ind w:left="3530" w:hanging="420"/>
      </w:pPr>
      <w:rPr>
        <w:rFonts w:hint="default"/>
        <w:lang w:val="en-US" w:eastAsia="zh-CN" w:bidi="ar-SA"/>
      </w:rPr>
    </w:lvl>
    <w:lvl w:ilvl="6" w:tentative="0">
      <w:start w:val="0"/>
      <w:numFmt w:val="bullet"/>
      <w:lvlText w:val="•"/>
      <w:lvlJc w:val="left"/>
      <w:pPr>
        <w:ind w:left="4132" w:hanging="420"/>
      </w:pPr>
      <w:rPr>
        <w:rFonts w:hint="default"/>
        <w:lang w:val="en-US" w:eastAsia="zh-CN" w:bidi="ar-SA"/>
      </w:rPr>
    </w:lvl>
    <w:lvl w:ilvl="7" w:tentative="0">
      <w:start w:val="0"/>
      <w:numFmt w:val="bullet"/>
      <w:lvlText w:val="•"/>
      <w:lvlJc w:val="left"/>
      <w:pPr>
        <w:ind w:left="4734" w:hanging="420"/>
      </w:pPr>
      <w:rPr>
        <w:rFonts w:hint="default"/>
        <w:lang w:val="en-US" w:eastAsia="zh-CN" w:bidi="ar-SA"/>
      </w:rPr>
    </w:lvl>
    <w:lvl w:ilvl="8" w:tentative="0">
      <w:start w:val="0"/>
      <w:numFmt w:val="bullet"/>
      <w:lvlText w:val="•"/>
      <w:lvlJc w:val="left"/>
      <w:pPr>
        <w:ind w:left="5336" w:hanging="420"/>
      </w:pPr>
      <w:rPr>
        <w:rFonts w:hint="default"/>
        <w:lang w:val="en-US" w:eastAsia="zh-CN" w:bidi="ar-SA"/>
      </w:rPr>
    </w:lvl>
  </w:abstractNum>
  <w:abstractNum w:abstractNumId="2">
    <w:nsid w:val="DCBA6B53"/>
    <w:multiLevelType w:val="multilevel"/>
    <w:tmpl w:val="DCBA6B53"/>
    <w:lvl w:ilvl="0" w:tentative="0">
      <w:start w:val="0"/>
      <w:numFmt w:val="bullet"/>
      <w:lvlText w:val=""/>
      <w:lvlJc w:val="left"/>
      <w:pPr>
        <w:ind w:left="528" w:hanging="420"/>
      </w:pPr>
      <w:rPr>
        <w:rFonts w:hint="default" w:ascii="Wingdings" w:hAnsi="Wingdings" w:eastAsia="Wingdings" w:cs="Wingdings"/>
        <w:b w:val="0"/>
        <w:bCs w:val="0"/>
        <w:i w:val="0"/>
        <w:iCs w:val="0"/>
        <w:spacing w:val="0"/>
        <w:w w:val="100"/>
        <w:sz w:val="24"/>
        <w:szCs w:val="24"/>
        <w:lang w:val="en-US" w:eastAsia="zh-CN" w:bidi="ar-SA"/>
      </w:rPr>
    </w:lvl>
    <w:lvl w:ilvl="1" w:tentative="0">
      <w:start w:val="0"/>
      <w:numFmt w:val="bullet"/>
      <w:lvlText w:val="•"/>
      <w:lvlJc w:val="left"/>
      <w:pPr>
        <w:ind w:left="1122" w:hanging="420"/>
      </w:pPr>
      <w:rPr>
        <w:rFonts w:hint="default"/>
        <w:lang w:val="en-US" w:eastAsia="zh-CN" w:bidi="ar-SA"/>
      </w:rPr>
    </w:lvl>
    <w:lvl w:ilvl="2" w:tentative="0">
      <w:start w:val="0"/>
      <w:numFmt w:val="bullet"/>
      <w:lvlText w:val="•"/>
      <w:lvlJc w:val="left"/>
      <w:pPr>
        <w:ind w:left="1724" w:hanging="420"/>
      </w:pPr>
      <w:rPr>
        <w:rFonts w:hint="default"/>
        <w:lang w:val="en-US" w:eastAsia="zh-CN" w:bidi="ar-SA"/>
      </w:rPr>
    </w:lvl>
    <w:lvl w:ilvl="3" w:tentative="0">
      <w:start w:val="0"/>
      <w:numFmt w:val="bullet"/>
      <w:lvlText w:val="•"/>
      <w:lvlJc w:val="left"/>
      <w:pPr>
        <w:ind w:left="2326" w:hanging="420"/>
      </w:pPr>
      <w:rPr>
        <w:rFonts w:hint="default"/>
        <w:lang w:val="en-US" w:eastAsia="zh-CN" w:bidi="ar-SA"/>
      </w:rPr>
    </w:lvl>
    <w:lvl w:ilvl="4" w:tentative="0">
      <w:start w:val="0"/>
      <w:numFmt w:val="bullet"/>
      <w:lvlText w:val="•"/>
      <w:lvlJc w:val="left"/>
      <w:pPr>
        <w:ind w:left="2928" w:hanging="420"/>
      </w:pPr>
      <w:rPr>
        <w:rFonts w:hint="default"/>
        <w:lang w:val="en-US" w:eastAsia="zh-CN" w:bidi="ar-SA"/>
      </w:rPr>
    </w:lvl>
    <w:lvl w:ilvl="5" w:tentative="0">
      <w:start w:val="0"/>
      <w:numFmt w:val="bullet"/>
      <w:lvlText w:val="•"/>
      <w:lvlJc w:val="left"/>
      <w:pPr>
        <w:ind w:left="3530" w:hanging="420"/>
      </w:pPr>
      <w:rPr>
        <w:rFonts w:hint="default"/>
        <w:lang w:val="en-US" w:eastAsia="zh-CN" w:bidi="ar-SA"/>
      </w:rPr>
    </w:lvl>
    <w:lvl w:ilvl="6" w:tentative="0">
      <w:start w:val="0"/>
      <w:numFmt w:val="bullet"/>
      <w:lvlText w:val="•"/>
      <w:lvlJc w:val="left"/>
      <w:pPr>
        <w:ind w:left="4132" w:hanging="420"/>
      </w:pPr>
      <w:rPr>
        <w:rFonts w:hint="default"/>
        <w:lang w:val="en-US" w:eastAsia="zh-CN" w:bidi="ar-SA"/>
      </w:rPr>
    </w:lvl>
    <w:lvl w:ilvl="7" w:tentative="0">
      <w:start w:val="0"/>
      <w:numFmt w:val="bullet"/>
      <w:lvlText w:val="•"/>
      <w:lvlJc w:val="left"/>
      <w:pPr>
        <w:ind w:left="4734" w:hanging="420"/>
      </w:pPr>
      <w:rPr>
        <w:rFonts w:hint="default"/>
        <w:lang w:val="en-US" w:eastAsia="zh-CN" w:bidi="ar-SA"/>
      </w:rPr>
    </w:lvl>
    <w:lvl w:ilvl="8" w:tentative="0">
      <w:start w:val="0"/>
      <w:numFmt w:val="bullet"/>
      <w:lvlText w:val="•"/>
      <w:lvlJc w:val="left"/>
      <w:pPr>
        <w:ind w:left="5336" w:hanging="420"/>
      </w:pPr>
      <w:rPr>
        <w:rFonts w:hint="default"/>
        <w:lang w:val="en-US" w:eastAsia="zh-CN" w:bidi="ar-SA"/>
      </w:rPr>
    </w:lvl>
  </w:abstractNum>
  <w:abstractNum w:abstractNumId="3">
    <w:nsid w:val="F4B5D9F5"/>
    <w:multiLevelType w:val="multilevel"/>
    <w:tmpl w:val="F4B5D9F5"/>
    <w:lvl w:ilvl="0" w:tentative="0">
      <w:start w:val="0"/>
      <w:numFmt w:val="bullet"/>
      <w:lvlText w:val=""/>
      <w:lvlJc w:val="left"/>
      <w:pPr>
        <w:ind w:left="528" w:hanging="420"/>
      </w:pPr>
      <w:rPr>
        <w:rFonts w:hint="default" w:ascii="Wingdings" w:hAnsi="Wingdings" w:eastAsia="Wingdings" w:cs="Wingdings"/>
        <w:b w:val="0"/>
        <w:bCs w:val="0"/>
        <w:i w:val="0"/>
        <w:iCs w:val="0"/>
        <w:spacing w:val="0"/>
        <w:w w:val="100"/>
        <w:sz w:val="24"/>
        <w:szCs w:val="24"/>
        <w:lang w:val="en-US" w:eastAsia="zh-CN" w:bidi="ar-SA"/>
      </w:rPr>
    </w:lvl>
    <w:lvl w:ilvl="1" w:tentative="0">
      <w:start w:val="0"/>
      <w:numFmt w:val="bullet"/>
      <w:lvlText w:val="•"/>
      <w:lvlJc w:val="left"/>
      <w:pPr>
        <w:ind w:left="1122" w:hanging="420"/>
      </w:pPr>
      <w:rPr>
        <w:rFonts w:hint="default"/>
        <w:lang w:val="en-US" w:eastAsia="zh-CN" w:bidi="ar-SA"/>
      </w:rPr>
    </w:lvl>
    <w:lvl w:ilvl="2" w:tentative="0">
      <w:start w:val="0"/>
      <w:numFmt w:val="bullet"/>
      <w:lvlText w:val="•"/>
      <w:lvlJc w:val="left"/>
      <w:pPr>
        <w:ind w:left="1724" w:hanging="420"/>
      </w:pPr>
      <w:rPr>
        <w:rFonts w:hint="default"/>
        <w:lang w:val="en-US" w:eastAsia="zh-CN" w:bidi="ar-SA"/>
      </w:rPr>
    </w:lvl>
    <w:lvl w:ilvl="3" w:tentative="0">
      <w:start w:val="0"/>
      <w:numFmt w:val="bullet"/>
      <w:lvlText w:val="•"/>
      <w:lvlJc w:val="left"/>
      <w:pPr>
        <w:ind w:left="2326" w:hanging="420"/>
      </w:pPr>
      <w:rPr>
        <w:rFonts w:hint="default"/>
        <w:lang w:val="en-US" w:eastAsia="zh-CN" w:bidi="ar-SA"/>
      </w:rPr>
    </w:lvl>
    <w:lvl w:ilvl="4" w:tentative="0">
      <w:start w:val="0"/>
      <w:numFmt w:val="bullet"/>
      <w:lvlText w:val="•"/>
      <w:lvlJc w:val="left"/>
      <w:pPr>
        <w:ind w:left="2928" w:hanging="420"/>
      </w:pPr>
      <w:rPr>
        <w:rFonts w:hint="default"/>
        <w:lang w:val="en-US" w:eastAsia="zh-CN" w:bidi="ar-SA"/>
      </w:rPr>
    </w:lvl>
    <w:lvl w:ilvl="5" w:tentative="0">
      <w:start w:val="0"/>
      <w:numFmt w:val="bullet"/>
      <w:lvlText w:val="•"/>
      <w:lvlJc w:val="left"/>
      <w:pPr>
        <w:ind w:left="3530" w:hanging="420"/>
      </w:pPr>
      <w:rPr>
        <w:rFonts w:hint="default"/>
        <w:lang w:val="en-US" w:eastAsia="zh-CN" w:bidi="ar-SA"/>
      </w:rPr>
    </w:lvl>
    <w:lvl w:ilvl="6" w:tentative="0">
      <w:start w:val="0"/>
      <w:numFmt w:val="bullet"/>
      <w:lvlText w:val="•"/>
      <w:lvlJc w:val="left"/>
      <w:pPr>
        <w:ind w:left="4132" w:hanging="420"/>
      </w:pPr>
      <w:rPr>
        <w:rFonts w:hint="default"/>
        <w:lang w:val="en-US" w:eastAsia="zh-CN" w:bidi="ar-SA"/>
      </w:rPr>
    </w:lvl>
    <w:lvl w:ilvl="7" w:tentative="0">
      <w:start w:val="0"/>
      <w:numFmt w:val="bullet"/>
      <w:lvlText w:val="•"/>
      <w:lvlJc w:val="left"/>
      <w:pPr>
        <w:ind w:left="4734" w:hanging="420"/>
      </w:pPr>
      <w:rPr>
        <w:rFonts w:hint="default"/>
        <w:lang w:val="en-US" w:eastAsia="zh-CN" w:bidi="ar-SA"/>
      </w:rPr>
    </w:lvl>
    <w:lvl w:ilvl="8" w:tentative="0">
      <w:start w:val="0"/>
      <w:numFmt w:val="bullet"/>
      <w:lvlText w:val="•"/>
      <w:lvlJc w:val="left"/>
      <w:pPr>
        <w:ind w:left="5336" w:hanging="420"/>
      </w:pPr>
      <w:rPr>
        <w:rFonts w:hint="default"/>
        <w:lang w:val="en-US" w:eastAsia="zh-CN" w:bidi="ar-SA"/>
      </w:rPr>
    </w:lvl>
  </w:abstractNum>
  <w:abstractNum w:abstractNumId="4">
    <w:nsid w:val="2470EC97"/>
    <w:multiLevelType w:val="multilevel"/>
    <w:tmpl w:val="2470EC97"/>
    <w:lvl w:ilvl="0" w:tentative="0">
      <w:start w:val="0"/>
      <w:numFmt w:val="bullet"/>
      <w:lvlText w:val=""/>
      <w:lvlJc w:val="left"/>
      <w:pPr>
        <w:ind w:left="528" w:hanging="420"/>
      </w:pPr>
      <w:rPr>
        <w:rFonts w:hint="default" w:ascii="Wingdings" w:hAnsi="Wingdings" w:eastAsia="Wingdings" w:cs="Wingdings"/>
        <w:b w:val="0"/>
        <w:bCs w:val="0"/>
        <w:i w:val="0"/>
        <w:iCs w:val="0"/>
        <w:spacing w:val="0"/>
        <w:w w:val="100"/>
        <w:sz w:val="24"/>
        <w:szCs w:val="24"/>
        <w:lang w:val="en-US" w:eastAsia="zh-CN" w:bidi="ar-SA"/>
      </w:rPr>
    </w:lvl>
    <w:lvl w:ilvl="1" w:tentative="0">
      <w:start w:val="0"/>
      <w:numFmt w:val="bullet"/>
      <w:lvlText w:val="•"/>
      <w:lvlJc w:val="left"/>
      <w:pPr>
        <w:ind w:left="1122" w:hanging="420"/>
      </w:pPr>
      <w:rPr>
        <w:rFonts w:hint="default"/>
        <w:lang w:val="en-US" w:eastAsia="zh-CN" w:bidi="ar-SA"/>
      </w:rPr>
    </w:lvl>
    <w:lvl w:ilvl="2" w:tentative="0">
      <w:start w:val="0"/>
      <w:numFmt w:val="bullet"/>
      <w:lvlText w:val="•"/>
      <w:lvlJc w:val="left"/>
      <w:pPr>
        <w:ind w:left="1724" w:hanging="420"/>
      </w:pPr>
      <w:rPr>
        <w:rFonts w:hint="default"/>
        <w:lang w:val="en-US" w:eastAsia="zh-CN" w:bidi="ar-SA"/>
      </w:rPr>
    </w:lvl>
    <w:lvl w:ilvl="3" w:tentative="0">
      <w:start w:val="0"/>
      <w:numFmt w:val="bullet"/>
      <w:lvlText w:val="•"/>
      <w:lvlJc w:val="left"/>
      <w:pPr>
        <w:ind w:left="2326" w:hanging="420"/>
      </w:pPr>
      <w:rPr>
        <w:rFonts w:hint="default"/>
        <w:lang w:val="en-US" w:eastAsia="zh-CN" w:bidi="ar-SA"/>
      </w:rPr>
    </w:lvl>
    <w:lvl w:ilvl="4" w:tentative="0">
      <w:start w:val="0"/>
      <w:numFmt w:val="bullet"/>
      <w:lvlText w:val="•"/>
      <w:lvlJc w:val="left"/>
      <w:pPr>
        <w:ind w:left="2928" w:hanging="420"/>
      </w:pPr>
      <w:rPr>
        <w:rFonts w:hint="default"/>
        <w:lang w:val="en-US" w:eastAsia="zh-CN" w:bidi="ar-SA"/>
      </w:rPr>
    </w:lvl>
    <w:lvl w:ilvl="5" w:tentative="0">
      <w:start w:val="0"/>
      <w:numFmt w:val="bullet"/>
      <w:lvlText w:val="•"/>
      <w:lvlJc w:val="left"/>
      <w:pPr>
        <w:ind w:left="3530" w:hanging="420"/>
      </w:pPr>
      <w:rPr>
        <w:rFonts w:hint="default"/>
        <w:lang w:val="en-US" w:eastAsia="zh-CN" w:bidi="ar-SA"/>
      </w:rPr>
    </w:lvl>
    <w:lvl w:ilvl="6" w:tentative="0">
      <w:start w:val="0"/>
      <w:numFmt w:val="bullet"/>
      <w:lvlText w:val="•"/>
      <w:lvlJc w:val="left"/>
      <w:pPr>
        <w:ind w:left="4132" w:hanging="420"/>
      </w:pPr>
      <w:rPr>
        <w:rFonts w:hint="default"/>
        <w:lang w:val="en-US" w:eastAsia="zh-CN" w:bidi="ar-SA"/>
      </w:rPr>
    </w:lvl>
    <w:lvl w:ilvl="7" w:tentative="0">
      <w:start w:val="0"/>
      <w:numFmt w:val="bullet"/>
      <w:lvlText w:val="•"/>
      <w:lvlJc w:val="left"/>
      <w:pPr>
        <w:ind w:left="4734" w:hanging="420"/>
      </w:pPr>
      <w:rPr>
        <w:rFonts w:hint="default"/>
        <w:lang w:val="en-US" w:eastAsia="zh-CN" w:bidi="ar-SA"/>
      </w:rPr>
    </w:lvl>
    <w:lvl w:ilvl="8" w:tentative="0">
      <w:start w:val="0"/>
      <w:numFmt w:val="bullet"/>
      <w:lvlText w:val="•"/>
      <w:lvlJc w:val="left"/>
      <w:pPr>
        <w:ind w:left="5336" w:hanging="420"/>
      </w:pPr>
      <w:rPr>
        <w:rFonts w:hint="default"/>
        <w:lang w:val="en-US" w:eastAsia="zh-CN" w:bidi="ar-SA"/>
      </w:rPr>
    </w:lvl>
  </w:abstractNum>
  <w:abstractNum w:abstractNumId="5">
    <w:nsid w:val="2A8F537B"/>
    <w:multiLevelType w:val="multilevel"/>
    <w:tmpl w:val="2A8F537B"/>
    <w:lvl w:ilvl="0" w:tentative="0">
      <w:start w:val="0"/>
      <w:numFmt w:val="bullet"/>
      <w:lvlText w:val=""/>
      <w:lvlJc w:val="left"/>
      <w:pPr>
        <w:ind w:left="528" w:hanging="420"/>
      </w:pPr>
      <w:rPr>
        <w:rFonts w:hint="default" w:ascii="Wingdings" w:hAnsi="Wingdings" w:eastAsia="Wingdings" w:cs="Wingdings"/>
        <w:b w:val="0"/>
        <w:bCs w:val="0"/>
        <w:i w:val="0"/>
        <w:iCs w:val="0"/>
        <w:spacing w:val="0"/>
        <w:w w:val="100"/>
        <w:sz w:val="24"/>
        <w:szCs w:val="24"/>
        <w:lang w:val="en-US" w:eastAsia="zh-CN" w:bidi="ar-SA"/>
      </w:rPr>
    </w:lvl>
    <w:lvl w:ilvl="1" w:tentative="0">
      <w:start w:val="0"/>
      <w:numFmt w:val="bullet"/>
      <w:lvlText w:val="•"/>
      <w:lvlJc w:val="left"/>
      <w:pPr>
        <w:ind w:left="1122" w:hanging="420"/>
      </w:pPr>
      <w:rPr>
        <w:rFonts w:hint="default"/>
        <w:lang w:val="en-US" w:eastAsia="zh-CN" w:bidi="ar-SA"/>
      </w:rPr>
    </w:lvl>
    <w:lvl w:ilvl="2" w:tentative="0">
      <w:start w:val="0"/>
      <w:numFmt w:val="bullet"/>
      <w:lvlText w:val="•"/>
      <w:lvlJc w:val="left"/>
      <w:pPr>
        <w:ind w:left="1724" w:hanging="420"/>
      </w:pPr>
      <w:rPr>
        <w:rFonts w:hint="default"/>
        <w:lang w:val="en-US" w:eastAsia="zh-CN" w:bidi="ar-SA"/>
      </w:rPr>
    </w:lvl>
    <w:lvl w:ilvl="3" w:tentative="0">
      <w:start w:val="0"/>
      <w:numFmt w:val="bullet"/>
      <w:lvlText w:val="•"/>
      <w:lvlJc w:val="left"/>
      <w:pPr>
        <w:ind w:left="2326" w:hanging="420"/>
      </w:pPr>
      <w:rPr>
        <w:rFonts w:hint="default"/>
        <w:lang w:val="en-US" w:eastAsia="zh-CN" w:bidi="ar-SA"/>
      </w:rPr>
    </w:lvl>
    <w:lvl w:ilvl="4" w:tentative="0">
      <w:start w:val="0"/>
      <w:numFmt w:val="bullet"/>
      <w:lvlText w:val="•"/>
      <w:lvlJc w:val="left"/>
      <w:pPr>
        <w:ind w:left="2928" w:hanging="420"/>
      </w:pPr>
      <w:rPr>
        <w:rFonts w:hint="default"/>
        <w:lang w:val="en-US" w:eastAsia="zh-CN" w:bidi="ar-SA"/>
      </w:rPr>
    </w:lvl>
    <w:lvl w:ilvl="5" w:tentative="0">
      <w:start w:val="0"/>
      <w:numFmt w:val="bullet"/>
      <w:lvlText w:val="•"/>
      <w:lvlJc w:val="left"/>
      <w:pPr>
        <w:ind w:left="3530" w:hanging="420"/>
      </w:pPr>
      <w:rPr>
        <w:rFonts w:hint="default"/>
        <w:lang w:val="en-US" w:eastAsia="zh-CN" w:bidi="ar-SA"/>
      </w:rPr>
    </w:lvl>
    <w:lvl w:ilvl="6" w:tentative="0">
      <w:start w:val="0"/>
      <w:numFmt w:val="bullet"/>
      <w:lvlText w:val="•"/>
      <w:lvlJc w:val="left"/>
      <w:pPr>
        <w:ind w:left="4132" w:hanging="420"/>
      </w:pPr>
      <w:rPr>
        <w:rFonts w:hint="default"/>
        <w:lang w:val="en-US" w:eastAsia="zh-CN" w:bidi="ar-SA"/>
      </w:rPr>
    </w:lvl>
    <w:lvl w:ilvl="7" w:tentative="0">
      <w:start w:val="0"/>
      <w:numFmt w:val="bullet"/>
      <w:lvlText w:val="•"/>
      <w:lvlJc w:val="left"/>
      <w:pPr>
        <w:ind w:left="4734" w:hanging="420"/>
      </w:pPr>
      <w:rPr>
        <w:rFonts w:hint="default"/>
        <w:lang w:val="en-US" w:eastAsia="zh-CN" w:bidi="ar-SA"/>
      </w:rPr>
    </w:lvl>
    <w:lvl w:ilvl="8" w:tentative="0">
      <w:start w:val="0"/>
      <w:numFmt w:val="bullet"/>
      <w:lvlText w:val="•"/>
      <w:lvlJc w:val="left"/>
      <w:pPr>
        <w:ind w:left="5336" w:hanging="420"/>
      </w:pPr>
      <w:rPr>
        <w:rFonts w:hint="default"/>
        <w:lang w:val="en-US" w:eastAsia="zh-CN" w:bidi="ar-SA"/>
      </w:rPr>
    </w:lvl>
  </w:abstractNum>
  <w:abstractNum w:abstractNumId="6">
    <w:nsid w:val="3B6E582F"/>
    <w:multiLevelType w:val="singleLevel"/>
    <w:tmpl w:val="3B6E582F"/>
    <w:lvl w:ilvl="0" w:tentative="0">
      <w:start w:val="1"/>
      <w:numFmt w:val="decimal"/>
      <w:suff w:val="nothing"/>
      <w:lvlText w:val="%1、"/>
      <w:lvlJc w:val="left"/>
    </w:lvl>
  </w:abstractNum>
  <w:abstractNum w:abstractNumId="7">
    <w:nsid w:val="4D4DC07F"/>
    <w:multiLevelType w:val="multilevel"/>
    <w:tmpl w:val="4D4DC07F"/>
    <w:lvl w:ilvl="0" w:tentative="0">
      <w:start w:val="0"/>
      <w:numFmt w:val="bullet"/>
      <w:lvlText w:val=""/>
      <w:lvlJc w:val="left"/>
      <w:pPr>
        <w:ind w:left="528" w:hanging="420"/>
      </w:pPr>
      <w:rPr>
        <w:rFonts w:hint="default" w:ascii="Wingdings" w:hAnsi="Wingdings" w:eastAsia="Wingdings" w:cs="Wingdings"/>
        <w:b w:val="0"/>
        <w:bCs w:val="0"/>
        <w:i w:val="0"/>
        <w:iCs w:val="0"/>
        <w:spacing w:val="0"/>
        <w:w w:val="100"/>
        <w:sz w:val="24"/>
        <w:szCs w:val="24"/>
        <w:lang w:val="en-US" w:eastAsia="zh-CN" w:bidi="ar-SA"/>
      </w:rPr>
    </w:lvl>
    <w:lvl w:ilvl="1" w:tentative="0">
      <w:start w:val="0"/>
      <w:numFmt w:val="bullet"/>
      <w:lvlText w:val="•"/>
      <w:lvlJc w:val="left"/>
      <w:pPr>
        <w:ind w:left="1122" w:hanging="420"/>
      </w:pPr>
      <w:rPr>
        <w:rFonts w:hint="default"/>
        <w:lang w:val="en-US" w:eastAsia="zh-CN" w:bidi="ar-SA"/>
      </w:rPr>
    </w:lvl>
    <w:lvl w:ilvl="2" w:tentative="0">
      <w:start w:val="0"/>
      <w:numFmt w:val="bullet"/>
      <w:lvlText w:val="•"/>
      <w:lvlJc w:val="left"/>
      <w:pPr>
        <w:ind w:left="1724" w:hanging="420"/>
      </w:pPr>
      <w:rPr>
        <w:rFonts w:hint="default"/>
        <w:lang w:val="en-US" w:eastAsia="zh-CN" w:bidi="ar-SA"/>
      </w:rPr>
    </w:lvl>
    <w:lvl w:ilvl="3" w:tentative="0">
      <w:start w:val="0"/>
      <w:numFmt w:val="bullet"/>
      <w:lvlText w:val="•"/>
      <w:lvlJc w:val="left"/>
      <w:pPr>
        <w:ind w:left="2326" w:hanging="420"/>
      </w:pPr>
      <w:rPr>
        <w:rFonts w:hint="default"/>
        <w:lang w:val="en-US" w:eastAsia="zh-CN" w:bidi="ar-SA"/>
      </w:rPr>
    </w:lvl>
    <w:lvl w:ilvl="4" w:tentative="0">
      <w:start w:val="0"/>
      <w:numFmt w:val="bullet"/>
      <w:lvlText w:val="•"/>
      <w:lvlJc w:val="left"/>
      <w:pPr>
        <w:ind w:left="2928" w:hanging="420"/>
      </w:pPr>
      <w:rPr>
        <w:rFonts w:hint="default"/>
        <w:lang w:val="en-US" w:eastAsia="zh-CN" w:bidi="ar-SA"/>
      </w:rPr>
    </w:lvl>
    <w:lvl w:ilvl="5" w:tentative="0">
      <w:start w:val="0"/>
      <w:numFmt w:val="bullet"/>
      <w:lvlText w:val="•"/>
      <w:lvlJc w:val="left"/>
      <w:pPr>
        <w:ind w:left="3530" w:hanging="420"/>
      </w:pPr>
      <w:rPr>
        <w:rFonts w:hint="default"/>
        <w:lang w:val="en-US" w:eastAsia="zh-CN" w:bidi="ar-SA"/>
      </w:rPr>
    </w:lvl>
    <w:lvl w:ilvl="6" w:tentative="0">
      <w:start w:val="0"/>
      <w:numFmt w:val="bullet"/>
      <w:lvlText w:val="•"/>
      <w:lvlJc w:val="left"/>
      <w:pPr>
        <w:ind w:left="4132" w:hanging="420"/>
      </w:pPr>
      <w:rPr>
        <w:rFonts w:hint="default"/>
        <w:lang w:val="en-US" w:eastAsia="zh-CN" w:bidi="ar-SA"/>
      </w:rPr>
    </w:lvl>
    <w:lvl w:ilvl="7" w:tentative="0">
      <w:start w:val="0"/>
      <w:numFmt w:val="bullet"/>
      <w:lvlText w:val="•"/>
      <w:lvlJc w:val="left"/>
      <w:pPr>
        <w:ind w:left="4734" w:hanging="420"/>
      </w:pPr>
      <w:rPr>
        <w:rFonts w:hint="default"/>
        <w:lang w:val="en-US" w:eastAsia="zh-CN" w:bidi="ar-SA"/>
      </w:rPr>
    </w:lvl>
    <w:lvl w:ilvl="8" w:tentative="0">
      <w:start w:val="0"/>
      <w:numFmt w:val="bullet"/>
      <w:lvlText w:val="•"/>
      <w:lvlJc w:val="left"/>
      <w:pPr>
        <w:ind w:left="5336" w:hanging="420"/>
      </w:pPr>
      <w:rPr>
        <w:rFonts w:hint="default"/>
        <w:lang w:val="en-US" w:eastAsia="zh-CN" w:bidi="ar-SA"/>
      </w:rPr>
    </w:lvl>
  </w:abstractNum>
  <w:abstractNum w:abstractNumId="8">
    <w:nsid w:val="5A241D34"/>
    <w:multiLevelType w:val="multilevel"/>
    <w:tmpl w:val="5A241D34"/>
    <w:lvl w:ilvl="0" w:tentative="0">
      <w:start w:val="0"/>
      <w:numFmt w:val="bullet"/>
      <w:lvlText w:val=""/>
      <w:lvlJc w:val="left"/>
      <w:pPr>
        <w:ind w:left="528" w:hanging="420"/>
      </w:pPr>
      <w:rPr>
        <w:rFonts w:hint="default" w:ascii="Wingdings" w:hAnsi="Wingdings" w:eastAsia="Wingdings" w:cs="Wingdings"/>
        <w:b w:val="0"/>
        <w:bCs w:val="0"/>
        <w:i w:val="0"/>
        <w:iCs w:val="0"/>
        <w:spacing w:val="0"/>
        <w:w w:val="100"/>
        <w:sz w:val="24"/>
        <w:szCs w:val="24"/>
        <w:lang w:val="en-US" w:eastAsia="zh-CN" w:bidi="ar-SA"/>
      </w:rPr>
    </w:lvl>
    <w:lvl w:ilvl="1" w:tentative="0">
      <w:start w:val="0"/>
      <w:numFmt w:val="bullet"/>
      <w:lvlText w:val="•"/>
      <w:lvlJc w:val="left"/>
      <w:pPr>
        <w:ind w:left="1122" w:hanging="420"/>
      </w:pPr>
      <w:rPr>
        <w:rFonts w:hint="default"/>
        <w:lang w:val="en-US" w:eastAsia="zh-CN" w:bidi="ar-SA"/>
      </w:rPr>
    </w:lvl>
    <w:lvl w:ilvl="2" w:tentative="0">
      <w:start w:val="0"/>
      <w:numFmt w:val="bullet"/>
      <w:lvlText w:val="•"/>
      <w:lvlJc w:val="left"/>
      <w:pPr>
        <w:ind w:left="1724" w:hanging="420"/>
      </w:pPr>
      <w:rPr>
        <w:rFonts w:hint="default"/>
        <w:lang w:val="en-US" w:eastAsia="zh-CN" w:bidi="ar-SA"/>
      </w:rPr>
    </w:lvl>
    <w:lvl w:ilvl="3" w:tentative="0">
      <w:start w:val="0"/>
      <w:numFmt w:val="bullet"/>
      <w:lvlText w:val="•"/>
      <w:lvlJc w:val="left"/>
      <w:pPr>
        <w:ind w:left="2326" w:hanging="420"/>
      </w:pPr>
      <w:rPr>
        <w:rFonts w:hint="default"/>
        <w:lang w:val="en-US" w:eastAsia="zh-CN" w:bidi="ar-SA"/>
      </w:rPr>
    </w:lvl>
    <w:lvl w:ilvl="4" w:tentative="0">
      <w:start w:val="0"/>
      <w:numFmt w:val="bullet"/>
      <w:lvlText w:val="•"/>
      <w:lvlJc w:val="left"/>
      <w:pPr>
        <w:ind w:left="2928" w:hanging="420"/>
      </w:pPr>
      <w:rPr>
        <w:rFonts w:hint="default"/>
        <w:lang w:val="en-US" w:eastAsia="zh-CN" w:bidi="ar-SA"/>
      </w:rPr>
    </w:lvl>
    <w:lvl w:ilvl="5" w:tentative="0">
      <w:start w:val="0"/>
      <w:numFmt w:val="bullet"/>
      <w:lvlText w:val="•"/>
      <w:lvlJc w:val="left"/>
      <w:pPr>
        <w:ind w:left="3530" w:hanging="420"/>
      </w:pPr>
      <w:rPr>
        <w:rFonts w:hint="default"/>
        <w:lang w:val="en-US" w:eastAsia="zh-CN" w:bidi="ar-SA"/>
      </w:rPr>
    </w:lvl>
    <w:lvl w:ilvl="6" w:tentative="0">
      <w:start w:val="0"/>
      <w:numFmt w:val="bullet"/>
      <w:lvlText w:val="•"/>
      <w:lvlJc w:val="left"/>
      <w:pPr>
        <w:ind w:left="4132" w:hanging="420"/>
      </w:pPr>
      <w:rPr>
        <w:rFonts w:hint="default"/>
        <w:lang w:val="en-US" w:eastAsia="zh-CN" w:bidi="ar-SA"/>
      </w:rPr>
    </w:lvl>
    <w:lvl w:ilvl="7" w:tentative="0">
      <w:start w:val="0"/>
      <w:numFmt w:val="bullet"/>
      <w:lvlText w:val="•"/>
      <w:lvlJc w:val="left"/>
      <w:pPr>
        <w:ind w:left="4734" w:hanging="420"/>
      </w:pPr>
      <w:rPr>
        <w:rFonts w:hint="default"/>
        <w:lang w:val="en-US" w:eastAsia="zh-CN" w:bidi="ar-SA"/>
      </w:rPr>
    </w:lvl>
    <w:lvl w:ilvl="8" w:tentative="0">
      <w:start w:val="0"/>
      <w:numFmt w:val="bullet"/>
      <w:lvlText w:val="•"/>
      <w:lvlJc w:val="left"/>
      <w:pPr>
        <w:ind w:left="5336" w:hanging="420"/>
      </w:pPr>
      <w:rPr>
        <w:rFonts w:hint="default"/>
        <w:lang w:val="en-US" w:eastAsia="zh-CN" w:bidi="ar-SA"/>
      </w:rPr>
    </w:lvl>
  </w:abstractNum>
  <w:abstractNum w:abstractNumId="9">
    <w:nsid w:val="6F520C72"/>
    <w:multiLevelType w:val="singleLevel"/>
    <w:tmpl w:val="6F520C72"/>
    <w:lvl w:ilvl="0" w:tentative="0">
      <w:start w:val="1"/>
      <w:numFmt w:val="decimal"/>
      <w:suff w:val="nothing"/>
      <w:lvlText w:val="%1、"/>
      <w:lvlJc w:val="left"/>
    </w:lvl>
  </w:abstractNum>
  <w:num w:numId="1">
    <w:abstractNumId w:val="6"/>
  </w:num>
  <w:num w:numId="2">
    <w:abstractNumId w:val="0"/>
  </w:num>
  <w:num w:numId="3">
    <w:abstractNumId w:val="5"/>
  </w:num>
  <w:num w:numId="4">
    <w:abstractNumId w:val="8"/>
  </w:num>
  <w:num w:numId="5">
    <w:abstractNumId w:val="1"/>
  </w:num>
  <w:num w:numId="6">
    <w:abstractNumId w:val="9"/>
  </w:num>
  <w:num w:numId="7">
    <w:abstractNumId w:val="7"/>
  </w:num>
  <w:num w:numId="8">
    <w:abstractNumId w:val="3"/>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949"/>
    <w:rsid w:val="000D6A89"/>
    <w:rsid w:val="00340A39"/>
    <w:rsid w:val="006D27BA"/>
    <w:rsid w:val="008761B9"/>
    <w:rsid w:val="00954E9E"/>
    <w:rsid w:val="00960EE3"/>
    <w:rsid w:val="009A1749"/>
    <w:rsid w:val="009B5B27"/>
    <w:rsid w:val="009C1949"/>
    <w:rsid w:val="00A67EB0"/>
    <w:rsid w:val="00AD04C7"/>
    <w:rsid w:val="00D40C81"/>
    <w:rsid w:val="00DC009F"/>
    <w:rsid w:val="00DC06E5"/>
    <w:rsid w:val="00FE0C9F"/>
    <w:rsid w:val="01336206"/>
    <w:rsid w:val="01380773"/>
    <w:rsid w:val="01406CD2"/>
    <w:rsid w:val="01640256"/>
    <w:rsid w:val="017801A7"/>
    <w:rsid w:val="01C72130"/>
    <w:rsid w:val="01E34C0D"/>
    <w:rsid w:val="02377801"/>
    <w:rsid w:val="026825AB"/>
    <w:rsid w:val="02742095"/>
    <w:rsid w:val="028F06C1"/>
    <w:rsid w:val="02B46163"/>
    <w:rsid w:val="03067406"/>
    <w:rsid w:val="032345A8"/>
    <w:rsid w:val="03824FFF"/>
    <w:rsid w:val="038B0332"/>
    <w:rsid w:val="038C50E0"/>
    <w:rsid w:val="039C17FF"/>
    <w:rsid w:val="03AE1849"/>
    <w:rsid w:val="03B00232"/>
    <w:rsid w:val="03C23821"/>
    <w:rsid w:val="040A4D3D"/>
    <w:rsid w:val="0430274D"/>
    <w:rsid w:val="04712E02"/>
    <w:rsid w:val="047D5724"/>
    <w:rsid w:val="0486783C"/>
    <w:rsid w:val="049E24EB"/>
    <w:rsid w:val="04B425C4"/>
    <w:rsid w:val="04EA59B9"/>
    <w:rsid w:val="04EF0EBA"/>
    <w:rsid w:val="052615FE"/>
    <w:rsid w:val="055211C9"/>
    <w:rsid w:val="055631F0"/>
    <w:rsid w:val="05670FDD"/>
    <w:rsid w:val="057974B6"/>
    <w:rsid w:val="05AA4674"/>
    <w:rsid w:val="05D16848"/>
    <w:rsid w:val="05D666A6"/>
    <w:rsid w:val="05E87AD4"/>
    <w:rsid w:val="05F62129"/>
    <w:rsid w:val="060C17C6"/>
    <w:rsid w:val="060E0255"/>
    <w:rsid w:val="06141287"/>
    <w:rsid w:val="06173B08"/>
    <w:rsid w:val="06403F20"/>
    <w:rsid w:val="064B3C92"/>
    <w:rsid w:val="065E3D3D"/>
    <w:rsid w:val="0675158B"/>
    <w:rsid w:val="069470B5"/>
    <w:rsid w:val="06957E62"/>
    <w:rsid w:val="069A05CB"/>
    <w:rsid w:val="06AA187C"/>
    <w:rsid w:val="06D00297"/>
    <w:rsid w:val="06FD182F"/>
    <w:rsid w:val="073B561A"/>
    <w:rsid w:val="077F1CD3"/>
    <w:rsid w:val="07883952"/>
    <w:rsid w:val="07B11FAD"/>
    <w:rsid w:val="07C83CD3"/>
    <w:rsid w:val="07E86A17"/>
    <w:rsid w:val="08576AA7"/>
    <w:rsid w:val="0878657E"/>
    <w:rsid w:val="08B6434B"/>
    <w:rsid w:val="08C15390"/>
    <w:rsid w:val="091272E4"/>
    <w:rsid w:val="092E6F1B"/>
    <w:rsid w:val="09635840"/>
    <w:rsid w:val="09DE6FB3"/>
    <w:rsid w:val="09E13552"/>
    <w:rsid w:val="0A5C3A98"/>
    <w:rsid w:val="0A6B2BD4"/>
    <w:rsid w:val="0B124E21"/>
    <w:rsid w:val="0B1D7A4B"/>
    <w:rsid w:val="0B2C095F"/>
    <w:rsid w:val="0B3D7DA6"/>
    <w:rsid w:val="0B5843AD"/>
    <w:rsid w:val="0B821A17"/>
    <w:rsid w:val="0B9A65DD"/>
    <w:rsid w:val="0BEA4233"/>
    <w:rsid w:val="0BF062F4"/>
    <w:rsid w:val="0C1F2AF1"/>
    <w:rsid w:val="0C263022"/>
    <w:rsid w:val="0C4D5E50"/>
    <w:rsid w:val="0CA27235"/>
    <w:rsid w:val="0CA67F70"/>
    <w:rsid w:val="0CC15375"/>
    <w:rsid w:val="0D225E4E"/>
    <w:rsid w:val="0D660029"/>
    <w:rsid w:val="0E17016F"/>
    <w:rsid w:val="0E1915EC"/>
    <w:rsid w:val="0E2C2BD1"/>
    <w:rsid w:val="0E7604F1"/>
    <w:rsid w:val="0E7D1722"/>
    <w:rsid w:val="0EDD37A8"/>
    <w:rsid w:val="0EE951F1"/>
    <w:rsid w:val="0F405396"/>
    <w:rsid w:val="0F4B023C"/>
    <w:rsid w:val="0F5137D5"/>
    <w:rsid w:val="0F883852"/>
    <w:rsid w:val="0F922BAD"/>
    <w:rsid w:val="0F934169"/>
    <w:rsid w:val="0FA02B79"/>
    <w:rsid w:val="0FC9442C"/>
    <w:rsid w:val="0FD21C64"/>
    <w:rsid w:val="0FE51F22"/>
    <w:rsid w:val="0FE731FE"/>
    <w:rsid w:val="100E3968"/>
    <w:rsid w:val="10740D87"/>
    <w:rsid w:val="108B2415"/>
    <w:rsid w:val="10B62506"/>
    <w:rsid w:val="10E24EFD"/>
    <w:rsid w:val="10EC1796"/>
    <w:rsid w:val="1109680C"/>
    <w:rsid w:val="116C0AA4"/>
    <w:rsid w:val="11744CD9"/>
    <w:rsid w:val="117E5D99"/>
    <w:rsid w:val="11B36778"/>
    <w:rsid w:val="11D72467"/>
    <w:rsid w:val="11FB054B"/>
    <w:rsid w:val="12201FA2"/>
    <w:rsid w:val="12220833"/>
    <w:rsid w:val="12370726"/>
    <w:rsid w:val="123B0020"/>
    <w:rsid w:val="125D6664"/>
    <w:rsid w:val="12BD5E38"/>
    <w:rsid w:val="12BF2563"/>
    <w:rsid w:val="1311611F"/>
    <w:rsid w:val="134C1EFA"/>
    <w:rsid w:val="13612C4D"/>
    <w:rsid w:val="13CB3A86"/>
    <w:rsid w:val="13DE1E26"/>
    <w:rsid w:val="13E26815"/>
    <w:rsid w:val="14297B59"/>
    <w:rsid w:val="142E480C"/>
    <w:rsid w:val="144D2ECE"/>
    <w:rsid w:val="14593F2C"/>
    <w:rsid w:val="146414D2"/>
    <w:rsid w:val="146F2E2A"/>
    <w:rsid w:val="148172F7"/>
    <w:rsid w:val="14C71152"/>
    <w:rsid w:val="14E24FBA"/>
    <w:rsid w:val="14F67CF1"/>
    <w:rsid w:val="151B46AD"/>
    <w:rsid w:val="15616674"/>
    <w:rsid w:val="157C124F"/>
    <w:rsid w:val="15966A0C"/>
    <w:rsid w:val="15AD0904"/>
    <w:rsid w:val="15E50775"/>
    <w:rsid w:val="161426C7"/>
    <w:rsid w:val="16321C77"/>
    <w:rsid w:val="163D3DCF"/>
    <w:rsid w:val="167C3489"/>
    <w:rsid w:val="16861993"/>
    <w:rsid w:val="169633DE"/>
    <w:rsid w:val="16FB1694"/>
    <w:rsid w:val="172D0C1F"/>
    <w:rsid w:val="173B12E0"/>
    <w:rsid w:val="177B7F9C"/>
    <w:rsid w:val="178B76A2"/>
    <w:rsid w:val="180D7385"/>
    <w:rsid w:val="18255C50"/>
    <w:rsid w:val="18BA3A20"/>
    <w:rsid w:val="18BB2BE4"/>
    <w:rsid w:val="18C43E4D"/>
    <w:rsid w:val="18F5638C"/>
    <w:rsid w:val="191134DD"/>
    <w:rsid w:val="195A6BE7"/>
    <w:rsid w:val="19707F19"/>
    <w:rsid w:val="19891301"/>
    <w:rsid w:val="1989429E"/>
    <w:rsid w:val="198F2CD9"/>
    <w:rsid w:val="19BD4ED6"/>
    <w:rsid w:val="1A3C668F"/>
    <w:rsid w:val="1A5C0C4F"/>
    <w:rsid w:val="1A772A39"/>
    <w:rsid w:val="1AB21C34"/>
    <w:rsid w:val="1B024FE4"/>
    <w:rsid w:val="1B053F0C"/>
    <w:rsid w:val="1B42517E"/>
    <w:rsid w:val="1B4A0B4D"/>
    <w:rsid w:val="1B5F5177"/>
    <w:rsid w:val="1B7A5039"/>
    <w:rsid w:val="1B7E6278"/>
    <w:rsid w:val="1BB83BEB"/>
    <w:rsid w:val="1BEE7D1E"/>
    <w:rsid w:val="1C173799"/>
    <w:rsid w:val="1C2A26BC"/>
    <w:rsid w:val="1C7B0DC7"/>
    <w:rsid w:val="1D46666D"/>
    <w:rsid w:val="1DB146C7"/>
    <w:rsid w:val="1DB401C9"/>
    <w:rsid w:val="1DDF271A"/>
    <w:rsid w:val="1DE676BF"/>
    <w:rsid w:val="1DFE6D4D"/>
    <w:rsid w:val="1E002D45"/>
    <w:rsid w:val="1E0A0261"/>
    <w:rsid w:val="1E4F7658"/>
    <w:rsid w:val="1EC718A5"/>
    <w:rsid w:val="1F422183"/>
    <w:rsid w:val="1F4C7A8D"/>
    <w:rsid w:val="1F62515E"/>
    <w:rsid w:val="1F7C13B4"/>
    <w:rsid w:val="1F844904"/>
    <w:rsid w:val="1FA15968"/>
    <w:rsid w:val="1FBF3122"/>
    <w:rsid w:val="1FD925B8"/>
    <w:rsid w:val="201A3126"/>
    <w:rsid w:val="20614C47"/>
    <w:rsid w:val="20627B3C"/>
    <w:rsid w:val="20D04B35"/>
    <w:rsid w:val="21455EDA"/>
    <w:rsid w:val="217409C6"/>
    <w:rsid w:val="21B51EC1"/>
    <w:rsid w:val="21C267C1"/>
    <w:rsid w:val="221B6805"/>
    <w:rsid w:val="223C34B6"/>
    <w:rsid w:val="22482987"/>
    <w:rsid w:val="22771D1A"/>
    <w:rsid w:val="227941ED"/>
    <w:rsid w:val="227B05F0"/>
    <w:rsid w:val="227F4406"/>
    <w:rsid w:val="22964CDB"/>
    <w:rsid w:val="22995A95"/>
    <w:rsid w:val="229D5752"/>
    <w:rsid w:val="22B50F97"/>
    <w:rsid w:val="22B7517C"/>
    <w:rsid w:val="232C266A"/>
    <w:rsid w:val="232E7D6A"/>
    <w:rsid w:val="232F0909"/>
    <w:rsid w:val="23E353FA"/>
    <w:rsid w:val="243472A5"/>
    <w:rsid w:val="246C7245"/>
    <w:rsid w:val="248D771A"/>
    <w:rsid w:val="249F4DF9"/>
    <w:rsid w:val="24AA2E7B"/>
    <w:rsid w:val="24B10FE3"/>
    <w:rsid w:val="24B2692F"/>
    <w:rsid w:val="24E84368"/>
    <w:rsid w:val="24FA2B76"/>
    <w:rsid w:val="24FD0D5F"/>
    <w:rsid w:val="253D0FC6"/>
    <w:rsid w:val="25496D80"/>
    <w:rsid w:val="254F5042"/>
    <w:rsid w:val="256A62F1"/>
    <w:rsid w:val="25873A2A"/>
    <w:rsid w:val="25A65A51"/>
    <w:rsid w:val="25BA633F"/>
    <w:rsid w:val="25C66622"/>
    <w:rsid w:val="26222E1C"/>
    <w:rsid w:val="265D2FEB"/>
    <w:rsid w:val="265D5ECB"/>
    <w:rsid w:val="265F31DC"/>
    <w:rsid w:val="2660200E"/>
    <w:rsid w:val="267963DE"/>
    <w:rsid w:val="26BA7B18"/>
    <w:rsid w:val="26D0437C"/>
    <w:rsid w:val="26D4311A"/>
    <w:rsid w:val="27106632"/>
    <w:rsid w:val="274C7086"/>
    <w:rsid w:val="27735253"/>
    <w:rsid w:val="27777EB9"/>
    <w:rsid w:val="27896955"/>
    <w:rsid w:val="2792678C"/>
    <w:rsid w:val="27A22014"/>
    <w:rsid w:val="27BA5D00"/>
    <w:rsid w:val="27BC3834"/>
    <w:rsid w:val="27DE73AD"/>
    <w:rsid w:val="27E86852"/>
    <w:rsid w:val="27F45232"/>
    <w:rsid w:val="28013A16"/>
    <w:rsid w:val="28322AF6"/>
    <w:rsid w:val="286130C9"/>
    <w:rsid w:val="28E24AE5"/>
    <w:rsid w:val="29206AD6"/>
    <w:rsid w:val="29290FE4"/>
    <w:rsid w:val="297251DC"/>
    <w:rsid w:val="297674A9"/>
    <w:rsid w:val="29776DCE"/>
    <w:rsid w:val="29E56D4B"/>
    <w:rsid w:val="2A1376F6"/>
    <w:rsid w:val="2A454016"/>
    <w:rsid w:val="2AA53DA9"/>
    <w:rsid w:val="2AA779E6"/>
    <w:rsid w:val="2AEF0C17"/>
    <w:rsid w:val="2B4B2A20"/>
    <w:rsid w:val="2B605A57"/>
    <w:rsid w:val="2BF03AB6"/>
    <w:rsid w:val="2C2858A9"/>
    <w:rsid w:val="2C506C46"/>
    <w:rsid w:val="2C781282"/>
    <w:rsid w:val="2CC733F6"/>
    <w:rsid w:val="2CCC7383"/>
    <w:rsid w:val="2CF735AE"/>
    <w:rsid w:val="2D1C662A"/>
    <w:rsid w:val="2D5E3590"/>
    <w:rsid w:val="2DB11966"/>
    <w:rsid w:val="2DD357DE"/>
    <w:rsid w:val="2DF464B3"/>
    <w:rsid w:val="2DFD5CB8"/>
    <w:rsid w:val="2E0304BB"/>
    <w:rsid w:val="2E2547C1"/>
    <w:rsid w:val="2E2B4E5A"/>
    <w:rsid w:val="2E310761"/>
    <w:rsid w:val="2E4455B1"/>
    <w:rsid w:val="2E505799"/>
    <w:rsid w:val="2E966BF4"/>
    <w:rsid w:val="2EA37004"/>
    <w:rsid w:val="2EC33BB0"/>
    <w:rsid w:val="2F0A262A"/>
    <w:rsid w:val="2F2A7C22"/>
    <w:rsid w:val="2FB37DC2"/>
    <w:rsid w:val="2FB42A7B"/>
    <w:rsid w:val="305F666A"/>
    <w:rsid w:val="307235D7"/>
    <w:rsid w:val="30874CCE"/>
    <w:rsid w:val="30C34808"/>
    <w:rsid w:val="30D47336"/>
    <w:rsid w:val="314C2DE8"/>
    <w:rsid w:val="31884EE7"/>
    <w:rsid w:val="319D1B26"/>
    <w:rsid w:val="319F0454"/>
    <w:rsid w:val="31B74871"/>
    <w:rsid w:val="31B827E0"/>
    <w:rsid w:val="31F14416"/>
    <w:rsid w:val="31F7161A"/>
    <w:rsid w:val="328B1500"/>
    <w:rsid w:val="32B351F2"/>
    <w:rsid w:val="331E1ABF"/>
    <w:rsid w:val="332123A8"/>
    <w:rsid w:val="336C6E00"/>
    <w:rsid w:val="338960F7"/>
    <w:rsid w:val="33C72FE9"/>
    <w:rsid w:val="33D10E2E"/>
    <w:rsid w:val="33D33712"/>
    <w:rsid w:val="340A6075"/>
    <w:rsid w:val="34563E2F"/>
    <w:rsid w:val="34A86B43"/>
    <w:rsid w:val="34AD2335"/>
    <w:rsid w:val="34C726E7"/>
    <w:rsid w:val="34DC566F"/>
    <w:rsid w:val="350727B3"/>
    <w:rsid w:val="35460D4C"/>
    <w:rsid w:val="357E6FD1"/>
    <w:rsid w:val="35897408"/>
    <w:rsid w:val="358D1C28"/>
    <w:rsid w:val="35C93BCD"/>
    <w:rsid w:val="35D61539"/>
    <w:rsid w:val="35DA1C76"/>
    <w:rsid w:val="35DC779C"/>
    <w:rsid w:val="35F169B4"/>
    <w:rsid w:val="35FD2664"/>
    <w:rsid w:val="363A4BFF"/>
    <w:rsid w:val="369E159A"/>
    <w:rsid w:val="36A3444A"/>
    <w:rsid w:val="36AE76C3"/>
    <w:rsid w:val="36BB039C"/>
    <w:rsid w:val="370F1293"/>
    <w:rsid w:val="372C6501"/>
    <w:rsid w:val="373217A3"/>
    <w:rsid w:val="3736612D"/>
    <w:rsid w:val="374A2534"/>
    <w:rsid w:val="37686AAA"/>
    <w:rsid w:val="37754F2F"/>
    <w:rsid w:val="378B7561"/>
    <w:rsid w:val="378E3DE7"/>
    <w:rsid w:val="378F7FDD"/>
    <w:rsid w:val="379342D9"/>
    <w:rsid w:val="37DE3BC2"/>
    <w:rsid w:val="38841848"/>
    <w:rsid w:val="39135CFA"/>
    <w:rsid w:val="392E406F"/>
    <w:rsid w:val="396C6330"/>
    <w:rsid w:val="39A04924"/>
    <w:rsid w:val="39A2421E"/>
    <w:rsid w:val="39DB1DF9"/>
    <w:rsid w:val="39DC60B8"/>
    <w:rsid w:val="3A0B4B47"/>
    <w:rsid w:val="3A100FCE"/>
    <w:rsid w:val="3A1B527E"/>
    <w:rsid w:val="3A38353A"/>
    <w:rsid w:val="3A4540ED"/>
    <w:rsid w:val="3A875455"/>
    <w:rsid w:val="3ADB429B"/>
    <w:rsid w:val="3AE3696C"/>
    <w:rsid w:val="3B1E42EE"/>
    <w:rsid w:val="3B3102EB"/>
    <w:rsid w:val="3B7B1A84"/>
    <w:rsid w:val="3BE079B3"/>
    <w:rsid w:val="3BE45724"/>
    <w:rsid w:val="3BE56454"/>
    <w:rsid w:val="3C12749A"/>
    <w:rsid w:val="3C486645"/>
    <w:rsid w:val="3C4E5728"/>
    <w:rsid w:val="3C5F6A31"/>
    <w:rsid w:val="3D5F5D01"/>
    <w:rsid w:val="3D6E7EA5"/>
    <w:rsid w:val="3DBA42AD"/>
    <w:rsid w:val="3DC36E61"/>
    <w:rsid w:val="3DE22D46"/>
    <w:rsid w:val="3DFF7160"/>
    <w:rsid w:val="3E005907"/>
    <w:rsid w:val="3E1A786F"/>
    <w:rsid w:val="3E81631A"/>
    <w:rsid w:val="3E9505CF"/>
    <w:rsid w:val="3EC70EB8"/>
    <w:rsid w:val="3F010B1B"/>
    <w:rsid w:val="3F21253B"/>
    <w:rsid w:val="3F42146E"/>
    <w:rsid w:val="3FBB6F9C"/>
    <w:rsid w:val="3FD564D5"/>
    <w:rsid w:val="4008709B"/>
    <w:rsid w:val="402B1108"/>
    <w:rsid w:val="403F3755"/>
    <w:rsid w:val="40463E1D"/>
    <w:rsid w:val="40DF447A"/>
    <w:rsid w:val="40EE334D"/>
    <w:rsid w:val="410A16AB"/>
    <w:rsid w:val="412C3546"/>
    <w:rsid w:val="415F24FC"/>
    <w:rsid w:val="4163470A"/>
    <w:rsid w:val="41661B08"/>
    <w:rsid w:val="41816332"/>
    <w:rsid w:val="419B7480"/>
    <w:rsid w:val="41AF06D0"/>
    <w:rsid w:val="41D862AD"/>
    <w:rsid w:val="41DD2006"/>
    <w:rsid w:val="42185519"/>
    <w:rsid w:val="4250587D"/>
    <w:rsid w:val="427B378E"/>
    <w:rsid w:val="42C54B0D"/>
    <w:rsid w:val="42E36CC4"/>
    <w:rsid w:val="42F8106C"/>
    <w:rsid w:val="432017E5"/>
    <w:rsid w:val="434A00A1"/>
    <w:rsid w:val="43693D46"/>
    <w:rsid w:val="43A47886"/>
    <w:rsid w:val="43C91B4B"/>
    <w:rsid w:val="447B4624"/>
    <w:rsid w:val="44A13910"/>
    <w:rsid w:val="44CB5FBA"/>
    <w:rsid w:val="44CC6046"/>
    <w:rsid w:val="44CE4CF1"/>
    <w:rsid w:val="44DA7903"/>
    <w:rsid w:val="45260E40"/>
    <w:rsid w:val="455B63B8"/>
    <w:rsid w:val="4581738C"/>
    <w:rsid w:val="458B52A8"/>
    <w:rsid w:val="45DF0914"/>
    <w:rsid w:val="45E0506E"/>
    <w:rsid w:val="45F06234"/>
    <w:rsid w:val="46061C3E"/>
    <w:rsid w:val="462E5F7F"/>
    <w:rsid w:val="467609A9"/>
    <w:rsid w:val="46FD564F"/>
    <w:rsid w:val="47014B45"/>
    <w:rsid w:val="473616CC"/>
    <w:rsid w:val="478228A4"/>
    <w:rsid w:val="47EB5F5D"/>
    <w:rsid w:val="47FA7071"/>
    <w:rsid w:val="486A6E0C"/>
    <w:rsid w:val="48793CC5"/>
    <w:rsid w:val="48CB6974"/>
    <w:rsid w:val="49077FE6"/>
    <w:rsid w:val="49126349"/>
    <w:rsid w:val="49152358"/>
    <w:rsid w:val="49657A3B"/>
    <w:rsid w:val="498176A7"/>
    <w:rsid w:val="49A43F95"/>
    <w:rsid w:val="49ED0219"/>
    <w:rsid w:val="49FD1143"/>
    <w:rsid w:val="49FD1FFE"/>
    <w:rsid w:val="4A971C79"/>
    <w:rsid w:val="4ACC4FEE"/>
    <w:rsid w:val="4AD0220D"/>
    <w:rsid w:val="4B193382"/>
    <w:rsid w:val="4B2729C0"/>
    <w:rsid w:val="4B3135A0"/>
    <w:rsid w:val="4B344B67"/>
    <w:rsid w:val="4B6E03C6"/>
    <w:rsid w:val="4C58748F"/>
    <w:rsid w:val="4C7277ED"/>
    <w:rsid w:val="4CA267A3"/>
    <w:rsid w:val="4D351708"/>
    <w:rsid w:val="4D77404C"/>
    <w:rsid w:val="4DB1031F"/>
    <w:rsid w:val="4DB85A95"/>
    <w:rsid w:val="4DCE30F5"/>
    <w:rsid w:val="4DD43DBE"/>
    <w:rsid w:val="4E0E19EE"/>
    <w:rsid w:val="4E3803CC"/>
    <w:rsid w:val="4E6F64E2"/>
    <w:rsid w:val="4E81775A"/>
    <w:rsid w:val="4E9465D2"/>
    <w:rsid w:val="4EEA0D22"/>
    <w:rsid w:val="4EEE37DB"/>
    <w:rsid w:val="4F1521CC"/>
    <w:rsid w:val="4F1D00DD"/>
    <w:rsid w:val="4F9A5CA8"/>
    <w:rsid w:val="500369F6"/>
    <w:rsid w:val="50300249"/>
    <w:rsid w:val="50890F95"/>
    <w:rsid w:val="50CC06E1"/>
    <w:rsid w:val="512651A9"/>
    <w:rsid w:val="51565B0E"/>
    <w:rsid w:val="516F6BB0"/>
    <w:rsid w:val="5187533C"/>
    <w:rsid w:val="51A734C8"/>
    <w:rsid w:val="51AF1AAA"/>
    <w:rsid w:val="51B36318"/>
    <w:rsid w:val="521609E7"/>
    <w:rsid w:val="52204115"/>
    <w:rsid w:val="52573884"/>
    <w:rsid w:val="527759E2"/>
    <w:rsid w:val="528968FE"/>
    <w:rsid w:val="52A100E9"/>
    <w:rsid w:val="52AE46BB"/>
    <w:rsid w:val="52CD6A64"/>
    <w:rsid w:val="52E939F5"/>
    <w:rsid w:val="52EB1898"/>
    <w:rsid w:val="52F67928"/>
    <w:rsid w:val="536E77EE"/>
    <w:rsid w:val="537B71CD"/>
    <w:rsid w:val="53A73517"/>
    <w:rsid w:val="53DF0AF7"/>
    <w:rsid w:val="53F03645"/>
    <w:rsid w:val="542728BF"/>
    <w:rsid w:val="54382735"/>
    <w:rsid w:val="543C5261"/>
    <w:rsid w:val="54481D4D"/>
    <w:rsid w:val="545321C4"/>
    <w:rsid w:val="54A45BFD"/>
    <w:rsid w:val="54F0197B"/>
    <w:rsid w:val="54F73232"/>
    <w:rsid w:val="551C48CB"/>
    <w:rsid w:val="55270F76"/>
    <w:rsid w:val="55344223"/>
    <w:rsid w:val="553D362B"/>
    <w:rsid w:val="5541702D"/>
    <w:rsid w:val="554A6599"/>
    <w:rsid w:val="55910872"/>
    <w:rsid w:val="55AC24D2"/>
    <w:rsid w:val="55E12DDF"/>
    <w:rsid w:val="56124EFC"/>
    <w:rsid w:val="565E4FC2"/>
    <w:rsid w:val="566D5AC2"/>
    <w:rsid w:val="568D7C2E"/>
    <w:rsid w:val="56B64DD1"/>
    <w:rsid w:val="56DC178D"/>
    <w:rsid w:val="56EA6524"/>
    <w:rsid w:val="56FE4801"/>
    <w:rsid w:val="57171136"/>
    <w:rsid w:val="573F72B3"/>
    <w:rsid w:val="575366DA"/>
    <w:rsid w:val="57693E17"/>
    <w:rsid w:val="57852609"/>
    <w:rsid w:val="57D6779F"/>
    <w:rsid w:val="588953DF"/>
    <w:rsid w:val="58CC7036"/>
    <w:rsid w:val="590011DF"/>
    <w:rsid w:val="5981018A"/>
    <w:rsid w:val="5A2971E9"/>
    <w:rsid w:val="5A357F95"/>
    <w:rsid w:val="5A6444DF"/>
    <w:rsid w:val="5A731A42"/>
    <w:rsid w:val="5A743572"/>
    <w:rsid w:val="5A9C4120"/>
    <w:rsid w:val="5AFF2005"/>
    <w:rsid w:val="5B19471F"/>
    <w:rsid w:val="5B277DEC"/>
    <w:rsid w:val="5B704133"/>
    <w:rsid w:val="5B8161CA"/>
    <w:rsid w:val="5B877983"/>
    <w:rsid w:val="5B911336"/>
    <w:rsid w:val="5B9C1C0B"/>
    <w:rsid w:val="5BB97AB4"/>
    <w:rsid w:val="5BC0212D"/>
    <w:rsid w:val="5BCA7EA6"/>
    <w:rsid w:val="5BE24E75"/>
    <w:rsid w:val="5BEB023D"/>
    <w:rsid w:val="5C83497B"/>
    <w:rsid w:val="5C853455"/>
    <w:rsid w:val="5CBB59B4"/>
    <w:rsid w:val="5CBF416C"/>
    <w:rsid w:val="5CE267C3"/>
    <w:rsid w:val="5CE32CDA"/>
    <w:rsid w:val="5D1B0F1B"/>
    <w:rsid w:val="5D2850E5"/>
    <w:rsid w:val="5D29770D"/>
    <w:rsid w:val="5D530D11"/>
    <w:rsid w:val="5D622374"/>
    <w:rsid w:val="5D7941C2"/>
    <w:rsid w:val="5DA602A6"/>
    <w:rsid w:val="5DAF2A40"/>
    <w:rsid w:val="5DD00D06"/>
    <w:rsid w:val="5E333473"/>
    <w:rsid w:val="5E851AD7"/>
    <w:rsid w:val="5EA0364D"/>
    <w:rsid w:val="5F3E2CF0"/>
    <w:rsid w:val="5F463D55"/>
    <w:rsid w:val="5F5005CB"/>
    <w:rsid w:val="5F6C0C2C"/>
    <w:rsid w:val="5F730016"/>
    <w:rsid w:val="5FAE6551"/>
    <w:rsid w:val="5FFF488E"/>
    <w:rsid w:val="60356AC0"/>
    <w:rsid w:val="605938C9"/>
    <w:rsid w:val="60734894"/>
    <w:rsid w:val="60754090"/>
    <w:rsid w:val="607C05F2"/>
    <w:rsid w:val="6084394F"/>
    <w:rsid w:val="608804B1"/>
    <w:rsid w:val="60A63E7B"/>
    <w:rsid w:val="60E42B3D"/>
    <w:rsid w:val="611E5E46"/>
    <w:rsid w:val="61BC51DD"/>
    <w:rsid w:val="61CE3B8D"/>
    <w:rsid w:val="61ED0836"/>
    <w:rsid w:val="61F1668F"/>
    <w:rsid w:val="620E3DBB"/>
    <w:rsid w:val="6278292E"/>
    <w:rsid w:val="62D9132F"/>
    <w:rsid w:val="6319264B"/>
    <w:rsid w:val="63225ABF"/>
    <w:rsid w:val="63451BF7"/>
    <w:rsid w:val="6376445F"/>
    <w:rsid w:val="63765A4A"/>
    <w:rsid w:val="63856383"/>
    <w:rsid w:val="63BE7569"/>
    <w:rsid w:val="643B76CB"/>
    <w:rsid w:val="645B3E33"/>
    <w:rsid w:val="64740A1C"/>
    <w:rsid w:val="649254AA"/>
    <w:rsid w:val="64A50DAF"/>
    <w:rsid w:val="651661B6"/>
    <w:rsid w:val="6543667F"/>
    <w:rsid w:val="6545451A"/>
    <w:rsid w:val="654E573D"/>
    <w:rsid w:val="657C1546"/>
    <w:rsid w:val="658C17CA"/>
    <w:rsid w:val="65A563DF"/>
    <w:rsid w:val="65B53076"/>
    <w:rsid w:val="65E9543A"/>
    <w:rsid w:val="65FF5022"/>
    <w:rsid w:val="66076484"/>
    <w:rsid w:val="664A3935"/>
    <w:rsid w:val="66581618"/>
    <w:rsid w:val="66D06580"/>
    <w:rsid w:val="6773303D"/>
    <w:rsid w:val="67AF77DF"/>
    <w:rsid w:val="67CA0977"/>
    <w:rsid w:val="680577D0"/>
    <w:rsid w:val="68221C1F"/>
    <w:rsid w:val="683E4D93"/>
    <w:rsid w:val="687F33D8"/>
    <w:rsid w:val="689C2C37"/>
    <w:rsid w:val="68AB203D"/>
    <w:rsid w:val="69000865"/>
    <w:rsid w:val="692266CD"/>
    <w:rsid w:val="69456C24"/>
    <w:rsid w:val="697D1115"/>
    <w:rsid w:val="6980100E"/>
    <w:rsid w:val="69A1722F"/>
    <w:rsid w:val="69EC4EDA"/>
    <w:rsid w:val="69F2608E"/>
    <w:rsid w:val="6A2F67B9"/>
    <w:rsid w:val="6A5C730C"/>
    <w:rsid w:val="6A881455"/>
    <w:rsid w:val="6A950418"/>
    <w:rsid w:val="6AAD7ED1"/>
    <w:rsid w:val="6AD25D0D"/>
    <w:rsid w:val="6B17688E"/>
    <w:rsid w:val="6B33796C"/>
    <w:rsid w:val="6B456F47"/>
    <w:rsid w:val="6B4868B2"/>
    <w:rsid w:val="6BBC6EFA"/>
    <w:rsid w:val="6BEF444E"/>
    <w:rsid w:val="6C6519D1"/>
    <w:rsid w:val="6CB22D5C"/>
    <w:rsid w:val="6CC004B2"/>
    <w:rsid w:val="6CC767A8"/>
    <w:rsid w:val="6CD71CCA"/>
    <w:rsid w:val="6CDE3EF9"/>
    <w:rsid w:val="6D092667"/>
    <w:rsid w:val="6D2E262D"/>
    <w:rsid w:val="6DA02882"/>
    <w:rsid w:val="6DAD7CEA"/>
    <w:rsid w:val="6DDA3DCA"/>
    <w:rsid w:val="6DE60161"/>
    <w:rsid w:val="6DEB34E2"/>
    <w:rsid w:val="6DEB39F5"/>
    <w:rsid w:val="6DF253E0"/>
    <w:rsid w:val="6E0256D0"/>
    <w:rsid w:val="6E185758"/>
    <w:rsid w:val="6E3553D1"/>
    <w:rsid w:val="6E3E67F4"/>
    <w:rsid w:val="6E5B60F2"/>
    <w:rsid w:val="6E760380"/>
    <w:rsid w:val="6E7A264F"/>
    <w:rsid w:val="6E8465F2"/>
    <w:rsid w:val="6EA2603D"/>
    <w:rsid w:val="6ED034E0"/>
    <w:rsid w:val="6F414E9A"/>
    <w:rsid w:val="6F8712E1"/>
    <w:rsid w:val="6F8B4AFD"/>
    <w:rsid w:val="6F955032"/>
    <w:rsid w:val="6FA62A80"/>
    <w:rsid w:val="6FDD684D"/>
    <w:rsid w:val="70547C5E"/>
    <w:rsid w:val="707238F5"/>
    <w:rsid w:val="70BC0AB7"/>
    <w:rsid w:val="71163298"/>
    <w:rsid w:val="71A628FF"/>
    <w:rsid w:val="71F24966"/>
    <w:rsid w:val="7220374A"/>
    <w:rsid w:val="722534E7"/>
    <w:rsid w:val="7242038C"/>
    <w:rsid w:val="72532D82"/>
    <w:rsid w:val="725E4709"/>
    <w:rsid w:val="72774E77"/>
    <w:rsid w:val="72AB0214"/>
    <w:rsid w:val="72B416DD"/>
    <w:rsid w:val="72CB30ED"/>
    <w:rsid w:val="72F166D4"/>
    <w:rsid w:val="7331552C"/>
    <w:rsid w:val="73C2085D"/>
    <w:rsid w:val="742915A0"/>
    <w:rsid w:val="74365143"/>
    <w:rsid w:val="744703D5"/>
    <w:rsid w:val="745A4B4C"/>
    <w:rsid w:val="74F91C79"/>
    <w:rsid w:val="74FC7163"/>
    <w:rsid w:val="751F217E"/>
    <w:rsid w:val="752A4499"/>
    <w:rsid w:val="754F6E04"/>
    <w:rsid w:val="755C5621"/>
    <w:rsid w:val="757D6372"/>
    <w:rsid w:val="758C7567"/>
    <w:rsid w:val="75952250"/>
    <w:rsid w:val="75B24048"/>
    <w:rsid w:val="765A164E"/>
    <w:rsid w:val="766D633A"/>
    <w:rsid w:val="76700BCD"/>
    <w:rsid w:val="76874F56"/>
    <w:rsid w:val="76C327ED"/>
    <w:rsid w:val="76F0239F"/>
    <w:rsid w:val="76FB5689"/>
    <w:rsid w:val="770557C3"/>
    <w:rsid w:val="773E7BB3"/>
    <w:rsid w:val="77663F71"/>
    <w:rsid w:val="77D235C6"/>
    <w:rsid w:val="780F2FE0"/>
    <w:rsid w:val="78455FB6"/>
    <w:rsid w:val="786D6D22"/>
    <w:rsid w:val="78903D52"/>
    <w:rsid w:val="78FF0B27"/>
    <w:rsid w:val="79673C48"/>
    <w:rsid w:val="79AA0277"/>
    <w:rsid w:val="79D05318"/>
    <w:rsid w:val="79EE08FA"/>
    <w:rsid w:val="7A177C6A"/>
    <w:rsid w:val="7A1F5BBB"/>
    <w:rsid w:val="7A4D0FF7"/>
    <w:rsid w:val="7AA71045"/>
    <w:rsid w:val="7AD67D9D"/>
    <w:rsid w:val="7B662B40"/>
    <w:rsid w:val="7B6F1C7C"/>
    <w:rsid w:val="7BDD31C6"/>
    <w:rsid w:val="7C3725DB"/>
    <w:rsid w:val="7C405469"/>
    <w:rsid w:val="7C50660F"/>
    <w:rsid w:val="7CA00D4B"/>
    <w:rsid w:val="7CAC0638"/>
    <w:rsid w:val="7D20450B"/>
    <w:rsid w:val="7D56360D"/>
    <w:rsid w:val="7D566A61"/>
    <w:rsid w:val="7D875780"/>
    <w:rsid w:val="7DBD68FD"/>
    <w:rsid w:val="7DFA7CBD"/>
    <w:rsid w:val="7DFF3ECD"/>
    <w:rsid w:val="7E000601"/>
    <w:rsid w:val="7E174DC5"/>
    <w:rsid w:val="7E8E272F"/>
    <w:rsid w:val="7E9D14B9"/>
    <w:rsid w:val="7EA412BC"/>
    <w:rsid w:val="7EA65BD8"/>
    <w:rsid w:val="7EB049D4"/>
    <w:rsid w:val="7EB40DD0"/>
    <w:rsid w:val="7ED77B22"/>
    <w:rsid w:val="7EF249D2"/>
    <w:rsid w:val="7F544A77"/>
    <w:rsid w:val="7F8E2A2F"/>
    <w:rsid w:val="7FCA12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99"/>
    <w:pPr>
      <w:keepNext/>
      <w:keepLines/>
      <w:spacing w:before="340" w:after="330" w:line="576" w:lineRule="auto"/>
      <w:jc w:val="center"/>
      <w:outlineLvl w:val="0"/>
    </w:pPr>
    <w:rPr>
      <w:b/>
      <w:bCs/>
      <w:kern w:val="44"/>
      <w:sz w:val="32"/>
      <w:szCs w:val="32"/>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qFormat/>
    <w:uiPriority w:val="0"/>
    <w:pPr>
      <w:spacing w:line="360" w:lineRule="auto"/>
      <w:ind w:firstLine="200" w:firstLineChars="200"/>
      <w:jc w:val="left"/>
    </w:pPr>
    <w:rPr>
      <w:rFonts w:ascii="方正姚体" w:hAnsi="方正姚体" w:eastAsia="Arial Unicode MS" w:cs="方正姚体"/>
      <w:bCs/>
      <w:sz w:val="24"/>
    </w:rPr>
  </w:style>
  <w:style w:type="paragraph" w:styleId="3">
    <w:name w:val="Body Text"/>
    <w:basedOn w:val="1"/>
    <w:next w:val="2"/>
    <w:qFormat/>
    <w:uiPriority w:val="99"/>
    <w:pPr>
      <w:spacing w:after="120"/>
    </w:pPr>
    <w:rPr>
      <w:sz w:val="24"/>
      <w:szCs w:val="24"/>
    </w:rPr>
  </w:style>
  <w:style w:type="paragraph" w:styleId="6">
    <w:name w:val="Normal Indent"/>
    <w:basedOn w:val="1"/>
    <w:next w:val="1"/>
    <w:qFormat/>
    <w:uiPriority w:val="99"/>
    <w:pPr>
      <w:ind w:firstLine="420"/>
    </w:pPr>
    <w:rPr>
      <w:szCs w:val="21"/>
    </w:rPr>
  </w:style>
  <w:style w:type="paragraph" w:styleId="7">
    <w:name w:val="Body Text Indent"/>
    <w:basedOn w:val="1"/>
    <w:next w:val="1"/>
    <w:unhideWhenUsed/>
    <w:qFormat/>
    <w:uiPriority w:val="99"/>
    <w:pPr>
      <w:spacing w:after="120"/>
      <w:ind w:left="420" w:leftChars="200"/>
    </w:pPr>
  </w:style>
  <w:style w:type="paragraph" w:styleId="8">
    <w:name w:val="Plain Text"/>
    <w:basedOn w:val="1"/>
    <w:next w:val="1"/>
    <w:qFormat/>
    <w:uiPriority w:val="99"/>
    <w:pPr>
      <w:spacing w:beforeLines="50" w:afterLines="50" w:line="400" w:lineRule="exact"/>
    </w:pPr>
    <w:rPr>
      <w:rFonts w:ascii="宋体" w:hAnsi="Courier New" w:cs="宋体"/>
      <w:sz w:val="24"/>
      <w:szCs w:val="24"/>
    </w:rPr>
  </w:style>
  <w:style w:type="paragraph" w:styleId="9">
    <w:name w:val="Date"/>
    <w:basedOn w:val="1"/>
    <w:next w:val="1"/>
    <w:qFormat/>
    <w:uiPriority w:val="0"/>
    <w:pPr>
      <w:ind w:left="2500" w:leftChars="2500"/>
    </w:pPr>
    <w:rPr>
      <w:rFonts w:eastAsia="楷体_GB2312"/>
      <w:sz w:val="32"/>
      <w:szCs w:val="20"/>
    </w:rPr>
  </w:style>
  <w:style w:type="paragraph" w:styleId="10">
    <w:name w:val="Body Text Indent 2"/>
    <w:basedOn w:val="1"/>
    <w:qFormat/>
    <w:uiPriority w:val="0"/>
    <w:pPr>
      <w:ind w:firstLine="2187" w:firstLineChars="495"/>
    </w:pPr>
    <w:rPr>
      <w:b/>
      <w:bCs/>
      <w:sz w:val="44"/>
    </w:rPr>
  </w:style>
  <w:style w:type="paragraph" w:styleId="11">
    <w:name w:val="footer"/>
    <w:basedOn w:val="1"/>
    <w:qFormat/>
    <w:uiPriority w:val="99"/>
    <w:pPr>
      <w:tabs>
        <w:tab w:val="center" w:pos="4153"/>
        <w:tab w:val="right" w:pos="8306"/>
      </w:tabs>
      <w:snapToGrid w:val="0"/>
      <w:jc w:val="left"/>
    </w:pPr>
    <w:rPr>
      <w:sz w:val="18"/>
    </w:rPr>
  </w:style>
  <w:style w:type="paragraph" w:styleId="12">
    <w:name w:val="envelope return"/>
    <w:basedOn w:val="1"/>
    <w:link w:val="27"/>
    <w:unhideWhenUsed/>
    <w:qFormat/>
    <w:uiPriority w:val="99"/>
    <w:pPr>
      <w:autoSpaceDN w:val="0"/>
      <w:adjustRightInd w:val="0"/>
      <w:spacing w:after="60"/>
      <w:jc w:val="left"/>
    </w:pPr>
    <w:rPr>
      <w:rFonts w:ascii="Arial" w:hAnsi="Arial" w:eastAsia="PMingLiU"/>
      <w:kern w:val="0"/>
      <w:sz w:val="20"/>
      <w:szCs w:val="20"/>
      <w:lang w:val="en-GB" w:eastAsia="zh-TW"/>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6"/>
    <w:basedOn w:val="1"/>
    <w:next w:val="1"/>
    <w:unhideWhenUsed/>
    <w:qFormat/>
    <w:uiPriority w:val="39"/>
    <w:pPr>
      <w:ind w:left="1050"/>
      <w:jc w:val="left"/>
    </w:pPr>
    <w:rPr>
      <w:sz w:val="18"/>
      <w:szCs w:val="18"/>
    </w:rPr>
  </w:style>
  <w:style w:type="paragraph" w:styleId="15">
    <w:name w:val="Body Text First Indent 2"/>
    <w:basedOn w:val="7"/>
    <w:qFormat/>
    <w:uiPriority w:val="0"/>
    <w:pPr>
      <w:spacing w:after="0" w:line="200" w:lineRule="exact"/>
      <w:ind w:left="0" w:leftChars="0" w:firstLine="420" w:firstLineChars="200"/>
    </w:pPr>
    <w:rPr>
      <w:rFonts w:ascii="仿宋_GB2312" w:hAnsi="Courier New" w:eastAsia="仿宋_GB2312" w:cs="宋体"/>
      <w:spacing w:val="-4"/>
      <w:sz w:val="18"/>
      <w:szCs w:val="21"/>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basedOn w:val="18"/>
    <w:qFormat/>
    <w:uiPriority w:val="99"/>
    <w:rPr>
      <w:color w:val="0000FF"/>
      <w:u w:val="single"/>
    </w:rPr>
  </w:style>
  <w:style w:type="paragraph" w:customStyle="1" w:styleId="20">
    <w:name w:val="DAS正文"/>
    <w:basedOn w:val="1"/>
    <w:qFormat/>
    <w:uiPriority w:val="0"/>
    <w:pPr>
      <w:tabs>
        <w:tab w:val="left" w:pos="1200"/>
      </w:tabs>
      <w:spacing w:line="360" w:lineRule="exact"/>
      <w:ind w:left="-17" w:leftChars="-8" w:right="181" w:firstLine="632" w:firstLineChars="300"/>
    </w:pPr>
    <w:rPr>
      <w:rFonts w:ascii="Verdana" w:hAnsi="Verdana"/>
      <w:b/>
      <w:bCs/>
      <w:szCs w:val="21"/>
    </w:rPr>
  </w:style>
  <w:style w:type="paragraph" w:customStyle="1" w:styleId="21">
    <w:name w:val="Default"/>
    <w:basedOn w:val="1"/>
    <w:qFormat/>
    <w:uiPriority w:val="0"/>
    <w:pPr>
      <w:autoSpaceDE w:val="0"/>
      <w:autoSpaceDN w:val="0"/>
      <w:adjustRightInd w:val="0"/>
      <w:spacing w:before="120" w:after="120"/>
      <w:jc w:val="left"/>
    </w:pPr>
    <w:rPr>
      <w:rFonts w:ascii="宋体" w:hAnsi="宋体" w:cs="宋体"/>
      <w:color w:val="000000"/>
      <w:kern w:val="0"/>
      <w:sz w:val="24"/>
      <w:szCs w:val="24"/>
    </w:rPr>
  </w:style>
  <w:style w:type="paragraph" w:styleId="22">
    <w:name w:val="List Paragraph"/>
    <w:basedOn w:val="1"/>
    <w:qFormat/>
    <w:uiPriority w:val="34"/>
    <w:pPr>
      <w:ind w:firstLine="420" w:firstLineChars="200"/>
    </w:pPr>
  </w:style>
  <w:style w:type="paragraph" w:customStyle="1" w:styleId="23">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24">
    <w:name w:val="样式 正文缩进 + 首行缩进:  2 字符"/>
    <w:basedOn w:val="6"/>
    <w:qFormat/>
    <w:uiPriority w:val="0"/>
    <w:pPr>
      <w:spacing w:line="360" w:lineRule="auto"/>
      <w:ind w:firstLine="200"/>
    </w:pPr>
    <w:rPr>
      <w:rFonts w:ascii="Times New Roman" w:hAnsi="Times New Roman" w:eastAsia="仿宋" w:cs="Times New Roman"/>
      <w:sz w:val="24"/>
      <w:szCs w:val="20"/>
    </w:rPr>
  </w:style>
  <w:style w:type="paragraph" w:customStyle="1" w:styleId="25">
    <w:name w:val="Table Paragraph"/>
    <w:basedOn w:val="1"/>
    <w:qFormat/>
    <w:uiPriority w:val="1"/>
    <w:rPr>
      <w:rFonts w:ascii="宋体" w:hAnsi="宋体" w:eastAsia="宋体" w:cs="宋体"/>
      <w:lang w:val="en-US" w:eastAsia="zh-CN" w:bidi="ar-SA"/>
    </w:rPr>
  </w:style>
  <w:style w:type="paragraph" w:customStyle="1" w:styleId="26">
    <w:name w:val="*正文"/>
    <w:basedOn w:val="1"/>
    <w:qFormat/>
    <w:uiPriority w:val="0"/>
    <w:pPr>
      <w:spacing w:line="360" w:lineRule="auto"/>
      <w:ind w:firstLine="200" w:firstLineChars="200"/>
      <w:jc w:val="left"/>
    </w:pPr>
    <w:rPr>
      <w:rFonts w:ascii="宋体" w:hAnsi="宋体"/>
      <w:sz w:val="24"/>
    </w:rPr>
  </w:style>
  <w:style w:type="character" w:customStyle="1" w:styleId="27">
    <w:name w:val="寄信人地址 Char"/>
    <w:link w:val="12"/>
    <w:qFormat/>
    <w:uiPriority w:val="99"/>
    <w:rPr>
      <w:rFonts w:ascii="Arial" w:hAnsi="Arial" w:eastAsia="PMingLiU"/>
      <w:kern w:val="0"/>
      <w:sz w:val="20"/>
      <w:szCs w:val="20"/>
      <w:lang w:val="en-GB" w:eastAsia="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vanctech</Company>
  <Pages>12</Pages>
  <Words>851</Words>
  <Characters>1358</Characters>
  <Lines>69</Lines>
  <Paragraphs>19</Paragraphs>
  <TotalTime>46</TotalTime>
  <ScaleCrop>false</ScaleCrop>
  <LinksUpToDate>false</LinksUpToDate>
  <CharactersWithSpaces>1396</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2023-07-07T02:08:00Z</dcterms:created>
  <dc:creator>lenovo</dc:creator>
  <cp:lastModifiedBy>张瀚</cp:lastModifiedBy>
  <cp:lastPrinted>2025-06-23T08:30:00Z</cp:lastPrinted>
  <dcterms:modified xsi:type="dcterms:W3CDTF">2025-07-03T04:27:42Z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5CB07C2F30CA468F9F93E4A79CD28261</vt:lpwstr>
  </property>
  <property fmtid="{D5CDD505-2E9C-101B-9397-08002B2CF9AE}" pid="4" name="KSOTemplateDocerSaveRecord">
    <vt:lpwstr>eyJoZGlkIjoiMGMxODg4ODVkNzdlZDIxOWQxYmQzNTRkMDExZGI4ZGUiLCJ1c2VySWQiOiIzNTUwODM0OTMifQ==</vt:lpwstr>
  </property>
</Properties>
</file>