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宋体"/>
          <w:sz w:val="32"/>
          <w:szCs w:val="32"/>
          <w:highlight w:val="none"/>
        </w:rPr>
      </w:pPr>
      <w:bookmarkStart w:id="1" w:name="_GoBack"/>
      <w:bookmarkStart w:id="0" w:name="_Toc20384570"/>
      <w:r>
        <w:rPr>
          <w:rFonts w:hint="eastAsia" w:ascii="宋体" w:hAnsi="宋体" w:cs="宋体"/>
          <w:sz w:val="32"/>
          <w:szCs w:val="32"/>
          <w:highlight w:val="none"/>
        </w:rPr>
        <w:t>附件1</w:t>
      </w:r>
    </w:p>
    <w:p>
      <w:pPr>
        <w:jc w:val="center"/>
        <w:rPr>
          <w:rFonts w:ascii="宋体" w:hAnsi="宋体" w:cs="宋体"/>
          <w:sz w:val="44"/>
          <w:szCs w:val="44"/>
          <w:highlight w:val="none"/>
          <w:u w:val="single"/>
        </w:rPr>
      </w:pPr>
    </w:p>
    <w:p>
      <w:pPr>
        <w:jc w:val="center"/>
        <w:outlineLvl w:val="0"/>
        <w:rPr>
          <w:rFonts w:ascii="宋体" w:hAnsi="宋体" w:cs="宋体"/>
          <w:sz w:val="72"/>
          <w:szCs w:val="44"/>
          <w:highlight w:val="none"/>
        </w:rPr>
      </w:pPr>
      <w:r>
        <w:rPr>
          <w:rFonts w:hint="eastAsia" w:ascii="宋体" w:hAnsi="宋体" w:cs="宋体"/>
          <w:sz w:val="72"/>
          <w:szCs w:val="44"/>
          <w:highlight w:val="none"/>
        </w:rPr>
        <w:t>政府采购项目</w:t>
      </w:r>
    </w:p>
    <w:p>
      <w:pPr>
        <w:jc w:val="center"/>
        <w:outlineLvl w:val="0"/>
        <w:rPr>
          <w:rFonts w:ascii="宋体" w:hAnsi="宋体" w:cs="宋体"/>
          <w:sz w:val="72"/>
          <w:szCs w:val="44"/>
          <w:highlight w:val="none"/>
        </w:rPr>
      </w:pPr>
      <w:r>
        <w:rPr>
          <w:rFonts w:hint="eastAsia" w:ascii="宋体" w:hAnsi="宋体" w:cs="宋体"/>
          <w:sz w:val="72"/>
          <w:szCs w:val="44"/>
          <w:highlight w:val="none"/>
        </w:rPr>
        <w:t>采 购 需 求</w:t>
      </w:r>
    </w:p>
    <w:p>
      <w:pPr>
        <w:jc w:val="center"/>
        <w:rPr>
          <w:rFonts w:ascii="宋体" w:hAnsi="宋体" w:cs="宋体"/>
          <w:sz w:val="44"/>
          <w:szCs w:val="44"/>
          <w:highlight w:val="none"/>
        </w:rPr>
      </w:pPr>
    </w:p>
    <w:p>
      <w:pPr>
        <w:ind w:firstLine="1440" w:firstLineChars="450"/>
        <w:rPr>
          <w:rFonts w:ascii="宋体" w:hAnsi="宋体" w:cs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</w:rPr>
        <w:t>义乌妇幼保健院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  <w:lang w:eastAsia="zh-CN"/>
        </w:rPr>
        <w:t>胃肠镜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</w:rPr>
        <w:t>采购项目</w:t>
      </w:r>
    </w:p>
    <w:p>
      <w:pPr>
        <w:ind w:firstLine="1440" w:firstLineChars="45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采购单位：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single"/>
        </w:rPr>
        <w:t>义乌市妇幼保健院</w:t>
      </w:r>
    </w:p>
    <w:p>
      <w:pPr>
        <w:ind w:firstLine="1440" w:firstLineChars="450"/>
        <w:rPr>
          <w:rFonts w:ascii="宋体" w:hAnsi="宋体" w:cs="宋体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编制单位：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 xml:space="preserve">                     </w:t>
      </w:r>
    </w:p>
    <w:p>
      <w:pPr>
        <w:ind w:firstLine="1440" w:firstLineChars="450"/>
        <w:rPr>
          <w:rFonts w:ascii="宋体" w:hAnsi="宋体" w:cs="宋体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编制时间：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 xml:space="preserve">   202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>年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>月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 xml:space="preserve">日   </w:t>
      </w:r>
    </w:p>
    <w:p>
      <w:pPr>
        <w:rPr>
          <w:rFonts w:ascii="宋体" w:hAnsi="宋体" w:cs="宋体"/>
          <w:sz w:val="44"/>
          <w:szCs w:val="44"/>
          <w:highlight w:val="none"/>
        </w:rPr>
      </w:pPr>
    </w:p>
    <w:p>
      <w:pPr>
        <w:rPr>
          <w:rFonts w:ascii="宋体" w:hAnsi="宋体" w:cs="宋体"/>
          <w:sz w:val="44"/>
          <w:szCs w:val="44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cs="宋体"/>
          <w:sz w:val="44"/>
          <w:szCs w:val="44"/>
          <w:highlight w:val="none"/>
        </w:rPr>
      </w:pPr>
      <w:r>
        <w:rPr>
          <w:rFonts w:hint="eastAsia" w:ascii="宋体" w:hAnsi="宋体" w:cs="宋体"/>
          <w:sz w:val="44"/>
          <w:szCs w:val="44"/>
          <w:highlight w:val="none"/>
        </w:rPr>
        <w:t>编 制 说 明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一、采购单位可以自行组织编制采购需求，也可以委托采购代理机构或者其他第三方机构编制。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二、编制的采购需求应当符合《财政部关于印发政府采购需求管理办法的通知》（财库〔2022〕22号）要求及政府采购的相关规定。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三、斜体字部分属于提醒内容，编制时应删除。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四、对不适用的内容应删除，并调整相应序号。</w:t>
      </w:r>
    </w:p>
    <w:p>
      <w:pPr>
        <w:spacing w:line="560" w:lineRule="exact"/>
        <w:rPr>
          <w:rFonts w:ascii="宋体" w:hAnsi="宋体" w:cs="宋体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ind w:firstLine="0" w:firstLineChars="0"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一、需求调查情况</w:t>
      </w:r>
    </w:p>
    <w:p>
      <w:pPr>
        <w:pStyle w:val="3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（一）</w:t>
      </w:r>
      <w:r>
        <w:rPr>
          <w:rFonts w:hint="eastAsia" w:ascii="宋体" w:hAnsi="宋体" w:cs="宋体"/>
          <w:szCs w:val="32"/>
          <w:highlight w:val="none"/>
        </w:rPr>
        <w:t>是否开展需求调查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是。</w:t>
      </w: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（二）需求调查方式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采用咨询、论证等方式。</w:t>
      </w: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（三）需求调查对象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医疗设备生产厂家及代理公司。</w:t>
      </w: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（四）</w:t>
      </w:r>
      <w:r>
        <w:rPr>
          <w:rFonts w:hint="eastAsia" w:ascii="宋体" w:hAnsi="宋体" w:cs="宋体"/>
          <w:szCs w:val="32"/>
          <w:highlight w:val="none"/>
        </w:rPr>
        <w:t>需求调查结果</w:t>
      </w:r>
    </w:p>
    <w:p>
      <w:pPr>
        <w:pStyle w:val="13"/>
        <w:ind w:firstLine="600"/>
        <w:jc w:val="both"/>
        <w:outlineLvl w:val="2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1.相关产业发展情况</w:t>
      </w:r>
    </w:p>
    <w:p>
      <w:pPr>
        <w:pStyle w:val="13"/>
        <w:ind w:firstLine="600"/>
        <w:jc w:val="both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消化系统疾病是儿科常见病，如腹痛、呕吐、呕血、便血、过敏性紫癜、胃内异物等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儿童胃肠镜在儿科领域的应用逐步受到重视，已成为消化系统疾病较安全、准确的检查方法。中国消化内镜从20世纪50年代发展至今，已有半个多世纪的时间。  近20年来，随着消化内镜设备的改良以及内镜技术的不断进步，儿童消化内镜在诊断与治疗方面开展的项目愈来愈多。胃镜检查、上消化道粘膜活检术、上消化道异物取出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等，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这些微创手术消除了患儿的病痛、促进了患儿的康复、减轻了患儿家族的经济负担，取得了良好的社会效益。</w:t>
      </w:r>
    </w:p>
    <w:p>
      <w:pPr>
        <w:pStyle w:val="13"/>
        <w:ind w:firstLine="600"/>
        <w:jc w:val="both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随着消化内镜设备的改良以及内镜技术的不断进步，儿科内镜在诊断与治疗方面开展的项目愈来愈多。儿科临床虽已积累了一定的操作经验，但由于儿童胃肠腔道狭小操作困难、胃肠壁薄容易穿孔以及配合困难等原因，操作的风险相对成人明显增高。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奥林巴斯的胃肠镜不仅可以帮助临床医生更高效的提高诊断率，更能有效帮助临床科室拓宽诊疗范围。同时，奥林巴斯的胃肠镜也适用于成人的各项胃肠镜诊疗，大大提高了设备的使用率。</w:t>
      </w:r>
    </w:p>
    <w:p>
      <w:pPr>
        <w:pStyle w:val="13"/>
        <w:ind w:firstLine="600"/>
        <w:jc w:val="both"/>
        <w:rPr>
          <w:rFonts w:ascii="宋体" w:hAnsi="宋体" w:eastAsia="宋体" w:cs="宋体"/>
          <w:sz w:val="30"/>
          <w:szCs w:val="30"/>
          <w:highlight w:val="none"/>
        </w:rPr>
      </w:pPr>
    </w:p>
    <w:p>
      <w:pPr>
        <w:pStyle w:val="13"/>
        <w:ind w:firstLine="600"/>
        <w:jc w:val="both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2.市场供给情况</w:t>
      </w:r>
    </w:p>
    <w:p>
      <w:pPr>
        <w:ind w:firstLine="420"/>
        <w:rPr>
          <w:rFonts w:ascii="宋体" w:hAnsi="宋体" w:cs="宋体"/>
          <w:bCs/>
          <w:kern w:val="28"/>
          <w:sz w:val="30"/>
          <w:szCs w:val="30"/>
          <w:highlight w:val="none"/>
        </w:rPr>
      </w:pPr>
      <w:r>
        <w:rPr>
          <w:rFonts w:hint="eastAsia" w:ascii="宋体" w:hAnsi="宋体" w:cs="宋体"/>
          <w:bCs/>
          <w:kern w:val="28"/>
          <w:sz w:val="30"/>
          <w:szCs w:val="30"/>
          <w:highlight w:val="none"/>
          <w:lang w:eastAsia="zh-CN"/>
        </w:rPr>
        <w:t>胃肠镜</w:t>
      </w:r>
      <w:r>
        <w:rPr>
          <w:rFonts w:hint="eastAsia" w:ascii="宋体" w:hAnsi="宋体" w:cs="宋体"/>
          <w:bCs/>
          <w:kern w:val="28"/>
          <w:sz w:val="30"/>
          <w:szCs w:val="30"/>
          <w:highlight w:val="none"/>
        </w:rPr>
        <w:t>目前市场分为进口和国产，大多数医院都会选择进口：</w:t>
      </w:r>
    </w:p>
    <w:p>
      <w:pPr>
        <w:pStyle w:val="3"/>
        <w:keepNext w:val="0"/>
        <w:keepLines w:val="0"/>
        <w:widowControl/>
        <w:shd w:val="clear" w:color="auto" w:fill="FFFFFF"/>
        <w:spacing w:before="0" w:after="0"/>
        <w:rPr>
          <w:rFonts w:ascii="宋体" w:hAnsi="宋体" w:cs="宋体"/>
          <w:kern w:val="28"/>
          <w:sz w:val="30"/>
          <w:szCs w:val="30"/>
          <w:highlight w:val="none"/>
        </w:rPr>
      </w:pPr>
      <w:r>
        <w:rPr>
          <w:rFonts w:hint="eastAsia" w:ascii="宋体" w:hAnsi="宋体" w:cs="宋体"/>
          <w:kern w:val="28"/>
          <w:sz w:val="30"/>
          <w:szCs w:val="30"/>
          <w:highlight w:val="none"/>
        </w:rPr>
        <w:t>1）进口品牌包括：</w:t>
      </w:r>
      <w:r>
        <w:rPr>
          <w:rFonts w:hint="eastAsia" w:ascii="宋体" w:hAnsi="宋体" w:cs="宋体"/>
          <w:kern w:val="28"/>
          <w:sz w:val="30"/>
          <w:szCs w:val="30"/>
          <w:highlight w:val="none"/>
          <w:lang w:eastAsia="zh-CN"/>
        </w:rPr>
        <w:t>日本奥林巴斯，日本富士</w:t>
      </w:r>
      <w:r>
        <w:rPr>
          <w:rFonts w:hint="eastAsia" w:ascii="宋体" w:hAnsi="宋体" w:cs="宋体"/>
          <w:color w:val="333333"/>
          <w:sz w:val="30"/>
          <w:szCs w:val="30"/>
          <w:highlight w:val="none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sz w:val="30"/>
          <w:szCs w:val="30"/>
          <w:highlight w:val="none"/>
          <w:shd w:val="clear" w:color="auto" w:fill="FFFFFF"/>
          <w:lang w:eastAsia="zh-CN"/>
        </w:rPr>
        <w:t>日本宾得</w:t>
      </w:r>
      <w:r>
        <w:rPr>
          <w:rFonts w:hint="eastAsia" w:ascii="宋体" w:hAnsi="宋体" w:cs="宋体"/>
          <w:kern w:val="28"/>
          <w:sz w:val="30"/>
          <w:szCs w:val="30"/>
          <w:highlight w:val="none"/>
        </w:rPr>
        <w:t>。</w:t>
      </w:r>
    </w:p>
    <w:p>
      <w:pPr>
        <w:rPr>
          <w:rFonts w:hint="eastAsia" w:ascii="宋体" w:hAnsi="宋体" w:cs="宋体"/>
          <w:bCs/>
          <w:kern w:val="28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kern w:val="28"/>
          <w:sz w:val="30"/>
          <w:szCs w:val="30"/>
          <w:highlight w:val="none"/>
        </w:rPr>
        <w:t>2）国产品牌主要是</w:t>
      </w:r>
      <w:r>
        <w:rPr>
          <w:rFonts w:hint="eastAsia" w:ascii="宋体" w:hAnsi="宋体" w:cs="宋体"/>
          <w:b/>
          <w:kern w:val="28"/>
          <w:sz w:val="30"/>
          <w:szCs w:val="30"/>
          <w:highlight w:val="none"/>
          <w:lang w:eastAsia="zh-CN"/>
        </w:rPr>
        <w:t>开立、澳华</w:t>
      </w:r>
      <w:r>
        <w:rPr>
          <w:rFonts w:hint="eastAsia" w:ascii="宋体" w:hAnsi="宋体" w:cs="宋体"/>
          <w:bCs/>
          <w:kern w:val="28"/>
          <w:sz w:val="30"/>
          <w:szCs w:val="30"/>
          <w:highlight w:val="none"/>
        </w:rPr>
        <w:t>。</w:t>
      </w:r>
    </w:p>
    <w:p>
      <w:pPr>
        <w:rPr>
          <w:rFonts w:ascii="宋体" w:hAnsi="宋体" w:cs="宋体"/>
          <w:highlight w:val="none"/>
        </w:rPr>
      </w:pPr>
    </w:p>
    <w:p>
      <w:pPr>
        <w:pStyle w:val="13"/>
        <w:ind w:firstLine="640"/>
        <w:jc w:val="both"/>
        <w:outlineLvl w:val="2"/>
        <w:rPr>
          <w:rFonts w:ascii="宋体" w:hAnsi="宋体" w:eastAsia="宋体" w:cs="宋体"/>
          <w:bCs w:val="0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 w:val="0"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3.同类采购项目历史成交信息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采购人名称：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江山市人民医院，项目名称：江山市新冠肺炎医疗救治体系建设项目设备紧急采购，招标编号：JRY-SB-紧急2022001 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采购人名称：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东阳市红会医院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项目名称：东阳市红会医院医疗设备采购项目，招标编号：1021-224WUSHI0403</w:t>
      </w:r>
    </w:p>
    <w:p>
      <w:pPr>
        <w:pStyle w:val="2"/>
        <w:rPr>
          <w:rFonts w:hint="eastAsia"/>
          <w:highlight w:val="none"/>
        </w:rPr>
      </w:pPr>
    </w:p>
    <w:p>
      <w:pPr>
        <w:pStyle w:val="13"/>
        <w:ind w:firstLine="600"/>
        <w:jc w:val="both"/>
        <w:outlineLvl w:val="2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4.涉及的运行维护、升级更新、备品备件、耗材等后续采购情况</w:t>
      </w:r>
    </w:p>
    <w:p>
      <w:pPr>
        <w:spacing w:line="56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eastAsia="zh-CN"/>
        </w:rPr>
        <w:t>胃肠镜</w:t>
      </w:r>
    </w:p>
    <w:p>
      <w:pPr>
        <w:spacing w:line="560" w:lineRule="exact"/>
        <w:ind w:firstLine="600" w:firstLineChars="200"/>
        <w:rPr>
          <w:rFonts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1）安装维护：中标方承担运费、吊装费、装卸费、保险费、安装费、仓储费等一切费用；中标方需提供所有中标设备的安装、调试服务并承担所有费用。提供安装、调试方案。</w:t>
      </w:r>
    </w:p>
    <w:p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2）系统更新：系统新版本更新会通知客户，免费维护，并及时提供设备新功能和临床应用的资料。</w:t>
      </w:r>
    </w:p>
    <w:p>
      <w:pPr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3）备品备件：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/</w:t>
      </w:r>
    </w:p>
    <w:p>
      <w:pPr>
        <w:spacing w:line="560" w:lineRule="exact"/>
        <w:ind w:firstLine="600" w:firstLineChars="200"/>
        <w:rPr>
          <w:rFonts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4）耗材：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/</w:t>
      </w:r>
    </w:p>
    <w:p>
      <w:pPr>
        <w:pStyle w:val="15"/>
        <w:ind w:firstLine="0" w:firstLineChars="0"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二、需求清单</w:t>
      </w: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（一）项目概况</w:t>
      </w:r>
    </w:p>
    <w:p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</w:rPr>
        <w:t>义乌市妇幼保健院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胃肠镜</w:t>
      </w:r>
      <w:r>
        <w:rPr>
          <w:rFonts w:hint="eastAsia" w:ascii="宋体" w:hAnsi="宋体" w:cs="宋体"/>
          <w:sz w:val="30"/>
          <w:szCs w:val="30"/>
          <w:highlight w:val="none"/>
        </w:rPr>
        <w:t>采购的供货、安装、调试、技术服务、相关文件的提交、与技术规格一致的产品图表及资料、保证期内的维修服务等。</w:t>
      </w:r>
    </w:p>
    <w:p>
      <w:pPr>
        <w:spacing w:before="156" w:beforeLines="50" w:after="156" w:afterLines="50" w:line="360" w:lineRule="auto"/>
        <w:ind w:firstLine="495"/>
        <w:rPr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招标货物一览表</w:t>
      </w:r>
    </w:p>
    <w:tbl>
      <w:tblPr>
        <w:tblStyle w:val="20"/>
        <w:tblW w:w="8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674"/>
        <w:gridCol w:w="123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标段号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电子胃肠镜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3根</w:t>
            </w:r>
          </w:p>
        </w:tc>
        <w:tc>
          <w:tcPr>
            <w:tcW w:w="31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/>
                <w:sz w:val="24"/>
                <w:highlight w:val="none"/>
              </w:rPr>
              <w:t>本项目接受进口产品参与投标。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i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i/>
                <w:sz w:val="24"/>
                <w:highlight w:val="none"/>
              </w:rPr>
            </w:pPr>
          </w:p>
        </w:tc>
      </w:tr>
    </w:tbl>
    <w:p>
      <w:pPr>
        <w:pStyle w:val="18"/>
        <w:ind w:firstLine="0" w:firstLineChars="0"/>
        <w:rPr>
          <w:rFonts w:ascii="宋体" w:hAnsi="宋体" w:cs="宋体"/>
          <w:sz w:val="32"/>
          <w:szCs w:val="32"/>
          <w:highlight w:val="none"/>
        </w:rPr>
      </w:pP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（二）采购项目预（概）算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总 预 算：</w:t>
      </w:r>
      <w:r>
        <w:rPr>
          <w:rFonts w:hint="eastAsia" w:ascii="宋体" w:hAnsi="宋体" w:cs="宋体"/>
          <w:sz w:val="32"/>
          <w:szCs w:val="32"/>
          <w:highlight w:val="none"/>
          <w:u w:val="single"/>
          <w:lang w:val="en-US" w:eastAsia="zh-CN"/>
        </w:rPr>
        <w:t>119</w:t>
      </w:r>
      <w:r>
        <w:rPr>
          <w:rFonts w:hint="eastAsia" w:ascii="宋体" w:hAnsi="宋体" w:cs="宋体"/>
          <w:sz w:val="32"/>
          <w:szCs w:val="32"/>
          <w:highlight w:val="none"/>
          <w:u w:val="single"/>
        </w:rPr>
        <w:t>万元</w:t>
      </w: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（三）采购标的汇总表</w:t>
      </w:r>
    </w:p>
    <w:tbl>
      <w:tblPr>
        <w:tblStyle w:val="19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1843"/>
        <w:gridCol w:w="1417"/>
        <w:gridCol w:w="1276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包号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标的名称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品目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分类编码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计量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电子胃肠镜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i/>
                <w:sz w:val="28"/>
                <w:szCs w:val="28"/>
                <w:highlight w:val="none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adjustRightInd w:val="0"/>
              <w:snapToGrid w:val="0"/>
              <w:jc w:val="center"/>
              <w:rPr>
                <w:rFonts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i/>
                <w:sz w:val="28"/>
                <w:szCs w:val="28"/>
                <w:highlight w:val="none"/>
                <w:u w:val="single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adjustRightInd w:val="0"/>
              <w:snapToGrid w:val="0"/>
              <w:rPr>
                <w:rFonts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宋体" w:hAnsi="宋体" w:cs="宋体"/>
          <w:i/>
          <w:sz w:val="32"/>
          <w:szCs w:val="32"/>
          <w:highlight w:val="none"/>
          <w:u w:val="single"/>
        </w:rPr>
      </w:pPr>
    </w:p>
    <w:p>
      <w:pPr>
        <w:pStyle w:val="3"/>
        <w:jc w:val="left"/>
        <w:rPr>
          <w:rFonts w:ascii="宋体" w:hAnsi="宋体" w:cs="宋体"/>
          <w:szCs w:val="32"/>
          <w:highlight w:val="none"/>
        </w:rPr>
      </w:pPr>
      <w:r>
        <w:rPr>
          <w:rFonts w:hint="eastAsia" w:ascii="宋体" w:hAnsi="宋体" w:cs="宋体"/>
          <w:szCs w:val="32"/>
          <w:highlight w:val="none"/>
        </w:rPr>
        <w:t>（四）</w:t>
      </w:r>
      <w:r>
        <w:rPr>
          <w:rFonts w:hint="eastAsia" w:ascii="宋体" w:hAnsi="宋体" w:cs="宋体"/>
          <w:szCs w:val="32"/>
          <w:highlight w:val="none"/>
        </w:rPr>
        <w:t>技术商务要求</w:t>
      </w:r>
    </w:p>
    <w:bookmarkEnd w:id="0"/>
    <w:p>
      <w:pPr>
        <w:snapToGrid w:val="0"/>
        <w:spacing w:before="50" w:after="156" w:afterLines="50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标段一：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电子胃肠镜</w:t>
      </w:r>
    </w:p>
    <w:p>
      <w:pPr>
        <w:rPr>
          <w:rFonts w:ascii="宋体" w:hAnsi="宋体" w:cs="宋体"/>
          <w:highlight w:val="none"/>
        </w:rPr>
      </w:pPr>
    </w:p>
    <w:tbl>
      <w:tblPr>
        <w:tblStyle w:val="19"/>
        <w:tblW w:w="8222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2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caps/>
                <w:szCs w:val="21"/>
                <w:highlight w:val="none"/>
              </w:rPr>
            </w:pPr>
            <w:r>
              <w:rPr>
                <w:rFonts w:hint="eastAsia"/>
                <w:caps/>
                <w:szCs w:val="21"/>
                <w:highlight w:val="none"/>
              </w:rPr>
              <w:t>序号</w:t>
            </w:r>
          </w:p>
        </w:tc>
        <w:tc>
          <w:tcPr>
            <w:tcW w:w="7322" w:type="dxa"/>
            <w:vAlign w:val="center"/>
          </w:tcPr>
          <w:p>
            <w:pPr>
              <w:jc w:val="center"/>
              <w:rPr>
                <w:caps/>
                <w:szCs w:val="21"/>
                <w:highlight w:val="none"/>
              </w:rPr>
            </w:pPr>
            <w:r>
              <w:rPr>
                <w:rFonts w:hint="eastAsia"/>
                <w:caps/>
                <w:szCs w:val="21"/>
                <w:highlight w:val="none"/>
              </w:rPr>
              <w:t>技术参数要求及配置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</w:t>
            </w:r>
          </w:p>
        </w:tc>
        <w:tc>
          <w:tcPr>
            <w:tcW w:w="7322" w:type="dxa"/>
            <w:vAlign w:val="center"/>
          </w:tcPr>
          <w:p>
            <w:pPr>
              <w:widowControl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适用范围和总体要求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配置互相匹配，适用于消化道及周边脏器的检查和治疗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7322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制造商在上海市内设有正规内窥镜维修服务中心，杭州市内设有维修站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</w:t>
            </w:r>
          </w:p>
        </w:tc>
        <w:tc>
          <w:tcPr>
            <w:tcW w:w="7322" w:type="dxa"/>
            <w:vAlign w:val="center"/>
          </w:tcPr>
          <w:p>
            <w:pPr>
              <w:widowControl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技术参数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highlight w:val="none"/>
                <w:lang w:val="en-US" w:eastAsia="zh-CN"/>
              </w:rPr>
              <w:t>1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Times New Roman" w:eastAsia="宋体" w:cs="宋体"/>
                <w:b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电子胃镜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根）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none"/>
              </w:rPr>
              <w:t>.1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顺次式成像方式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▲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none"/>
              </w:rPr>
              <w:t>.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2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CCD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成像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none"/>
              </w:rPr>
              <w:t>.</w:t>
            </w:r>
            <w:r>
              <w:rPr>
                <w:rFonts w:hint="eastAsia" w:ascii="宋体" w:hAnsi="宋体" w:cs="宋体"/>
                <w:highlight w:val="none"/>
              </w:rPr>
              <w:t>3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视野角：≥140°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.4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先端部外径：≤10.2mm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.5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插入管外径：≤9.9mm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.6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弯曲角度：上≥210°，下≥90°，左≥100°，右≥100°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.7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有效长度：≥1030mm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.8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最小可视距离：距先端3.0mm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.9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钳道内径：≥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2.8</w:t>
            </w:r>
            <w:r>
              <w:rPr>
                <w:rFonts w:hint="eastAsia" w:ascii="宋体" w:hAnsi="宋体" w:cs="宋体"/>
                <w:highlight w:val="none"/>
              </w:rPr>
              <w:t>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1.10</w:t>
            </w:r>
          </w:p>
        </w:tc>
        <w:tc>
          <w:tcPr>
            <w:tcW w:w="73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具有内镜信息记忆功能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.11</w:t>
            </w:r>
          </w:p>
        </w:tc>
        <w:tc>
          <w:tcPr>
            <w:tcW w:w="73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兼容HDTV成像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△1</w:t>
            </w:r>
            <w:r>
              <w:rPr>
                <w:rFonts w:hint="eastAsia" w:ascii="宋体" w:hAnsi="宋体"/>
                <w:highlight w:val="none"/>
              </w:rPr>
              <w:t>.12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具备实现</w:t>
            </w:r>
            <w:r>
              <w:rPr>
                <w:rFonts w:hint="eastAsia"/>
                <w:highlight w:val="none"/>
              </w:rPr>
              <w:t>NBI窄带成像功能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highlight w:val="none"/>
              </w:rPr>
              <w:t>.1</w:t>
            </w:r>
            <w:r>
              <w:rPr>
                <w:rFonts w:hint="eastAsia" w:ascii="宋体" w:cs="宋体"/>
                <w:highlight w:val="none"/>
                <w:lang w:eastAsia="zh-CN"/>
              </w:rPr>
              <w:t>3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防水一触式接头，无需防水帽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电子结肠镜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根）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.1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顺次式成像方式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△2.2</w:t>
            </w:r>
          </w:p>
        </w:tc>
        <w:tc>
          <w:tcPr>
            <w:tcW w:w="7322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黑白</w:t>
            </w:r>
            <w:r>
              <w:rPr>
                <w:rFonts w:hint="eastAsia" w:ascii="宋体" w:hAnsi="宋体" w:cs="宋体"/>
                <w:highlight w:val="none"/>
              </w:rPr>
              <w:t>CCD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▲2</w:t>
            </w:r>
            <w:r>
              <w:rPr>
                <w:rFonts w:ascii="宋体" w:hAnsi="宋体" w:cs="宋体"/>
                <w:highlight w:val="none"/>
              </w:rPr>
              <w:t>.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23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视野角：</w:t>
            </w:r>
            <w:r>
              <w:rPr>
                <w:rFonts w:hint="eastAsia" w:ascii="宋体" w:hAnsi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170°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</w:t>
            </w:r>
            <w:r>
              <w:rPr>
                <w:rFonts w:hint="eastAsia" w:ascii="宋体" w:hAnsi="宋体" w:cs="宋体"/>
                <w:highlight w:val="none"/>
              </w:rPr>
              <w:t>4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插入部外径：≤1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.5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先端部外径：≤1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2.8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.6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弯曲部弯曲角度：上≥180°，下≥180°，左≥160°，右≥160°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.7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有效长度：≥1330mm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2.8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全长：≥1655mm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.9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钳子最小可视距离：距先端部3mm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.10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钳子管道内径：≥3.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mm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.11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具有内镜信息记忆功能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.12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可兼容高频电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.13</w:t>
            </w:r>
          </w:p>
        </w:tc>
        <w:tc>
          <w:tcPr>
            <w:tcW w:w="732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可兼容激光治疗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none"/>
              </w:rPr>
              <w:t>.</w:t>
            </w:r>
            <w:r>
              <w:rPr>
                <w:rFonts w:hint="eastAsia" w:ascii="宋体" w:hAnsi="宋体" w:cs="宋体"/>
                <w:highlight w:val="none"/>
              </w:rPr>
              <w:t>1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4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兼容HDTV成像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△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2.15</w:t>
            </w:r>
          </w:p>
        </w:tc>
        <w:tc>
          <w:tcPr>
            <w:tcW w:w="7322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</w:rPr>
              <w:t>具备实现</w:t>
            </w:r>
            <w:r>
              <w:rPr>
                <w:rFonts w:hint="eastAsia"/>
                <w:highlight w:val="none"/>
              </w:rPr>
              <w:t>NBI窄带成像功能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2.16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具有副送水功能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△2.17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 xml:space="preserve">具有HFT强力传导功能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△2.18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具有PB智能弯曲功能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△2.19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具有可变硬度功能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2.20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防水一触式接头，无需防水帽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2.21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采用三条导光束设计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  <w:lang w:val="en-US" w:eastAsia="zh-CN"/>
              </w:rPr>
              <w:t>三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配置要求：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lang w:val="en-US" w:eastAsia="zh-CN"/>
              </w:rPr>
              <w:t>1.1</w:t>
            </w:r>
          </w:p>
        </w:tc>
        <w:tc>
          <w:tcPr>
            <w:tcW w:w="732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eastAsia="zh-CN"/>
              </w:rPr>
              <w:t>胃镜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1根，肠镜2根</w:t>
            </w:r>
          </w:p>
        </w:tc>
      </w:tr>
    </w:tbl>
    <w:p>
      <w:pPr>
        <w:pStyle w:val="38"/>
        <w:spacing w:line="360" w:lineRule="auto"/>
        <w:ind w:firstLine="482" w:firstLineChars="200"/>
        <w:rPr>
          <w:rFonts w:hAnsi="宋体" w:eastAsia="宋体" w:cs="宋体"/>
          <w:b/>
          <w:sz w:val="24"/>
          <w:highlight w:val="none"/>
        </w:rPr>
      </w:pPr>
    </w:p>
    <w:p>
      <w:pPr>
        <w:pStyle w:val="38"/>
        <w:spacing w:line="360" w:lineRule="auto"/>
        <w:ind w:firstLine="602" w:firstLineChars="200"/>
        <w:rPr>
          <w:rFonts w:hAnsi="宋体" w:eastAsia="宋体" w:cs="宋体"/>
          <w:b/>
          <w:color w:val="000000" w:themeColor="text1"/>
          <w:sz w:val="30"/>
          <w:szCs w:val="30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四、商务要求</w:t>
      </w:r>
    </w:p>
    <w:p>
      <w:pPr>
        <w:spacing w:line="360" w:lineRule="auto"/>
        <w:ind w:firstLine="600" w:firstLineChars="200"/>
        <w:rPr>
          <w:rFonts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：合同签订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90个工作日内到货。</w:t>
      </w:r>
    </w:p>
    <w:p>
      <w:pPr>
        <w:snapToGrid w:val="0"/>
        <w:spacing w:line="360" w:lineRule="auto"/>
        <w:ind w:firstLine="602" w:firstLineChars="200"/>
        <w:outlineLvl w:val="0"/>
        <w:rPr>
          <w:rFonts w:ascii="宋体" w:hAnsi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2、质保期</w:t>
      </w:r>
    </w:p>
    <w:p>
      <w:pPr>
        <w:pStyle w:val="8"/>
        <w:spacing w:line="360" w:lineRule="auto"/>
        <w:ind w:firstLine="600" w:firstLineChars="200"/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原厂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质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保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设备终生维修，软件升级终生免费。</w:t>
      </w:r>
    </w:p>
    <w:p>
      <w:pPr>
        <w:pStyle w:val="8"/>
        <w:spacing w:line="360" w:lineRule="auto"/>
        <w:ind w:firstLine="600" w:firstLineChars="200"/>
        <w:rPr>
          <w:rFonts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hAnsi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设备培训</w:t>
      </w:r>
    </w:p>
    <w:p>
      <w:pPr>
        <w:pStyle w:val="8"/>
        <w:spacing w:line="360" w:lineRule="auto"/>
        <w:ind w:firstLine="600" w:firstLineChars="200"/>
        <w:rPr>
          <w:rFonts w:hint="eastAsia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在设备安装完成后，提供</w:t>
      </w:r>
      <w:r>
        <w:rPr>
          <w:rFonts w:hint="eastAsia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如下培训</w:t>
      </w:r>
    </w:p>
    <w:p>
      <w:pPr>
        <w:pStyle w:val="8"/>
        <w:numPr>
          <w:ilvl w:val="0"/>
          <w:numId w:val="2"/>
        </w:numPr>
        <w:spacing w:line="360" w:lineRule="auto"/>
        <w:ind w:firstLine="600" w:firstLineChars="200"/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操作培训，培训内容涵盖开关机，日常操作，消耗品更换，定期使用保养等，并承担所有费用。</w:t>
      </w:r>
    </w:p>
    <w:p>
      <w:pPr>
        <w:pStyle w:val="8"/>
        <w:numPr>
          <w:ilvl w:val="0"/>
          <w:numId w:val="2"/>
        </w:numPr>
        <w:spacing w:line="360" w:lineRule="auto"/>
        <w:ind w:firstLine="600" w:firstLineChars="200"/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维修培训，培训内容包括系统原理，各部件功能及原理，定期维护保养，消耗品更换，常见故障排除等，并承担所有费用。</w:t>
      </w:r>
    </w:p>
    <w:p>
      <w:pPr>
        <w:pStyle w:val="8"/>
        <w:spacing w:line="360" w:lineRule="auto"/>
        <w:ind w:firstLine="600" w:firstLineChars="200"/>
        <w:rPr>
          <w:rFonts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4、</w:t>
      </w:r>
      <w:r>
        <w:rPr>
          <w:rFonts w:hint="eastAsia" w:hAnsi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提供操作手册、维修手册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>
      <w:pPr>
        <w:spacing w:line="560" w:lineRule="exact"/>
        <w:jc w:val="left"/>
        <w:rPr>
          <w:rFonts w:ascii="宋体" w:hAnsi="宋体" w:cs="宋体"/>
          <w:sz w:val="32"/>
          <w:szCs w:val="32"/>
          <w:highlight w:val="none"/>
        </w:rPr>
      </w:pPr>
    </w:p>
    <w:bookmarkEnd w:id="1"/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5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— </w:t>
    </w:r>
  </w:p>
  <w:p>
    <w:pPr>
      <w:pStyle w:val="11"/>
      <w:ind w:right="360" w:firstLine="360"/>
    </w:pP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—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30A2E"/>
    <w:multiLevelType w:val="multilevel"/>
    <w:tmpl w:val="28630A2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940595"/>
    <w:multiLevelType w:val="singleLevel"/>
    <w:tmpl w:val="7994059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Nzc4OWY2M2E3MzQ3OTgxNDZlNWQ0YmNjNjc2YjcifQ=="/>
  </w:docVars>
  <w:rsids>
    <w:rsidRoot w:val="00000000"/>
    <w:rsid w:val="25912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unhideWhenUsed/>
    <w:qFormat/>
    <w:uiPriority w:val="0"/>
    <w:pPr>
      <w:spacing w:after="120"/>
    </w:pPr>
  </w:style>
  <w:style w:type="paragraph" w:styleId="6">
    <w:name w:val="annotation text"/>
    <w:basedOn w:val="1"/>
    <w:link w:val="27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0"/>
    <w:pPr>
      <w:spacing w:line="360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0"/>
    <w:qFormat/>
    <w:uiPriority w:val="0"/>
    <w:pPr>
      <w:spacing w:before="240" w:after="60"/>
      <w:ind w:firstLine="200" w:firstLineChars="20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"/>
    <w:basedOn w:val="2"/>
    <w:qFormat/>
    <w:uiPriority w:val="0"/>
    <w:pPr>
      <w:ind w:firstLine="420" w:firstLineChars="100"/>
    </w:pPr>
  </w:style>
  <w:style w:type="paragraph" w:styleId="18">
    <w:name w:val="Body Text First Indent 2"/>
    <w:basedOn w:val="7"/>
    <w:qFormat/>
    <w:uiPriority w:val="0"/>
    <w:pPr>
      <w:snapToGrid w:val="0"/>
      <w:spacing w:line="360" w:lineRule="auto"/>
      <w:ind w:left="0" w:leftChars="0" w:firstLine="420" w:firstLineChars="200"/>
    </w:pPr>
    <w:rPr>
      <w:rFonts w:ascii="Tahoma" w:hAnsi="Tahoma"/>
      <w:kern w:val="0"/>
      <w:sz w:val="28"/>
    </w:rPr>
  </w:style>
  <w:style w:type="table" w:styleId="20">
    <w:name w:val="Table Grid"/>
    <w:basedOn w:val="1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字符"/>
    <w:link w:val="3"/>
    <w:qFormat/>
    <w:uiPriority w:val="0"/>
    <w:rPr>
      <w:b/>
      <w:bCs/>
      <w:kern w:val="44"/>
      <w:sz w:val="32"/>
      <w:szCs w:val="44"/>
    </w:rPr>
  </w:style>
  <w:style w:type="character" w:customStyle="1" w:styleId="26">
    <w:name w:val="标题 3 字符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7">
    <w:name w:val="批注文字 字符"/>
    <w:link w:val="6"/>
    <w:qFormat/>
    <w:uiPriority w:val="0"/>
    <w:rPr>
      <w:kern w:val="2"/>
      <w:sz w:val="21"/>
      <w:szCs w:val="24"/>
    </w:rPr>
  </w:style>
  <w:style w:type="character" w:customStyle="1" w:styleId="28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副标题 字符"/>
    <w:link w:val="13"/>
    <w:qFormat/>
    <w:uiPriority w:val="0"/>
    <w:rPr>
      <w:rFonts w:ascii="等线 Light" w:hAnsi="等线 Light" w:eastAsia="仿宋" w:cs="Times New Roman"/>
      <w:bCs/>
      <w:kern w:val="28"/>
      <w:sz w:val="32"/>
      <w:szCs w:val="32"/>
    </w:rPr>
  </w:style>
  <w:style w:type="character" w:customStyle="1" w:styleId="30">
    <w:name w:val="标题 字符"/>
    <w:link w:val="15"/>
    <w:qFormat/>
    <w:uiPriority w:val="0"/>
    <w:rPr>
      <w:rFonts w:ascii="等线 Light" w:hAnsi="等线 Light" w:eastAsia="黑体" w:cs="Times New Roman"/>
      <w:b/>
      <w:bCs/>
      <w:kern w:val="2"/>
      <w:sz w:val="32"/>
      <w:szCs w:val="32"/>
    </w:rPr>
  </w:style>
  <w:style w:type="character" w:customStyle="1" w:styleId="31">
    <w:name w:val="批注主题 字符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2">
    <w:name w:val="正文文本 字符"/>
    <w:basedOn w:val="21"/>
    <w:link w:val="2"/>
    <w:qFormat/>
    <w:uiPriority w:val="0"/>
    <w:rPr>
      <w:kern w:val="2"/>
      <w:sz w:val="21"/>
      <w:szCs w:val="24"/>
    </w:rPr>
  </w:style>
  <w:style w:type="character" w:customStyle="1" w:styleId="33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34">
    <w:name w:val="．正文"/>
    <w:basedOn w:val="1"/>
    <w:qFormat/>
    <w:uiPriority w:val="0"/>
    <w:pPr>
      <w:ind w:firstLine="485" w:firstLineChars="202"/>
    </w:pPr>
    <w:rPr>
      <w:rFonts w:ascii="仿宋_GB2312" w:hAnsi="Calibri" w:eastAsia="仿宋_GB2312"/>
    </w:rPr>
  </w:style>
  <w:style w:type="paragraph" w:customStyle="1" w:styleId="35">
    <w:name w:val="Table Paragraph"/>
    <w:basedOn w:val="1"/>
    <w:qFormat/>
    <w:uiPriority w:val="1"/>
    <w:rPr>
      <w:rFonts w:ascii="宋体" w:hAnsi="宋体"/>
      <w:lang w:val="zh-CN" w:bidi="zh-CN"/>
    </w:rPr>
  </w:style>
  <w:style w:type="table" w:customStyle="1" w:styleId="3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NormalCharacter"/>
    <w:qFormat/>
    <w:uiPriority w:val="0"/>
  </w:style>
  <w:style w:type="paragraph" w:customStyle="1" w:styleId="38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  <w:style w:type="paragraph" w:customStyle="1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1912</Words>
  <Characters>2128</Characters>
  <Lines>27</Lines>
  <Paragraphs>7</Paragraphs>
  <TotalTime>0</TotalTime>
  <ScaleCrop>false</ScaleCrop>
  <LinksUpToDate>false</LinksUpToDate>
  <CharactersWithSpaces>2168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2022-11-04T13:44:00Z</dcterms:created>
  <dc:creator>MC SYSTEM</dc:creator>
  <cp:lastModifiedBy>陳驍</cp:lastModifiedBy>
  <cp:lastPrinted>2021-07-24T09:17:00Z</cp:lastPrinted>
  <dcterms:modified xsi:type="dcterms:W3CDTF">2023-03-01T01:36:16Z</dcterms:modified>
  <dc:title>厦财采〔2021〕9号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ACD8D36CD0684567896E4D244BD818CE</vt:lpwstr>
  </property>
</Properties>
</file>