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hint="default" w:ascii="Times New Roman" w:hAnsi="Times New Roman" w:eastAsia="宋体" w:cs="Times New Roman"/>
          <w:b/>
          <w:bCs/>
          <w:sz w:val="52"/>
          <w:szCs w:val="52"/>
        </w:rPr>
      </w:pPr>
    </w:p>
    <w:p>
      <w:pPr>
        <w:pStyle w:val="31"/>
        <w:jc w:val="center"/>
        <w:rPr>
          <w:rFonts w:hint="default" w:ascii="Times New Roman" w:hAnsi="Times New Roman" w:eastAsia="宋体" w:cs="Times New Roman"/>
          <w:b/>
          <w:bCs/>
          <w:sz w:val="52"/>
          <w:szCs w:val="52"/>
        </w:rPr>
      </w:pPr>
    </w:p>
    <w:p>
      <w:pPr>
        <w:pStyle w:val="31"/>
        <w:jc w:val="center"/>
        <w:rPr>
          <w:rFonts w:hint="default" w:ascii="Times New Roman" w:hAnsi="Times New Roman" w:eastAsia="宋体" w:cs="Times New Roman"/>
          <w:b/>
          <w:bCs/>
          <w:sz w:val="52"/>
          <w:szCs w:val="52"/>
        </w:rPr>
      </w:pPr>
    </w:p>
    <w:p>
      <w:pPr>
        <w:pStyle w:val="31"/>
        <w:jc w:val="center"/>
        <w:rPr>
          <w:rFonts w:hint="default" w:ascii="Times New Roman" w:hAnsi="Times New Roman" w:eastAsia="宋体" w:cs="Times New Roman"/>
          <w:b/>
          <w:bCs/>
          <w:sz w:val="52"/>
          <w:szCs w:val="52"/>
        </w:rPr>
      </w:pPr>
      <w:r>
        <w:rPr>
          <w:rFonts w:hint="default" w:ascii="Times New Roman" w:hAnsi="Times New Roman" w:eastAsia="宋体" w:cs="Times New Roman"/>
          <w:b/>
          <w:bCs/>
          <w:sz w:val="52"/>
          <w:szCs w:val="52"/>
        </w:rPr>
        <w:t>浙江大学医学院附属第四医院</w:t>
      </w:r>
    </w:p>
    <w:p>
      <w:pPr>
        <w:pStyle w:val="31"/>
        <w:jc w:val="center"/>
        <w:rPr>
          <w:rFonts w:hint="default" w:ascii="Times New Roman" w:hAnsi="Times New Roman" w:eastAsia="宋体" w:cs="Times New Roman"/>
          <w:b/>
          <w:bCs/>
          <w:sz w:val="52"/>
          <w:szCs w:val="52"/>
        </w:rPr>
      </w:pPr>
      <w:r>
        <w:rPr>
          <w:rFonts w:hint="default" w:ascii="Times New Roman" w:hAnsi="Times New Roman" w:eastAsia="宋体" w:cs="Times New Roman"/>
          <w:b/>
          <w:bCs/>
          <w:sz w:val="52"/>
          <w:szCs w:val="52"/>
        </w:rPr>
        <w:t>超高效液相色谱-串联质谱系统</w:t>
      </w:r>
    </w:p>
    <w:p>
      <w:pPr>
        <w:pStyle w:val="31"/>
        <w:jc w:val="center"/>
        <w:rPr>
          <w:rFonts w:hint="default" w:ascii="Times New Roman" w:hAnsi="Times New Roman" w:eastAsia="宋体" w:cs="Times New Roman"/>
          <w:b/>
          <w:bCs/>
          <w:sz w:val="52"/>
          <w:szCs w:val="52"/>
        </w:rPr>
      </w:pPr>
      <w:r>
        <w:rPr>
          <w:rFonts w:hint="default" w:ascii="Times New Roman" w:hAnsi="Times New Roman" w:eastAsia="宋体" w:cs="Times New Roman"/>
          <w:b/>
          <w:bCs/>
          <w:sz w:val="52"/>
          <w:szCs w:val="52"/>
        </w:rPr>
        <w:t>（含分拣系统）项目</w:t>
      </w:r>
    </w:p>
    <w:p>
      <w:pPr>
        <w:spacing w:line="360" w:lineRule="auto"/>
        <w:jc w:val="center"/>
        <w:rPr>
          <w:rFonts w:hint="default" w:ascii="Times New Roman" w:hAnsi="Times New Roman" w:eastAsia="宋体" w:cs="Times New Roman"/>
          <w:sz w:val="72"/>
          <w:szCs w:val="72"/>
        </w:rPr>
      </w:pPr>
    </w:p>
    <w:p>
      <w:pPr>
        <w:spacing w:line="360" w:lineRule="auto"/>
        <w:jc w:val="center"/>
        <w:rPr>
          <w:rFonts w:hint="default" w:ascii="Times New Roman" w:hAnsi="Times New Roman" w:eastAsia="宋体" w:cs="Times New Roman"/>
          <w:sz w:val="72"/>
          <w:szCs w:val="72"/>
        </w:rPr>
      </w:pPr>
    </w:p>
    <w:p>
      <w:pPr>
        <w:spacing w:line="360" w:lineRule="auto"/>
        <w:jc w:val="center"/>
        <w:rPr>
          <w:rFonts w:hint="default" w:ascii="Times New Roman" w:hAnsi="Times New Roman" w:eastAsia="宋体" w:cs="Times New Roman"/>
          <w:sz w:val="72"/>
          <w:szCs w:val="72"/>
        </w:rPr>
      </w:pPr>
    </w:p>
    <w:p>
      <w:pPr>
        <w:spacing w:line="360" w:lineRule="auto"/>
        <w:jc w:val="center"/>
        <w:rPr>
          <w:rFonts w:hint="default" w:ascii="Times New Roman" w:hAnsi="Times New Roman" w:eastAsia="宋体" w:cs="Times New Roman"/>
          <w:sz w:val="84"/>
          <w:szCs w:val="84"/>
        </w:rPr>
      </w:pPr>
      <w:r>
        <w:rPr>
          <w:rFonts w:hint="default" w:ascii="Times New Roman" w:hAnsi="Times New Roman" w:eastAsia="宋体" w:cs="Times New Roman"/>
          <w:sz w:val="84"/>
          <w:szCs w:val="84"/>
        </w:rPr>
        <w:t>招标文件</w:t>
      </w:r>
    </w:p>
    <w:p>
      <w:pPr>
        <w:spacing w:line="360" w:lineRule="auto"/>
        <w:jc w:val="center"/>
        <w:rPr>
          <w:rFonts w:hint="default" w:ascii="Times New Roman" w:hAnsi="Times New Roman" w:eastAsia="宋体" w:cs="Times New Roman"/>
          <w:sz w:val="72"/>
          <w:szCs w:val="72"/>
        </w:rPr>
      </w:pPr>
    </w:p>
    <w:p>
      <w:pPr>
        <w:pStyle w:val="31"/>
        <w:snapToGrid w:val="0"/>
        <w:spacing w:before="120" w:after="120" w:line="360" w:lineRule="auto"/>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rPr>
        <w:t>采购编号：</w:t>
      </w:r>
      <w:r>
        <w:rPr>
          <w:rFonts w:hint="default" w:ascii="Times New Roman" w:hAnsi="Times New Roman" w:eastAsia="宋体" w:cs="Times New Roman"/>
          <w:b/>
          <w:bCs/>
          <w:sz w:val="32"/>
          <w:szCs w:val="32"/>
          <w:lang w:eastAsia="zh-CN"/>
        </w:rPr>
        <w:t>YWCG2023018GK</w:t>
      </w:r>
    </w:p>
    <w:p>
      <w:pPr>
        <w:pStyle w:val="31"/>
        <w:snapToGrid w:val="0"/>
        <w:spacing w:before="120" w:after="120" w:line="360" w:lineRule="auto"/>
        <w:jc w:val="center"/>
        <w:rPr>
          <w:rFonts w:hint="default" w:ascii="Times New Roman" w:hAnsi="Times New Roman" w:eastAsia="宋体" w:cs="Times New Roman"/>
          <w:b/>
          <w:bCs/>
          <w:sz w:val="32"/>
          <w:szCs w:val="32"/>
        </w:rPr>
      </w:pPr>
    </w:p>
    <w:p>
      <w:pPr>
        <w:pStyle w:val="31"/>
        <w:snapToGrid w:val="0"/>
        <w:spacing w:before="120" w:after="120" w:line="360" w:lineRule="auto"/>
        <w:jc w:val="center"/>
        <w:rPr>
          <w:rFonts w:hint="default" w:ascii="Times New Roman" w:hAnsi="Times New Roman" w:eastAsia="宋体" w:cs="Times New Roman"/>
          <w:b/>
          <w:bCs/>
          <w:sz w:val="32"/>
          <w:szCs w:val="32"/>
        </w:rPr>
      </w:pPr>
    </w:p>
    <w:p>
      <w:pPr>
        <w:pStyle w:val="31"/>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w w:val="95"/>
          <w:sz w:val="32"/>
          <w:szCs w:val="32"/>
        </w:rPr>
        <w:t xml:space="preserve">    </w:t>
      </w:r>
      <w:r>
        <w:rPr>
          <w:rFonts w:hint="default" w:ascii="Times New Roman" w:hAnsi="Times New Roman" w:eastAsia="宋体" w:cs="Times New Roman"/>
          <w:b/>
          <w:bCs/>
          <w:w w:val="95"/>
          <w:sz w:val="32"/>
          <w:szCs w:val="32"/>
          <w:lang w:val="en-US" w:eastAsia="zh-CN"/>
        </w:rPr>
        <w:t xml:space="preserve">     </w:t>
      </w:r>
      <w:r>
        <w:rPr>
          <w:rFonts w:hint="default" w:ascii="Times New Roman" w:hAnsi="Times New Roman" w:eastAsia="宋体" w:cs="Times New Roman"/>
          <w:b/>
          <w:bCs/>
          <w:w w:val="95"/>
          <w:sz w:val="32"/>
          <w:szCs w:val="32"/>
        </w:rPr>
        <w:t xml:space="preserve"> </w:t>
      </w:r>
      <w:r>
        <w:rPr>
          <w:rFonts w:hint="default" w:ascii="Times New Roman" w:hAnsi="Times New Roman" w:eastAsia="宋体" w:cs="Times New Roman"/>
          <w:b/>
          <w:bCs/>
          <w:w w:val="95"/>
          <w:sz w:val="32"/>
          <w:szCs w:val="32"/>
          <w:lang w:val="en-US" w:eastAsia="zh-CN"/>
        </w:rPr>
        <w:t xml:space="preserve">   </w:t>
      </w:r>
      <w:r>
        <w:rPr>
          <w:rFonts w:hint="default" w:ascii="Times New Roman" w:hAnsi="Times New Roman" w:eastAsia="宋体" w:cs="Times New Roman"/>
          <w:b/>
          <w:bCs/>
          <w:w w:val="95"/>
          <w:sz w:val="32"/>
          <w:szCs w:val="32"/>
        </w:rPr>
        <w:t>采购人：</w:t>
      </w:r>
      <w:r>
        <w:rPr>
          <w:rFonts w:hint="default" w:ascii="Times New Roman" w:hAnsi="Times New Roman" w:eastAsia="宋体" w:cs="Times New Roman"/>
          <w:b/>
          <w:bCs/>
          <w:sz w:val="32"/>
          <w:szCs w:val="32"/>
          <w:u w:val="single"/>
        </w:rPr>
        <w:t>浙江大学医学院附属第四医院</w:t>
      </w:r>
      <w:r>
        <w:rPr>
          <w:rFonts w:hint="default" w:ascii="Times New Roman" w:hAnsi="Times New Roman" w:eastAsia="宋体" w:cs="Times New Roman"/>
          <w:b/>
          <w:bCs/>
          <w:sz w:val="32"/>
          <w:szCs w:val="32"/>
        </w:rPr>
        <w:t>（盖章）</w:t>
      </w:r>
    </w:p>
    <w:p>
      <w:pPr>
        <w:pStyle w:val="31"/>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w w:val="95"/>
          <w:sz w:val="32"/>
          <w:szCs w:val="32"/>
        </w:rPr>
        <w:t>采购代理机构：</w:t>
      </w:r>
      <w:r>
        <w:rPr>
          <w:rFonts w:hint="default" w:ascii="Times New Roman" w:hAnsi="Times New Roman" w:eastAsia="宋体" w:cs="Times New Roman"/>
          <w:b/>
          <w:bCs/>
          <w:sz w:val="32"/>
          <w:szCs w:val="32"/>
          <w:u w:val="single"/>
        </w:rPr>
        <w:t>义乌市政府采购中心</w:t>
      </w:r>
      <w:r>
        <w:rPr>
          <w:rFonts w:hint="default" w:ascii="Times New Roman" w:hAnsi="Times New Roman" w:eastAsia="宋体" w:cs="Times New Roman"/>
          <w:b/>
          <w:bCs/>
          <w:sz w:val="32"/>
          <w:szCs w:val="32"/>
        </w:rPr>
        <w:t>（盖章）</w:t>
      </w:r>
    </w:p>
    <w:p>
      <w:pPr>
        <w:pStyle w:val="31"/>
        <w:snapToGrid w:val="0"/>
        <w:spacing w:before="120" w:after="120" w:line="360" w:lineRule="auto"/>
        <w:ind w:firstLine="2891" w:firstLineChars="900"/>
        <w:jc w:val="both"/>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日期：</w:t>
      </w:r>
      <w:r>
        <w:rPr>
          <w:rFonts w:hint="default" w:ascii="Times New Roman" w:hAnsi="Times New Roman" w:eastAsia="宋体" w:cs="Times New Roman"/>
          <w:b/>
          <w:bCs/>
          <w:color w:val="FF0000"/>
          <w:sz w:val="32"/>
          <w:szCs w:val="32"/>
          <w:u w:val="single"/>
        </w:rPr>
        <w:t>202</w:t>
      </w:r>
      <w:r>
        <w:rPr>
          <w:rFonts w:hint="default" w:ascii="Times New Roman" w:hAnsi="Times New Roman" w:eastAsia="宋体" w:cs="Times New Roman"/>
          <w:b/>
          <w:bCs/>
          <w:color w:val="FF0000"/>
          <w:sz w:val="32"/>
          <w:szCs w:val="32"/>
          <w:u w:val="single"/>
          <w:lang w:val="en-US" w:eastAsia="zh-CN"/>
        </w:rPr>
        <w:t>3</w:t>
      </w:r>
      <w:r>
        <w:rPr>
          <w:rFonts w:hint="default" w:ascii="Times New Roman" w:hAnsi="Times New Roman" w:eastAsia="宋体" w:cs="Times New Roman"/>
          <w:b/>
          <w:bCs/>
          <w:color w:val="FF0000"/>
          <w:sz w:val="32"/>
          <w:szCs w:val="32"/>
          <w:u w:val="single"/>
        </w:rPr>
        <w:t>年</w:t>
      </w:r>
      <w:r>
        <w:rPr>
          <w:rFonts w:hint="default" w:ascii="Times New Roman" w:hAnsi="Times New Roman" w:eastAsia="宋体" w:cs="Times New Roman"/>
          <w:b/>
          <w:bCs/>
          <w:color w:val="FF0000"/>
          <w:sz w:val="32"/>
          <w:szCs w:val="32"/>
          <w:u w:val="single"/>
          <w:lang w:val="en-US" w:eastAsia="zh-CN"/>
        </w:rPr>
        <w:t>4</w:t>
      </w:r>
      <w:r>
        <w:rPr>
          <w:rFonts w:hint="default" w:ascii="Times New Roman" w:hAnsi="Times New Roman" w:eastAsia="宋体" w:cs="Times New Roman"/>
          <w:b/>
          <w:bCs/>
          <w:color w:val="FF0000"/>
          <w:sz w:val="32"/>
          <w:szCs w:val="32"/>
          <w:u w:val="single"/>
        </w:rPr>
        <w:t>月</w:t>
      </w:r>
      <w:r>
        <w:rPr>
          <w:rFonts w:hint="default" w:ascii="Times New Roman" w:hAnsi="Times New Roman" w:eastAsia="宋体" w:cs="Times New Roman"/>
          <w:b/>
          <w:bCs/>
          <w:color w:val="FF0000"/>
          <w:sz w:val="32"/>
          <w:szCs w:val="32"/>
          <w:u w:val="single"/>
          <w:lang w:val="en-US" w:eastAsia="zh-CN"/>
        </w:rPr>
        <w:t>XX</w:t>
      </w:r>
      <w:r>
        <w:rPr>
          <w:rFonts w:hint="default" w:ascii="Times New Roman" w:hAnsi="Times New Roman" w:eastAsia="宋体" w:cs="Times New Roman"/>
          <w:b/>
          <w:bCs/>
          <w:color w:val="FF0000"/>
          <w:sz w:val="32"/>
          <w:szCs w:val="32"/>
          <w:u w:val="single"/>
        </w:rPr>
        <w:t>日</w:t>
      </w:r>
    </w:p>
    <w:p>
      <w:pPr>
        <w:pStyle w:val="31"/>
        <w:spacing w:before="120" w:after="120" w:line="360" w:lineRule="auto"/>
        <w:ind w:firstLine="420" w:firstLineChars="200"/>
        <w:jc w:val="center"/>
        <w:rPr>
          <w:rFonts w:hint="default" w:ascii="Times New Roman" w:hAnsi="Times New Roman" w:eastAsia="宋体" w:cs="Times New Roman"/>
          <w:b/>
          <w:sz w:val="44"/>
          <w:szCs w:val="44"/>
        </w:rPr>
      </w:pPr>
      <w:r>
        <w:rPr>
          <w:rFonts w:hint="default" w:ascii="Times New Roman" w:hAnsi="Times New Roman" w:eastAsia="宋体" w:cs="Times New Roman"/>
        </w:rPr>
        <w:br w:type="page"/>
      </w:r>
      <w:r>
        <w:rPr>
          <w:rFonts w:hint="default" w:ascii="Times New Roman" w:hAnsi="Times New Roman" w:eastAsia="宋体" w:cs="Times New Roman"/>
          <w:b/>
          <w:sz w:val="44"/>
          <w:szCs w:val="44"/>
        </w:rPr>
        <w:t>招标文件目录</w:t>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"1-1"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"_Toc32671"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第一章　采购公告</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_Toc32671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"_Toc17086"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第二章　投标须知和投标须知前附表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_Toc17086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"_Toc9111"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第三章 招标项目要求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_Toc9111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"_Toc9757"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第四章 开标、评标和定标须知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_Toc9757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"_Toc1097"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第五章 投标文件的无效情形</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_Toc1097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"_Toc31163"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第六章 评标办法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_Toc31163 \h </w:instrText>
      </w:r>
      <w:r>
        <w:rPr>
          <w:rFonts w:hint="default" w:ascii="Times New Roman" w:hAnsi="Times New Roman" w:eastAsia="宋体" w:cs="Times New Roman"/>
        </w:rPr>
        <w:fldChar w:fldCharType="separate"/>
      </w:r>
      <w:r>
        <w:rPr>
          <w:rFonts w:hint="default" w:ascii="Times New Roman" w:hAnsi="Times New Roman" w:eastAsia="宋体" w:cs="Times New Roman"/>
        </w:rPr>
        <w:t>28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"_Toc26103"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第七章 义乌市政府采购合同（样本）</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_Toc26103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39"/>
        <w:tabs>
          <w:tab w:val="right" w:leader="dot" w:pos="9638"/>
          <w:tab w:val="clear" w:pos="934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"_Toc1594"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第八章 投标文件部分格式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_Toc1594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rPr>
          <w:rFonts w:hint="default" w:ascii="Times New Roman" w:hAnsi="Times New Roman" w:eastAsia="宋体" w:cs="Times New Roman"/>
        </w:rPr>
      </w:pPr>
      <w:r>
        <w:rPr>
          <w:rFonts w:hint="default" w:ascii="Times New Roman" w:hAnsi="Times New Roman" w:eastAsia="宋体" w:cs="Times New Roman"/>
        </w:rPr>
        <w:fldChar w:fldCharType="end"/>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pStyle w:val="5"/>
        <w:spacing w:before="0" w:after="0" w:line="400" w:lineRule="atLeast"/>
        <w:jc w:val="center"/>
        <w:rPr>
          <w:rFonts w:hint="default" w:ascii="Times New Roman" w:hAnsi="Times New Roman" w:eastAsia="宋体" w:cs="Times New Roman"/>
          <w:sz w:val="36"/>
        </w:rPr>
      </w:pPr>
      <w:bookmarkStart w:id="0" w:name="_Toc12092"/>
      <w:bookmarkStart w:id="1" w:name="_Toc32671"/>
      <w:bookmarkStart w:id="2" w:name="_Toc20979"/>
      <w:bookmarkStart w:id="3" w:name="_Toc25119"/>
      <w:bookmarkStart w:id="4" w:name="_Toc406413925"/>
      <w:r>
        <w:rPr>
          <w:rFonts w:hint="default" w:ascii="Times New Roman" w:hAnsi="Times New Roman" w:eastAsia="宋体" w:cs="Times New Roman"/>
          <w:sz w:val="36"/>
        </w:rPr>
        <w:t>第一章　采购公告</w:t>
      </w:r>
      <w:bookmarkEnd w:id="0"/>
      <w:bookmarkEnd w:id="1"/>
      <w:bookmarkEnd w:id="2"/>
      <w:bookmarkEnd w:id="3"/>
      <w:bookmarkEnd w:id="4"/>
    </w:p>
    <w:p>
      <w:pPr>
        <w:snapToGrid w:val="0"/>
        <w:spacing w:line="360" w:lineRule="exact"/>
        <w:ind w:firstLine="470" w:firstLineChars="196"/>
        <w:rPr>
          <w:rFonts w:hint="default" w:ascii="Times New Roman" w:hAnsi="Times New Roman" w:eastAsia="宋体" w:cs="Times New Roman"/>
          <w:b/>
          <w:bCs/>
          <w:highlight w:val="none"/>
        </w:rPr>
      </w:pPr>
      <w:r>
        <w:rPr>
          <w:rFonts w:hint="default" w:ascii="Times New Roman" w:hAnsi="Times New Roman" w:eastAsia="宋体" w:cs="Times New Roman"/>
          <w:szCs w:val="21"/>
        </w:rPr>
        <w:t>根据《</w:t>
      </w:r>
      <w:r>
        <w:rPr>
          <w:rFonts w:hint="default" w:ascii="Times New Roman" w:hAnsi="Times New Roman" w:eastAsia="宋体" w:cs="Times New Roman"/>
          <w:szCs w:val="21"/>
          <w:highlight w:val="none"/>
        </w:rPr>
        <w:t>中华人民共和国政府采购法》等有关规定，义乌市政府采购中心受委托，就</w:t>
      </w:r>
      <w:r>
        <w:rPr>
          <w:rFonts w:hint="default" w:ascii="Times New Roman" w:hAnsi="Times New Roman" w:eastAsia="宋体" w:cs="Times New Roman"/>
          <w:color w:val="FF0000"/>
          <w:szCs w:val="21"/>
          <w:highlight w:val="none"/>
        </w:rPr>
        <w:t>浙江大学医学院附属第四医院超高效液相色谱-串联质谱系统（含分拣系统）项目</w:t>
      </w:r>
      <w:r>
        <w:rPr>
          <w:rFonts w:hint="default" w:ascii="Times New Roman" w:hAnsi="Times New Roman" w:eastAsia="宋体" w:cs="Times New Roman"/>
          <w:szCs w:val="21"/>
          <w:highlight w:val="none"/>
        </w:rPr>
        <w:t>进行公开招标，欢迎国内合格的供应商参加投标。</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一、项目基本情况</w:t>
      </w:r>
    </w:p>
    <w:p>
      <w:pPr>
        <w:snapToGrid w:val="0"/>
        <w:spacing w:line="360" w:lineRule="exact"/>
        <w:ind w:firstLine="470" w:firstLineChars="196"/>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1.采购编号：</w:t>
      </w:r>
      <w:r>
        <w:rPr>
          <w:rFonts w:hint="default" w:ascii="Times New Roman" w:hAnsi="Times New Roman" w:eastAsia="宋体" w:cs="Times New Roman"/>
          <w:bCs/>
          <w:color w:val="FF0000"/>
          <w:szCs w:val="21"/>
          <w:highlight w:val="none"/>
          <w:lang w:eastAsia="zh-CN"/>
        </w:rPr>
        <w:t>YWCG2023018GK</w:t>
      </w:r>
    </w:p>
    <w:p>
      <w:pPr>
        <w:snapToGrid w:val="0"/>
        <w:spacing w:line="360" w:lineRule="exact"/>
        <w:ind w:firstLine="470" w:firstLineChars="196"/>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szCs w:val="21"/>
          <w:highlight w:val="none"/>
        </w:rPr>
        <w:t>2.项目名称：</w:t>
      </w:r>
      <w:r>
        <w:rPr>
          <w:rFonts w:hint="default" w:ascii="Times New Roman" w:hAnsi="Times New Roman" w:eastAsia="宋体" w:cs="Times New Roman"/>
          <w:bCs/>
          <w:color w:val="FF0000"/>
          <w:szCs w:val="21"/>
          <w:highlight w:val="none"/>
        </w:rPr>
        <w:t>浙江大学医学院附属第四医院超高效液相色谱-串联质谱系统（含分拣系统）项目</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3.项目预算：</w:t>
      </w:r>
      <w:r>
        <w:rPr>
          <w:rFonts w:hint="default" w:ascii="Times New Roman" w:hAnsi="Times New Roman" w:eastAsia="宋体" w:cs="Times New Roman"/>
          <w:color w:val="FF0000"/>
          <w:szCs w:val="21"/>
          <w:highlight w:val="none"/>
          <w:lang w:val="en-US" w:eastAsia="zh-CN"/>
        </w:rPr>
        <w:t>315</w:t>
      </w:r>
      <w:r>
        <w:rPr>
          <w:rFonts w:hint="default" w:ascii="Times New Roman" w:hAnsi="Times New Roman" w:eastAsia="宋体" w:cs="Times New Roman"/>
          <w:color w:val="FF0000"/>
          <w:szCs w:val="21"/>
          <w:highlight w:val="none"/>
        </w:rPr>
        <w:t xml:space="preserve">万元 </w:t>
      </w:r>
      <w:r>
        <w:rPr>
          <w:rFonts w:hint="default" w:ascii="Times New Roman" w:hAnsi="Times New Roman" w:eastAsia="宋体" w:cs="Times New Roman"/>
          <w:szCs w:val="21"/>
          <w:highlight w:val="none"/>
        </w:rPr>
        <w:t xml:space="preserve"> 最高限价：</w:t>
      </w:r>
      <w:r>
        <w:rPr>
          <w:rFonts w:hint="default" w:ascii="Times New Roman" w:hAnsi="Times New Roman" w:eastAsia="宋体" w:cs="Times New Roman"/>
          <w:color w:val="FF0000"/>
          <w:szCs w:val="21"/>
          <w:highlight w:val="none"/>
          <w:lang w:val="en-US" w:eastAsia="zh-CN"/>
        </w:rPr>
        <w:t>315</w:t>
      </w:r>
      <w:r>
        <w:rPr>
          <w:rFonts w:hint="default" w:ascii="Times New Roman" w:hAnsi="Times New Roman" w:eastAsia="宋体" w:cs="Times New Roman"/>
          <w:color w:val="FF0000"/>
          <w:szCs w:val="21"/>
          <w:highlight w:val="none"/>
        </w:rPr>
        <w:t>万元</w:t>
      </w:r>
    </w:p>
    <w:p>
      <w:pPr>
        <w:snapToGrid w:val="0"/>
        <w:spacing w:line="360" w:lineRule="exact"/>
        <w:ind w:firstLine="470" w:firstLineChars="196"/>
        <w:rPr>
          <w:rFonts w:hint="default" w:ascii="Times New Roman" w:hAnsi="Times New Roman" w:eastAsia="宋体" w:cs="Times New Roman"/>
          <w:szCs w:val="21"/>
        </w:rPr>
      </w:pPr>
      <w:r>
        <w:rPr>
          <w:rFonts w:hint="default" w:ascii="Times New Roman" w:hAnsi="Times New Roman" w:eastAsia="宋体" w:cs="Times New Roman"/>
          <w:szCs w:val="21"/>
        </w:rPr>
        <w:t>4.采购需求</w:t>
      </w:r>
    </w:p>
    <w:tbl>
      <w:tblPr>
        <w:tblStyle w:val="6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40"/>
        <w:gridCol w:w="1590"/>
        <w:gridCol w:w="1140"/>
        <w:gridCol w:w="143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序号</w:t>
            </w:r>
          </w:p>
        </w:tc>
        <w:tc>
          <w:tcPr>
            <w:tcW w:w="2940"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项目内容</w:t>
            </w:r>
          </w:p>
        </w:tc>
        <w:tc>
          <w:tcPr>
            <w:tcW w:w="1590"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技术要求</w:t>
            </w:r>
          </w:p>
        </w:tc>
        <w:tc>
          <w:tcPr>
            <w:tcW w:w="1140"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数量</w:t>
            </w:r>
          </w:p>
        </w:tc>
        <w:tc>
          <w:tcPr>
            <w:tcW w:w="1433"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最高限价</w:t>
            </w:r>
          </w:p>
        </w:tc>
        <w:tc>
          <w:tcPr>
            <w:tcW w:w="968"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7"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2940" w:type="dxa"/>
            <w:vAlign w:val="center"/>
          </w:tcPr>
          <w:p>
            <w:pPr>
              <w:widowControl w:val="0"/>
              <w:snapToGrid w:val="0"/>
              <w:spacing w:line="360" w:lineRule="exact"/>
              <w:jc w:val="center"/>
              <w:rPr>
                <w:rFonts w:hint="default" w:ascii="Times New Roman" w:hAnsi="Times New Roman" w:eastAsia="宋体" w:cs="Times New Roman"/>
                <w:color w:val="FF0000"/>
                <w:sz w:val="24"/>
                <w:szCs w:val="24"/>
                <w:highlight w:val="none"/>
                <w:lang w:eastAsia="zh-CN"/>
              </w:rPr>
            </w:pPr>
            <w:r>
              <w:rPr>
                <w:rFonts w:hint="default" w:ascii="Times New Roman" w:hAnsi="Times New Roman" w:eastAsia="宋体" w:cs="Times New Roman"/>
                <w:color w:val="FF0000"/>
                <w:szCs w:val="21"/>
                <w:highlight w:val="none"/>
              </w:rPr>
              <w:t>超高效液相色谱-串联质谱系统（含分拣系统）</w:t>
            </w:r>
          </w:p>
        </w:tc>
        <w:tc>
          <w:tcPr>
            <w:tcW w:w="1590"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详见招标文件第三章</w:t>
            </w:r>
          </w:p>
        </w:tc>
        <w:tc>
          <w:tcPr>
            <w:tcW w:w="1140" w:type="dxa"/>
            <w:vAlign w:val="center"/>
          </w:tcPr>
          <w:p>
            <w:pPr>
              <w:pStyle w:val="58"/>
              <w:spacing w:after="0" w:line="360" w:lineRule="exact"/>
              <w:ind w:left="0" w:leftChars="0"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一批</w:t>
            </w:r>
          </w:p>
        </w:tc>
        <w:tc>
          <w:tcPr>
            <w:tcW w:w="1433"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315万元</w:t>
            </w:r>
          </w:p>
        </w:tc>
        <w:tc>
          <w:tcPr>
            <w:tcW w:w="968" w:type="dxa"/>
            <w:vAlign w:val="center"/>
          </w:tcPr>
          <w:p>
            <w:pPr>
              <w:snapToGrid w:val="0"/>
              <w:spacing w:line="360" w:lineRule="exact"/>
              <w:jc w:val="center"/>
              <w:rPr>
                <w:rFonts w:hint="default" w:ascii="Times New Roman" w:hAnsi="Times New Roman" w:eastAsia="宋体" w:cs="Times New Roman"/>
                <w:color w:val="FF0000"/>
                <w:sz w:val="24"/>
                <w:szCs w:val="24"/>
                <w:highlight w:val="none"/>
                <w:lang w:val="en-US" w:eastAsia="zh-CN"/>
              </w:rPr>
            </w:pPr>
          </w:p>
        </w:tc>
      </w:tr>
    </w:tbl>
    <w:p>
      <w:pPr>
        <w:pStyle w:val="31"/>
        <w:adjustRightInd w:val="0"/>
        <w:snapToGrid w:val="0"/>
        <w:spacing w:line="360" w:lineRule="exact"/>
        <w:ind w:firstLine="470" w:firstLineChars="196"/>
        <w:rPr>
          <w:rFonts w:hint="default" w:ascii="Times New Roman" w:hAnsi="Times New Roman" w:eastAsia="宋体" w:cs="Times New Roman"/>
          <w:kern w:val="0"/>
          <w:sz w:val="24"/>
        </w:rPr>
      </w:pPr>
      <w:r>
        <w:rPr>
          <w:rFonts w:hint="default" w:ascii="Times New Roman" w:hAnsi="Times New Roman" w:eastAsia="宋体" w:cs="Times New Roman"/>
          <w:kern w:val="0"/>
          <w:sz w:val="24"/>
        </w:rPr>
        <w:t>5.合同履约期限：详见招标文件第三章。</w:t>
      </w:r>
    </w:p>
    <w:p>
      <w:pPr>
        <w:pStyle w:val="31"/>
        <w:adjustRightInd w:val="0"/>
        <w:snapToGrid w:val="0"/>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二、投标人的资格要求，须同时满足以下条件：</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1.符合《中华人民共和国政府采购法》第二十二条供应商应当具备的条件</w:t>
      </w:r>
      <w:r>
        <w:rPr>
          <w:rFonts w:hint="default" w:ascii="Times New Roman" w:hAnsi="Times New Roman" w:eastAsia="宋体" w:cs="Times New Roman"/>
          <w:szCs w:val="21"/>
        </w:rPr>
        <w:t>或符合浙财采监【2013】24号《关于规范政府采购供应商资格设定及资格审查的通知》第六条规定的供应商</w:t>
      </w:r>
      <w:r>
        <w:rPr>
          <w:rFonts w:hint="default" w:ascii="Times New Roman" w:hAnsi="Times New Roman" w:eastAsia="宋体" w:cs="Times New Roman"/>
        </w:rPr>
        <w:t>；</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3.投标人自2020年01月01日起到中标公告期结束前无行贿犯罪记录；</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根据《关于在全市公共资源交易活动中应用信用报告的通知》（义行服管〔2017〕17号）的规定，综合信用报告评级不属于D类或E类的（无信用评价供应商不受此项条件限制，查询结果以网站页面显示内容为准）；</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5.单位负责人为同一人或者存在直接控股、管理关系的不同供应商，不得参加同一合同项（同一标项）下的政府采购活动；</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6.为采购项目提供整体设计、规范编制或者项目管理、监理、检测等服务的供应商，不得再参加该采购项目的其他采购活动；</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7.公益一类事业单位不属于政府购买服务的承接主体，不得参与承接购买服务采购项目；</w:t>
      </w:r>
    </w:p>
    <w:p>
      <w:pPr>
        <w:snapToGrid w:val="0"/>
        <w:spacing w:line="360" w:lineRule="exact"/>
        <w:ind w:firstLine="480" w:firstLineChars="200"/>
        <w:rPr>
          <w:rFonts w:hint="default" w:ascii="Times New Roman" w:hAnsi="Times New Roman" w:eastAsia="宋体" w:cs="Times New Roman"/>
          <w:highlight w:val="yellow"/>
          <w:lang w:val="en-US" w:eastAsia="zh-CN"/>
        </w:rPr>
      </w:pPr>
      <w:r>
        <w:rPr>
          <w:rFonts w:hint="default" w:ascii="Times New Roman" w:hAnsi="Times New Roman" w:eastAsia="宋体" w:cs="Times New Roman"/>
        </w:rPr>
        <w:t>8.本项目接受联合体参与投标</w:t>
      </w:r>
      <w:r>
        <w:rPr>
          <w:rFonts w:hint="default" w:ascii="Times New Roman" w:hAnsi="Times New Roman" w:eastAsia="宋体" w:cs="Times New Roman"/>
          <w:lang w:eastAsia="zh-CN"/>
        </w:rPr>
        <w:t>。</w:t>
      </w:r>
    </w:p>
    <w:p>
      <w:pPr>
        <w:pStyle w:val="31"/>
        <w:adjustRightInd w:val="0"/>
        <w:snapToGrid w:val="0"/>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三、采购文件（即招标文件，下同）获取时间、地点及方式：</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1.时间：公告发布时间起至投标截止时间止。</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2.地点：浙江政府采购网（http://zfcg.czt.zj.gov.cn/）。</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3.方式：潜在供应商应按照浙江省政府采购网上所提示的方式免费获取采购文件。</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潜在供应商未在规定的期限内按照上述方式获取招标文件的，采购人、采购代理机构可以不予受理其所提出的对招标文件的质疑。</w:t>
      </w:r>
    </w:p>
    <w:p>
      <w:pPr>
        <w:pStyle w:val="31"/>
        <w:adjustRightInd w:val="0"/>
        <w:snapToGrid w:val="0"/>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四、投标截止时间及地点：</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1.提交投标文件截止时间：</w:t>
      </w:r>
      <w:r>
        <w:rPr>
          <w:rFonts w:hint="default" w:ascii="Times New Roman" w:hAnsi="Times New Roman" w:eastAsia="宋体" w:cs="Times New Roman"/>
          <w:color w:val="FF0000"/>
        </w:rPr>
        <w:t>2023年</w:t>
      </w:r>
      <w:r>
        <w:rPr>
          <w:rFonts w:hint="default" w:ascii="Times New Roman" w:hAnsi="Times New Roman" w:eastAsia="宋体" w:cs="Times New Roman"/>
          <w:color w:val="FF0000"/>
          <w:lang w:val="en-US" w:eastAsia="zh-CN"/>
        </w:rPr>
        <w:t>X</w:t>
      </w:r>
      <w:r>
        <w:rPr>
          <w:rFonts w:hint="default" w:ascii="Times New Roman" w:hAnsi="Times New Roman" w:eastAsia="宋体" w:cs="Times New Roman"/>
          <w:color w:val="FF0000"/>
        </w:rPr>
        <w:t>月</w:t>
      </w:r>
      <w:r>
        <w:rPr>
          <w:rFonts w:hint="default" w:ascii="Times New Roman" w:hAnsi="Times New Roman" w:eastAsia="宋体" w:cs="Times New Roman"/>
          <w:color w:val="FF0000"/>
          <w:lang w:val="en-US" w:eastAsia="zh-CN"/>
        </w:rPr>
        <w:t>XX</w:t>
      </w:r>
      <w:r>
        <w:rPr>
          <w:rFonts w:hint="default" w:ascii="Times New Roman" w:hAnsi="Times New Roman" w:eastAsia="宋体" w:cs="Times New Roman"/>
          <w:color w:val="FF0000"/>
        </w:rPr>
        <w:t>日</w:t>
      </w:r>
      <w:r>
        <w:rPr>
          <w:rFonts w:hint="default" w:ascii="Times New Roman" w:hAnsi="Times New Roman" w:eastAsia="宋体" w:cs="Times New Roman"/>
        </w:rPr>
        <w:t>09:30（北京时间）</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2.投标地点：用帐号登录政府采购云平台（简称“政采云”下同，https://www.zcygov.cn/），上传电子加密标书至“政采云”，逾期或未上传成功的将导致无法投标或投标无效。</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3.开标时间：</w:t>
      </w:r>
      <w:r>
        <w:rPr>
          <w:rFonts w:hint="default" w:ascii="Times New Roman" w:hAnsi="Times New Roman" w:eastAsia="宋体" w:cs="Times New Roman"/>
          <w:color w:val="FF0000"/>
        </w:rPr>
        <w:t>2023年</w:t>
      </w:r>
      <w:r>
        <w:rPr>
          <w:rFonts w:hint="default" w:ascii="Times New Roman" w:hAnsi="Times New Roman" w:eastAsia="宋体" w:cs="Times New Roman"/>
          <w:color w:val="FF0000"/>
          <w:lang w:val="en-US" w:eastAsia="zh-CN"/>
        </w:rPr>
        <w:t>X</w:t>
      </w:r>
      <w:r>
        <w:rPr>
          <w:rFonts w:hint="default" w:ascii="Times New Roman" w:hAnsi="Times New Roman" w:eastAsia="宋体" w:cs="Times New Roman"/>
          <w:color w:val="FF0000"/>
        </w:rPr>
        <w:t>月</w:t>
      </w:r>
      <w:r>
        <w:rPr>
          <w:rFonts w:hint="default" w:ascii="Times New Roman" w:hAnsi="Times New Roman" w:eastAsia="宋体" w:cs="Times New Roman"/>
          <w:color w:val="FF0000"/>
          <w:lang w:val="en-US" w:eastAsia="zh-CN"/>
        </w:rPr>
        <w:t>XX</w:t>
      </w:r>
      <w:r>
        <w:rPr>
          <w:rFonts w:hint="default" w:ascii="Times New Roman" w:hAnsi="Times New Roman" w:eastAsia="宋体" w:cs="Times New Roman"/>
          <w:color w:val="FF0000"/>
        </w:rPr>
        <w:t>日</w:t>
      </w:r>
      <w:r>
        <w:rPr>
          <w:rFonts w:hint="default" w:ascii="Times New Roman" w:hAnsi="Times New Roman" w:eastAsia="宋体" w:cs="Times New Roman"/>
        </w:rPr>
        <w:t>09:30 </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4.开标地点：“政采云”（https://www.zcygov.cn/）</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五、公告期限：</w:t>
      </w:r>
    </w:p>
    <w:p>
      <w:pPr>
        <w:pStyle w:val="31"/>
        <w:adjustRightInd w:val="0"/>
        <w:snapToGrid w:val="0"/>
        <w:spacing w:line="360" w:lineRule="exact"/>
        <w:ind w:firstLine="470" w:firstLineChars="196"/>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自本公告发布之日起5个工作日。</w:t>
      </w:r>
    </w:p>
    <w:p>
      <w:pPr>
        <w:pStyle w:val="31"/>
        <w:spacing w:line="36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六、其他补充事宜</w:t>
      </w:r>
    </w:p>
    <w:p>
      <w:pPr>
        <w:pStyle w:val="31"/>
        <w:spacing w:line="360" w:lineRule="exact"/>
        <w:ind w:firstLine="470" w:firstLineChars="196"/>
        <w:rPr>
          <w:rFonts w:hint="default" w:ascii="Times New Roman" w:hAnsi="Times New Roman" w:eastAsia="宋体" w:cs="Times New Roman"/>
          <w:kern w:val="0"/>
          <w:sz w:val="24"/>
        </w:rPr>
      </w:pPr>
      <w:r>
        <w:rPr>
          <w:rFonts w:hint="default" w:ascii="Times New Roman" w:hAnsi="Times New Roman" w:eastAsia="宋体" w:cs="Times New Roman"/>
          <w:kern w:val="0"/>
          <w:sz w:val="24"/>
        </w:rPr>
        <w:t>1. 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line="360" w:lineRule="exact"/>
        <w:ind w:firstLine="470" w:firstLineChars="19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2.投标保证金：无</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3.投标与开标注意事项：</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①标前准备：本项目通过“政采云”实行在线投标（电子投标），各供应商在投标前应确保成为浙江政府采购网正式注册入库供应商，并完成CA数字证书办理。【办理流程详见电子投标工具链接：（</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"file:///C:\\Users\\Administrator\\AppData\\Roaming\\Microsoft\\Word\\CA申领操作指南.pdf" </w:instrText>
      </w:r>
      <w:r>
        <w:rPr>
          <w:rFonts w:hint="default" w:ascii="Times New Roman" w:hAnsi="Times New Roman" w:eastAsia="宋体" w:cs="Times New Roman"/>
        </w:rPr>
        <w:fldChar w:fldCharType="separate"/>
      </w:r>
      <w:r>
        <w:rPr>
          <w:rFonts w:hint="default" w:ascii="Times New Roman" w:hAnsi="Times New Roman" w:eastAsia="宋体" w:cs="Times New Roman"/>
        </w:rPr>
        <w:t>目前“政采云”仅支持浙江汇信或天谷CA锁，个体工商户投标仅支持浙江汇信CA锁）申领操作流程</w:t>
      </w:r>
      <w:r>
        <w:rPr>
          <w:rFonts w:hint="default" w:ascii="Times New Roman" w:hAnsi="Times New Roman" w:eastAsia="宋体" w:cs="Times New Roman"/>
        </w:rPr>
        <w:fldChar w:fldCharType="end"/>
      </w:r>
      <w:r>
        <w:rPr>
          <w:rFonts w:hint="default" w:ascii="Times New Roman" w:hAnsi="Times New Roman" w:eastAsia="宋体" w:cs="Times New Roman"/>
        </w:rPr>
        <w:t>”】。因未注册入库、未办理CA数字证书等原因造成无法投标或投标失败等后果由供应商自行承担。</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投标文件制作：投标人通过“政采云”电子投标工具制作投标文件，电子投标工具请供应商自行前往浙江省政府采购网(https://zfcg.czt.zj.gov.cn/)下载并安装，投标文件制作具体流程详见“政采云”供应商项目采购-电子招投标操作指南”（请投标供应商登录“政采云”政府采购电子卖场后，点击链接https://edu.zcygov.cn/luban/e-biding）以获取最新操作指南。</w:t>
      </w:r>
    </w:p>
    <w:p>
      <w:pPr>
        <w:pStyle w:val="31"/>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③投标文件上传：投标人应在投标截止时间（</w:t>
      </w:r>
      <w:r>
        <w:rPr>
          <w:rFonts w:hint="default" w:ascii="Times New Roman" w:hAnsi="Times New Roman" w:eastAsia="宋体" w:cs="Times New Roman"/>
          <w:color w:val="FF0000"/>
          <w:sz w:val="24"/>
          <w:szCs w:val="24"/>
        </w:rPr>
        <w:t>2023年</w:t>
      </w:r>
      <w:r>
        <w:rPr>
          <w:rFonts w:hint="default" w:ascii="Times New Roman" w:hAnsi="Times New Roman" w:eastAsia="宋体" w:cs="Times New Roman"/>
          <w:color w:val="FF0000"/>
          <w:sz w:val="24"/>
          <w:szCs w:val="24"/>
          <w:lang w:val="en-US" w:eastAsia="zh-CN"/>
        </w:rPr>
        <w:t>X</w:t>
      </w:r>
      <w:r>
        <w:rPr>
          <w:rFonts w:hint="default" w:ascii="Times New Roman" w:hAnsi="Times New Roman" w:eastAsia="宋体" w:cs="Times New Roman"/>
          <w:color w:val="FF0000"/>
          <w:sz w:val="24"/>
          <w:szCs w:val="24"/>
        </w:rPr>
        <w:t>月</w:t>
      </w:r>
      <w:r>
        <w:rPr>
          <w:rFonts w:hint="default" w:ascii="Times New Roman" w:hAnsi="Times New Roman" w:eastAsia="宋体" w:cs="Times New Roman"/>
          <w:color w:val="FF0000"/>
          <w:sz w:val="24"/>
          <w:szCs w:val="24"/>
          <w:lang w:val="en-US" w:eastAsia="zh-CN"/>
        </w:rPr>
        <w:t>XX</w:t>
      </w:r>
      <w:r>
        <w:rPr>
          <w:rFonts w:hint="default" w:ascii="Times New Roman" w:hAnsi="Times New Roman" w:eastAsia="宋体" w:cs="Times New Roman"/>
          <w:color w:val="FF0000"/>
          <w:sz w:val="24"/>
          <w:szCs w:val="24"/>
        </w:rPr>
        <w:t>日</w:t>
      </w:r>
      <w:r>
        <w:rPr>
          <w:rFonts w:hint="default" w:ascii="Times New Roman" w:hAnsi="Times New Roman" w:eastAsia="宋体" w:cs="Times New Roman"/>
          <w:sz w:val="24"/>
          <w:szCs w:val="24"/>
        </w:rPr>
        <w:t>09:30</w:t>
      </w:r>
      <w:r>
        <w:rPr>
          <w:rFonts w:hint="default" w:ascii="Times New Roman" w:hAnsi="Times New Roman" w:eastAsia="宋体" w:cs="Times New Roman"/>
          <w:kern w:val="0"/>
          <w:sz w:val="24"/>
          <w:szCs w:val="24"/>
        </w:rPr>
        <w:t>）之前上传投标文件，同时，投标人可在投标截止时间前将在 “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rPr>
        <w:t>投标供应商仅递交备份投标文件的，投标无效。</w:t>
      </w:r>
    </w:p>
    <w:p>
      <w:pPr>
        <w:snapToGrid w:val="0"/>
        <w:spacing w:line="360" w:lineRule="exact"/>
        <w:ind w:firstLine="470" w:firstLineChars="196"/>
        <w:rPr>
          <w:rFonts w:hint="default" w:ascii="Times New Roman" w:hAnsi="Times New Roman" w:eastAsia="宋体" w:cs="Times New Roman"/>
          <w:szCs w:val="21"/>
        </w:rPr>
      </w:pPr>
      <w:r>
        <w:rPr>
          <w:rFonts w:hint="default" w:ascii="Times New Roman" w:hAnsi="Times New Roman" w:eastAsia="宋体" w:cs="Times New Roman"/>
        </w:rPr>
        <w:t>④开标与投标文件解密：</w:t>
      </w:r>
      <w:r>
        <w:rPr>
          <w:rFonts w:hint="default" w:ascii="Times New Roman" w:hAnsi="Times New Roman" w:eastAsia="宋体" w:cs="Times New Roman"/>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sz w:val="24"/>
          <w:szCs w:val="24"/>
        </w:rPr>
        <w:t>2023年</w:t>
      </w:r>
      <w:r>
        <w:rPr>
          <w:rFonts w:hint="default" w:ascii="Times New Roman" w:hAnsi="Times New Roman" w:eastAsia="宋体" w:cs="Times New Roman"/>
          <w:color w:val="FF0000"/>
          <w:lang w:val="en-US" w:eastAsia="zh-CN"/>
        </w:rPr>
        <w:t>X</w:t>
      </w:r>
      <w:r>
        <w:rPr>
          <w:rFonts w:hint="default" w:ascii="Times New Roman" w:hAnsi="Times New Roman" w:eastAsia="宋体" w:cs="Times New Roman"/>
          <w:color w:val="FF0000"/>
        </w:rPr>
        <w:t>月</w:t>
      </w:r>
      <w:r>
        <w:rPr>
          <w:rFonts w:hint="default" w:ascii="Times New Roman" w:hAnsi="Times New Roman" w:eastAsia="宋体" w:cs="Times New Roman"/>
          <w:color w:val="FF0000"/>
          <w:lang w:val="en-US" w:eastAsia="zh-CN"/>
        </w:rPr>
        <w:t>XX</w:t>
      </w:r>
      <w:r>
        <w:rPr>
          <w:rFonts w:hint="default" w:ascii="Times New Roman" w:hAnsi="Times New Roman" w:eastAsia="宋体" w:cs="Times New Roman"/>
          <w:color w:val="FF0000"/>
        </w:rPr>
        <w:t>日</w:t>
      </w:r>
      <w:r>
        <w:rPr>
          <w:rFonts w:hint="default" w:ascii="Times New Roman" w:hAnsi="Times New Roman" w:eastAsia="宋体" w:cs="Times New Roman"/>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如果投标人发送两份以上备份文件的，以最后收到的那一份为准，</w:t>
      </w:r>
      <w:r>
        <w:rPr>
          <w:rFonts w:hint="default" w:ascii="Times New Roman" w:hAnsi="Times New Roman" w:eastAsia="宋体" w:cs="Times New Roman"/>
          <w:sz w:val="24"/>
          <w:szCs w:val="24"/>
        </w:rPr>
        <w:t>通过</w:t>
      </w:r>
      <w:r>
        <w:rPr>
          <w:rFonts w:hint="default" w:ascii="Times New Roman" w:hAnsi="Times New Roman" w:eastAsia="宋体" w:cs="Times New Roman"/>
          <w:kern w:val="0"/>
          <w:sz w:val="24"/>
          <w:szCs w:val="24"/>
        </w:rPr>
        <w:t>“政采云”上</w:t>
      </w:r>
      <w:r>
        <w:rPr>
          <w:rFonts w:hint="default" w:ascii="Times New Roman" w:hAnsi="Times New Roman" w:eastAsia="宋体" w:cs="Times New Roman"/>
          <w:sz w:val="24"/>
          <w:szCs w:val="24"/>
        </w:rPr>
        <w:t>传递交的“加密投标文件”已按时解密的，“备份投标文件”自动失效。</w:t>
      </w:r>
    </w:p>
    <w:p>
      <w:pPr>
        <w:snapToGrid w:val="0"/>
        <w:spacing w:line="360" w:lineRule="exact"/>
        <w:ind w:firstLine="470" w:firstLineChars="196"/>
        <w:rPr>
          <w:rFonts w:hint="default" w:ascii="Times New Roman" w:hAnsi="Times New Roman" w:eastAsia="宋体" w:cs="Times New Roman"/>
        </w:rPr>
      </w:pPr>
      <w:r>
        <w:rPr>
          <w:rFonts w:hint="default" w:ascii="Times New Roman" w:hAnsi="Times New Roman" w:eastAsia="宋体" w:cs="Times New Roman"/>
        </w:rPr>
        <w:t>4. 参与在线投标时如遇平台技术问题详询400-881-7190，电子投标制作问题详询汪先生0579－85583800。</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七、对本次招标提出询问、质疑、投诉，请按以下方式联系。</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1.采购人信息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名  称：</w:t>
      </w:r>
      <w:r>
        <w:rPr>
          <w:rFonts w:hint="default" w:ascii="Times New Roman" w:hAnsi="Times New Roman" w:eastAsia="宋体" w:cs="Times New Roman"/>
          <w:color w:val="FF0000"/>
          <w:kern w:val="0"/>
          <w:sz w:val="24"/>
          <w:szCs w:val="24"/>
          <w:highlight w:val="none"/>
          <w:lang w:val="en-US" w:eastAsia="zh-CN"/>
        </w:rPr>
        <w:t>浙江大学医学院附属第四医院</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w:t>
      </w:r>
      <w:r>
        <w:rPr>
          <w:rFonts w:hint="default" w:ascii="Times New Roman" w:hAnsi="Times New Roman" w:eastAsia="宋体" w:cs="Times New Roman"/>
          <w:color w:val="FF0000"/>
          <w:kern w:val="0"/>
          <w:sz w:val="24"/>
          <w:szCs w:val="24"/>
          <w:highlight w:val="none"/>
          <w:lang w:val="en-US" w:eastAsia="zh-CN"/>
        </w:rPr>
        <w:t xml:space="preserve">义乌市商城大道N1号 </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项目联系人：</w:t>
      </w:r>
      <w:r>
        <w:rPr>
          <w:rFonts w:hint="eastAsia" w:ascii="Times New Roman" w:hAnsi="Times New Roman" w:cs="Times New Roman"/>
          <w:color w:val="FF0000"/>
          <w:kern w:val="0"/>
          <w:sz w:val="24"/>
          <w:szCs w:val="24"/>
          <w:highlight w:val="none"/>
          <w:lang w:val="en-US" w:eastAsia="zh-CN"/>
        </w:rPr>
        <w:t>张</w:t>
      </w:r>
      <w:r>
        <w:rPr>
          <w:rFonts w:hint="default" w:ascii="Times New Roman" w:hAnsi="Times New Roman" w:eastAsia="宋体" w:cs="Times New Roman"/>
          <w:color w:val="FF0000"/>
          <w:kern w:val="0"/>
          <w:sz w:val="24"/>
          <w:szCs w:val="24"/>
          <w:highlight w:val="none"/>
          <w:lang w:val="en-US" w:eastAsia="zh-CN"/>
        </w:rPr>
        <w:t>女士</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项目联系方式：</w:t>
      </w:r>
      <w:r>
        <w:rPr>
          <w:rFonts w:hint="default" w:ascii="Times New Roman" w:hAnsi="Times New Roman" w:eastAsia="宋体" w:cs="Times New Roman"/>
          <w:color w:val="FF0000"/>
          <w:kern w:val="0"/>
          <w:sz w:val="24"/>
          <w:szCs w:val="24"/>
          <w:highlight w:val="none"/>
          <w:lang w:val="en-US" w:eastAsia="zh-CN"/>
        </w:rPr>
        <w:t>0579-89935114</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质疑联系人：</w:t>
      </w:r>
      <w:r>
        <w:rPr>
          <w:rFonts w:hint="default" w:ascii="Times New Roman" w:hAnsi="Times New Roman" w:eastAsia="宋体" w:cs="Times New Roman"/>
          <w:color w:val="FF0000"/>
          <w:kern w:val="0"/>
          <w:sz w:val="24"/>
          <w:szCs w:val="24"/>
          <w:highlight w:val="none"/>
          <w:lang w:val="en-US" w:eastAsia="zh-CN"/>
        </w:rPr>
        <w:t>汤先生</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质疑联系方式：</w:t>
      </w:r>
      <w:r>
        <w:rPr>
          <w:rFonts w:hint="default" w:ascii="Times New Roman" w:hAnsi="Times New Roman" w:eastAsia="宋体" w:cs="Times New Roman"/>
          <w:color w:val="FF0000"/>
          <w:kern w:val="0"/>
          <w:sz w:val="24"/>
          <w:szCs w:val="24"/>
          <w:highlight w:val="none"/>
          <w:lang w:val="en-US" w:eastAsia="zh-CN"/>
        </w:rPr>
        <w:t>0579-89935080</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2.采购代理机构信息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  称：义乌市政府采购中心</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址：义乌市望道路300号4楼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传   真：0579-85570067</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项目联系人：方先生</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项目联系方式：0579-85583802</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质疑联系人：洪艳 </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质疑联系方式：0579-85232979　</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3.同级政府采购监督管理部门</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  称：义乌市财政局</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址：义乌市望道路300号5楼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联系人 ：骆女士</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监督投诉电话：0579-89915066</w:t>
      </w:r>
    </w:p>
    <w:p>
      <w:pPr>
        <w:rPr>
          <w:rFonts w:hint="default" w:ascii="Times New Roman" w:hAnsi="Times New Roman" w:eastAsia="宋体" w:cs="Times New Roman"/>
        </w:rPr>
      </w:pP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rPr>
      </w:pP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lang w:eastAsia="zh-CN"/>
        </w:rPr>
      </w:pPr>
      <w:r>
        <w:rPr>
          <w:rFonts w:hint="default" w:ascii="Times New Roman" w:hAnsi="Times New Roman" w:eastAsia="宋体" w:cs="Times New Roman"/>
          <w:color w:val="FF0000"/>
          <w:kern w:val="0"/>
          <w:sz w:val="24"/>
          <w:szCs w:val="24"/>
          <w:highlight w:val="none"/>
          <w:lang w:val="en-US" w:eastAsia="zh-CN"/>
        </w:rPr>
        <w:t>浙江大学医学院附属第四医院</w:t>
      </w:r>
    </w:p>
    <w:p>
      <w:pPr>
        <w:pStyle w:val="31"/>
        <w:adjustRightInd w:val="0"/>
        <w:snapToGrid w:val="0"/>
        <w:spacing w:line="360" w:lineRule="exact"/>
        <w:ind w:firstLine="480" w:firstLineChars="200"/>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义乌市政府采购中心</w:t>
      </w: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FF0000"/>
          <w:kern w:val="0"/>
          <w:sz w:val="24"/>
          <w:szCs w:val="24"/>
        </w:rPr>
        <w:t>202</w:t>
      </w:r>
      <w:r>
        <w:rPr>
          <w:rFonts w:hint="default" w:ascii="Times New Roman" w:hAnsi="Times New Roman" w:eastAsia="宋体" w:cs="Times New Roman"/>
          <w:color w:val="FF0000"/>
          <w:kern w:val="0"/>
          <w:sz w:val="24"/>
          <w:szCs w:val="24"/>
          <w:lang w:val="en-US" w:eastAsia="zh-CN"/>
        </w:rPr>
        <w:t>3</w:t>
      </w:r>
      <w:r>
        <w:rPr>
          <w:rFonts w:hint="default" w:ascii="Times New Roman" w:hAnsi="Times New Roman" w:eastAsia="宋体" w:cs="Times New Roman"/>
          <w:color w:val="FF0000"/>
          <w:kern w:val="0"/>
          <w:sz w:val="24"/>
          <w:szCs w:val="24"/>
        </w:rPr>
        <w:t>年</w:t>
      </w:r>
      <w:r>
        <w:rPr>
          <w:rFonts w:hint="default" w:ascii="Times New Roman" w:hAnsi="Times New Roman" w:eastAsia="宋体" w:cs="Times New Roman"/>
          <w:color w:val="FF0000"/>
          <w:kern w:val="0"/>
          <w:sz w:val="24"/>
          <w:szCs w:val="24"/>
          <w:lang w:val="en-US" w:eastAsia="zh-CN"/>
        </w:rPr>
        <w:t>4</w:t>
      </w:r>
      <w:r>
        <w:rPr>
          <w:rFonts w:hint="default" w:ascii="Times New Roman" w:hAnsi="Times New Roman" w:eastAsia="宋体" w:cs="Times New Roman"/>
          <w:color w:val="FF0000"/>
          <w:kern w:val="0"/>
          <w:sz w:val="24"/>
          <w:szCs w:val="24"/>
        </w:rPr>
        <w:t>月</w:t>
      </w:r>
      <w:r>
        <w:rPr>
          <w:rFonts w:hint="default" w:ascii="Times New Roman" w:hAnsi="Times New Roman" w:eastAsia="宋体" w:cs="Times New Roman"/>
          <w:color w:val="FF0000"/>
          <w:kern w:val="0"/>
          <w:sz w:val="24"/>
          <w:szCs w:val="24"/>
          <w:lang w:val="en-US" w:eastAsia="zh-CN"/>
        </w:rPr>
        <w:t>XX</w:t>
      </w:r>
      <w:r>
        <w:rPr>
          <w:rFonts w:hint="default" w:ascii="Times New Roman" w:hAnsi="Times New Roman" w:eastAsia="宋体" w:cs="Times New Roman"/>
          <w:color w:val="FF0000"/>
          <w:kern w:val="0"/>
          <w:sz w:val="24"/>
          <w:szCs w:val="24"/>
        </w:rPr>
        <w:t>日</w:t>
      </w:r>
    </w:p>
    <w:p>
      <w:pPr>
        <w:pStyle w:val="5"/>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24"/>
          <w:szCs w:val="24"/>
        </w:rPr>
        <w:br w:type="page"/>
      </w:r>
      <w:bookmarkStart w:id="5" w:name="_Toc3656"/>
      <w:bookmarkStart w:id="6" w:name="_Toc17086"/>
      <w:bookmarkStart w:id="7" w:name="_Toc406413926"/>
      <w:bookmarkStart w:id="8" w:name="_Toc640"/>
      <w:bookmarkStart w:id="9" w:name="_Toc20028"/>
      <w:r>
        <w:rPr>
          <w:rFonts w:hint="default" w:ascii="Times New Roman" w:hAnsi="Times New Roman" w:eastAsia="宋体" w:cs="Times New Roman"/>
          <w:sz w:val="36"/>
        </w:rPr>
        <w:t>第二章　投标须知和投标须知前附表</w:t>
      </w:r>
      <w:bookmarkEnd w:id="5"/>
      <w:bookmarkEnd w:id="6"/>
      <w:bookmarkEnd w:id="7"/>
      <w:bookmarkEnd w:id="8"/>
      <w:bookmarkEnd w:id="9"/>
    </w:p>
    <w:p>
      <w:pPr>
        <w:spacing w:line="360" w:lineRule="auto"/>
        <w:ind w:firstLine="643" w:firstLineChars="20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投标须知前附表</w:t>
      </w:r>
    </w:p>
    <w:tbl>
      <w:tblPr>
        <w:tblStyle w:val="60"/>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b/>
              </w:rPr>
            </w:pPr>
            <w:r>
              <w:rPr>
                <w:rFonts w:hint="default" w:ascii="Times New Roman" w:hAnsi="Times New Roman" w:eastAsia="宋体" w:cs="Times New Roman"/>
                <w:b/>
              </w:rPr>
              <w:t>序号</w:t>
            </w:r>
          </w:p>
        </w:tc>
        <w:tc>
          <w:tcPr>
            <w:tcW w:w="9554" w:type="dxa"/>
            <w:gridSpan w:val="2"/>
            <w:vAlign w:val="center"/>
          </w:tcPr>
          <w:p>
            <w:pPr>
              <w:spacing w:line="400" w:lineRule="exact"/>
              <w:jc w:val="center"/>
              <w:rPr>
                <w:rFonts w:hint="default" w:ascii="Times New Roman" w:hAnsi="Times New Roman" w:eastAsia="宋体" w:cs="Times New Roman"/>
                <w:b/>
              </w:rPr>
            </w:pPr>
            <w:r>
              <w:rPr>
                <w:rFonts w:hint="default" w:ascii="Times New Roman" w:hAnsi="Times New Roman" w:eastAsia="宋体" w:cs="Times New Roman"/>
                <w:b/>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ind w:firstLine="240" w:firstLineChars="100"/>
              <w:rPr>
                <w:rFonts w:hint="default" w:ascii="Times New Roman" w:hAnsi="Times New Roman" w:eastAsia="宋体" w:cs="Times New Roman"/>
              </w:rPr>
            </w:pPr>
            <w:r>
              <w:rPr>
                <w:rFonts w:hint="default" w:ascii="Times New Roman" w:hAnsi="Times New Roman" w:eastAsia="宋体" w:cs="Times New Roman"/>
              </w:rPr>
              <w:t>1</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项目综合</w:t>
            </w:r>
          </w:p>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说明</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项目名称：</w:t>
            </w:r>
            <w:r>
              <w:rPr>
                <w:rFonts w:hint="default" w:ascii="Times New Roman" w:hAnsi="Times New Roman" w:eastAsia="宋体" w:cs="Times New Roman"/>
                <w:b/>
                <w:bCs/>
                <w:color w:val="FF0000"/>
                <w:szCs w:val="21"/>
                <w:highlight w:val="none"/>
              </w:rPr>
              <w:t>浙江大学医学院附属第四医院超高效液相色谱-串联质谱系统（含分拣系统）项目</w:t>
            </w:r>
            <w:r>
              <w:rPr>
                <w:rFonts w:hint="default" w:ascii="Times New Roman" w:hAnsi="Times New Roman" w:eastAsia="宋体" w:cs="Times New Roman"/>
                <w:highlight w:val="none"/>
              </w:rPr>
              <w:t>，采购内容及数量</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2</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招标方式</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3</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投标单位资格</w:t>
            </w:r>
          </w:p>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要求</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4</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合同履约期限</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5</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招标文件获取时间、地点及方式</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6</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现场踏勘时间</w:t>
            </w:r>
          </w:p>
        </w:tc>
        <w:tc>
          <w:tcPr>
            <w:tcW w:w="7598" w:type="dxa"/>
            <w:vAlign w:val="center"/>
          </w:tcPr>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7</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招标答疑</w:t>
            </w:r>
          </w:p>
        </w:tc>
        <w:tc>
          <w:tcPr>
            <w:tcW w:w="7598" w:type="dxa"/>
          </w:tcPr>
          <w:p>
            <w:pPr>
              <w:spacing w:line="4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8</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投标有效期</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9</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上传电子投标文件时间</w:t>
            </w:r>
          </w:p>
        </w:tc>
        <w:tc>
          <w:tcPr>
            <w:tcW w:w="7598" w:type="dxa"/>
            <w:vAlign w:val="center"/>
          </w:tcPr>
          <w:p>
            <w:pPr>
              <w:pStyle w:val="31"/>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投标人应在投标截止时间（</w:t>
            </w:r>
            <w:r>
              <w:rPr>
                <w:rFonts w:hint="default" w:ascii="Times New Roman" w:hAnsi="Times New Roman" w:eastAsia="宋体" w:cs="Times New Roman"/>
                <w:color w:val="FF0000"/>
                <w:sz w:val="24"/>
                <w:szCs w:val="24"/>
              </w:rPr>
              <w:t>2023年</w:t>
            </w:r>
            <w:r>
              <w:rPr>
                <w:rFonts w:hint="default" w:ascii="Times New Roman" w:hAnsi="Times New Roman" w:eastAsia="宋体" w:cs="Times New Roman"/>
                <w:color w:val="FF0000"/>
                <w:sz w:val="24"/>
                <w:szCs w:val="24"/>
                <w:lang w:val="en-US" w:eastAsia="zh-CN"/>
              </w:rPr>
              <w:t>5月XX日</w:t>
            </w:r>
            <w:r>
              <w:rPr>
                <w:rFonts w:hint="default" w:ascii="Times New Roman" w:hAnsi="Times New Roman" w:eastAsia="宋体" w:cs="Times New Roman"/>
                <w:kern w:val="0"/>
                <w:sz w:val="24"/>
                <w:szCs w:val="24"/>
              </w:rPr>
              <w:t>09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10</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履约保证金</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11</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开标时间、地点及电子投标文件解密</w:t>
            </w:r>
          </w:p>
        </w:tc>
        <w:tc>
          <w:tcPr>
            <w:tcW w:w="7598" w:type="dxa"/>
            <w:vAlign w:val="center"/>
          </w:tcPr>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开标时间：</w:t>
            </w:r>
            <w:r>
              <w:rPr>
                <w:rFonts w:hint="default" w:ascii="Times New Roman" w:hAnsi="Times New Roman" w:eastAsia="宋体" w:cs="Times New Roman"/>
                <w:color w:val="FF0000"/>
                <w:sz w:val="24"/>
                <w:szCs w:val="24"/>
              </w:rPr>
              <w:t>2023年</w:t>
            </w:r>
            <w:r>
              <w:rPr>
                <w:rFonts w:hint="default" w:ascii="Times New Roman" w:hAnsi="Times New Roman" w:eastAsia="宋体" w:cs="Times New Roman"/>
                <w:color w:val="FF0000"/>
                <w:lang w:val="en-US" w:eastAsia="zh-CN"/>
              </w:rPr>
              <w:t>5</w:t>
            </w:r>
            <w:r>
              <w:rPr>
                <w:rFonts w:hint="default" w:ascii="Times New Roman" w:hAnsi="Times New Roman" w:eastAsia="宋体" w:cs="Times New Roman"/>
                <w:color w:val="FF0000"/>
              </w:rPr>
              <w:t>月</w:t>
            </w:r>
            <w:r>
              <w:rPr>
                <w:rFonts w:hint="default" w:ascii="Times New Roman" w:hAnsi="Times New Roman" w:eastAsia="宋体" w:cs="Times New Roman"/>
                <w:color w:val="FF0000"/>
                <w:lang w:val="en-US" w:eastAsia="zh-CN"/>
              </w:rPr>
              <w:t>XX</w:t>
            </w:r>
            <w:r>
              <w:rPr>
                <w:rFonts w:hint="default" w:ascii="Times New Roman" w:hAnsi="Times New Roman" w:eastAsia="宋体" w:cs="Times New Roman"/>
                <w:color w:val="FF0000"/>
              </w:rPr>
              <w:t>日</w:t>
            </w:r>
            <w:r>
              <w:rPr>
                <w:rFonts w:hint="default" w:ascii="Times New Roman" w:hAnsi="Times New Roman" w:eastAsia="宋体" w:cs="Times New Roman"/>
              </w:rPr>
              <w:t>上午9:30</w:t>
            </w:r>
          </w:p>
          <w:p>
            <w:pPr>
              <w:spacing w:line="40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rPr>
              <w:t>开标地点：</w:t>
            </w:r>
            <w:r>
              <w:rPr>
                <w:rFonts w:hint="default" w:ascii="Times New Roman" w:hAnsi="Times New Roman" w:eastAsia="宋体" w:cs="Times New Roman"/>
                <w:szCs w:val="21"/>
              </w:rPr>
              <w:t>“政采云”（</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"https://www.zcygov.cn/" </w:instrText>
            </w:r>
            <w:r>
              <w:rPr>
                <w:rFonts w:hint="default" w:ascii="Times New Roman" w:hAnsi="Times New Roman" w:eastAsia="宋体" w:cs="Times New Roman"/>
              </w:rPr>
              <w:fldChar w:fldCharType="separate"/>
            </w:r>
            <w:r>
              <w:rPr>
                <w:rStyle w:val="66"/>
                <w:rFonts w:hint="default" w:ascii="Times New Roman" w:hAnsi="Times New Roman" w:eastAsia="宋体" w:cs="Times New Roman"/>
                <w:color w:val="auto"/>
                <w:szCs w:val="21"/>
              </w:rPr>
              <w:t>https://www.zcygov.cn/</w:t>
            </w:r>
            <w:r>
              <w:rPr>
                <w:rStyle w:val="66"/>
                <w:rFonts w:hint="default" w:ascii="Times New Roman" w:hAnsi="Times New Roman" w:eastAsia="宋体" w:cs="Times New Roman"/>
                <w:color w:val="auto"/>
                <w:szCs w:val="21"/>
              </w:rPr>
              <w:fldChar w:fldCharType="end"/>
            </w:r>
            <w:r>
              <w:rPr>
                <w:rFonts w:hint="default" w:ascii="Times New Roman" w:hAnsi="Times New Roman" w:eastAsia="宋体" w:cs="Times New Roman"/>
                <w:szCs w:val="21"/>
              </w:rPr>
              <w:t>）</w:t>
            </w:r>
          </w:p>
          <w:p>
            <w:pPr>
              <w:snapToGrid w:val="0"/>
              <w:spacing w:line="400" w:lineRule="exact"/>
              <w:ind w:firstLine="470" w:firstLineChars="196"/>
              <w:rPr>
                <w:rFonts w:hint="default" w:ascii="Times New Roman" w:hAnsi="Times New Roman" w:eastAsia="宋体" w:cs="Times New Roman"/>
                <w:szCs w:val="21"/>
              </w:rPr>
            </w:pPr>
            <w:r>
              <w:rPr>
                <w:rFonts w:hint="default" w:ascii="Times New Roman" w:hAnsi="Times New Roman" w:eastAsia="宋体" w:cs="Times New Roman"/>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sz w:val="24"/>
                <w:szCs w:val="24"/>
              </w:rPr>
              <w:t>2023年</w:t>
            </w:r>
            <w:r>
              <w:rPr>
                <w:rFonts w:hint="default" w:ascii="Times New Roman" w:hAnsi="Times New Roman" w:eastAsia="宋体" w:cs="Times New Roman"/>
                <w:color w:val="FF0000"/>
                <w:lang w:val="en-US" w:eastAsia="zh-CN"/>
              </w:rPr>
              <w:t>5</w:t>
            </w:r>
            <w:r>
              <w:rPr>
                <w:rFonts w:hint="default" w:ascii="Times New Roman" w:hAnsi="Times New Roman" w:eastAsia="宋体" w:cs="Times New Roman"/>
                <w:color w:val="FF0000"/>
              </w:rPr>
              <w:t>月</w:t>
            </w:r>
            <w:r>
              <w:rPr>
                <w:rFonts w:hint="default" w:ascii="Times New Roman" w:hAnsi="Times New Roman" w:eastAsia="宋体" w:cs="Times New Roman"/>
                <w:color w:val="FF0000"/>
                <w:lang w:val="en-US" w:eastAsia="zh-CN"/>
              </w:rPr>
              <w:t>XX</w:t>
            </w:r>
            <w:r>
              <w:rPr>
                <w:rFonts w:hint="default" w:ascii="Times New Roman" w:hAnsi="Times New Roman" w:eastAsia="宋体" w:cs="Times New Roman"/>
                <w:color w:val="FF0000"/>
              </w:rPr>
              <w:t>日</w:t>
            </w:r>
            <w:r>
              <w:rPr>
                <w:rFonts w:hint="default" w:ascii="Times New Roman" w:hAnsi="Times New Roman" w:eastAsia="宋体" w:cs="Times New Roman"/>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rPr>
            </w:pPr>
            <w:r>
              <w:rPr>
                <w:rFonts w:hint="default" w:ascii="Times New Roman" w:hAnsi="Times New Roman" w:eastAsia="宋体" w:cs="Times New Roman"/>
                <w:kern w:val="0"/>
                <w:sz w:val="24"/>
                <w:szCs w:val="24"/>
              </w:rPr>
              <w:t>如果投标人发送两份以上备份文件的，以最后收到的那一份为准，</w:t>
            </w:r>
            <w:r>
              <w:rPr>
                <w:rFonts w:hint="default" w:ascii="Times New Roman" w:hAnsi="Times New Roman" w:eastAsia="宋体" w:cs="Times New Roman"/>
                <w:sz w:val="24"/>
                <w:szCs w:val="24"/>
              </w:rPr>
              <w:t>通过</w:t>
            </w:r>
            <w:r>
              <w:rPr>
                <w:rFonts w:hint="default" w:ascii="Times New Roman" w:hAnsi="Times New Roman" w:eastAsia="宋体" w:cs="Times New Roman"/>
                <w:kern w:val="0"/>
                <w:sz w:val="24"/>
                <w:szCs w:val="24"/>
              </w:rPr>
              <w:t>“政采云”</w:t>
            </w:r>
            <w:r>
              <w:rPr>
                <w:rFonts w:hint="default" w:ascii="Times New Roman" w:hAnsi="Times New Roman" w:eastAsia="宋体" w:cs="Times New Roman"/>
                <w:sz w:val="24"/>
                <w:szCs w:val="24"/>
              </w:rPr>
              <w:t>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12</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评标办法</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13</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付款方式</w:t>
            </w:r>
          </w:p>
        </w:tc>
        <w:tc>
          <w:tcPr>
            <w:tcW w:w="7598" w:type="dxa"/>
            <w:vAlign w:val="center"/>
          </w:tcPr>
          <w:p>
            <w:pPr>
              <w:spacing w:line="400" w:lineRule="exact"/>
              <w:rPr>
                <w:rFonts w:hint="default" w:ascii="Times New Roman" w:hAnsi="Times New Roman" w:eastAsia="宋体" w:cs="Times New Roman"/>
                <w:spacing w:val="-8"/>
              </w:rPr>
            </w:pPr>
            <w:r>
              <w:rPr>
                <w:rFonts w:hint="default" w:ascii="Times New Roman" w:hAnsi="Times New Roman" w:eastAsia="宋体" w:cs="Times New Roman"/>
                <w:spacing w:val="-8"/>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14</w:t>
            </w:r>
          </w:p>
        </w:tc>
        <w:tc>
          <w:tcPr>
            <w:tcW w:w="1956" w:type="dxa"/>
            <w:vAlign w:val="center"/>
          </w:tcPr>
          <w:p>
            <w:pPr>
              <w:snapToGrid w:val="0"/>
              <w:spacing w:line="360" w:lineRule="exact"/>
              <w:jc w:val="center"/>
              <w:rPr>
                <w:rFonts w:hint="default" w:ascii="Times New Roman" w:hAnsi="Times New Roman" w:eastAsia="宋体" w:cs="Times New Roman"/>
              </w:rPr>
            </w:pPr>
            <w:r>
              <w:rPr>
                <w:rFonts w:hint="default" w:ascii="Times New Roman" w:hAnsi="Times New Roman" w:eastAsia="宋体" w:cs="Times New Roman"/>
              </w:rPr>
              <w:t>不良行为记录</w:t>
            </w:r>
          </w:p>
        </w:tc>
        <w:tc>
          <w:tcPr>
            <w:tcW w:w="7598" w:type="dxa"/>
            <w:vAlign w:val="center"/>
          </w:tcPr>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default" w:ascii="Times New Roman" w:hAnsi="Times New Roman" w:eastAsia="宋体" w:cs="Times New Roman"/>
              </w:rP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15</w:t>
            </w:r>
          </w:p>
        </w:tc>
        <w:tc>
          <w:tcPr>
            <w:tcW w:w="1956"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政府采购节能环保产品</w:t>
            </w:r>
          </w:p>
        </w:tc>
        <w:tc>
          <w:tcPr>
            <w:tcW w:w="7598" w:type="dxa"/>
            <w:vAlign w:val="center"/>
          </w:tcPr>
          <w:p>
            <w:pPr>
              <w:rPr>
                <w:rFonts w:hint="default" w:ascii="Times New Roman" w:hAnsi="Times New Roman" w:eastAsia="宋体" w:cs="Times New Roman"/>
                <w:lang w:eastAsia="zh-CN"/>
              </w:rPr>
            </w:pPr>
            <w:r>
              <w:rPr>
                <w:rFonts w:hint="default" w:ascii="Times New Roman" w:hAnsi="Times New Roman" w:eastAsia="宋体" w:cs="Times New Roman"/>
              </w:rPr>
              <w:t>1、根据财政部、发展改革委、生态环境部、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w:t>
            </w:r>
          </w:p>
          <w:p>
            <w:pPr>
              <w:rPr>
                <w:rFonts w:hint="default" w:ascii="Times New Roman" w:hAnsi="Times New Roman" w:eastAsia="宋体" w:cs="Times New Roman"/>
              </w:rPr>
            </w:pPr>
            <w:r>
              <w:rPr>
                <w:rFonts w:hint="default" w:ascii="Times New Roman" w:hAnsi="Times New Roman" w:eastAsia="宋体" w:cs="Times New Roman"/>
              </w:rPr>
              <w:t xml:space="preserve">中可查询到。 </w:t>
            </w:r>
          </w:p>
          <w:p>
            <w:pPr>
              <w:snapToGrid w:val="0"/>
              <w:rPr>
                <w:rFonts w:hint="default" w:ascii="Times New Roman" w:hAnsi="Times New Roman" w:eastAsia="宋体" w:cs="Times New Roman"/>
              </w:rPr>
            </w:pPr>
            <w:r>
              <w:rPr>
                <w:rFonts w:hint="default" w:ascii="Times New Roman" w:hAnsi="Times New Roman" w:eastAsia="宋体" w:cs="Times New Roman"/>
                <w:bCs/>
              </w:rPr>
              <w:t>★2、招标需求中要求提供的产品属于节能产品</w:t>
            </w:r>
            <w:r>
              <w:rPr>
                <w:rFonts w:hint="default" w:ascii="Times New Roman" w:hAnsi="Times New Roman" w:eastAsia="宋体" w:cs="Times New Roman"/>
              </w:rPr>
              <w:t>政府采购品目</w:t>
            </w:r>
            <w:r>
              <w:rPr>
                <w:rFonts w:hint="default" w:ascii="Times New Roman" w:hAnsi="Times New Roman" w:eastAsia="宋体" w:cs="Times New Roman"/>
                <w:bCs/>
              </w:rPr>
              <w:t>清单中强制采购的，</w:t>
            </w:r>
            <w:r>
              <w:rPr>
                <w:rFonts w:hint="default" w:ascii="Times New Roman" w:hAnsi="Times New Roman" w:eastAsia="宋体" w:cs="Times New Roman"/>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16</w:t>
            </w:r>
          </w:p>
        </w:tc>
        <w:tc>
          <w:tcPr>
            <w:tcW w:w="1956"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中小微企业有关政策</w:t>
            </w:r>
          </w:p>
        </w:tc>
        <w:tc>
          <w:tcPr>
            <w:tcW w:w="7598" w:type="dxa"/>
            <w:vAlign w:val="center"/>
          </w:tcPr>
          <w:p>
            <w:pPr>
              <w:rPr>
                <w:rFonts w:hint="default" w:ascii="Times New Roman" w:hAnsi="Times New Roman" w:eastAsia="宋体" w:cs="Times New Roman"/>
              </w:rPr>
            </w:pPr>
            <w:r>
              <w:rPr>
                <w:rFonts w:hint="default" w:ascii="Times New Roman" w:hAnsi="Times New Roman" w:eastAsia="宋体" w:cs="Times New Roman"/>
              </w:rPr>
              <w:t>1.根据财库[2020]46号《政府采购促进中小企业发展管理办法》和浙财采监[2022]3号《浙江省财政厅关于进一步发挥政府采购政策功能全力推动经济稳进提质的通知》、浙财采监〔2022〕8号《浙江省财政厅关于进一步加大政府采购支持中小企业力度 助力扎实稳住经济的通知》的相关规定，未预留份额专门面向中小企业采购的采购项目，以及预留份额项目中的非预留部分标段，在评审时对符合该办法规定的小微企业的投标报价给予20%的扣除，取扣除后的价格作为评审投标报价（此评审投标报价仅在评标时使用）。享受相关中小企业扶持政策的投标人，必须在投标文件中提供《中小企业声明函》。</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2.接受大中型企业与小微企业组成联合体的采购项目，对于联合协议约定小微企业的合同份额占到合同总金额30%以上的，对联合体的报价给予 6 %的扣除，用扣除后的价格参加评审。</w:t>
            </w:r>
          </w:p>
          <w:p>
            <w:pPr>
              <w:rPr>
                <w:rFonts w:hint="default" w:ascii="Times New Roman" w:hAnsi="Times New Roman" w:eastAsia="宋体" w:cs="Times New Roman"/>
                <w:highlight w:val="none"/>
              </w:rPr>
            </w:pPr>
            <w:r>
              <w:rPr>
                <w:rFonts w:hint="default" w:ascii="Times New Roman" w:hAnsi="Times New Roman" w:eastAsia="宋体" w:cs="Times New Roman"/>
              </w:rPr>
              <w:t>3.根据财库[2017]141号的相关规定，在政府采购活动中，残疾人福利性单位视同小型、微型企业，享受评审中价格扣除政策。属于享受政府采购支持政策的残疾人福利性单位，应满足财库[2017]141号文件第一条</w:t>
            </w:r>
            <w:r>
              <w:rPr>
                <w:rFonts w:hint="default" w:ascii="Times New Roman" w:hAnsi="Times New Roman" w:eastAsia="宋体" w:cs="Times New Roman"/>
                <w:highlight w:val="none"/>
              </w:rPr>
              <w:t>的规定，并在投标文件中提供残疾人福利性单位声明函。</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5.同一投标人，小微企业、监狱企业、残疾人福利性单位价格扣除优惠只享受一次，不得重复享受。</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6.本项目采购标的所属行业为：</w:t>
            </w:r>
            <w:r>
              <w:rPr>
                <w:rFonts w:hint="default" w:ascii="Times New Roman" w:hAnsi="Times New Roman" w:eastAsia="宋体" w:cs="Times New Roman"/>
                <w:color w:val="FF0000"/>
                <w:highlight w:val="none"/>
                <w:lang w:eastAsia="zh-CN"/>
              </w:rPr>
              <w:t>工业</w:t>
            </w:r>
            <w:r>
              <w:rPr>
                <w:rFonts w:hint="default" w:ascii="Times New Roman" w:hAnsi="Times New Roman" w:eastAsia="宋体" w:cs="Times New Roman"/>
                <w:color w:val="FF0000"/>
                <w:highlight w:val="none"/>
              </w:rPr>
              <w:t>。</w:t>
            </w:r>
          </w:p>
          <w:p>
            <w:pPr>
              <w:snapToGrid w:val="0"/>
              <w:spacing w:line="360" w:lineRule="exact"/>
              <w:rPr>
                <w:rFonts w:hint="default" w:ascii="Times New Roman" w:hAnsi="Times New Roman" w:eastAsia="宋体" w:cs="Times New Roman"/>
                <w:b/>
                <w:bCs/>
              </w:rPr>
            </w:pPr>
            <w:r>
              <w:rPr>
                <w:rFonts w:hint="default" w:ascii="Times New Roman" w:hAnsi="Times New Roman" w:eastAsia="宋体" w:cs="Times New Roman"/>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17</w:t>
            </w:r>
          </w:p>
        </w:tc>
        <w:tc>
          <w:tcPr>
            <w:tcW w:w="1956" w:type="dxa"/>
            <w:vAlign w:val="center"/>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是否接受进口产品参与投标</w:t>
            </w:r>
          </w:p>
        </w:tc>
        <w:tc>
          <w:tcPr>
            <w:tcW w:w="7598" w:type="dxa"/>
            <w:vAlign w:val="center"/>
          </w:tcPr>
          <w:p>
            <w:pPr>
              <w:rPr>
                <w:rFonts w:hint="default" w:ascii="Times New Roman" w:hAnsi="Times New Roman" w:eastAsia="宋体" w:cs="Times New Roman"/>
                <w:highlight w:val="none"/>
              </w:rPr>
            </w:pPr>
            <w:r>
              <w:rPr>
                <w:rFonts w:hint="default" w:ascii="Times New Roman" w:hAnsi="Times New Roman" w:eastAsia="宋体" w:cs="Times New Roman"/>
                <w:color w:val="FF0000"/>
                <w:highlight w:val="none"/>
              </w:rPr>
              <w:t>本项目允许采购进口产品。</w:t>
            </w:r>
            <w:r>
              <w:rPr>
                <w:rFonts w:hint="default" w:ascii="Times New Roman" w:hAnsi="Times New Roman" w:eastAsia="宋体" w:cs="Times New Roman"/>
                <w:highlight w:val="none"/>
              </w:rPr>
              <w:t>详见投标须知7.1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18</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政采贷</w:t>
            </w:r>
          </w:p>
        </w:tc>
        <w:tc>
          <w:tcPr>
            <w:tcW w:w="7598" w:type="dxa"/>
            <w:vAlign w:val="center"/>
          </w:tcPr>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19</w:t>
            </w:r>
          </w:p>
        </w:tc>
        <w:tc>
          <w:tcPr>
            <w:tcW w:w="1956"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失信行为处理</w:t>
            </w:r>
          </w:p>
        </w:tc>
        <w:tc>
          <w:tcPr>
            <w:tcW w:w="7598" w:type="dxa"/>
            <w:vAlign w:val="center"/>
          </w:tcPr>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投标人发生下列情况之一时，除严格依法依规进行处理外，还将通报市信用管理部门，列入严重失信名单：</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（1）投标人在规定的投标有效期内撤回投标或放弃中标的；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（2）有意串标或提供虚假材料的；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（3）中标人在收到中标通知书后，因自身原因不能在投标有效期内和采购人签订合同。</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（4）中标供应商在标后履约过程中未按合同约定的期限和要求履约的。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（5）因中标供应商原因在标后履约过程中擅自终止合同的。</w:t>
            </w:r>
          </w:p>
          <w:p>
            <w:pPr>
              <w:snapToGrid w:val="0"/>
              <w:spacing w:line="360" w:lineRule="exact"/>
              <w:rPr>
                <w:rFonts w:hint="default" w:ascii="Times New Roman" w:hAnsi="Times New Roman" w:eastAsia="宋体" w:cs="Times New Roman"/>
              </w:rPr>
            </w:pPr>
            <w:r>
              <w:rPr>
                <w:rFonts w:hint="default" w:ascii="Times New Roman" w:hAnsi="Times New Roman" w:eastAsia="宋体" w:cs="Times New Roman"/>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rPr>
            </w:pPr>
            <w:r>
              <w:rPr>
                <w:rFonts w:hint="default" w:ascii="Times New Roman" w:hAnsi="Times New Roman" w:eastAsia="宋体" w:cs="Times New Roman"/>
              </w:rPr>
              <w:t>20</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质疑与投诉：</w:t>
            </w:r>
          </w:p>
        </w:tc>
        <w:tc>
          <w:tcPr>
            <w:tcW w:w="7598" w:type="dxa"/>
            <w:vAlign w:val="center"/>
          </w:tcPr>
          <w:p>
            <w:pPr>
              <w:pStyle w:val="31"/>
              <w:spacing w:line="360" w:lineRule="exact"/>
              <w:rPr>
                <w:rFonts w:hint="default" w:ascii="Times New Roman" w:hAnsi="Times New Roman" w:eastAsia="宋体" w:cs="Times New Roman"/>
                <w:kern w:val="0"/>
                <w:sz w:val="24"/>
              </w:rPr>
            </w:pPr>
            <w:r>
              <w:rPr>
                <w:rFonts w:hint="default" w:ascii="Times New Roman" w:hAnsi="Times New Roman" w:eastAsia="宋体" w:cs="Times New Roman"/>
                <w:kern w:val="0"/>
                <w:sz w:val="24"/>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8"/>
              <w:spacing w:after="0" w:line="360" w:lineRule="exact"/>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2.供应商应在法定质疑期内一次性提出针对同一采购程序环节的质疑。</w:t>
            </w:r>
          </w:p>
          <w:p>
            <w:pPr>
              <w:pStyle w:val="58"/>
              <w:spacing w:after="0" w:line="360" w:lineRule="exact"/>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3.提出质疑的供应商应当是参与所质疑项目采购活动的供应商。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rPr>
            </w:pPr>
            <w:r>
              <w:rPr>
                <w:rFonts w:hint="default" w:ascii="Times New Roman" w:hAnsi="Times New Roman" w:eastAsia="宋体" w:cs="Times New Roman"/>
              </w:rPr>
              <w:t>21</w:t>
            </w:r>
          </w:p>
        </w:tc>
        <w:tc>
          <w:tcPr>
            <w:tcW w:w="1956"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其他</w:t>
            </w:r>
          </w:p>
        </w:tc>
        <w:tc>
          <w:tcPr>
            <w:tcW w:w="7598"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bCs/>
              </w:rPr>
              <w:t>1.</w:t>
            </w:r>
            <w:r>
              <w:rPr>
                <w:rFonts w:hint="default" w:ascii="Times New Roman" w:hAnsi="Times New Roman" w:eastAsia="宋体" w:cs="Times New Roman"/>
              </w:rPr>
              <w:t>投标报价超过预算价或最高限价的，其投标为无效标。</w:t>
            </w:r>
          </w:p>
          <w:p>
            <w:pPr>
              <w:spacing w:line="400" w:lineRule="exact"/>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b/>
                <w:bCs/>
              </w:rPr>
              <w:t>.</w:t>
            </w:r>
            <w:r>
              <w:rPr>
                <w:rFonts w:hint="default" w:ascii="Times New Roman" w:hAnsi="Times New Roman" w:eastAsia="宋体" w:cs="Times New Roman"/>
              </w:rPr>
              <w:t>招标文件中要求投标人在制作投标文件时，提供的证明文件件必须根据评审细则对评审的内容要求完整、清晰可辨，否则在评审时以最不利于投标人原则评审。</w:t>
            </w:r>
          </w:p>
        </w:tc>
      </w:tr>
    </w:tbl>
    <w:p>
      <w:pPr>
        <w:spacing w:line="360" w:lineRule="auto"/>
        <w:jc w:val="center"/>
        <w:rPr>
          <w:rFonts w:hint="default" w:ascii="Times New Roman" w:hAnsi="Times New Roman" w:eastAsia="宋体" w:cs="Times New Roman"/>
          <w:sz w:val="36"/>
          <w:szCs w:val="36"/>
        </w:rPr>
      </w:pPr>
      <w:r>
        <w:rPr>
          <w:rFonts w:hint="default" w:ascii="Times New Roman" w:hAnsi="Times New Roman" w:eastAsia="宋体" w:cs="Times New Roman"/>
          <w:b/>
        </w:rPr>
        <w:t>注：投标人须知前附表内容与本招标文件后述内容不一致的，以投标须知前附表为准。</w:t>
      </w:r>
      <w:bookmarkStart w:id="10" w:name="_Toc362250686"/>
      <w:bookmarkStart w:id="11" w:name="_Toc274303228"/>
      <w:r>
        <w:rPr>
          <w:rFonts w:hint="default" w:ascii="Times New Roman" w:hAnsi="Times New Roman" w:eastAsia="宋体" w:cs="Times New Roman"/>
          <w:sz w:val="36"/>
          <w:szCs w:val="36"/>
        </w:rPr>
        <w:br w:type="page"/>
      </w:r>
      <w:bookmarkStart w:id="12" w:name="_Toc406413927"/>
      <w:r>
        <w:rPr>
          <w:rFonts w:hint="default" w:ascii="Times New Roman" w:hAnsi="Times New Roman" w:eastAsia="宋体" w:cs="Times New Roman"/>
          <w:b/>
          <w:sz w:val="32"/>
          <w:szCs w:val="32"/>
        </w:rPr>
        <w:t>投标须知</w:t>
      </w:r>
      <w:bookmarkEnd w:id="10"/>
      <w:bookmarkEnd w:id="11"/>
      <w:bookmarkEnd w:id="12"/>
    </w:p>
    <w:p>
      <w:pPr>
        <w:pStyle w:val="6"/>
        <w:spacing w:before="0" w:after="0" w:line="240" w:lineRule="exact"/>
        <w:rPr>
          <w:rFonts w:hint="default" w:ascii="Times New Roman" w:hAnsi="Times New Roman" w:eastAsia="宋体" w:cs="Times New Roman"/>
          <w:sz w:val="24"/>
          <w:szCs w:val="24"/>
        </w:rPr>
      </w:pPr>
      <w:bookmarkStart w:id="13" w:name="_Toc274303229"/>
      <w:bookmarkStart w:id="14" w:name="_Toc362250687"/>
      <w:bookmarkStart w:id="15" w:name="_Toc1189"/>
      <w:bookmarkStart w:id="16" w:name="_Toc406413928"/>
      <w:r>
        <w:rPr>
          <w:rFonts w:hint="default" w:ascii="Times New Roman" w:hAnsi="Times New Roman" w:eastAsia="宋体" w:cs="Times New Roman"/>
          <w:sz w:val="24"/>
          <w:szCs w:val="24"/>
        </w:rPr>
        <w:t>一、说明</w:t>
      </w:r>
      <w:bookmarkEnd w:id="13"/>
      <w:bookmarkEnd w:id="14"/>
      <w:bookmarkEnd w:id="15"/>
      <w:bookmarkEnd w:id="16"/>
    </w:p>
    <w:p>
      <w:pPr>
        <w:pStyle w:val="4"/>
        <w:adjustRightInd w:val="0"/>
        <w:snapToGrid w:val="0"/>
        <w:spacing w:line="400" w:lineRule="exact"/>
        <w:ind w:firstLine="482"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1.适用范围</w:t>
      </w:r>
    </w:p>
    <w:p>
      <w:pPr>
        <w:pStyle w:val="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1.1本招标文件仅适用于本次招标采购所叙述的货物和服务项目。</w:t>
      </w:r>
    </w:p>
    <w:p>
      <w:pPr>
        <w:pStyle w:val="4"/>
        <w:adjustRightInd w:val="0"/>
        <w:snapToGrid w:val="0"/>
        <w:spacing w:line="400" w:lineRule="exact"/>
        <w:ind w:firstLine="482"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2.定义</w:t>
      </w:r>
    </w:p>
    <w:p>
      <w:pPr>
        <w:pStyle w:val="31"/>
        <w:adjustRightInd w:val="0"/>
        <w:snapToGrid w:val="0"/>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2.1招标方：系指的是采购人和采购代理机构</w:t>
      </w:r>
    </w:p>
    <w:p>
      <w:pPr>
        <w:pStyle w:val="31"/>
        <w:adjustRightInd w:val="0"/>
        <w:snapToGrid w:val="0"/>
        <w:spacing w:line="40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2.2采购人：</w:t>
      </w:r>
      <w:r>
        <w:rPr>
          <w:rFonts w:hint="default" w:ascii="Times New Roman" w:hAnsi="Times New Roman" w:eastAsia="宋体" w:cs="Times New Roman"/>
          <w:sz w:val="24"/>
        </w:rPr>
        <w:t>系指的是</w:t>
      </w:r>
      <w:r>
        <w:rPr>
          <w:rFonts w:hint="default" w:ascii="Times New Roman" w:hAnsi="Times New Roman" w:eastAsia="宋体" w:cs="Times New Roman"/>
          <w:color w:val="FF0000"/>
          <w:sz w:val="24"/>
          <w:lang w:eastAsia="zh-CN"/>
        </w:rPr>
        <w:t>浙江大学医学院附属第四医院</w:t>
      </w:r>
    </w:p>
    <w:p>
      <w:pPr>
        <w:pStyle w:val="31"/>
        <w:adjustRightInd w:val="0"/>
        <w:snapToGrid w:val="0"/>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采购（招标）代理机构：系指义乌市政府采购中心。</w:t>
      </w:r>
    </w:p>
    <w:p>
      <w:pPr>
        <w:pStyle w:val="31"/>
        <w:adjustRightInd w:val="0"/>
        <w:snapToGrid w:val="0"/>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2.3投标人：系指响应招标、参加投标竞争的供应商。</w:t>
      </w:r>
    </w:p>
    <w:p>
      <w:pPr>
        <w:pStyle w:val="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2.4服务：系指</w:t>
      </w:r>
      <w:r>
        <w:rPr>
          <w:rFonts w:hint="default" w:ascii="Times New Roman" w:hAnsi="Times New Roman" w:eastAsia="宋体" w:cs="Times New Roman"/>
          <w:b w:val="0"/>
          <w:color w:val="auto"/>
          <w:sz w:val="24"/>
          <w:szCs w:val="24"/>
        </w:rPr>
        <w:t>招标文件规定投标人须承担的劳务及其它类似的服务</w:t>
      </w:r>
      <w:r>
        <w:rPr>
          <w:rFonts w:hint="default" w:ascii="Times New Roman" w:hAnsi="Times New Roman" w:eastAsia="宋体" w:cs="Times New Roman"/>
          <w:b w:val="0"/>
          <w:bCs w:val="0"/>
          <w:color w:val="auto"/>
          <w:sz w:val="24"/>
          <w:szCs w:val="24"/>
        </w:rPr>
        <w:t>。</w:t>
      </w:r>
    </w:p>
    <w:p>
      <w:pPr>
        <w:pStyle w:val="35"/>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2.5货物：系指按招标文件规定投标人须向采购人提供的设备及附件等。</w:t>
      </w:r>
    </w:p>
    <w:p>
      <w:pPr>
        <w:pStyle w:val="4"/>
        <w:spacing w:line="400" w:lineRule="exact"/>
        <w:ind w:firstLine="480" w:firstLineChars="200"/>
        <w:jc w:val="both"/>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2.6需方：即采购人，在招投标阶段称为采购人，在签订和执行合同阶段称为需方。</w:t>
      </w:r>
    </w:p>
    <w:p>
      <w:pPr>
        <w:pStyle w:val="4"/>
        <w:spacing w:line="4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color w:val="auto"/>
          <w:sz w:val="24"/>
          <w:szCs w:val="24"/>
        </w:rPr>
        <w:t>2.7供方：在招投标阶段称为投标人，中标后在签订和执行合同阶段称为供方。</w:t>
      </w:r>
    </w:p>
    <w:p>
      <w:pPr>
        <w:pStyle w:val="35"/>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2.8“原产地”是指货物开采、生长或生产、或提供有关服务的来源地。</w:t>
      </w:r>
    </w:p>
    <w:p>
      <w:pPr>
        <w:pStyle w:val="35"/>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2.9“★”标记系指必须满足不能负偏离或必须应答的条款。</w:t>
      </w:r>
    </w:p>
    <w:p>
      <w:pPr>
        <w:pStyle w:val="4"/>
        <w:adjustRightInd w:val="0"/>
        <w:snapToGrid w:val="0"/>
        <w:spacing w:line="400" w:lineRule="exact"/>
        <w:ind w:firstLine="482"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3.合格的投标人</w:t>
      </w:r>
    </w:p>
    <w:p>
      <w:pPr>
        <w:pStyle w:val="4"/>
        <w:adjustRightInd w:val="0"/>
        <w:snapToGrid w:val="0"/>
        <w:spacing w:line="4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符合第一章采购公告中关于“投标人资格条件”规定的投标人。</w:t>
      </w:r>
    </w:p>
    <w:p>
      <w:pPr>
        <w:pStyle w:val="31"/>
        <w:spacing w:line="40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4.保证</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投标单位应保证所提交给采购代理机构和采购人的资料和数据是真实、有效的。</w:t>
      </w:r>
    </w:p>
    <w:p>
      <w:pPr>
        <w:pStyle w:val="31"/>
        <w:spacing w:line="40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5.投标费用</w:t>
      </w:r>
    </w:p>
    <w:p>
      <w:pPr>
        <w:pStyle w:val="31"/>
        <w:spacing w:line="400" w:lineRule="exact"/>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不论投标过程中的作法和结果如何，投标人应承担所有与投标有关的全部费用。采购人和采购代理机构在任何情况下均无义务和责任承担上述这些费用。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6.转包、分包、联合体</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6.1本项目不接受转包。</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6.2本项目不接受分包。</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6.3联合体采购相关规定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6.3.1除特定资格要求外，联合体各方均应符合本项目规定的其它资格要求及根据承担工作需要的相应资格。</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6.3.2如本项目有特定资</w:t>
      </w:r>
      <w:r>
        <w:rPr>
          <w:rFonts w:hint="default" w:ascii="Times New Roman" w:hAnsi="Times New Roman" w:eastAsia="宋体" w:cs="Times New Roman"/>
          <w:lang w:eastAsia="zh-CN"/>
        </w:rPr>
        <w:t>格</w:t>
      </w:r>
      <w:r>
        <w:rPr>
          <w:rFonts w:hint="default" w:ascii="Times New Roman" w:hAnsi="Times New Roman" w:eastAsia="宋体" w:cs="Times New Roman"/>
        </w:rPr>
        <w:t>要求的，联合体中至少有一方应符合本文件规定的特定资格要求</w:t>
      </w:r>
      <w:r>
        <w:rPr>
          <w:rFonts w:hint="default" w:ascii="Times New Roman" w:hAnsi="Times New Roman" w:eastAsia="宋体" w:cs="Times New Roman"/>
          <w:lang w:eastAsia="zh-CN"/>
        </w:rPr>
        <w:t>（采购公告的资格要求中另有其他规定的，从其规定）</w:t>
      </w:r>
      <w:r>
        <w:rPr>
          <w:rFonts w:hint="default" w:ascii="Times New Roman" w:hAnsi="Times New Roman" w:eastAsia="宋体" w:cs="Times New Roman"/>
        </w:rPr>
        <w:t>。但联合体中有同类资质的投标人按照联合体分工承担相同工作的，应当按照资质等级较低的投标人确定资质等级。</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6.3.4以联合体形式参加政府采购活动的，联合体各方不得再单独参加或者与其他投标人另外组成联合体参加同一合同项下的政府采购活动。</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6.3.5联合体参与的，必须提供《联合体协议》。</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6.3.6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6.3.7联合体各方均为中小企业的，该联合体视同中小企业。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6.3.8以联合体形式参加政府采购活动的，其投诉应当由组成联合体的所有供应商共同提出。</w:t>
      </w:r>
    </w:p>
    <w:p>
      <w:pPr>
        <w:adjustRightInd w:val="0"/>
        <w:snapToGrid w:val="0"/>
        <w:spacing w:line="400" w:lineRule="exact"/>
        <w:ind w:firstLine="480" w:firstLineChars="200"/>
        <w:rPr>
          <w:rFonts w:hint="default" w:ascii="Times New Roman" w:hAnsi="Times New Roman" w:eastAsia="宋体" w:cs="Times New Roman"/>
          <w:b/>
          <w:color w:val="CCC0D9"/>
        </w:rPr>
      </w:pPr>
      <w:r>
        <w:rPr>
          <w:rFonts w:hint="default" w:ascii="Times New Roman" w:hAnsi="Times New Roman" w:eastAsia="宋体" w:cs="Times New Roman"/>
        </w:rPr>
        <w:t>6.3.9采购人或采购代理机构对联合体中任何一方的书面文件都对联合体各方具有约束力。</w:t>
      </w:r>
    </w:p>
    <w:p>
      <w:pPr>
        <w:adjustRightInd w:val="0"/>
        <w:snapToGrid w:val="0"/>
        <w:spacing w:line="400" w:lineRule="exact"/>
        <w:ind w:firstLine="482" w:firstLineChars="200"/>
        <w:rPr>
          <w:rFonts w:hint="default" w:ascii="Times New Roman" w:hAnsi="Times New Roman" w:eastAsia="宋体" w:cs="Times New Roman"/>
          <w:b/>
          <w:color w:val="CCC0D9"/>
        </w:rPr>
      </w:pPr>
      <w:r>
        <w:rPr>
          <w:rFonts w:hint="default" w:ascii="Times New Roman" w:hAnsi="Times New Roman" w:eastAsia="宋体" w:cs="Times New Roman"/>
          <w:b/>
        </w:rPr>
        <w:t>7.政府采购政策</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7.1进口产品采购规定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特殊监管区域包括：保税区、出口加工区、保税港区、珠澳跨境工业区珠海园区、中哈霍尔果斯国际边境合作中心中方配套区、综合保税区等区域。</w:t>
      </w:r>
    </w:p>
    <w:p>
      <w:pPr>
        <w:adjustRightInd w:val="0"/>
        <w:snapToGrid w:val="0"/>
        <w:spacing w:line="400" w:lineRule="exact"/>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7.1.2不允许进口产品参投的项目，投标人所投产品中有进口产品的其投标无效</w:t>
      </w:r>
      <w:r>
        <w:rPr>
          <w:rFonts w:hint="default" w:ascii="Times New Roman" w:hAnsi="Times New Roman" w:eastAsia="宋体" w:cs="Times New Roman"/>
          <w:lang w:eastAsia="zh-CN"/>
        </w:rPr>
        <w:t>。</w:t>
      </w:r>
    </w:p>
    <w:p>
      <w:pPr>
        <w:adjustRightInd w:val="0"/>
        <w:snapToGrid w:val="0"/>
        <w:spacing w:line="400" w:lineRule="exact"/>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rPr>
        <w:t>7.1.3允许进口产品参投的项目，同时也允许满足实质性需求的国内产品参与投标</w:t>
      </w:r>
      <w:r>
        <w:rPr>
          <w:rFonts w:hint="default" w:ascii="Times New Roman" w:hAnsi="Times New Roman" w:eastAsia="宋体" w:cs="Times New Roman"/>
          <w:lang w:eastAsia="zh-CN"/>
        </w:rPr>
        <w:t>。</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7.2扶持中小企业政策</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7.2.1专门面向中小企业(具体情形详见招标公告资格要求中的情形)采购的项目或者标项，不再执行价格评审优惠的扶持政策。</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7.2.2.非专门面向中小企业采购的项目(或标段)，执行价格评审优优惠。</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7.2.2.1根据符合《政府采购促进中小企业发展管理办法》（财库〔2020〕46号）要求，对小微企业报价给予 20% 的扣除，用扣除后的价格参加评审；对于接受大中型企业与小微企业组成联合体的采购项目，对于联合协议约定小微企业的合同份额占到合同总金额 30%以上的，对联合体的报价给予 6 %的扣除，用扣除后的价格参加评审。</w:t>
      </w:r>
      <w:r>
        <w:rPr>
          <w:rFonts w:hint="default" w:ascii="Times New Roman" w:hAnsi="Times New Roman" w:eastAsia="宋体" w:cs="Times New Roman"/>
          <w:b/>
          <w:bCs/>
        </w:rPr>
        <w:t>享受相关中小企业扶持政策的投标人，应在投标文件中提供《中小企业声明函》。</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7.2.2.2根据财库[2017]141号的相关规定，符合该文件第一条规定的残疾人福利性单位，视同小型、微型企业，享受评审中价格扣除政策，但投标人应在投标文件中提供残疾人福利性单位声明函。</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7.2.2.3根据财库[2014]68号的相关规定，在政府采购活动中，监狱企业视同小型、微型企业，享受中小企业扶持政策，但投标人应在投标文件中提供由省级以上监狱管理局、戒毒管理局（含新疆生产建设兵团）出具的属于监狱企业的声明文件。</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7.3节能环保</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 xml:space="preserve">7.3.1根据财财库〔2019〕9号文件要求，采购人采购的产品中有属于节能产品政府采购品目清单或环境标志产品政府采购品目清单内的，投标人所投的相应产品应在中国政府采购网（http://www.ccgp.gov.cn）中可查询到，如属于强制采购节能产品的，未查询到的其投标无效。 </w:t>
      </w:r>
    </w:p>
    <w:p>
      <w:pPr>
        <w:pStyle w:val="6"/>
        <w:spacing w:before="120" w:after="120" w:line="400" w:lineRule="exact"/>
        <w:rPr>
          <w:rFonts w:hint="default" w:ascii="Times New Roman" w:hAnsi="Times New Roman" w:eastAsia="宋体" w:cs="Times New Roman"/>
          <w:sz w:val="24"/>
          <w:szCs w:val="24"/>
        </w:rPr>
      </w:pPr>
      <w:bookmarkStart w:id="17" w:name="_Toc362250688"/>
      <w:bookmarkStart w:id="18" w:name="_Toc406413929"/>
      <w:bookmarkStart w:id="19" w:name="_Toc219"/>
      <w:bookmarkStart w:id="20" w:name="_Toc274303230"/>
      <w:r>
        <w:rPr>
          <w:rFonts w:hint="default" w:ascii="Times New Roman" w:hAnsi="Times New Roman" w:eastAsia="宋体" w:cs="Times New Roman"/>
          <w:sz w:val="24"/>
          <w:szCs w:val="24"/>
        </w:rPr>
        <w:t>二、招标文件</w:t>
      </w:r>
      <w:bookmarkEnd w:id="17"/>
      <w:bookmarkEnd w:id="18"/>
      <w:bookmarkEnd w:id="19"/>
      <w:bookmarkEnd w:id="20"/>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8.招标文件的组成</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8.1招标文件包括下列内容：</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第一章采购公告</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第二章投标须知和投标须知前附表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第三章招标项目要求</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第四章开标、评标和定标须知</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第五章投标文件的无效情形</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第六章评标办法</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第七章合同主要条款</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第八章投标文件部分格式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8.3上述所列7.1及7.2条内容均以公告内容为准，招标方的任何工作人员对投标人所作的任何口头解释、介绍、答复，对招标方和投标人无任何约束力。</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8.4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8.5招标方在“政采云”上设定的内容与招标文件的内容如有不一致的，以招标文件为准。</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9.招标文件的澄清</w:t>
      </w:r>
    </w:p>
    <w:p>
      <w:pPr>
        <w:adjustRightInd w:val="0"/>
        <w:snapToGrid w:val="0"/>
        <w:spacing w:before="50" w:after="50" w:line="400" w:lineRule="exact"/>
        <w:ind w:firstLine="480" w:firstLineChars="200"/>
        <w:rPr>
          <w:rFonts w:hint="default" w:ascii="Times New Roman" w:hAnsi="Times New Roman" w:eastAsia="宋体" w:cs="Times New Roman"/>
        </w:rPr>
      </w:pPr>
      <w:bookmarkStart w:id="21" w:name="_Toc274303231"/>
      <w:bookmarkStart w:id="22" w:name="_Toc406413930"/>
      <w:bookmarkStart w:id="23" w:name="_Toc362250689"/>
      <w:r>
        <w:rPr>
          <w:rFonts w:hint="default" w:ascii="Times New Roman" w:hAnsi="Times New Roman" w:eastAsia="宋体" w:cs="Times New Roman"/>
        </w:rPr>
        <w:t>9.1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9.2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购网上下载澄清（更正）文件，在收到该澄清（更正）文件后应于1日内，以书面或传真形式（签署意见并加盖公章）向招标代理机构回函给予确认。过期未回复的，视为默认接受。</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9.3投标人在前附表规定时间未提交疑问或质疑的，视作默认对本次招标过程中招标文件无异议，招标方对其提出的问题可以不予受理。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9.4招标文件澄清、变更、补充等内容均以浙江政府采购网公示的内容为准。当招标文件、招标文件的澄清、变更、补充等在同一内容的表述上不一致时，以最后在浙江政府采购网发出的公示内容为准。</w:t>
      </w:r>
    </w:p>
    <w:p>
      <w:pPr>
        <w:pStyle w:val="6"/>
        <w:spacing w:before="120" w:after="120" w:line="400" w:lineRule="exact"/>
        <w:rPr>
          <w:rFonts w:hint="default" w:ascii="Times New Roman" w:hAnsi="Times New Roman" w:eastAsia="宋体" w:cs="Times New Roman"/>
          <w:sz w:val="24"/>
          <w:szCs w:val="24"/>
        </w:rPr>
      </w:pPr>
      <w:bookmarkStart w:id="24" w:name="_Toc24794"/>
      <w:r>
        <w:rPr>
          <w:rFonts w:hint="default" w:ascii="Times New Roman" w:hAnsi="Times New Roman" w:eastAsia="宋体" w:cs="Times New Roman"/>
          <w:sz w:val="24"/>
          <w:szCs w:val="24"/>
        </w:rPr>
        <w:t>三、投标文件</w:t>
      </w:r>
      <w:bookmarkEnd w:id="21"/>
      <w:bookmarkEnd w:id="22"/>
      <w:bookmarkEnd w:id="23"/>
      <w:bookmarkEnd w:id="24"/>
    </w:p>
    <w:p>
      <w:pPr>
        <w:spacing w:line="400" w:lineRule="exact"/>
        <w:ind w:firstLine="480"/>
        <w:rPr>
          <w:rFonts w:hint="default" w:ascii="Times New Roman" w:hAnsi="Times New Roman" w:eastAsia="宋体" w:cs="Times New Roman"/>
          <w:b/>
          <w:bCs/>
        </w:rPr>
      </w:pPr>
      <w:r>
        <w:rPr>
          <w:rFonts w:hint="default" w:ascii="Times New Roman" w:hAnsi="Times New Roman" w:eastAsia="宋体" w:cs="Times New Roman"/>
          <w:b/>
          <w:bCs/>
        </w:rPr>
        <w:t>10.投标文件的组成</w:t>
      </w:r>
    </w:p>
    <w:p>
      <w:pPr>
        <w:adjustRightInd w:val="0"/>
        <w:snapToGrid w:val="0"/>
        <w:spacing w:line="460" w:lineRule="exact"/>
        <w:ind w:firstLine="463" w:firstLineChars="192"/>
        <w:rPr>
          <w:rFonts w:hint="default" w:ascii="Times New Roman" w:hAnsi="Times New Roman" w:eastAsia="宋体" w:cs="Times New Roman"/>
          <w:b/>
          <w:szCs w:val="21"/>
          <w:u w:val="single"/>
        </w:rPr>
      </w:pPr>
      <w:r>
        <w:rPr>
          <w:rFonts w:hint="default" w:ascii="Times New Roman" w:hAnsi="Times New Roman" w:eastAsia="宋体" w:cs="Times New Roman"/>
          <w:b/>
          <w:szCs w:val="21"/>
        </w:rPr>
        <w:t>10.1</w:t>
      </w:r>
      <w:r>
        <w:rPr>
          <w:rFonts w:hint="default" w:ascii="Times New Roman" w:hAnsi="Times New Roman" w:eastAsia="宋体" w:cs="Times New Roman"/>
          <w:szCs w:val="21"/>
        </w:rPr>
        <w:t>投标文件由</w:t>
      </w:r>
      <w:r>
        <w:rPr>
          <w:rFonts w:hint="default" w:ascii="Times New Roman" w:hAnsi="Times New Roman" w:eastAsia="宋体" w:cs="Times New Roman"/>
          <w:b/>
          <w:szCs w:val="21"/>
        </w:rPr>
        <w:t>资格响应文件</w:t>
      </w:r>
      <w:r>
        <w:rPr>
          <w:rFonts w:hint="default" w:ascii="Times New Roman" w:hAnsi="Times New Roman" w:eastAsia="宋体" w:cs="Times New Roman"/>
          <w:szCs w:val="21"/>
        </w:rPr>
        <w:t>、</w:t>
      </w:r>
      <w:r>
        <w:rPr>
          <w:rFonts w:hint="default" w:ascii="Times New Roman" w:hAnsi="Times New Roman" w:eastAsia="宋体" w:cs="Times New Roman"/>
          <w:b/>
          <w:szCs w:val="21"/>
        </w:rPr>
        <w:t>商务技术响应文件</w:t>
      </w:r>
      <w:r>
        <w:rPr>
          <w:rFonts w:hint="default" w:ascii="Times New Roman" w:hAnsi="Times New Roman" w:eastAsia="宋体" w:cs="Times New Roman"/>
          <w:szCs w:val="21"/>
        </w:rPr>
        <w:t>和</w:t>
      </w:r>
      <w:r>
        <w:rPr>
          <w:rFonts w:hint="default" w:ascii="Times New Roman" w:hAnsi="Times New Roman" w:eastAsia="宋体" w:cs="Times New Roman"/>
          <w:b/>
          <w:szCs w:val="21"/>
        </w:rPr>
        <w:t>报价响应文件</w:t>
      </w:r>
      <w:r>
        <w:rPr>
          <w:rFonts w:hint="default" w:ascii="Times New Roman" w:hAnsi="Times New Roman" w:eastAsia="宋体" w:cs="Times New Roman"/>
          <w:szCs w:val="21"/>
        </w:rPr>
        <w:t>组成，以下的“格式”，指的是第八章投标文件格式中的表格；</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10.1.1资格响应文件：包含以下内容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★①单位营业执照副本等经营资格证明文件扫描件（加盖电子签章）</w:t>
      </w:r>
      <w:r>
        <w:rPr>
          <w:rFonts w:hint="default" w:ascii="Times New Roman" w:hAnsi="Times New Roman" w:eastAsia="宋体" w:cs="Times New Roman"/>
          <w:lang w:eastAsia="zh-CN"/>
        </w:rPr>
        <w:t>（如果联合体参与投标的，联合体各方都应提供）</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★②义乌市政府采购项目投标承诺书（见格式）</w:t>
      </w:r>
    </w:p>
    <w:p>
      <w:pPr>
        <w:adjustRightInd w:val="0"/>
        <w:snapToGrid w:val="0"/>
        <w:spacing w:before="50" w:after="50" w:line="400" w:lineRule="exact"/>
        <w:ind w:firstLine="480" w:firstLineChars="200"/>
        <w:rPr>
          <w:rFonts w:hint="default" w:ascii="Times New Roman" w:hAnsi="Times New Roman" w:eastAsia="宋体" w:cs="Times New Roman"/>
          <w:lang w:val="zh-CN"/>
        </w:rPr>
      </w:pPr>
      <w:r>
        <w:rPr>
          <w:rFonts w:hint="default" w:ascii="Times New Roman" w:hAnsi="Times New Roman" w:eastAsia="宋体" w:cs="Times New Roman"/>
        </w:rPr>
        <w:t>③联合体协议</w:t>
      </w:r>
      <w:r>
        <w:rPr>
          <w:rFonts w:hint="default" w:ascii="Times New Roman" w:hAnsi="Times New Roman" w:eastAsia="宋体" w:cs="Times New Roman"/>
          <w:lang w:val="zh-CN"/>
        </w:rPr>
        <w:t>（见格式）（</w:t>
      </w:r>
      <w:r>
        <w:rPr>
          <w:rFonts w:hint="default" w:ascii="Times New Roman" w:hAnsi="Times New Roman" w:eastAsia="宋体" w:cs="Times New Roman"/>
        </w:rPr>
        <w:t>★如供应商是联合体，则应提供本项材料</w:t>
      </w:r>
      <w:r>
        <w:rPr>
          <w:rFonts w:hint="default" w:ascii="Times New Roman" w:hAnsi="Times New Roman" w:eastAsia="宋体" w:cs="Times New Roman"/>
          <w:lang w:val="zh-CN"/>
        </w:rPr>
        <w:t>）</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★④投标人为医疗器械生产企业的：第二类、第三类医疗器械生产企业提供《医疗器械生产许可证》、第一类医疗器械生产企业提供第一类医疗器械生产备案凭证</w:t>
      </w:r>
      <w:r>
        <w:rPr>
          <w:rFonts w:hint="eastAsia" w:ascii="Times New Roman" w:hAnsi="Times New Roman" w:eastAsia="宋体" w:cs="Times New Roman"/>
          <w:lang w:eastAsia="zh-CN"/>
        </w:rPr>
        <w:t>；</w:t>
      </w:r>
      <w:r>
        <w:rPr>
          <w:rFonts w:hint="default" w:ascii="Times New Roman" w:hAnsi="Times New Roman" w:eastAsia="宋体" w:cs="Times New Roman"/>
        </w:rPr>
        <w:t>投标人为医疗器械经营企业的：第三类医疗器械经营企业提供《医疗器械经营许可证》、第二类医疗器械经营企业提供第二类医疗器械经营备案凭证；（适用于按医疗器械管理的货物）</w:t>
      </w:r>
    </w:p>
    <w:p>
      <w:pPr>
        <w:adjustRightInd w:val="0"/>
        <w:snapToGrid w:val="0"/>
        <w:spacing w:before="50" w:after="50" w:line="400" w:lineRule="exact"/>
        <w:ind w:firstLine="480" w:firstLineChars="200"/>
        <w:rPr>
          <w:rFonts w:hint="default" w:ascii="Times New Roman" w:hAnsi="Times New Roman" w:eastAsia="宋体" w:cs="Times New Roman"/>
          <w:lang w:val="zh-CN"/>
        </w:rPr>
      </w:pPr>
      <w:r>
        <w:rPr>
          <w:rFonts w:hint="default" w:ascii="Times New Roman" w:hAnsi="Times New Roman" w:eastAsia="宋体" w:cs="Times New Roman"/>
        </w:rPr>
        <w:t>★⑤食品药品监督管理部门核发的完整有效的医疗器械注册证或备案凭证；（适用于按医疗器械管理的设备，若所投设备按国家规定必须具备，则须提供）</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⑥投标人实力与资信情况介绍或投标人认为需要提供的其他文件、说明等</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10.1.2商务技术响应文件：包含以下内容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rPr>
        <w:t>★①</w:t>
      </w:r>
      <w:r>
        <w:rPr>
          <w:rFonts w:hint="default" w:ascii="Times New Roman" w:hAnsi="Times New Roman" w:eastAsia="宋体" w:cs="Times New Roman"/>
          <w:b w:val="0"/>
          <w:bCs w:val="0"/>
          <w:color w:val="auto"/>
          <w:sz w:val="24"/>
          <w:szCs w:val="21"/>
        </w:rPr>
        <w:t>参投货物说明一览表</w:t>
      </w:r>
      <w:r>
        <w:rPr>
          <w:rFonts w:hint="default" w:ascii="Times New Roman" w:hAnsi="Times New Roman" w:eastAsia="宋体" w:cs="Times New Roman"/>
        </w:rPr>
        <w:t>（见格式</w:t>
      </w:r>
      <w:r>
        <w:rPr>
          <w:rFonts w:hint="default" w:ascii="Times New Roman" w:hAnsi="Times New Roman" w:eastAsia="宋体" w:cs="Times New Roman"/>
          <w:lang w:eastAsia="zh-CN"/>
        </w:rPr>
        <w:t>）</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★②规范偏离表（见格式）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★③产品质量保证及售后服务承诺书（见格式）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④根据评审需要、招标文件要求等，投标人自行考虑需提供的资料</w:t>
      </w:r>
    </w:p>
    <w:p>
      <w:pPr>
        <w:adjustRightInd w:val="0"/>
        <w:snapToGrid w:val="0"/>
        <w:spacing w:before="50" w:after="50"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10.1.3报价响应文件：包含下列内容</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★①开标一览表（见格式）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★②项目成本报价表（见格式）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④残疾人福利性单位声明函（见格式）（符合残疾人福利性单位有关政策的投标人需提供本项材料）</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⑤省级及以上监狱管理局、戒毒管理局（含新疆生产建设兵团）出具的属于监狱企业的文件扫描件加盖电子签章（符合监狱企业有关政策的投标人需提供本项材料）</w:t>
      </w:r>
    </w:p>
    <w:p>
      <w:pPr>
        <w:pStyle w:val="31"/>
        <w:spacing w:line="40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11.投标文件编制要求</w:t>
      </w:r>
    </w:p>
    <w:p>
      <w:pPr>
        <w:pStyle w:val="51"/>
        <w:spacing w:after="0" w:line="400" w:lineRule="exact"/>
        <w:ind w:firstLine="480" w:firstLineChars="200"/>
        <w:textAlignment w:val="baseline"/>
        <w:rPr>
          <w:rFonts w:hint="default" w:ascii="Times New Roman" w:hAnsi="Times New Roman" w:eastAsia="宋体" w:cs="Times New Roman"/>
        </w:rPr>
      </w:pPr>
      <w:r>
        <w:rPr>
          <w:rFonts w:hint="default" w:ascii="Times New Roman" w:hAnsi="Times New Roman" w:eastAsia="宋体" w:cs="Times New Roman"/>
        </w:rPr>
        <w:t>11.1投标人应仔细阅读招标文件，了解招标文件的要求，在完全了解招标项目的技术要求和商务要求后，编制投标文件。</w:t>
      </w:r>
    </w:p>
    <w:p>
      <w:pPr>
        <w:pStyle w:val="51"/>
        <w:spacing w:after="0" w:line="400" w:lineRule="exact"/>
        <w:ind w:firstLine="480" w:firstLineChars="200"/>
        <w:textAlignment w:val="baseline"/>
        <w:rPr>
          <w:rFonts w:hint="default" w:ascii="Times New Roman" w:hAnsi="Times New Roman" w:eastAsia="宋体" w:cs="Times New Roman"/>
        </w:rPr>
      </w:pPr>
      <w:r>
        <w:rPr>
          <w:rFonts w:hint="default" w:ascii="Times New Roman" w:hAnsi="Times New Roman" w:eastAsia="宋体" w:cs="Times New Roman"/>
        </w:rPr>
        <w:t>11.2在招标文件对技术要求中，投标人必须充分应答和满足用户的强制性的需求，如“★”等，否则将导致无效标。</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11.3编制的投标文件对招标文件中有关条款未提出异议的，均被视为接受和同意。</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11.4投标人应根据电子投标操作指南按本招标文件规定的格式和顺序编制电子投标文件并进行关联定位。</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11.5由于未按招标文件的规定要求编制投标文件，导致评审小组作出的对投标人的误判，责任由投标人自己承担。</w:t>
      </w:r>
    </w:p>
    <w:p>
      <w:pPr>
        <w:adjustRightInd w:val="0"/>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b/>
        </w:rPr>
        <w:t>12.</w:t>
      </w:r>
      <w:r>
        <w:rPr>
          <w:rFonts w:hint="default" w:ascii="Times New Roman" w:hAnsi="Times New Roman" w:eastAsia="宋体" w:cs="Times New Roman"/>
          <w:b/>
          <w:bCs/>
        </w:rPr>
        <w:t>投标文件的语言及度量衡单位</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12.1投标文件和与投标有关的所有文件均应使用中文简体字。</w:t>
      </w:r>
    </w:p>
    <w:p>
      <w:pPr>
        <w:pStyle w:val="144"/>
        <w:spacing w:line="400" w:lineRule="exact"/>
        <w:ind w:firstLine="480"/>
        <w:jc w:val="both"/>
        <w:rPr>
          <w:rFonts w:hint="default" w:ascii="Times New Roman" w:hAnsi="Times New Roman" w:eastAsia="宋体" w:cs="Times New Roman"/>
        </w:rPr>
      </w:pPr>
      <w:r>
        <w:rPr>
          <w:rFonts w:hint="default" w:ascii="Times New Roman" w:hAnsi="Times New Roman" w:eastAsia="宋体" w:cs="Times New Roman"/>
          <w:szCs w:val="24"/>
        </w:rPr>
        <w:t>12.2</w:t>
      </w:r>
      <w:r>
        <w:rPr>
          <w:rFonts w:hint="default" w:ascii="Times New Roman" w:hAnsi="Times New Roman" w:eastAsia="宋体" w:cs="Times New Roman"/>
        </w:rPr>
        <w:t>原版为外文的证书类文件，以及由外国人作出的本人签名、外国公司的名称或外国印章等可以是外文，但应当提供中文翻译文件并加盖电子签章。</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12.3除工程规范另有规定外，投标文件使用的度量衡单位，均采用中华人民共和国法定计量单位。</w:t>
      </w:r>
    </w:p>
    <w:p>
      <w:pPr>
        <w:pStyle w:val="31"/>
        <w:spacing w:line="400" w:lineRule="exact"/>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13.投标报价</w:t>
      </w:r>
    </w:p>
    <w:p>
      <w:pPr>
        <w:pStyle w:val="31"/>
        <w:spacing w:line="440" w:lineRule="exact"/>
        <w:ind w:firstLine="480"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13.1投标人应根据国家的有关规定和招标文件要求并结合企业的实际情况进行投标报价。投标报价以人民币为结算货币，投标报价须包</w:t>
      </w:r>
      <w:r>
        <w:rPr>
          <w:rFonts w:hint="default" w:ascii="Times New Roman" w:hAnsi="Times New Roman" w:eastAsia="宋体" w:cs="Times New Roman"/>
          <w:sz w:val="24"/>
          <w:szCs w:val="24"/>
          <w:highlight w:val="none"/>
          <w:lang w:eastAsia="zh-CN"/>
        </w:rPr>
        <w:t>含</w:t>
      </w:r>
      <w:r>
        <w:rPr>
          <w:rFonts w:ascii="Times New Roman" w:hAnsi="Times New Roman"/>
          <w:sz w:val="24"/>
          <w:highlight w:val="none"/>
        </w:rPr>
        <w:t>货物价款、</w:t>
      </w:r>
      <w:r>
        <w:rPr>
          <w:rFonts w:hint="eastAsia" w:ascii="Times New Roman" w:hAnsi="Times New Roman"/>
          <w:sz w:val="24"/>
          <w:highlight w:val="none"/>
          <w:lang w:eastAsia="zh-CN"/>
        </w:rPr>
        <w:t>试剂耗材费、</w:t>
      </w:r>
      <w:r>
        <w:rPr>
          <w:rFonts w:ascii="Times New Roman" w:hAnsi="Times New Roman"/>
          <w:sz w:val="24"/>
          <w:highlight w:val="none"/>
        </w:rPr>
        <w:t>附件、配件、备品备件、途中运输费、装卸费、安装调试费、技术指导费、维护费、技术资料费、保险费、利润、税金、售后服务费、完成本项目的其它费用和政策性文件规定及合同包含的所有风险、责任等各项应有费用</w:t>
      </w:r>
      <w:r>
        <w:rPr>
          <w:rFonts w:hint="default" w:ascii="Times New Roman" w:hAnsi="Times New Roman" w:eastAsia="宋体" w:cs="Times New Roman"/>
          <w:sz w:val="24"/>
          <w:szCs w:val="24"/>
          <w:highlight w:val="none"/>
        </w:rPr>
        <w:t>。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w:t>
      </w:r>
      <w:r>
        <w:rPr>
          <w:rFonts w:hint="eastAsia" w:ascii="Times New Roman" w:hAnsi="Times New Roman" w:eastAsia="宋体" w:cs="Times New Roman"/>
          <w:sz w:val="24"/>
          <w:szCs w:val="24"/>
          <w:highlight w:val="none"/>
          <w:lang w:eastAsia="zh-CN"/>
        </w:rPr>
        <w:t>及总价</w:t>
      </w:r>
      <w:r>
        <w:rPr>
          <w:rFonts w:hint="default" w:ascii="Times New Roman" w:hAnsi="Times New Roman" w:eastAsia="宋体" w:cs="Times New Roman"/>
          <w:sz w:val="24"/>
          <w:szCs w:val="24"/>
          <w:highlight w:val="none"/>
        </w:rPr>
        <w:t>不做调整。</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13.2投标人应在投标文件的《开标一览表》上写明投标报价项目的单价及总价。</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13.3中标后，中标人所填写的报价在合同实施期间不因市场变化因素而变动，投标人在计算报价时应考虑一定的风险系数。</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13.4投标人应按招标文件规定的报价格式进行投标报价。投标人对每种货物只允许有一个报价，招标方不接受任何有选择性的报价。</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13.5</w:t>
      </w:r>
      <w:r>
        <w:rPr>
          <w:rFonts w:hint="default" w:ascii="Times New Roman" w:hAnsi="Times New Roman" w:eastAsia="宋体" w:cs="Times New Roman"/>
          <w:spacing w:val="-8"/>
          <w:sz w:val="24"/>
          <w:szCs w:val="24"/>
        </w:rPr>
        <w:t>招标方不接受低于成本的投标报价。</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13.6投标人按照上述要求编制投标报价。一旦确认某一投标人中标，除合同规定的可调整内容外，中标人不得要求追加任何费用。</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13.7须由中标单位开具正式发票。</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13.8招标文件中规定由投标单位承担并支付的相关费用在投标报价时应一并考虑。</w:t>
      </w:r>
    </w:p>
    <w:p>
      <w:pPr>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14.投标文件格式</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31"/>
        <w:spacing w:line="36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15.履约保证金：</w:t>
      </w:r>
      <w:r>
        <w:rPr>
          <w:rFonts w:hint="default" w:ascii="Times New Roman" w:hAnsi="Times New Roman" w:eastAsia="宋体" w:cs="Times New Roman"/>
          <w:bCs/>
          <w:sz w:val="24"/>
          <w:szCs w:val="24"/>
        </w:rPr>
        <w:t>无</w:t>
      </w:r>
    </w:p>
    <w:p>
      <w:pPr>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16.投标有效期</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16.1投标文件从开标之日起，投标有效期为90天。</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0" w:after="0" w:line="400" w:lineRule="exact"/>
        <w:rPr>
          <w:rFonts w:hint="default" w:ascii="Times New Roman" w:hAnsi="Times New Roman" w:eastAsia="宋体" w:cs="Times New Roman"/>
          <w:sz w:val="24"/>
          <w:szCs w:val="24"/>
        </w:rPr>
      </w:pPr>
      <w:bookmarkStart w:id="25" w:name="_Toc406413931"/>
      <w:bookmarkStart w:id="26" w:name="_Toc274303232"/>
      <w:bookmarkStart w:id="27" w:name="_Toc27181"/>
      <w:bookmarkStart w:id="28" w:name="_Toc362250690"/>
      <w:r>
        <w:rPr>
          <w:rFonts w:hint="default" w:ascii="Times New Roman" w:hAnsi="Times New Roman" w:eastAsia="宋体" w:cs="Times New Roman"/>
          <w:sz w:val="24"/>
          <w:szCs w:val="24"/>
        </w:rPr>
        <w:t>四、投标文件的递交</w:t>
      </w:r>
      <w:bookmarkEnd w:id="25"/>
      <w:bookmarkEnd w:id="26"/>
      <w:bookmarkEnd w:id="27"/>
      <w:bookmarkEnd w:id="28"/>
    </w:p>
    <w:p>
      <w:pPr>
        <w:tabs>
          <w:tab w:val="left" w:pos="315"/>
        </w:tabs>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17.电子投标文件上传的地点和截止时间</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投标人应在投标截止时间（</w:t>
      </w:r>
      <w:r>
        <w:rPr>
          <w:rFonts w:hint="default" w:ascii="Times New Roman" w:hAnsi="Times New Roman" w:eastAsia="宋体" w:cs="Times New Roman"/>
          <w:color w:val="FF0000"/>
          <w:sz w:val="24"/>
          <w:szCs w:val="24"/>
        </w:rPr>
        <w:t>2023年</w:t>
      </w:r>
      <w:r>
        <w:rPr>
          <w:rFonts w:hint="default" w:ascii="Times New Roman" w:hAnsi="Times New Roman" w:eastAsia="宋体" w:cs="Times New Roman"/>
          <w:color w:val="FF0000"/>
          <w:sz w:val="24"/>
          <w:szCs w:val="24"/>
          <w:lang w:val="en-US" w:eastAsia="zh-CN"/>
        </w:rPr>
        <w:t>5</w:t>
      </w:r>
      <w:r>
        <w:rPr>
          <w:rFonts w:hint="default" w:ascii="Times New Roman" w:hAnsi="Times New Roman" w:eastAsia="宋体" w:cs="Times New Roman"/>
          <w:color w:val="FF0000"/>
          <w:sz w:val="24"/>
          <w:szCs w:val="24"/>
        </w:rPr>
        <w:t>月</w:t>
      </w:r>
      <w:r>
        <w:rPr>
          <w:rFonts w:hint="eastAsia" w:ascii="Times New Roman" w:hAnsi="Times New Roman" w:eastAsia="宋体" w:cs="Times New Roman"/>
          <w:color w:val="FF0000"/>
          <w:sz w:val="24"/>
          <w:szCs w:val="24"/>
          <w:lang w:val="en-US" w:eastAsia="zh-CN"/>
        </w:rPr>
        <w:t>XX</w:t>
      </w:r>
      <w:r>
        <w:rPr>
          <w:rFonts w:hint="default" w:ascii="Times New Roman" w:hAnsi="Times New Roman" w:eastAsia="宋体" w:cs="Times New Roman"/>
          <w:color w:val="FF0000"/>
          <w:sz w:val="24"/>
          <w:szCs w:val="24"/>
        </w:rPr>
        <w:t>日</w:t>
      </w:r>
      <w:r>
        <w:rPr>
          <w:rFonts w:hint="default" w:ascii="Times New Roman" w:hAnsi="Times New Roman" w:eastAsia="宋体" w:cs="Times New Roman"/>
          <w:sz w:val="24"/>
          <w:szCs w:val="24"/>
        </w:rPr>
        <w:t>09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bCs/>
          <w:sz w:val="24"/>
          <w:szCs w:val="24"/>
        </w:rPr>
        <w:t>投标供应商仅递交备份投标文件的，投标无效。</w:t>
      </w:r>
    </w:p>
    <w:p>
      <w:pPr>
        <w:tabs>
          <w:tab w:val="left" w:pos="315"/>
        </w:tabs>
        <w:adjustRightInd w:val="0"/>
        <w:snapToGrid w:val="0"/>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rPr>
        <w:t>18.</w:t>
      </w:r>
      <w:r>
        <w:rPr>
          <w:rFonts w:hint="default" w:ascii="Times New Roman" w:hAnsi="Times New Roman" w:eastAsia="宋体" w:cs="Times New Roman"/>
          <w:b/>
          <w:bCs/>
        </w:rPr>
        <w:t>投标文件的补充、修改与撤回</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18.1投标人在“政采云”上提交投标文件以后，在规定的投标截止时间之前，可以重新补充修改或撤回已上传的投标文件，补充、修改的内容为投标文件的组成部分。</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18.2在投标截止时间之后，投标人不得对其投标做任何修改。</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18.3从投标截止时间至投标人在投标书格式中确定的投标有效期期满这段时间内，投标人不得撤回其投标。</w:t>
      </w:r>
    </w:p>
    <w:p>
      <w:pPr>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19.投标文件解密</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本项目采用线上开标，供应商无需到开标现场，但应准时在线参加。开标时间后采购中心开启解密。开启解密后的1小时内，供应商应当登录“政采云”，用“项目采购-开标评标”功能解密投标文件。</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sz w:val="24"/>
          <w:szCs w:val="24"/>
        </w:rPr>
        <w:t>2023年</w:t>
      </w:r>
      <w:r>
        <w:rPr>
          <w:rFonts w:hint="default" w:ascii="Times New Roman" w:hAnsi="Times New Roman" w:eastAsia="宋体" w:cs="Times New Roman"/>
          <w:color w:val="FF0000"/>
          <w:sz w:val="24"/>
          <w:szCs w:val="24"/>
          <w:lang w:val="en-US" w:eastAsia="zh-CN"/>
        </w:rPr>
        <w:t>5</w:t>
      </w:r>
      <w:r>
        <w:rPr>
          <w:rFonts w:hint="default" w:ascii="Times New Roman" w:hAnsi="Times New Roman" w:eastAsia="宋体" w:cs="Times New Roman"/>
          <w:color w:val="FF0000"/>
          <w:sz w:val="24"/>
          <w:szCs w:val="24"/>
        </w:rPr>
        <w:t>月</w:t>
      </w:r>
      <w:r>
        <w:rPr>
          <w:rFonts w:hint="eastAsia" w:ascii="Times New Roman" w:hAnsi="Times New Roman" w:eastAsia="宋体" w:cs="Times New Roman"/>
          <w:color w:val="FF0000"/>
          <w:sz w:val="24"/>
          <w:szCs w:val="24"/>
          <w:lang w:val="en-US" w:eastAsia="zh-CN"/>
        </w:rPr>
        <w:t>XX</w:t>
      </w:r>
      <w:r>
        <w:rPr>
          <w:rFonts w:hint="default" w:ascii="Times New Roman" w:hAnsi="Times New Roman" w:eastAsia="宋体" w:cs="Times New Roman"/>
          <w:color w:val="FF0000"/>
          <w:sz w:val="24"/>
          <w:szCs w:val="24"/>
        </w:rPr>
        <w:t>日</w:t>
      </w:r>
      <w:r>
        <w:rPr>
          <w:rFonts w:hint="default" w:ascii="Times New Roman" w:hAnsi="Times New Roman" w:eastAsia="宋体" w:cs="Times New Roman"/>
          <w:sz w:val="24"/>
          <w:szCs w:val="24"/>
        </w:rPr>
        <w:t>上午09:30前）及要求提供有效备份标书，同时政采云上投标文件解密失败的，将导致投标无效。</w:t>
      </w: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如果投标人发送两份以上备份文件的，以最后收到的那一份为准，通过“政采云”上传递交的“加密投标文件”已按时解密的，“备份投标文件”自动失效。</w:t>
      </w:r>
    </w:p>
    <w:p>
      <w:pPr>
        <w:pStyle w:val="6"/>
        <w:numPr>
          <w:ilvl w:val="0"/>
          <w:numId w:val="0"/>
        </w:numPr>
        <w:spacing w:before="120" w:after="120" w:line="400" w:lineRule="exact"/>
        <w:rPr>
          <w:rFonts w:hint="default" w:ascii="Times New Roman" w:hAnsi="Times New Roman" w:eastAsia="宋体" w:cs="Times New Roman"/>
          <w:sz w:val="24"/>
          <w:szCs w:val="24"/>
        </w:rPr>
      </w:pPr>
      <w:bookmarkStart w:id="29" w:name="_Toc362250691"/>
      <w:bookmarkStart w:id="30" w:name="_Toc406413932"/>
      <w:bookmarkStart w:id="31" w:name="_Toc274303233"/>
      <w:bookmarkStart w:id="32" w:name="_Toc7348"/>
      <w:r>
        <w:rPr>
          <w:rFonts w:hint="default" w:ascii="Times New Roman" w:hAnsi="Times New Roman" w:eastAsia="宋体" w:cs="Times New Roman"/>
          <w:sz w:val="24"/>
          <w:szCs w:val="24"/>
        </w:rPr>
        <w:t>五、</w:t>
      </w:r>
      <w:bookmarkEnd w:id="29"/>
      <w:bookmarkEnd w:id="30"/>
      <w:bookmarkEnd w:id="31"/>
      <w:r>
        <w:rPr>
          <w:rFonts w:hint="default" w:ascii="Times New Roman" w:hAnsi="Times New Roman" w:eastAsia="宋体" w:cs="Times New Roman"/>
          <w:sz w:val="24"/>
          <w:szCs w:val="24"/>
        </w:rPr>
        <w:t>其它</w:t>
      </w:r>
      <w:bookmarkEnd w:id="32"/>
    </w:p>
    <w:p>
      <w:pPr>
        <w:spacing w:line="40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20.本招标文件解释权归“招标方”。</w:t>
      </w: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spacing w:line="400" w:lineRule="exact"/>
        <w:ind w:firstLine="482" w:firstLineChars="200"/>
        <w:rPr>
          <w:rFonts w:hint="default" w:ascii="Times New Roman" w:hAnsi="Times New Roman" w:eastAsia="宋体" w:cs="Times New Roman"/>
          <w:b/>
          <w:bCs/>
        </w:rPr>
      </w:pPr>
    </w:p>
    <w:p>
      <w:pPr>
        <w:pStyle w:val="5"/>
        <w:spacing w:before="0" w:after="0" w:line="400" w:lineRule="atLeast"/>
        <w:jc w:val="center"/>
        <w:rPr>
          <w:rFonts w:hint="default" w:ascii="Times New Roman" w:hAnsi="Times New Roman" w:eastAsia="宋体" w:cs="Times New Roman"/>
          <w:sz w:val="36"/>
          <w:highlight w:val="none"/>
        </w:rPr>
      </w:pPr>
      <w:bookmarkStart w:id="33" w:name="_Toc9111"/>
      <w:bookmarkStart w:id="34" w:name="_Toc27734"/>
      <w:bookmarkStart w:id="35" w:name="_Toc24741"/>
      <w:bookmarkStart w:id="36" w:name="_Toc31308"/>
      <w:bookmarkStart w:id="37" w:name="_Toc406413933"/>
      <w:bookmarkStart w:id="38" w:name="_Toc274303234"/>
      <w:r>
        <w:rPr>
          <w:rFonts w:hint="default" w:ascii="Times New Roman" w:hAnsi="Times New Roman" w:eastAsia="宋体" w:cs="Times New Roman"/>
          <w:sz w:val="36"/>
          <w:highlight w:val="none"/>
        </w:rPr>
        <w:t>第三章 招标项目要求</w:t>
      </w:r>
      <w:bookmarkEnd w:id="33"/>
      <w:bookmarkEnd w:id="34"/>
      <w:bookmarkEnd w:id="35"/>
      <w:bookmarkEnd w:id="36"/>
      <w:bookmarkEnd w:id="37"/>
      <w:bookmarkEnd w:id="38"/>
      <w:bookmarkStart w:id="39" w:name="_Toc226973000"/>
      <w:bookmarkStart w:id="40" w:name="_Toc406413936"/>
      <w:bookmarkStart w:id="41" w:name="_Toc274303251"/>
    </w:p>
    <w:p>
      <w:pPr>
        <w:pStyle w:val="6"/>
        <w:widowControl w:val="0"/>
        <w:spacing w:before="120" w:after="120"/>
        <w:jc w:val="both"/>
        <w:rPr>
          <w:rFonts w:hint="default" w:ascii="Times New Roman" w:hAnsi="Times New Roman" w:eastAsia="宋体" w:cs="Times New Roman"/>
          <w:bCs w:val="0"/>
          <w:sz w:val="24"/>
          <w:szCs w:val="24"/>
          <w:highlight w:val="none"/>
          <w:lang w:val="en-US" w:eastAsia="zh-CN"/>
        </w:rPr>
      </w:pPr>
      <w:bookmarkStart w:id="42" w:name="_Toc521403320"/>
      <w:bookmarkStart w:id="43" w:name="_Toc37951771"/>
      <w:bookmarkStart w:id="44" w:name="_Toc11061"/>
      <w:bookmarkStart w:id="45" w:name="_Toc74063753"/>
      <w:bookmarkStart w:id="46" w:name="_Toc90042290"/>
      <w:r>
        <w:rPr>
          <w:rFonts w:hint="default" w:ascii="Times New Roman" w:hAnsi="Times New Roman" w:eastAsia="宋体" w:cs="Times New Roman"/>
          <w:bCs w:val="0"/>
          <w:sz w:val="24"/>
          <w:szCs w:val="24"/>
          <w:highlight w:val="none"/>
          <w:lang w:val="en-US" w:eastAsia="zh-CN"/>
        </w:rPr>
        <w:t>一、项目概况</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浙江大学医学院附属第四医院</w:t>
      </w:r>
      <w:r>
        <w:rPr>
          <w:rFonts w:hint="default" w:ascii="Times New Roman" w:hAnsi="Times New Roman" w:eastAsia="宋体" w:cs="Times New Roman"/>
          <w:sz w:val="24"/>
          <w:szCs w:val="24"/>
          <w:highlight w:val="none"/>
          <w:lang w:eastAsia="zh-CN"/>
        </w:rPr>
        <w:t>检验科临床质谱项目相关仪器</w:t>
      </w:r>
      <w:r>
        <w:rPr>
          <w:rFonts w:hint="default" w:ascii="Times New Roman" w:hAnsi="Times New Roman" w:eastAsia="宋体" w:cs="Times New Roman"/>
          <w:sz w:val="24"/>
          <w:szCs w:val="24"/>
          <w:highlight w:val="none"/>
        </w:rPr>
        <w:t>采购的供货、安装、调试、技术服务、相关文件的提交、与技术规格一致的产品图表及资料、保证期内的维修服务等。</w:t>
      </w:r>
    </w:p>
    <w:p>
      <w:pPr>
        <w:pStyle w:val="6"/>
        <w:widowControl w:val="0"/>
        <w:spacing w:before="120" w:after="120"/>
        <w:jc w:val="both"/>
        <w:rPr>
          <w:rFonts w:hint="default" w:ascii="Times New Roman" w:hAnsi="Times New Roman" w:eastAsia="宋体" w:cs="Times New Roman"/>
          <w:bCs w:val="0"/>
          <w:sz w:val="24"/>
          <w:szCs w:val="24"/>
          <w:highlight w:val="none"/>
          <w:lang w:val="en-US" w:eastAsia="zh-CN"/>
        </w:rPr>
      </w:pPr>
      <w:r>
        <w:rPr>
          <w:rFonts w:hint="default" w:ascii="Times New Roman" w:hAnsi="Times New Roman" w:eastAsia="宋体" w:cs="Times New Roman"/>
          <w:bCs w:val="0"/>
          <w:sz w:val="24"/>
          <w:szCs w:val="24"/>
          <w:highlight w:val="none"/>
          <w:lang w:val="en-US" w:eastAsia="zh-CN"/>
        </w:rPr>
        <w:t>二、招标货物一览表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175"/>
        <w:gridCol w:w="103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pPr>
              <w:widowControl w:val="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eastAsia="zh-CN"/>
              </w:rPr>
              <w:t>序号</w:t>
            </w:r>
          </w:p>
        </w:tc>
        <w:tc>
          <w:tcPr>
            <w:tcW w:w="5175" w:type="dxa"/>
            <w:noWrap w:val="0"/>
            <w:vAlign w:val="center"/>
          </w:tcPr>
          <w:p>
            <w:pPr>
              <w:widowControl w:val="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名称</w:t>
            </w:r>
          </w:p>
        </w:tc>
        <w:tc>
          <w:tcPr>
            <w:tcW w:w="1035" w:type="dxa"/>
            <w:noWrap w:val="0"/>
            <w:vAlign w:val="center"/>
          </w:tcPr>
          <w:p>
            <w:pPr>
              <w:widowControl w:val="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数量</w:t>
            </w:r>
          </w:p>
        </w:tc>
        <w:tc>
          <w:tcPr>
            <w:tcW w:w="1389" w:type="dxa"/>
            <w:noWrap w:val="0"/>
            <w:vAlign w:val="center"/>
          </w:tcPr>
          <w:p>
            <w:pPr>
              <w:widowControl w:val="0"/>
              <w:jc w:val="center"/>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98" w:type="dxa"/>
            <w:noWrap w:val="0"/>
            <w:vAlign w:val="center"/>
          </w:tcPr>
          <w:p>
            <w:pPr>
              <w:widowControl w:val="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5175" w:type="dxa"/>
            <w:noWrap w:val="0"/>
            <w:vAlign w:val="center"/>
          </w:tcPr>
          <w:p>
            <w:pPr>
              <w:widowControl w:val="0"/>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超高效液相色谱-串联质谱系统</w:t>
            </w:r>
          </w:p>
        </w:tc>
        <w:tc>
          <w:tcPr>
            <w:tcW w:w="1035" w:type="dxa"/>
            <w:noWrap w:val="0"/>
            <w:vAlign w:val="center"/>
          </w:tcPr>
          <w:p>
            <w:pPr>
              <w:widowControl w:val="0"/>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1</w:t>
            </w:r>
            <w:r>
              <w:rPr>
                <w:rFonts w:hint="eastAsia" w:cs="Times New Roman"/>
                <w:sz w:val="24"/>
                <w:szCs w:val="24"/>
                <w:highlight w:val="none"/>
                <w:lang w:val="en-US" w:eastAsia="zh-CN"/>
              </w:rPr>
              <w:t>套</w:t>
            </w:r>
          </w:p>
        </w:tc>
        <w:tc>
          <w:tcPr>
            <w:tcW w:w="1389" w:type="dxa"/>
            <w:noWrap w:val="0"/>
            <w:vAlign w:val="center"/>
          </w:tcPr>
          <w:p>
            <w:pPr>
              <w:widowControl w:val="0"/>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98" w:type="dxa"/>
            <w:noWrap w:val="0"/>
            <w:vAlign w:val="center"/>
          </w:tcPr>
          <w:p>
            <w:pPr>
              <w:widowControl w:val="0"/>
              <w:jc w:val="center"/>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w:t>
            </w:r>
          </w:p>
        </w:tc>
        <w:tc>
          <w:tcPr>
            <w:tcW w:w="5175" w:type="dxa"/>
            <w:noWrap w:val="0"/>
            <w:vAlign w:val="center"/>
          </w:tcPr>
          <w:p>
            <w:pPr>
              <w:widowControl w:val="0"/>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sz w:val="24"/>
                <w:szCs w:val="24"/>
                <w:highlight w:val="none"/>
                <w:lang w:eastAsia="zh-CN"/>
              </w:rPr>
              <w:t>分拣系统</w:t>
            </w:r>
          </w:p>
        </w:tc>
        <w:tc>
          <w:tcPr>
            <w:tcW w:w="1035" w:type="dxa"/>
            <w:noWrap w:val="0"/>
            <w:vAlign w:val="center"/>
          </w:tcPr>
          <w:p>
            <w:pPr>
              <w:widowControl w:val="0"/>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1套</w:t>
            </w:r>
          </w:p>
        </w:tc>
        <w:tc>
          <w:tcPr>
            <w:tcW w:w="1389" w:type="dxa"/>
            <w:noWrap w:val="0"/>
            <w:vAlign w:val="center"/>
          </w:tcPr>
          <w:p>
            <w:pPr>
              <w:widowControl w:val="0"/>
              <w:jc w:val="center"/>
              <w:rPr>
                <w:rFonts w:hint="default" w:ascii="Times New Roman" w:hAnsi="Times New Roman" w:eastAsia="宋体" w:cs="Times New Roman"/>
                <w:sz w:val="24"/>
                <w:szCs w:val="24"/>
                <w:highlight w:val="none"/>
              </w:rPr>
            </w:pPr>
          </w:p>
        </w:tc>
      </w:tr>
    </w:tbl>
    <w:p>
      <w:pPr>
        <w:spacing w:line="360" w:lineRule="auto"/>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注：</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投标方须在投标文件</w:t>
      </w:r>
      <w:r>
        <w:rPr>
          <w:rFonts w:hint="default" w:ascii="Times New Roman" w:hAnsi="Times New Roman" w:eastAsia="宋体" w:cs="Times New Roman"/>
          <w:sz w:val="24"/>
          <w:szCs w:val="24"/>
          <w:highlight w:val="none"/>
          <w:lang w:eastAsia="zh-CN"/>
        </w:rPr>
        <w:t>商务技术响应文件</w:t>
      </w:r>
      <w:r>
        <w:rPr>
          <w:rFonts w:hint="default" w:ascii="Times New Roman" w:hAnsi="Times New Roman" w:eastAsia="宋体" w:cs="Times New Roman"/>
          <w:sz w:val="24"/>
          <w:szCs w:val="24"/>
          <w:highlight w:val="none"/>
        </w:rPr>
        <w:t>中提供主要参投设备的原厂商宣传彩页，包含产品配置、图片等说明。</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★本项目需填报</w:t>
      </w:r>
      <w:r>
        <w:rPr>
          <w:rFonts w:hint="default" w:ascii="Times New Roman" w:hAnsi="Times New Roman" w:eastAsia="宋体" w:cs="Times New Roman"/>
          <w:sz w:val="24"/>
          <w:szCs w:val="24"/>
          <w:highlight w:val="none"/>
          <w:lang w:eastAsia="zh-CN"/>
        </w:rPr>
        <w:t>试剂</w:t>
      </w:r>
      <w:r>
        <w:rPr>
          <w:rFonts w:hint="default" w:ascii="Times New Roman" w:hAnsi="Times New Roman" w:eastAsia="宋体" w:cs="Times New Roman"/>
          <w:sz w:val="24"/>
          <w:szCs w:val="24"/>
          <w:highlight w:val="none"/>
        </w:rPr>
        <w:t>耗材结算率，</w:t>
      </w:r>
      <w:r>
        <w:rPr>
          <w:rFonts w:hint="default" w:ascii="Times New Roman" w:hAnsi="Times New Roman" w:eastAsia="宋体" w:cs="Times New Roman"/>
          <w:sz w:val="24"/>
          <w:szCs w:val="24"/>
          <w:highlight w:val="none"/>
          <w:lang w:eastAsia="zh-CN"/>
        </w:rPr>
        <w:t>试剂</w:t>
      </w:r>
      <w:r>
        <w:rPr>
          <w:rFonts w:hint="default" w:ascii="Times New Roman" w:hAnsi="Times New Roman" w:eastAsia="宋体" w:cs="Times New Roman"/>
          <w:sz w:val="24"/>
          <w:szCs w:val="24"/>
          <w:highlight w:val="none"/>
        </w:rPr>
        <w:t>耗材按采购人要求供货并根据《</w:t>
      </w:r>
      <w:r>
        <w:rPr>
          <w:rFonts w:hint="default" w:ascii="Times New Roman" w:hAnsi="Times New Roman" w:eastAsia="宋体" w:cs="Times New Roman"/>
          <w:sz w:val="24"/>
          <w:szCs w:val="24"/>
          <w:highlight w:val="none"/>
          <w:lang w:eastAsia="zh-CN"/>
        </w:rPr>
        <w:t>义乌市</w:t>
      </w:r>
      <w:r>
        <w:rPr>
          <w:rFonts w:hint="default" w:ascii="Times New Roman" w:hAnsi="Times New Roman" w:eastAsia="宋体" w:cs="Times New Roman"/>
          <w:sz w:val="24"/>
          <w:szCs w:val="24"/>
          <w:highlight w:val="none"/>
        </w:rPr>
        <w:t>公立医院医疗服务价格手册》收费标准*结算率结算。</w:t>
      </w:r>
    </w:p>
    <w:p>
      <w:pPr>
        <w:pStyle w:val="6"/>
        <w:widowControl w:val="0"/>
        <w:spacing w:before="120" w:after="120"/>
        <w:jc w:val="both"/>
        <w:rPr>
          <w:rFonts w:hint="default" w:ascii="Times New Roman" w:hAnsi="Times New Roman" w:eastAsia="宋体" w:cs="Times New Roman"/>
          <w:bCs w:val="0"/>
          <w:sz w:val="24"/>
          <w:szCs w:val="24"/>
          <w:highlight w:val="none"/>
          <w:lang w:val="en-US" w:eastAsia="zh-CN"/>
        </w:rPr>
      </w:pPr>
      <w:r>
        <w:rPr>
          <w:rFonts w:hint="default" w:ascii="Times New Roman" w:hAnsi="Times New Roman" w:eastAsia="宋体" w:cs="Times New Roman"/>
          <w:bCs w:val="0"/>
          <w:sz w:val="24"/>
          <w:szCs w:val="24"/>
          <w:highlight w:val="none"/>
          <w:lang w:val="en-US" w:eastAsia="zh-CN"/>
        </w:rPr>
        <w:t>三、技术要求</w:t>
      </w:r>
    </w:p>
    <w:tbl>
      <w:tblPr>
        <w:tblStyle w:val="61"/>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
                <w:bCs/>
                <w:color w:val="auto"/>
                <w:sz w:val="24"/>
                <w:szCs w:val="24"/>
              </w:rPr>
              <w:t>序号</w:t>
            </w:r>
          </w:p>
        </w:tc>
        <w:tc>
          <w:tcPr>
            <w:tcW w:w="8477" w:type="dxa"/>
            <w:noWrap w:val="0"/>
            <w:vAlign w:val="center"/>
          </w:tcPr>
          <w:p>
            <w:pPr>
              <w:widowControl w:val="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
                <w:bCs/>
                <w:color w:val="auto"/>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94" w:type="dxa"/>
            <w:gridSpan w:val="2"/>
            <w:noWrap w:val="0"/>
            <w:vAlign w:val="center"/>
          </w:tcPr>
          <w:p>
            <w:pPr>
              <w:pStyle w:val="370"/>
              <w:widowControl w:val="0"/>
              <w:numPr>
                <w:ilvl w:val="0"/>
                <w:numId w:val="0"/>
              </w:num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sz w:val="24"/>
                <w:szCs w:val="24"/>
                <w:highlight w:val="none"/>
              </w:rPr>
              <w:t>超高效液相色谱-串联质谱系统</w:t>
            </w:r>
            <w:r>
              <w:rPr>
                <w:rFonts w:hint="default" w:ascii="Times New Roman" w:hAnsi="Times New Roman" w:eastAsia="宋体" w:cs="Times New Roman"/>
                <w:b/>
                <w:sz w:val="24"/>
                <w:szCs w:val="24"/>
                <w:highlight w:val="none"/>
                <w:lang w:eastAsia="zh-CN"/>
              </w:rPr>
              <w:t>（本设备接受进口产品参与投标。）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bCs w:val="0"/>
                <w:snapToGrid w:val="0"/>
                <w:color w:val="auto"/>
                <w:sz w:val="24"/>
                <w:szCs w:val="24"/>
              </w:rPr>
            </w:pPr>
            <w:r>
              <w:rPr>
                <w:rFonts w:hint="default" w:ascii="Times New Roman" w:hAnsi="Times New Roman" w:eastAsia="宋体" w:cs="Times New Roman"/>
                <w:b/>
                <w:bCs w:val="0"/>
                <w:snapToGrid w:val="0"/>
                <w:color w:val="auto"/>
                <w:sz w:val="24"/>
                <w:szCs w:val="24"/>
              </w:rPr>
              <w:t>一</w:t>
            </w:r>
          </w:p>
        </w:tc>
        <w:tc>
          <w:tcPr>
            <w:tcW w:w="8477" w:type="dxa"/>
            <w:noWrap w:val="0"/>
            <w:vAlign w:val="center"/>
          </w:tcPr>
          <w:p>
            <w:pPr>
              <w:widowControl w:val="0"/>
              <w:ind w:right="200"/>
              <w:jc w:val="both"/>
              <w:rPr>
                <w:rFonts w:hint="default" w:ascii="Times New Roman" w:hAnsi="Times New Roman" w:eastAsia="宋体" w:cs="Times New Roman"/>
                <w:b/>
                <w:bCs w:val="0"/>
                <w:snapToGrid w:val="0"/>
                <w:color w:val="auto"/>
                <w:sz w:val="24"/>
                <w:szCs w:val="24"/>
              </w:rPr>
            </w:pPr>
            <w:r>
              <w:rPr>
                <w:rFonts w:hint="default" w:ascii="Times New Roman" w:hAnsi="Times New Roman" w:eastAsia="宋体" w:cs="Times New Roman"/>
                <w:b/>
                <w:bCs w:val="0"/>
                <w:snapToGrid w:val="0"/>
                <w:color w:val="auto"/>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1.1</w:t>
            </w:r>
          </w:p>
        </w:tc>
        <w:tc>
          <w:tcPr>
            <w:tcW w:w="8477" w:type="dxa"/>
            <w:noWrap w:val="0"/>
            <w:vAlign w:val="center"/>
          </w:tcPr>
          <w:p>
            <w:pPr>
              <w:widowControl w:val="0"/>
              <w:ind w:right="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用于临床治疗药物监测、维生素、激素、氨基酸等检测。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eastAsia" w:ascii="Times New Roman" w:hAnsi="Times New Roman" w:eastAsia="宋体" w:cs="Times New Roman"/>
                <w:b/>
                <w:bCs w:val="0"/>
                <w:snapToGrid w:val="0"/>
                <w:color w:val="auto"/>
                <w:sz w:val="24"/>
                <w:szCs w:val="24"/>
                <w:lang w:eastAsia="zh-CN"/>
              </w:rPr>
            </w:pPr>
            <w:r>
              <w:rPr>
                <w:rFonts w:hint="eastAsia" w:cs="Times New Roman"/>
                <w:b/>
                <w:bCs w:val="0"/>
                <w:snapToGrid w:val="0"/>
                <w:color w:val="auto"/>
                <w:sz w:val="24"/>
                <w:szCs w:val="24"/>
                <w:lang w:eastAsia="zh-CN"/>
              </w:rPr>
              <w:t>二</w:t>
            </w:r>
          </w:p>
        </w:tc>
        <w:tc>
          <w:tcPr>
            <w:tcW w:w="8477" w:type="dxa"/>
            <w:noWrap w:val="0"/>
            <w:vAlign w:val="center"/>
          </w:tcPr>
          <w:p>
            <w:pPr>
              <w:widowControl w:val="0"/>
              <w:ind w:right="200"/>
              <w:jc w:val="both"/>
              <w:rPr>
                <w:rFonts w:hint="default" w:ascii="Times New Roman" w:hAnsi="Times New Roman" w:eastAsia="宋体" w:cs="Times New Roman"/>
                <w:b/>
                <w:bCs w:val="0"/>
                <w:snapToGrid w:val="0"/>
                <w:color w:val="auto"/>
                <w:sz w:val="24"/>
                <w:szCs w:val="24"/>
              </w:rPr>
            </w:pPr>
            <w:r>
              <w:rPr>
                <w:rFonts w:hint="default" w:ascii="Times New Roman" w:hAnsi="Times New Roman" w:eastAsia="宋体" w:cs="Times New Roman"/>
                <w:b/>
                <w:bCs w:val="0"/>
                <w:snapToGrid w:val="0"/>
                <w:color w:val="auto"/>
                <w:sz w:val="24"/>
                <w:szCs w:val="24"/>
              </w:rPr>
              <w:t>主要技术和性能规格要求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
                <w:bCs/>
                <w:color w:val="auto"/>
                <w:spacing w:val="-8"/>
                <w:kern w:val="0"/>
                <w:sz w:val="24"/>
                <w:szCs w:val="24"/>
              </w:rPr>
              <w:t>1</w:t>
            </w:r>
          </w:p>
        </w:tc>
        <w:tc>
          <w:tcPr>
            <w:tcW w:w="8477" w:type="dxa"/>
            <w:noWrap w:val="0"/>
            <w:vAlign w:val="center"/>
          </w:tcPr>
          <w:p>
            <w:pPr>
              <w:widowControl w:val="0"/>
              <w:jc w:val="both"/>
              <w:rPr>
                <w:rFonts w:hint="default" w:ascii="Times New Roman" w:hAnsi="Times New Roman" w:eastAsia="宋体" w:cs="Times New Roman"/>
                <w:b/>
                <w:bCs/>
                <w:color w:val="auto"/>
                <w:spacing w:val="-8"/>
                <w:kern w:val="0"/>
                <w:sz w:val="24"/>
                <w:szCs w:val="24"/>
              </w:rPr>
            </w:pPr>
            <w:r>
              <w:rPr>
                <w:rFonts w:hint="default" w:ascii="Times New Roman" w:hAnsi="Times New Roman" w:eastAsia="宋体" w:cs="Times New Roman"/>
                <w:b/>
                <w:bCs/>
                <w:color w:val="auto"/>
                <w:spacing w:val="-8"/>
                <w:kern w:val="0"/>
                <w:sz w:val="24"/>
                <w:szCs w:val="24"/>
              </w:rPr>
              <w:t>超高效液相色谱部分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二元高压梯度泵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相互独立电子控制的双柱塞驱动装置，双压力传感器反馈回路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流量范围：0.01ml/min-2.000ml/min，递增率0.001ml/min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流量精度：≤0.075%RSD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1.1.4</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流速准确度：±1.0%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★1.1.5</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操作压力范围：≥12000psi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1.1.6</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可压缩性补偿：自动连续调节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1.1.7</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梯度洗脱：0-100%，最小递增率为0.1%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1.1.8</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混合精度：&lt;0.2%，不随反压变化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▲1.1.9</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梯度模式：预编可选≥11条梯度曲线，包括线性、凹线（4）、凸线（4）和步进（2）梯度变化，无需模拟即可实现（投标文件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中需提供详细中英文原版说明书作为</w:t>
            </w:r>
            <w:r>
              <w:rPr>
                <w:rFonts w:hint="default" w:ascii="Times New Roman" w:hAnsi="Times New Roman" w:eastAsia="宋体" w:cs="Times New Roman"/>
                <w:bCs/>
                <w:color w:val="auto"/>
                <w:spacing w:val="-8"/>
                <w:kern w:val="0"/>
                <w:sz w:val="24"/>
                <w:szCs w:val="24"/>
                <w:lang w:eastAsia="zh-CN"/>
              </w:rPr>
              <w:t>佐证</w:t>
            </w:r>
            <w:r>
              <w:rPr>
                <w:rFonts w:hint="default" w:ascii="Times New Roman" w:hAnsi="Times New Roman" w:eastAsia="宋体" w:cs="Times New Roman"/>
                <w:bCs/>
                <w:color w:val="auto"/>
                <w:spacing w:val="-8"/>
                <w:kern w:val="0"/>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★1.1.10</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内置在线脱气装置通道≥2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1.1.11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带柱塞杆自动清洗装置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自动进样器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1.2.1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样品盘：≥96位2ml样品瓶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1.2.2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进样量：0.1-100ul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1.2.3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样品污染度：≤0.001%或0.002%（可调）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1.2.4</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带样品冷却控温：4℃-40℃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1.2.5</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color w:val="auto"/>
                <w:sz w:val="24"/>
                <w:szCs w:val="24"/>
              </w:rPr>
              <w:t>样品管理器采用流通针式设计，针内壁的分析过程中不断被流动相清洗，同时配备专门的进样针外壁清洗流路，最大程度的抑制交叉污染的产生。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柱温箱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1.3.1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柱温箱温度范围：室温 10-90˚C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1.3.2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温度稳定性：≤±0.3˚C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1.3.3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温度准确度：±0.5˚C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▲1.3.4</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色谱柱信息跟踪记录：配有智能芯片信息技术，在线记录色谱柱使用信息（液相主机可读取每根色谱柱最近50次历史使用记录）。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
                <w:bCs/>
                <w:color w:val="auto"/>
                <w:spacing w:val="-8"/>
                <w:kern w:val="0"/>
                <w:sz w:val="24"/>
                <w:szCs w:val="24"/>
              </w:rPr>
              <w:t>2</w:t>
            </w:r>
          </w:p>
        </w:tc>
        <w:tc>
          <w:tcPr>
            <w:tcW w:w="8477" w:type="dxa"/>
            <w:noWrap w:val="0"/>
            <w:vAlign w:val="center"/>
          </w:tcPr>
          <w:p>
            <w:pPr>
              <w:widowControl w:val="0"/>
              <w:jc w:val="both"/>
              <w:rPr>
                <w:rFonts w:hint="default" w:ascii="Times New Roman" w:hAnsi="Times New Roman" w:eastAsia="宋体" w:cs="Times New Roman"/>
                <w:b/>
                <w:bCs/>
                <w:color w:val="auto"/>
                <w:spacing w:val="-8"/>
                <w:kern w:val="0"/>
                <w:sz w:val="24"/>
                <w:szCs w:val="24"/>
              </w:rPr>
            </w:pPr>
            <w:r>
              <w:rPr>
                <w:rFonts w:hint="default" w:ascii="Times New Roman" w:hAnsi="Times New Roman" w:eastAsia="宋体" w:cs="Times New Roman"/>
                <w:b/>
                <w:bCs/>
                <w:color w:val="auto"/>
                <w:spacing w:val="-8"/>
                <w:kern w:val="0"/>
                <w:sz w:val="24"/>
                <w:szCs w:val="24"/>
              </w:rPr>
              <w:t>质谱仪部分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highlight w:val="none"/>
              </w:rPr>
            </w:pPr>
            <w:r>
              <w:rPr>
                <w:rFonts w:hint="default" w:ascii="Times New Roman" w:hAnsi="Times New Roman" w:eastAsia="宋体" w:cs="Times New Roman"/>
                <w:bCs/>
                <w:color w:val="auto"/>
                <w:spacing w:val="-8"/>
                <w:kern w:val="0"/>
                <w:sz w:val="24"/>
                <w:szCs w:val="24"/>
                <w:highlight w:val="none"/>
              </w:rPr>
              <w:t>2.1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highlight w:val="none"/>
              </w:rPr>
            </w:pPr>
            <w:r>
              <w:rPr>
                <w:rFonts w:hint="default" w:ascii="Times New Roman" w:hAnsi="Times New Roman" w:eastAsia="宋体" w:cs="Times New Roman"/>
                <w:bCs/>
                <w:color w:val="auto"/>
                <w:spacing w:val="-8"/>
                <w:kern w:val="0"/>
                <w:sz w:val="24"/>
                <w:szCs w:val="24"/>
                <w:highlight w:val="none"/>
              </w:rPr>
              <w:t>原理：液相色谱－三重四极杆串联质谱联用仪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复合离子源（ESI/APCI复合离子源）</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一次进样可以在ESI+，ESI-，APCI+，APCI-四种电离方式之间快速切换</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并可同时得到每一种电离方式的谱图(四个通道)数据。ESI和APCI采集切换速率≤20ms。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▲2.2.1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离子源具有双控温区域：脱溶剂气温度可以在30秒内升温至650℃或以上（投标文件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中需提供温度设置</w:t>
            </w:r>
            <w:r>
              <w:rPr>
                <w:rFonts w:hint="default" w:ascii="Times New Roman" w:hAnsi="Times New Roman" w:eastAsia="宋体" w:cs="Times New Roman"/>
                <w:bCs/>
                <w:color w:val="auto"/>
                <w:spacing w:val="-8"/>
                <w:kern w:val="0"/>
                <w:sz w:val="24"/>
                <w:szCs w:val="24"/>
                <w:lang w:eastAsia="zh-CN"/>
              </w:rPr>
              <w:t>佐证</w:t>
            </w:r>
            <w:r>
              <w:rPr>
                <w:rFonts w:hint="default" w:ascii="Times New Roman" w:hAnsi="Times New Roman" w:eastAsia="宋体" w:cs="Times New Roman"/>
                <w:bCs/>
                <w:color w:val="auto"/>
                <w:spacing w:val="-8"/>
                <w:kern w:val="0"/>
                <w:sz w:val="24"/>
                <w:szCs w:val="24"/>
              </w:rPr>
              <w:t>文件），且需满足离子源接口作为另一控温区域，温度设置≥120度，提高脱溶剂化效果</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请提供软件温度设置截图。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▲2.2.2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采用非毛细管离子导入技术防止样品热降解后堵塞，以提高抗污染能力（投标文件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中需提供</w:t>
            </w:r>
            <w:r>
              <w:rPr>
                <w:rFonts w:hint="default" w:ascii="Times New Roman" w:hAnsi="Times New Roman" w:eastAsia="宋体" w:cs="Times New Roman"/>
                <w:bCs/>
                <w:color w:val="auto"/>
                <w:spacing w:val="-8"/>
                <w:kern w:val="0"/>
                <w:sz w:val="24"/>
                <w:szCs w:val="24"/>
                <w:lang w:eastAsia="zh-CN"/>
              </w:rPr>
              <w:t>佐证材料</w:t>
            </w:r>
            <w:r>
              <w:rPr>
                <w:rFonts w:hint="default" w:ascii="Times New Roman" w:hAnsi="Times New Roman" w:eastAsia="宋体" w:cs="Times New Roman"/>
                <w:bCs/>
                <w:color w:val="auto"/>
                <w:spacing w:val="-8"/>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2.2.3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离子源具有真空隔离阀，无需卸真空，即可拆洗离子源锥孔，常规维护免工具。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2.2.4</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内置全自动注射泵和直接进样瓶3个，可通过软件自动切换，实现质谱直接进样自动调谐和校准，以及化合物质谱条件开发，每次可同时优化多个化合物，开发好的质谱条件可以自动保存为方法文件，直接用于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碰撞池：直线型碰撞池，降低碰撞池清洗频次，具有加速离子传输和离子富集功能。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▲2.4</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检测器系统：偏轴设计的光电倍增管，密封在真空玻璃管中，寿命10年保证</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能够满足长期大量脏样品定量分析的数据可靠性和重复性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2.5</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真空系统</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特殊设计的抽溶剂大抽速机械泵和长寿命涡轮分子泵组合差分抽气高真空系统</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无需额外水冷却系统。自动断电保护功能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2.6</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lang w:eastAsia="zh-CN"/>
              </w:rPr>
            </w:pPr>
            <w:r>
              <w:rPr>
                <w:rFonts w:hint="default" w:ascii="Times New Roman" w:hAnsi="Times New Roman" w:eastAsia="宋体" w:cs="Times New Roman"/>
                <w:bCs/>
                <w:color w:val="auto"/>
                <w:spacing w:val="-8"/>
                <w:kern w:val="0"/>
                <w:sz w:val="24"/>
                <w:szCs w:val="24"/>
              </w:rPr>
              <w:t>扫描方式</w:t>
            </w:r>
            <w:r>
              <w:rPr>
                <w:rFonts w:hint="default" w:ascii="Times New Roman" w:hAnsi="Times New Roman" w:eastAsia="宋体" w:cs="Times New Roman"/>
                <w:bCs/>
                <w:color w:val="auto"/>
                <w:spacing w:val="-8"/>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2.6.1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具有全扫描(Full Scan)、选择离子扫描(SIM)、子离子扫描（Product Ion Scan）、母离子扫描（Precursor Ion Scan）、中性丢失扫描（Neutral Loss Scan）、多反应监测扫描（MRM）。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w:t>
            </w:r>
            <w:r>
              <w:rPr>
                <w:rFonts w:hint="default" w:ascii="Times New Roman" w:hAnsi="Times New Roman" w:eastAsia="宋体" w:cs="Times New Roman"/>
                <w:bCs/>
                <w:color w:val="auto"/>
                <w:spacing w:val="-8"/>
                <w:kern w:val="0"/>
                <w:sz w:val="24"/>
                <w:szCs w:val="24"/>
                <w:lang w:val="en-GB"/>
              </w:rPr>
              <w:t>2.6.2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lang w:val="en-GB"/>
              </w:rPr>
            </w:pPr>
            <w:r>
              <w:rPr>
                <w:rFonts w:hint="default" w:ascii="Times New Roman" w:hAnsi="Times New Roman" w:eastAsia="宋体" w:cs="Times New Roman"/>
                <w:bCs/>
                <w:color w:val="auto"/>
                <w:spacing w:val="-8"/>
                <w:kern w:val="0"/>
                <w:sz w:val="24"/>
                <w:szCs w:val="24"/>
                <w:lang w:val="en-GB"/>
              </w:rPr>
              <w:t>双重扫描MRM模式：在一针进样同时得到MRM和Full Scan数据，用于评估检测过程中的样品背景基质情况，避免假阴性的产生一种富含信息的扫描模式，可以在高选择性准确定量目标倾倒物的同时提供样品背景监控信息，且为液相方法开发及前处理方法开发提供依据，大大提高复杂样品定量准确性。MRM和Full Sacn切换时间≤3ms。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lang w:val="en-GB"/>
              </w:rPr>
              <w:t>2.6.3</w:t>
            </w:r>
          </w:p>
        </w:tc>
        <w:tc>
          <w:tcPr>
            <w:tcW w:w="8477" w:type="dxa"/>
            <w:noWrap w:val="0"/>
            <w:vAlign w:val="center"/>
          </w:tcPr>
          <w:p>
            <w:pPr>
              <w:widowControl w:val="0"/>
              <w:ind w:right="200"/>
              <w:jc w:val="both"/>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lang w:val="en-GB"/>
              </w:rPr>
              <w:t>动态阈值二级全扫描子离子确认功能：在检测MRM通道的同时采集目标化合物的完整子离子全扫描信号，并自动同标准品二级全扫描谱图实现比对、确证，在定量分析的同时实现定性功能，大大降低复杂痕量样品的假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检测性能：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质量范围：m/z2-2048amu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扫描速率：</w:t>
            </w:r>
            <w:r>
              <w:rPr>
                <w:rFonts w:hint="default" w:ascii="Times New Roman" w:hAnsi="Times New Roman" w:eastAsia="宋体" w:cs="Times New Roman"/>
                <w:bCs/>
                <w:snapToGrid w:val="0"/>
                <w:color w:val="auto"/>
                <w:sz w:val="24"/>
                <w:szCs w:val="24"/>
              </w:rPr>
              <w:t>≥</w:t>
            </w:r>
            <w:r>
              <w:rPr>
                <w:rFonts w:hint="default" w:ascii="Times New Roman" w:hAnsi="Times New Roman" w:eastAsia="宋体" w:cs="Times New Roman"/>
                <w:bCs/>
                <w:color w:val="auto"/>
                <w:spacing w:val="-8"/>
                <w:kern w:val="0"/>
                <w:sz w:val="24"/>
                <w:szCs w:val="24"/>
              </w:rPr>
              <w:t>20000amu/s（0.1amu步进）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线性范围：定量超过六个数量级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2.7.4</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分辨率：半峰宽≤0.5Da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2.7.5</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质量数稳定性：平均标准偏差≤0.1Da/24Hr，全质量范围偏差≤0.01%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★2.7.6</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灵敏度：</w:t>
            </w:r>
          </w:p>
          <w:p>
            <w:pPr>
              <w:widowControl w:val="0"/>
              <w:jc w:val="both"/>
              <w:rPr>
                <w:rFonts w:hint="default" w:ascii="Times New Roman" w:hAnsi="Times New Roman" w:eastAsia="宋体" w:cs="Times New Roman"/>
                <w:bCs/>
                <w:color w:val="auto"/>
                <w:spacing w:val="-8"/>
                <w:kern w:val="0"/>
                <w:sz w:val="24"/>
                <w:szCs w:val="24"/>
                <w:lang w:eastAsia="zh-CN"/>
              </w:rPr>
            </w:pPr>
            <w:r>
              <w:rPr>
                <w:rFonts w:hint="default" w:ascii="Times New Roman" w:hAnsi="Times New Roman" w:eastAsia="宋体" w:cs="Times New Roman"/>
                <w:bCs/>
                <w:color w:val="auto"/>
                <w:spacing w:val="-8"/>
                <w:kern w:val="0"/>
                <w:sz w:val="24"/>
                <w:szCs w:val="24"/>
              </w:rPr>
              <w:t>ESI正离子灵敏度：1pg利血平，原始数据或无平滑数据m/z 609＞195，S/N＞250,000:1</w:t>
            </w:r>
            <w:r>
              <w:rPr>
                <w:rFonts w:hint="default" w:ascii="Times New Roman" w:hAnsi="Times New Roman" w:eastAsia="宋体" w:cs="Times New Roman"/>
                <w:bCs/>
                <w:color w:val="auto"/>
                <w:spacing w:val="-8"/>
                <w:kern w:val="0"/>
                <w:sz w:val="24"/>
                <w:szCs w:val="24"/>
                <w:lang w:eastAsia="zh-CN"/>
              </w:rPr>
              <w:t>；</w:t>
            </w:r>
          </w:p>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ESI负离子灵敏度：1pg 氯霉素，原始数据或无平滑数据m/z 321＞152， S/N＞250,000:1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2.7.7</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一次进样可完成＞32000组MRM的同时分析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2.7.8</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最小驻留时间≤1ms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default" w:ascii="Times New Roman" w:hAnsi="Times New Roman" w:eastAsia="宋体" w:cs="Times New Roman"/>
                <w:bCs/>
                <w:color w:val="auto"/>
                <w:spacing w:val="-8"/>
                <w:kern w:val="0"/>
                <w:sz w:val="24"/>
                <w:szCs w:val="24"/>
              </w:rPr>
              <w:t>▲2.7.9</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正负离子采集切换速率≤15ms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eastAsia" w:ascii="Times New Roman" w:hAnsi="Times New Roman" w:eastAsia="宋体" w:cs="Times New Roman"/>
                <w:b/>
                <w:bCs w:val="0"/>
                <w:snapToGrid w:val="0"/>
                <w:color w:val="auto"/>
                <w:sz w:val="24"/>
                <w:szCs w:val="24"/>
                <w:lang w:eastAsia="zh-CN"/>
              </w:rPr>
            </w:pPr>
            <w:r>
              <w:rPr>
                <w:rFonts w:hint="eastAsia" w:cs="Times New Roman"/>
                <w:b/>
                <w:bCs w:val="0"/>
                <w:color w:val="auto"/>
                <w:spacing w:val="-8"/>
                <w:kern w:val="0"/>
                <w:sz w:val="24"/>
                <w:szCs w:val="24"/>
                <w:lang w:val="en-US" w:eastAsia="zh-CN"/>
              </w:rPr>
              <w:t>3</w:t>
            </w:r>
          </w:p>
        </w:tc>
        <w:tc>
          <w:tcPr>
            <w:tcW w:w="8477" w:type="dxa"/>
            <w:noWrap w:val="0"/>
            <w:vAlign w:val="center"/>
          </w:tcPr>
          <w:p>
            <w:pPr>
              <w:widowControl w:val="0"/>
              <w:jc w:val="both"/>
              <w:rPr>
                <w:rFonts w:hint="default" w:ascii="Times New Roman" w:hAnsi="Times New Roman" w:eastAsia="宋体" w:cs="Times New Roman"/>
                <w:b/>
                <w:bCs w:val="0"/>
                <w:color w:val="auto"/>
                <w:spacing w:val="-8"/>
                <w:kern w:val="0"/>
                <w:sz w:val="24"/>
                <w:szCs w:val="24"/>
              </w:rPr>
            </w:pPr>
            <w:r>
              <w:rPr>
                <w:rFonts w:hint="default" w:ascii="Times New Roman" w:hAnsi="Times New Roman" w:eastAsia="宋体" w:cs="Times New Roman"/>
                <w:b/>
                <w:bCs w:val="0"/>
                <w:color w:val="auto"/>
                <w:spacing w:val="-8"/>
                <w:kern w:val="0"/>
                <w:sz w:val="24"/>
                <w:szCs w:val="24"/>
              </w:rPr>
              <w:t>工作站软件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eastAsia" w:cs="Times New Roman"/>
                <w:bCs/>
                <w:color w:val="auto"/>
                <w:spacing w:val="-8"/>
                <w:kern w:val="0"/>
                <w:sz w:val="24"/>
                <w:szCs w:val="24"/>
                <w:lang w:val="en-US" w:eastAsia="zh-CN"/>
              </w:rPr>
              <w:t>3</w:t>
            </w:r>
            <w:r>
              <w:rPr>
                <w:rFonts w:hint="default" w:ascii="Times New Roman" w:hAnsi="Times New Roman" w:eastAsia="宋体" w:cs="Times New Roman"/>
                <w:bCs/>
                <w:color w:val="auto"/>
                <w:spacing w:val="-8"/>
                <w:kern w:val="0"/>
                <w:sz w:val="24"/>
                <w:szCs w:val="24"/>
              </w:rPr>
              <w:t>.1</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自动实现仪器的功能配置、条件优化、数据采集、数据处理、快速定量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highlight w:val="none"/>
              </w:rPr>
            </w:pPr>
            <w:r>
              <w:rPr>
                <w:rFonts w:hint="default" w:ascii="Times New Roman" w:hAnsi="Times New Roman" w:eastAsia="宋体" w:cs="Times New Roman"/>
                <w:bCs/>
                <w:color w:val="auto"/>
                <w:spacing w:val="-8"/>
                <w:kern w:val="0"/>
                <w:sz w:val="24"/>
                <w:szCs w:val="24"/>
                <w:highlight w:val="none"/>
              </w:rPr>
              <w:t>▲</w:t>
            </w:r>
            <w:r>
              <w:rPr>
                <w:rFonts w:hint="eastAsia" w:cs="Times New Roman"/>
                <w:bCs/>
                <w:color w:val="auto"/>
                <w:spacing w:val="-8"/>
                <w:kern w:val="0"/>
                <w:sz w:val="24"/>
                <w:szCs w:val="24"/>
                <w:highlight w:val="none"/>
                <w:lang w:val="en-US" w:eastAsia="zh-CN"/>
              </w:rPr>
              <w:t>3</w:t>
            </w:r>
            <w:r>
              <w:rPr>
                <w:rFonts w:hint="default" w:ascii="Times New Roman" w:hAnsi="Times New Roman" w:eastAsia="宋体" w:cs="Times New Roman"/>
                <w:bCs/>
                <w:color w:val="auto"/>
                <w:spacing w:val="-8"/>
                <w:kern w:val="0"/>
                <w:sz w:val="24"/>
                <w:szCs w:val="24"/>
                <w:highlight w:val="none"/>
              </w:rPr>
              <w:t>.2</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highlight w:val="none"/>
              </w:rPr>
            </w:pPr>
            <w:r>
              <w:rPr>
                <w:rFonts w:hint="default" w:ascii="Times New Roman" w:hAnsi="Times New Roman" w:eastAsia="宋体" w:cs="Times New Roman"/>
                <w:bCs/>
                <w:color w:val="auto"/>
                <w:spacing w:val="-8"/>
                <w:kern w:val="0"/>
                <w:sz w:val="24"/>
                <w:szCs w:val="24"/>
                <w:highlight w:val="none"/>
              </w:rPr>
              <w:t>软件同时控制液相、质谱。液相色谱、质谱仪及相应的工作软件为同一厂家生产，以保证提供服务的一致性。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eastAsia" w:cs="Times New Roman"/>
                <w:bCs/>
                <w:color w:val="auto"/>
                <w:spacing w:val="-8"/>
                <w:kern w:val="0"/>
                <w:sz w:val="24"/>
                <w:szCs w:val="24"/>
                <w:lang w:val="en-US" w:eastAsia="zh-CN"/>
              </w:rPr>
              <w:t>3</w:t>
            </w:r>
            <w:r>
              <w:rPr>
                <w:rFonts w:hint="default" w:ascii="Times New Roman" w:hAnsi="Times New Roman" w:eastAsia="宋体" w:cs="Times New Roman"/>
                <w:bCs/>
                <w:color w:val="auto"/>
                <w:spacing w:val="-8"/>
                <w:kern w:val="0"/>
                <w:sz w:val="24"/>
                <w:szCs w:val="24"/>
              </w:rPr>
              <w:t>.3</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具备智能系统，能自动地：确保</w:t>
            </w:r>
            <w:r>
              <w:rPr>
                <w:rFonts w:hint="default" w:ascii="Times New Roman" w:hAnsi="Times New Roman" w:eastAsia="宋体" w:cs="Times New Roman"/>
                <w:bCs/>
                <w:color w:val="auto"/>
                <w:spacing w:val="-8"/>
                <w:kern w:val="0"/>
                <w:sz w:val="24"/>
                <w:szCs w:val="24"/>
                <w:lang w:eastAsia="zh-CN"/>
              </w:rPr>
              <w:t>采购人的</w:t>
            </w:r>
            <w:r>
              <w:rPr>
                <w:rFonts w:hint="default" w:ascii="Times New Roman" w:hAnsi="Times New Roman" w:eastAsia="宋体" w:cs="Times New Roman"/>
                <w:bCs/>
                <w:color w:val="auto"/>
                <w:spacing w:val="-8"/>
                <w:kern w:val="0"/>
                <w:sz w:val="24"/>
                <w:szCs w:val="24"/>
              </w:rPr>
              <w:t>系统待用</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进行质量校正和设置质谱分辨率</w:t>
            </w:r>
            <w:r>
              <w:rPr>
                <w:rFonts w:hint="default" w:ascii="Times New Roman" w:hAnsi="Times New Roman" w:eastAsia="宋体" w:cs="Times New Roman"/>
                <w:bCs/>
                <w:color w:val="auto"/>
                <w:spacing w:val="-8"/>
                <w:kern w:val="0"/>
                <w:sz w:val="24"/>
                <w:szCs w:val="24"/>
                <w:lang w:eastAsia="zh-CN"/>
              </w:rPr>
              <w:t>，</w:t>
            </w:r>
            <w:r>
              <w:rPr>
                <w:rFonts w:hint="default" w:ascii="Times New Roman" w:hAnsi="Times New Roman" w:eastAsia="宋体" w:cs="Times New Roman"/>
                <w:bCs/>
                <w:color w:val="auto"/>
                <w:spacing w:val="-8"/>
                <w:kern w:val="0"/>
                <w:sz w:val="24"/>
                <w:szCs w:val="24"/>
              </w:rPr>
              <w:t>通过生成化合物明确的质谱方法（SIR或MRM）和优化针对特定分析环境的API源条件达到最佳检测限,检查液相色谱/质谱系统性能，确保分析结果准确,通过监测系统参数和解析系统报警使系统的运行时间最大化。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eastAsia" w:cs="Times New Roman"/>
                <w:bCs/>
                <w:color w:val="auto"/>
                <w:spacing w:val="-8"/>
                <w:kern w:val="0"/>
                <w:sz w:val="24"/>
                <w:szCs w:val="24"/>
                <w:lang w:val="en-US" w:eastAsia="zh-CN"/>
              </w:rPr>
              <w:t>3</w:t>
            </w:r>
            <w:r>
              <w:rPr>
                <w:rFonts w:hint="default" w:ascii="Times New Roman" w:hAnsi="Times New Roman" w:eastAsia="宋体" w:cs="Times New Roman"/>
                <w:bCs/>
                <w:color w:val="auto"/>
                <w:spacing w:val="-8"/>
                <w:kern w:val="0"/>
                <w:sz w:val="24"/>
                <w:szCs w:val="24"/>
              </w:rPr>
              <w:t>.4</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质控自动化工具，能提供“及时”定量数据质量监测，以确定QC或空白样品是否落在用户指定的误差范围内。能决定或许样品是否被注入或是需要进行更详细的检查，确保实验室的资源得到最充分利用。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jc w:val="center"/>
              <w:rPr>
                <w:rFonts w:hint="default" w:ascii="Times New Roman" w:hAnsi="Times New Roman" w:eastAsia="宋体" w:cs="Times New Roman"/>
                <w:b/>
                <w:snapToGrid w:val="0"/>
                <w:color w:val="auto"/>
                <w:sz w:val="24"/>
                <w:szCs w:val="24"/>
              </w:rPr>
            </w:pPr>
            <w:r>
              <w:rPr>
                <w:rFonts w:hint="eastAsia" w:cs="Times New Roman"/>
                <w:bCs/>
                <w:color w:val="auto"/>
                <w:spacing w:val="-8"/>
                <w:kern w:val="0"/>
                <w:sz w:val="24"/>
                <w:szCs w:val="24"/>
                <w:lang w:val="en-US" w:eastAsia="zh-CN"/>
              </w:rPr>
              <w:t>3</w:t>
            </w:r>
            <w:r>
              <w:rPr>
                <w:rFonts w:hint="default" w:ascii="Times New Roman" w:hAnsi="Times New Roman" w:eastAsia="宋体" w:cs="Times New Roman"/>
                <w:bCs/>
                <w:color w:val="auto"/>
                <w:spacing w:val="-8"/>
                <w:kern w:val="0"/>
                <w:sz w:val="24"/>
                <w:szCs w:val="24"/>
              </w:rPr>
              <w:t>.5</w:t>
            </w:r>
          </w:p>
        </w:tc>
        <w:tc>
          <w:tcPr>
            <w:tcW w:w="8477" w:type="dxa"/>
            <w:noWrap w:val="0"/>
            <w:vAlign w:val="center"/>
          </w:tcPr>
          <w:p>
            <w:pPr>
              <w:widowControl w:val="0"/>
              <w:jc w:val="both"/>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Cs/>
                <w:color w:val="auto"/>
                <w:spacing w:val="-8"/>
                <w:kern w:val="0"/>
                <w:sz w:val="24"/>
                <w:szCs w:val="24"/>
              </w:rPr>
              <w:t>有系统检测软件按照分析操作的情况绘制短期，中期和长期的批间趋势图，长期监测系统健康。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4" w:type="dxa"/>
            <w:gridSpan w:val="2"/>
            <w:noWrap w:val="0"/>
            <w:vAlign w:val="center"/>
          </w:tcPr>
          <w:p>
            <w:pPr>
              <w:pStyle w:val="4"/>
              <w:widowControl w:val="0"/>
              <w:rPr>
                <w:rFonts w:hint="default" w:ascii="Times New Roman" w:hAnsi="Times New Roman" w:eastAsia="宋体" w:cs="Times New Roman"/>
                <w:bCs/>
                <w:color w:val="auto"/>
                <w:spacing w:val="-8"/>
                <w:kern w:val="0"/>
                <w:sz w:val="24"/>
                <w:szCs w:val="24"/>
              </w:rPr>
            </w:pPr>
            <w:r>
              <w:rPr>
                <w:rFonts w:hint="default" w:ascii="Times New Roman" w:hAnsi="Times New Roman" w:eastAsia="宋体" w:cs="Times New Roman"/>
                <w:b/>
                <w:bCs/>
                <w:sz w:val="24"/>
                <w:szCs w:val="24"/>
                <w:highlight w:val="none"/>
              </w:rPr>
              <w:t>分拣系统</w:t>
            </w:r>
            <w:r>
              <w:rPr>
                <w:rFonts w:hint="default" w:ascii="Times New Roman" w:hAnsi="Times New Roman" w:eastAsia="宋体" w:cs="Times New Roman"/>
                <w:b/>
                <w:sz w:val="24"/>
                <w:szCs w:val="24"/>
                <w:highlight w:val="none"/>
                <w:lang w:eastAsia="zh-CN"/>
              </w:rPr>
              <w:t>（本设备</w:t>
            </w:r>
            <w:r>
              <w:rPr>
                <w:rFonts w:hint="eastAsia" w:ascii="Times New Roman" w:hAnsi="Times New Roman" w:cs="Times New Roman"/>
                <w:b/>
                <w:sz w:val="24"/>
                <w:szCs w:val="24"/>
                <w:highlight w:val="none"/>
                <w:lang w:eastAsia="zh-CN"/>
              </w:rPr>
              <w:t>不</w:t>
            </w:r>
            <w:r>
              <w:rPr>
                <w:rFonts w:hint="default" w:ascii="Times New Roman" w:hAnsi="Times New Roman" w:eastAsia="宋体" w:cs="Times New Roman"/>
                <w:b/>
                <w:sz w:val="24"/>
                <w:szCs w:val="24"/>
                <w:highlight w:val="none"/>
                <w:lang w:eastAsia="zh-CN"/>
              </w:rPr>
              <w:t>接受进口产品参与投标。）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eastAsia" w:ascii="Times New Roman" w:hAnsi="Times New Roman" w:eastAsia="宋体" w:cs="Times New Roman"/>
                <w:b/>
                <w:bCs w:val="0"/>
                <w:snapToGrid w:val="0"/>
                <w:color w:val="auto"/>
                <w:sz w:val="24"/>
                <w:szCs w:val="24"/>
                <w:lang w:val="en-US" w:eastAsia="zh-CN" w:bidi="ar-SA"/>
              </w:rPr>
            </w:pPr>
            <w:r>
              <w:rPr>
                <w:rFonts w:hint="eastAsia" w:cs="Times New Roman"/>
                <w:b/>
                <w:bCs w:val="0"/>
                <w:snapToGrid w:val="0"/>
                <w:color w:val="auto"/>
                <w:sz w:val="24"/>
                <w:szCs w:val="24"/>
                <w:lang w:eastAsia="zh-CN"/>
              </w:rPr>
              <w:t>一</w:t>
            </w:r>
          </w:p>
        </w:tc>
        <w:tc>
          <w:tcPr>
            <w:tcW w:w="8477" w:type="dxa"/>
            <w:noWrap w:val="0"/>
            <w:vAlign w:val="center"/>
          </w:tcPr>
          <w:p>
            <w:pPr>
              <w:widowControl w:val="0"/>
              <w:ind w:right="200" w:rightChars="0"/>
              <w:jc w:val="both"/>
              <w:rPr>
                <w:rFonts w:hint="default" w:ascii="Times New Roman" w:hAnsi="Times New Roman" w:eastAsia="宋体" w:cs="Times New Roman"/>
                <w:b/>
                <w:bCs w:val="0"/>
                <w:snapToGrid w:val="0"/>
                <w:color w:val="auto"/>
                <w:sz w:val="24"/>
                <w:szCs w:val="24"/>
                <w:lang w:val="en-US" w:eastAsia="zh-CN" w:bidi="ar-SA"/>
              </w:rPr>
            </w:pPr>
            <w:r>
              <w:rPr>
                <w:rFonts w:hint="default" w:ascii="Times New Roman" w:hAnsi="Times New Roman" w:eastAsia="宋体" w:cs="Times New Roman"/>
                <w:b/>
                <w:bCs w:val="0"/>
                <w:snapToGrid w:val="0"/>
                <w:color w:val="auto"/>
                <w:sz w:val="24"/>
                <w:szCs w:val="24"/>
              </w:rPr>
              <w:t>主要技术和性能规格要求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根据预设的标本分拣规则，精确识别采血管条形码，同时复核采血管颜色，实现全自动分拣；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分拣样本清单统计：分拣完成后，系统可自动生成分拣数据统计图表；可提供分拣处的样本清单，包含患者姓名、年龄、性别、条形码号、患者类别、检验项目等信息。（</w:t>
            </w:r>
            <w:r>
              <w:rPr>
                <w:rFonts w:hint="default" w:ascii="Times New Roman" w:hAnsi="Times New Roman" w:eastAsia="宋体" w:cs="Times New Roman"/>
                <w:bCs/>
                <w:color w:val="auto"/>
                <w:spacing w:val="-8"/>
                <w:kern w:val="0"/>
                <w:sz w:val="24"/>
                <w:szCs w:val="24"/>
              </w:rPr>
              <w:t>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w:t>
            </w:r>
            <w:r>
              <w:rPr>
                <w:rFonts w:hint="default" w:ascii="Times New Roman" w:hAnsi="Times New Roman" w:eastAsia="宋体" w:cs="Times New Roman"/>
                <w:sz w:val="24"/>
                <w:szCs w:val="24"/>
              </w:rPr>
              <w:t>提供分拣数据分析图表）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8477" w:type="dxa"/>
            <w:noWrap w:val="0"/>
            <w:vAlign w:val="center"/>
          </w:tcPr>
          <w:p>
            <w:pPr>
              <w:widowControl w:val="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进管方式：（1）集中倒入试管输入区，载入方便</w:t>
            </w:r>
          </w:p>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（2）可以和贴标系统无缝对接，标本采集后通过传输轨道直接进入分拣机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出管方式：自动分拣，根据分拣规则，自动导入至相对应的提篮仓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5</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样品试管核收：标本接收确认，接收时间，标本统计分析；可以连接LIS、HIS系统，双向交互，实现标本核收环节实时跟踪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6</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处理能力：采血管处理速度≥2400支/小时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7</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主机分拣输出通道：≥8个+1个特殊仓，提篮仓可装载量≥300支采血管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8</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提篮仓：采用人体工学设计，同一面分两排提篮仓，拿取把手与提篮一体化设计；所有提篮把手位置距地面高度≥0.5米（</w:t>
            </w:r>
            <w:r>
              <w:rPr>
                <w:rFonts w:hint="default" w:ascii="Times New Roman" w:hAnsi="Times New Roman" w:eastAsia="宋体" w:cs="Times New Roman"/>
                <w:bCs/>
                <w:color w:val="auto"/>
                <w:spacing w:val="-8"/>
                <w:kern w:val="0"/>
                <w:sz w:val="24"/>
                <w:szCs w:val="24"/>
              </w:rPr>
              <w:t>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w:t>
            </w:r>
            <w:r>
              <w:rPr>
                <w:rFonts w:hint="default" w:ascii="Times New Roman" w:hAnsi="Times New Roman" w:eastAsia="宋体" w:cs="Times New Roman"/>
                <w:sz w:val="24"/>
                <w:szCs w:val="24"/>
              </w:rPr>
              <w:t>提供实际测量照片）。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9</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分拣机内传输带单向传输，完成分拣，降低传输故障。（</w:t>
            </w:r>
            <w:r>
              <w:rPr>
                <w:rFonts w:hint="default" w:ascii="Times New Roman" w:hAnsi="Times New Roman" w:eastAsia="宋体" w:cs="Times New Roman"/>
                <w:bCs/>
                <w:color w:val="auto"/>
                <w:spacing w:val="-8"/>
                <w:kern w:val="0"/>
                <w:sz w:val="24"/>
                <w:szCs w:val="24"/>
              </w:rPr>
              <w:t>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w:t>
            </w:r>
            <w:r>
              <w:rPr>
                <w:rFonts w:hint="default" w:ascii="Times New Roman" w:hAnsi="Times New Roman" w:eastAsia="宋体" w:cs="Times New Roman"/>
                <w:sz w:val="24"/>
                <w:szCs w:val="24"/>
              </w:rPr>
              <w:t>提供仪器传输带的整机实物内部结构实物图）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10</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采血管扫描方式：上升推板过程中滚动扫描，扫描器在推送板上方，垂直扫描，杜绝卡管问题，提高效率。(</w:t>
            </w:r>
            <w:r>
              <w:rPr>
                <w:rFonts w:hint="default" w:ascii="Times New Roman" w:hAnsi="Times New Roman" w:eastAsia="宋体" w:cs="Times New Roman"/>
                <w:bCs/>
                <w:color w:val="auto"/>
                <w:spacing w:val="-8"/>
                <w:kern w:val="0"/>
                <w:sz w:val="24"/>
                <w:szCs w:val="24"/>
              </w:rPr>
              <w:t>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w:t>
            </w:r>
            <w:r>
              <w:rPr>
                <w:rFonts w:hint="default" w:ascii="Times New Roman" w:hAnsi="Times New Roman" w:eastAsia="宋体" w:cs="Times New Roman"/>
                <w:sz w:val="24"/>
                <w:szCs w:val="24"/>
              </w:rPr>
              <w:t>提供料仓结构实物图并标注正上方扫描器所在位置)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11</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摄像头拍照记录复核管帽颜色：扫描条形码分类的同时拍照记录，同时复核采血管管帽颜色；杜绝标本分错问题，同时记录照片。（</w:t>
            </w:r>
            <w:r>
              <w:rPr>
                <w:rFonts w:hint="default" w:ascii="Times New Roman" w:hAnsi="Times New Roman" w:eastAsia="宋体" w:cs="Times New Roman"/>
                <w:bCs/>
                <w:color w:val="auto"/>
                <w:spacing w:val="-8"/>
                <w:kern w:val="0"/>
                <w:sz w:val="24"/>
                <w:szCs w:val="24"/>
              </w:rPr>
              <w:t>投标文件</w:t>
            </w:r>
            <w:r>
              <w:rPr>
                <w:rFonts w:hint="eastAsia" w:cs="Times New Roman"/>
                <w:bCs/>
                <w:color w:val="auto"/>
                <w:spacing w:val="-8"/>
                <w:kern w:val="0"/>
                <w:sz w:val="24"/>
                <w:szCs w:val="24"/>
                <w:lang w:eastAsia="zh-CN"/>
              </w:rPr>
              <w:t>商务技术响应文件</w:t>
            </w:r>
            <w:r>
              <w:rPr>
                <w:rFonts w:hint="default" w:ascii="Times New Roman" w:hAnsi="Times New Roman" w:eastAsia="宋体" w:cs="Times New Roman"/>
                <w:bCs/>
                <w:color w:val="auto"/>
                <w:spacing w:val="-8"/>
                <w:kern w:val="0"/>
                <w:sz w:val="24"/>
                <w:szCs w:val="24"/>
              </w:rPr>
              <w:t>中</w:t>
            </w:r>
            <w:r>
              <w:rPr>
                <w:rFonts w:hint="default" w:ascii="Times New Roman" w:hAnsi="Times New Roman" w:eastAsia="宋体" w:cs="Times New Roman"/>
                <w:sz w:val="24"/>
                <w:szCs w:val="24"/>
              </w:rPr>
              <w:t>提供摄像头实物图及拍照照片）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12</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控制模块参数：内置15寸全彩触摸显示屏；使用时可上下调整观察角度，待机时可隐藏与分拣系统一体化；分辨率1024X768DPI，Windows操作系统，支持软件升级，内置数据库，无需外接主机。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13</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特殊仓：自动输入无法识别标本及未指定仓位标本；特殊仓外挂，可拆卸。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14</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应急接收功能：分拣仪器故障时，可通过控制电脑的扫描设备进行人工扫描核收。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15</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超时送检样本拒收功能：若样本采集时间与接收时间差超出指标允许范围，系统可自动拒收样本，将样本单独分拣并提示。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16</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支持条码类型：code128、code39、JAN、2of5、NW-7；支持文字类型：中文、英文、数字、标点符号等。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17</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支持采血管规格：直径：13mm，长度：75～100mm。各品牌真空采血管均可兼容。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18</w:t>
            </w:r>
          </w:p>
        </w:tc>
        <w:tc>
          <w:tcPr>
            <w:tcW w:w="8477" w:type="dxa"/>
            <w:noWrap w:val="0"/>
            <w:vAlign w:val="center"/>
          </w:tcPr>
          <w:p>
            <w:pPr>
              <w:widowControl w:val="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实验室场地空间有限，占地要求：分拣机仪器长度≤1980mm；宽度≤600mm 高度≤1150mm。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noWrap w:val="0"/>
            <w:vAlign w:val="center"/>
          </w:tcPr>
          <w:p>
            <w:pPr>
              <w:widowControl w:val="0"/>
              <w:ind w:right="200" w:rightChars="0"/>
              <w:jc w:val="center"/>
              <w:rPr>
                <w:rFonts w:hint="default" w:ascii="Times New Roman" w:hAnsi="Times New Roman" w:eastAsia="宋体" w:cs="Times New Roman"/>
                <w:b/>
                <w:bCs/>
                <w:color w:val="auto"/>
                <w:spacing w:val="-8"/>
                <w:kern w:val="0"/>
                <w:sz w:val="24"/>
                <w:szCs w:val="24"/>
                <w:highlight w:val="none"/>
                <w:lang w:val="en-US" w:eastAsia="zh-CN" w:bidi="ar-SA"/>
              </w:rPr>
            </w:pPr>
            <w:r>
              <w:rPr>
                <w:rFonts w:hint="eastAsia" w:cs="Times New Roman"/>
                <w:b/>
                <w:bCs/>
                <w:color w:val="auto"/>
                <w:spacing w:val="-8"/>
                <w:kern w:val="0"/>
                <w:sz w:val="24"/>
                <w:szCs w:val="24"/>
                <w:highlight w:val="none"/>
                <w:lang w:val="en-US" w:eastAsia="zh-CN"/>
              </w:rPr>
              <w:t>二</w:t>
            </w:r>
          </w:p>
        </w:tc>
        <w:tc>
          <w:tcPr>
            <w:tcW w:w="8477" w:type="dxa"/>
            <w:noWrap w:val="0"/>
            <w:vAlign w:val="center"/>
          </w:tcPr>
          <w:p>
            <w:pPr>
              <w:widowControl w:val="0"/>
              <w:jc w:val="both"/>
              <w:rPr>
                <w:rFonts w:hint="default" w:ascii="Times New Roman" w:hAnsi="Times New Roman" w:eastAsia="宋体" w:cs="Times New Roman"/>
                <w:b/>
                <w:bCs/>
                <w:color w:val="auto"/>
                <w:spacing w:val="-8"/>
                <w:kern w:val="0"/>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lang w:eastAsia="zh-CN"/>
              </w:rPr>
              <w:t>质量管理系统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ind w:right="200" w:rightChars="0"/>
              <w:jc w:val="center"/>
              <w:rPr>
                <w:rFonts w:hint="default" w:ascii="Times New Roman" w:hAnsi="Times New Roman" w:eastAsia="宋体" w:cs="Times New Roman"/>
                <w:b w:val="0"/>
                <w:bCs w:val="0"/>
                <w:color w:val="auto"/>
                <w:spacing w:val="-8"/>
                <w:kern w:val="0"/>
                <w:sz w:val="24"/>
                <w:szCs w:val="24"/>
                <w:highlight w:val="none"/>
                <w:lang w:val="en-US" w:eastAsia="zh-CN" w:bidi="ar-SA"/>
              </w:rPr>
            </w:pPr>
            <w:r>
              <w:rPr>
                <w:rFonts w:hint="default" w:ascii="Times New Roman" w:hAnsi="Times New Roman" w:eastAsia="宋体" w:cs="Times New Roman"/>
                <w:b w:val="0"/>
                <w:bCs w:val="0"/>
                <w:color w:val="auto"/>
                <w:spacing w:val="-8"/>
                <w:kern w:val="0"/>
                <w:sz w:val="24"/>
                <w:szCs w:val="24"/>
                <w:highlight w:val="none"/>
                <w:lang w:val="en-US" w:eastAsia="zh-CN"/>
              </w:rPr>
              <w:t>1</w:t>
            </w:r>
          </w:p>
        </w:tc>
        <w:tc>
          <w:tcPr>
            <w:tcW w:w="0" w:type="auto"/>
            <w:vAlign w:val="top"/>
          </w:tcPr>
          <w:p>
            <w:pPr>
              <w:widowControl w:val="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ind w:right="200" w:rightChars="0"/>
              <w:jc w:val="center"/>
              <w:rPr>
                <w:rFonts w:hint="default" w:ascii="Times New Roman" w:hAnsi="Times New Roman" w:eastAsia="宋体" w:cs="Times New Roman"/>
                <w:b w:val="0"/>
                <w:bCs w:val="0"/>
                <w:color w:val="auto"/>
                <w:spacing w:val="-8"/>
                <w:kern w:val="0"/>
                <w:sz w:val="24"/>
                <w:szCs w:val="24"/>
                <w:highlight w:val="none"/>
                <w:lang w:val="en-US" w:eastAsia="zh-CN" w:bidi="ar-SA"/>
              </w:rPr>
            </w:pPr>
            <w:r>
              <w:rPr>
                <w:rFonts w:hint="default" w:ascii="Times New Roman" w:hAnsi="Times New Roman" w:eastAsia="宋体" w:cs="Times New Roman"/>
                <w:b w:val="0"/>
                <w:bCs w:val="0"/>
                <w:color w:val="auto"/>
                <w:spacing w:val="-8"/>
                <w:kern w:val="0"/>
                <w:sz w:val="24"/>
                <w:szCs w:val="24"/>
                <w:highlight w:val="none"/>
                <w:lang w:val="en-US" w:eastAsia="zh-CN"/>
              </w:rPr>
              <w:t>1.1</w:t>
            </w:r>
          </w:p>
        </w:tc>
        <w:tc>
          <w:tcPr>
            <w:tcW w:w="0" w:type="auto"/>
            <w:vAlign w:val="top"/>
          </w:tcPr>
          <w:p>
            <w:pPr>
              <w:widowControl w:val="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可以维护人员基本信息，可以批量导入人员的信息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ind w:right="200" w:rightChars="0"/>
              <w:jc w:val="center"/>
              <w:rPr>
                <w:rFonts w:hint="default" w:ascii="Times New Roman" w:hAnsi="Times New Roman" w:eastAsia="宋体" w:cs="Times New Roman"/>
                <w:b w:val="0"/>
                <w:bCs w:val="0"/>
                <w:color w:val="auto"/>
                <w:spacing w:val="-8"/>
                <w:kern w:val="0"/>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rPr>
              <w:t>▲</w:t>
            </w:r>
            <w:r>
              <w:rPr>
                <w:rFonts w:hint="default" w:ascii="Times New Roman" w:hAnsi="Times New Roman" w:eastAsia="宋体" w:cs="Times New Roman"/>
                <w:b w:val="0"/>
                <w:bCs w:val="0"/>
                <w:color w:val="auto"/>
                <w:spacing w:val="-8"/>
                <w:kern w:val="0"/>
                <w:sz w:val="24"/>
                <w:szCs w:val="24"/>
                <w:highlight w:val="none"/>
                <w:lang w:val="en-US" w:eastAsia="zh-CN"/>
              </w:rPr>
              <w:t>1.2</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可以维护履历信息，履历信息包括合同履历，工作经历，执业资格，奖罚信息、科研课题、继续教育、教学情况、论文发表、健康状况、培训证书、学术会议。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1.3</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可以根据不同岗位的人员进行精准授权。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1.4</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可以发布线上的培训、考核信息并实时生成记录。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1.5</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多类型的考试试题包括试题的难易程度，试题的分类，试题的题型，添加图片题、带视频题等。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1.6</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可以多种方式生成试卷：直接选择试题方式、随机抽取试题方式。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rPr>
              <w:t>▲</w:t>
            </w:r>
            <w:r>
              <w:rPr>
                <w:rFonts w:hint="default" w:ascii="Times New Roman" w:hAnsi="Times New Roman" w:eastAsia="宋体" w:cs="Times New Roman"/>
                <w:sz w:val="24"/>
                <w:szCs w:val="24"/>
                <w:highlight w:val="none"/>
              </w:rPr>
              <w:t>1.7</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可以自定义制定培训考核计划。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1.8</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培训和表单关联，可以单独填写、共同填写。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ind w:right="200" w:rightChars="0"/>
              <w:jc w:val="center"/>
              <w:rPr>
                <w:rFonts w:hint="default" w:ascii="Times New Roman" w:hAnsi="Times New Roman" w:eastAsia="宋体" w:cs="Times New Roman"/>
                <w:b/>
                <w:bCs/>
                <w:color w:val="auto"/>
                <w:spacing w:val="-8"/>
                <w:kern w:val="0"/>
                <w:sz w:val="24"/>
                <w:szCs w:val="24"/>
                <w:highlight w:val="none"/>
                <w:lang w:val="en-US" w:eastAsia="zh-CN" w:bidi="ar-SA"/>
              </w:rPr>
            </w:pPr>
            <w:r>
              <w:rPr>
                <w:rFonts w:hint="default" w:ascii="Times New Roman" w:hAnsi="Times New Roman" w:eastAsia="宋体" w:cs="Times New Roman"/>
                <w:b w:val="0"/>
                <w:bCs w:val="0"/>
                <w:color w:val="auto"/>
                <w:spacing w:val="-8"/>
                <w:kern w:val="0"/>
                <w:sz w:val="24"/>
                <w:szCs w:val="24"/>
                <w:highlight w:val="none"/>
                <w:lang w:val="en-US" w:eastAsia="zh-CN"/>
              </w:rPr>
              <w:t>2</w:t>
            </w:r>
          </w:p>
        </w:tc>
        <w:tc>
          <w:tcPr>
            <w:tcW w:w="0" w:type="auto"/>
            <w:vAlign w:val="top"/>
          </w:tcPr>
          <w:p>
            <w:pPr>
              <w:widowControl w:val="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rPr>
              <w:t>▲</w:t>
            </w:r>
            <w:r>
              <w:rPr>
                <w:rFonts w:hint="default" w:ascii="Times New Roman" w:hAnsi="Times New Roman" w:eastAsia="宋体" w:cs="Times New Roman"/>
                <w:sz w:val="24"/>
                <w:szCs w:val="24"/>
                <w:highlight w:val="none"/>
              </w:rPr>
              <w:t>2.1</w:t>
            </w:r>
          </w:p>
        </w:tc>
        <w:tc>
          <w:tcPr>
            <w:tcW w:w="0" w:type="auto"/>
            <w:vAlign w:val="top"/>
          </w:tcPr>
          <w:p>
            <w:pPr>
              <w:widowControl w:val="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文档的录入结构可以根据各科室要求自定义配置流程节点。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2.2</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可以批量导入文档并自定义文档名称的导入格式。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rPr>
              <w:t>▲</w:t>
            </w:r>
            <w:r>
              <w:rPr>
                <w:rFonts w:hint="default" w:ascii="Times New Roman" w:hAnsi="Times New Roman" w:eastAsia="宋体" w:cs="Times New Roman"/>
                <w:sz w:val="24"/>
                <w:szCs w:val="24"/>
                <w:highlight w:val="none"/>
              </w:rPr>
              <w:t>2.3</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文档的目录可以根据科室需求定制化。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2.</w:t>
            </w:r>
            <w:r>
              <w:rPr>
                <w:rFonts w:hint="eastAsia" w:cs="Times New Roman"/>
                <w:sz w:val="24"/>
                <w:szCs w:val="24"/>
                <w:highlight w:val="none"/>
                <w:lang w:val="en-US" w:eastAsia="zh-CN"/>
              </w:rPr>
              <w:t>4</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科室可以根据需要对文档进行添加、修改、废除、评审的操作并实时产生记录，记录可以实时进行导出汇总。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2.5</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文档可以传阅科室内人员并实时产生记录，分享给院内人员。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2.6</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文档可以根据权限分配只可以预览，维护，下载等。可以对文档的打印、下载、维护等功能进行权限的控制。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2.7</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流程中的文档可以退回、转发、传阅。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rPr>
              <w:t>▲</w:t>
            </w:r>
            <w:r>
              <w:rPr>
                <w:rFonts w:hint="default" w:ascii="Times New Roman" w:hAnsi="Times New Roman" w:eastAsia="宋体" w:cs="Times New Roman"/>
                <w:sz w:val="24"/>
                <w:szCs w:val="24"/>
                <w:highlight w:val="none"/>
              </w:rPr>
              <w:t>2.8</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可以对文件进行设置周期提醒，批量评审文件。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rPr>
              <w:t>▲</w:t>
            </w:r>
            <w:r>
              <w:rPr>
                <w:rFonts w:hint="default" w:ascii="Times New Roman" w:hAnsi="Times New Roman" w:eastAsia="宋体" w:cs="Times New Roman"/>
                <w:sz w:val="24"/>
                <w:szCs w:val="24"/>
                <w:highlight w:val="none"/>
              </w:rPr>
              <w:t>2.9</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可以自定义制作表单格式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2.10</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可以按照岗位填写表单，修改表单。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2.11</w:t>
            </w:r>
          </w:p>
        </w:tc>
        <w:tc>
          <w:tcPr>
            <w:tcW w:w="0" w:type="auto"/>
            <w:vAlign w:val="top"/>
          </w:tcPr>
          <w:p>
            <w:pPr>
              <w:pStyle w:val="200"/>
              <w:widowControl w:val="0"/>
              <w:ind w:firstLine="0" w:firstLine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可以对表单进行收藏、标签定义、打印。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试剂耗材清单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default" w:ascii="Times New Roman" w:hAnsi="Times New Roman" w:eastAsia="宋体" w:cs="Times New Roman"/>
          <w:b/>
          <w:bCs/>
          <w:i w:val="0"/>
          <w:iCs w:val="0"/>
          <w:color w:val="000000"/>
          <w:kern w:val="0"/>
          <w:sz w:val="24"/>
          <w:szCs w:val="24"/>
          <w:highlight w:val="none"/>
          <w:u w:val="none"/>
          <w:lang w:val="en-US" w:eastAsia="zh-CN" w:bidi="ar"/>
        </w:rPr>
        <w:t>1、质谱试剂清单</w:t>
      </w:r>
    </w:p>
    <w:tbl>
      <w:tblPr>
        <w:tblStyle w:val="60"/>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2610"/>
        <w:gridCol w:w="6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项目</w:t>
            </w:r>
          </w:p>
        </w:tc>
        <w:tc>
          <w:tcPr>
            <w:tcW w:w="655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01</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脂溶性维生素3项测定</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维生素D、D2、D3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02</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脂溶性维生素6项测定</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维生素D、D2、D3、A、E、K1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03</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水溶性维生素检测（8项）</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维生素B1、维生素B2、维生素B3 （烟酸）、维生素B3（烟酰胺）、维生素B5、维生素B6、维生素B7、维生素B9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04</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维生素谱9项测定</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维生素D、D2、D3、A、E、K1、B1、B2、B5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05</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全谱维生素检测（14 项）</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维生素A、D、D2、D3、E、K1、B1、B2、B3、B5、B6、B9、B12、5-甲基四氢叶酸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06</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血清全谱15项维生素检测</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维生素A、D、D2、D3、E、K1、K2、B1、B2、B3、B5、B6、B9、B12、5-甲基四氢叶酸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07</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胆汁酸谱20项</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鹅脱氧胆酸、甘氨鹅脱氧胆酸、牛磺鹅脱氧胆酸、胆酸、甘氨胆酸、牛磺胆酸、石胆酸、甘氨石胆酸、牛磺石胆酸、脱氧胆酸、牛磺脱氧胆酸、甘氨脱氧胆酸、熊脱氧胆酸、甘氨熊脱氧胆酸、牛磺熊脱氧胆酸、总胆汁酸、总甘氨结合型胆汁酸、总牛磺结合型胆汁酸、胆酸/鹅脱氧胆酸、总熊脱氧胆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08</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激素检测（17项）</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醛固酮、雄烯二酮、雄酮、皮质酮、皮质醇、可的松、11-脱氧皮质酮、11-脱氧皮质醇、脱氢表雄酮、硫酸脱氢表雄酮、二氢睾酮、雌二醇、雌酮、表雄酮、17-α-羟孕酮、孕酮、睾酮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09</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血药浓度测定</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免疫抑制剂：</w:t>
            </w:r>
            <w:r>
              <w:rPr>
                <w:rFonts w:hint="default" w:ascii="Times New Roman" w:hAnsi="Times New Roman" w:eastAsia="宋体" w:cs="Times New Roman"/>
                <w:i w:val="0"/>
                <w:iCs w:val="0"/>
                <w:color w:val="000000"/>
                <w:kern w:val="0"/>
                <w:sz w:val="24"/>
                <w:szCs w:val="24"/>
                <w:highlight w:val="none"/>
                <w:u w:val="none"/>
                <w:lang w:val="en-US" w:eastAsia="zh-CN" w:bidi="ar"/>
              </w:rPr>
              <w:t>环孢霉素A、他克莫司、西罗莫司、霉酚酸、依维莫司、咪唑立宾等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4"/>
                <w:szCs w:val="24"/>
                <w:highlight w:val="none"/>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both"/>
              <w:rPr>
                <w:rFonts w:hint="default" w:ascii="Times New Roman" w:hAnsi="Times New Roman" w:eastAsia="宋体" w:cs="Times New Roman"/>
                <w:i w:val="0"/>
                <w:iCs w:val="0"/>
                <w:color w:val="000000"/>
                <w:sz w:val="24"/>
                <w:szCs w:val="24"/>
                <w:highlight w:val="none"/>
                <w:u w:val="none"/>
              </w:rPr>
            </w:pP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精神类药物、抗肿瘤药物、强心苷类等200多种药物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儿茶酚胺检测 （3项）</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肾上腺素、去甲肾上腺素、多巴胺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氨基酸谱检测 （26 项）</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苯丙氨酸、酪氨酸、亮氨酸、織氨酸、异亮氨酸、甘氨酸、肌氨酸、丙氨酸、γ-氨基丁酸、丝氨酸、组氨酸、脯氨酸、苏氨酸、胱氨酸、天冬氨酸、谷氨酰胺、蛋氨酸、组胺、精氨酸、瓜氨酸、色氨酸、鸟氨酸、赖氨酸、牛磺酸、犬尿氨酸、谷氨酸</w:t>
            </w:r>
          </w:p>
        </w:tc>
      </w:tr>
      <w:bookmarkEnd w:id="42"/>
      <w:bookmarkEnd w:id="43"/>
      <w:bookmarkEnd w:id="44"/>
    </w:tbl>
    <w:p>
      <w:pPr>
        <w:pStyle w:val="6"/>
        <w:widowControl w:val="0"/>
        <w:spacing w:before="120" w:after="120"/>
        <w:jc w:val="both"/>
        <w:rPr>
          <w:rFonts w:hint="default" w:ascii="Times New Roman" w:hAnsi="Times New Roman" w:eastAsia="宋体" w:cs="Times New Roman"/>
          <w:bCs w:val="0"/>
          <w:sz w:val="24"/>
          <w:szCs w:val="24"/>
          <w:highlight w:val="none"/>
          <w:lang w:val="zh-CN" w:eastAsia="zh-CN"/>
        </w:rPr>
      </w:pPr>
      <w:r>
        <w:rPr>
          <w:rFonts w:hint="default" w:ascii="Times New Roman" w:hAnsi="Times New Roman" w:eastAsia="宋体" w:cs="Times New Roman"/>
          <w:bCs w:val="0"/>
          <w:sz w:val="24"/>
          <w:szCs w:val="24"/>
          <w:highlight w:val="none"/>
          <w:lang w:val="en-US" w:eastAsia="zh-CN"/>
        </w:rPr>
        <w:t>四、商务要求</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eastAsia="宋体" w:cs="Times New Roman"/>
          <w:b w:val="0"/>
          <w:bCs w:val="0"/>
          <w:sz w:val="24"/>
          <w:highlight w:val="none"/>
        </w:rPr>
      </w:pPr>
      <w:r>
        <w:rPr>
          <w:rFonts w:hint="default" w:ascii="Times New Roman" w:hAnsi="Times New Roman" w:eastAsia="宋体" w:cs="Times New Roman"/>
          <w:b/>
          <w:bCs/>
          <w:sz w:val="24"/>
          <w:highlight w:val="none"/>
        </w:rPr>
        <w:t>1、工期：</w:t>
      </w:r>
      <w:r>
        <w:rPr>
          <w:rFonts w:hint="eastAsia" w:cs="Times New Roman"/>
          <w:b w:val="0"/>
          <w:bCs w:val="0"/>
          <w:sz w:val="24"/>
          <w:highlight w:val="none"/>
          <w:lang w:eastAsia="zh-CN"/>
        </w:rPr>
        <w:t>合同签订并生效后</w:t>
      </w:r>
      <w:r>
        <w:rPr>
          <w:rFonts w:hint="eastAsia" w:cs="Times New Roman"/>
          <w:b w:val="0"/>
          <w:bCs w:val="0"/>
          <w:sz w:val="24"/>
          <w:highlight w:val="none"/>
          <w:lang w:val="en-US" w:eastAsia="zh-CN"/>
        </w:rPr>
        <w:t>3个月内完成设备供货、安装及调试，并完成项目</w:t>
      </w:r>
      <w:r>
        <w:rPr>
          <w:rFonts w:hint="default" w:ascii="Times New Roman" w:hAnsi="Times New Roman" w:eastAsia="宋体" w:cs="Times New Roman"/>
          <w:b w:val="0"/>
          <w:bCs w:val="0"/>
          <w:sz w:val="24"/>
          <w:highlight w:val="none"/>
        </w:rPr>
        <w:t>验收合格。</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2、质保期</w:t>
      </w:r>
    </w:p>
    <w:p>
      <w:pPr>
        <w:pStyle w:val="31"/>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设备验收合格后免费保修≥</w:t>
      </w: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年（生产厂家对设备另有超过相应年限保修规定的，按原规定执行），保证开机率大于95%（365天计）。维修响应时间＜4小时，工程师24-48小时内到位并排除故障。保修后免费维修，只收零配件成本费，保证零配件供应8年。质保期外的服务，不得收取任何上门费。</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3、设备培训</w:t>
      </w:r>
    </w:p>
    <w:p>
      <w:pPr>
        <w:pStyle w:val="31"/>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设备安装完成后，厂方工程师应免费提供对用户的使用人员应用培训和工程师的常规维护培训（列出具体的培训方案，如提供院外培训，供方负责需方人员培训期间的一切费用(包括差旅费、食宿费用等)），具体细节由院方定。</w:t>
      </w:r>
    </w:p>
    <w:p>
      <w:pPr>
        <w:pStyle w:val="31"/>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在设备使用后，供方根据用户的要求，派专家对用户的使用人员进行应用水平的培训。</w:t>
      </w:r>
    </w:p>
    <w:p>
      <w:pPr>
        <w:pStyle w:val="31"/>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bCs/>
          <w:sz w:val="24"/>
          <w:highlight w:val="none"/>
        </w:rPr>
        <w:t>4、</w:t>
      </w:r>
      <w:r>
        <w:rPr>
          <w:rFonts w:hint="eastAsia" w:ascii="Times New Roman" w:hAnsi="Times New Roman" w:cs="Times New Roman"/>
          <w:b w:val="0"/>
          <w:bCs w:val="0"/>
          <w:sz w:val="24"/>
          <w:highlight w:val="none"/>
          <w:lang w:eastAsia="zh-CN"/>
        </w:rPr>
        <w:t>供货时</w:t>
      </w:r>
      <w:r>
        <w:rPr>
          <w:rFonts w:hint="default" w:ascii="Times New Roman" w:hAnsi="Times New Roman" w:eastAsia="宋体" w:cs="Times New Roman"/>
          <w:b w:val="0"/>
          <w:bCs w:val="0"/>
          <w:sz w:val="24"/>
          <w:highlight w:val="none"/>
        </w:rPr>
        <w:t>提供操作手册</w:t>
      </w:r>
      <w:r>
        <w:rPr>
          <w:rFonts w:hint="default" w:ascii="Times New Roman" w:hAnsi="Times New Roman" w:eastAsia="宋体" w:cs="Times New Roman"/>
          <w:sz w:val="24"/>
          <w:highlight w:val="none"/>
        </w:rPr>
        <w:t>、维修手册（包括详细的维修技术资料、维修线路图、软件等）中、英文说明书。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5、验收标准</w:t>
      </w:r>
    </w:p>
    <w:p>
      <w:pPr>
        <w:pStyle w:val="31"/>
        <w:keepNext w:val="0"/>
        <w:keepLines w:val="0"/>
        <w:pageBreakBefore w:val="0"/>
        <w:widowControl w:val="0"/>
        <w:kinsoku/>
        <w:wordWrap/>
        <w:overflowPunct/>
        <w:topLinePunct w:val="0"/>
        <w:autoSpaceDE/>
        <w:autoSpaceDN/>
        <w:bidi w:val="0"/>
        <w:snapToGrid/>
        <w:spacing w:line="360" w:lineRule="auto"/>
        <w:ind w:firstLine="482" w:firstLineChars="201"/>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lang w:val="en-US" w:eastAsia="zh-CN"/>
        </w:rPr>
        <w:t>6</w:t>
      </w:r>
      <w:r>
        <w:rPr>
          <w:rFonts w:hint="default" w:ascii="Times New Roman" w:hAnsi="Times New Roman" w:eastAsia="宋体" w:cs="Times New Roman"/>
          <w:b/>
          <w:highlight w:val="none"/>
        </w:rPr>
        <w:t>、付款方法：</w:t>
      </w:r>
    </w:p>
    <w:p>
      <w:pPr>
        <w:pStyle w:val="31"/>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在合同生效以及具备实施条件后7个工作日内，采购人向中标人支付合同总价的40%作为预付款，项目整体验收合格并收到</w:t>
      </w:r>
      <w:r>
        <w:rPr>
          <w:rFonts w:hint="default" w:ascii="Times New Roman" w:hAnsi="Times New Roman" w:eastAsia="宋体" w:cs="Times New Roman"/>
          <w:sz w:val="24"/>
          <w:szCs w:val="24"/>
          <w:highlight w:val="none"/>
          <w:lang w:eastAsia="zh-CN"/>
        </w:rPr>
        <w:t>中标人</w:t>
      </w:r>
      <w:r>
        <w:rPr>
          <w:rFonts w:hint="default" w:ascii="Times New Roman" w:hAnsi="Times New Roman" w:eastAsia="宋体" w:cs="Times New Roman"/>
          <w:sz w:val="24"/>
          <w:szCs w:val="24"/>
          <w:highlight w:val="none"/>
        </w:rPr>
        <w:t>正规发票后7个工作日内付至总价的90%，余款在整体验收合格并正常运行满一年无质量问题并收到</w:t>
      </w:r>
      <w:r>
        <w:rPr>
          <w:rFonts w:hint="default" w:ascii="Times New Roman" w:hAnsi="Times New Roman" w:eastAsia="宋体" w:cs="Times New Roman"/>
          <w:sz w:val="24"/>
          <w:szCs w:val="24"/>
          <w:highlight w:val="none"/>
          <w:lang w:eastAsia="zh-CN"/>
        </w:rPr>
        <w:t>中标人</w:t>
      </w:r>
      <w:r>
        <w:rPr>
          <w:rFonts w:hint="default" w:ascii="Times New Roman" w:hAnsi="Times New Roman" w:eastAsia="宋体" w:cs="Times New Roman"/>
          <w:sz w:val="24"/>
          <w:szCs w:val="24"/>
          <w:highlight w:val="none"/>
        </w:rPr>
        <w:t>正规发票后7个工作日内付清（如</w:t>
      </w:r>
      <w:r>
        <w:rPr>
          <w:rFonts w:hint="default" w:ascii="Times New Roman" w:hAnsi="Times New Roman" w:eastAsia="宋体" w:cs="Times New Roman"/>
          <w:sz w:val="24"/>
          <w:szCs w:val="24"/>
          <w:highlight w:val="none"/>
          <w:lang w:eastAsia="zh-CN"/>
        </w:rPr>
        <w:t>中标人</w:t>
      </w:r>
      <w:r>
        <w:rPr>
          <w:rFonts w:hint="default" w:ascii="Times New Roman" w:hAnsi="Times New Roman" w:eastAsia="宋体" w:cs="Times New Roman"/>
          <w:sz w:val="24"/>
          <w:szCs w:val="24"/>
          <w:highlight w:val="none"/>
        </w:rPr>
        <w:t>是中小微企业，尾款在验收合格后60日内支付），货款凭发票，合同、采购验收单由采购人支付。</w:t>
      </w:r>
    </w:p>
    <w:p>
      <w:pPr>
        <w:spacing w:line="360" w:lineRule="auto"/>
        <w:ind w:firstLine="480" w:firstLineChars="200"/>
        <w:rPr>
          <w:rFonts w:hint="default" w:ascii="Times New Roman" w:hAnsi="Times New Roman" w:eastAsia="宋体" w:cs="Times New Roman"/>
          <w:highlight w:val="none"/>
          <w:lang w:val="zh-CN" w:eastAsia="zh-CN"/>
        </w:rPr>
      </w:pPr>
      <w:r>
        <w:rPr>
          <w:rFonts w:hint="default" w:ascii="Times New Roman" w:hAnsi="Times New Roman" w:eastAsia="宋体" w:cs="Times New Roman"/>
          <w:sz w:val="24"/>
          <w:szCs w:val="24"/>
          <w:highlight w:val="none"/>
        </w:rPr>
        <w:t>在签订合同时，</w:t>
      </w:r>
      <w:r>
        <w:rPr>
          <w:rFonts w:hint="default" w:ascii="Times New Roman" w:hAnsi="Times New Roman" w:eastAsia="宋体" w:cs="Times New Roman"/>
          <w:sz w:val="24"/>
          <w:szCs w:val="24"/>
          <w:highlight w:val="none"/>
          <w:lang w:eastAsia="zh-CN"/>
        </w:rPr>
        <w:t>中标人</w:t>
      </w:r>
      <w:r>
        <w:rPr>
          <w:rFonts w:hint="default" w:ascii="Times New Roman" w:hAnsi="Times New Roman" w:eastAsia="宋体" w:cs="Times New Roman"/>
          <w:sz w:val="24"/>
          <w:szCs w:val="24"/>
          <w:highlight w:val="none"/>
        </w:rPr>
        <w:t>明确表示无需预付款或者主动要求降低预付款比例的，采购单位可不支付或减少预付款支付比例。</w:t>
      </w:r>
    </w:p>
    <w:bookmarkEnd w:id="45"/>
    <w:bookmarkEnd w:id="46"/>
    <w:p>
      <w:pPr>
        <w:rPr>
          <w:rFonts w:hint="default" w:ascii="Times New Roman" w:hAnsi="Times New Roman" w:eastAsia="宋体" w:cs="Times New Roman"/>
          <w:sz w:val="36"/>
        </w:rPr>
      </w:pPr>
      <w:bookmarkStart w:id="47" w:name="_Toc12046"/>
      <w:bookmarkStart w:id="48" w:name="_Toc8168"/>
      <w:bookmarkStart w:id="49" w:name="_Toc9757"/>
      <w:bookmarkStart w:id="50" w:name="_Toc9652"/>
      <w:r>
        <w:rPr>
          <w:rFonts w:hint="default" w:ascii="Times New Roman" w:hAnsi="Times New Roman" w:eastAsia="宋体" w:cs="Times New Roman"/>
          <w:sz w:val="36"/>
        </w:rPr>
        <w:br w:type="page"/>
      </w:r>
    </w:p>
    <w:p>
      <w:pPr>
        <w:pStyle w:val="5"/>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36"/>
        </w:rPr>
        <w:t>第四章 开标、评标和定标须知</w:t>
      </w:r>
      <w:bookmarkEnd w:id="39"/>
      <w:bookmarkEnd w:id="40"/>
      <w:bookmarkEnd w:id="41"/>
      <w:bookmarkEnd w:id="47"/>
      <w:bookmarkEnd w:id="48"/>
      <w:bookmarkEnd w:id="49"/>
      <w:bookmarkEnd w:id="50"/>
    </w:p>
    <w:p>
      <w:pPr>
        <w:pStyle w:val="6"/>
        <w:spacing w:before="0" w:after="0" w:line="360" w:lineRule="exact"/>
        <w:rPr>
          <w:rFonts w:hint="default" w:ascii="Times New Roman" w:hAnsi="Times New Roman" w:eastAsia="宋体" w:cs="Times New Roman"/>
          <w:sz w:val="24"/>
          <w:szCs w:val="24"/>
        </w:rPr>
      </w:pPr>
      <w:bookmarkStart w:id="51" w:name="_Toc406413937"/>
      <w:bookmarkStart w:id="52" w:name="_Toc23064"/>
      <w:bookmarkStart w:id="53" w:name="_Toc362250704"/>
      <w:bookmarkStart w:id="54" w:name="_Toc274303252"/>
      <w:r>
        <w:rPr>
          <w:rFonts w:hint="default" w:ascii="Times New Roman" w:hAnsi="Times New Roman" w:eastAsia="宋体" w:cs="Times New Roman"/>
          <w:sz w:val="24"/>
          <w:szCs w:val="24"/>
        </w:rPr>
        <w:t>一、开标</w:t>
      </w:r>
      <w:bookmarkEnd w:id="51"/>
      <w:bookmarkEnd w:id="52"/>
      <w:bookmarkEnd w:id="53"/>
      <w:bookmarkEnd w:id="54"/>
    </w:p>
    <w:p>
      <w:pPr>
        <w:spacing w:line="360" w:lineRule="exact"/>
        <w:ind w:firstLine="480" w:firstLineChars="200"/>
        <w:rPr>
          <w:rFonts w:hint="default" w:ascii="Times New Roman" w:hAnsi="Times New Roman" w:eastAsia="宋体" w:cs="Times New Roman"/>
        </w:rPr>
      </w:pPr>
      <w:bookmarkStart w:id="55" w:name="_Toc226973002"/>
      <w:bookmarkStart w:id="56" w:name="_Toc263090375"/>
      <w:bookmarkStart w:id="57" w:name="_Toc362250705"/>
      <w:bookmarkStart w:id="58" w:name="_Toc406413938"/>
      <w:bookmarkStart w:id="59" w:name="_Toc261519847"/>
      <w:bookmarkStart w:id="60" w:name="_Toc274303253"/>
      <w:r>
        <w:rPr>
          <w:rFonts w:hint="default" w:ascii="Times New Roman" w:hAnsi="Times New Roman" w:eastAsia="宋体" w:cs="Times New Roman"/>
        </w:rPr>
        <w:t>1.本项目实行电子开评标，投标人无需前往开评标现场，应在规定时间内在“政采云”上上传电子投标文件和准时在线参加开标。</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2.电子开评标及评审程序</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 xml:space="preserve">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spacing w:line="360" w:lineRule="exact"/>
        <w:ind w:firstLine="480" w:firstLineChars="200"/>
        <w:rPr>
          <w:rFonts w:hint="default" w:ascii="Times New Roman" w:hAnsi="Times New Roman" w:eastAsia="宋体" w:cs="Times New Roman"/>
        </w:rPr>
      </w:pPr>
      <w:r>
        <w:rPr>
          <w:rFonts w:hint="eastAsia" w:ascii="Times New Roman" w:hAnsi="Times New Roman" w:eastAsia="宋体" w:cs="Times New Roman"/>
        </w:rPr>
        <w:t>2.2.采购人或采购代理机构对投标人的资格响应文件进行评审。采购人或采购代理机构应对投标人“信用中国”网站（www.creditchina.gov.cn）、中国政府采购网（www.ccgp.gov.cn）信用记录情况进行查询，根据（义行服管〔2017〕17号）的规定，对投标人的综合信用报告评级进行查询。</w:t>
      </w:r>
    </w:p>
    <w:p>
      <w:pPr>
        <w:spacing w:line="360" w:lineRule="exact"/>
        <w:ind w:firstLine="480" w:firstLineChars="200"/>
        <w:rPr>
          <w:rFonts w:hint="default" w:ascii="Times New Roman" w:hAnsi="Times New Roman" w:eastAsia="宋体" w:cs="Times New Roman"/>
        </w:rPr>
      </w:pPr>
      <w:r>
        <w:rPr>
          <w:rFonts w:hint="eastAsia" w:ascii="Times New Roman" w:hAnsi="Times New Roman" w:eastAsia="宋体" w:cs="Times New Roman"/>
        </w:rPr>
        <w:t>投标人未按照招标文件要求提供与资格条件相应的有效资格证明材料的，视为投标人不具备招标文件中规定的资格要求，其投标无效。</w:t>
      </w:r>
    </w:p>
    <w:p>
      <w:pPr>
        <w:spacing w:line="360" w:lineRule="exact"/>
        <w:ind w:firstLine="480" w:firstLineChars="200"/>
        <w:rPr>
          <w:rFonts w:hint="default" w:ascii="Times New Roman" w:hAnsi="Times New Roman" w:eastAsia="宋体" w:cs="Times New Roman"/>
        </w:rPr>
      </w:pPr>
      <w:r>
        <w:rPr>
          <w:rFonts w:hint="eastAsia" w:ascii="Times New Roman" w:hAnsi="Times New Roman" w:eastAsia="宋体" w:cs="Times New Roman"/>
        </w:rPr>
        <w:t>2.3评标委员会（即评标小组）对通过资格审查的投标人商务技术响应文件进行评审。</w:t>
      </w:r>
    </w:p>
    <w:p>
      <w:pPr>
        <w:spacing w:line="360" w:lineRule="exact"/>
        <w:ind w:firstLine="480" w:firstLineChars="200"/>
        <w:rPr>
          <w:rFonts w:hint="default" w:ascii="Times New Roman" w:hAnsi="Times New Roman" w:eastAsia="宋体" w:cs="Times New Roman"/>
        </w:rPr>
      </w:pPr>
      <w:r>
        <w:rPr>
          <w:rFonts w:hint="eastAsia" w:ascii="Times New Roman" w:hAnsi="Times New Roman" w:eastAsia="宋体" w:cs="Times New Roman"/>
        </w:rPr>
        <w:t>2.4评标委员会对通过符合性审查的投标人报价响应文件进行评审；</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w:t>
      </w:r>
      <w:r>
        <w:rPr>
          <w:rFonts w:hint="eastAsia" w:ascii="Times New Roman" w:hAnsi="Times New Roman" w:eastAsia="宋体" w:cs="Times New Roman"/>
          <w:lang w:val="en-US" w:eastAsia="zh-CN"/>
        </w:rPr>
        <w:t>5</w:t>
      </w:r>
      <w:r>
        <w:rPr>
          <w:rFonts w:hint="default" w:ascii="Times New Roman" w:hAnsi="Times New Roman" w:eastAsia="宋体" w:cs="Times New Roman"/>
        </w:rPr>
        <w:t>在系统上公布评审结果。</w:t>
      </w:r>
    </w:p>
    <w:p>
      <w:pPr>
        <w:spacing w:line="360" w:lineRule="exact"/>
        <w:ind w:firstLine="482" w:firstLineChars="200"/>
        <w:rPr>
          <w:rFonts w:hint="default" w:ascii="Times New Roman" w:hAnsi="Times New Roman" w:eastAsia="宋体" w:cs="Times New Roman"/>
          <w:b/>
          <w:szCs w:val="21"/>
          <w:u w:val="single"/>
        </w:rPr>
      </w:pPr>
      <w:r>
        <w:rPr>
          <w:rFonts w:hint="default" w:ascii="Times New Roman" w:hAnsi="Times New Roman" w:eastAsia="宋体" w:cs="Times New Roman"/>
          <w:b/>
          <w:szCs w:val="21"/>
          <w:u w:val="single"/>
        </w:rPr>
        <w:t>特别说明：“政采云”如对开评标程序有调整的，按调整后的程序操作。</w:t>
      </w:r>
    </w:p>
    <w:p>
      <w:pPr>
        <w:pStyle w:val="6"/>
        <w:spacing w:before="0" w:after="0" w:line="360" w:lineRule="exact"/>
        <w:rPr>
          <w:rFonts w:hint="default" w:ascii="Times New Roman" w:hAnsi="Times New Roman" w:eastAsia="宋体" w:cs="Times New Roman"/>
          <w:sz w:val="24"/>
          <w:szCs w:val="24"/>
        </w:rPr>
      </w:pPr>
      <w:bookmarkStart w:id="61" w:name="_Toc14316"/>
      <w:r>
        <w:rPr>
          <w:rFonts w:hint="default" w:ascii="Times New Roman" w:hAnsi="Times New Roman" w:eastAsia="宋体" w:cs="Times New Roman"/>
          <w:sz w:val="24"/>
          <w:szCs w:val="24"/>
        </w:rPr>
        <w:t>二、评标</w:t>
      </w:r>
      <w:bookmarkEnd w:id="55"/>
      <w:bookmarkEnd w:id="56"/>
      <w:bookmarkEnd w:id="57"/>
      <w:bookmarkEnd w:id="58"/>
      <w:bookmarkEnd w:id="59"/>
      <w:bookmarkEnd w:id="60"/>
      <w:bookmarkEnd w:id="61"/>
    </w:p>
    <w:p>
      <w:pPr>
        <w:spacing w:line="360" w:lineRule="exact"/>
        <w:ind w:firstLine="480"/>
        <w:rPr>
          <w:rFonts w:hint="default" w:ascii="Times New Roman" w:hAnsi="Times New Roman" w:eastAsia="宋体" w:cs="Times New Roman"/>
          <w:b/>
        </w:rPr>
      </w:pPr>
      <w:r>
        <w:rPr>
          <w:rFonts w:hint="default" w:ascii="Times New Roman" w:hAnsi="Times New Roman" w:eastAsia="宋体" w:cs="Times New Roman"/>
          <w:b/>
        </w:rPr>
        <w:t>3.评标小组</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招标方将根据招标采购项目的特点确定评标委员会（即评标小组）。其成员由评审专家和采购人代表共5人及以上单数组成。评标小组对投标文件进行审查、质疑、评估和比较。</w:t>
      </w:r>
    </w:p>
    <w:p>
      <w:pPr>
        <w:spacing w:line="360" w:lineRule="exact"/>
        <w:ind w:firstLine="480"/>
        <w:rPr>
          <w:rFonts w:hint="default" w:ascii="Times New Roman" w:hAnsi="Times New Roman" w:eastAsia="宋体" w:cs="Times New Roman"/>
          <w:b/>
        </w:rPr>
      </w:pPr>
      <w:r>
        <w:rPr>
          <w:rFonts w:hint="default" w:ascii="Times New Roman" w:hAnsi="Times New Roman" w:eastAsia="宋体" w:cs="Times New Roman"/>
          <w:b/>
        </w:rPr>
        <w:t>4.评标原则</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4.1评标小组将遵循公开、公平、公正的原则，严格遵守评标工作纪律。</w:t>
      </w:r>
    </w:p>
    <w:p>
      <w:pPr>
        <w:spacing w:line="360" w:lineRule="exact"/>
        <w:ind w:firstLine="480"/>
        <w:rPr>
          <w:rFonts w:hint="default" w:ascii="Times New Roman" w:hAnsi="Times New Roman" w:eastAsia="宋体" w:cs="Times New Roman"/>
          <w:bCs/>
        </w:rPr>
      </w:pPr>
      <w:r>
        <w:rPr>
          <w:rFonts w:hint="default" w:ascii="Times New Roman" w:hAnsi="Times New Roman" w:eastAsia="宋体" w:cs="Times New Roman"/>
        </w:rPr>
        <w:t>4.2</w:t>
      </w:r>
      <w:r>
        <w:rPr>
          <w:rFonts w:hint="default" w:ascii="Times New Roman" w:hAnsi="Times New Roman" w:eastAsia="宋体" w:cs="Times New Roman"/>
          <w:bCs/>
        </w:rPr>
        <w:t>先评资格及商务技术响应文件，再评报价响应文件。</w:t>
      </w:r>
    </w:p>
    <w:p>
      <w:pPr>
        <w:spacing w:line="360" w:lineRule="exact"/>
        <w:ind w:firstLine="480"/>
        <w:rPr>
          <w:rFonts w:hint="default" w:ascii="Times New Roman" w:hAnsi="Times New Roman" w:eastAsia="宋体" w:cs="Times New Roman"/>
        </w:rPr>
      </w:pPr>
      <w:r>
        <w:rPr>
          <w:rFonts w:hint="default" w:ascii="Times New Roman" w:hAnsi="Times New Roman" w:eastAsia="宋体" w:cs="Times New Roman"/>
          <w:bCs/>
        </w:rPr>
        <w:t>4.3</w:t>
      </w:r>
      <w:r>
        <w:rPr>
          <w:rFonts w:hint="default" w:ascii="Times New Roman" w:hAnsi="Times New Roman" w:eastAsia="宋体" w:cs="Times New Roman"/>
        </w:rPr>
        <w:t>客观公正对待所有投标人，对所有投标评审均采用相同的程序和标准。评标的依据为招标文件和相关法律、法规及政策文件。</w:t>
      </w:r>
    </w:p>
    <w:p>
      <w:pPr>
        <w:pStyle w:val="31"/>
        <w:spacing w:line="360" w:lineRule="exact"/>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4.4异常或特殊情况处理：</w:t>
      </w:r>
    </w:p>
    <w:p>
      <w:pPr>
        <w:pStyle w:val="31"/>
        <w:spacing w:line="360" w:lineRule="exact"/>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4.4.1在评标过程中，如发现招标文件中内容有不一致的（招标文件中其它地方另外规定的除外），经评标委员讨论认为不影响评标的，可以继续评标。</w:t>
      </w:r>
    </w:p>
    <w:p>
      <w:pPr>
        <w:pStyle w:val="31"/>
        <w:spacing w:line="360" w:lineRule="exact"/>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exact"/>
        <w:ind w:firstLine="464" w:firstLineChars="200"/>
        <w:rPr>
          <w:rFonts w:hint="default" w:ascii="Times New Roman" w:hAnsi="Times New Roman" w:eastAsia="宋体" w:cs="Times New Roman"/>
          <w:spacing w:val="-4"/>
        </w:rPr>
      </w:pPr>
      <w:r>
        <w:rPr>
          <w:rFonts w:hint="default" w:ascii="Times New Roman" w:hAnsi="Times New Roman" w:eastAsia="宋体" w:cs="Times New Roman"/>
          <w:spacing w:val="-4"/>
        </w:rPr>
        <w:t>4.4.2在评标过程中，出现其它异常或特殊情况时，由评标小组集体讨论决定。</w:t>
      </w:r>
    </w:p>
    <w:p>
      <w:pPr>
        <w:spacing w:line="360" w:lineRule="exact"/>
        <w:ind w:firstLine="464" w:firstLineChars="200"/>
        <w:rPr>
          <w:rFonts w:hint="default" w:ascii="Times New Roman" w:hAnsi="Times New Roman" w:eastAsia="宋体" w:cs="Times New Roman"/>
          <w:spacing w:val="-4"/>
          <w:lang w:val="zh-CN" w:eastAsia="zh-CN"/>
        </w:rPr>
      </w:pPr>
      <w:r>
        <w:rPr>
          <w:rFonts w:hint="default" w:ascii="Times New Roman" w:hAnsi="Times New Roman" w:eastAsia="宋体" w:cs="Times New Roman"/>
          <w:spacing w:val="-4"/>
          <w:lang w:val="en-US" w:eastAsia="zh-CN"/>
        </w:rPr>
        <w:t>★</w:t>
      </w:r>
      <w:r>
        <w:rPr>
          <w:rFonts w:hint="default" w:ascii="Times New Roman" w:hAnsi="Times New Roman" w:eastAsia="宋体" w:cs="Times New Roman"/>
          <w:spacing w:val="-4"/>
          <w:lang w:val="zh-CN" w:eastAsia="zh-CN"/>
        </w:rPr>
        <w:t>4.5不同投标人提供同一品牌产品的处理</w:t>
      </w:r>
    </w:p>
    <w:p>
      <w:pPr>
        <w:spacing w:line="360" w:lineRule="exact"/>
        <w:ind w:firstLine="464" w:firstLineChars="200"/>
        <w:rPr>
          <w:rFonts w:hint="default" w:ascii="Times New Roman" w:hAnsi="Times New Roman" w:eastAsia="宋体" w:cs="Times New Roman"/>
          <w:spacing w:val="-4"/>
        </w:rPr>
      </w:pPr>
      <w:r>
        <w:rPr>
          <w:rFonts w:hint="default" w:ascii="Times New Roman" w:hAnsi="Times New Roman" w:eastAsia="宋体" w:cs="Times New Roman"/>
          <w:spacing w:val="-4"/>
        </w:rPr>
        <w:t>采用综合评分法的采购项目，</w:t>
      </w:r>
      <w:r>
        <w:rPr>
          <w:rFonts w:hint="default" w:ascii="Times New Roman" w:hAnsi="Times New Roman" w:eastAsia="宋体" w:cs="Times New Roman"/>
          <w:spacing w:val="-4"/>
          <w:lang w:eastAsia="zh-CN"/>
        </w:rPr>
        <w:t>同时</w:t>
      </w:r>
      <w:r>
        <w:rPr>
          <w:rFonts w:hint="default" w:ascii="Times New Roman" w:hAnsi="Times New Roman" w:eastAsia="宋体" w:cs="Times New Roman"/>
          <w:spacing w:val="-4"/>
        </w:rPr>
        <w:t>提供相同品牌的</w:t>
      </w:r>
      <w:r>
        <w:rPr>
          <w:rFonts w:hint="default" w:ascii="Times New Roman" w:hAnsi="Times New Roman" w:eastAsia="宋体" w:cs="Times New Roman"/>
          <w:color w:val="FF0000"/>
          <w:sz w:val="24"/>
          <w:szCs w:val="24"/>
          <w:highlight w:val="none"/>
          <w:lang w:eastAsia="zh-CN"/>
        </w:rPr>
        <w:t>超高效液相色谱-串联质谱系统</w:t>
      </w:r>
      <w:r>
        <w:rPr>
          <w:rFonts w:hint="default" w:ascii="Times New Roman" w:hAnsi="Times New Roman" w:eastAsia="宋体" w:cs="Times New Roman"/>
          <w:spacing w:val="-4"/>
        </w:rPr>
        <w:t>且通过资格审查、符合性审查的不同投标人参加同一标项下投标的，按一家投标人计算，评审后得分最高的同品牌投标人作为有效供应商，评审得分相同的，采取随机抽取方式确定，其他同品牌投标人投标无效。</w:t>
      </w:r>
    </w:p>
    <w:p>
      <w:pPr>
        <w:spacing w:line="360" w:lineRule="exact"/>
        <w:ind w:firstLine="464" w:firstLineChars="200"/>
        <w:rPr>
          <w:rFonts w:hint="default" w:ascii="Times New Roman" w:hAnsi="Times New Roman" w:eastAsia="宋体" w:cs="Times New Roman"/>
          <w:spacing w:val="-4"/>
        </w:rPr>
      </w:pPr>
      <w:r>
        <w:rPr>
          <w:rFonts w:hint="default" w:ascii="Times New Roman" w:hAnsi="Times New Roman" w:eastAsia="宋体" w:cs="Times New Roman"/>
          <w:spacing w:val="-4"/>
        </w:rPr>
        <w:t>4.</w:t>
      </w:r>
      <w:r>
        <w:rPr>
          <w:rFonts w:hint="eastAsia" w:ascii="Times New Roman" w:hAnsi="Times New Roman" w:cs="Times New Roman"/>
          <w:spacing w:val="-4"/>
          <w:lang w:val="en-US" w:eastAsia="zh-CN"/>
        </w:rPr>
        <w:t>6</w:t>
      </w:r>
      <w:r>
        <w:rPr>
          <w:rFonts w:hint="default" w:ascii="Times New Roman" w:hAnsi="Times New Roman" w:eastAsia="宋体" w:cs="Times New Roman"/>
          <w:spacing w:val="-4"/>
        </w:rPr>
        <w:t>评标委员会成员对需要共同认定的事项存在争议的，应当按照少数服从多数的原则作出结论。持不同意见的评标委员会成员应当在评标报告上签署不同意见及理由，否则视为同意评标报告。</w:t>
      </w:r>
    </w:p>
    <w:p>
      <w:pPr>
        <w:pStyle w:val="31"/>
        <w:spacing w:line="36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5.评标过程的保密</w:t>
      </w:r>
    </w:p>
    <w:p>
      <w:pPr>
        <w:adjustRightInd w:val="0"/>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5.1开标后，直至授予中标人合同为止，凡属于对投标文件的审查、澄清、评价和比较等有关的资料以及中标候选人的推荐情况等与评标有关的任何情况均严格保密。</w:t>
      </w:r>
    </w:p>
    <w:p>
      <w:pPr>
        <w:pStyle w:val="31"/>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rFonts w:hint="default" w:ascii="Times New Roman" w:hAnsi="Times New Roman" w:eastAsia="宋体" w:cs="Times New Roman"/>
          <w:spacing w:val="-4"/>
        </w:rPr>
      </w:pPr>
      <w:r>
        <w:rPr>
          <w:rFonts w:hint="default" w:ascii="Times New Roman" w:hAnsi="Times New Roman" w:eastAsia="宋体" w:cs="Times New Roman"/>
        </w:rPr>
        <w:t>5.3</w:t>
      </w:r>
      <w:r>
        <w:rPr>
          <w:rFonts w:hint="default" w:ascii="Times New Roman" w:hAnsi="Times New Roman" w:eastAsia="宋体" w:cs="Times New Roman"/>
          <w:spacing w:val="-4"/>
        </w:rPr>
        <w:t>为保证定标的公正性，在评标过程中，评标成员不得与投标人私人交换意见。在招标工作结束后，凡与评标情况有接触的任何人不得也不应将评标情况扩散出评标成员之外。</w:t>
      </w:r>
    </w:p>
    <w:p>
      <w:pPr>
        <w:adjustRightInd w:val="0"/>
        <w:snapToGrid w:val="0"/>
        <w:spacing w:line="360" w:lineRule="exact"/>
        <w:ind w:firstLine="472" w:firstLineChars="196"/>
        <w:rPr>
          <w:rFonts w:hint="default" w:ascii="Times New Roman" w:hAnsi="Times New Roman" w:eastAsia="宋体" w:cs="Times New Roman"/>
          <w:b/>
        </w:rPr>
      </w:pPr>
      <w:r>
        <w:rPr>
          <w:rFonts w:hint="default" w:ascii="Times New Roman" w:hAnsi="Times New Roman" w:eastAsia="宋体" w:cs="Times New Roman"/>
          <w:b/>
        </w:rPr>
        <w:t>6.投标文件的澄清</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31"/>
        <w:tabs>
          <w:tab w:val="left" w:pos="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6.2如果投标人代表拒绝按评标委员会要求在“政采云”作出在线回复且无其他有效回复方式的，评标委员会可以对其作出无效标处理。</w:t>
      </w:r>
    </w:p>
    <w:p>
      <w:pPr>
        <w:adjustRightInd w:val="0"/>
        <w:snapToGrid w:val="0"/>
        <w:spacing w:line="360" w:lineRule="exact"/>
        <w:ind w:firstLine="482" w:firstLineChars="200"/>
        <w:rPr>
          <w:rFonts w:hint="default" w:ascii="Times New Roman" w:hAnsi="Times New Roman" w:eastAsia="宋体" w:cs="Times New Roman"/>
        </w:rPr>
      </w:pPr>
      <w:r>
        <w:rPr>
          <w:rFonts w:hint="default" w:ascii="Times New Roman" w:hAnsi="Times New Roman" w:eastAsia="宋体" w:cs="Times New Roman"/>
          <w:b/>
        </w:rPr>
        <w:t>7.投标文件的资格性和符合性评审</w:t>
      </w:r>
    </w:p>
    <w:p>
      <w:pPr>
        <w:adjustRightInd w:val="0"/>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7.1评标时，评标小组将首先评定每份投标文件是否实质上响应了招标文件的要求。所谓实质上响应，是指投标文件应与招标文件的所有实质性条款、条件和要求相符，无显著差异或保留。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360" w:lineRule="exact"/>
        <w:ind w:firstLine="436" w:firstLineChars="182"/>
        <w:rPr>
          <w:rFonts w:hint="default" w:ascii="Times New Roman" w:hAnsi="Times New Roman" w:eastAsia="宋体" w:cs="Times New Roman"/>
        </w:rPr>
      </w:pPr>
      <w:r>
        <w:rPr>
          <w:rFonts w:hint="default" w:ascii="Times New Roman" w:hAnsi="Times New Roman" w:eastAsia="宋体" w:cs="Times New Roman"/>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58"/>
        <w:spacing w:after="0" w:line="360" w:lineRule="exact"/>
        <w:ind w:left="0" w:leftChars="0" w:firstLine="480"/>
        <w:rPr>
          <w:rFonts w:hint="default" w:ascii="Times New Roman" w:hAnsi="Times New Roman" w:eastAsia="宋体" w:cs="Times New Roman"/>
        </w:rPr>
      </w:pPr>
      <w:r>
        <w:rPr>
          <w:rFonts w:hint="default" w:ascii="Times New Roman" w:hAnsi="Times New Roman" w:eastAsia="宋体" w:cs="Times New Roman"/>
        </w:rPr>
        <w:t>7.3在投标文件的评审和比较、中标候选人推荐以及授予合同的过程中，投标人向采购人和评标小组施加影响的任何行为，都将会导致其投标被拒绝。</w:t>
      </w:r>
    </w:p>
    <w:p>
      <w:pPr>
        <w:adjustRightInd w:val="0"/>
        <w:snapToGrid w:val="0"/>
        <w:spacing w:line="36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7.4评标小组在作出任何一项无效标决定前，都应当严格遵循以下程序：</w:t>
      </w:r>
    </w:p>
    <w:p>
      <w:pPr>
        <w:adjustRightInd w:val="0"/>
        <w:snapToGrid w:val="0"/>
        <w:spacing w:line="360" w:lineRule="exact"/>
        <w:ind w:firstLine="470" w:firstLineChars="196"/>
        <w:rPr>
          <w:rFonts w:hint="default" w:ascii="Times New Roman" w:hAnsi="Times New Roman" w:eastAsia="宋体" w:cs="Times New Roman"/>
        </w:rPr>
      </w:pPr>
      <w:r>
        <w:rPr>
          <w:rFonts w:hint="default" w:ascii="Times New Roman" w:hAnsi="Times New Roman" w:eastAsia="宋体" w:cs="Times New Roman"/>
        </w:rPr>
        <w:t>7.4.1要求当事投标人作相应的答辩。</w:t>
      </w:r>
    </w:p>
    <w:p>
      <w:pPr>
        <w:adjustRightInd w:val="0"/>
        <w:snapToGrid w:val="0"/>
        <w:spacing w:line="360" w:lineRule="exact"/>
        <w:ind w:firstLine="470" w:firstLineChars="196"/>
        <w:rPr>
          <w:rFonts w:hint="default" w:ascii="Times New Roman" w:hAnsi="Times New Roman" w:eastAsia="宋体" w:cs="Times New Roman"/>
        </w:rPr>
      </w:pPr>
      <w:r>
        <w:rPr>
          <w:rFonts w:hint="default" w:ascii="Times New Roman" w:hAnsi="Times New Roman" w:eastAsia="宋体" w:cs="Times New Roman"/>
        </w:rPr>
        <w:t>7.4.2在充分讨论的基础上集体表决。</w:t>
      </w:r>
    </w:p>
    <w:p>
      <w:pPr>
        <w:pStyle w:val="31"/>
        <w:spacing w:line="360" w:lineRule="exact"/>
        <w:ind w:firstLine="48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8.投标文件</w:t>
      </w:r>
      <w:r>
        <w:rPr>
          <w:rFonts w:hint="default" w:ascii="Times New Roman" w:hAnsi="Times New Roman" w:eastAsia="宋体" w:cs="Times New Roman"/>
          <w:b/>
          <w:sz w:val="24"/>
          <w:szCs w:val="24"/>
          <w:u w:val="single"/>
        </w:rPr>
        <w:t>计算错误和不同文字文本</w:t>
      </w:r>
      <w:r>
        <w:rPr>
          <w:rFonts w:hint="default" w:ascii="Times New Roman" w:hAnsi="Times New Roman" w:eastAsia="宋体" w:cs="Times New Roman"/>
          <w:b/>
          <w:sz w:val="24"/>
          <w:szCs w:val="24"/>
        </w:rPr>
        <w:t>的修正</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8.1修正原则如下：</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8.1.1对不同文字文本投标文件的解释发生异义的，以中文文本为准；评标委员会可以拒绝接受不是中文版的投标文件以及与投标相关的资料。</w:t>
      </w:r>
    </w:p>
    <w:p>
      <w:pPr>
        <w:spacing w:line="36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8.1.3投标文件报价出现不一致的，除招标文件另有规定外，按照下列规定修正：</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（1）客户端填写的报价与以pdf格式上传文件中的报价不一致的，应以pdf格式上传文件中的报价为准。</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（2）投标文件中开标一览表内容与投标文件中相应内容不一致的，以开标一览表为准；</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（3）投标文件的大写金额和小写金额不一致的，以大写金额为准。</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（4）单价金额小数点或者百分比有明显错位的，以开标一览表的总价为准，并修改单价；</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（5）总价金额与按单价汇总金额不一致的，以单价金额计算结果为准。</w:t>
      </w:r>
    </w:p>
    <w:p>
      <w:pPr>
        <w:pStyle w:val="31"/>
        <w:spacing w:line="360" w:lineRule="exact"/>
        <w:ind w:firstLine="482"/>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同时出现两种以上不一致的，按照前款规定的顺序修正。修正后的报价通过“政采云”经投标人确认后产生约束力，投标人不确认的，其投标无效。</w:t>
      </w:r>
    </w:p>
    <w:p>
      <w:pPr>
        <w:pStyle w:val="31"/>
        <w:spacing w:line="360" w:lineRule="exact"/>
        <w:ind w:firstLine="482"/>
        <w:rPr>
          <w:rFonts w:hint="default" w:ascii="Times New Roman" w:hAnsi="Times New Roman" w:eastAsia="宋体" w:cs="Times New Roman"/>
          <w:b/>
          <w:spacing w:val="-4"/>
          <w:sz w:val="24"/>
          <w:szCs w:val="24"/>
        </w:rPr>
      </w:pPr>
      <w:r>
        <w:rPr>
          <w:rFonts w:hint="default" w:ascii="Times New Roman" w:hAnsi="Times New Roman" w:eastAsia="宋体" w:cs="Times New Roman"/>
          <w:b/>
          <w:spacing w:val="-4"/>
          <w:sz w:val="24"/>
          <w:szCs w:val="24"/>
        </w:rPr>
        <w:t>9.评标办法</w:t>
      </w:r>
    </w:p>
    <w:p>
      <w:pPr>
        <w:adjustRightInd w:val="0"/>
        <w:snapToGrid w:val="0"/>
        <w:spacing w:line="360" w:lineRule="exact"/>
        <w:ind w:firstLine="472" w:firstLineChars="196"/>
        <w:rPr>
          <w:rFonts w:hint="default" w:ascii="Times New Roman" w:hAnsi="Times New Roman" w:eastAsia="宋体" w:cs="Times New Roman"/>
          <w:b/>
        </w:rPr>
      </w:pPr>
      <w:r>
        <w:rPr>
          <w:rFonts w:hint="default" w:ascii="Times New Roman" w:hAnsi="Times New Roman" w:eastAsia="宋体" w:cs="Times New Roman"/>
          <w:b/>
        </w:rPr>
        <w:t>本项目采用综合评分法（具体评标办法见第六章）。</w:t>
      </w:r>
    </w:p>
    <w:p>
      <w:pPr>
        <w:adjustRightInd w:val="0"/>
        <w:snapToGrid w:val="0"/>
        <w:spacing w:line="360" w:lineRule="exact"/>
        <w:ind w:firstLine="573"/>
        <w:rPr>
          <w:rFonts w:hint="default" w:ascii="Times New Roman" w:hAnsi="Times New Roman" w:eastAsia="宋体" w:cs="Times New Roman"/>
          <w:b/>
        </w:rPr>
      </w:pPr>
      <w:r>
        <w:rPr>
          <w:rFonts w:hint="default" w:ascii="Times New Roman" w:hAnsi="Times New Roman" w:eastAsia="宋体" w:cs="Times New Roman"/>
          <w:b/>
        </w:rPr>
        <w:t>10.决标</w:t>
      </w:r>
    </w:p>
    <w:p>
      <w:pPr>
        <w:adjustRightInd w:val="0"/>
        <w:snapToGri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评标小组依据本招标文件规定的评标标准和方法，对投标文件进行评审和比较，向招标方提交书面评标报告。</w:t>
      </w:r>
    </w:p>
    <w:p>
      <w:pPr>
        <w:widowControl w:val="0"/>
        <w:snapToGrid w:val="0"/>
        <w:spacing w:line="360" w:lineRule="exact"/>
        <w:jc w:val="both"/>
        <w:rPr>
          <w:rFonts w:hint="default" w:ascii="Times New Roman" w:hAnsi="Times New Roman" w:eastAsia="宋体" w:cs="Times New Roman"/>
          <w:b/>
          <w:szCs w:val="21"/>
        </w:rPr>
      </w:pPr>
      <w:r>
        <w:rPr>
          <w:rFonts w:hint="default" w:ascii="Times New Roman" w:hAnsi="Times New Roman" w:eastAsia="宋体" w:cs="Times New Roman"/>
          <w:b/>
        </w:rPr>
        <w:t xml:space="preserve"> 11.</w:t>
      </w:r>
      <w:r>
        <w:rPr>
          <w:rFonts w:hint="default" w:ascii="Times New Roman" w:hAnsi="Times New Roman" w:eastAsia="宋体" w:cs="Times New Roman"/>
          <w:b/>
          <w:szCs w:val="21"/>
        </w:rPr>
        <w:t xml:space="preserve"> 在招标采购过程中，有下列情形之一的，应对采购项目予以废标：</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（1）通过资格审查或评审后有效投标人不足三家的；</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（2）出现影响采购公正的违法、违规行为的；</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（3）因重大变故采购任务取消的；</w:t>
      </w:r>
    </w:p>
    <w:p>
      <w:pPr>
        <w:spacing w:line="360" w:lineRule="exact"/>
        <w:ind w:firstLine="600" w:firstLineChars="250"/>
        <w:jc w:val="both"/>
        <w:rPr>
          <w:rFonts w:hint="default" w:ascii="Times New Roman" w:hAnsi="Times New Roman" w:eastAsia="宋体" w:cs="Times New Roman"/>
        </w:rPr>
      </w:pPr>
      <w:r>
        <w:rPr>
          <w:rFonts w:hint="default" w:ascii="Times New Roman" w:hAnsi="Times New Roman" w:eastAsia="宋体" w:cs="Times New Roman"/>
        </w:rPr>
        <w:t>（4）招标文件另有规定情形的。</w:t>
      </w:r>
    </w:p>
    <w:p>
      <w:pPr>
        <w:pStyle w:val="6"/>
        <w:spacing w:before="0" w:after="0" w:line="360" w:lineRule="exact"/>
        <w:rPr>
          <w:rFonts w:hint="default" w:ascii="Times New Roman" w:hAnsi="Times New Roman" w:eastAsia="宋体" w:cs="Times New Roman"/>
          <w:sz w:val="24"/>
          <w:szCs w:val="24"/>
        </w:rPr>
      </w:pPr>
      <w:bookmarkStart w:id="62" w:name="_Toc226973003"/>
      <w:bookmarkStart w:id="63" w:name="_Toc406413939"/>
      <w:bookmarkStart w:id="64" w:name="_Toc263090376"/>
      <w:bookmarkStart w:id="65" w:name="_Toc261519848"/>
      <w:bookmarkStart w:id="66" w:name="_Toc4346"/>
      <w:bookmarkStart w:id="67" w:name="_Toc274303254"/>
      <w:bookmarkStart w:id="68" w:name="_Toc362250706"/>
      <w:r>
        <w:rPr>
          <w:rFonts w:hint="default" w:ascii="Times New Roman" w:hAnsi="Times New Roman" w:eastAsia="宋体" w:cs="Times New Roman"/>
          <w:sz w:val="24"/>
          <w:szCs w:val="24"/>
        </w:rPr>
        <w:t>三、定标</w:t>
      </w:r>
      <w:bookmarkEnd w:id="62"/>
      <w:bookmarkEnd w:id="63"/>
      <w:bookmarkEnd w:id="64"/>
      <w:bookmarkEnd w:id="65"/>
      <w:bookmarkEnd w:id="66"/>
      <w:bookmarkEnd w:id="67"/>
      <w:bookmarkEnd w:id="68"/>
    </w:p>
    <w:p>
      <w:pPr>
        <w:spacing w:line="360" w:lineRule="exact"/>
        <w:ind w:firstLine="482" w:firstLineChars="200"/>
        <w:rPr>
          <w:rFonts w:hint="default" w:ascii="Times New Roman" w:hAnsi="Times New Roman" w:eastAsia="宋体" w:cs="Times New Roman"/>
          <w:b/>
          <w:bCs/>
        </w:rPr>
      </w:pPr>
      <w:r>
        <w:rPr>
          <w:rFonts w:hint="default" w:ascii="Times New Roman" w:hAnsi="Times New Roman" w:eastAsia="宋体" w:cs="Times New Roman"/>
          <w:b/>
        </w:rPr>
        <w:t>12.</w:t>
      </w:r>
      <w:r>
        <w:rPr>
          <w:rFonts w:hint="default" w:ascii="Times New Roman" w:hAnsi="Times New Roman" w:eastAsia="宋体" w:cs="Times New Roman"/>
          <w:b/>
          <w:bCs/>
        </w:rPr>
        <w:t>中标通知</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12.1投标人自2020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12.2评标结束后，采购结果公告期限为1个工作日，发布采购结果公告的媒体为：浙江政府采购网站、义乌市公共资源交易平台。</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12.3由义乌市政府采购中心通过 “政采云”签发《中标通知书》，《中标通知书》一经发出即发生法律效力。</w:t>
      </w:r>
    </w:p>
    <w:p>
      <w:pPr>
        <w:pStyle w:val="31"/>
        <w:tabs>
          <w:tab w:val="left" w:pos="900"/>
        </w:tabs>
        <w:spacing w:line="36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13、合同签订</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13.1中标人自接到《中标通知书》后应在三十天内与采购人签订合同。</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13.2招标文件、中标人的投标文件、评标过程中投标人在询标时作出的承诺及其澄清文件等，均为签订合同的依据。</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13.4采购人变更数量的权利</w:t>
      </w:r>
    </w:p>
    <w:p>
      <w:pPr>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采购人在授予合同时有权对“第三章 招标项目”要求中规定的货物数量和服务予以增加或减少，但必须符合《中华人民共和国政府采购法》及义乌市政府采购的相关规定。</w:t>
      </w:r>
    </w:p>
    <w:p>
      <w:pPr>
        <w:pStyle w:val="31"/>
        <w:tabs>
          <w:tab w:val="left" w:pos="900"/>
        </w:tabs>
        <w:spacing w:line="36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四、质疑和投诉</w:t>
      </w:r>
    </w:p>
    <w:p>
      <w:pPr>
        <w:pStyle w:val="31"/>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14.1开标过程中，投标人对开标有异议的，应当在“政采云”上及时提出，评标委员应对异常情况制作相关记录。</w:t>
      </w:r>
    </w:p>
    <w:p>
      <w:pPr>
        <w:pStyle w:val="31"/>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pStyle w:val="31"/>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14.3质疑投诉的相关规定质疑应当包括下列内容：</w:t>
      </w:r>
    </w:p>
    <w:p>
      <w:pPr>
        <w:pStyle w:val="31"/>
        <w:tabs>
          <w:tab w:val="left" w:pos="900"/>
        </w:tabs>
        <w:spacing w:line="3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（1）供应商的名称（或姓名）、地址、邮编、联系人及联系电话；</w:t>
      </w:r>
    </w:p>
    <w:p>
      <w:pPr>
        <w:pStyle w:val="53"/>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（2）质疑项目的名称、编号；</w:t>
      </w:r>
    </w:p>
    <w:p>
      <w:pPr>
        <w:pStyle w:val="53"/>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（3）具体、明确的质疑事项和与质疑事项相关的请求；</w:t>
      </w:r>
    </w:p>
    <w:p>
      <w:pPr>
        <w:pStyle w:val="53"/>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（4）事实依据及相关证据材料；</w:t>
      </w:r>
    </w:p>
    <w:p>
      <w:pPr>
        <w:pStyle w:val="53"/>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（5）必要的法律依据；</w:t>
      </w:r>
    </w:p>
    <w:p>
      <w:pPr>
        <w:pStyle w:val="53"/>
        <w:shd w:val="clear" w:color="auto" w:fill="FFFFFF"/>
        <w:spacing w:line="360" w:lineRule="exact"/>
        <w:ind w:firstLine="436" w:firstLineChars="182"/>
        <w:rPr>
          <w:rFonts w:hint="default" w:ascii="Times New Roman" w:hAnsi="Times New Roman" w:eastAsia="宋体" w:cs="Times New Roman"/>
          <w:kern w:val="2"/>
        </w:rPr>
      </w:pPr>
      <w:r>
        <w:rPr>
          <w:rFonts w:hint="default" w:ascii="Times New Roman" w:hAnsi="Times New Roman" w:eastAsia="宋体" w:cs="Times New Roman"/>
          <w:kern w:val="2"/>
        </w:rPr>
        <w:t>（6）提出质疑的日期。</w:t>
      </w:r>
    </w:p>
    <w:p>
      <w:pPr>
        <w:pStyle w:val="53"/>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供应商为自然人的，应当由本人签字；供应商为法人或者其他组织的，应当由法定代表人、主要负责人，或者其授权代表签字或者盖章，并加盖公章。</w:t>
      </w:r>
    </w:p>
    <w:p>
      <w:pPr>
        <w:pStyle w:val="53"/>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质疑投诉存在以下情形之一的，将不予受理：</w:t>
      </w:r>
    </w:p>
    <w:p>
      <w:pPr>
        <w:pStyle w:val="53"/>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（1）质疑投诉人不是参加本项目的供应商；</w:t>
      </w:r>
    </w:p>
    <w:p>
      <w:pPr>
        <w:pStyle w:val="53"/>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（2）供应商自身权益未受到损害的；</w:t>
      </w:r>
    </w:p>
    <w:p>
      <w:pPr>
        <w:pStyle w:val="53"/>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（3）已超过法定质疑投诉提出期限的事项；</w:t>
      </w:r>
    </w:p>
    <w:p>
      <w:pPr>
        <w:pStyle w:val="53"/>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（4）质疑未提供书面质疑或未按要求签署或盖章的；</w:t>
      </w:r>
    </w:p>
    <w:p>
      <w:pPr>
        <w:pStyle w:val="53"/>
        <w:shd w:val="clear" w:color="auto" w:fill="FFFFFF"/>
        <w:spacing w:line="360" w:lineRule="exact"/>
        <w:ind w:firstLine="480" w:firstLineChars="200"/>
        <w:rPr>
          <w:rFonts w:hint="default" w:ascii="Times New Roman" w:hAnsi="Times New Roman" w:eastAsia="宋体" w:cs="Times New Roman"/>
          <w:kern w:val="2"/>
        </w:rPr>
      </w:pPr>
      <w:r>
        <w:rPr>
          <w:rFonts w:hint="default" w:ascii="Times New Roman" w:hAnsi="Times New Roman" w:eastAsia="宋体" w:cs="Times New Roman"/>
          <w:kern w:val="2"/>
        </w:rPr>
        <w:t>（5）质疑已经处理并答复后，质疑人就同一事项再次提起质疑且未提供新的有效证据的；</w:t>
      </w:r>
    </w:p>
    <w:p>
      <w:pPr>
        <w:adjustRightIn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kern w:val="2"/>
        </w:rPr>
        <w:t>（6）</w:t>
      </w:r>
      <w:r>
        <w:rPr>
          <w:rFonts w:hint="default" w:ascii="Times New Roman" w:hAnsi="Times New Roman" w:eastAsia="宋体" w:cs="Times New Roman"/>
        </w:rPr>
        <w:t>质疑投诉的事项已经进入行政复议或者行政诉讼程序的；投诉事项应先提出质疑而没有提出质疑的；</w:t>
      </w:r>
    </w:p>
    <w:p>
      <w:pPr>
        <w:adjustRightInd w:val="0"/>
        <w:spacing w:line="360" w:lineRule="exact"/>
        <w:ind w:firstLine="480" w:firstLineChars="200"/>
        <w:rPr>
          <w:rFonts w:hint="default" w:ascii="Times New Roman" w:hAnsi="Times New Roman" w:eastAsia="宋体" w:cs="Times New Roman"/>
        </w:rPr>
      </w:pPr>
      <w:r>
        <w:rPr>
          <w:rFonts w:hint="default" w:ascii="Times New Roman" w:hAnsi="Times New Roman" w:eastAsia="宋体" w:cs="Times New Roman"/>
          <w:kern w:val="2"/>
        </w:rPr>
        <w:t>（7）</w:t>
      </w:r>
      <w:r>
        <w:rPr>
          <w:rFonts w:hint="default" w:ascii="Times New Roman" w:hAnsi="Times New Roman" w:eastAsia="宋体" w:cs="Times New Roman"/>
        </w:rPr>
        <w:t>不符合《政府采购质疑和投诉办法》（财政部令第94号）等有关规定的投诉。</w:t>
      </w:r>
    </w:p>
    <w:p>
      <w:pPr>
        <w:pStyle w:val="57"/>
        <w:ind w:firstLine="210"/>
        <w:rPr>
          <w:rFonts w:hint="default" w:ascii="Times New Roman" w:hAnsi="Times New Roman" w:eastAsia="宋体" w:cs="Times New Roman"/>
        </w:rPr>
      </w:pPr>
    </w:p>
    <w:p>
      <w:pPr>
        <w:pStyle w:val="57"/>
        <w:ind w:firstLine="210"/>
        <w:rPr>
          <w:rFonts w:hint="default" w:ascii="Times New Roman" w:hAnsi="Times New Roman" w:eastAsia="宋体" w:cs="Times New Roman"/>
        </w:rPr>
      </w:pPr>
    </w:p>
    <w:p>
      <w:pPr>
        <w:pStyle w:val="57"/>
        <w:ind w:firstLine="210"/>
        <w:rPr>
          <w:rFonts w:hint="default" w:ascii="Times New Roman" w:hAnsi="Times New Roman" w:eastAsia="宋体" w:cs="Times New Roman"/>
        </w:rPr>
      </w:pPr>
    </w:p>
    <w:p>
      <w:pPr>
        <w:pStyle w:val="57"/>
        <w:ind w:firstLine="210"/>
        <w:rPr>
          <w:rFonts w:hint="default" w:ascii="Times New Roman" w:hAnsi="Times New Roman" w:eastAsia="宋体" w:cs="Times New Roman"/>
        </w:rPr>
      </w:pPr>
    </w:p>
    <w:p>
      <w:pPr>
        <w:pStyle w:val="57"/>
        <w:ind w:firstLine="210"/>
        <w:rPr>
          <w:rFonts w:hint="default" w:ascii="Times New Roman" w:hAnsi="Times New Roman" w:eastAsia="宋体" w:cs="Times New Roman"/>
        </w:rPr>
      </w:pPr>
    </w:p>
    <w:p>
      <w:pPr>
        <w:pStyle w:val="57"/>
        <w:ind w:firstLine="210"/>
        <w:rPr>
          <w:rFonts w:hint="default" w:ascii="Times New Roman" w:hAnsi="Times New Roman" w:eastAsia="宋体" w:cs="Times New Roman"/>
        </w:rPr>
      </w:pPr>
    </w:p>
    <w:p>
      <w:pPr>
        <w:pStyle w:val="5"/>
        <w:spacing w:before="0" w:after="0" w:line="400" w:lineRule="atLeast"/>
        <w:jc w:val="center"/>
        <w:rPr>
          <w:rFonts w:hint="default" w:ascii="Times New Roman" w:hAnsi="Times New Roman" w:eastAsia="宋体" w:cs="Times New Roman"/>
          <w:sz w:val="36"/>
        </w:rPr>
      </w:pPr>
      <w:bookmarkStart w:id="69" w:name="_Toc362268017"/>
      <w:bookmarkStart w:id="70" w:name="_Toc406413940"/>
      <w:bookmarkStart w:id="71" w:name="_Toc10019"/>
      <w:bookmarkStart w:id="72" w:name="_Toc1097"/>
      <w:bookmarkStart w:id="73" w:name="_Toc8193"/>
      <w:bookmarkStart w:id="74" w:name="_Toc20011"/>
      <w:r>
        <w:rPr>
          <w:rFonts w:hint="default" w:ascii="Times New Roman" w:hAnsi="Times New Roman" w:eastAsia="宋体" w:cs="Times New Roman"/>
          <w:sz w:val="36"/>
        </w:rPr>
        <w:t>第五章 投标文件的</w:t>
      </w:r>
      <w:bookmarkEnd w:id="69"/>
      <w:bookmarkEnd w:id="70"/>
      <w:r>
        <w:rPr>
          <w:rFonts w:hint="default" w:ascii="Times New Roman" w:hAnsi="Times New Roman" w:eastAsia="宋体" w:cs="Times New Roman"/>
          <w:sz w:val="36"/>
        </w:rPr>
        <w:t>无效情形</w:t>
      </w:r>
      <w:bookmarkEnd w:id="71"/>
      <w:bookmarkEnd w:id="72"/>
      <w:bookmarkEnd w:id="73"/>
      <w:bookmarkEnd w:id="74"/>
    </w:p>
    <w:p>
      <w:pPr>
        <w:pStyle w:val="31"/>
        <w:spacing w:line="40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1.有下列情形之一的，招标方将不予受理投标文件：</w:t>
      </w:r>
    </w:p>
    <w:p>
      <w:pPr>
        <w:pStyle w:val="31"/>
        <w:spacing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1.1逾期上传电子投标文件至“政采云”的。</w:t>
      </w:r>
    </w:p>
    <w:p>
      <w:pPr>
        <w:pStyle w:val="31"/>
        <w:spacing w:line="400" w:lineRule="exact"/>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1.2电子投标文件在规定时间内解密未成功的，且未提供备份投标文件或提供的备份投标文件无法上传打开的。</w:t>
      </w:r>
    </w:p>
    <w:p>
      <w:pPr>
        <w:pStyle w:val="31"/>
        <w:spacing w:line="45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2.投标文件在资格性评审或技术响应性评审出现下列情形之一的，由评标委员会审核后按无效投标文件处理：</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2.1.资格响应文件或商务技术响应文件中包含商务报价的；</w:t>
      </w:r>
    </w:p>
    <w:p>
      <w:pPr>
        <w:spacing w:line="46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2.2招标文件关于投标文件组成内容商务技术响应文件要求中打“★”的内容，投标人的投标文件内容未提供完整的，或关键字迹模糊、无法辨认的，或未按其规定的格式及要求填写、签字、盖章，或提供的投标文件内容不符合招标文件的中有关打★号的条款的规定；</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2.3投标人不具备招标文件中规定的资格要求的（投标人未提供有效的资格文件的，视为投标人不具备招标文件中规定的资格要求）；</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2.4采购人拟采购的产品属于政府强制采购的节能产品品目清单范围的，投标人相应的投标产品未获得国家确定的认证机构出具的、处于有效期之内的节能产品认证证书的；</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2.5投标文件中承诺的投标有效期少于招标文件中载明的投标有效期的；</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2.6投标人所投产品的数量不符合招标文件规定的；</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2.7投标人借用或冒用他人名义或证件、涂改文件、伪造或编造投标文件的；</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2.8投标中不同投标单位的投标文件出现雷同或相似（包括部分雷同或相似），对所有雷同或相似投标人按废标处理，招标方将保留进一步追究责任的权利；</w:t>
      </w:r>
      <w:r>
        <w:rPr>
          <w:rFonts w:hint="default" w:ascii="Times New Roman" w:hAnsi="Times New Roman" w:eastAsia="宋体" w:cs="Times New Roman"/>
          <w:szCs w:val="21"/>
        </w:rPr>
        <w:t xml:space="preserve"> </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2.9其它对本招标文件中打★号的条款未完全响应的；</w:t>
      </w:r>
    </w:p>
    <w:p>
      <w:pPr>
        <w:spacing w:line="460" w:lineRule="exact"/>
        <w:ind w:firstLine="480" w:firstLineChars="200"/>
        <w:rPr>
          <w:rFonts w:hint="default" w:ascii="Times New Roman" w:hAnsi="Times New Roman" w:eastAsia="宋体" w:cs="Times New Roman"/>
          <w:szCs w:val="21"/>
        </w:rPr>
      </w:pPr>
      <w:r>
        <w:rPr>
          <w:rFonts w:hint="eastAsia" w:ascii="Times New Roman" w:hAnsi="Times New Roman" w:eastAsia="宋体" w:cs="Times New Roman"/>
          <w:szCs w:val="21"/>
        </w:rPr>
        <w:t>2.10经评标委员会认定，投标文件附有采购人不能接受的条件；</w:t>
      </w:r>
    </w:p>
    <w:p>
      <w:pPr>
        <w:spacing w:line="460" w:lineRule="exact"/>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2.11评标委员会要求投标人澄清或说明的，如果投标人拒绝按照招标文件规定进行澄清或说明的。</w:t>
      </w:r>
    </w:p>
    <w:p>
      <w:pPr>
        <w:spacing w:line="46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3.报价响应文件评审出现下列情形之一的，由评标委员会审核后按无效投标文件处理：</w:t>
      </w:r>
    </w:p>
    <w:p>
      <w:pPr>
        <w:adjustRightInd w:val="0"/>
        <w:snapToGrid w:val="0"/>
        <w:spacing w:line="400" w:lineRule="exact"/>
        <w:ind w:firstLine="480" w:firstLineChars="200"/>
        <w:rPr>
          <w:rFonts w:hint="default" w:ascii="Times New Roman" w:hAnsi="Times New Roman" w:eastAsia="宋体" w:cs="Times New Roman"/>
          <w:szCs w:val="21"/>
        </w:rPr>
      </w:pPr>
      <w:r>
        <w:rPr>
          <w:rFonts w:hint="default" w:ascii="Times New Roman" w:hAnsi="Times New Roman" w:eastAsia="宋体" w:cs="Times New Roman"/>
        </w:rPr>
        <w:t>3.1.招标文件关于投标文件组成内容报价响应文件要求中打“★”的内容，</w:t>
      </w:r>
      <w:r>
        <w:rPr>
          <w:rFonts w:hint="default" w:ascii="Times New Roman" w:hAnsi="Times New Roman" w:eastAsia="宋体" w:cs="Times New Roman"/>
          <w:szCs w:val="21"/>
        </w:rPr>
        <w:t>投标人的投标文件内容未提供完整的，或关键字迹模糊、无法辨认的，或未按其规定的格式及要求填写、签字、盖章，或提供的投标文件内容不符合招标文件的中有关打★号的条款的规定；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3.2投标报价高于</w:t>
      </w:r>
      <w:r>
        <w:rPr>
          <w:rFonts w:hint="eastAsia" w:ascii="Times New Roman" w:hAnsi="Times New Roman" w:eastAsia="宋体" w:cs="Times New Roman"/>
          <w:lang w:eastAsia="zh-CN"/>
        </w:rPr>
        <w:t>预算金额或</w:t>
      </w:r>
      <w:r>
        <w:rPr>
          <w:rFonts w:hint="default" w:ascii="Times New Roman" w:hAnsi="Times New Roman" w:eastAsia="宋体" w:cs="Times New Roman"/>
        </w:rPr>
        <w:t>最高限价或低于项目成本总价的；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3.3投标人的所投产品的数量不符合招标文件规定的；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3.4投标人的投标报价未明确的，或者对同一采购项目提供两个或两个以上报价且未声明哪一个有效的，或者对同一采购项目提供两个或两个以上成本价且未声明哪一个有效；</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3.5经评标委员会审议认为投标文件附有采购人不能接受的条件的；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3.6评标委员会认为投标人的报价明显低于其他通过符合性审查投标人的报价，有可能影响产品服务或者不能诚信履约的，要求其通过“政采云”在规定的时间内提供CA签章的材料，投标人不能证明其报价合理性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3.7其它对本招标文件中打★号的条款未完全响应的；</w:t>
      </w:r>
    </w:p>
    <w:p>
      <w:pPr>
        <w:adjustRightInd w:val="0"/>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4.在资格审查及评审过程中，符合中华人民共和国财政部令第87号《政府采购货物和服务招标投标管理办法》第三十七条情形之一的，视为投标人串通投标，其投标无效，并移送采购监管部门：</w:t>
      </w:r>
    </w:p>
    <w:p>
      <w:pPr>
        <w:pStyle w:val="53"/>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（1）不同投标人的投标文件由同一单位或者个人编制；</w:t>
      </w:r>
    </w:p>
    <w:p>
      <w:pPr>
        <w:pStyle w:val="53"/>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（2）不同投标人委托同一单位或者个人办理投标事宜；</w:t>
      </w:r>
    </w:p>
    <w:p>
      <w:pPr>
        <w:pStyle w:val="53"/>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（3）不同投标人的投标文件载明的项目管理成员或者联系人员为同一人；</w:t>
      </w:r>
    </w:p>
    <w:p>
      <w:pPr>
        <w:pStyle w:val="53"/>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（4）不同投标人的投标文件异常一致或者投标报价呈规律性差异；</w:t>
      </w:r>
    </w:p>
    <w:p>
      <w:pPr>
        <w:pStyle w:val="53"/>
        <w:spacing w:line="44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（5）不同投标人的投标文件相互混装；</w:t>
      </w:r>
    </w:p>
    <w:p>
      <w:pPr>
        <w:pStyle w:val="31"/>
        <w:spacing w:line="400" w:lineRule="exact"/>
        <w:ind w:firstLine="472" w:firstLineChars="196"/>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5.其他法律法规规定的投标文件无效的情况。</w:t>
      </w:r>
    </w:p>
    <w:p>
      <w:pPr>
        <w:pStyle w:val="31"/>
        <w:spacing w:line="400" w:lineRule="exact"/>
        <w:ind w:firstLine="472" w:firstLineChars="196"/>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6.评标过程中，非上述所罗列的情况，不得以无效标处理。</w:t>
      </w:r>
    </w:p>
    <w:p>
      <w:pPr>
        <w:spacing w:line="400" w:lineRule="exact"/>
        <w:ind w:firstLine="480" w:firstLineChars="200"/>
        <w:rPr>
          <w:rFonts w:hint="default" w:ascii="Times New Roman" w:hAnsi="Times New Roman" w:eastAsia="宋体" w:cs="Times New Roman"/>
        </w:rPr>
      </w:pPr>
    </w:p>
    <w:p>
      <w:pPr>
        <w:spacing w:line="420" w:lineRule="exact"/>
        <w:rPr>
          <w:rFonts w:hint="default" w:ascii="Times New Roman" w:hAnsi="Times New Roman" w:eastAsia="宋体" w:cs="Times New Roman"/>
        </w:rPr>
      </w:pPr>
    </w:p>
    <w:p>
      <w:pPr>
        <w:spacing w:line="420" w:lineRule="exact"/>
        <w:rPr>
          <w:rFonts w:hint="default" w:ascii="Times New Roman" w:hAnsi="Times New Roman" w:eastAsia="宋体" w:cs="Times New Roman"/>
        </w:rPr>
      </w:pPr>
    </w:p>
    <w:p>
      <w:pPr>
        <w:spacing w:line="420" w:lineRule="exact"/>
        <w:rPr>
          <w:rFonts w:hint="default" w:ascii="Times New Roman" w:hAnsi="Times New Roman" w:eastAsia="宋体" w:cs="Times New Roman"/>
        </w:rPr>
      </w:pPr>
    </w:p>
    <w:p>
      <w:pPr>
        <w:rPr>
          <w:rFonts w:hint="default" w:ascii="Times New Roman" w:hAnsi="Times New Roman" w:eastAsia="宋体" w:cs="Times New Roman"/>
          <w:sz w:val="36"/>
        </w:rPr>
      </w:pPr>
      <w:bookmarkStart w:id="75" w:name="_Toc6872"/>
      <w:bookmarkStart w:id="76" w:name="_Toc406413941"/>
      <w:bookmarkStart w:id="77" w:name="_Toc274303255"/>
      <w:bookmarkStart w:id="78" w:name="_Toc226973004"/>
      <w:bookmarkStart w:id="79" w:name="_Toc31163"/>
      <w:bookmarkStart w:id="80" w:name="_Toc145992551"/>
      <w:bookmarkStart w:id="81" w:name="_Toc21982"/>
      <w:bookmarkStart w:id="82" w:name="_Toc238878128"/>
      <w:bookmarkStart w:id="83" w:name="_Toc213038697"/>
      <w:bookmarkStart w:id="84" w:name="_Toc274303258"/>
      <w:r>
        <w:rPr>
          <w:rFonts w:hint="default" w:ascii="Times New Roman" w:hAnsi="Times New Roman" w:eastAsia="宋体" w:cs="Times New Roman"/>
          <w:sz w:val="36"/>
        </w:rPr>
        <w:br w:type="page"/>
      </w:r>
    </w:p>
    <w:p>
      <w:pPr>
        <w:pStyle w:val="5"/>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36"/>
        </w:rPr>
        <w:t xml:space="preserve">第六章 </w:t>
      </w:r>
      <w:bookmarkStart w:id="85" w:name="_Toc17206"/>
      <w:r>
        <w:rPr>
          <w:rFonts w:hint="default" w:ascii="Times New Roman" w:hAnsi="Times New Roman" w:eastAsia="宋体" w:cs="Times New Roman"/>
          <w:sz w:val="36"/>
        </w:rPr>
        <w:t>评标办法</w:t>
      </w:r>
      <w:bookmarkEnd w:id="75"/>
      <w:bookmarkEnd w:id="76"/>
      <w:bookmarkEnd w:id="77"/>
      <w:bookmarkEnd w:id="78"/>
      <w:bookmarkEnd w:id="79"/>
      <w:bookmarkEnd w:id="80"/>
      <w:bookmarkEnd w:id="81"/>
      <w:bookmarkEnd w:id="85"/>
    </w:p>
    <w:p>
      <w:pPr>
        <w:pStyle w:val="53"/>
        <w:spacing w:line="440" w:lineRule="exact"/>
        <w:ind w:firstLine="480" w:firstLineChars="200"/>
        <w:jc w:val="both"/>
        <w:rPr>
          <w:rFonts w:hint="default" w:ascii="Times New Roman" w:hAnsi="Times New Roman" w:eastAsia="宋体" w:cs="Times New Roman"/>
        </w:rPr>
      </w:pPr>
      <w:bookmarkStart w:id="86" w:name="_Toc274303257"/>
      <w:r>
        <w:rPr>
          <w:rFonts w:hint="default" w:ascii="Times New Roman" w:hAnsi="Times New Roman" w:eastAsia="宋体" w:cs="Times New Roman"/>
        </w:rPr>
        <w:t>根据《中华人民共和国政府采购法》及相关法律的有关规定，为更好地做到公开、公平、公正，结合本次招标的特点，特制定本评标办法，本项目的评标办法为综合评分法。</w:t>
      </w:r>
    </w:p>
    <w:p>
      <w:pPr>
        <w:pStyle w:val="53"/>
        <w:spacing w:line="440" w:lineRule="exact"/>
        <w:ind w:firstLine="482" w:firstLineChars="200"/>
        <w:jc w:val="both"/>
        <w:rPr>
          <w:rFonts w:hint="default" w:ascii="Times New Roman" w:hAnsi="Times New Roman" w:eastAsia="宋体" w:cs="Times New Roman"/>
          <w:b/>
          <w:bCs/>
        </w:rPr>
      </w:pPr>
      <w:r>
        <w:rPr>
          <w:rFonts w:hint="default" w:ascii="Times New Roman" w:hAnsi="Times New Roman" w:eastAsia="宋体" w:cs="Times New Roman"/>
          <w:b/>
          <w:bCs/>
        </w:rPr>
        <w:t>一、评审程序</w:t>
      </w:r>
    </w:p>
    <w:bookmarkEnd w:id="86"/>
    <w:p>
      <w:pPr>
        <w:pStyle w:val="53"/>
        <w:spacing w:line="440" w:lineRule="exact"/>
        <w:ind w:firstLine="480" w:firstLineChars="200"/>
        <w:jc w:val="both"/>
        <w:rPr>
          <w:rFonts w:hint="default" w:ascii="Times New Roman" w:hAnsi="Times New Roman" w:eastAsia="宋体" w:cs="Times New Roman"/>
        </w:rPr>
      </w:pPr>
      <w:bookmarkStart w:id="87" w:name="_Toc362250710"/>
      <w:bookmarkStart w:id="88" w:name="_Toc323024194"/>
      <w:bookmarkStart w:id="89" w:name="_Toc295815145"/>
      <w:bookmarkStart w:id="90" w:name="_Toc330474791"/>
      <w:bookmarkStart w:id="91" w:name="_Toc269969080"/>
      <w:bookmarkStart w:id="92" w:name="_Toc358884475"/>
      <w:r>
        <w:rPr>
          <w:rFonts w:hint="eastAsia" w:ascii="Times New Roman" w:hAnsi="Times New Roman" w:eastAsia="宋体" w:cs="Times New Roman"/>
        </w:rPr>
        <w:t xml:space="preserve">评标小组以开标、评标、询标情况为基本依据，按照招标文件的规定，对各投标人的投标文件按商务技术部分和报价部分顺序进行分析、评议，具体按以下程序进行评审： </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（一）对通过资格性审查合格的投标人的商务技术响应文件进行符合性审查。</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（二）对通过符合性审查有效的投标人的商务技术响应文件进行技术评分（详见三、评分细则）；</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三）上述投标人的评分结束后，评标小组对上述投标人的报价文件进行评审；评标小组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评标委员会应当将其作为无效投标处理。</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（四）对通过报价评审有效的投标人,由“政采云”计算出其报价分及总得分，并由评标小组会进行确认；</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（五）确定中标人</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1.首先，评标小组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2.其次，评标小组直接确定排名第一的投标人为中标人。</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（七）完成评标报告</w:t>
      </w:r>
    </w:p>
    <w:p>
      <w:pPr>
        <w:pStyle w:val="53"/>
        <w:spacing w:line="440" w:lineRule="exact"/>
        <w:ind w:firstLine="480" w:firstLineChars="200"/>
        <w:jc w:val="both"/>
        <w:rPr>
          <w:rFonts w:hint="default" w:ascii="Times New Roman" w:hAnsi="Times New Roman" w:eastAsia="宋体" w:cs="Times New Roman"/>
        </w:rPr>
      </w:pPr>
      <w:r>
        <w:rPr>
          <w:rFonts w:hint="eastAsia" w:ascii="Times New Roman" w:hAnsi="Times New Roman" w:eastAsia="宋体" w:cs="Times New Roman"/>
        </w:rPr>
        <w:t>评标小组根据评审相关情况作出评标报告。</w:t>
      </w:r>
    </w:p>
    <w:p>
      <w:pPr>
        <w:pStyle w:val="53"/>
        <w:spacing w:line="440" w:lineRule="exact"/>
        <w:ind w:firstLine="482" w:firstLineChars="200"/>
        <w:jc w:val="both"/>
        <w:rPr>
          <w:rFonts w:hint="default" w:ascii="Times New Roman" w:hAnsi="Times New Roman" w:eastAsia="宋体" w:cs="Times New Roman"/>
          <w:b/>
          <w:bCs/>
        </w:rPr>
      </w:pPr>
      <w:r>
        <w:rPr>
          <w:rFonts w:hint="default" w:ascii="Times New Roman" w:hAnsi="Times New Roman" w:eastAsia="宋体" w:cs="Times New Roman"/>
          <w:b/>
          <w:bCs/>
        </w:rPr>
        <w:t>二、确定的中标人放弃中标等情况的处理</w:t>
      </w:r>
      <w:bookmarkEnd w:id="87"/>
      <w:bookmarkEnd w:id="88"/>
      <w:bookmarkEnd w:id="89"/>
      <w:bookmarkEnd w:id="90"/>
      <w:bookmarkEnd w:id="91"/>
      <w:bookmarkEnd w:id="92"/>
    </w:p>
    <w:p>
      <w:pPr>
        <w:pStyle w:val="53"/>
        <w:spacing w:line="440" w:lineRule="exact"/>
        <w:ind w:firstLine="480" w:firstLineChars="200"/>
        <w:jc w:val="both"/>
        <w:rPr>
          <w:rFonts w:hint="default" w:ascii="Times New Roman" w:hAnsi="Times New Roman" w:eastAsia="宋体" w:cs="Times New Roman"/>
          <w:b/>
        </w:rPr>
      </w:pPr>
      <w:r>
        <w:rPr>
          <w:rFonts w:hint="default" w:ascii="Times New Roman" w:hAnsi="Times New Roman" w:eastAsia="宋体" w:cs="Times New Roman"/>
        </w:rPr>
        <w:t>当确定的中标人放弃中标，因不可抗力提出不能履行合同，或者质疑投诉成立，取消中标人资格的，都不再确定其余投标人作为中标人</w:t>
      </w:r>
      <w:r>
        <w:rPr>
          <w:rFonts w:hint="default" w:ascii="Times New Roman" w:hAnsi="Times New Roman" w:eastAsia="宋体" w:cs="Times New Roman"/>
          <w:b/>
        </w:rPr>
        <w:t>。</w:t>
      </w:r>
    </w:p>
    <w:p>
      <w:pPr>
        <w:pStyle w:val="31"/>
        <w:numPr>
          <w:ilvl w:val="0"/>
          <w:numId w:val="2"/>
        </w:numPr>
        <w:spacing w:line="36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评分细则</w:t>
      </w:r>
      <w:bookmarkEnd w:id="82"/>
      <w:bookmarkEnd w:id="83"/>
      <w:bookmarkEnd w:id="84"/>
      <w:bookmarkStart w:id="93" w:name="_Toc187829774"/>
      <w:bookmarkStart w:id="94" w:name="_Toc238878129"/>
      <w:bookmarkStart w:id="95" w:name="_Toc213038698"/>
      <w:bookmarkStart w:id="96" w:name="_Toc274303259"/>
      <w:bookmarkStart w:id="97" w:name="_Toc423012136"/>
      <w:bookmarkStart w:id="98" w:name="_Toc235778631"/>
    </w:p>
    <w:tbl>
      <w:tblPr>
        <w:tblStyle w:val="60"/>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19"/>
        <w:gridCol w:w="6734"/>
        <w:gridCol w:w="63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jc w:val="center"/>
              <w:rPr>
                <w:rFonts w:hint="default" w:ascii="Times New Roman" w:hAnsi="Times New Roman" w:eastAsia="宋体" w:cs="Times New Roman"/>
                <w:bCs/>
                <w:sz w:val="21"/>
                <w:szCs w:val="21"/>
                <w:highlight w:val="none"/>
              </w:rPr>
            </w:pPr>
            <w:bookmarkStart w:id="105" w:name="_GoBack"/>
            <w:r>
              <w:rPr>
                <w:rFonts w:hint="default" w:ascii="Times New Roman" w:hAnsi="Times New Roman" w:eastAsia="宋体" w:cs="Times New Roman"/>
                <w:bCs/>
                <w:sz w:val="21"/>
                <w:szCs w:val="21"/>
                <w:highlight w:val="none"/>
              </w:rPr>
              <w:t>序号</w:t>
            </w:r>
          </w:p>
        </w:tc>
        <w:tc>
          <w:tcPr>
            <w:tcW w:w="1119" w:type="dxa"/>
            <w:noWrap/>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评分内容</w:t>
            </w:r>
          </w:p>
        </w:tc>
        <w:tc>
          <w:tcPr>
            <w:tcW w:w="6734" w:type="dxa"/>
            <w:noWrap/>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评分细则</w:t>
            </w:r>
          </w:p>
        </w:tc>
        <w:tc>
          <w:tcPr>
            <w:tcW w:w="63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分值</w:t>
            </w:r>
          </w:p>
        </w:tc>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一</w:t>
            </w:r>
          </w:p>
        </w:tc>
        <w:tc>
          <w:tcPr>
            <w:tcW w:w="1119"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商务技术分</w:t>
            </w:r>
          </w:p>
        </w:tc>
        <w:tc>
          <w:tcPr>
            <w:tcW w:w="6734" w:type="dxa"/>
            <w:noWrap/>
          </w:tcPr>
          <w:p>
            <w:pP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37" w:type="dxa"/>
            <w:noWrap/>
            <w:vAlign w:val="center"/>
          </w:tcPr>
          <w:p>
            <w:pPr>
              <w:jc w:val="center"/>
              <w:rPr>
                <w:rFonts w:hint="default" w:ascii="Times New Roman" w:hAnsi="Times New Roman" w:eastAsia="宋体" w:cs="Times New Roman"/>
                <w:bCs/>
                <w:sz w:val="21"/>
                <w:szCs w:val="21"/>
                <w:highlight w:val="none"/>
              </w:rPr>
            </w:pPr>
            <w:r>
              <w:rPr>
                <w:rFonts w:hint="eastAsia" w:ascii="Times New Roman" w:hAnsi="Times New Roman" w:eastAsia="宋体" w:cs="Times New Roman"/>
                <w:bCs/>
                <w:sz w:val="21"/>
                <w:szCs w:val="21"/>
                <w:highlight w:val="none"/>
                <w:lang w:val="en-US" w:eastAsia="zh-CN"/>
              </w:rPr>
              <w:t>60</w:t>
            </w:r>
            <w:r>
              <w:rPr>
                <w:rFonts w:hint="default" w:ascii="Times New Roman" w:hAnsi="Times New Roman" w:eastAsia="宋体" w:cs="Times New Roman"/>
                <w:bCs/>
                <w:sz w:val="21"/>
                <w:szCs w:val="21"/>
                <w:highlight w:val="none"/>
              </w:rPr>
              <w:t>分</w:t>
            </w:r>
          </w:p>
        </w:tc>
        <w:tc>
          <w:tcPr>
            <w:tcW w:w="687" w:type="dxa"/>
            <w:noWrap/>
            <w:vAlign w:val="center"/>
          </w:tcPr>
          <w:p>
            <w:pPr>
              <w:jc w:val="center"/>
              <w:rPr>
                <w:rFonts w:hint="default" w:ascii="Times New Roman" w:hAnsi="Times New Roman" w:eastAsia="宋体"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kern w:val="0"/>
                <w:sz w:val="21"/>
                <w:szCs w:val="21"/>
                <w:highlight w:val="none"/>
                <w:lang w:val="en-US" w:eastAsia="zh-CN"/>
              </w:rPr>
              <w:t>1</w:t>
            </w:r>
          </w:p>
        </w:tc>
        <w:tc>
          <w:tcPr>
            <w:tcW w:w="1119" w:type="dxa"/>
            <w:noWrap/>
            <w:vAlign w:val="center"/>
          </w:tcPr>
          <w:p>
            <w:pPr>
              <w:pStyle w:val="69"/>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设备技术参数与功能配置</w:t>
            </w:r>
          </w:p>
        </w:tc>
        <w:tc>
          <w:tcPr>
            <w:tcW w:w="6734" w:type="dxa"/>
            <w:noWrap/>
            <w:vAlign w:val="center"/>
          </w:tcPr>
          <w:p>
            <w:pPr>
              <w:pStyle w:val="69"/>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带★为必须满足项，不满足的投标无效。除不可负偏离指标外，其他投标指标与招标需求完全一致或完全一致且有正偏离的，得43分；标“▲”标记参数系指重点参数，投标指标每负偏离一项扣1分；其他技术指标每负偏离一项扣减0.5分，扣完为止。本项打分最高得43分，最低得0分。</w:t>
            </w:r>
          </w:p>
        </w:tc>
        <w:tc>
          <w:tcPr>
            <w:tcW w:w="63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Cs/>
                <w:kern w:val="0"/>
                <w:sz w:val="21"/>
                <w:szCs w:val="21"/>
                <w:highlight w:val="none"/>
              </w:rPr>
              <w:t>0-</w:t>
            </w:r>
            <w:r>
              <w:rPr>
                <w:rFonts w:hint="default" w:ascii="Times New Roman" w:hAnsi="Times New Roman" w:eastAsia="宋体" w:cs="Times New Roman"/>
                <w:bCs/>
                <w:kern w:val="0"/>
                <w:sz w:val="21"/>
                <w:szCs w:val="21"/>
                <w:highlight w:val="none"/>
                <w:lang w:val="en-US" w:eastAsia="zh-CN"/>
              </w:rPr>
              <w:t>43</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kern w:val="0"/>
                <w:sz w:val="21"/>
                <w:szCs w:val="21"/>
                <w:highlight w:val="none"/>
                <w:lang w:val="en-US" w:eastAsia="zh-CN"/>
              </w:rPr>
              <w:t>2</w:t>
            </w:r>
          </w:p>
        </w:tc>
        <w:tc>
          <w:tcPr>
            <w:tcW w:w="1119" w:type="dxa"/>
            <w:noWrap/>
            <w:vAlign w:val="center"/>
          </w:tcPr>
          <w:p>
            <w:pPr>
              <w:pStyle w:val="69"/>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安装调试方案</w:t>
            </w:r>
          </w:p>
        </w:tc>
        <w:tc>
          <w:tcPr>
            <w:tcW w:w="6734" w:type="dxa"/>
            <w:noWrap/>
            <w:vAlign w:val="center"/>
          </w:tcPr>
          <w:p>
            <w:pPr>
              <w:pStyle w:val="69"/>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根据投标人提供的安装调试方案（包括对场地环境的了解、时间进度的规划，对设备的调试进度安排，调试的步骤、措施，问题的解决方案等）进行打分</w:t>
            </w:r>
            <w:r>
              <w:rPr>
                <w:rFonts w:hint="eastAsia" w:ascii="Times New Roman" w:hAnsi="Times New Roman" w:eastAsia="宋体" w:cs="Times New Roman"/>
                <w:color w:val="auto"/>
                <w:sz w:val="21"/>
                <w:szCs w:val="21"/>
                <w:highlight w:val="none"/>
                <w:lang w:val="en-US" w:eastAsia="zh-CN"/>
              </w:rPr>
              <w:t>。</w:t>
            </w:r>
          </w:p>
        </w:tc>
        <w:tc>
          <w:tcPr>
            <w:tcW w:w="63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0-2</w:t>
            </w:r>
          </w:p>
        </w:tc>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3</w:t>
            </w:r>
          </w:p>
        </w:tc>
        <w:tc>
          <w:tcPr>
            <w:tcW w:w="1119" w:type="dxa"/>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供货方案</w:t>
            </w:r>
          </w:p>
        </w:tc>
        <w:tc>
          <w:tcPr>
            <w:tcW w:w="6734" w:type="dxa"/>
            <w:noWrap/>
            <w:vAlign w:val="center"/>
          </w:tcPr>
          <w:p>
            <w:pPr>
              <w:keepNext w:val="0"/>
              <w:keepLines w:val="0"/>
              <w:pageBreakBefore w:val="0"/>
              <w:kinsoku/>
              <w:wordWrap/>
              <w:overflowPunct/>
              <w:topLinePunct w:val="0"/>
              <w:bidi w:val="0"/>
              <w:adjustRightInd/>
              <w:snapToGrid/>
              <w:spacing w:line="240" w:lineRule="auto"/>
              <w:jc w:val="left"/>
              <w:textAlignment w:val="auto"/>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提供的供货</w:t>
            </w:r>
            <w:r>
              <w:rPr>
                <w:rFonts w:hint="default" w:ascii="Times New Roman" w:hAnsi="Times New Roman" w:eastAsia="宋体" w:cs="Times New Roman"/>
                <w:color w:val="auto"/>
                <w:sz w:val="21"/>
                <w:szCs w:val="21"/>
                <w:highlight w:val="none"/>
                <w:lang w:eastAsia="zh-CN"/>
              </w:rPr>
              <w:t>方案</w:t>
            </w:r>
            <w:r>
              <w:rPr>
                <w:rFonts w:hint="default" w:ascii="Times New Roman" w:hAnsi="Times New Roman" w:eastAsia="宋体" w:cs="Times New Roman"/>
                <w:color w:val="auto"/>
                <w:sz w:val="21"/>
                <w:szCs w:val="21"/>
                <w:highlight w:val="none"/>
              </w:rPr>
              <w:t>、安装过程中现场安全措施方案的可行性、合理性及科学性进行打分</w:t>
            </w:r>
            <w:r>
              <w:rPr>
                <w:rFonts w:hint="eastAsia" w:ascii="Times New Roman" w:hAnsi="Times New Roman" w:eastAsia="宋体" w:cs="Times New Roman"/>
                <w:color w:val="auto"/>
                <w:sz w:val="21"/>
                <w:szCs w:val="21"/>
                <w:highlight w:val="none"/>
                <w:lang w:eastAsia="zh-CN"/>
              </w:rPr>
              <w:t>。</w:t>
            </w:r>
          </w:p>
        </w:tc>
        <w:tc>
          <w:tcPr>
            <w:tcW w:w="637" w:type="dxa"/>
            <w:noWrap/>
            <w:vAlign w:val="center"/>
          </w:tcPr>
          <w:p>
            <w:pPr>
              <w:pStyle w:val="31"/>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vMerge w:val="restart"/>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4</w:t>
            </w:r>
          </w:p>
        </w:tc>
        <w:tc>
          <w:tcPr>
            <w:tcW w:w="1119" w:type="dxa"/>
            <w:vMerge w:val="restart"/>
            <w:noWrap/>
            <w:vAlign w:val="center"/>
          </w:tcPr>
          <w:p>
            <w:pPr>
              <w:pStyle w:val="69"/>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w:t>
            </w:r>
            <w:r>
              <w:rPr>
                <w:rFonts w:hint="default" w:ascii="Times New Roman" w:hAnsi="Times New Roman" w:eastAsia="宋体" w:cs="Times New Roman"/>
                <w:color w:val="auto"/>
                <w:sz w:val="21"/>
                <w:szCs w:val="21"/>
                <w:highlight w:val="none"/>
              </w:rPr>
              <w:t>培训方案</w:t>
            </w:r>
          </w:p>
        </w:tc>
        <w:tc>
          <w:tcPr>
            <w:tcW w:w="6734" w:type="dxa"/>
            <w:noWrap/>
            <w:vAlign w:val="center"/>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对提供的</w:t>
            </w:r>
            <w:r>
              <w:rPr>
                <w:rFonts w:hint="default" w:ascii="Times New Roman" w:hAnsi="Times New Roman" w:eastAsia="宋体" w:cs="Times New Roman"/>
                <w:sz w:val="21"/>
                <w:szCs w:val="21"/>
                <w:highlight w:val="none"/>
              </w:rPr>
              <w:t>针对此项目投标产品</w:t>
            </w:r>
            <w:r>
              <w:rPr>
                <w:rFonts w:hint="default" w:ascii="Times New Roman" w:hAnsi="Times New Roman" w:eastAsia="宋体" w:cs="Times New Roman"/>
                <w:sz w:val="21"/>
                <w:szCs w:val="21"/>
                <w:highlight w:val="none"/>
                <w:lang w:val="en-US" w:eastAsia="zh-CN"/>
              </w:rPr>
              <w:t>的培训课程，培训内容的合理性，</w:t>
            </w:r>
            <w:r>
              <w:rPr>
                <w:rFonts w:hint="default" w:ascii="Times New Roman" w:hAnsi="Times New Roman" w:eastAsia="宋体" w:cs="Times New Roman"/>
                <w:sz w:val="21"/>
                <w:szCs w:val="21"/>
                <w:highlight w:val="none"/>
              </w:rPr>
              <w:t>详细程度</w:t>
            </w:r>
            <w:r>
              <w:rPr>
                <w:rFonts w:hint="default" w:ascii="Times New Roman" w:hAnsi="Times New Roman" w:eastAsia="宋体" w:cs="Times New Roman"/>
                <w:sz w:val="21"/>
                <w:szCs w:val="21"/>
                <w:highlight w:val="none"/>
                <w:lang w:val="en-US" w:eastAsia="zh-CN"/>
              </w:rPr>
              <w:t>进行打分。</w:t>
            </w:r>
          </w:p>
        </w:tc>
        <w:tc>
          <w:tcPr>
            <w:tcW w:w="637" w:type="dxa"/>
            <w:noWrap/>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0-2</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vMerge w:val="continue"/>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21"/>
                <w:szCs w:val="21"/>
                <w:highlight w:val="none"/>
                <w:lang w:val="en-US" w:eastAsia="zh-CN"/>
              </w:rPr>
            </w:pPr>
          </w:p>
        </w:tc>
        <w:tc>
          <w:tcPr>
            <w:tcW w:w="1119" w:type="dxa"/>
            <w:vMerge w:val="continue"/>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6734" w:type="dxa"/>
            <w:noWrap/>
            <w:vAlign w:val="center"/>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对提供的</w:t>
            </w:r>
            <w:r>
              <w:rPr>
                <w:rFonts w:hint="default" w:ascii="Times New Roman" w:hAnsi="Times New Roman" w:eastAsia="宋体" w:cs="Times New Roman"/>
                <w:sz w:val="21"/>
                <w:szCs w:val="21"/>
                <w:highlight w:val="none"/>
              </w:rPr>
              <w:t>针对此项目投标产品</w:t>
            </w:r>
            <w:r>
              <w:rPr>
                <w:rFonts w:hint="default" w:ascii="Times New Roman" w:hAnsi="Times New Roman" w:eastAsia="宋体" w:cs="Times New Roman"/>
                <w:sz w:val="21"/>
                <w:szCs w:val="21"/>
                <w:highlight w:val="none"/>
                <w:lang w:val="en-US" w:eastAsia="zh-CN"/>
              </w:rPr>
              <w:t>的培训整体计划，具体</w:t>
            </w:r>
            <w:r>
              <w:rPr>
                <w:rFonts w:hint="default" w:ascii="Times New Roman" w:hAnsi="Times New Roman" w:eastAsia="宋体" w:cs="Times New Roman"/>
                <w:sz w:val="21"/>
                <w:szCs w:val="21"/>
                <w:highlight w:val="none"/>
              </w:rPr>
              <w:t>时间，地点，</w:t>
            </w:r>
            <w:r>
              <w:rPr>
                <w:rFonts w:hint="default" w:ascii="Times New Roman" w:hAnsi="Times New Roman" w:eastAsia="宋体" w:cs="Times New Roman"/>
                <w:sz w:val="21"/>
                <w:szCs w:val="21"/>
                <w:highlight w:val="none"/>
                <w:lang w:val="en-US" w:eastAsia="zh-CN"/>
              </w:rPr>
              <w:t>人员，方式安排</w:t>
            </w:r>
            <w:r>
              <w:rPr>
                <w:rFonts w:hint="default" w:ascii="Times New Roman" w:hAnsi="Times New Roman" w:eastAsia="宋体" w:cs="Times New Roman"/>
                <w:sz w:val="21"/>
                <w:szCs w:val="21"/>
                <w:highlight w:val="none"/>
              </w:rPr>
              <w:t>等情况</w:t>
            </w:r>
            <w:r>
              <w:rPr>
                <w:rFonts w:hint="default" w:ascii="Times New Roman" w:hAnsi="Times New Roman" w:eastAsia="宋体" w:cs="Times New Roman"/>
                <w:sz w:val="21"/>
                <w:szCs w:val="21"/>
                <w:highlight w:val="none"/>
                <w:lang w:val="en-US" w:eastAsia="zh-CN"/>
              </w:rPr>
              <w:t>进行打分</w:t>
            </w:r>
            <w:r>
              <w:rPr>
                <w:rFonts w:hint="default" w:ascii="Times New Roman" w:hAnsi="Times New Roman" w:eastAsia="宋体" w:cs="Times New Roman"/>
                <w:sz w:val="21"/>
                <w:szCs w:val="21"/>
                <w:highlight w:val="none"/>
                <w:lang w:eastAsia="zh-CN"/>
              </w:rPr>
              <w:t>。</w:t>
            </w:r>
          </w:p>
        </w:tc>
        <w:tc>
          <w:tcPr>
            <w:tcW w:w="637" w:type="dxa"/>
            <w:noWrap/>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0-</w:t>
            </w:r>
            <w:r>
              <w:rPr>
                <w:rFonts w:hint="default" w:ascii="Times New Roman" w:hAnsi="Times New Roman" w:eastAsia="宋体" w:cs="Times New Roman"/>
                <w:kern w:val="0"/>
                <w:sz w:val="21"/>
                <w:szCs w:val="21"/>
                <w:highlight w:val="none"/>
                <w:lang w:val="en-US" w:eastAsia="zh-CN"/>
              </w:rPr>
              <w:t>1</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5</w:t>
            </w:r>
          </w:p>
        </w:tc>
        <w:tc>
          <w:tcPr>
            <w:tcW w:w="1119" w:type="dxa"/>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售后服务</w:t>
            </w:r>
          </w:p>
        </w:tc>
        <w:tc>
          <w:tcPr>
            <w:tcW w:w="6734" w:type="dxa"/>
            <w:noWrap/>
            <w:vAlign w:val="center"/>
          </w:tcPr>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rPr>
              <w:t>对提供的售后服务的响应情况（维修网点、维修能力、定期巡检、故障响应等）等方面由评委进行打分</w:t>
            </w:r>
            <w:r>
              <w:rPr>
                <w:rFonts w:hint="default" w:ascii="Times New Roman" w:hAnsi="Times New Roman" w:eastAsia="宋体" w:cs="Times New Roman"/>
                <w:color w:val="000000"/>
                <w:sz w:val="21"/>
                <w:szCs w:val="21"/>
                <w:highlight w:val="none"/>
                <w:lang w:eastAsia="zh-CN"/>
              </w:rPr>
              <w:t>。</w:t>
            </w:r>
          </w:p>
        </w:tc>
        <w:tc>
          <w:tcPr>
            <w:tcW w:w="63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0-3</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vMerge w:val="restart"/>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6</w:t>
            </w:r>
          </w:p>
        </w:tc>
        <w:tc>
          <w:tcPr>
            <w:tcW w:w="1119" w:type="dxa"/>
            <w:vMerge w:val="restart"/>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sz w:val="21"/>
                <w:szCs w:val="21"/>
                <w:highlight w:val="none"/>
                <w:lang w:eastAsia="zh-CN"/>
              </w:rPr>
              <w:t>技术人员</w:t>
            </w:r>
          </w:p>
        </w:tc>
        <w:tc>
          <w:tcPr>
            <w:tcW w:w="6734" w:type="dxa"/>
            <w:noWrap/>
            <w:vAlign w:val="center"/>
          </w:tcPr>
          <w:p>
            <w:pPr>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rPr>
              <w:t>项目负责人</w:t>
            </w:r>
            <w:r>
              <w:rPr>
                <w:rFonts w:hint="default" w:ascii="Times New Roman" w:hAnsi="Times New Roman" w:eastAsia="宋体" w:cs="Times New Roman"/>
                <w:sz w:val="21"/>
                <w:szCs w:val="21"/>
                <w:highlight w:val="none"/>
                <w:lang w:val="en-US" w:eastAsia="zh-CN"/>
              </w:rPr>
              <w:t>及</w:t>
            </w:r>
            <w:r>
              <w:rPr>
                <w:rFonts w:hint="default" w:ascii="Times New Roman" w:hAnsi="Times New Roman" w:eastAsia="宋体" w:cs="Times New Roman"/>
                <w:sz w:val="21"/>
                <w:szCs w:val="21"/>
                <w:highlight w:val="none"/>
              </w:rPr>
              <w:t>实施人员专业人员</w:t>
            </w:r>
            <w:r>
              <w:rPr>
                <w:rFonts w:hint="default" w:ascii="Times New Roman" w:hAnsi="Times New Roman" w:eastAsia="宋体" w:cs="Times New Roman"/>
                <w:sz w:val="21"/>
                <w:szCs w:val="21"/>
                <w:highlight w:val="none"/>
                <w:lang w:val="en-US" w:eastAsia="zh-CN"/>
              </w:rPr>
              <w:t>的综合</w:t>
            </w:r>
            <w:r>
              <w:rPr>
                <w:rFonts w:hint="default" w:ascii="Times New Roman" w:hAnsi="Times New Roman" w:eastAsia="宋体" w:cs="Times New Roman"/>
                <w:sz w:val="21"/>
                <w:szCs w:val="21"/>
                <w:highlight w:val="none"/>
              </w:rPr>
              <w:t>素质、技术能力、专业分布、</w:t>
            </w:r>
            <w:r>
              <w:rPr>
                <w:rFonts w:hint="default" w:ascii="Times New Roman" w:hAnsi="Times New Roman" w:eastAsia="宋体" w:cs="Times New Roman"/>
                <w:sz w:val="21"/>
                <w:szCs w:val="21"/>
                <w:highlight w:val="none"/>
                <w:lang w:val="en-US" w:eastAsia="zh-CN"/>
              </w:rPr>
              <w:t>以往</w:t>
            </w:r>
            <w:r>
              <w:rPr>
                <w:rFonts w:hint="default" w:ascii="Times New Roman" w:hAnsi="Times New Roman" w:eastAsia="宋体" w:cs="Times New Roman"/>
                <w:sz w:val="21"/>
                <w:szCs w:val="21"/>
                <w:highlight w:val="none"/>
              </w:rPr>
              <w:t>经验等情况</w:t>
            </w:r>
            <w:r>
              <w:rPr>
                <w:rFonts w:hint="default" w:ascii="Times New Roman" w:hAnsi="Times New Roman" w:eastAsia="宋体" w:cs="Times New Roman"/>
                <w:sz w:val="21"/>
                <w:szCs w:val="21"/>
                <w:highlight w:val="none"/>
                <w:lang w:val="en-US" w:eastAsia="zh-CN"/>
              </w:rPr>
              <w:t>进行打分。</w:t>
            </w:r>
          </w:p>
        </w:tc>
        <w:tc>
          <w:tcPr>
            <w:tcW w:w="637" w:type="dxa"/>
            <w:noWrap/>
            <w:vAlign w:val="center"/>
          </w:tcPr>
          <w:p>
            <w:pPr>
              <w:pStyle w:val="31"/>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vMerge w:val="continue"/>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21"/>
                <w:szCs w:val="21"/>
                <w:highlight w:val="none"/>
                <w:lang w:val="en-US" w:eastAsia="zh-CN"/>
              </w:rPr>
            </w:pPr>
          </w:p>
        </w:tc>
        <w:tc>
          <w:tcPr>
            <w:tcW w:w="1119" w:type="dxa"/>
            <w:vMerge w:val="continue"/>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p>
        </w:tc>
        <w:tc>
          <w:tcPr>
            <w:tcW w:w="6734" w:type="dxa"/>
            <w:noWrap/>
            <w:vAlign w:val="center"/>
          </w:tcPr>
          <w:p>
            <w:pPr>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对</w:t>
            </w:r>
            <w:r>
              <w:rPr>
                <w:rFonts w:hint="default" w:ascii="Times New Roman" w:hAnsi="Times New Roman" w:eastAsia="宋体" w:cs="Times New Roman"/>
                <w:color w:val="000000"/>
                <w:sz w:val="21"/>
                <w:szCs w:val="21"/>
                <w:highlight w:val="none"/>
              </w:rPr>
              <w:t>售后服务机构技术服务人员情况，提供姓名、工作经验、资质证书情况等</w:t>
            </w:r>
            <w:r>
              <w:rPr>
                <w:rFonts w:hint="default" w:ascii="Times New Roman" w:hAnsi="Times New Roman" w:eastAsia="宋体" w:cs="Times New Roman"/>
                <w:color w:val="000000"/>
                <w:sz w:val="21"/>
                <w:szCs w:val="21"/>
                <w:highlight w:val="none"/>
                <w:lang w:val="en-US" w:eastAsia="zh-CN"/>
              </w:rPr>
              <w:t>进行打分</w:t>
            </w:r>
            <w:r>
              <w:rPr>
                <w:rFonts w:hint="default" w:ascii="Times New Roman" w:hAnsi="Times New Roman" w:eastAsia="宋体" w:cs="Times New Roman"/>
                <w:color w:val="000000"/>
                <w:sz w:val="21"/>
                <w:szCs w:val="21"/>
                <w:highlight w:val="none"/>
                <w:lang w:eastAsia="zh-CN"/>
              </w:rPr>
              <w:t>。</w:t>
            </w:r>
          </w:p>
        </w:tc>
        <w:tc>
          <w:tcPr>
            <w:tcW w:w="637" w:type="dxa"/>
            <w:noWrap/>
            <w:vAlign w:val="center"/>
          </w:tcPr>
          <w:p>
            <w:pPr>
              <w:pStyle w:val="31"/>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0-3</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7</w:t>
            </w:r>
          </w:p>
        </w:tc>
        <w:tc>
          <w:tcPr>
            <w:tcW w:w="1119" w:type="dxa"/>
            <w:noWrap/>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质保期</w:t>
            </w:r>
          </w:p>
        </w:tc>
        <w:tc>
          <w:tcPr>
            <w:tcW w:w="6734" w:type="dxa"/>
            <w:noWrap/>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sz w:val="21"/>
                <w:szCs w:val="21"/>
                <w:highlight w:val="none"/>
              </w:rPr>
              <w:t>免费质保期满足采购文件质保期要求，每延长一年免费质保期加</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color w:val="000000"/>
                <w:sz w:val="21"/>
                <w:szCs w:val="21"/>
                <w:highlight w:val="none"/>
              </w:rPr>
              <w:t>分，最高</w:t>
            </w:r>
            <w:r>
              <w:rPr>
                <w:rFonts w:hint="default"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分。</w:t>
            </w:r>
            <w:r>
              <w:rPr>
                <w:rFonts w:hint="default" w:ascii="Times New Roman" w:hAnsi="Times New Roman" w:eastAsia="宋体" w:cs="Times New Roman"/>
                <w:color w:val="000000"/>
                <w:sz w:val="21"/>
                <w:szCs w:val="21"/>
                <w:highlight w:val="none"/>
                <w:lang w:eastAsia="zh-CN"/>
              </w:rPr>
              <w:t>（投标文件商务技术响应文件中承诺中标签订合同</w:t>
            </w:r>
            <w:r>
              <w:rPr>
                <w:rFonts w:hint="eastAsia" w:ascii="Times New Roman" w:hAnsi="Times New Roman" w:eastAsia="宋体" w:cs="Times New Roman"/>
                <w:color w:val="000000"/>
                <w:sz w:val="21"/>
                <w:szCs w:val="21"/>
                <w:highlight w:val="none"/>
                <w:lang w:eastAsia="zh-CN"/>
              </w:rPr>
              <w:t>后</w:t>
            </w:r>
            <w:r>
              <w:rPr>
                <w:rFonts w:hint="default" w:ascii="Times New Roman" w:hAnsi="Times New Roman" w:eastAsia="宋体" w:cs="Times New Roman"/>
                <w:color w:val="000000"/>
                <w:sz w:val="21"/>
                <w:szCs w:val="21"/>
                <w:highlight w:val="none"/>
                <w:lang w:val="en-US" w:eastAsia="zh-CN"/>
              </w:rPr>
              <w:t>提供原厂</w:t>
            </w:r>
            <w:r>
              <w:rPr>
                <w:rFonts w:hint="default" w:ascii="Times New Roman" w:hAnsi="Times New Roman" w:eastAsia="宋体" w:cs="Times New Roman"/>
                <w:color w:val="000000"/>
                <w:sz w:val="21"/>
                <w:szCs w:val="21"/>
                <w:highlight w:val="none"/>
                <w:lang w:eastAsia="zh-CN"/>
              </w:rPr>
              <w:t>质保期承诺并加盖</w:t>
            </w:r>
            <w:r>
              <w:rPr>
                <w:rFonts w:hint="eastAsia" w:cs="Times New Roman"/>
                <w:color w:val="000000"/>
                <w:sz w:val="21"/>
                <w:szCs w:val="21"/>
                <w:highlight w:val="none"/>
                <w:lang w:eastAsia="zh-CN"/>
              </w:rPr>
              <w:t>投标单位</w:t>
            </w:r>
            <w:r>
              <w:rPr>
                <w:rFonts w:hint="default" w:ascii="Times New Roman" w:hAnsi="Times New Roman" w:eastAsia="宋体" w:cs="Times New Roman"/>
                <w:color w:val="000000"/>
                <w:sz w:val="21"/>
                <w:szCs w:val="21"/>
                <w:highlight w:val="none"/>
                <w:lang w:eastAsia="zh-CN"/>
              </w:rPr>
              <w:t>电子签章，不提供不得分</w:t>
            </w:r>
            <w:r>
              <w:rPr>
                <w:rFonts w:hint="default" w:ascii="Times New Roman" w:hAnsi="Times New Roman" w:eastAsia="宋体" w:cs="Times New Roman"/>
                <w:sz w:val="21"/>
                <w:szCs w:val="21"/>
                <w:highlight w:val="none"/>
                <w:lang w:eastAsia="zh-CN"/>
              </w:rPr>
              <w:t>）</w:t>
            </w:r>
          </w:p>
        </w:tc>
        <w:tc>
          <w:tcPr>
            <w:tcW w:w="637" w:type="dxa"/>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0-2</w:t>
            </w:r>
          </w:p>
        </w:tc>
        <w:tc>
          <w:tcPr>
            <w:tcW w:w="687"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二</w:t>
            </w:r>
          </w:p>
        </w:tc>
        <w:tc>
          <w:tcPr>
            <w:tcW w:w="1119"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报价分</w:t>
            </w:r>
          </w:p>
        </w:tc>
        <w:tc>
          <w:tcPr>
            <w:tcW w:w="6734" w:type="dxa"/>
            <w:noWra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1、报价得分分为两部分，第一部分为设备报价得分，总分35分，</w:t>
            </w:r>
            <w:r>
              <w:rPr>
                <w:rFonts w:hint="default" w:ascii="Times New Roman" w:hAnsi="Times New Roman" w:eastAsia="宋体" w:cs="Times New Roman"/>
                <w:color w:val="000000"/>
                <w:sz w:val="21"/>
                <w:szCs w:val="21"/>
                <w:highlight w:val="none"/>
                <w:lang w:val="en-US" w:eastAsia="zh-CN"/>
              </w:rPr>
              <w:t>以符合招标文件要求且</w:t>
            </w:r>
            <w:r>
              <w:rPr>
                <w:rFonts w:hint="eastAsia" w:ascii="Times New Roman" w:hAnsi="Times New Roman" w:eastAsia="宋体" w:cs="Times New Roman"/>
                <w:color w:val="000000"/>
                <w:sz w:val="21"/>
                <w:szCs w:val="21"/>
                <w:highlight w:val="none"/>
                <w:lang w:val="en-US" w:eastAsia="zh-CN"/>
              </w:rPr>
              <w:t>设备投标报价最低的设备投标报价为设备报价评标基准价；第二部分为试剂耗材结算率得分，总分5分，</w:t>
            </w:r>
            <w:r>
              <w:rPr>
                <w:rFonts w:hint="default" w:ascii="Times New Roman" w:hAnsi="Times New Roman" w:eastAsia="宋体" w:cs="Times New Roman"/>
                <w:color w:val="000000"/>
                <w:sz w:val="21"/>
                <w:szCs w:val="21"/>
                <w:highlight w:val="none"/>
                <w:lang w:val="en-US" w:eastAsia="zh-CN"/>
              </w:rPr>
              <w:t>以符合招标文件要求且</w:t>
            </w:r>
            <w:r>
              <w:rPr>
                <w:rFonts w:hint="eastAsia" w:ascii="Times New Roman" w:hAnsi="Times New Roman" w:eastAsia="宋体" w:cs="Times New Roman"/>
                <w:color w:val="000000"/>
                <w:sz w:val="21"/>
                <w:szCs w:val="21"/>
                <w:highlight w:val="none"/>
                <w:lang w:val="en-US" w:eastAsia="zh-CN"/>
              </w:rPr>
              <w:t>耗材结算率最低的耗材结算率为耗材结算率评标基准价。两部分相加得分为报价总得分。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2、报价得分计算。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报价得分=（设备报价评标基准价/设备投标报价）×35+（耗材结算率评标基准价/耗材结算率）×5，保留小数2位</w:t>
            </w:r>
            <w:r>
              <w:rPr>
                <w:rFonts w:hint="default" w:ascii="Times New Roman" w:hAnsi="Times New Roman" w:eastAsia="宋体" w:cs="Times New Roman"/>
                <w:color w:val="000000"/>
                <w:sz w:val="21"/>
                <w:szCs w:val="21"/>
                <w:highlight w:val="none"/>
                <w:lang w:val="en-US" w:eastAsia="zh-CN"/>
              </w:rPr>
              <w:t>（第三位小数四舍五入）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trike/>
                <w:sz w:val="21"/>
                <w:szCs w:val="21"/>
                <w:highlight w:val="none"/>
              </w:rPr>
            </w:pPr>
            <w:r>
              <w:rPr>
                <w:rFonts w:hint="default" w:ascii="Times New Roman" w:hAnsi="Times New Roman" w:eastAsia="宋体" w:cs="Times New Roman"/>
                <w:color w:val="000000"/>
                <w:sz w:val="21"/>
                <w:szCs w:val="21"/>
                <w:highlight w:val="none"/>
                <w:lang w:val="en-US" w:eastAsia="zh-CN"/>
              </w:rPr>
              <w:t>（注：对于小型和微型企业产品的价格给予20%的扣除，对于符合条件的联合体的报价给予6%的扣除，用扣除后的价格参加评审，是否给予价格扣除按第二章投标须知7.2条要求认定。）</w:t>
            </w:r>
          </w:p>
        </w:tc>
        <w:tc>
          <w:tcPr>
            <w:tcW w:w="1324" w:type="dxa"/>
            <w:gridSpan w:val="2"/>
            <w:noWrap/>
            <w:vAlign w:val="center"/>
          </w:tcPr>
          <w:p>
            <w:pPr>
              <w:jc w:val="center"/>
              <w:rPr>
                <w:rFonts w:hint="default" w:ascii="Times New Roman" w:hAnsi="Times New Roman" w:eastAsia="宋体" w:cs="Times New Roman"/>
                <w:bCs/>
                <w:sz w:val="21"/>
                <w:szCs w:val="21"/>
                <w:highlight w:val="none"/>
              </w:rPr>
            </w:pPr>
            <w:r>
              <w:rPr>
                <w:rFonts w:hint="eastAsia" w:ascii="Times New Roman" w:hAnsi="Times New Roman" w:eastAsia="宋体" w:cs="Times New Roman"/>
                <w:bCs/>
                <w:sz w:val="21"/>
                <w:szCs w:val="21"/>
                <w:highlight w:val="none"/>
                <w:lang w:val="en-US" w:eastAsia="zh-CN"/>
              </w:rPr>
              <w:t>40</w:t>
            </w:r>
            <w:r>
              <w:rPr>
                <w:rFonts w:hint="default" w:ascii="Times New Roman" w:hAnsi="Times New Roman" w:eastAsia="宋体" w:cs="Times New Roman"/>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7" w:type="dxa"/>
            <w:noWrap/>
            <w:vAlign w:val="center"/>
          </w:tcPr>
          <w:p>
            <w:pPr>
              <w:ind w:firstLine="105" w:firstLineChars="5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三</w:t>
            </w:r>
          </w:p>
        </w:tc>
        <w:tc>
          <w:tcPr>
            <w:tcW w:w="1119" w:type="dxa"/>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综合得分</w:t>
            </w:r>
          </w:p>
        </w:tc>
        <w:tc>
          <w:tcPr>
            <w:tcW w:w="6734" w:type="dxa"/>
            <w:noWrap/>
            <w:vAlign w:val="center"/>
          </w:tcPr>
          <w:p>
            <w:pP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投标单位综合得分=商务技术分+报价分</w:t>
            </w:r>
          </w:p>
        </w:tc>
        <w:tc>
          <w:tcPr>
            <w:tcW w:w="1324" w:type="dxa"/>
            <w:gridSpan w:val="2"/>
            <w:noWrap/>
            <w:vAlign w:val="center"/>
          </w:tcPr>
          <w:p>
            <w:pPr>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100分</w:t>
            </w:r>
          </w:p>
        </w:tc>
      </w:tr>
      <w:bookmarkEnd w:id="105"/>
    </w:tbl>
    <w:p>
      <w:pPr>
        <w:rPr>
          <w:rFonts w:hint="default" w:ascii="Times New Roman" w:hAnsi="Times New Roman" w:eastAsia="宋体" w:cs="Times New Roman"/>
          <w:sz w:val="36"/>
        </w:rPr>
      </w:pPr>
      <w:bookmarkStart w:id="99" w:name="_Toc23182"/>
      <w:bookmarkStart w:id="100" w:name="_Toc26103"/>
    </w:p>
    <w:p>
      <w:pPr>
        <w:rPr>
          <w:rFonts w:hint="default" w:ascii="Times New Roman" w:hAnsi="Times New Roman" w:eastAsia="宋体" w:cs="Times New Roman"/>
          <w:sz w:val="36"/>
        </w:rPr>
      </w:pPr>
    </w:p>
    <w:p>
      <w:pPr>
        <w:rPr>
          <w:rFonts w:hint="default" w:ascii="Times New Roman" w:hAnsi="Times New Roman" w:eastAsia="宋体" w:cs="Times New Roman"/>
          <w:sz w:val="36"/>
        </w:rPr>
      </w:pPr>
    </w:p>
    <w:p>
      <w:pPr>
        <w:pStyle w:val="5"/>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36"/>
        </w:rPr>
        <w:t>第七章 义乌市政府采购合同（样本）</w:t>
      </w:r>
      <w:bookmarkEnd w:id="99"/>
      <w:bookmarkEnd w:id="100"/>
    </w:p>
    <w:p>
      <w:pPr>
        <w:spacing w:line="400" w:lineRule="exact"/>
        <w:ind w:firstLine="480" w:firstLineChars="200"/>
        <w:rPr>
          <w:rFonts w:hint="default" w:ascii="Times New Roman" w:hAnsi="Times New Roman" w:eastAsia="宋体" w:cs="Times New Roman"/>
          <w:u w:val="single"/>
        </w:rPr>
      </w:pPr>
      <w:r>
        <w:rPr>
          <w:rFonts w:hint="default" w:ascii="Times New Roman" w:hAnsi="Times New Roman" w:eastAsia="宋体" w:cs="Times New Roman"/>
        </w:rPr>
        <w:t>需方：</w:t>
      </w:r>
    </w:p>
    <w:p>
      <w:pPr>
        <w:spacing w:line="400" w:lineRule="exact"/>
        <w:ind w:firstLine="480" w:firstLineChars="200"/>
        <w:rPr>
          <w:rFonts w:hint="default" w:ascii="Times New Roman" w:hAnsi="Times New Roman" w:eastAsia="宋体" w:cs="Times New Roman"/>
          <w:u w:val="single"/>
        </w:rPr>
      </w:pPr>
      <w:r>
        <w:rPr>
          <w:rFonts w:hint="default" w:ascii="Times New Roman" w:hAnsi="Times New Roman" w:eastAsia="宋体" w:cs="Times New Roman"/>
        </w:rPr>
        <w:t>供方：</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rPr>
        <w:t>供</w:t>
      </w:r>
      <w:r>
        <w:rPr>
          <w:rFonts w:hint="default" w:ascii="Times New Roman" w:hAnsi="Times New Roman" w:eastAsia="宋体" w:cs="Times New Roman"/>
          <w:highlight w:val="none"/>
        </w:rPr>
        <w:t>、需双方根据202</w:t>
      </w: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rPr>
        <w:t>年  月  日</w:t>
      </w:r>
      <w:r>
        <w:rPr>
          <w:rFonts w:hint="default" w:ascii="Times New Roman" w:hAnsi="Times New Roman" w:eastAsia="宋体" w:cs="Times New Roman"/>
          <w:color w:val="FF0000"/>
          <w:kern w:val="21"/>
          <w:highlight w:val="none"/>
          <w:u w:val="single"/>
        </w:rPr>
        <w:t>浙江大学医学院附属第四医院超高效液相色谱-串联质谱系统（含分拣系统）项目</w:t>
      </w:r>
      <w:r>
        <w:rPr>
          <w:rFonts w:hint="default" w:ascii="Times New Roman" w:hAnsi="Times New Roman" w:eastAsia="宋体" w:cs="Times New Roman"/>
          <w:color w:val="FF0000"/>
          <w:kern w:val="21"/>
          <w:highlight w:val="none"/>
        </w:rPr>
        <w:t>（招标编号：</w:t>
      </w:r>
      <w:r>
        <w:rPr>
          <w:rFonts w:hint="default" w:ascii="Times New Roman" w:hAnsi="Times New Roman" w:eastAsia="宋体" w:cs="Times New Roman"/>
          <w:color w:val="FF0000"/>
          <w:kern w:val="21"/>
          <w:highlight w:val="none"/>
          <w:u w:val="single"/>
        </w:rPr>
        <w:t>YWCG2023018GK</w:t>
      </w:r>
      <w:r>
        <w:rPr>
          <w:rFonts w:hint="default" w:ascii="Times New Roman" w:hAnsi="Times New Roman" w:eastAsia="宋体" w:cs="Times New Roman"/>
          <w:color w:val="FF0000"/>
          <w:kern w:val="21"/>
          <w:highlight w:val="none"/>
        </w:rPr>
        <w:t>）</w:t>
      </w:r>
      <w:r>
        <w:rPr>
          <w:rFonts w:hint="default" w:ascii="Times New Roman" w:hAnsi="Times New Roman" w:eastAsia="宋体" w:cs="Times New Roman"/>
          <w:highlight w:val="none"/>
        </w:rPr>
        <w:t>项目中标结果和投标文件的要求，依据《中华人民共和国民法典》并经双方协调一致，订立本采购合同。本合同（□是 □否）为可融资合同。</w:t>
      </w:r>
    </w:p>
    <w:p>
      <w:pPr>
        <w:spacing w:line="400" w:lineRule="exact"/>
        <w:ind w:firstLine="482" w:firstLineChars="200"/>
        <w:rPr>
          <w:rFonts w:hint="default" w:ascii="Times New Roman" w:hAnsi="Times New Roman" w:eastAsia="宋体" w:cs="Times New Roman"/>
        </w:rPr>
      </w:pPr>
      <w:r>
        <w:rPr>
          <w:rFonts w:hint="default" w:ascii="Times New Roman" w:hAnsi="Times New Roman" w:eastAsia="宋体" w:cs="Times New Roman"/>
          <w:b/>
          <w:highlight w:val="none"/>
        </w:rPr>
        <w:t>一、合同文件组成：</w:t>
      </w:r>
      <w:r>
        <w:rPr>
          <w:rFonts w:hint="default" w:ascii="Times New Roman" w:hAnsi="Times New Roman" w:eastAsia="宋体" w:cs="Times New Roman"/>
          <w:highlight w:val="none"/>
        </w:rPr>
        <w:t>招标文件及其补充更正文件、询标承诺、询疑答复、投标响应文件、双方来函。合同文件组成的所有内容是构成合</w:t>
      </w:r>
      <w:r>
        <w:rPr>
          <w:rFonts w:hint="default" w:ascii="Times New Roman" w:hAnsi="Times New Roman" w:eastAsia="宋体" w:cs="Times New Roman"/>
        </w:rPr>
        <w:t>同不可分割的部分，与合同具有同等法律效力。</w:t>
      </w:r>
    </w:p>
    <w:p>
      <w:pPr>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二、合同金额</w:t>
      </w:r>
    </w:p>
    <w:p>
      <w:pPr>
        <w:pStyle w:val="31"/>
        <w:spacing w:line="440" w:lineRule="exact"/>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合同金额:</w:t>
      </w:r>
      <w:r>
        <w:rPr>
          <w:rFonts w:hint="default" w:ascii="Times New Roman" w:hAnsi="Times New Roman" w:eastAsia="宋体" w:cs="Times New Roman"/>
          <w:kern w:val="0"/>
          <w:sz w:val="24"/>
        </w:rPr>
        <w:t>________________</w:t>
      </w:r>
      <w:r>
        <w:rPr>
          <w:rFonts w:hint="default" w:ascii="Times New Roman" w:hAnsi="Times New Roman" w:eastAsia="宋体" w:cs="Times New Roman"/>
          <w:sz w:val="24"/>
        </w:rPr>
        <w:t>（价款以人民币进行结算，大写）。合同价款中包括___________________</w:t>
      </w:r>
      <w:r>
        <w:rPr>
          <w:rFonts w:hint="default" w:ascii="Times New Roman" w:hAnsi="Times New Roman" w:eastAsia="宋体" w:cs="Times New Roman"/>
          <w:sz w:val="24"/>
          <w:szCs w:val="24"/>
        </w:rPr>
        <w:t>等所有费用。</w:t>
      </w:r>
    </w:p>
    <w:p>
      <w:pPr>
        <w:spacing w:line="400" w:lineRule="exact"/>
        <w:ind w:firstLine="480" w:firstLineChars="200"/>
        <w:jc w:val="right"/>
        <w:rPr>
          <w:rFonts w:hint="default" w:ascii="Times New Roman" w:hAnsi="Times New Roman" w:eastAsia="宋体" w:cs="Times New Roman"/>
        </w:rPr>
      </w:pPr>
      <w:r>
        <w:rPr>
          <w:rFonts w:hint="default" w:ascii="Times New Roman" w:hAnsi="Times New Roman" w:eastAsia="宋体" w:cs="Times New Roman"/>
        </w:rPr>
        <w:t>单位：人民币元</w:t>
      </w:r>
    </w:p>
    <w:tbl>
      <w:tblPr>
        <w:tblStyle w:val="60"/>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649"/>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050"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3649"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采购项目</w:t>
            </w:r>
          </w:p>
        </w:tc>
        <w:tc>
          <w:tcPr>
            <w:tcW w:w="1741"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数量</w:t>
            </w:r>
          </w:p>
        </w:tc>
        <w:tc>
          <w:tcPr>
            <w:tcW w:w="967" w:type="dxa"/>
            <w:vAlign w:val="center"/>
          </w:tcPr>
          <w:p>
            <w:pPr>
              <w:spacing w:line="400" w:lineRule="exact"/>
              <w:jc w:val="center"/>
              <w:rPr>
                <w:rFonts w:hint="default" w:ascii="Times New Roman" w:hAnsi="Times New Roman" w:eastAsia="宋体" w:cs="Times New Roman"/>
              </w:rPr>
            </w:pPr>
            <w:r>
              <w:rPr>
                <w:rFonts w:hint="default" w:ascii="Times New Roman" w:hAnsi="Times New Roman" w:eastAsia="宋体" w:cs="Times New Roman"/>
              </w:rPr>
              <w:t>单价</w:t>
            </w:r>
          </w:p>
        </w:tc>
        <w:tc>
          <w:tcPr>
            <w:tcW w:w="1741" w:type="dxa"/>
            <w:vAlign w:val="center"/>
          </w:tcPr>
          <w:p>
            <w:pPr>
              <w:spacing w:line="400" w:lineRule="exact"/>
              <w:ind w:firstLine="480" w:firstLineChars="200"/>
              <w:jc w:val="center"/>
              <w:rPr>
                <w:rFonts w:hint="default" w:ascii="Times New Roman" w:hAnsi="Times New Roman" w:eastAsia="宋体" w:cs="Times New Roman"/>
              </w:rPr>
            </w:pPr>
            <w:r>
              <w:rPr>
                <w:rFonts w:hint="default" w:ascii="Times New Roman" w:hAnsi="Times New Roman" w:eastAsia="宋体" w:cs="Times New Roma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649"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3649"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3649"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649"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1741" w:type="dxa"/>
            <w:vAlign w:val="center"/>
          </w:tcPr>
          <w:p>
            <w:pPr>
              <w:pStyle w:val="31"/>
              <w:adjustRightInd w:val="0"/>
              <w:snapToGrid w:val="0"/>
              <w:spacing w:line="400" w:lineRule="exact"/>
              <w:jc w:val="center"/>
              <w:rPr>
                <w:rFonts w:hint="default" w:ascii="Times New Roman" w:hAnsi="Times New Roman" w:eastAsia="宋体" w:cs="Times New Roman"/>
                <w:sz w:val="24"/>
                <w:szCs w:val="24"/>
                <w:highlight w:val="yellow"/>
              </w:rPr>
            </w:pPr>
          </w:p>
        </w:tc>
        <w:tc>
          <w:tcPr>
            <w:tcW w:w="967" w:type="dxa"/>
            <w:vAlign w:val="center"/>
          </w:tcPr>
          <w:p>
            <w:pPr>
              <w:spacing w:line="400" w:lineRule="exact"/>
              <w:ind w:firstLine="480" w:firstLineChars="200"/>
              <w:jc w:val="center"/>
              <w:rPr>
                <w:rFonts w:hint="default" w:ascii="Times New Roman" w:hAnsi="Times New Roman" w:eastAsia="宋体" w:cs="Times New Roman"/>
              </w:rPr>
            </w:pPr>
          </w:p>
        </w:tc>
        <w:tc>
          <w:tcPr>
            <w:tcW w:w="1741" w:type="dxa"/>
          </w:tcPr>
          <w:p>
            <w:pPr>
              <w:spacing w:line="400" w:lineRule="exact"/>
              <w:ind w:firstLine="48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50" w:type="dxa"/>
            <w:vAlign w:val="center"/>
          </w:tcPr>
          <w:p>
            <w:pPr>
              <w:spacing w:line="400" w:lineRule="exact"/>
              <w:rPr>
                <w:rFonts w:hint="default" w:ascii="Times New Roman" w:hAnsi="Times New Roman" w:eastAsia="宋体" w:cs="Times New Roman"/>
              </w:rPr>
            </w:pPr>
            <w:r>
              <w:rPr>
                <w:rFonts w:hint="default" w:ascii="Times New Roman" w:hAnsi="Times New Roman" w:eastAsia="宋体" w:cs="Times New Roman"/>
              </w:rPr>
              <w:t>合计</w:t>
            </w:r>
          </w:p>
        </w:tc>
        <w:tc>
          <w:tcPr>
            <w:tcW w:w="8098" w:type="dxa"/>
            <w:gridSpan w:val="4"/>
            <w:vAlign w:val="center"/>
          </w:tcPr>
          <w:p>
            <w:pPr>
              <w:spacing w:line="400" w:lineRule="exact"/>
              <w:ind w:firstLine="480" w:firstLineChars="200"/>
              <w:rPr>
                <w:rFonts w:hint="default" w:ascii="Times New Roman" w:hAnsi="Times New Roman" w:eastAsia="宋体" w:cs="Times New Roman"/>
                <w:u w:val="single"/>
              </w:rPr>
            </w:pPr>
            <w:r>
              <w:rPr>
                <w:rFonts w:hint="default" w:ascii="Times New Roman" w:hAnsi="Times New Roman" w:eastAsia="宋体" w:cs="Times New Roman"/>
              </w:rPr>
              <w:t>￥：</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大写：</w:t>
            </w:r>
          </w:p>
        </w:tc>
      </w:tr>
    </w:tbl>
    <w:p>
      <w:pPr>
        <w:spacing w:line="400" w:lineRule="exact"/>
        <w:ind w:firstLine="482" w:firstLineChars="200"/>
        <w:rPr>
          <w:rFonts w:hint="default" w:ascii="Times New Roman" w:hAnsi="Times New Roman" w:eastAsia="宋体" w:cs="Times New Roman"/>
          <w:b/>
        </w:rPr>
      </w:pPr>
      <w:r>
        <w:rPr>
          <w:rFonts w:hint="eastAsia" w:ascii="Times New Roman" w:hAnsi="Times New Roman" w:eastAsia="宋体" w:cs="Times New Roman"/>
          <w:b/>
          <w:lang w:eastAsia="zh-CN"/>
        </w:rPr>
        <w:t>三</w:t>
      </w:r>
      <w:r>
        <w:rPr>
          <w:rFonts w:hint="default" w:ascii="Times New Roman" w:hAnsi="Times New Roman" w:eastAsia="宋体" w:cs="Times New Roman"/>
          <w:b/>
        </w:rPr>
        <w:t>、</w:t>
      </w:r>
      <w:r>
        <w:rPr>
          <w:rFonts w:hint="eastAsia" w:ascii="Times New Roman" w:hAnsi="Times New Roman" w:eastAsia="宋体" w:cs="Times New Roman"/>
          <w:b/>
        </w:rPr>
        <w:t>质保期和售后服务</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1.供方应按招标文件规定的货物性能、技术要求、质量标准向需方提供未经使用的全新产品。</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2.供方提供的货物在质保期内因货物本身的质量问题发生故障，供方应负责免费更换。对达不到技术要求者，根据实际情况，经双方协商，可按以下办法处理：</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①更换：由供方承担所发生的全部费用。</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②贬值处理：由供需双方合议定价。</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③退货处理：供方应退还支付的货款，同时应承担该货物的直接费用（运输、保险、检验、货款利息及银行手续费等）。</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3.如在使用过程中发生质量问题，供方在接到需方通知后在</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小时内到达需方现场。</w:t>
      </w:r>
    </w:p>
    <w:p>
      <w:pPr>
        <w:snapToGrid w:val="0"/>
        <w:spacing w:line="400" w:lineRule="exact"/>
        <w:ind w:left="480" w:leftChars="200"/>
        <w:rPr>
          <w:rFonts w:hint="default" w:ascii="Times New Roman" w:hAnsi="Times New Roman" w:eastAsia="宋体" w:cs="Times New Roman"/>
          <w:b/>
        </w:rPr>
      </w:pPr>
      <w:r>
        <w:rPr>
          <w:rFonts w:hint="default" w:ascii="Times New Roman" w:hAnsi="Times New Roman" w:eastAsia="宋体" w:cs="Times New Roman"/>
          <w:highlight w:val="none"/>
        </w:rPr>
        <w:t>4.在质保期内，供方应对货物出现的质量及安全问题负责处理解决并承担一切费用。</w:t>
      </w:r>
    </w:p>
    <w:p>
      <w:pPr>
        <w:spacing w:line="400" w:lineRule="exact"/>
        <w:ind w:firstLine="482" w:firstLineChars="200"/>
        <w:rPr>
          <w:rFonts w:hint="eastAsia" w:ascii="Times New Roman" w:hAnsi="Times New Roman" w:eastAsia="宋体" w:cs="Times New Roman"/>
          <w:b/>
          <w:lang w:eastAsia="zh-CN"/>
        </w:rPr>
      </w:pPr>
      <w:r>
        <w:rPr>
          <w:rFonts w:hint="default" w:ascii="Times New Roman" w:hAnsi="Times New Roman" w:eastAsia="宋体" w:cs="Times New Roman"/>
          <w:b/>
          <w:lang w:eastAsia="zh-CN"/>
        </w:rPr>
        <w:t>四、</w:t>
      </w:r>
      <w:r>
        <w:rPr>
          <w:rFonts w:hint="eastAsia" w:ascii="Times New Roman" w:hAnsi="Times New Roman" w:eastAsia="宋体" w:cs="Times New Roman"/>
          <w:b/>
          <w:lang w:eastAsia="zh-CN"/>
        </w:rPr>
        <w:t>预付款</w:t>
      </w:r>
    </w:p>
    <w:p>
      <w:pPr>
        <w:widowControl w:val="0"/>
        <w:spacing w:line="360" w:lineRule="auto"/>
        <w:ind w:firstLine="480" w:firstLineChars="200"/>
        <w:rPr>
          <w:rFonts w:ascii="宋体" w:hAnsi="宋体" w:cs="Arial"/>
          <w:color w:val="auto"/>
          <w:szCs w:val="21"/>
        </w:rPr>
      </w:pPr>
      <w:r>
        <w:rPr>
          <w:rFonts w:hint="eastAsia" w:ascii="宋体" w:hAnsi="宋体" w:cs="Arial"/>
          <w:color w:val="auto"/>
          <w:szCs w:val="21"/>
          <w:lang w:eastAsia="zh-CN"/>
        </w:rPr>
        <w:t>需</w:t>
      </w:r>
      <w:r>
        <w:rPr>
          <w:rFonts w:hint="eastAsia" w:ascii="宋体" w:hAnsi="宋体" w:cs="Arial"/>
          <w:color w:val="auto"/>
          <w:szCs w:val="21"/>
        </w:rPr>
        <w:t>方（是/否）需要支付预付款。若需要支付预付款的，则：</w:t>
      </w:r>
    </w:p>
    <w:p>
      <w:pPr>
        <w:widowControl w:val="0"/>
        <w:spacing w:line="360" w:lineRule="auto"/>
        <w:ind w:firstLine="480" w:firstLineChars="200"/>
        <w:rPr>
          <w:rFonts w:ascii="宋体" w:hAnsi="宋体" w:cs="Arial"/>
          <w:color w:val="auto"/>
          <w:szCs w:val="21"/>
        </w:rPr>
      </w:pPr>
      <w:r>
        <w:rPr>
          <w:rFonts w:hint="eastAsia" w:ascii="宋体" w:hAnsi="宋体" w:cs="Arial"/>
          <w:color w:val="auto"/>
          <w:szCs w:val="21"/>
        </w:rPr>
        <w:t>预付款比例:</w:t>
      </w:r>
      <w:r>
        <w:rPr>
          <w:rFonts w:hint="eastAsia" w:ascii="宋体" w:hAnsi="宋体" w:cs="Arial"/>
          <w:color w:val="auto"/>
          <w:szCs w:val="21"/>
          <w:u w:val="single"/>
        </w:rPr>
        <w:t xml:space="preserve">     </w:t>
      </w:r>
      <w:r>
        <w:rPr>
          <w:rFonts w:hint="eastAsia" w:ascii="宋体" w:hAnsi="宋体" w:cs="Arial"/>
          <w:color w:val="auto"/>
          <w:szCs w:val="21"/>
        </w:rPr>
        <w:t>、支付方式:</w:t>
      </w:r>
      <w:r>
        <w:rPr>
          <w:rFonts w:hint="eastAsia" w:ascii="宋体" w:hAnsi="宋体" w:cs="Arial"/>
          <w:color w:val="auto"/>
          <w:szCs w:val="21"/>
          <w:u w:val="single"/>
        </w:rPr>
        <w:t xml:space="preserve">     </w:t>
      </w:r>
      <w:r>
        <w:rPr>
          <w:rFonts w:hint="eastAsia" w:ascii="宋体" w:hAnsi="宋体" w:cs="Arial"/>
          <w:color w:val="auto"/>
          <w:szCs w:val="21"/>
        </w:rPr>
        <w:t>、支付时间：</w:t>
      </w:r>
      <w:r>
        <w:rPr>
          <w:rFonts w:hint="eastAsia" w:ascii="宋体" w:hAnsi="宋体" w:cs="Arial"/>
          <w:color w:val="auto"/>
          <w:szCs w:val="21"/>
          <w:u w:val="single"/>
        </w:rPr>
        <w:t xml:space="preserve">      </w:t>
      </w:r>
      <w:r>
        <w:rPr>
          <w:rFonts w:hint="eastAsia" w:ascii="宋体" w:hAnsi="宋体" w:cs="Arial"/>
          <w:color w:val="auto"/>
          <w:szCs w:val="21"/>
        </w:rPr>
        <w:t>；</w:t>
      </w:r>
    </w:p>
    <w:p>
      <w:pPr>
        <w:widowControl w:val="0"/>
        <w:spacing w:line="360" w:lineRule="auto"/>
        <w:ind w:firstLine="480" w:firstLineChars="200"/>
        <w:rPr>
          <w:rFonts w:ascii="宋体" w:hAnsi="宋体" w:cs="Arial"/>
          <w:color w:val="auto"/>
          <w:szCs w:val="21"/>
        </w:rPr>
      </w:pPr>
      <w:r>
        <w:rPr>
          <w:rFonts w:hint="eastAsia" w:ascii="宋体" w:hAnsi="宋体" w:cs="Arial"/>
          <w:color w:val="auto"/>
          <w:szCs w:val="21"/>
        </w:rPr>
        <w:t>预付款的扣回方式:</w:t>
      </w:r>
      <w:r>
        <w:rPr>
          <w:rFonts w:hint="eastAsia" w:ascii="宋体" w:hAnsi="宋体" w:cs="Arial"/>
          <w:color w:val="auto"/>
          <w:szCs w:val="21"/>
          <w:u w:val="single"/>
        </w:rPr>
        <w:t xml:space="preserve">      </w:t>
      </w:r>
      <w:r>
        <w:rPr>
          <w:rFonts w:hint="eastAsia" w:ascii="宋体" w:hAnsi="宋体" w:cs="Arial"/>
          <w:color w:val="auto"/>
          <w:szCs w:val="21"/>
        </w:rPr>
        <w:t>；</w:t>
      </w:r>
    </w:p>
    <w:p>
      <w:pPr>
        <w:widowControl w:val="0"/>
        <w:spacing w:line="360" w:lineRule="auto"/>
        <w:ind w:firstLine="480" w:firstLineChars="200"/>
        <w:rPr>
          <w:rFonts w:ascii="宋体" w:hAnsi="宋体" w:cs="Arial"/>
          <w:color w:val="auto"/>
          <w:szCs w:val="21"/>
        </w:rPr>
      </w:pPr>
      <w:r>
        <w:rPr>
          <w:rFonts w:hint="eastAsia" w:ascii="宋体" w:hAnsi="宋体" w:cs="Arial"/>
          <w:color w:val="auto"/>
          <w:szCs w:val="21"/>
        </w:rPr>
        <w:t>预付款的担保措施</w:t>
      </w:r>
      <w:r>
        <w:rPr>
          <w:rFonts w:ascii="宋体" w:hAnsi="宋体" w:cs="Arial"/>
          <w:color w:val="auto"/>
          <w:szCs w:val="21"/>
        </w:rPr>
        <w:t>：</w:t>
      </w:r>
      <w:r>
        <w:rPr>
          <w:rFonts w:hint="eastAsia" w:ascii="宋体" w:hAnsi="宋体" w:cs="Arial"/>
          <w:color w:val="auto"/>
          <w:szCs w:val="21"/>
          <w:u w:val="single"/>
        </w:rPr>
        <w:t xml:space="preserve">         </w:t>
      </w:r>
      <w:r>
        <w:rPr>
          <w:rFonts w:hint="eastAsia" w:ascii="宋体" w:hAnsi="宋体" w:cs="Arial"/>
          <w:color w:val="auto"/>
          <w:szCs w:val="21"/>
        </w:rPr>
        <w:t>。</w:t>
      </w:r>
    </w:p>
    <w:p>
      <w:pPr>
        <w:pStyle w:val="58"/>
        <w:ind w:left="480" w:firstLine="480"/>
        <w:rPr>
          <w:rFonts w:hint="default" w:ascii="Times New Roman" w:hAnsi="Times New Roman" w:eastAsia="宋体" w:cs="Times New Roman"/>
        </w:rPr>
      </w:pPr>
    </w:p>
    <w:p>
      <w:pPr>
        <w:snapToGrid w:val="0"/>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五、付款方式：</w:t>
      </w:r>
      <w:r>
        <w:rPr>
          <w:rFonts w:hint="default" w:ascii="Times New Roman" w:hAnsi="Times New Roman" w:eastAsia="宋体" w:cs="Times New Roman"/>
          <w:bCs/>
        </w:rPr>
        <w:t>________________</w:t>
      </w:r>
    </w:p>
    <w:p>
      <w:pPr>
        <w:snapToGrid w:val="0"/>
        <w:spacing w:line="400" w:lineRule="exact"/>
        <w:ind w:firstLine="482" w:firstLineChars="200"/>
        <w:rPr>
          <w:rFonts w:hint="default" w:ascii="Times New Roman" w:hAnsi="Times New Roman" w:eastAsia="宋体" w:cs="Times New Roman"/>
          <w:b/>
        </w:rPr>
      </w:pPr>
    </w:p>
    <w:p>
      <w:pPr>
        <w:snapToGrid w:val="0"/>
        <w:spacing w:line="400" w:lineRule="exact"/>
        <w:ind w:firstLine="482" w:firstLineChars="200"/>
        <w:rPr>
          <w:rFonts w:hint="default" w:ascii="Times New Roman" w:hAnsi="Times New Roman" w:eastAsia="宋体" w:cs="Times New Roman"/>
          <w:b/>
        </w:rPr>
      </w:pPr>
      <w:r>
        <w:rPr>
          <w:rFonts w:hint="default" w:ascii="Times New Roman" w:hAnsi="Times New Roman" w:eastAsia="宋体" w:cs="Times New Roman"/>
          <w:b/>
        </w:rPr>
        <w:t>六、技术资料</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1.供方应按招标文件规定的时间向需方提供使用货物的有关技术资料。</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pPr>
        <w:snapToGrid w:val="0"/>
        <w:spacing w:line="400" w:lineRule="exact"/>
        <w:ind w:firstLine="590" w:firstLineChars="245"/>
        <w:rPr>
          <w:rFonts w:hint="default" w:ascii="Times New Roman" w:hAnsi="Times New Roman" w:eastAsia="宋体" w:cs="Times New Roman"/>
          <w:b/>
        </w:rPr>
      </w:pPr>
      <w:r>
        <w:rPr>
          <w:rFonts w:hint="default" w:ascii="Times New Roman" w:hAnsi="Times New Roman" w:eastAsia="宋体" w:cs="Times New Roman"/>
          <w:b/>
        </w:rPr>
        <w:t>七、知识产权</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供方应保证所提供的货物或其任何一部分均不会侵犯任何第三方的知识产权。</w:t>
      </w:r>
    </w:p>
    <w:p>
      <w:pPr>
        <w:snapToGrid w:val="0"/>
        <w:spacing w:line="400" w:lineRule="exact"/>
        <w:ind w:firstLine="472" w:firstLineChars="196"/>
        <w:rPr>
          <w:rFonts w:hint="default" w:ascii="Times New Roman" w:hAnsi="Times New Roman" w:eastAsia="宋体" w:cs="Times New Roman"/>
          <w:u w:val="single"/>
        </w:rPr>
      </w:pPr>
      <w:r>
        <w:rPr>
          <w:rFonts w:hint="default" w:ascii="Times New Roman" w:hAnsi="Times New Roman" w:eastAsia="宋体" w:cs="Times New Roman"/>
          <w:b/>
        </w:rPr>
        <w:t>八、产权担保</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供方保证所交付的货物的所有权完全属于供方且无任何抵押、查封等产权瑕疵。</w:t>
      </w:r>
    </w:p>
    <w:p>
      <w:pPr>
        <w:snapToGrid w:val="0"/>
        <w:spacing w:line="400" w:lineRule="exact"/>
        <w:ind w:firstLine="472" w:firstLineChars="196"/>
        <w:rPr>
          <w:rFonts w:hint="default" w:ascii="Times New Roman" w:hAnsi="Times New Roman" w:eastAsia="宋体" w:cs="Times New Roman"/>
        </w:rPr>
      </w:pPr>
      <w:r>
        <w:rPr>
          <w:rFonts w:hint="default" w:ascii="Times New Roman" w:hAnsi="Times New Roman" w:eastAsia="宋体" w:cs="Times New Roman"/>
          <w:b/>
        </w:rPr>
        <w:t>九、履约保证金：</w:t>
      </w:r>
      <w:r>
        <w:rPr>
          <w:rFonts w:hint="default" w:ascii="Times New Roman" w:hAnsi="Times New Roman" w:eastAsia="宋体" w:cs="Times New Roman"/>
        </w:rPr>
        <w:t>无</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十、转包或分包</w:t>
      </w:r>
    </w:p>
    <w:p>
      <w:pPr>
        <w:widowControl w:val="0"/>
        <w:spacing w:line="264" w:lineRule="auto"/>
        <w:ind w:firstLine="480"/>
        <w:rPr>
          <w:rFonts w:hint="default" w:ascii="Times New Roman" w:hAnsi="Times New Roman" w:eastAsia="宋体" w:cs="Times New Roman"/>
        </w:rPr>
      </w:pPr>
      <w:r>
        <w:rPr>
          <w:rFonts w:hint="default" w:ascii="Times New Roman" w:hAnsi="Times New Roman" w:eastAsia="宋体" w:cs="Times New Roman"/>
        </w:rPr>
        <w:t>1、本合同范围的</w:t>
      </w:r>
      <w:r>
        <w:rPr>
          <w:rFonts w:hint="eastAsia" w:ascii="Times New Roman" w:hAnsi="Times New Roman" w:eastAsia="宋体" w:cs="Times New Roman"/>
          <w:lang w:eastAsia="zh-CN"/>
        </w:rPr>
        <w:t>货物</w:t>
      </w:r>
      <w:r>
        <w:rPr>
          <w:rFonts w:hint="default" w:ascii="Times New Roman" w:hAnsi="Times New Roman" w:eastAsia="宋体" w:cs="Times New Roman"/>
        </w:rPr>
        <w:t>，应由供方直接供应，不得转让他人供应；</w:t>
      </w:r>
    </w:p>
    <w:p>
      <w:pPr>
        <w:widowControl w:val="0"/>
        <w:spacing w:line="264" w:lineRule="auto"/>
        <w:ind w:firstLine="480"/>
        <w:rPr>
          <w:rFonts w:hint="default" w:ascii="Times New Roman" w:hAnsi="Times New Roman" w:eastAsia="宋体" w:cs="Times New Roman"/>
        </w:rPr>
      </w:pPr>
      <w:r>
        <w:rPr>
          <w:rFonts w:hint="default" w:ascii="Times New Roman" w:hAnsi="Times New Roman" w:eastAsia="宋体" w:cs="Times New Roman"/>
        </w:rPr>
        <w:t>2、供方不得将本合同范围的</w:t>
      </w:r>
      <w:r>
        <w:rPr>
          <w:rFonts w:hint="eastAsia" w:ascii="Times New Roman" w:hAnsi="Times New Roman" w:eastAsia="宋体" w:cs="Times New Roman"/>
          <w:lang w:eastAsia="zh-CN"/>
        </w:rPr>
        <w:t>货物</w:t>
      </w:r>
      <w:r>
        <w:rPr>
          <w:rFonts w:hint="default" w:ascii="Times New Roman" w:hAnsi="Times New Roman" w:eastAsia="宋体" w:cs="Times New Roman"/>
        </w:rPr>
        <w:t>全部或部分分包给他人供应；</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rPr>
        <w:t>3、如有转让和分包行为，需方中止合同，并追究供方的违约责任。</w:t>
      </w:r>
    </w:p>
    <w:p>
      <w:pPr>
        <w:pStyle w:val="31"/>
        <w:spacing w:line="44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十一、需、供双方权利和义务：</w:t>
      </w:r>
    </w:p>
    <w:p>
      <w:pPr>
        <w:pStyle w:val="31"/>
        <w:spacing w:line="440" w:lineRule="exact"/>
        <w:ind w:firstLine="480" w:firstLineChars="200"/>
        <w:rPr>
          <w:rFonts w:hint="default" w:ascii="Times New Roman" w:hAnsi="Times New Roman" w:eastAsia="宋体" w:cs="Times New Roman"/>
          <w:sz w:val="24"/>
          <w:szCs w:val="24"/>
        </w:rPr>
      </w:pP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需方的权利和义务</w:t>
      </w:r>
    </w:p>
    <w:p>
      <w:pPr>
        <w:pStyle w:val="31"/>
        <w:spacing w:line="440" w:lineRule="exact"/>
        <w:ind w:firstLine="480" w:firstLineChars="200"/>
        <w:rPr>
          <w:rFonts w:hint="default" w:ascii="Times New Roman" w:hAnsi="Times New Roman" w:eastAsia="宋体" w:cs="Times New Roman"/>
          <w:sz w:val="24"/>
          <w:szCs w:val="24"/>
        </w:rPr>
      </w:pPr>
    </w:p>
    <w:p>
      <w:pPr>
        <w:pStyle w:val="31"/>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供方的权利和义务</w:t>
      </w:r>
    </w:p>
    <w:p>
      <w:pPr>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31"/>
        <w:spacing w:line="44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十二、违约责任：</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1.供方逾期交付货物的，供方应按逾期交货总额每日</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向需方支付违约金，逾期超过约定日期</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个工作日不能交货的，需方可解除本合同。供方因逾期交货或因其他违约行为导致需方解除合同的，供方应返还已支付费用同时向需方支付合同总值的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none"/>
          <w:lang w:val="en-US" w:eastAsia="zh-CN"/>
        </w:rPr>
        <w:t>的</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2.供方所交的货物品种、型号、规格、技术参数、质量不符合合同规定及招标文件规定标准的，需方有权拒收该货物，供方未按需方要求更换货物但逾期交货的，按供方逾期交货处理。供方</w:t>
      </w:r>
      <w:r>
        <w:rPr>
          <w:rFonts w:hint="default" w:ascii="Times New Roman" w:hAnsi="Times New Roman" w:eastAsia="宋体" w:cs="Times New Roman"/>
          <w:bCs/>
          <w:highlight w:val="none"/>
        </w:rPr>
        <w:t>未按需方要求及时</w:t>
      </w:r>
      <w:r>
        <w:rPr>
          <w:rFonts w:hint="default" w:ascii="Times New Roman" w:hAnsi="Times New Roman" w:eastAsia="宋体" w:cs="Times New Roman"/>
          <w:highlight w:val="none"/>
        </w:rPr>
        <w:t>更换</w:t>
      </w:r>
      <w:r>
        <w:rPr>
          <w:rFonts w:hint="default" w:ascii="Times New Roman" w:hAnsi="Times New Roman" w:eastAsia="宋体" w:cs="Times New Roman"/>
          <w:bCs/>
          <w:highlight w:val="none"/>
        </w:rPr>
        <w:t>符合本合同约定及需方要求的</w:t>
      </w:r>
      <w:r>
        <w:rPr>
          <w:rFonts w:hint="default" w:ascii="Times New Roman" w:hAnsi="Times New Roman" w:eastAsia="宋体" w:cs="Times New Roman"/>
          <w:highlight w:val="none"/>
        </w:rPr>
        <w:t>货物的，需方可单方面解除合同，</w:t>
      </w:r>
      <w:r>
        <w:rPr>
          <w:rFonts w:hint="default" w:ascii="Times New Roman" w:hAnsi="Times New Roman" w:eastAsia="宋体" w:cs="Times New Roman"/>
          <w:bCs/>
          <w:highlight w:val="none"/>
        </w:rPr>
        <w:t>供方应返还需方已支付费用同时还应承担合同金额</w:t>
      </w:r>
      <w:r>
        <w:rPr>
          <w:rFonts w:hint="default" w:ascii="Times New Roman" w:hAnsi="Times New Roman" w:eastAsia="宋体" w:cs="Times New Roman"/>
          <w:bCs/>
          <w:highlight w:val="none"/>
          <w:u w:val="single"/>
          <w:lang w:val="en-US" w:eastAsia="zh-CN"/>
        </w:rPr>
        <w:t xml:space="preserve"> </w:t>
      </w:r>
      <w:r>
        <w:rPr>
          <w:rFonts w:hint="default" w:ascii="Times New Roman" w:hAnsi="Times New Roman" w:eastAsia="宋体" w:cs="Times New Roman"/>
          <w:bCs/>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bCs/>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3.供方未按规定提供完整的技术资料的，需方有权处以货款总额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4.因产品的质量问题造成需方受到损失的，应按实际受到的损失赔偿。如拒绝赔偿的，需方可单方面解除合同。</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5.如有转让行为，需方有权解除合同，并可进一步追究供方的违约责任，处以货款总额</w:t>
      </w:r>
      <w:r>
        <w:rPr>
          <w:rFonts w:hint="default" w:ascii="Times New Roman" w:hAnsi="Times New Roman" w:eastAsia="宋体" w:cs="Times New Roman"/>
          <w:highlight w:val="none"/>
          <w:lang w:eastAsia="zh-CN"/>
        </w:rPr>
        <w:t>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6.当供方违约行为给需方造成损失时，若违约金不足以弥补全部损失，违约方还应当赔偿对方因此所受全部损失。</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7.对于供方需要支付的违约金和赔偿金额，如本合同规定有交纳履约保证金的，则由需方从供方交纳的履约保证金中扣除，履约保证金金额不够负担的，则由需方从待付供方的货款中扣除，还不够的，则需方还可向供方继续索赔；如本合同未规定交纳履约保证金的，则由需方从待付供方的货款中扣除，如不够，则需方还可向供方继续索赔。</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8.需方无正当理由拒收货物，拒付货款的，需方向供方偿付货物款总值的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9.需方逾期支付货款的，需方向供方每日偿付欠款总额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十三、税费</w:t>
      </w:r>
    </w:p>
    <w:p>
      <w:pPr>
        <w:snapToGrid w:val="0"/>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本合同执行中相关的一切税费均由供方负担。</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十四、不可抗力事件处理</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1.在合同有效期内，任何一方因不可抗力事件导致不能履行合同，则合同履行期可延长，其延长期与不可抗力影响期相同。</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2.不可抗力事件发生后，应立即通知对方，并寄送有关权威机构出具的证明。</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3.不可抗力事件延续_120_天以上，双方应通过友好协商，确定是否继续履行合同。</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十五、诉讼</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本合同项目所在地为义乌市，本合同发生争议产生的诉讼，应向项目所在地有管辖权的法院提起诉讼。</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六、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ind w:firstLine="480"/>
        <w:rPr>
          <w:rFonts w:hint="default" w:ascii="Times New Roman" w:hAnsi="Times New Roman" w:eastAsia="宋体" w:cs="Times New Roman"/>
          <w:b/>
        </w:rPr>
      </w:pPr>
      <w:r>
        <w:rPr>
          <w:rFonts w:hint="default" w:ascii="Times New Roman" w:hAnsi="Times New Roman" w:eastAsia="宋体" w:cs="Times New Roman"/>
          <w:b/>
        </w:rPr>
        <w:t>十七、合同生效及其它</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1.合同经双方法定代表人(或负责人)或授权代表签字并加盖单位公章后生效。</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2.本合同一式八份，供需双方各执三份，义乌市财政局和义乌市政府采购中心各执一份，均具同等法律效力。</w:t>
      </w:r>
    </w:p>
    <w:p>
      <w:pPr>
        <w:snapToGrid w:val="0"/>
        <w:spacing w:line="400" w:lineRule="exact"/>
        <w:ind w:firstLine="480"/>
        <w:rPr>
          <w:rFonts w:hint="default" w:ascii="Times New Roman" w:hAnsi="Times New Roman" w:eastAsia="宋体" w:cs="Times New Roman"/>
        </w:rPr>
      </w:pPr>
      <w:r>
        <w:rPr>
          <w:rFonts w:hint="default" w:ascii="Times New Roman" w:hAnsi="Times New Roman" w:eastAsia="宋体" w:cs="Times New Roman"/>
        </w:rPr>
        <w:t>3.本合同未尽事宜，遵照《民法典》有关条文执行。</w:t>
      </w:r>
    </w:p>
    <w:p>
      <w:pPr>
        <w:pStyle w:val="31"/>
        <w:spacing w:line="44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十八</w:t>
      </w:r>
      <w:r>
        <w:rPr>
          <w:rFonts w:hint="default" w:ascii="Times New Roman" w:hAnsi="Times New Roman" w:eastAsia="宋体" w:cs="Times New Roman"/>
          <w:sz w:val="24"/>
          <w:szCs w:val="24"/>
        </w:rPr>
        <w:t>、本合同一式    份，需供双方各执    份，义乌市财政局和义乌市政府采购中心各执一份，均具同等效力。</w:t>
      </w:r>
    </w:p>
    <w:p>
      <w:pPr>
        <w:pStyle w:val="31"/>
        <w:spacing w:line="440" w:lineRule="exact"/>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十九</w:t>
      </w:r>
      <w:r>
        <w:rPr>
          <w:rFonts w:hint="default" w:ascii="Times New Roman" w:hAnsi="Times New Roman" w:eastAsia="宋体" w:cs="Times New Roman"/>
          <w:sz w:val="24"/>
          <w:szCs w:val="24"/>
        </w:rPr>
        <w:t>、本合同在合同签订之日起报义乌市财政局备案。</w:t>
      </w:r>
    </w:p>
    <w:p>
      <w:pPr>
        <w:spacing w:line="400" w:lineRule="exact"/>
        <w:ind w:firstLine="480" w:firstLineChars="200"/>
        <w:rPr>
          <w:rFonts w:hint="default" w:ascii="Times New Roman" w:hAnsi="Times New Roman" w:eastAsia="宋体" w:cs="Times New Roman"/>
          <w:color w:val="000000"/>
        </w:rPr>
      </w:pP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需    方：________________________  供    方：__________________</w:t>
      </w:r>
      <w:r>
        <w:rPr>
          <w:rFonts w:hint="default" w:ascii="Times New Roman" w:hAnsi="Times New Roman" w:eastAsia="宋体" w:cs="Times New Roman"/>
          <w:color w:val="000000"/>
          <w:u w:val="single"/>
        </w:rPr>
        <w:t>__</w:t>
      </w:r>
      <w:r>
        <w:rPr>
          <w:rFonts w:hint="default" w:ascii="Times New Roman" w:hAnsi="Times New Roman" w:eastAsia="宋体" w:cs="Times New Roman"/>
          <w:color w:val="000000"/>
        </w:rPr>
        <w:t>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地    址：________________________  地    址：_____________________</w:t>
      </w:r>
      <w:r>
        <w:rPr>
          <w:rFonts w:hint="default" w:ascii="Times New Roman" w:hAnsi="Times New Roman" w:eastAsia="宋体" w:cs="Times New Roman"/>
          <w:color w:val="000000"/>
          <w:u w:val="single"/>
        </w:rPr>
        <w:t>__</w:t>
      </w:r>
      <w:r>
        <w:rPr>
          <w:rFonts w:hint="default" w:ascii="Times New Roman" w:hAnsi="Times New Roman" w:eastAsia="宋体" w:cs="Times New Roman"/>
          <w:color w:val="000000"/>
        </w:rPr>
        <w:t>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法定代表人(或负责人)：____________ 法定代表人(或负责人)______________</w:t>
      </w:r>
      <w:r>
        <w:rPr>
          <w:rFonts w:hint="default" w:ascii="Times New Roman" w:hAnsi="Times New Roman" w:eastAsia="宋体" w:cs="Times New Roman"/>
          <w:color w:val="000000"/>
          <w:u w:val="single"/>
        </w:rPr>
        <w:t xml:space="preserve"> </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授权代表：_____________________</w:t>
      </w:r>
      <w:r>
        <w:rPr>
          <w:rFonts w:hint="default" w:ascii="Times New Roman" w:hAnsi="Times New Roman" w:eastAsia="宋体" w:cs="Times New Roman"/>
          <w:color w:val="000000"/>
          <w:u w:val="single"/>
        </w:rPr>
        <w:t xml:space="preserve">  _</w:t>
      </w:r>
      <w:r>
        <w:rPr>
          <w:rFonts w:hint="default" w:ascii="Times New Roman" w:hAnsi="Times New Roman" w:eastAsia="宋体" w:cs="Times New Roman"/>
          <w:color w:val="000000"/>
        </w:rPr>
        <w:t xml:space="preserve">  授权代表：____________________</w:t>
      </w:r>
      <w:r>
        <w:rPr>
          <w:rFonts w:hint="default" w:ascii="Times New Roman" w:hAnsi="Times New Roman" w:eastAsia="宋体" w:cs="Times New Roman"/>
          <w:color w:val="000000"/>
          <w:u w:val="single"/>
        </w:rPr>
        <w:t xml:space="preserve">    </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电    话：________________________  电    话：________________________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帐户名称：________________________  帐户名称：________________________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开户银行：________________________  开户银行：________________________</w:t>
      </w:r>
    </w:p>
    <w:p>
      <w:pPr>
        <w:spacing w:line="400" w:lineRule="exact"/>
        <w:ind w:firstLine="48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帐    号：________________________  帐    号：________________________</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color w:val="000000"/>
        </w:rPr>
        <w:t>签约时间：________________________  签约地点：</w:t>
      </w:r>
      <w:r>
        <w:rPr>
          <w:rFonts w:hint="default" w:ascii="Times New Roman" w:hAnsi="Times New Roman" w:eastAsia="宋体" w:cs="Times New Roman"/>
          <w:color w:val="000000"/>
          <w:u w:val="single"/>
        </w:rPr>
        <w:t xml:space="preserve">                        </w:t>
      </w: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pStyle w:val="39"/>
        <w:jc w:val="center"/>
        <w:rPr>
          <w:rFonts w:hint="default" w:ascii="Times New Roman" w:hAnsi="Times New Roman" w:eastAsia="宋体" w:cs="Times New Roman"/>
          <w:color w:val="auto"/>
          <w:sz w:val="36"/>
          <w:szCs w:val="36"/>
        </w:rPr>
      </w:pPr>
    </w:p>
    <w:p>
      <w:pPr>
        <w:rPr>
          <w:rFonts w:hint="default" w:ascii="Times New Roman" w:hAnsi="Times New Roman" w:eastAsia="宋体" w:cs="Times New Roman"/>
          <w:sz w:val="36"/>
          <w:szCs w:val="36"/>
        </w:rPr>
      </w:pPr>
    </w:p>
    <w:p>
      <w:pPr>
        <w:rPr>
          <w:rFonts w:hint="default" w:ascii="Times New Roman" w:hAnsi="Times New Roman" w:eastAsia="宋体" w:cs="Times New Roman"/>
          <w:sz w:val="36"/>
        </w:rPr>
      </w:pPr>
      <w:bookmarkStart w:id="101" w:name="_Toc1594"/>
      <w:bookmarkStart w:id="102" w:name="_Toc620"/>
      <w:r>
        <w:rPr>
          <w:rFonts w:hint="default" w:ascii="Times New Roman" w:hAnsi="Times New Roman" w:eastAsia="宋体" w:cs="Times New Roman"/>
          <w:sz w:val="36"/>
        </w:rPr>
        <w:br w:type="page"/>
      </w:r>
    </w:p>
    <w:p>
      <w:pPr>
        <w:pStyle w:val="5"/>
        <w:spacing w:before="0" w:after="0" w:line="400" w:lineRule="atLeast"/>
        <w:jc w:val="center"/>
        <w:rPr>
          <w:rFonts w:hint="default" w:ascii="Times New Roman" w:hAnsi="Times New Roman" w:eastAsia="宋体" w:cs="Times New Roman"/>
          <w:sz w:val="36"/>
        </w:rPr>
      </w:pPr>
      <w:r>
        <w:rPr>
          <w:rFonts w:hint="default" w:ascii="Times New Roman" w:hAnsi="Times New Roman" w:eastAsia="宋体" w:cs="Times New Roman"/>
          <w:sz w:val="36"/>
        </w:rPr>
        <w:t>第八章 投标文件部分格式</w:t>
      </w:r>
      <w:bookmarkEnd w:id="93"/>
      <w:bookmarkEnd w:id="94"/>
      <w:bookmarkEnd w:id="95"/>
      <w:bookmarkEnd w:id="96"/>
      <w:bookmarkEnd w:id="97"/>
      <w:bookmarkEnd w:id="98"/>
      <w:bookmarkEnd w:id="101"/>
      <w:bookmarkEnd w:id="102"/>
    </w:p>
    <w:p>
      <w:pPr>
        <w:pStyle w:val="39"/>
        <w:spacing w:line="400" w:lineRule="exac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一、封面格式</w:t>
      </w:r>
    </w:p>
    <w:p>
      <w:pPr>
        <w:pStyle w:val="39"/>
        <w:spacing w:line="400" w:lineRule="exac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二、资格响应文件部分格式：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1、义乌市政府采购项目投标承诺书</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2、联合体协议</w:t>
      </w:r>
    </w:p>
    <w:p>
      <w:pPr>
        <w:pStyle w:val="39"/>
        <w:spacing w:line="400" w:lineRule="exac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二、商务技术响应文件部分格式：</w:t>
      </w:r>
    </w:p>
    <w:p>
      <w:pPr>
        <w:adjustRightInd w:val="0"/>
        <w:snapToGrid w:val="0"/>
        <w:spacing w:before="50" w:after="50" w:line="400" w:lineRule="exact"/>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rPr>
        <w:t>3、</w:t>
      </w:r>
      <w:r>
        <w:rPr>
          <w:rFonts w:hint="default" w:ascii="Times New Roman" w:hAnsi="Times New Roman" w:eastAsia="宋体" w:cs="Times New Roman"/>
          <w:b w:val="0"/>
          <w:bCs w:val="0"/>
          <w:color w:val="auto"/>
          <w:sz w:val="24"/>
          <w:szCs w:val="21"/>
        </w:rPr>
        <w:t>参投货物说明一览表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4、规范偏离表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eastAsia" w:ascii="Times New Roman" w:hAnsi="Times New Roman" w:cs="Times New Roman"/>
          <w:lang w:val="en-US" w:eastAsia="zh-CN"/>
        </w:rPr>
        <w:t>5、</w:t>
      </w:r>
      <w:r>
        <w:rPr>
          <w:rFonts w:hint="default" w:ascii="Times New Roman" w:hAnsi="Times New Roman" w:eastAsia="宋体" w:cs="Times New Roman"/>
        </w:rPr>
        <w:t>产品质量保证及售后服务承诺书</w:t>
      </w:r>
    </w:p>
    <w:p>
      <w:pPr>
        <w:spacing w:line="400" w:lineRule="exact"/>
        <w:rPr>
          <w:rFonts w:hint="default" w:ascii="Times New Roman" w:hAnsi="Times New Roman" w:eastAsia="宋体" w:cs="Times New Roman"/>
        </w:rPr>
      </w:pPr>
      <w:r>
        <w:rPr>
          <w:rFonts w:hint="default" w:ascii="Times New Roman" w:hAnsi="Times New Roman" w:eastAsia="宋体" w:cs="Times New Roman"/>
        </w:rPr>
        <w:t>三、报价响应文件部分格式：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eastAsia" w:cs="Times New Roman"/>
          <w:lang w:val="en-US" w:eastAsia="zh-CN"/>
        </w:rPr>
        <w:t>6</w:t>
      </w:r>
      <w:r>
        <w:rPr>
          <w:rFonts w:hint="default" w:ascii="Times New Roman" w:hAnsi="Times New Roman" w:eastAsia="宋体" w:cs="Times New Roman"/>
        </w:rPr>
        <w:t>、开标一览表</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eastAsia" w:cs="Times New Roman"/>
          <w:lang w:val="en-US" w:eastAsia="zh-CN"/>
        </w:rPr>
        <w:t>7</w:t>
      </w:r>
      <w:r>
        <w:rPr>
          <w:rFonts w:hint="default" w:ascii="Times New Roman" w:hAnsi="Times New Roman" w:eastAsia="宋体" w:cs="Times New Roman"/>
        </w:rPr>
        <w:t>、项目成本报价表</w:t>
      </w:r>
    </w:p>
    <w:p>
      <w:pPr>
        <w:spacing w:line="400" w:lineRule="exact"/>
        <w:ind w:firstLine="480" w:firstLineChars="200"/>
        <w:rPr>
          <w:rFonts w:hint="default" w:ascii="Times New Roman" w:hAnsi="Times New Roman" w:eastAsia="宋体" w:cs="Times New Roman"/>
        </w:rPr>
      </w:pPr>
      <w:r>
        <w:rPr>
          <w:rFonts w:hint="eastAsia" w:cs="Times New Roman"/>
          <w:lang w:val="en-US" w:eastAsia="zh-CN"/>
        </w:rPr>
        <w:t>8</w:t>
      </w:r>
      <w:r>
        <w:rPr>
          <w:rFonts w:hint="default" w:ascii="Times New Roman" w:hAnsi="Times New Roman" w:eastAsia="宋体" w:cs="Times New Roman"/>
        </w:rPr>
        <w:t>、中小企业声明函</w:t>
      </w:r>
    </w:p>
    <w:p>
      <w:pPr>
        <w:spacing w:line="400" w:lineRule="exact"/>
        <w:ind w:firstLine="480" w:firstLineChars="200"/>
        <w:rPr>
          <w:rFonts w:hint="default" w:ascii="Times New Roman" w:hAnsi="Times New Roman" w:eastAsia="宋体" w:cs="Times New Roman"/>
        </w:rPr>
      </w:pPr>
      <w:r>
        <w:rPr>
          <w:rFonts w:hint="eastAsia" w:cs="Times New Roman"/>
          <w:lang w:val="en-US" w:eastAsia="zh-CN"/>
        </w:rPr>
        <w:t>9</w:t>
      </w:r>
      <w:r>
        <w:rPr>
          <w:rFonts w:hint="default" w:ascii="Times New Roman" w:hAnsi="Times New Roman" w:eastAsia="宋体" w:cs="Times New Roman"/>
        </w:rPr>
        <w:t>、残疾人福利企业声明函</w:t>
      </w:r>
    </w:p>
    <w:p>
      <w:pPr>
        <w:pStyle w:val="58"/>
        <w:spacing w:after="0" w:line="400" w:lineRule="exact"/>
        <w:ind w:left="0" w:leftChars="0" w:firstLine="0" w:firstLineChars="0"/>
        <w:rPr>
          <w:rFonts w:hint="default" w:ascii="Times New Roman" w:hAnsi="Times New Roman" w:eastAsia="宋体" w:cs="Times New Roman"/>
        </w:rPr>
      </w:pPr>
    </w:p>
    <w:p>
      <w:pPr>
        <w:rPr>
          <w:rFonts w:hint="default" w:ascii="Times New Roman" w:hAnsi="Times New Roman" w:eastAsia="宋体" w:cs="Times New Roman"/>
          <w:szCs w:val="21"/>
        </w:rPr>
      </w:pPr>
    </w:p>
    <w:p>
      <w:pPr>
        <w:jc w:val="center"/>
        <w:rPr>
          <w:rFonts w:hint="default" w:ascii="Times New Roman" w:hAnsi="Times New Roman" w:eastAsia="宋体" w:cs="Times New Roman"/>
          <w:szCs w:val="21"/>
          <w:u w:val="single"/>
        </w:rPr>
      </w:pPr>
    </w:p>
    <w:p>
      <w:pPr>
        <w:rPr>
          <w:rFonts w:hint="default" w:ascii="Times New Roman" w:hAnsi="Times New Roman" w:eastAsia="宋体" w:cs="Times New Roman"/>
          <w:sz w:val="52"/>
          <w:u w:val="single"/>
        </w:rPr>
      </w:pPr>
      <w:r>
        <w:rPr>
          <w:rFonts w:hint="default" w:ascii="Times New Roman" w:hAnsi="Times New Roman" w:eastAsia="宋体" w:cs="Times New Roman"/>
          <w:bCs/>
          <w:szCs w:val="21"/>
        </w:rPr>
        <w:br w:type="page"/>
      </w:r>
      <w:r>
        <w:rPr>
          <w:rFonts w:hint="default" w:ascii="Times New Roman" w:hAnsi="Times New Roman" w:eastAsia="宋体" w:cs="Times New Roman"/>
          <w:bCs/>
          <w:sz w:val="28"/>
        </w:rPr>
        <w:t>封面格式</w:t>
      </w:r>
    </w:p>
    <w:p>
      <w:pPr>
        <w:jc w:val="center"/>
        <w:rPr>
          <w:rFonts w:hint="default" w:ascii="Times New Roman" w:hAnsi="Times New Roman" w:eastAsia="宋体" w:cs="Times New Roman"/>
          <w:color w:val="000000"/>
          <w:sz w:val="52"/>
        </w:rPr>
      </w:pPr>
    </w:p>
    <w:p>
      <w:pPr>
        <w:jc w:val="center"/>
        <w:rPr>
          <w:rFonts w:hint="default" w:ascii="Times New Roman" w:hAnsi="Times New Roman" w:eastAsia="宋体" w:cs="Times New Roman"/>
          <w:color w:val="000000"/>
          <w:sz w:val="52"/>
        </w:rPr>
      </w:pPr>
    </w:p>
    <w:p>
      <w:pPr>
        <w:jc w:val="center"/>
        <w:rPr>
          <w:rFonts w:hint="default" w:ascii="Times New Roman" w:hAnsi="Times New Roman" w:eastAsia="宋体" w:cs="Times New Roman"/>
          <w:sz w:val="52"/>
        </w:rPr>
      </w:pPr>
      <w:r>
        <w:rPr>
          <w:rFonts w:hint="default" w:ascii="Times New Roman" w:hAnsi="Times New Roman" w:eastAsia="宋体" w:cs="Times New Roman"/>
          <w:color w:val="000000"/>
          <w:sz w:val="52"/>
        </w:rPr>
        <w:t xml:space="preserve"> </w:t>
      </w:r>
      <w:r>
        <w:rPr>
          <w:rFonts w:hint="default" w:ascii="Times New Roman" w:hAnsi="Times New Roman" w:eastAsia="宋体" w:cs="Times New Roman"/>
          <w:color w:val="000000"/>
          <w:sz w:val="52"/>
          <w:u w:val="single"/>
        </w:rPr>
        <w:t xml:space="preserve">            </w:t>
      </w:r>
      <w:bookmarkStart w:id="103" w:name="_Toc15653_WPSOffice_Level1"/>
      <w:bookmarkStart w:id="104" w:name="_Toc27136_WPSOffice_Level1"/>
      <w:r>
        <w:rPr>
          <w:rFonts w:hint="default" w:ascii="Times New Roman" w:hAnsi="Times New Roman" w:eastAsia="宋体" w:cs="Times New Roman"/>
          <w:color w:val="000000"/>
          <w:sz w:val="52"/>
        </w:rPr>
        <w:t>项目</w:t>
      </w:r>
      <w:bookmarkEnd w:id="103"/>
      <w:bookmarkEnd w:id="104"/>
    </w:p>
    <w:p>
      <w:pPr>
        <w:jc w:val="center"/>
        <w:rPr>
          <w:rFonts w:hint="default" w:ascii="Times New Roman" w:hAnsi="Times New Roman" w:eastAsia="宋体" w:cs="Times New Roman"/>
          <w:sz w:val="52"/>
        </w:rPr>
      </w:pPr>
    </w:p>
    <w:p>
      <w:pPr>
        <w:rPr>
          <w:rFonts w:hint="default" w:ascii="Times New Roman" w:hAnsi="Times New Roman" w:eastAsia="宋体" w:cs="Times New Roman"/>
          <w:sz w:val="52"/>
        </w:rPr>
      </w:pPr>
    </w:p>
    <w:p>
      <w:pPr>
        <w:rPr>
          <w:rFonts w:hint="default" w:ascii="Times New Roman" w:hAnsi="Times New Roman" w:eastAsia="宋体" w:cs="Times New Roman"/>
          <w:sz w:val="52"/>
        </w:rPr>
      </w:pPr>
    </w:p>
    <w:p>
      <w:pPr>
        <w:jc w:val="center"/>
        <w:rPr>
          <w:rFonts w:hint="default" w:ascii="Times New Roman" w:hAnsi="Times New Roman" w:eastAsia="宋体" w:cs="Times New Roman"/>
          <w:bCs/>
          <w:sz w:val="72"/>
        </w:rPr>
      </w:pPr>
      <w:r>
        <w:rPr>
          <w:rFonts w:hint="default" w:ascii="Times New Roman" w:hAnsi="Times New Roman" w:eastAsia="宋体" w:cs="Times New Roman"/>
          <w:bCs/>
          <w:sz w:val="72"/>
        </w:rPr>
        <w:t>投标文件</w:t>
      </w:r>
    </w:p>
    <w:p>
      <w:pPr>
        <w:jc w:val="center"/>
        <w:rPr>
          <w:rFonts w:hint="default" w:ascii="Times New Roman" w:hAnsi="Times New Roman" w:eastAsia="宋体" w:cs="Times New Roman"/>
          <w:bCs/>
          <w:sz w:val="28"/>
        </w:rPr>
      </w:pPr>
      <w:r>
        <w:rPr>
          <w:rFonts w:hint="default" w:ascii="Times New Roman" w:hAnsi="Times New Roman" w:eastAsia="宋体" w:cs="Times New Roman"/>
          <w:bCs/>
          <w:sz w:val="28"/>
        </w:rPr>
        <w:t>采购编号：</w:t>
      </w:r>
      <w:r>
        <w:rPr>
          <w:rFonts w:hint="default" w:ascii="Times New Roman" w:hAnsi="Times New Roman" w:eastAsia="宋体" w:cs="Times New Roman"/>
        </w:rPr>
        <w:t>*********</w:t>
      </w:r>
    </w:p>
    <w:p>
      <w:pPr>
        <w:jc w:val="center"/>
        <w:rPr>
          <w:rFonts w:hint="default" w:ascii="Times New Roman" w:hAnsi="Times New Roman" w:eastAsia="宋体" w:cs="Times New Roman"/>
          <w:bCs/>
          <w:sz w:val="28"/>
        </w:rPr>
      </w:pPr>
    </w:p>
    <w:p>
      <w:pPr>
        <w:jc w:val="center"/>
        <w:rPr>
          <w:rFonts w:hint="default" w:ascii="Times New Roman" w:hAnsi="Times New Roman" w:eastAsia="宋体" w:cs="Times New Roman"/>
          <w:bCs/>
          <w:sz w:val="28"/>
        </w:rPr>
      </w:pPr>
    </w:p>
    <w:p>
      <w:pPr>
        <w:jc w:val="center"/>
        <w:rPr>
          <w:rFonts w:hint="default" w:ascii="Times New Roman" w:hAnsi="Times New Roman" w:eastAsia="宋体" w:cs="Times New Roman"/>
          <w:bCs/>
          <w:sz w:val="28"/>
        </w:rPr>
      </w:pPr>
    </w:p>
    <w:p>
      <w:pPr>
        <w:rPr>
          <w:rFonts w:hint="default" w:ascii="Times New Roman" w:hAnsi="Times New Roman" w:eastAsia="宋体" w:cs="Times New Roman"/>
          <w:bCs/>
          <w:sz w:val="28"/>
        </w:rPr>
      </w:pPr>
    </w:p>
    <w:p>
      <w:pPr>
        <w:spacing w:line="900" w:lineRule="exact"/>
        <w:ind w:firstLine="320" w:firstLineChars="100"/>
        <w:jc w:val="center"/>
        <w:rPr>
          <w:rFonts w:hint="default" w:ascii="Times New Roman" w:hAnsi="Times New Roman" w:eastAsia="宋体" w:cs="Times New Roman"/>
          <w:sz w:val="32"/>
          <w:u w:val="single"/>
        </w:rPr>
      </w:pPr>
      <w:r>
        <w:rPr>
          <w:rFonts w:hint="default" w:ascii="Times New Roman" w:hAnsi="Times New Roman" w:eastAsia="宋体" w:cs="Times New Roman"/>
          <w:sz w:val="32"/>
        </w:rPr>
        <w:t>投标文件内容：</w:t>
      </w:r>
      <w:r>
        <w:rPr>
          <w:rFonts w:hint="default" w:ascii="Times New Roman" w:hAnsi="Times New Roman" w:eastAsia="宋体" w:cs="Times New Roman"/>
          <w:sz w:val="32"/>
          <w:u w:val="single"/>
        </w:rPr>
        <w:t>（资格、商务技术或报价响应文件）</w:t>
      </w:r>
    </w:p>
    <w:p>
      <w:pPr>
        <w:spacing w:line="900" w:lineRule="exact"/>
        <w:ind w:firstLine="313" w:firstLineChars="98"/>
        <w:jc w:val="center"/>
        <w:rPr>
          <w:rFonts w:hint="default" w:ascii="Times New Roman" w:hAnsi="Times New Roman" w:eastAsia="宋体" w:cs="Times New Roman"/>
          <w:sz w:val="32"/>
          <w:u w:val="single"/>
        </w:rPr>
      </w:pPr>
      <w:r>
        <w:rPr>
          <w:rFonts w:hint="default" w:ascii="Times New Roman" w:hAnsi="Times New Roman" w:eastAsia="宋体" w:cs="Times New Roman"/>
          <w:sz w:val="32"/>
        </w:rPr>
        <w:t>投标人：</w:t>
      </w:r>
      <w:r>
        <w:rPr>
          <w:rFonts w:hint="default" w:ascii="Times New Roman" w:hAnsi="Times New Roman" w:eastAsia="宋体" w:cs="Times New Roman"/>
          <w:sz w:val="32"/>
          <w:u w:val="single"/>
        </w:rPr>
        <w:t xml:space="preserve">              （电子签章）</w:t>
      </w:r>
    </w:p>
    <w:p>
      <w:pPr>
        <w:spacing w:line="900" w:lineRule="exact"/>
        <w:ind w:firstLine="320" w:firstLineChars="100"/>
        <w:jc w:val="center"/>
        <w:rPr>
          <w:rFonts w:hint="default" w:ascii="Times New Roman" w:hAnsi="Times New Roman" w:eastAsia="宋体" w:cs="Times New Roman"/>
          <w:sz w:val="32"/>
        </w:rPr>
      </w:pPr>
      <w:r>
        <w:rPr>
          <w:rFonts w:hint="default" w:ascii="Times New Roman" w:hAnsi="Times New Roman" w:eastAsia="宋体" w:cs="Times New Roman"/>
          <w:sz w:val="32"/>
        </w:rPr>
        <w:t>日期：</w:t>
      </w:r>
      <w:r>
        <w:rPr>
          <w:rFonts w:hint="default" w:ascii="Times New Roman" w:hAnsi="Times New Roman" w:eastAsia="宋体" w:cs="Times New Roman"/>
          <w:sz w:val="32"/>
          <w:u w:val="single"/>
        </w:rPr>
        <w:t xml:space="preserve">      年      月      日</w:t>
      </w:r>
    </w:p>
    <w:p>
      <w:pPr>
        <w:pStyle w:val="31"/>
        <w:spacing w:line="460" w:lineRule="exact"/>
        <w:ind w:left="274" w:leftChars="114"/>
        <w:jc w:val="center"/>
        <w:rPr>
          <w:rFonts w:hint="default" w:ascii="Times New Roman" w:hAnsi="Times New Roman" w:eastAsia="宋体" w:cs="Times New Roman"/>
          <w:bCs/>
          <w:sz w:val="36"/>
          <w:szCs w:val="36"/>
        </w:rPr>
      </w:pPr>
    </w:p>
    <w:p>
      <w:pPr>
        <w:pStyle w:val="31"/>
        <w:spacing w:line="460" w:lineRule="exact"/>
        <w:ind w:left="274" w:leftChars="114"/>
        <w:jc w:val="center"/>
        <w:rPr>
          <w:rFonts w:hint="default" w:ascii="Times New Roman" w:hAnsi="Times New Roman" w:eastAsia="宋体" w:cs="Times New Roman"/>
          <w:bCs/>
          <w:sz w:val="36"/>
          <w:szCs w:val="36"/>
        </w:rPr>
      </w:pPr>
    </w:p>
    <w:p>
      <w:pPr>
        <w:pStyle w:val="31"/>
        <w:spacing w:line="460" w:lineRule="exact"/>
        <w:ind w:left="274" w:leftChars="114"/>
        <w:jc w:val="center"/>
        <w:rPr>
          <w:rFonts w:hint="default" w:ascii="Times New Roman" w:hAnsi="Times New Roman" w:eastAsia="宋体" w:cs="Times New Roman"/>
          <w:bCs/>
          <w:sz w:val="36"/>
          <w:szCs w:val="36"/>
        </w:rPr>
      </w:pPr>
    </w:p>
    <w:p>
      <w:pPr>
        <w:pStyle w:val="31"/>
        <w:spacing w:line="460" w:lineRule="exact"/>
        <w:ind w:left="274" w:leftChars="114"/>
        <w:jc w:val="center"/>
        <w:rPr>
          <w:rFonts w:hint="default" w:ascii="Times New Roman" w:hAnsi="Times New Roman" w:eastAsia="宋体" w:cs="Times New Roman"/>
          <w:bCs/>
          <w:sz w:val="36"/>
          <w:szCs w:val="36"/>
        </w:rPr>
      </w:pPr>
    </w:p>
    <w:p>
      <w:pPr>
        <w:pStyle w:val="31"/>
        <w:spacing w:line="460" w:lineRule="exact"/>
        <w:ind w:left="274" w:leftChars="114"/>
        <w:jc w:val="center"/>
        <w:rPr>
          <w:rFonts w:hint="default" w:ascii="Times New Roman" w:hAnsi="Times New Roman" w:eastAsia="宋体" w:cs="Times New Roman"/>
          <w:bCs/>
          <w:sz w:val="36"/>
          <w:szCs w:val="36"/>
        </w:rPr>
      </w:pPr>
    </w:p>
    <w:p>
      <w:pPr>
        <w:pStyle w:val="31"/>
        <w:spacing w:line="460" w:lineRule="exact"/>
        <w:ind w:left="274" w:leftChars="114"/>
        <w:jc w:val="center"/>
        <w:rPr>
          <w:rFonts w:hint="default" w:ascii="Times New Roman" w:hAnsi="Times New Roman" w:eastAsia="宋体" w:cs="Times New Roman"/>
          <w:bCs/>
          <w:sz w:val="36"/>
          <w:szCs w:val="36"/>
        </w:rPr>
      </w:pPr>
    </w:p>
    <w:p>
      <w:pPr>
        <w:pStyle w:val="31"/>
        <w:spacing w:line="460" w:lineRule="exact"/>
        <w:rPr>
          <w:rFonts w:hint="default" w:ascii="Times New Roman" w:hAnsi="Times New Roman" w:eastAsia="宋体" w:cs="Times New Roman"/>
          <w:bCs/>
          <w:sz w:val="30"/>
          <w:szCs w:val="30"/>
        </w:rPr>
      </w:pPr>
    </w:p>
    <w:p>
      <w:pPr>
        <w:pStyle w:val="31"/>
        <w:spacing w:line="460" w:lineRule="exact"/>
        <w:rPr>
          <w:rFonts w:hint="default" w:ascii="Times New Roman" w:hAnsi="Times New Roman" w:eastAsia="宋体" w:cs="Times New Roman"/>
          <w:bCs/>
          <w:sz w:val="30"/>
          <w:szCs w:val="30"/>
        </w:rPr>
      </w:pPr>
    </w:p>
    <w:p>
      <w:pPr>
        <w:pStyle w:val="31"/>
        <w:spacing w:line="360" w:lineRule="exact"/>
        <w:rPr>
          <w:rFonts w:hint="default" w:ascii="Times New Roman" w:hAnsi="Times New Roman" w:eastAsia="宋体" w:cs="Times New Roman"/>
          <w:b/>
          <w:sz w:val="36"/>
          <w:szCs w:val="36"/>
        </w:rPr>
      </w:pPr>
    </w:p>
    <w:p>
      <w:pPr>
        <w:pStyle w:val="6"/>
        <w:spacing w:before="0" w:after="0" w:line="360" w:lineRule="exact"/>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义乌市政府采购项目投标承诺书</w:t>
      </w:r>
    </w:p>
    <w:p>
      <w:pPr>
        <w:pStyle w:val="31"/>
        <w:spacing w:line="360" w:lineRule="exact"/>
        <w:rPr>
          <w:rFonts w:hint="default" w:ascii="Times New Roman" w:hAnsi="Times New Roman" w:eastAsia="宋体" w:cs="Times New Roman"/>
          <w:u w:val="single"/>
        </w:rPr>
      </w:pPr>
      <w:r>
        <w:rPr>
          <w:rFonts w:hint="default" w:ascii="Times New Roman" w:hAnsi="Times New Roman" w:eastAsia="宋体" w:cs="Times New Roman"/>
        </w:rPr>
        <w:t>致：</w:t>
      </w:r>
      <w:r>
        <w:rPr>
          <w:rFonts w:hint="default" w:ascii="Times New Roman" w:hAnsi="Times New Roman" w:eastAsia="宋体" w:cs="Times New Roman"/>
          <w:u w:val="single"/>
        </w:rPr>
        <w:t>采购人名称和代理机构名称</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1、我单位已认真阅读了</w:t>
      </w:r>
      <w:r>
        <w:rPr>
          <w:rFonts w:hint="default" w:ascii="Times New Roman" w:hAnsi="Times New Roman" w:eastAsia="宋体" w:cs="Times New Roman"/>
          <w:color w:val="FF0000"/>
          <w:sz w:val="21"/>
          <w:szCs w:val="21"/>
          <w:highlight w:val="none"/>
          <w:lang w:eastAsia="zh-CN"/>
        </w:rPr>
        <w:t>浙江大学医学院附属第四医院超高效液相色谱-串联质谱系统（含分拣系统）项目</w:t>
      </w:r>
      <w:r>
        <w:rPr>
          <w:rFonts w:hint="default" w:ascii="Times New Roman" w:hAnsi="Times New Roman" w:eastAsia="宋体" w:cs="Times New Roman"/>
          <w:color w:val="FF0000"/>
          <w:sz w:val="21"/>
          <w:szCs w:val="21"/>
          <w:highlight w:val="none"/>
        </w:rPr>
        <w:t>（采购编号：</w:t>
      </w:r>
      <w:r>
        <w:rPr>
          <w:rFonts w:hint="default" w:ascii="Times New Roman" w:hAnsi="Times New Roman" w:eastAsia="宋体" w:cs="Times New Roman"/>
          <w:color w:val="FF0000"/>
          <w:sz w:val="21"/>
          <w:szCs w:val="21"/>
          <w:highlight w:val="none"/>
          <w:lang w:eastAsia="zh-CN"/>
        </w:rPr>
        <w:t>YWCG2023018GK</w:t>
      </w:r>
      <w:r>
        <w:rPr>
          <w:rFonts w:hint="default" w:ascii="Times New Roman" w:hAnsi="Times New Roman" w:eastAsia="宋体" w:cs="Times New Roman"/>
          <w:color w:val="FF0000"/>
          <w:sz w:val="21"/>
          <w:szCs w:val="21"/>
          <w:highlight w:val="none"/>
        </w:rPr>
        <w:t>）</w:t>
      </w:r>
      <w:r>
        <w:rPr>
          <w:rFonts w:hint="default" w:ascii="Times New Roman" w:hAnsi="Times New Roman" w:eastAsia="宋体" w:cs="Times New Roman"/>
          <w:sz w:val="21"/>
          <w:szCs w:val="21"/>
          <w:highlight w:val="none"/>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2、自愿接受义乌市财政局的管理，并严格遵守义乌市财政局制定的招投标管理制度、规范和纪律。</w:t>
      </w:r>
    </w:p>
    <w:p>
      <w:pPr>
        <w:tabs>
          <w:tab w:val="left" w:pos="8820"/>
        </w:tabs>
        <w:spacing w:line="360" w:lineRule="exact"/>
        <w:ind w:firstLine="420" w:firstLineChars="200"/>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rPr>
        <w:t>3、我单位承诺参与本次投标的资格符合《中华人民共和国政府采购法》的规定，并承诺近三年内，在经营活动中没有重大违法记录。我单位承诺财务状况良好，并已</w:t>
      </w:r>
      <w:r>
        <w:rPr>
          <w:rFonts w:hint="default" w:ascii="Times New Roman" w:hAnsi="Times New Roman" w:eastAsia="宋体" w:cs="Times New Roman"/>
          <w:sz w:val="21"/>
          <w:szCs w:val="21"/>
        </w:rPr>
        <w:t>依法按时缴纳税收和社会保障资金。我单位承诺具备履行本项目合同所必需的设备和专业技术能力。如我单位中标，我单位承诺不转包和分包该项目。</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5、不转让、出借、涂改、伪造资质（资格）证书或者以其他方式允许其他单位（个人）以我单位（本人）名义承接业务。</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6、不与采购人或者其他投标人相互串通投标，围标，不以行贿等不正当手段谋取中标。</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7、在招标、投标、开标、评标、询标、中标、签订合同等招投标预备和进行的全过程中提供的资料均真实、有效，不弄虚作假。</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8、我单位已详细审核全部招标文件，包括更正文件(如果有的话)，及有关附件，我方同意放弃提出含糊不清或误解的权力。</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9.投标文件中未明确的内容一律按招标文件规定执行。</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10、我单位同意招标文件要求的投标有效期，如我方中标，我方将受此约束。</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11、我单位相信贵方的招标结果是公正、合法的，无论我单位中标还是落标，我方将接受这一结果。</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12、一旦我单位中标，我单位将严格依照招标文件和投标文件的规定与采购人签订合同。</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13、不低于企业成本价投标，不恶意过高报价，不扰乱招投标的正常秩序。</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14、严格遵守开标纪律，不在开标现场吵闹、滋事，服从工作人员指挥。</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15、指定我单位人员(姓名: _____________ 身份证号码：___________联系电话：_____________)全权代表我方联系和协调处理投标过程中的有关事项。</w:t>
      </w:r>
    </w:p>
    <w:p>
      <w:pPr>
        <w:tabs>
          <w:tab w:val="left" w:pos="8820"/>
        </w:tabs>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rFonts w:hint="default" w:ascii="Times New Roman" w:hAnsi="Times New Roman" w:eastAsia="宋体" w:cs="Times New Roman"/>
          <w:sz w:val="21"/>
          <w:szCs w:val="21"/>
        </w:rPr>
      </w:pPr>
    </w:p>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投标人（电子签章）：                                  年  月  日</w:t>
      </w:r>
    </w:p>
    <w:p>
      <w:pPr>
        <w:pStyle w:val="18"/>
        <w:rPr>
          <w:rFonts w:hint="default" w:ascii="Times New Roman" w:hAnsi="Times New Roman" w:eastAsia="宋体" w:cs="Times New Roman"/>
          <w:sz w:val="21"/>
          <w:szCs w:val="21"/>
        </w:rPr>
      </w:pPr>
    </w:p>
    <w:p>
      <w:pPr>
        <w:pStyle w:val="31"/>
        <w:spacing w:line="360" w:lineRule="exact"/>
        <w:rPr>
          <w:rFonts w:hint="default" w:ascii="Times New Roman" w:hAnsi="Times New Roman" w:eastAsia="宋体" w:cs="Times New Roman"/>
          <w:b/>
          <w:bCs/>
          <w:sz w:val="36"/>
          <w:szCs w:val="36"/>
          <w:lang w:val="zh-CN"/>
        </w:rPr>
      </w:pPr>
    </w:p>
    <w:p>
      <w:pPr>
        <w:pStyle w:val="6"/>
        <w:spacing w:before="0" w:after="0" w:line="360" w:lineRule="exact"/>
        <w:jc w:val="center"/>
        <w:rPr>
          <w:rFonts w:hint="default" w:ascii="Times New Roman" w:hAnsi="Times New Roman" w:eastAsia="宋体" w:cs="Times New Roman"/>
          <w:b/>
          <w:bCs/>
          <w:sz w:val="36"/>
          <w:szCs w:val="36"/>
          <w:lang w:val="zh-CN"/>
        </w:rPr>
      </w:pPr>
      <w:r>
        <w:rPr>
          <w:rFonts w:hint="default" w:ascii="Times New Roman" w:hAnsi="Times New Roman" w:eastAsia="宋体" w:cs="Times New Roman"/>
          <w:b/>
          <w:bCs/>
          <w:sz w:val="36"/>
          <w:szCs w:val="36"/>
          <w:lang w:val="zh-CN"/>
        </w:rPr>
        <w:t>联合体协议</w:t>
      </w:r>
    </w:p>
    <w:p>
      <w:pPr>
        <w:spacing w:line="360" w:lineRule="auto"/>
        <w:ind w:firstLine="482" w:firstLineChars="200"/>
        <w:rPr>
          <w:rFonts w:hint="default" w:ascii="Times New Roman" w:hAnsi="Times New Roman" w:eastAsia="宋体" w:cs="Times New Roman"/>
          <w:b/>
        </w:rPr>
      </w:pPr>
      <w:r>
        <w:rPr>
          <w:rFonts w:hint="default" w:ascii="Times New Roman" w:hAnsi="Times New Roman" w:eastAsia="宋体" w:cs="Times New Roman"/>
          <w:b/>
        </w:rPr>
        <w:t>（以联合体形式投标的，提供联合协议；本项目不接受联合体投标或者投标人不以联合体形式投标的，则不需要提供）</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u w:val="single"/>
        </w:rPr>
        <w:t>（联合体所有成员名称）</w:t>
      </w:r>
      <w:r>
        <w:rPr>
          <w:rFonts w:hint="default" w:ascii="Times New Roman" w:hAnsi="Times New Roman" w:eastAsia="宋体" w:cs="Times New Roman"/>
        </w:rPr>
        <w:t>自愿</w:t>
      </w:r>
      <w:r>
        <w:rPr>
          <w:rFonts w:hint="default" w:ascii="Times New Roman" w:hAnsi="Times New Roman" w:eastAsia="宋体" w:cs="Times New Roman"/>
          <w:lang w:val="zh-CN"/>
        </w:rPr>
        <w:t>组成一个联合体，以一个投标人的身份</w:t>
      </w:r>
      <w:r>
        <w:rPr>
          <w:rFonts w:hint="default" w:ascii="Times New Roman" w:hAnsi="Times New Roman" w:eastAsia="宋体" w:cs="Times New Roman"/>
        </w:rPr>
        <w:t>参加（项目名称）【招标编号：（采购编号）】</w:t>
      </w:r>
      <w:r>
        <w:rPr>
          <w:rFonts w:hint="default" w:ascii="Times New Roman" w:hAnsi="Times New Roman" w:eastAsia="宋体" w:cs="Times New Roman"/>
          <w:lang w:val="zh-CN"/>
        </w:rPr>
        <w:t xml:space="preserve">投标。 </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一、各方一致决定，</w:t>
      </w:r>
      <w:r>
        <w:rPr>
          <w:rFonts w:hint="default" w:ascii="Times New Roman" w:hAnsi="Times New Roman" w:eastAsia="宋体" w:cs="Times New Roman"/>
          <w:u w:val="single"/>
        </w:rPr>
        <w:t>（某联合体成员名称）</w:t>
      </w:r>
      <w:r>
        <w:rPr>
          <w:rFonts w:hint="default" w:ascii="Times New Roman" w:hAnsi="Times New Roman" w:eastAsia="宋体" w:cs="Times New Roman"/>
        </w:rPr>
        <w:t>为联合体</w:t>
      </w:r>
      <w:r>
        <w:rPr>
          <w:rFonts w:hint="default" w:ascii="Times New Roman" w:hAnsi="Times New Roman" w:eastAsia="宋体" w:cs="Times New Roman"/>
          <w:lang w:val="zh-CN"/>
        </w:rPr>
        <w:t>牵头人</w:t>
      </w:r>
      <w:r>
        <w:rPr>
          <w:rFonts w:hint="default" w:ascii="Times New Roman" w:hAnsi="Times New Roman" w:eastAsia="宋体" w:cs="Times New Roman"/>
        </w:rPr>
        <w:t>，代表所有联合体成员负责投标和合同实施阶段的主办、协调工作</w:t>
      </w:r>
      <w:r>
        <w:rPr>
          <w:rFonts w:hint="default" w:ascii="Times New Roman" w:hAnsi="Times New Roman" w:eastAsia="宋体" w:cs="Times New Roman"/>
          <w:lang w:val="zh-CN"/>
        </w:rPr>
        <w:t>。</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二、</w:t>
      </w:r>
      <w:r>
        <w:rPr>
          <w:rFonts w:hint="default" w:ascii="Times New Roman" w:hAnsi="Times New Roman" w:eastAsia="宋体" w:cs="Times New Roman"/>
        </w:rPr>
        <w:t>所有联合体成员各方签署授权书，授权书载明的</w:t>
      </w:r>
      <w:r>
        <w:rPr>
          <w:rFonts w:hint="default" w:ascii="Times New Roman" w:hAnsi="Times New Roman" w:eastAsia="宋体" w:cs="Times New Roman"/>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三、本次联合投标中，分工如下：</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u w:val="single"/>
        </w:rPr>
        <w:t>（联合体其中一方成员名称）</w:t>
      </w:r>
      <w:r>
        <w:rPr>
          <w:rFonts w:hint="default" w:ascii="Times New Roman" w:hAnsi="Times New Roman" w:eastAsia="宋体" w:cs="Times New Roman"/>
          <w:lang w:val="zh-CN"/>
        </w:rPr>
        <w:t>承担的工作和义务为：</w:t>
      </w:r>
      <w:r>
        <w:rPr>
          <w:rFonts w:hint="default" w:ascii="Times New Roman" w:hAnsi="Times New Roman" w:eastAsia="宋体" w:cs="Times New Roman"/>
          <w:u w:val="single"/>
        </w:rPr>
        <w:t xml:space="preserve">             </w:t>
      </w:r>
      <w:r>
        <w:rPr>
          <w:rFonts w:hint="default" w:ascii="Times New Roman" w:hAnsi="Times New Roman" w:eastAsia="宋体" w:cs="Times New Roman"/>
          <w:lang w:val="zh-CN"/>
        </w:rPr>
        <w:t>；……。</w:t>
      </w:r>
    </w:p>
    <w:p>
      <w:pPr>
        <w:snapToGrid w:val="0"/>
        <w:spacing w:line="360" w:lineRule="auto"/>
        <w:ind w:firstLine="576"/>
        <w:rPr>
          <w:rFonts w:hint="default" w:ascii="Times New Roman" w:hAnsi="Times New Roman" w:eastAsia="宋体" w:cs="Times New Roman"/>
          <w:b/>
          <w:highlight w:val="yellow"/>
          <w:lang w:val="zh-CN"/>
        </w:rPr>
      </w:pPr>
      <w:r>
        <w:rPr>
          <w:rFonts w:hint="default" w:ascii="Times New Roman" w:hAnsi="Times New Roman" w:eastAsia="宋体" w:cs="Times New Roman"/>
          <w:lang w:val="zh-CN"/>
        </w:rPr>
        <w:t>四、</w:t>
      </w:r>
      <w:r>
        <w:rPr>
          <w:rFonts w:hint="default" w:ascii="Times New Roman" w:hAnsi="Times New Roman" w:eastAsia="宋体" w:cs="Times New Roman"/>
          <w:u w:val="single"/>
        </w:rPr>
        <w:t>（联合体其中一方成员名称）</w:t>
      </w:r>
      <w:r>
        <w:rPr>
          <w:rFonts w:hint="default" w:ascii="Times New Roman" w:hAnsi="Times New Roman" w:eastAsia="宋体" w:cs="Times New Roman"/>
        </w:rPr>
        <w:t>提供的全部货物由小微企业制造或服务全部由符合政策要求的小微企业承接，其合同份额占到合同总金额</w:t>
      </w:r>
      <w:r>
        <w:rPr>
          <w:rFonts w:hint="default" w:ascii="Times New Roman" w:hAnsi="Times New Roman" w:eastAsia="宋体" w:cs="Times New Roman"/>
          <w:u w:val="single"/>
        </w:rPr>
        <w:t xml:space="preserve">     </w:t>
      </w:r>
      <w:r>
        <w:rPr>
          <w:rFonts w:hint="default" w:ascii="Times New Roman" w:hAnsi="Times New Roman" w:eastAsia="宋体" w:cs="Times New Roman"/>
        </w:rPr>
        <w:t>%以上；</w:t>
      </w:r>
      <w:r>
        <w:rPr>
          <w:rFonts w:hint="default" w:ascii="Times New Roman" w:hAnsi="Times New Roman" w:eastAsia="宋体" w:cs="Times New Roman"/>
          <w:lang w:val="zh-CN"/>
        </w:rPr>
        <w:t>……。（未预留份额专门面向中小企业采购的的采购项目，以及预留份额中的非预留部分采购包，接受联合体投标的，联合体其中一方提供的货物全部由小微企业制造或服务全部由符合政策要求的小微企业承接，且其合同份额占到合同总金额 30%以上，对联合体报价给予6%的扣除）</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五、如果中标，</w:t>
      </w:r>
      <w:r>
        <w:rPr>
          <w:rFonts w:hint="default" w:ascii="Times New Roman" w:hAnsi="Times New Roman" w:eastAsia="宋体" w:cs="Times New Roman"/>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六、有关本次联合投标的其他事宜：</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lang w:val="zh-CN"/>
        </w:rPr>
      </w:pPr>
      <w:r>
        <w:rPr>
          <w:rFonts w:hint="default" w:ascii="Times New Roman" w:hAnsi="Times New Roman" w:eastAsia="宋体" w:cs="Times New Roman"/>
          <w:lang w:val="zh-CN"/>
        </w:rPr>
        <w:t>3、本协议提交采购人、采购机构后，联合体各方不得以任何形式对上述内容进行修改或撤销。</w:t>
      </w:r>
    </w:p>
    <w:p>
      <w:pPr>
        <w:snapToGrid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联合体成员名称(盖公章)：</w:t>
      </w:r>
      <w:r>
        <w:rPr>
          <w:rFonts w:hint="default" w:ascii="Times New Roman" w:hAnsi="Times New Roman" w:eastAsia="宋体" w:cs="Times New Roman"/>
        </w:rPr>
        <w:t xml:space="preserve">                      </w:t>
      </w:r>
      <w:r>
        <w:rPr>
          <w:rFonts w:hint="default" w:ascii="Times New Roman" w:hAnsi="Times New Roman" w:eastAsia="宋体" w:cs="Times New Roman"/>
          <w:lang w:val="zh-CN"/>
        </w:rPr>
        <w:t>联合体成员名称(盖公章)：</w:t>
      </w:r>
    </w:p>
    <w:p>
      <w:pPr>
        <w:snapToGrid w:val="0"/>
        <w:spacing w:line="360" w:lineRule="auto"/>
        <w:ind w:firstLine="5760" w:firstLineChars="2400"/>
        <w:rPr>
          <w:rFonts w:hint="default" w:ascii="Times New Roman" w:hAnsi="Times New Roman" w:eastAsia="宋体" w:cs="Times New Roman"/>
        </w:rPr>
      </w:pPr>
      <w:r>
        <w:rPr>
          <w:rFonts w:hint="default" w:ascii="Times New Roman" w:hAnsi="Times New Roman" w:eastAsia="宋体" w:cs="Times New Roman"/>
          <w:lang w:val="zh-CN"/>
        </w:rPr>
        <w:t>……</w:t>
      </w:r>
    </w:p>
    <w:p>
      <w:pPr>
        <w:snapToGrid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 xml:space="preserve">                                               日期：  年  月   日</w:t>
      </w:r>
    </w:p>
    <w:p>
      <w:pPr>
        <w:pStyle w:val="31"/>
        <w:spacing w:line="360" w:lineRule="exact"/>
        <w:rPr>
          <w:rFonts w:hint="default" w:ascii="Times New Roman" w:hAnsi="Times New Roman" w:eastAsia="宋体" w:cs="Times New Roman"/>
          <w:b/>
          <w:bCs/>
          <w:sz w:val="36"/>
          <w:szCs w:val="36"/>
        </w:rPr>
      </w:pPr>
    </w:p>
    <w:p>
      <w:pPr>
        <w:snapToGrid w:val="0"/>
        <w:spacing w:line="360" w:lineRule="auto"/>
        <w:ind w:firstLine="576"/>
        <w:rPr>
          <w:rFonts w:hint="default" w:ascii="Times New Roman" w:hAnsi="Times New Roman" w:eastAsia="宋体" w:cs="Times New Roman"/>
          <w:b/>
          <w:bCs/>
          <w:sz w:val="36"/>
          <w:szCs w:val="36"/>
          <w:lang w:val="zh-CN"/>
        </w:rPr>
      </w:pPr>
    </w:p>
    <w:p>
      <w:pPr>
        <w:pStyle w:val="6"/>
        <w:spacing w:before="0" w:after="0" w:line="360" w:lineRule="exact"/>
        <w:jc w:val="center"/>
        <w:rPr>
          <w:rFonts w:hint="default" w:ascii="Times New Roman" w:hAnsi="Times New Roman" w:eastAsia="宋体" w:cs="Times New Roman"/>
          <w:lang w:val="zh-CN"/>
        </w:rPr>
      </w:pPr>
      <w:r>
        <w:rPr>
          <w:rFonts w:hint="default" w:ascii="Times New Roman" w:hAnsi="Times New Roman" w:eastAsia="宋体" w:cs="Times New Roman"/>
          <w:b/>
          <w:bCs/>
          <w:sz w:val="36"/>
          <w:szCs w:val="36"/>
          <w:lang w:val="zh-CN"/>
        </w:rPr>
        <w:t>参投货物说明一览表</w:t>
      </w:r>
    </w:p>
    <w:p>
      <w:pP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采购</w:t>
      </w: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color w:val="FF0000"/>
          <w:sz w:val="24"/>
          <w:szCs w:val="24"/>
          <w:highlight w:val="none"/>
        </w:rPr>
        <w:t>YWCG2023018GK</w:t>
      </w:r>
    </w:p>
    <w:tbl>
      <w:tblPr>
        <w:tblStyle w:val="60"/>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9"/>
        <w:gridCol w:w="3395"/>
        <w:gridCol w:w="720"/>
        <w:gridCol w:w="1290"/>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blHeader/>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序号</w:t>
            </w: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名称</w:t>
            </w: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数量</w:t>
            </w: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品牌型号</w:t>
            </w: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3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3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bidi="ar-SA"/>
              </w:rPr>
            </w:pPr>
          </w:p>
        </w:tc>
        <w:tc>
          <w:tcPr>
            <w:tcW w:w="18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bl>
    <w:p>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月      日</w:t>
      </w:r>
    </w:p>
    <w:p>
      <w:pPr>
        <w:rPr>
          <w:rFonts w:hint="default" w:ascii="Times New Roman" w:hAnsi="Times New Roman" w:eastAsia="宋体" w:cs="Times New Roman"/>
        </w:rPr>
      </w:pPr>
      <w:r>
        <w:rPr>
          <w:rFonts w:hint="default" w:ascii="Times New Roman" w:hAnsi="Times New Roman" w:eastAsia="宋体" w:cs="Times New Roman"/>
          <w:sz w:val="24"/>
          <w:szCs w:val="24"/>
          <w:highlight w:val="none"/>
        </w:rPr>
        <w:t>备注：</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sz w:val="24"/>
          <w:szCs w:val="24"/>
          <w:highlight w:val="none"/>
        </w:rPr>
        <w:t>此表在不改变格式的情况下可自行制作。</w:t>
      </w:r>
    </w:p>
    <w:p>
      <w:pPr>
        <w:snapToGrid w:val="0"/>
        <w:spacing w:line="360" w:lineRule="auto"/>
        <w:ind w:firstLine="576"/>
        <w:rPr>
          <w:rFonts w:hint="default" w:ascii="Times New Roman" w:hAnsi="Times New Roman" w:eastAsia="宋体" w:cs="Times New Roman"/>
          <w:b/>
          <w:bCs/>
          <w:sz w:val="36"/>
          <w:szCs w:val="36"/>
          <w:lang w:val="zh-CN"/>
        </w:rPr>
      </w:pPr>
    </w:p>
    <w:p>
      <w:pPr>
        <w:snapToGrid w:val="0"/>
        <w:spacing w:line="360" w:lineRule="auto"/>
        <w:ind w:firstLine="576"/>
        <w:rPr>
          <w:rFonts w:hint="default" w:ascii="Times New Roman" w:hAnsi="Times New Roman" w:eastAsia="宋体" w:cs="Times New Roman"/>
          <w:b/>
          <w:bCs/>
          <w:sz w:val="36"/>
          <w:szCs w:val="36"/>
          <w:lang w:val="zh-CN"/>
        </w:rPr>
      </w:pPr>
    </w:p>
    <w:p>
      <w:pPr>
        <w:snapToGrid w:val="0"/>
        <w:spacing w:line="360" w:lineRule="auto"/>
        <w:ind w:firstLine="576"/>
        <w:rPr>
          <w:rFonts w:hint="default" w:ascii="Times New Roman" w:hAnsi="Times New Roman" w:eastAsia="宋体" w:cs="Times New Roman"/>
          <w:b/>
          <w:bCs/>
          <w:sz w:val="36"/>
          <w:szCs w:val="36"/>
          <w:lang w:val="zh-CN"/>
        </w:rPr>
      </w:pPr>
    </w:p>
    <w:p>
      <w:pPr>
        <w:snapToGrid w:val="0"/>
        <w:spacing w:line="360" w:lineRule="auto"/>
        <w:ind w:firstLine="576"/>
        <w:rPr>
          <w:rFonts w:hint="default" w:ascii="Times New Roman" w:hAnsi="Times New Roman" w:eastAsia="宋体" w:cs="Times New Roman"/>
          <w:b/>
          <w:bCs/>
          <w:sz w:val="36"/>
          <w:szCs w:val="36"/>
          <w:lang w:val="zh-CN"/>
        </w:rPr>
      </w:pPr>
    </w:p>
    <w:p>
      <w:pPr>
        <w:pStyle w:val="2"/>
        <w:rPr>
          <w:rFonts w:hint="default" w:ascii="Times New Roman" w:hAnsi="Times New Roman" w:eastAsia="宋体" w:cs="Times New Roman"/>
          <w:lang w:val="zh-CN"/>
        </w:rPr>
      </w:pPr>
    </w:p>
    <w:p>
      <w:pPr>
        <w:snapToGrid w:val="0"/>
        <w:spacing w:line="360" w:lineRule="auto"/>
        <w:ind w:firstLine="576"/>
        <w:rPr>
          <w:rFonts w:hint="default" w:ascii="Times New Roman" w:hAnsi="Times New Roman" w:eastAsia="宋体" w:cs="Times New Roman"/>
          <w:b/>
          <w:bCs/>
          <w:sz w:val="36"/>
          <w:szCs w:val="36"/>
          <w:lang w:val="zh-CN"/>
        </w:rPr>
      </w:pPr>
    </w:p>
    <w:p>
      <w:pPr>
        <w:pStyle w:val="6"/>
        <w:spacing w:before="0" w:after="0" w:line="36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规范偏离表</w:t>
      </w:r>
    </w:p>
    <w:p>
      <w:pPr>
        <w:spacing w:line="360" w:lineRule="auto"/>
        <w:rPr>
          <w:rFonts w:hint="default" w:ascii="Times New Roman" w:hAnsi="Times New Roman" w:eastAsia="宋体" w:cs="Times New Roman"/>
          <w:lang w:eastAsia="zh-CN"/>
        </w:rPr>
      </w:pPr>
      <w:r>
        <w:rPr>
          <w:rFonts w:hint="default" w:ascii="Times New Roman" w:hAnsi="Times New Roman" w:eastAsia="宋体" w:cs="Times New Roman"/>
          <w:sz w:val="21"/>
          <w:szCs w:val="21"/>
        </w:rPr>
        <w:t>采购编</w:t>
      </w:r>
      <w:r>
        <w:rPr>
          <w:rFonts w:hint="default" w:ascii="Times New Roman" w:hAnsi="Times New Roman" w:eastAsia="宋体" w:cs="Times New Roman"/>
          <w:sz w:val="21"/>
          <w:szCs w:val="21"/>
          <w:highlight w:val="none"/>
        </w:rPr>
        <w:t>号：</w:t>
      </w:r>
      <w:r>
        <w:rPr>
          <w:rFonts w:hint="default" w:ascii="Times New Roman" w:hAnsi="Times New Roman" w:eastAsia="宋体" w:cs="Times New Roman"/>
          <w:color w:val="FF0000"/>
          <w:highlight w:val="none"/>
          <w:lang w:eastAsia="zh-CN"/>
        </w:rPr>
        <w:t>YWCG2023018GK</w:t>
      </w:r>
    </w:p>
    <w:tbl>
      <w:tblPr>
        <w:tblStyle w:val="6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1430"/>
        <w:gridCol w:w="1984"/>
        <w:gridCol w:w="184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rPr>
            </w:pPr>
            <w:r>
              <w:rPr>
                <w:rFonts w:hint="default" w:ascii="Times New Roman" w:hAnsi="Times New Roman" w:eastAsia="宋体" w:cs="Times New Roman"/>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招标文件</w:t>
            </w:r>
          </w:p>
          <w:p>
            <w:pPr>
              <w:jc w:val="center"/>
              <w:rPr>
                <w:rFonts w:hint="default" w:ascii="Times New Roman" w:hAnsi="Times New Roman" w:eastAsia="宋体" w:cs="Times New Roman"/>
              </w:rPr>
            </w:pPr>
            <w:r>
              <w:rPr>
                <w:rFonts w:hint="default" w:ascii="Times New Roman" w:hAnsi="Times New Roman" w:eastAsia="宋体" w:cs="Times New Roman"/>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投标文件</w:t>
            </w:r>
          </w:p>
          <w:p>
            <w:pPr>
              <w:jc w:val="center"/>
              <w:rPr>
                <w:rFonts w:hint="default" w:ascii="Times New Roman" w:hAnsi="Times New Roman" w:eastAsia="宋体" w:cs="Times New Roman"/>
              </w:rPr>
            </w:pPr>
            <w:r>
              <w:rPr>
                <w:rFonts w:hint="default" w:ascii="Times New Roman" w:hAnsi="Times New Roman" w:eastAsia="宋体" w:cs="Times New Roman"/>
              </w:rPr>
              <w:t>对应规范</w:t>
            </w:r>
          </w:p>
        </w:tc>
        <w:tc>
          <w:tcPr>
            <w:tcW w:w="29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偏离情况</w:t>
            </w:r>
          </w:p>
          <w:p>
            <w:pPr>
              <w:jc w:val="center"/>
              <w:rPr>
                <w:rFonts w:hint="default" w:ascii="Times New Roman" w:hAnsi="Times New Roman" w:eastAsia="宋体" w:cs="Times New Roman"/>
              </w:rPr>
            </w:pPr>
            <w:r>
              <w:rPr>
                <w:rFonts w:hint="default" w:ascii="Times New Roman" w:hAnsi="Times New Roman" w:eastAsia="宋体" w:cs="Times New Roman"/>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rPr>
              <w:t>商务偏离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技术</w:t>
            </w:r>
          </w:p>
          <w:p>
            <w:pPr>
              <w:rPr>
                <w:rFonts w:hint="default" w:ascii="Times New Roman" w:hAnsi="Times New Roman" w:eastAsia="宋体" w:cs="Times New Roman"/>
              </w:rPr>
            </w:pPr>
            <w:r>
              <w:rPr>
                <w:rFonts w:hint="default" w:ascii="Times New Roman" w:hAnsi="Times New Roman" w:eastAsia="宋体" w:cs="Times New Roman"/>
              </w:rPr>
              <w:t>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tcPr>
          <w:p>
            <w:pPr>
              <w:spacing w:line="360" w:lineRule="auto"/>
              <w:jc w:val="cente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c>
          <w:tcPr>
            <w:tcW w:w="294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rPr>
            </w:pPr>
          </w:p>
        </w:tc>
      </w:tr>
    </w:tbl>
    <w:p>
      <w:pPr>
        <w:pStyle w:val="31"/>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投标人名称（电子签章）：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pStyle w:val="31"/>
        <w:spacing w:line="460" w:lineRule="exact"/>
        <w:ind w:left="274" w:leftChars="114"/>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日 期：   年   月   日</w:t>
      </w:r>
    </w:p>
    <w:p>
      <w:pPr>
        <w:spacing w:line="400" w:lineRule="exact"/>
        <w:ind w:firstLine="480" w:firstLineChars="200"/>
        <w:rPr>
          <w:rFonts w:hint="default" w:ascii="Times New Roman" w:hAnsi="Times New Roman" w:eastAsia="宋体" w:cs="Times New Roman"/>
        </w:rPr>
      </w:pP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备注：1、投标人应仔细对第三章招标项目要求进行逐条分析，如投标内容与招标文件内容有不一致的，则须在上表中列明并详细填写。</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2、如招标文件内容与投标文件内容都一致的，则本表可以在相关的盖章后，不需要填写其它内容或在“偏离情况详细说明”栏内只填写一个无字。</w:t>
      </w:r>
    </w:p>
    <w:p>
      <w:pPr>
        <w:spacing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3、此表在不改变表式内容的情况下可自行制作。</w:t>
      </w:r>
    </w:p>
    <w:p>
      <w:pPr>
        <w:jc w:val="center"/>
        <w:rPr>
          <w:rFonts w:hint="default" w:ascii="Times New Roman" w:hAnsi="Times New Roman" w:eastAsia="宋体" w:cs="Times New Roman"/>
          <w:b/>
          <w:bCs/>
          <w:sz w:val="36"/>
        </w:rPr>
      </w:pPr>
    </w:p>
    <w:p>
      <w:pPr>
        <w:pStyle w:val="18"/>
        <w:rPr>
          <w:rFonts w:hint="default" w:ascii="Times New Roman" w:hAnsi="Times New Roman" w:eastAsia="宋体" w:cs="Times New Roman"/>
        </w:rPr>
      </w:pPr>
    </w:p>
    <w:p>
      <w:pPr>
        <w:rPr>
          <w:rFonts w:hint="default" w:ascii="Times New Roman" w:hAnsi="Times New Roman" w:eastAsia="宋体" w:cs="Times New Roman"/>
          <w:b/>
          <w:bCs/>
          <w:sz w:val="36"/>
        </w:rPr>
      </w:pPr>
    </w:p>
    <w:p>
      <w:pPr>
        <w:spacing w:line="480" w:lineRule="auto"/>
        <w:jc w:val="center"/>
        <w:rPr>
          <w:rFonts w:hint="default" w:ascii="Times New Roman" w:hAnsi="Times New Roman" w:eastAsia="宋体" w:cs="Times New Roman"/>
          <w:b/>
          <w:bCs/>
          <w:sz w:val="36"/>
          <w:szCs w:val="36"/>
          <w:highlight w:val="none"/>
        </w:rPr>
      </w:pPr>
    </w:p>
    <w:p>
      <w:pPr>
        <w:pStyle w:val="6"/>
        <w:spacing w:before="0" w:after="0" w:line="36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产品质量保证及售后服务承诺书</w:t>
      </w:r>
    </w:p>
    <w:p>
      <w:pPr>
        <w:spacing w:line="360" w:lineRule="auto"/>
        <w:rPr>
          <w:rFonts w:hint="default" w:ascii="Times New Roman" w:hAnsi="Times New Roman" w:eastAsia="宋体" w:cs="Times New Roman"/>
          <w:b/>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根据贵方为   年   月   日</w:t>
      </w:r>
      <w:r>
        <w:rPr>
          <w:rFonts w:hint="default" w:ascii="Times New Roman" w:hAnsi="Times New Roman" w:eastAsia="宋体" w:cs="Times New Roman"/>
          <w:color w:val="FF0000"/>
          <w:highlight w:val="none"/>
          <w:lang w:eastAsia="zh-CN"/>
        </w:rPr>
        <w:t>YWCG2023018GK</w:t>
      </w:r>
      <w:r>
        <w:rPr>
          <w:rFonts w:hint="default" w:ascii="Times New Roman" w:hAnsi="Times New Roman" w:eastAsia="宋体" w:cs="Times New Roman"/>
          <w:szCs w:val="21"/>
          <w:highlight w:val="none"/>
          <w:u w:val="single"/>
        </w:rPr>
        <w:t>（采购编号）</w:t>
      </w:r>
      <w:r>
        <w:rPr>
          <w:rFonts w:hint="default" w:ascii="Times New Roman" w:hAnsi="Times New Roman" w:eastAsia="宋体" w:cs="Times New Roman"/>
          <w:szCs w:val="21"/>
          <w:highlight w:val="none"/>
        </w:rPr>
        <w:t>招标项目的投标邀请，我方对该项目做出如下产品质量承诺：</w:t>
      </w: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1.技术规范及相关产品标准：</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2.产品都属于厂家原装正品产品：</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b/>
          <w:szCs w:val="21"/>
          <w:highlight w:val="none"/>
          <w:u w:val="single"/>
        </w:rPr>
      </w:pPr>
      <w:r>
        <w:rPr>
          <w:rFonts w:hint="default" w:ascii="Times New Roman" w:hAnsi="Times New Roman" w:eastAsia="宋体" w:cs="Times New Roman"/>
          <w:szCs w:val="21"/>
          <w:highlight w:val="none"/>
        </w:rPr>
        <w:t>3.质保年限、范围、质保条件：</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4.质量问题及投诉的处理、解决问题的响应时间及方式：</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5.售后服务的联系人及联系方式：</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6.其它售后服务承诺内容：</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投标人名称（电子签章）_____________________</w:t>
      </w:r>
    </w:p>
    <w:p>
      <w:pPr>
        <w:jc w:val="right"/>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月    日</w:t>
      </w:r>
    </w:p>
    <w:p>
      <w:pPr>
        <w:pStyle w:val="18"/>
        <w:rPr>
          <w:rFonts w:hint="default" w:ascii="Times New Roman" w:hAnsi="Times New Roman" w:eastAsia="宋体" w:cs="Times New Roman"/>
        </w:rPr>
      </w:pPr>
    </w:p>
    <w:p>
      <w:pPr>
        <w:spacing w:line="480" w:lineRule="auto"/>
        <w:jc w:val="center"/>
        <w:rPr>
          <w:rFonts w:hint="default" w:ascii="Times New Roman" w:hAnsi="Times New Roman" w:eastAsia="宋体" w:cs="Times New Roman"/>
          <w:b/>
          <w:bCs/>
          <w:sz w:val="36"/>
          <w:szCs w:val="36"/>
        </w:rPr>
      </w:pPr>
    </w:p>
    <w:p>
      <w:pPr>
        <w:pStyle w:val="18"/>
        <w:ind w:left="0" w:leftChars="0" w:firstLine="0" w:firstLineChars="0"/>
        <w:jc w:val="center"/>
        <w:rPr>
          <w:rFonts w:hint="default" w:ascii="Times New Roman" w:hAnsi="Times New Roman" w:eastAsia="宋体" w:cs="Times New Roman"/>
          <w:b/>
          <w:bCs/>
          <w:sz w:val="36"/>
          <w:szCs w:val="36"/>
          <w:highlight w:val="none"/>
        </w:rPr>
      </w:pPr>
    </w:p>
    <w:p>
      <w:pPr>
        <w:pStyle w:val="6"/>
        <w:spacing w:before="0" w:after="0" w:line="360" w:lineRule="exact"/>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p>
    <w:p>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w:t>
      </w:r>
      <w:r>
        <w:rPr>
          <w:rFonts w:hint="default" w:ascii="Times New Roman" w:hAnsi="Times New Roman" w:eastAsia="宋体" w:cs="Times New Roman"/>
          <w:color w:val="FF0000"/>
          <w:szCs w:val="21"/>
          <w:highlight w:val="none"/>
        </w:rPr>
        <w:t>浙江大学医学院附属第四医院超高效液相色谱-串联质谱系统（含分拣系统）项目</w:t>
      </w:r>
    </w:p>
    <w:p>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采购编号：</w:t>
      </w:r>
      <w:r>
        <w:rPr>
          <w:rFonts w:hint="default" w:ascii="Times New Roman" w:hAnsi="Times New Roman" w:eastAsia="宋体" w:cs="Times New Roman"/>
          <w:color w:val="FF0000"/>
          <w:szCs w:val="21"/>
          <w:highlight w:val="none"/>
        </w:rPr>
        <w:t>YWCG2023018GK</w:t>
      </w:r>
    </w:p>
    <w:tbl>
      <w:tblPr>
        <w:tblStyle w:val="60"/>
        <w:tblW w:w="9417" w:type="dxa"/>
        <w:tblInd w:w="0" w:type="dxa"/>
        <w:shd w:val="clear" w:color="auto" w:fill="auto"/>
        <w:tblLayout w:type="fixed"/>
        <w:tblCellMar>
          <w:top w:w="0" w:type="dxa"/>
          <w:left w:w="0" w:type="dxa"/>
          <w:bottom w:w="0" w:type="dxa"/>
          <w:right w:w="0" w:type="dxa"/>
        </w:tblCellMar>
      </w:tblPr>
      <w:tblGrid>
        <w:gridCol w:w="684"/>
        <w:gridCol w:w="1233"/>
        <w:gridCol w:w="795"/>
        <w:gridCol w:w="1965"/>
        <w:gridCol w:w="1380"/>
        <w:gridCol w:w="705"/>
        <w:gridCol w:w="1305"/>
        <w:gridCol w:w="1350"/>
      </w:tblGrid>
      <w:tr>
        <w:tblPrEx>
          <w:tblCellMar>
            <w:top w:w="0" w:type="dxa"/>
            <w:left w:w="0" w:type="dxa"/>
            <w:bottom w:w="0" w:type="dxa"/>
            <w:right w:w="0" w:type="dxa"/>
          </w:tblCellMar>
        </w:tblPrEx>
        <w:trPr>
          <w:trHeight w:val="23" w:hRule="atLeast"/>
          <w:tblHead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序号</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eastAsia="zh-CN"/>
              </w:rPr>
              <w:t>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eastAsia" w:cs="Times New Roman"/>
                <w:i w:val="0"/>
                <w:color w:val="000000"/>
                <w:kern w:val="0"/>
                <w:sz w:val="24"/>
                <w:szCs w:val="24"/>
                <w:highlight w:val="none"/>
                <w:u w:val="none"/>
                <w:lang w:val="en-US" w:eastAsia="zh-CN" w:bidi="ar"/>
              </w:rPr>
              <w:t>品牌型号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总价（元）</w:t>
            </w:r>
          </w:p>
        </w:tc>
      </w:tr>
      <w:tr>
        <w:tblPrEx>
          <w:tblCellMar>
            <w:top w:w="0" w:type="dxa"/>
            <w:left w:w="0" w:type="dxa"/>
            <w:bottom w:w="0" w:type="dxa"/>
            <w:right w:w="0" w:type="dxa"/>
          </w:tblCellMar>
        </w:tblPrEx>
        <w:trPr>
          <w:trHeight w:val="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38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合计</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eastAsia" w:ascii="Times New Roman" w:hAnsi="Times New Roman" w:eastAsia="宋体" w:cs="Times New Roman"/>
                <w:i w:val="0"/>
                <w:color w:val="000000"/>
                <w:kern w:val="0"/>
                <w:sz w:val="24"/>
                <w:szCs w:val="24"/>
                <w:highlight w:val="none"/>
                <w:u w:val="none"/>
                <w:lang w:val="en-US" w:eastAsia="zh-CN" w:bidi="ar"/>
              </w:rPr>
              <w:t>（设备投标报价）</w:t>
            </w:r>
          </w:p>
        </w:tc>
        <w:tc>
          <w:tcPr>
            <w:tcW w:w="75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eastAsia"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single"/>
              </w:rPr>
              <w:t xml:space="preserve">                     </w:t>
            </w:r>
            <w:r>
              <w:rPr>
                <w:rFonts w:hint="eastAsia"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r>
        <w:tblPrEx>
          <w:tblCellMar>
            <w:top w:w="0" w:type="dxa"/>
            <w:left w:w="0" w:type="dxa"/>
            <w:bottom w:w="0" w:type="dxa"/>
            <w:right w:w="0" w:type="dxa"/>
          </w:tblCellMar>
        </w:tblPrEx>
        <w:trPr>
          <w:trHeight w:val="380" w:hRule="atLeast"/>
        </w:trPr>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sz w:val="24"/>
                <w:szCs w:val="24"/>
                <w:highlight w:val="none"/>
                <w:lang w:eastAsia="zh-CN"/>
              </w:rPr>
            </w:pPr>
            <w:r>
              <w:rPr>
                <w:rFonts w:hint="eastAsia" w:cs="Times New Roman"/>
                <w:sz w:val="24"/>
                <w:szCs w:val="24"/>
                <w:highlight w:val="none"/>
                <w:lang w:eastAsia="zh-CN"/>
              </w:rPr>
              <w:t>耗材结算率</w:t>
            </w:r>
          </w:p>
        </w:tc>
        <w:tc>
          <w:tcPr>
            <w:tcW w:w="75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eastAsia"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eastAsia" w:ascii="Times New Roman" w:hAnsi="Times New Roman" w:cs="Times New Roman"/>
                <w:sz w:val="24"/>
                <w:szCs w:val="24"/>
                <w:highlight w:val="none"/>
                <w:u w:val="single"/>
                <w:lang w:val="en-US" w:eastAsia="zh-CN"/>
              </w:rPr>
              <w:t>%</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bl>
    <w:p>
      <w:pPr>
        <w:pStyle w:val="31"/>
        <w:keepNext w:val="0"/>
        <w:keepLines w:val="0"/>
        <w:pageBreakBefore w:val="0"/>
        <w:widowControl/>
        <w:kinsoku/>
        <w:wordWrap/>
        <w:overflowPunct/>
        <w:topLinePunct w:val="0"/>
        <w:autoSpaceDE/>
        <w:autoSpaceDN/>
        <w:bidi w:val="0"/>
        <w:adjustRightInd/>
        <w:snapToGrid/>
        <w:spacing w:line="360" w:lineRule="auto"/>
        <w:ind w:firstLine="4080" w:firstLineChars="1700"/>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p>
    <w:p>
      <w:pPr>
        <w:spacing w:line="360" w:lineRule="auto"/>
        <w:jc w:val="right"/>
        <w:rPr>
          <w:rFonts w:hint="default" w:ascii="Times New Roman" w:hAnsi="Times New Roman" w:eastAsia="宋体" w:cs="Times New Roman"/>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highlight w:val="none"/>
        </w:rPr>
        <w:t>备注：1、</w:t>
      </w:r>
      <w:r>
        <w:rPr>
          <w:rFonts w:hint="default" w:ascii="Times New Roman" w:hAnsi="Times New Roman" w:eastAsia="宋体" w:cs="Times New Roman"/>
          <w:sz w:val="24"/>
          <w:szCs w:val="24"/>
          <w:highlight w:val="none"/>
        </w:rPr>
        <w:t>投标报价以人民币为结算货币，投标报价须包</w:t>
      </w:r>
      <w:r>
        <w:rPr>
          <w:rFonts w:hint="default" w:ascii="Times New Roman" w:hAnsi="Times New Roman" w:eastAsia="宋体" w:cs="Times New Roman"/>
          <w:sz w:val="24"/>
          <w:szCs w:val="24"/>
          <w:highlight w:val="none"/>
          <w:lang w:eastAsia="zh-CN"/>
        </w:rPr>
        <w:t>含</w:t>
      </w:r>
      <w:r>
        <w:rPr>
          <w:rFonts w:ascii="Times New Roman" w:hAnsi="Times New Roman"/>
          <w:sz w:val="24"/>
          <w:highlight w:val="none"/>
        </w:rPr>
        <w:t>货物价款、</w:t>
      </w:r>
      <w:r>
        <w:rPr>
          <w:rFonts w:hint="eastAsia" w:ascii="Times New Roman" w:hAnsi="Times New Roman"/>
          <w:sz w:val="24"/>
          <w:highlight w:val="none"/>
          <w:lang w:eastAsia="zh-CN"/>
        </w:rPr>
        <w:t>试剂耗材费、</w:t>
      </w:r>
      <w:r>
        <w:rPr>
          <w:rFonts w:ascii="Times New Roman" w:hAnsi="Times New Roman"/>
          <w:sz w:val="24"/>
          <w:highlight w:val="none"/>
        </w:rPr>
        <w:t>附件、配件、备品备件、途中运输费、装卸费、安装调试费、技术指导费、维护费、技术资料费、保险费、利润、税金、售后服务费、完成本项目的其它费用和政策性文件规定及合同包含的所有风险、责任等各项应有费用</w:t>
      </w:r>
      <w:r>
        <w:rPr>
          <w:rFonts w:hint="default" w:ascii="Times New Roman" w:hAnsi="Times New Roman" w:eastAsia="宋体" w:cs="Times New Roman"/>
          <w:sz w:val="24"/>
          <w:szCs w:val="24"/>
          <w:highlight w:val="none"/>
        </w:rPr>
        <w:t>。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w:t>
      </w:r>
      <w:r>
        <w:rPr>
          <w:rFonts w:hint="eastAsia" w:ascii="Times New Roman" w:hAnsi="Times New Roman" w:eastAsia="宋体" w:cs="Times New Roman"/>
          <w:sz w:val="24"/>
          <w:szCs w:val="24"/>
          <w:highlight w:val="none"/>
          <w:lang w:eastAsia="zh-CN"/>
        </w:rPr>
        <w:t>及总价</w:t>
      </w:r>
      <w:r>
        <w:rPr>
          <w:rFonts w:hint="default" w:ascii="Times New Roman" w:hAnsi="Times New Roman" w:eastAsia="宋体" w:cs="Times New Roman"/>
          <w:sz w:val="24"/>
          <w:szCs w:val="24"/>
          <w:highlight w:val="none"/>
        </w:rPr>
        <w:t>不做调整。投标报价为投标人所能承受的最低、最终报价。只允许有一个报价，有选择的报价将不予接受。</w:t>
      </w:r>
    </w:p>
    <w:p>
      <w:pPr>
        <w:pStyle w:val="2"/>
        <w:rPr>
          <w:rFonts w:hint="default" w:eastAsia="宋体"/>
          <w:lang w:val="en-US" w:eastAsia="zh-CN"/>
        </w:rPr>
      </w:pPr>
      <w:r>
        <w:rPr>
          <w:rFonts w:hint="eastAsia" w:cs="Times New Roman"/>
          <w:sz w:val="24"/>
          <w:szCs w:val="24"/>
          <w:highlight w:val="none"/>
          <w:lang w:val="en-US" w:eastAsia="zh-CN"/>
        </w:rPr>
        <w:t>2、耗材结算率以百分数表示，其大小在0到100%之间，保留两位小数，表示为XX.XX%,否则投标无效。</w:t>
      </w:r>
    </w:p>
    <w:p>
      <w:pPr>
        <w:spacing w:line="360" w:lineRule="auto"/>
        <w:ind w:firstLine="480" w:firstLineChars="200"/>
        <w:rPr>
          <w:rFonts w:hint="default" w:ascii="Times New Roman" w:hAnsi="Times New Roman" w:eastAsia="宋体" w:cs="Times New Roman"/>
          <w:color w:val="000000"/>
          <w:highlight w:val="none"/>
        </w:rPr>
      </w:pPr>
      <w:r>
        <w:rPr>
          <w:rFonts w:hint="eastAsia" w:cs="Times New Roman"/>
          <w:color w:val="000000"/>
          <w:highlight w:val="none"/>
          <w:lang w:val="en-US" w:eastAsia="zh-CN"/>
        </w:rPr>
        <w:t>3</w:t>
      </w:r>
      <w:r>
        <w:rPr>
          <w:rFonts w:hint="default" w:ascii="Times New Roman" w:hAnsi="Times New Roman" w:eastAsia="宋体" w:cs="Times New Roman"/>
          <w:color w:val="000000"/>
          <w:highlight w:val="none"/>
        </w:rPr>
        <w:t>、项目</w:t>
      </w:r>
      <w:r>
        <w:rPr>
          <w:rFonts w:hint="eastAsia" w:cs="Times New Roman"/>
          <w:color w:val="000000"/>
          <w:highlight w:val="none"/>
          <w:lang w:eastAsia="zh-CN"/>
        </w:rPr>
        <w:t>设备投标报价</w:t>
      </w:r>
      <w:r>
        <w:rPr>
          <w:rFonts w:hint="default" w:ascii="Times New Roman" w:hAnsi="Times New Roman" w:eastAsia="宋体" w:cs="Times New Roman"/>
          <w:color w:val="000000"/>
          <w:highlight w:val="none"/>
        </w:rPr>
        <w:t>总价不得超过项目预算价及最高限价，不得低于投标人自报的成本价，否则投标无效。</w:t>
      </w:r>
    </w:p>
    <w:p>
      <w:pPr>
        <w:spacing w:line="360" w:lineRule="auto"/>
        <w:ind w:firstLine="480" w:firstLineChars="200"/>
        <w:rPr>
          <w:rFonts w:hint="default" w:ascii="Times New Roman" w:hAnsi="Times New Roman" w:eastAsia="宋体" w:cs="Times New Roman"/>
          <w:color w:val="000000"/>
          <w:highlight w:val="none"/>
        </w:rPr>
      </w:pPr>
      <w:r>
        <w:rPr>
          <w:rFonts w:hint="eastAsia" w:cs="Times New Roman"/>
          <w:color w:val="000000"/>
          <w:highlight w:val="none"/>
          <w:lang w:val="en-US" w:eastAsia="zh-CN"/>
        </w:rPr>
        <w:t>4</w:t>
      </w:r>
      <w:r>
        <w:rPr>
          <w:rFonts w:hint="default" w:ascii="Times New Roman" w:hAnsi="Times New Roman" w:eastAsia="宋体" w:cs="Times New Roman"/>
          <w:color w:val="000000"/>
          <w:highlight w:val="none"/>
        </w:rPr>
        <w:t>、此表在不改变表式的情况下，可自行制作。</w:t>
      </w:r>
    </w:p>
    <w:p>
      <w:pPr>
        <w:pStyle w:val="31"/>
        <w:widowControl w:val="0"/>
        <w:jc w:val="center"/>
        <w:rPr>
          <w:rFonts w:hint="default" w:ascii="Times New Roman" w:hAnsi="Times New Roman" w:eastAsia="宋体" w:cs="Times New Roman"/>
          <w:b/>
          <w:bCs/>
          <w:sz w:val="36"/>
          <w:szCs w:val="36"/>
          <w:lang w:eastAsia="zh-CN"/>
        </w:rPr>
      </w:pPr>
    </w:p>
    <w:p>
      <w:pPr>
        <w:pStyle w:val="6"/>
        <w:spacing w:before="0" w:after="0" w:line="36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rPr>
        <w:t>项目成本报价表</w:t>
      </w:r>
    </w:p>
    <w:p>
      <w:pPr>
        <w:spacing w:line="360" w:lineRule="auto"/>
        <w:jc w:val="center"/>
        <w:rPr>
          <w:rFonts w:hint="default" w:ascii="Times New Roman" w:hAnsi="Times New Roman" w:eastAsia="宋体" w:cs="Times New Roman"/>
          <w:b/>
          <w:color w:val="000000"/>
          <w:sz w:val="44"/>
        </w:rPr>
      </w:pPr>
    </w:p>
    <w:tbl>
      <w:tblPr>
        <w:tblStyle w:val="6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44" w:type="dxa"/>
            <w:vAlign w:val="center"/>
          </w:tcPr>
          <w:p>
            <w:pPr>
              <w:spacing w:line="42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项目名称</w:t>
            </w:r>
          </w:p>
        </w:tc>
        <w:tc>
          <w:tcPr>
            <w:tcW w:w="4926" w:type="dxa"/>
            <w:vAlign w:val="center"/>
          </w:tcPr>
          <w:p>
            <w:pPr>
              <w:spacing w:line="42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644" w:type="dxa"/>
            <w:vAlign w:val="center"/>
          </w:tcPr>
          <w:p>
            <w:pPr>
              <w:spacing w:line="420" w:lineRule="exact"/>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szCs w:val="21"/>
                <w:highlight w:val="none"/>
              </w:rPr>
              <w:t>浙江大学医学院附属第四医院超高效液相色谱-串联质谱系统（含分拣系统）项目</w:t>
            </w:r>
          </w:p>
          <w:p>
            <w:pPr>
              <w:spacing w:line="420" w:lineRule="exact"/>
              <w:jc w:val="center"/>
              <w:rPr>
                <w:rFonts w:hint="default" w:ascii="Times New Roman" w:hAnsi="Times New Roman" w:eastAsia="宋体" w:cs="Times New Roman"/>
              </w:rPr>
            </w:pPr>
            <w:r>
              <w:rPr>
                <w:rFonts w:hint="default" w:ascii="Times New Roman" w:hAnsi="Times New Roman" w:eastAsia="宋体" w:cs="Times New Roman"/>
                <w:color w:val="FF0000"/>
                <w:szCs w:val="21"/>
                <w:highlight w:val="none"/>
              </w:rPr>
              <w:t>（采购编号：YWCG2023018GK）</w:t>
            </w:r>
          </w:p>
        </w:tc>
        <w:tc>
          <w:tcPr>
            <w:tcW w:w="4926" w:type="dxa"/>
            <w:vAlign w:val="center"/>
          </w:tcPr>
          <w:p>
            <w:pPr>
              <w:ind w:right="480"/>
              <w:jc w:val="center"/>
              <w:rPr>
                <w:rFonts w:hint="default" w:ascii="Times New Roman" w:hAnsi="Times New Roman" w:eastAsia="宋体" w:cs="Times New Roman"/>
                <w:u w:val="single"/>
              </w:rPr>
            </w:pPr>
            <w:r>
              <w:rPr>
                <w:rFonts w:hint="default" w:ascii="Times New Roman" w:hAnsi="Times New Roman" w:eastAsia="宋体" w:cs="Times New Roman"/>
              </w:rPr>
              <w:t>(大写)：</w:t>
            </w:r>
            <w:r>
              <w:rPr>
                <w:rFonts w:hint="default" w:ascii="Times New Roman" w:hAnsi="Times New Roman" w:eastAsia="宋体" w:cs="Times New Roman"/>
                <w:u w:val="single"/>
              </w:rPr>
              <w:t xml:space="preserve">                     元</w:t>
            </w:r>
          </w:p>
          <w:p>
            <w:pPr>
              <w:spacing w:line="420" w:lineRule="exact"/>
              <w:jc w:val="center"/>
              <w:rPr>
                <w:rFonts w:hint="default" w:ascii="Times New Roman" w:hAnsi="Times New Roman" w:eastAsia="宋体" w:cs="Times New Roman"/>
              </w:rPr>
            </w:pPr>
          </w:p>
          <w:p>
            <w:pPr>
              <w:spacing w:line="420" w:lineRule="exact"/>
              <w:jc w:val="center"/>
              <w:rPr>
                <w:rFonts w:hint="default" w:ascii="Times New Roman" w:hAnsi="Times New Roman" w:eastAsia="宋体" w:cs="Times New Roman"/>
                <w:color w:val="000000"/>
              </w:rPr>
            </w:pPr>
            <w:r>
              <w:rPr>
                <w:rFonts w:hint="default" w:ascii="Times New Roman" w:hAnsi="Times New Roman" w:eastAsia="宋体" w:cs="Times New Roman"/>
              </w:rPr>
              <w:t>(小写)￥:</w:t>
            </w:r>
            <w:r>
              <w:rPr>
                <w:rFonts w:hint="default" w:ascii="Times New Roman" w:hAnsi="Times New Roman" w:eastAsia="宋体" w:cs="Times New Roman"/>
                <w:u w:val="single"/>
              </w:rPr>
              <w:t xml:space="preserve">                     元</w:t>
            </w:r>
          </w:p>
        </w:tc>
      </w:tr>
    </w:tbl>
    <w:p>
      <w:pPr>
        <w:spacing w:line="360" w:lineRule="auto"/>
        <w:rPr>
          <w:rFonts w:hint="default" w:ascii="Times New Roman" w:hAnsi="Times New Roman" w:eastAsia="宋体" w:cs="Times New Roman"/>
        </w:rPr>
      </w:pPr>
    </w:p>
    <w:p>
      <w:pPr>
        <w:pStyle w:val="31"/>
        <w:spacing w:line="460" w:lineRule="exact"/>
        <w:ind w:left="274" w:leftChars="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投标人名称（电子签章）：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pStyle w:val="31"/>
        <w:spacing w:line="460" w:lineRule="exact"/>
        <w:ind w:left="274" w:leftChars="114"/>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 xml:space="preserve">                                   日 期：    年    月    日</w:t>
      </w:r>
    </w:p>
    <w:p>
      <w:pPr>
        <w:pStyle w:val="58"/>
        <w:ind w:left="480" w:firstLine="480"/>
        <w:rPr>
          <w:rFonts w:hint="default" w:ascii="Times New Roman" w:hAnsi="Times New Roman" w:eastAsia="宋体" w:cs="Times New Roman"/>
          <w:highlight w:val="green"/>
        </w:rPr>
      </w:pPr>
    </w:p>
    <w:p>
      <w:pPr>
        <w:spacing w:line="360" w:lineRule="auto"/>
        <w:ind w:left="960" w:hanging="960" w:hangingChars="400"/>
        <w:rPr>
          <w:rFonts w:hint="default" w:ascii="Times New Roman" w:hAnsi="Times New Roman" w:eastAsia="宋体" w:cs="Times New Roman"/>
          <w:bCs/>
        </w:rPr>
      </w:pPr>
      <w:r>
        <w:rPr>
          <w:rFonts w:hint="default" w:ascii="Times New Roman" w:hAnsi="Times New Roman" w:eastAsia="宋体" w:cs="Times New Roman"/>
          <w:bCs/>
        </w:rPr>
        <w:t>备注：</w:t>
      </w:r>
    </w:p>
    <w:p>
      <w:pPr>
        <w:spacing w:line="460" w:lineRule="exact"/>
        <w:ind w:firstLine="235" w:firstLineChars="98"/>
        <w:rPr>
          <w:rFonts w:hint="default" w:ascii="Times New Roman" w:hAnsi="Times New Roman" w:eastAsia="宋体" w:cs="Times New Roman"/>
          <w:bCs/>
          <w:u w:val="single"/>
        </w:rPr>
      </w:pPr>
      <w:r>
        <w:rPr>
          <w:rFonts w:hint="default" w:ascii="Times New Roman" w:hAnsi="Times New Roman" w:eastAsia="宋体" w:cs="Times New Roman"/>
        </w:rPr>
        <w:t>1、投标单位应按照招标项目内容要求，根据项目特点和企业条件确定该项目成本报价，</w:t>
      </w:r>
      <w:r>
        <w:rPr>
          <w:rFonts w:hint="default" w:ascii="Times New Roman" w:hAnsi="Times New Roman" w:eastAsia="宋体" w:cs="Times New Roman"/>
          <w:u w:val="single"/>
        </w:rPr>
        <w:t>项目成本总价不得高于投标总价，否则投标无效。</w:t>
      </w:r>
    </w:p>
    <w:p>
      <w:pPr>
        <w:spacing w:line="360" w:lineRule="auto"/>
        <w:ind w:firstLine="240" w:firstLineChars="100"/>
        <w:rPr>
          <w:rFonts w:hint="default" w:ascii="Times New Roman" w:hAnsi="Times New Roman" w:eastAsia="宋体" w:cs="Times New Roman"/>
        </w:rPr>
      </w:pPr>
      <w:r>
        <w:rPr>
          <w:rFonts w:hint="default" w:ascii="Times New Roman" w:hAnsi="Times New Roman" w:eastAsia="宋体" w:cs="Times New Roman"/>
        </w:rPr>
        <w:t>2、此表在不改变表式的情况下，可自行制作。</w:t>
      </w:r>
    </w:p>
    <w:p>
      <w:pPr>
        <w:pStyle w:val="58"/>
        <w:ind w:left="480" w:firstLine="480"/>
        <w:rPr>
          <w:rFonts w:hint="default" w:ascii="Times New Roman" w:hAnsi="Times New Roman" w:eastAsia="宋体" w:cs="Times New Roman"/>
        </w:rPr>
      </w:pPr>
    </w:p>
    <w:p>
      <w:pPr>
        <w:spacing w:line="360" w:lineRule="auto"/>
        <w:ind w:firstLine="240" w:firstLineChars="100"/>
        <w:rPr>
          <w:rFonts w:hint="default" w:ascii="Times New Roman" w:hAnsi="Times New Roman" w:eastAsia="宋体" w:cs="Times New Roman"/>
        </w:rPr>
      </w:pPr>
    </w:p>
    <w:p>
      <w:pPr>
        <w:spacing w:line="360" w:lineRule="auto"/>
        <w:ind w:firstLine="240" w:firstLineChars="10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snapToGrid w:val="0"/>
        <w:spacing w:before="50" w:after="50"/>
        <w:jc w:val="center"/>
        <w:rPr>
          <w:rFonts w:hint="default" w:ascii="Times New Roman" w:hAnsi="Times New Roman" w:eastAsia="宋体" w:cs="Times New Roman"/>
          <w:b/>
          <w:sz w:val="36"/>
          <w:szCs w:val="36"/>
        </w:rPr>
      </w:pPr>
    </w:p>
    <w:p>
      <w:pPr>
        <w:snapToGrid w:val="0"/>
        <w:spacing w:before="50" w:after="50"/>
        <w:jc w:val="center"/>
        <w:rPr>
          <w:rFonts w:hint="default" w:ascii="Times New Roman" w:hAnsi="Times New Roman" w:eastAsia="宋体" w:cs="Times New Roman"/>
          <w:b/>
          <w:sz w:val="36"/>
          <w:szCs w:val="36"/>
        </w:rPr>
      </w:pPr>
    </w:p>
    <w:p>
      <w:pPr>
        <w:pStyle w:val="31"/>
        <w:widowControl w:val="0"/>
        <w:jc w:val="center"/>
        <w:rPr>
          <w:rFonts w:hint="default" w:ascii="Times New Roman" w:hAnsi="Times New Roman" w:eastAsia="宋体" w:cs="Times New Roman"/>
          <w:b/>
          <w:sz w:val="36"/>
          <w:szCs w:val="36"/>
        </w:rPr>
      </w:pPr>
    </w:p>
    <w:p>
      <w:pPr>
        <w:pStyle w:val="6"/>
        <w:spacing w:before="0" w:after="0" w:line="36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rPr>
        <w:t>中小企业声明函（货物）</w:t>
      </w:r>
    </w:p>
    <w:p>
      <w:pPr>
        <w:rPr>
          <w:rFonts w:hint="default"/>
          <w:lang w:eastAsia="zh-CN"/>
        </w:rPr>
      </w:pP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本公司（联合体）郑重声明，根据《政府采购促进中小企业发展管理办法》（财库﹝2020﹞46号）的规定，本公司（联合体）参加</w:t>
      </w:r>
      <w:r>
        <w:rPr>
          <w:rFonts w:hint="default" w:ascii="Times New Roman" w:hAnsi="Times New Roman" w:eastAsia="宋体" w:cs="Times New Roman"/>
          <w:i/>
          <w:iCs/>
          <w:sz w:val="28"/>
          <w:szCs w:val="28"/>
          <w:highlight w:val="none"/>
          <w:u w:val="single"/>
        </w:rPr>
        <w:t>（单位名称）</w:t>
      </w:r>
      <w:r>
        <w:rPr>
          <w:rFonts w:hint="default" w:ascii="Times New Roman" w:hAnsi="Times New Roman" w:eastAsia="宋体" w:cs="Times New Roman"/>
          <w:sz w:val="28"/>
          <w:szCs w:val="28"/>
          <w:highlight w:val="none"/>
        </w:rPr>
        <w:t>的</w:t>
      </w:r>
      <w:r>
        <w:rPr>
          <w:rFonts w:hint="default" w:ascii="Times New Roman" w:hAnsi="Times New Roman" w:eastAsia="宋体" w:cs="Times New Roman"/>
          <w:i/>
          <w:iCs/>
          <w:sz w:val="28"/>
          <w:szCs w:val="28"/>
          <w:highlight w:val="none"/>
          <w:u w:val="single"/>
        </w:rPr>
        <w:t>（项目名称）</w:t>
      </w:r>
      <w:r>
        <w:rPr>
          <w:rFonts w:hint="default" w:ascii="Times New Roman" w:hAnsi="Times New Roman" w:eastAsia="宋体" w:cs="Times New Roman"/>
          <w:sz w:val="28"/>
          <w:szCs w:val="28"/>
          <w:highlight w:val="none"/>
        </w:rPr>
        <w:t>采购活动，提供的货物全部由符合政策要求的中小企业制造。相关企业（含联合体中的中小企业、签订分包意向协议的中小企业）的具体情况如下：</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行业；制造商为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，从业人员______人，营业收入为________万元，资产总额为_________万元，属于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31"/>
          <w:szCs w:val="31"/>
          <w:highlight w:val="none"/>
        </w:rPr>
      </w:pPr>
      <w:r>
        <w:rPr>
          <w:rFonts w:hint="default" w:ascii="Times New Roman" w:hAnsi="Times New Roman" w:eastAsia="宋体" w:cs="Times New Roman"/>
          <w:sz w:val="28"/>
          <w:szCs w:val="28"/>
          <w:highlight w:val="none"/>
        </w:rPr>
        <w:t>2.</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行业；制造商为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，从业人员______人，营业收入为________万元，资产总额为_________万元，属于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以上企业，不属于大企业的分支机构，不存在控股股东为大企业的情形，也不存在与大企业的负责人为同一人的情形。</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本企业对上述声明内容的真实性负责。如有虚假，将依法承担相应责任。</w:t>
      </w:r>
    </w:p>
    <w:p>
      <w:pPr>
        <w:snapToGrid w:val="0"/>
        <w:spacing w:line="360" w:lineRule="auto"/>
        <w:ind w:firstLine="3360" w:firstLineChars="1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企业（投标人）名称（盖章）：_______________</w:t>
      </w:r>
    </w:p>
    <w:p>
      <w:pPr>
        <w:snapToGrid w:val="0"/>
        <w:spacing w:line="360" w:lineRule="auto"/>
        <w:ind w:firstLine="6160" w:firstLineChars="2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期：______________</w:t>
      </w:r>
    </w:p>
    <w:p>
      <w:pPr>
        <w:numPr>
          <w:ilvl w:val="0"/>
          <w:numId w:val="0"/>
        </w:numPr>
        <w:snapToGrid w:val="0"/>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备注说明：</w:t>
      </w:r>
    </w:p>
    <w:p>
      <w:pPr>
        <w:numPr>
          <w:ilvl w:val="0"/>
          <w:numId w:val="0"/>
        </w:numPr>
        <w:snapToGrid w:val="0"/>
        <w:spacing w:line="360"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1.从业人员、营业收入、资产总额填报上一年度数据，无上一年度数据的新成立企业可不填报。</w:t>
      </w:r>
    </w:p>
    <w:p>
      <w:pPr>
        <w:numPr>
          <w:ilvl w:val="0"/>
          <w:numId w:val="0"/>
        </w:numPr>
        <w:snapToGrid w:val="0"/>
        <w:spacing w:line="360"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2.本项目采购标的所属行业：</w:t>
      </w:r>
      <w:r>
        <w:rPr>
          <w:rFonts w:hint="default" w:ascii="Times New Roman" w:hAnsi="Times New Roman" w:eastAsia="宋体" w:cs="Times New Roman"/>
          <w:color w:val="FF0000"/>
          <w:highlight w:val="none"/>
          <w:lang w:val="en-US" w:eastAsia="zh-CN"/>
        </w:rPr>
        <w:t>工业</w:t>
      </w:r>
      <w:r>
        <w:rPr>
          <w:rFonts w:hint="default" w:ascii="Times New Roman" w:hAnsi="Times New Roman" w:eastAsia="宋体" w:cs="Times New Roman"/>
          <w:highlight w:val="none"/>
          <w:lang w:val="en-US" w:eastAsia="zh-CN"/>
        </w:rPr>
        <w:t>。</w:t>
      </w:r>
    </w:p>
    <w:p>
      <w:pPr>
        <w:spacing w:line="360" w:lineRule="auto"/>
        <w:ind w:firstLine="480" w:firstLineChars="200"/>
        <w:rPr>
          <w:rFonts w:hint="default" w:ascii="Times New Roman" w:hAnsi="Times New Roman" w:eastAsia="宋体" w:cs="Times New Roman"/>
          <w:highlight w:val="none"/>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6"/>
        <w:spacing w:before="0" w:after="0" w:line="36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残疾人福利性单位声明函</w:t>
      </w:r>
    </w:p>
    <w:p>
      <w:pPr>
        <w:rPr>
          <w:rFonts w:hint="default" w:ascii="Times New Roman" w:hAnsi="Times New Roman" w:eastAsia="宋体" w:cs="Times New Roman"/>
        </w:rPr>
      </w:pP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本单位对上述声明的真实性负责。如有虚假，将依法承担相应责任。</w:t>
      </w:r>
    </w:p>
    <w:p>
      <w:pPr>
        <w:snapToGrid w:val="0"/>
        <w:spacing w:line="360" w:lineRule="auto"/>
        <w:ind w:firstLine="560" w:firstLineChars="200"/>
        <w:rPr>
          <w:rFonts w:hint="default" w:ascii="Times New Roman" w:hAnsi="Times New Roman" w:eastAsia="宋体" w:cs="Times New Roman"/>
          <w:sz w:val="28"/>
          <w:szCs w:val="28"/>
        </w:rPr>
      </w:pPr>
    </w:p>
    <w:p>
      <w:pPr>
        <w:spacing w:line="588" w:lineRule="exact"/>
        <w:ind w:firstLine="624" w:firstLineChars="200"/>
        <w:rPr>
          <w:rFonts w:hint="default" w:ascii="Times New Roman" w:hAnsi="Times New Roman" w:eastAsia="宋体" w:cs="Times New Roman"/>
          <w:spacing w:val="6"/>
          <w:sz w:val="30"/>
          <w:szCs w:val="30"/>
        </w:rPr>
      </w:pPr>
    </w:p>
    <w:p>
      <w:pPr>
        <w:pStyle w:val="31"/>
        <w:spacing w:line="460" w:lineRule="exact"/>
        <w:ind w:left="274" w:leftChars="114"/>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投标人名称（电子签章）：</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pStyle w:val="31"/>
        <w:spacing w:line="460" w:lineRule="exact"/>
        <w:ind w:left="274" w:leftChars="114"/>
        <w:jc w:val="center"/>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 xml:space="preserve">                                   日 期：    年    月    日</w:t>
      </w: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p>
      <w:pPr>
        <w:pStyle w:val="58"/>
        <w:ind w:left="480" w:firstLine="480"/>
        <w:rPr>
          <w:rFonts w:hint="default" w:ascii="Times New Roman" w:hAnsi="Times New Roman" w:eastAsia="宋体" w:cs="Times New Roman"/>
        </w:rPr>
      </w:pPr>
    </w:p>
    <w:sectPr>
      <w:headerReference r:id="rId3" w:type="default"/>
      <w:footerReference r:id="rId4" w:type="default"/>
      <w:pgSz w:w="11906" w:h="16838"/>
      <w:pgMar w:top="1134" w:right="1134" w:bottom="1134" w:left="1134"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兰亭黑简体">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97"/>
    </w:sdtPr>
    <w:sdtContent>
      <w:p>
        <w:pPr>
          <w:pStyle w:val="37"/>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943C"/>
    <w:multiLevelType w:val="singleLevel"/>
    <w:tmpl w:val="05C9943C"/>
    <w:lvl w:ilvl="0" w:tentative="0">
      <w:start w:val="3"/>
      <w:numFmt w:val="chineseCounting"/>
      <w:suff w:val="nothing"/>
      <w:lvlText w:val="%1、"/>
      <w:lvlJc w:val="left"/>
      <w:rPr>
        <w:rFonts w:hint="eastAsia"/>
      </w:rPr>
    </w:lvl>
  </w:abstractNum>
  <w:abstractNum w:abstractNumId="1">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2Y2MxYTYwMDZiMjc4NDA0NTM1NmJlMzJkZmIzNjE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0B5"/>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C69"/>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C0E"/>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A00"/>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A5"/>
    <w:rsid w:val="0055111F"/>
    <w:rsid w:val="00551171"/>
    <w:rsid w:val="0055131A"/>
    <w:rsid w:val="00551643"/>
    <w:rsid w:val="005517ED"/>
    <w:rsid w:val="00551AE8"/>
    <w:rsid w:val="00551D7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45B"/>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72"/>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0C3"/>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1E2"/>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1E3"/>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13E"/>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16"/>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4AE"/>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4F0"/>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6F"/>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854"/>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45"/>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B7BD5"/>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3C9"/>
    <w:rsid w:val="00FF671B"/>
    <w:rsid w:val="00FF6C3E"/>
    <w:rsid w:val="00FF72D7"/>
    <w:rsid w:val="00FF73BC"/>
    <w:rsid w:val="00FF79F0"/>
    <w:rsid w:val="018529B4"/>
    <w:rsid w:val="01AC7B14"/>
    <w:rsid w:val="01DE4ECE"/>
    <w:rsid w:val="01E12AAD"/>
    <w:rsid w:val="020E18BD"/>
    <w:rsid w:val="023D2E2D"/>
    <w:rsid w:val="02586DCE"/>
    <w:rsid w:val="027125A2"/>
    <w:rsid w:val="027D7D34"/>
    <w:rsid w:val="028939B3"/>
    <w:rsid w:val="02B713E7"/>
    <w:rsid w:val="02D22AD8"/>
    <w:rsid w:val="02F65B82"/>
    <w:rsid w:val="031441AC"/>
    <w:rsid w:val="04320AD2"/>
    <w:rsid w:val="044C433C"/>
    <w:rsid w:val="045114D0"/>
    <w:rsid w:val="0456036D"/>
    <w:rsid w:val="04BB298F"/>
    <w:rsid w:val="04CA0807"/>
    <w:rsid w:val="04F8642A"/>
    <w:rsid w:val="054306CF"/>
    <w:rsid w:val="05673A0B"/>
    <w:rsid w:val="05BE089C"/>
    <w:rsid w:val="060B4078"/>
    <w:rsid w:val="06253D34"/>
    <w:rsid w:val="063F1A72"/>
    <w:rsid w:val="06EA3271"/>
    <w:rsid w:val="06FF6B3B"/>
    <w:rsid w:val="07854716"/>
    <w:rsid w:val="078A3842"/>
    <w:rsid w:val="07A170B8"/>
    <w:rsid w:val="08950206"/>
    <w:rsid w:val="08CA6DC7"/>
    <w:rsid w:val="09021B37"/>
    <w:rsid w:val="09091AAB"/>
    <w:rsid w:val="0938275F"/>
    <w:rsid w:val="096A52F9"/>
    <w:rsid w:val="0A50541C"/>
    <w:rsid w:val="0A5372ED"/>
    <w:rsid w:val="0A945A74"/>
    <w:rsid w:val="0AA211CF"/>
    <w:rsid w:val="0AF57594"/>
    <w:rsid w:val="0B22261C"/>
    <w:rsid w:val="0B444337"/>
    <w:rsid w:val="0B6513AC"/>
    <w:rsid w:val="0B7D2976"/>
    <w:rsid w:val="0BE02A3D"/>
    <w:rsid w:val="0BF8040D"/>
    <w:rsid w:val="0C5D7941"/>
    <w:rsid w:val="0C726359"/>
    <w:rsid w:val="0C79434C"/>
    <w:rsid w:val="0C850E6F"/>
    <w:rsid w:val="0CF37472"/>
    <w:rsid w:val="0CFE568F"/>
    <w:rsid w:val="0D4E4B08"/>
    <w:rsid w:val="0D6F195E"/>
    <w:rsid w:val="0DA337C7"/>
    <w:rsid w:val="0DB73590"/>
    <w:rsid w:val="0DD2246A"/>
    <w:rsid w:val="0E325D62"/>
    <w:rsid w:val="0E544C71"/>
    <w:rsid w:val="0E7F4560"/>
    <w:rsid w:val="0EF747DF"/>
    <w:rsid w:val="0EFB4C56"/>
    <w:rsid w:val="0F7518C9"/>
    <w:rsid w:val="0F846179"/>
    <w:rsid w:val="0FAA0377"/>
    <w:rsid w:val="100E695A"/>
    <w:rsid w:val="10183A5C"/>
    <w:rsid w:val="10A22B38"/>
    <w:rsid w:val="11327F8F"/>
    <w:rsid w:val="113767C0"/>
    <w:rsid w:val="11763776"/>
    <w:rsid w:val="11F97711"/>
    <w:rsid w:val="120A5D54"/>
    <w:rsid w:val="124C1D82"/>
    <w:rsid w:val="12841571"/>
    <w:rsid w:val="12A84AA7"/>
    <w:rsid w:val="12AD4BAF"/>
    <w:rsid w:val="12BF7372"/>
    <w:rsid w:val="12C43695"/>
    <w:rsid w:val="12C856CF"/>
    <w:rsid w:val="12D312B6"/>
    <w:rsid w:val="12DB6374"/>
    <w:rsid w:val="1301218E"/>
    <w:rsid w:val="13074B89"/>
    <w:rsid w:val="131A290F"/>
    <w:rsid w:val="13BC1154"/>
    <w:rsid w:val="148B4F67"/>
    <w:rsid w:val="148E0073"/>
    <w:rsid w:val="148F36E5"/>
    <w:rsid w:val="14C16114"/>
    <w:rsid w:val="14D247CA"/>
    <w:rsid w:val="14F54A12"/>
    <w:rsid w:val="14FD0A9C"/>
    <w:rsid w:val="1515071F"/>
    <w:rsid w:val="154A4194"/>
    <w:rsid w:val="15CC5542"/>
    <w:rsid w:val="15D04F5C"/>
    <w:rsid w:val="16052B78"/>
    <w:rsid w:val="160E39EE"/>
    <w:rsid w:val="161567DC"/>
    <w:rsid w:val="16515610"/>
    <w:rsid w:val="1674575B"/>
    <w:rsid w:val="169601DF"/>
    <w:rsid w:val="169B3532"/>
    <w:rsid w:val="16FF07C3"/>
    <w:rsid w:val="17152445"/>
    <w:rsid w:val="172A4898"/>
    <w:rsid w:val="175E3075"/>
    <w:rsid w:val="187A67E4"/>
    <w:rsid w:val="18EE068E"/>
    <w:rsid w:val="1909682D"/>
    <w:rsid w:val="19280A44"/>
    <w:rsid w:val="19713818"/>
    <w:rsid w:val="19C625BC"/>
    <w:rsid w:val="19F6088D"/>
    <w:rsid w:val="1A055EF5"/>
    <w:rsid w:val="1A6C6CB1"/>
    <w:rsid w:val="1AC30BB9"/>
    <w:rsid w:val="1AF14577"/>
    <w:rsid w:val="1B3C5748"/>
    <w:rsid w:val="1B4D27CF"/>
    <w:rsid w:val="1B7C0448"/>
    <w:rsid w:val="1BB4350D"/>
    <w:rsid w:val="1C0E655B"/>
    <w:rsid w:val="1C353069"/>
    <w:rsid w:val="1CC02D30"/>
    <w:rsid w:val="1D0C3924"/>
    <w:rsid w:val="1D110841"/>
    <w:rsid w:val="1D1952CF"/>
    <w:rsid w:val="1D4A443B"/>
    <w:rsid w:val="1D7258CC"/>
    <w:rsid w:val="1DC70011"/>
    <w:rsid w:val="1DDE3B9D"/>
    <w:rsid w:val="1DFB7F87"/>
    <w:rsid w:val="1E941CCC"/>
    <w:rsid w:val="1EE109A0"/>
    <w:rsid w:val="1EE513F6"/>
    <w:rsid w:val="1EF8241E"/>
    <w:rsid w:val="1F126B05"/>
    <w:rsid w:val="1F162294"/>
    <w:rsid w:val="1F26710E"/>
    <w:rsid w:val="1F7D0C63"/>
    <w:rsid w:val="1F82572C"/>
    <w:rsid w:val="1FB876AC"/>
    <w:rsid w:val="1FC6016B"/>
    <w:rsid w:val="202104E0"/>
    <w:rsid w:val="202E120E"/>
    <w:rsid w:val="2056655A"/>
    <w:rsid w:val="206B5F37"/>
    <w:rsid w:val="209A3C89"/>
    <w:rsid w:val="20B56A2C"/>
    <w:rsid w:val="2111539E"/>
    <w:rsid w:val="21201FA6"/>
    <w:rsid w:val="219D34AE"/>
    <w:rsid w:val="21C63924"/>
    <w:rsid w:val="22295F55"/>
    <w:rsid w:val="2248323A"/>
    <w:rsid w:val="229A382D"/>
    <w:rsid w:val="22B837D4"/>
    <w:rsid w:val="23AD0CCB"/>
    <w:rsid w:val="23FF6FC2"/>
    <w:rsid w:val="24276909"/>
    <w:rsid w:val="24883E6E"/>
    <w:rsid w:val="24B07DD1"/>
    <w:rsid w:val="24E43759"/>
    <w:rsid w:val="25026092"/>
    <w:rsid w:val="25134482"/>
    <w:rsid w:val="252F6999"/>
    <w:rsid w:val="25520D67"/>
    <w:rsid w:val="2565030D"/>
    <w:rsid w:val="25B25C72"/>
    <w:rsid w:val="25DB61BD"/>
    <w:rsid w:val="26116B73"/>
    <w:rsid w:val="26442D52"/>
    <w:rsid w:val="268E61C6"/>
    <w:rsid w:val="273177B6"/>
    <w:rsid w:val="28257C9E"/>
    <w:rsid w:val="287E4090"/>
    <w:rsid w:val="28CD6E7C"/>
    <w:rsid w:val="28D8378A"/>
    <w:rsid w:val="294E6051"/>
    <w:rsid w:val="294F209A"/>
    <w:rsid w:val="297B7334"/>
    <w:rsid w:val="29856D79"/>
    <w:rsid w:val="29BC46C0"/>
    <w:rsid w:val="29C261AC"/>
    <w:rsid w:val="29E73412"/>
    <w:rsid w:val="29E75B05"/>
    <w:rsid w:val="29F344B7"/>
    <w:rsid w:val="2A026DBF"/>
    <w:rsid w:val="2A352B1B"/>
    <w:rsid w:val="2A7E48B2"/>
    <w:rsid w:val="2A822F09"/>
    <w:rsid w:val="2ADB17E0"/>
    <w:rsid w:val="2AF306F7"/>
    <w:rsid w:val="2B34764C"/>
    <w:rsid w:val="2B38497C"/>
    <w:rsid w:val="2B9E02F7"/>
    <w:rsid w:val="2BB70413"/>
    <w:rsid w:val="2BC57252"/>
    <w:rsid w:val="2BD138AE"/>
    <w:rsid w:val="2BE128DA"/>
    <w:rsid w:val="2C192E2F"/>
    <w:rsid w:val="2C3B2551"/>
    <w:rsid w:val="2CD011B9"/>
    <w:rsid w:val="2D0202C4"/>
    <w:rsid w:val="2D5822AA"/>
    <w:rsid w:val="2DBF296D"/>
    <w:rsid w:val="2DD7185C"/>
    <w:rsid w:val="2E095920"/>
    <w:rsid w:val="2E1032C7"/>
    <w:rsid w:val="2E340B5D"/>
    <w:rsid w:val="2E436F91"/>
    <w:rsid w:val="2E614A9C"/>
    <w:rsid w:val="2E846266"/>
    <w:rsid w:val="2EC23956"/>
    <w:rsid w:val="2ECB7A5C"/>
    <w:rsid w:val="2ECD1744"/>
    <w:rsid w:val="2ED44775"/>
    <w:rsid w:val="2EDD5B69"/>
    <w:rsid w:val="2F325C0B"/>
    <w:rsid w:val="2F3270CD"/>
    <w:rsid w:val="2F8279F1"/>
    <w:rsid w:val="2FDB7433"/>
    <w:rsid w:val="301629CB"/>
    <w:rsid w:val="3016512E"/>
    <w:rsid w:val="301F5C96"/>
    <w:rsid w:val="303D023A"/>
    <w:rsid w:val="30812569"/>
    <w:rsid w:val="30A750A0"/>
    <w:rsid w:val="30AE2533"/>
    <w:rsid w:val="30B44ED3"/>
    <w:rsid w:val="30CB6347"/>
    <w:rsid w:val="30D21D56"/>
    <w:rsid w:val="30D669E1"/>
    <w:rsid w:val="31315EA6"/>
    <w:rsid w:val="315370AA"/>
    <w:rsid w:val="318D1D01"/>
    <w:rsid w:val="31FB73E5"/>
    <w:rsid w:val="32020E78"/>
    <w:rsid w:val="328800D8"/>
    <w:rsid w:val="328A7EE9"/>
    <w:rsid w:val="3297205F"/>
    <w:rsid w:val="32B47CEB"/>
    <w:rsid w:val="32C125DB"/>
    <w:rsid w:val="32F73637"/>
    <w:rsid w:val="32F94302"/>
    <w:rsid w:val="33716A1B"/>
    <w:rsid w:val="340C62AC"/>
    <w:rsid w:val="34276FAE"/>
    <w:rsid w:val="345A4296"/>
    <w:rsid w:val="346C2BB3"/>
    <w:rsid w:val="34E23C9A"/>
    <w:rsid w:val="350F6B1C"/>
    <w:rsid w:val="358F3143"/>
    <w:rsid w:val="36484854"/>
    <w:rsid w:val="365D5FB6"/>
    <w:rsid w:val="374F3BA0"/>
    <w:rsid w:val="37765DAA"/>
    <w:rsid w:val="3783108C"/>
    <w:rsid w:val="378A0C60"/>
    <w:rsid w:val="37AB570F"/>
    <w:rsid w:val="37CF4E21"/>
    <w:rsid w:val="37E544F2"/>
    <w:rsid w:val="384E3F22"/>
    <w:rsid w:val="389D3837"/>
    <w:rsid w:val="38AB1352"/>
    <w:rsid w:val="38E11897"/>
    <w:rsid w:val="390C4194"/>
    <w:rsid w:val="392C69D6"/>
    <w:rsid w:val="39390692"/>
    <w:rsid w:val="39792262"/>
    <w:rsid w:val="39990BCC"/>
    <w:rsid w:val="39CD13C3"/>
    <w:rsid w:val="39F6323F"/>
    <w:rsid w:val="39FE388F"/>
    <w:rsid w:val="3A1140CF"/>
    <w:rsid w:val="3A356B68"/>
    <w:rsid w:val="3A397CE2"/>
    <w:rsid w:val="3A3D0AC2"/>
    <w:rsid w:val="3ABA2EFD"/>
    <w:rsid w:val="3ADB1E34"/>
    <w:rsid w:val="3BF77969"/>
    <w:rsid w:val="3C3E6B43"/>
    <w:rsid w:val="3C477781"/>
    <w:rsid w:val="3C8A4081"/>
    <w:rsid w:val="3CA8168F"/>
    <w:rsid w:val="3CD73A22"/>
    <w:rsid w:val="3CE119F2"/>
    <w:rsid w:val="3CFB3D7D"/>
    <w:rsid w:val="3D0A28B0"/>
    <w:rsid w:val="3D1B21F4"/>
    <w:rsid w:val="3D4F4B56"/>
    <w:rsid w:val="3D984E7C"/>
    <w:rsid w:val="3DEA25B4"/>
    <w:rsid w:val="3EA33D47"/>
    <w:rsid w:val="3EB30D20"/>
    <w:rsid w:val="3F235243"/>
    <w:rsid w:val="3F2A1AD7"/>
    <w:rsid w:val="3F411CB6"/>
    <w:rsid w:val="3F493F24"/>
    <w:rsid w:val="3F4A6BDD"/>
    <w:rsid w:val="3F541E94"/>
    <w:rsid w:val="3FB4690F"/>
    <w:rsid w:val="3FF725EF"/>
    <w:rsid w:val="406C27D8"/>
    <w:rsid w:val="40702B02"/>
    <w:rsid w:val="40850ACF"/>
    <w:rsid w:val="411A37CE"/>
    <w:rsid w:val="41273B5B"/>
    <w:rsid w:val="413F2E64"/>
    <w:rsid w:val="414D5B4E"/>
    <w:rsid w:val="415413B2"/>
    <w:rsid w:val="415D7F83"/>
    <w:rsid w:val="41617C05"/>
    <w:rsid w:val="41B024AC"/>
    <w:rsid w:val="42055E4C"/>
    <w:rsid w:val="4207357A"/>
    <w:rsid w:val="42193B5D"/>
    <w:rsid w:val="424F0CC4"/>
    <w:rsid w:val="428D6814"/>
    <w:rsid w:val="42EC3E94"/>
    <w:rsid w:val="43065501"/>
    <w:rsid w:val="432E1D29"/>
    <w:rsid w:val="43640760"/>
    <w:rsid w:val="438F4D93"/>
    <w:rsid w:val="44255C3D"/>
    <w:rsid w:val="44A845BE"/>
    <w:rsid w:val="44F34EB6"/>
    <w:rsid w:val="450F25F9"/>
    <w:rsid w:val="451E76EF"/>
    <w:rsid w:val="453B489A"/>
    <w:rsid w:val="45450CC1"/>
    <w:rsid w:val="45527FDA"/>
    <w:rsid w:val="45751D36"/>
    <w:rsid w:val="45760298"/>
    <w:rsid w:val="45C41B5F"/>
    <w:rsid w:val="45D417D7"/>
    <w:rsid w:val="462823F5"/>
    <w:rsid w:val="46804BD6"/>
    <w:rsid w:val="46A00937"/>
    <w:rsid w:val="46A22D8D"/>
    <w:rsid w:val="46CE4F01"/>
    <w:rsid w:val="46EE143D"/>
    <w:rsid w:val="46EE66FC"/>
    <w:rsid w:val="46EF6DE5"/>
    <w:rsid w:val="47105B83"/>
    <w:rsid w:val="477066B1"/>
    <w:rsid w:val="47A56F0F"/>
    <w:rsid w:val="47CE48E1"/>
    <w:rsid w:val="48B70426"/>
    <w:rsid w:val="48E004FF"/>
    <w:rsid w:val="48E635D8"/>
    <w:rsid w:val="49587E25"/>
    <w:rsid w:val="4A151FD5"/>
    <w:rsid w:val="4A677436"/>
    <w:rsid w:val="4B042537"/>
    <w:rsid w:val="4B337350"/>
    <w:rsid w:val="4BAF25AC"/>
    <w:rsid w:val="4BBB00B1"/>
    <w:rsid w:val="4BEB6655"/>
    <w:rsid w:val="4C252C83"/>
    <w:rsid w:val="4C65298C"/>
    <w:rsid w:val="4C6530A7"/>
    <w:rsid w:val="4CA45761"/>
    <w:rsid w:val="4CD028FA"/>
    <w:rsid w:val="4CDA6B7E"/>
    <w:rsid w:val="4CE132A1"/>
    <w:rsid w:val="4D915B65"/>
    <w:rsid w:val="4DA63C5F"/>
    <w:rsid w:val="4DFE0852"/>
    <w:rsid w:val="4E692B55"/>
    <w:rsid w:val="4E826A10"/>
    <w:rsid w:val="4EBC62FF"/>
    <w:rsid w:val="4ED11D39"/>
    <w:rsid w:val="4EE51345"/>
    <w:rsid w:val="4F237574"/>
    <w:rsid w:val="4F441574"/>
    <w:rsid w:val="4F9F177D"/>
    <w:rsid w:val="4FC5288B"/>
    <w:rsid w:val="4FE97361"/>
    <w:rsid w:val="501129B5"/>
    <w:rsid w:val="50196C29"/>
    <w:rsid w:val="501A1792"/>
    <w:rsid w:val="504F7772"/>
    <w:rsid w:val="5065769E"/>
    <w:rsid w:val="506D3B8D"/>
    <w:rsid w:val="509317D3"/>
    <w:rsid w:val="50A03FB3"/>
    <w:rsid w:val="50A63302"/>
    <w:rsid w:val="50AE08E2"/>
    <w:rsid w:val="50AE1BDC"/>
    <w:rsid w:val="50F828F3"/>
    <w:rsid w:val="519020AB"/>
    <w:rsid w:val="52271DA0"/>
    <w:rsid w:val="52532F4D"/>
    <w:rsid w:val="52E41D5F"/>
    <w:rsid w:val="52EA119C"/>
    <w:rsid w:val="52F650AE"/>
    <w:rsid w:val="53280486"/>
    <w:rsid w:val="532F140E"/>
    <w:rsid w:val="5341442D"/>
    <w:rsid w:val="53964A22"/>
    <w:rsid w:val="53A711D6"/>
    <w:rsid w:val="53CC2C25"/>
    <w:rsid w:val="53CC32A8"/>
    <w:rsid w:val="53F77028"/>
    <w:rsid w:val="5409750E"/>
    <w:rsid w:val="545B37BC"/>
    <w:rsid w:val="54BA6F1B"/>
    <w:rsid w:val="54C54814"/>
    <w:rsid w:val="54FE1F7B"/>
    <w:rsid w:val="5583490A"/>
    <w:rsid w:val="55EB2850"/>
    <w:rsid w:val="56092AFA"/>
    <w:rsid w:val="561D3342"/>
    <w:rsid w:val="564372FC"/>
    <w:rsid w:val="568B1FB7"/>
    <w:rsid w:val="56D568E9"/>
    <w:rsid w:val="56F75296"/>
    <w:rsid w:val="56FF5CFA"/>
    <w:rsid w:val="577C0A50"/>
    <w:rsid w:val="57B036AC"/>
    <w:rsid w:val="57D947B8"/>
    <w:rsid w:val="57E234DB"/>
    <w:rsid w:val="5857493E"/>
    <w:rsid w:val="58D07136"/>
    <w:rsid w:val="595538DF"/>
    <w:rsid w:val="59971CF3"/>
    <w:rsid w:val="5A49135C"/>
    <w:rsid w:val="5A871D12"/>
    <w:rsid w:val="5AB76B78"/>
    <w:rsid w:val="5AEE6AE1"/>
    <w:rsid w:val="5B475AEF"/>
    <w:rsid w:val="5B8359FB"/>
    <w:rsid w:val="5BA460A5"/>
    <w:rsid w:val="5BC05736"/>
    <w:rsid w:val="5BE926E4"/>
    <w:rsid w:val="5C37089D"/>
    <w:rsid w:val="5CD32D08"/>
    <w:rsid w:val="5D0F76D2"/>
    <w:rsid w:val="5D1B700F"/>
    <w:rsid w:val="5DAB2F61"/>
    <w:rsid w:val="5DD17B1B"/>
    <w:rsid w:val="5DF80942"/>
    <w:rsid w:val="5E4356E9"/>
    <w:rsid w:val="5E556177"/>
    <w:rsid w:val="5E616B93"/>
    <w:rsid w:val="5E794B81"/>
    <w:rsid w:val="5EB85C9C"/>
    <w:rsid w:val="5F05212A"/>
    <w:rsid w:val="5F2E3351"/>
    <w:rsid w:val="5F6019F0"/>
    <w:rsid w:val="60102521"/>
    <w:rsid w:val="60266139"/>
    <w:rsid w:val="60995E4C"/>
    <w:rsid w:val="60B30906"/>
    <w:rsid w:val="60DE6E72"/>
    <w:rsid w:val="618349EE"/>
    <w:rsid w:val="61AB51F7"/>
    <w:rsid w:val="621F4C38"/>
    <w:rsid w:val="624A6336"/>
    <w:rsid w:val="62DA4BD4"/>
    <w:rsid w:val="62ED0D06"/>
    <w:rsid w:val="63006CC4"/>
    <w:rsid w:val="63292665"/>
    <w:rsid w:val="63987D70"/>
    <w:rsid w:val="63B97AF5"/>
    <w:rsid w:val="63C37FF6"/>
    <w:rsid w:val="63D54CBE"/>
    <w:rsid w:val="63D6724A"/>
    <w:rsid w:val="63DF79B2"/>
    <w:rsid w:val="647519DC"/>
    <w:rsid w:val="64D06EBC"/>
    <w:rsid w:val="64DA7755"/>
    <w:rsid w:val="64EE71C4"/>
    <w:rsid w:val="659C7FA5"/>
    <w:rsid w:val="65B77BF9"/>
    <w:rsid w:val="65BF4977"/>
    <w:rsid w:val="661A0833"/>
    <w:rsid w:val="66201296"/>
    <w:rsid w:val="662B1F9D"/>
    <w:rsid w:val="66347096"/>
    <w:rsid w:val="665C4585"/>
    <w:rsid w:val="66A43E11"/>
    <w:rsid w:val="66A54812"/>
    <w:rsid w:val="66D502FC"/>
    <w:rsid w:val="67233ED7"/>
    <w:rsid w:val="673C5317"/>
    <w:rsid w:val="673E4DB9"/>
    <w:rsid w:val="677C0D77"/>
    <w:rsid w:val="67A6413B"/>
    <w:rsid w:val="67E37073"/>
    <w:rsid w:val="67FC3D66"/>
    <w:rsid w:val="6806382A"/>
    <w:rsid w:val="682B0F33"/>
    <w:rsid w:val="68305151"/>
    <w:rsid w:val="68337455"/>
    <w:rsid w:val="68577B89"/>
    <w:rsid w:val="68B33B09"/>
    <w:rsid w:val="69314B96"/>
    <w:rsid w:val="696944C2"/>
    <w:rsid w:val="69AB0AB4"/>
    <w:rsid w:val="6AF052B5"/>
    <w:rsid w:val="6B2C4A74"/>
    <w:rsid w:val="6B380223"/>
    <w:rsid w:val="6B382084"/>
    <w:rsid w:val="6B9A72A4"/>
    <w:rsid w:val="6C382307"/>
    <w:rsid w:val="6C3A79FD"/>
    <w:rsid w:val="6CA374F3"/>
    <w:rsid w:val="6D1272FF"/>
    <w:rsid w:val="6D5A6601"/>
    <w:rsid w:val="6D721B2E"/>
    <w:rsid w:val="6D755BFE"/>
    <w:rsid w:val="6D8B622C"/>
    <w:rsid w:val="6D8F388A"/>
    <w:rsid w:val="6D921F7D"/>
    <w:rsid w:val="6DD972D3"/>
    <w:rsid w:val="6DFA6D12"/>
    <w:rsid w:val="6E0557EE"/>
    <w:rsid w:val="6E151CA2"/>
    <w:rsid w:val="6E761F72"/>
    <w:rsid w:val="6E7D378E"/>
    <w:rsid w:val="6E831BEC"/>
    <w:rsid w:val="6F5870E1"/>
    <w:rsid w:val="6F645712"/>
    <w:rsid w:val="6F7E482A"/>
    <w:rsid w:val="6F957773"/>
    <w:rsid w:val="700B3968"/>
    <w:rsid w:val="70192BA8"/>
    <w:rsid w:val="70AB2AAB"/>
    <w:rsid w:val="70BE2264"/>
    <w:rsid w:val="70C72E2A"/>
    <w:rsid w:val="70D769C7"/>
    <w:rsid w:val="71385700"/>
    <w:rsid w:val="717C7298"/>
    <w:rsid w:val="724927C5"/>
    <w:rsid w:val="728F5B6A"/>
    <w:rsid w:val="72A3703D"/>
    <w:rsid w:val="72A37F22"/>
    <w:rsid w:val="73276ACD"/>
    <w:rsid w:val="73656E09"/>
    <w:rsid w:val="738F6A46"/>
    <w:rsid w:val="739E397D"/>
    <w:rsid w:val="73B86821"/>
    <w:rsid w:val="73DE452A"/>
    <w:rsid w:val="73EC6C02"/>
    <w:rsid w:val="743541D1"/>
    <w:rsid w:val="745A5548"/>
    <w:rsid w:val="745D090A"/>
    <w:rsid w:val="749602A9"/>
    <w:rsid w:val="74D62F6D"/>
    <w:rsid w:val="751C607E"/>
    <w:rsid w:val="755D4961"/>
    <w:rsid w:val="75912989"/>
    <w:rsid w:val="75E4175D"/>
    <w:rsid w:val="75EB5241"/>
    <w:rsid w:val="760E3640"/>
    <w:rsid w:val="764906A7"/>
    <w:rsid w:val="76725067"/>
    <w:rsid w:val="76E275A6"/>
    <w:rsid w:val="77193E72"/>
    <w:rsid w:val="77954CE5"/>
    <w:rsid w:val="78506292"/>
    <w:rsid w:val="785A24C9"/>
    <w:rsid w:val="78796068"/>
    <w:rsid w:val="78A559EA"/>
    <w:rsid w:val="78AC75E8"/>
    <w:rsid w:val="78C93116"/>
    <w:rsid w:val="78E44A59"/>
    <w:rsid w:val="7908178A"/>
    <w:rsid w:val="79090D90"/>
    <w:rsid w:val="792340AF"/>
    <w:rsid w:val="794C1437"/>
    <w:rsid w:val="798C773A"/>
    <w:rsid w:val="79CC44D6"/>
    <w:rsid w:val="79D909AB"/>
    <w:rsid w:val="7A4A0603"/>
    <w:rsid w:val="7A4E74D7"/>
    <w:rsid w:val="7A5101BC"/>
    <w:rsid w:val="7A523FBA"/>
    <w:rsid w:val="7A624CB6"/>
    <w:rsid w:val="7AC17880"/>
    <w:rsid w:val="7ADC4DAA"/>
    <w:rsid w:val="7B64725E"/>
    <w:rsid w:val="7B6B5809"/>
    <w:rsid w:val="7B831E71"/>
    <w:rsid w:val="7BBF2554"/>
    <w:rsid w:val="7BD02E7D"/>
    <w:rsid w:val="7BF72387"/>
    <w:rsid w:val="7C142488"/>
    <w:rsid w:val="7C267C71"/>
    <w:rsid w:val="7C935D0C"/>
    <w:rsid w:val="7CCF0342"/>
    <w:rsid w:val="7CE47418"/>
    <w:rsid w:val="7D303E99"/>
    <w:rsid w:val="7D377B9D"/>
    <w:rsid w:val="7D8024C0"/>
    <w:rsid w:val="7DC90240"/>
    <w:rsid w:val="7E1A4F50"/>
    <w:rsid w:val="7E3101C9"/>
    <w:rsid w:val="7F1478C7"/>
    <w:rsid w:val="7F2841C8"/>
    <w:rsid w:val="7F505A19"/>
    <w:rsid w:val="7F905B05"/>
    <w:rsid w:val="7FC13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1"/>
    <w:basedOn w:val="1"/>
    <w:next w:val="1"/>
    <w:link w:val="18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114"/>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54"/>
    <w:qFormat/>
    <w:uiPriority w:val="0"/>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216"/>
    <w:qFormat/>
    <w:uiPriority w:val="0"/>
    <w:pPr>
      <w:keepNext/>
      <w:keepLines/>
      <w:spacing w:before="280" w:after="290" w:line="376" w:lineRule="auto"/>
      <w:outlineLvl w:val="4"/>
    </w:pPr>
    <w:rPr>
      <w:b/>
      <w:bCs/>
      <w:kern w:val="2"/>
      <w:sz w:val="28"/>
      <w:szCs w:val="28"/>
    </w:rPr>
  </w:style>
  <w:style w:type="paragraph" w:styleId="10">
    <w:name w:val="heading 6"/>
    <w:basedOn w:val="1"/>
    <w:next w:val="1"/>
    <w:link w:val="236"/>
    <w:qFormat/>
    <w:uiPriority w:val="0"/>
    <w:pPr>
      <w:keepNext/>
      <w:keepLines/>
      <w:spacing w:before="240" w:after="64" w:line="320" w:lineRule="auto"/>
      <w:outlineLvl w:val="5"/>
    </w:pPr>
    <w:rPr>
      <w:rFonts w:ascii="Arial" w:hAnsi="Arial" w:eastAsia="黑体"/>
      <w:b/>
      <w:bCs/>
      <w:kern w:val="2"/>
    </w:rPr>
  </w:style>
  <w:style w:type="paragraph" w:styleId="11">
    <w:name w:val="heading 7"/>
    <w:basedOn w:val="1"/>
    <w:next w:val="1"/>
    <w:link w:val="120"/>
    <w:qFormat/>
    <w:uiPriority w:val="0"/>
    <w:pPr>
      <w:keepNext/>
      <w:keepLines/>
      <w:spacing w:before="240" w:after="64" w:line="320" w:lineRule="auto"/>
      <w:outlineLvl w:val="6"/>
    </w:pPr>
    <w:rPr>
      <w:b/>
      <w:bCs/>
      <w:kern w:val="2"/>
    </w:rPr>
  </w:style>
  <w:style w:type="paragraph" w:styleId="12">
    <w:name w:val="heading 8"/>
    <w:basedOn w:val="1"/>
    <w:next w:val="1"/>
    <w:link w:val="194"/>
    <w:qFormat/>
    <w:uiPriority w:val="0"/>
    <w:pPr>
      <w:keepNext/>
      <w:keepLines/>
      <w:spacing w:before="240" w:after="64" w:line="320" w:lineRule="auto"/>
      <w:outlineLvl w:val="7"/>
    </w:pPr>
    <w:rPr>
      <w:rFonts w:ascii="Arial" w:hAnsi="Arial" w:eastAsia="黑体"/>
      <w:kern w:val="2"/>
    </w:rPr>
  </w:style>
  <w:style w:type="paragraph" w:styleId="13">
    <w:name w:val="heading 9"/>
    <w:basedOn w:val="1"/>
    <w:next w:val="1"/>
    <w:link w:val="110"/>
    <w:qFormat/>
    <w:uiPriority w:val="0"/>
    <w:pPr>
      <w:keepNext/>
      <w:keepLines/>
      <w:spacing w:before="240" w:after="64" w:line="320" w:lineRule="auto"/>
      <w:outlineLvl w:val="8"/>
    </w:pPr>
    <w:rPr>
      <w:rFonts w:ascii="Arial" w:hAnsi="Arial" w:eastAsia="黑体"/>
      <w:kern w:val="2"/>
      <w:sz w:val="21"/>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样式  + 首行缩进:  2 字符"/>
    <w:basedOn w:val="3"/>
    <w:qFormat/>
    <w:uiPriority w:val="0"/>
    <w:pPr>
      <w:ind w:firstLine="480"/>
    </w:pPr>
  </w:style>
  <w:style w:type="paragraph" w:customStyle="1" w:styleId="3">
    <w:name w:val="9"/>
    <w:basedOn w:val="1"/>
    <w:next w:val="4"/>
    <w:qFormat/>
    <w:uiPriority w:val="0"/>
    <w:pPr>
      <w:spacing w:before="60" w:after="60" w:line="360" w:lineRule="auto"/>
      <w:ind w:firstLine="200" w:firstLineChars="200"/>
    </w:pPr>
  </w:style>
  <w:style w:type="paragraph" w:styleId="4">
    <w:name w:val="Body Text"/>
    <w:basedOn w:val="1"/>
    <w:next w:val="1"/>
    <w:link w:val="234"/>
    <w:qFormat/>
    <w:uiPriority w:val="0"/>
    <w:pPr>
      <w:jc w:val="center"/>
    </w:pPr>
    <w:rPr>
      <w:rFonts w:ascii="宋体" w:hAnsi="宋体"/>
      <w:b/>
      <w:bCs/>
      <w:color w:val="000000"/>
      <w:kern w:val="2"/>
      <w:sz w:val="72"/>
      <w:szCs w:val="20"/>
    </w:r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tabs>
        <w:tab w:val="left" w:pos="360"/>
      </w:tabs>
      <w:ind w:left="360" w:hanging="360"/>
    </w:pPr>
  </w:style>
  <w:style w:type="paragraph" w:styleId="17">
    <w:name w:val="Normal Indent"/>
    <w:basedOn w:val="1"/>
    <w:next w:val="18"/>
    <w:link w:val="171"/>
    <w:qFormat/>
    <w:uiPriority w:val="0"/>
    <w:pPr>
      <w:ind w:firstLine="420" w:firstLineChars="200"/>
    </w:pPr>
    <w:rPr>
      <w:kern w:val="2"/>
      <w:sz w:val="28"/>
      <w:szCs w:val="20"/>
    </w:rPr>
  </w:style>
  <w:style w:type="paragraph" w:styleId="18">
    <w:name w:val="Body Text Indent"/>
    <w:basedOn w:val="1"/>
    <w:next w:val="1"/>
    <w:link w:val="97"/>
    <w:qFormat/>
    <w:uiPriority w:val="0"/>
    <w:pPr>
      <w:spacing w:line="460" w:lineRule="exact"/>
      <w:ind w:firstLine="482" w:firstLineChars="200"/>
    </w:pPr>
    <w:rPr>
      <w:b/>
      <w:bCs/>
      <w:shd w:val="clear" w:color="auto" w:fill="CCCCCC"/>
    </w:rPr>
  </w:style>
  <w:style w:type="paragraph" w:styleId="19">
    <w:name w:val="caption"/>
    <w:basedOn w:val="1"/>
    <w:next w:val="1"/>
    <w:qFormat/>
    <w:uiPriority w:val="0"/>
    <w:pPr>
      <w:spacing w:before="152" w:after="160"/>
    </w:pPr>
    <w:rPr>
      <w:rFonts w:ascii="Arial" w:hAnsi="Arial" w:eastAsia="黑体"/>
      <w:sz w:val="20"/>
      <w:szCs w:val="20"/>
    </w:rPr>
  </w:style>
  <w:style w:type="paragraph" w:styleId="20">
    <w:name w:val="index 5"/>
    <w:basedOn w:val="1"/>
    <w:next w:val="1"/>
    <w:semiHidden/>
    <w:qFormat/>
    <w:uiPriority w:val="0"/>
    <w:pPr>
      <w:ind w:left="800" w:leftChars="800"/>
    </w:pPr>
  </w:style>
  <w:style w:type="paragraph" w:styleId="21">
    <w:name w:val="Document Map"/>
    <w:basedOn w:val="1"/>
    <w:link w:val="227"/>
    <w:qFormat/>
    <w:uiPriority w:val="0"/>
    <w:pPr>
      <w:shd w:val="clear" w:color="auto" w:fill="000080"/>
    </w:pPr>
    <w:rPr>
      <w:kern w:val="2"/>
      <w:sz w:val="21"/>
    </w:rPr>
  </w:style>
  <w:style w:type="paragraph" w:styleId="22">
    <w:name w:val="annotation text"/>
    <w:basedOn w:val="1"/>
    <w:link w:val="179"/>
    <w:qFormat/>
    <w:uiPriority w:val="0"/>
    <w:rPr>
      <w:kern w:val="2"/>
      <w:sz w:val="21"/>
    </w:rPr>
  </w:style>
  <w:style w:type="paragraph" w:styleId="23">
    <w:name w:val="index 6"/>
    <w:basedOn w:val="1"/>
    <w:next w:val="1"/>
    <w:semiHidden/>
    <w:qFormat/>
    <w:uiPriority w:val="0"/>
    <w:pPr>
      <w:ind w:left="1000" w:leftChars="1000"/>
    </w:pPr>
  </w:style>
  <w:style w:type="paragraph" w:styleId="24">
    <w:name w:val="Body Text 3"/>
    <w:basedOn w:val="1"/>
    <w:link w:val="235"/>
    <w:qFormat/>
    <w:uiPriority w:val="0"/>
    <w:pPr>
      <w:spacing w:after="120"/>
    </w:pPr>
    <w:rPr>
      <w:kern w:val="2"/>
      <w:sz w:val="16"/>
      <w:szCs w:val="16"/>
    </w:rPr>
  </w:style>
  <w:style w:type="paragraph" w:styleId="25">
    <w:name w:val="List Number 3"/>
    <w:basedOn w:val="1"/>
    <w:qFormat/>
    <w:uiPriority w:val="0"/>
    <w:pPr>
      <w:widowControl w:val="0"/>
      <w:tabs>
        <w:tab w:val="left" w:pos="360"/>
        <w:tab w:val="left" w:pos="1200"/>
      </w:tabs>
      <w:ind w:left="360" w:hanging="360"/>
      <w:jc w:val="both"/>
    </w:pPr>
    <w:rPr>
      <w:kern w:val="2"/>
      <w:sz w:val="21"/>
    </w:rPr>
  </w:style>
  <w:style w:type="paragraph" w:styleId="26">
    <w:name w:val="List 2"/>
    <w:basedOn w:val="1"/>
    <w:qFormat/>
    <w:uiPriority w:val="0"/>
    <w:pPr>
      <w:widowControl w:val="0"/>
      <w:ind w:left="100" w:leftChars="200" w:hanging="200" w:hangingChars="200"/>
      <w:jc w:val="both"/>
    </w:pPr>
    <w:rPr>
      <w:kern w:val="2"/>
      <w:sz w:val="28"/>
    </w:rPr>
  </w:style>
  <w:style w:type="paragraph" w:styleId="27">
    <w:name w:val="Block Text"/>
    <w:basedOn w:val="1"/>
    <w:qFormat/>
    <w:uiPriority w:val="0"/>
    <w:pPr>
      <w:adjustRightInd w:val="0"/>
      <w:ind w:left="420" w:right="33"/>
      <w:jc w:val="left"/>
      <w:textAlignment w:val="baseline"/>
    </w:pPr>
    <w:rPr>
      <w:kern w:val="0"/>
      <w:szCs w:val="20"/>
    </w:rPr>
  </w:style>
  <w:style w:type="paragraph" w:styleId="28">
    <w:name w:val="index 4"/>
    <w:basedOn w:val="1"/>
    <w:next w:val="1"/>
    <w:semiHidden/>
    <w:qFormat/>
    <w:uiPriority w:val="0"/>
    <w:pPr>
      <w:ind w:left="600" w:leftChars="600"/>
    </w:pPr>
  </w:style>
  <w:style w:type="paragraph" w:styleId="29">
    <w:name w:val="toc 5"/>
    <w:basedOn w:val="1"/>
    <w:next w:val="1"/>
    <w:semiHidden/>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
    <w:link w:val="136"/>
    <w:qFormat/>
    <w:uiPriority w:val="0"/>
    <w:rPr>
      <w:rFonts w:ascii="宋体" w:hAnsi="Courier New" w:cs="Courier New"/>
      <w:kern w:val="2"/>
      <w:sz w:val="21"/>
      <w:szCs w:val="21"/>
    </w:rPr>
  </w:style>
  <w:style w:type="paragraph" w:styleId="32">
    <w:name w:val="toc 8"/>
    <w:basedOn w:val="1"/>
    <w:next w:val="1"/>
    <w:semiHidden/>
    <w:qFormat/>
    <w:uiPriority w:val="0"/>
    <w:pPr>
      <w:ind w:left="2940" w:leftChars="1400"/>
    </w:pPr>
  </w:style>
  <w:style w:type="paragraph" w:styleId="33">
    <w:name w:val="index 3"/>
    <w:basedOn w:val="1"/>
    <w:next w:val="1"/>
    <w:semiHidden/>
    <w:qFormat/>
    <w:uiPriority w:val="0"/>
    <w:pPr>
      <w:ind w:left="400" w:leftChars="400"/>
    </w:pPr>
  </w:style>
  <w:style w:type="paragraph" w:styleId="34">
    <w:name w:val="Date"/>
    <w:basedOn w:val="1"/>
    <w:next w:val="1"/>
    <w:link w:val="357"/>
    <w:qFormat/>
    <w:uiPriority w:val="0"/>
    <w:pPr>
      <w:ind w:left="100" w:leftChars="2500"/>
    </w:pPr>
  </w:style>
  <w:style w:type="paragraph" w:styleId="35">
    <w:name w:val="Body Text Indent 2"/>
    <w:basedOn w:val="1"/>
    <w:link w:val="354"/>
    <w:qFormat/>
    <w:uiPriority w:val="0"/>
    <w:pPr>
      <w:spacing w:line="360" w:lineRule="auto"/>
      <w:ind w:firstLine="480"/>
    </w:pPr>
    <w:rPr>
      <w:rFonts w:hint="eastAsia" w:ascii="宋体" w:eastAsia="新宋体"/>
      <w:szCs w:val="20"/>
    </w:rPr>
  </w:style>
  <w:style w:type="paragraph" w:styleId="36">
    <w:name w:val="Balloon Text"/>
    <w:basedOn w:val="1"/>
    <w:link w:val="157"/>
    <w:qFormat/>
    <w:uiPriority w:val="0"/>
    <w:rPr>
      <w:kern w:val="2"/>
      <w:sz w:val="18"/>
      <w:szCs w:val="18"/>
    </w:rPr>
  </w:style>
  <w:style w:type="paragraph" w:styleId="37">
    <w:name w:val="footer"/>
    <w:basedOn w:val="1"/>
    <w:link w:val="138"/>
    <w:qFormat/>
    <w:uiPriority w:val="99"/>
    <w:pPr>
      <w:tabs>
        <w:tab w:val="center" w:pos="4153"/>
        <w:tab w:val="right" w:pos="8306"/>
      </w:tabs>
      <w:snapToGrid w:val="0"/>
    </w:pPr>
    <w:rPr>
      <w:kern w:val="2"/>
      <w:sz w:val="18"/>
      <w:szCs w:val="18"/>
    </w:rPr>
  </w:style>
  <w:style w:type="paragraph" w:styleId="38">
    <w:name w:val="header"/>
    <w:basedOn w:val="1"/>
    <w:link w:val="206"/>
    <w:qFormat/>
    <w:uiPriority w:val="0"/>
    <w:pPr>
      <w:pBdr>
        <w:bottom w:val="single" w:color="auto" w:sz="6" w:space="1"/>
      </w:pBdr>
      <w:tabs>
        <w:tab w:val="center" w:pos="4153"/>
        <w:tab w:val="right" w:pos="8306"/>
      </w:tabs>
      <w:snapToGrid w:val="0"/>
      <w:jc w:val="center"/>
    </w:pPr>
    <w:rPr>
      <w:kern w:val="2"/>
      <w:sz w:val="18"/>
      <w:szCs w:val="18"/>
    </w:rPr>
  </w:style>
  <w:style w:type="paragraph" w:styleId="39">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40">
    <w:name w:val="toc 4"/>
    <w:basedOn w:val="1"/>
    <w:next w:val="1"/>
    <w:semiHidden/>
    <w:qFormat/>
    <w:uiPriority w:val="0"/>
    <w:pPr>
      <w:ind w:left="1260" w:leftChars="600"/>
    </w:pPr>
  </w:style>
  <w:style w:type="paragraph" w:styleId="41">
    <w:name w:val="index heading"/>
    <w:basedOn w:val="1"/>
    <w:next w:val="42"/>
    <w:semiHidden/>
    <w:qFormat/>
    <w:uiPriority w:val="0"/>
  </w:style>
  <w:style w:type="paragraph" w:styleId="42">
    <w:name w:val="index 1"/>
    <w:basedOn w:val="1"/>
    <w:next w:val="1"/>
    <w:semiHidden/>
    <w:qFormat/>
    <w:uiPriority w:val="0"/>
    <w:pPr>
      <w:spacing w:line="560" w:lineRule="exact"/>
    </w:pPr>
    <w:rPr>
      <w:sz w:val="28"/>
    </w:rPr>
  </w:style>
  <w:style w:type="paragraph" w:styleId="43">
    <w:name w:val="List"/>
    <w:basedOn w:val="1"/>
    <w:qFormat/>
    <w:uiPriority w:val="0"/>
    <w:pPr>
      <w:widowControl w:val="0"/>
      <w:ind w:left="200" w:hanging="200" w:hangingChars="200"/>
      <w:jc w:val="both"/>
    </w:pPr>
    <w:rPr>
      <w:kern w:val="2"/>
      <w:sz w:val="28"/>
    </w:rPr>
  </w:style>
  <w:style w:type="paragraph" w:styleId="44">
    <w:name w:val="toc 6"/>
    <w:basedOn w:val="1"/>
    <w:next w:val="1"/>
    <w:semiHidden/>
    <w:qFormat/>
    <w:uiPriority w:val="0"/>
    <w:pPr>
      <w:ind w:left="2100" w:leftChars="1000"/>
    </w:pPr>
  </w:style>
  <w:style w:type="paragraph" w:styleId="45">
    <w:name w:val="Body Text Indent 3"/>
    <w:basedOn w:val="1"/>
    <w:link w:val="351"/>
    <w:qFormat/>
    <w:uiPriority w:val="0"/>
    <w:pPr>
      <w:spacing w:after="120"/>
      <w:ind w:left="420" w:leftChars="200"/>
    </w:pPr>
    <w:rPr>
      <w:sz w:val="16"/>
      <w:szCs w:val="16"/>
    </w:rPr>
  </w:style>
  <w:style w:type="paragraph" w:styleId="46">
    <w:name w:val="index 7"/>
    <w:basedOn w:val="1"/>
    <w:next w:val="1"/>
    <w:semiHidden/>
    <w:qFormat/>
    <w:uiPriority w:val="0"/>
    <w:pPr>
      <w:ind w:left="1200" w:leftChars="1200"/>
    </w:pPr>
  </w:style>
  <w:style w:type="paragraph" w:styleId="47">
    <w:name w:val="index 9"/>
    <w:basedOn w:val="1"/>
    <w:next w:val="1"/>
    <w:semiHidden/>
    <w:qFormat/>
    <w:uiPriority w:val="0"/>
    <w:pPr>
      <w:ind w:left="1600" w:leftChars="1600"/>
    </w:pPr>
  </w:style>
  <w:style w:type="paragraph" w:styleId="48">
    <w:name w:val="table of figures"/>
    <w:basedOn w:val="1"/>
    <w:next w:val="1"/>
    <w:semiHidden/>
    <w:qFormat/>
    <w:uiPriority w:val="0"/>
    <w:pPr>
      <w:spacing w:line="560" w:lineRule="exact"/>
    </w:pPr>
    <w:rPr>
      <w:b/>
      <w:sz w:val="28"/>
    </w:rPr>
  </w:style>
  <w:style w:type="paragraph" w:styleId="49">
    <w:name w:val="toc 2"/>
    <w:basedOn w:val="1"/>
    <w:next w:val="1"/>
    <w:qFormat/>
    <w:uiPriority w:val="39"/>
    <w:pPr>
      <w:spacing w:line="400" w:lineRule="exact"/>
      <w:ind w:left="200" w:leftChars="200"/>
    </w:pPr>
  </w:style>
  <w:style w:type="paragraph" w:styleId="50">
    <w:name w:val="toc 9"/>
    <w:basedOn w:val="1"/>
    <w:next w:val="1"/>
    <w:semiHidden/>
    <w:qFormat/>
    <w:uiPriority w:val="0"/>
    <w:pPr>
      <w:ind w:left="3360" w:leftChars="1600"/>
    </w:pPr>
  </w:style>
  <w:style w:type="paragraph" w:styleId="51">
    <w:name w:val="Body Text 2"/>
    <w:basedOn w:val="1"/>
    <w:link w:val="355"/>
    <w:qFormat/>
    <w:uiPriority w:val="0"/>
    <w:pPr>
      <w:spacing w:after="120" w:line="480" w:lineRule="auto"/>
    </w:pPr>
  </w:style>
  <w:style w:type="paragraph" w:styleId="52">
    <w:name w:val="HTML Preformatted"/>
    <w:basedOn w:val="1"/>
    <w:link w:val="3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3">
    <w:name w:val="Normal (Web)"/>
    <w:basedOn w:val="1"/>
    <w:qFormat/>
    <w:uiPriority w:val="99"/>
  </w:style>
  <w:style w:type="paragraph" w:styleId="54">
    <w:name w:val="index 2"/>
    <w:basedOn w:val="1"/>
    <w:next w:val="1"/>
    <w:semiHidden/>
    <w:qFormat/>
    <w:uiPriority w:val="0"/>
    <w:pPr>
      <w:spacing w:line="560" w:lineRule="exact"/>
      <w:ind w:left="200" w:leftChars="200"/>
    </w:pPr>
    <w:rPr>
      <w:sz w:val="28"/>
    </w:rPr>
  </w:style>
  <w:style w:type="paragraph" w:styleId="55">
    <w:name w:val="Title"/>
    <w:basedOn w:val="1"/>
    <w:next w:val="1"/>
    <w:link w:val="178"/>
    <w:qFormat/>
    <w:uiPriority w:val="0"/>
    <w:pPr>
      <w:spacing w:before="240" w:after="60"/>
      <w:jc w:val="center"/>
      <w:outlineLvl w:val="0"/>
    </w:pPr>
    <w:rPr>
      <w:rFonts w:ascii="Cambria" w:hAnsi="Cambria"/>
      <w:b/>
      <w:bCs/>
      <w:kern w:val="2"/>
      <w:sz w:val="32"/>
      <w:szCs w:val="32"/>
    </w:rPr>
  </w:style>
  <w:style w:type="paragraph" w:styleId="56">
    <w:name w:val="annotation subject"/>
    <w:basedOn w:val="22"/>
    <w:next w:val="22"/>
    <w:link w:val="217"/>
    <w:qFormat/>
    <w:uiPriority w:val="0"/>
    <w:rPr>
      <w:rFonts w:ascii="Calibri" w:hAnsi="Calibri" w:cs="Calibri"/>
      <w:b/>
      <w:bCs/>
      <w:kern w:val="0"/>
      <w:sz w:val="24"/>
    </w:rPr>
  </w:style>
  <w:style w:type="paragraph" w:styleId="57">
    <w:name w:val="Body Text First Indent"/>
    <w:basedOn w:val="4"/>
    <w:next w:val="1"/>
    <w:link w:val="168"/>
    <w:qFormat/>
    <w:uiPriority w:val="0"/>
    <w:pPr>
      <w:spacing w:after="120"/>
      <w:ind w:firstLine="420" w:firstLineChars="100"/>
      <w:jc w:val="both"/>
    </w:pPr>
    <w:rPr>
      <w:rFonts w:ascii="Times New Roman" w:hAnsi="Times New Roman"/>
      <w:b w:val="0"/>
      <w:bCs w:val="0"/>
      <w:color w:val="auto"/>
      <w:sz w:val="21"/>
      <w:szCs w:val="24"/>
    </w:rPr>
  </w:style>
  <w:style w:type="paragraph" w:styleId="58">
    <w:name w:val="Body Text First Indent 2"/>
    <w:basedOn w:val="18"/>
    <w:next w:val="59"/>
    <w:link w:val="201"/>
    <w:qFormat/>
    <w:uiPriority w:val="0"/>
    <w:pPr>
      <w:spacing w:after="120" w:line="240" w:lineRule="auto"/>
      <w:ind w:left="420" w:leftChars="200" w:firstLine="420"/>
    </w:pPr>
    <w:rPr>
      <w:b w:val="0"/>
      <w:bCs w:val="0"/>
      <w:shd w:val="clear" w:color="auto" w:fill="auto"/>
    </w:rPr>
  </w:style>
  <w:style w:type="paragraph" w:customStyle="1" w:styleId="5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Hyperlink"/>
    <w:qFormat/>
    <w:uiPriority w:val="0"/>
    <w:rPr>
      <w:color w:val="0000FF"/>
      <w:u w:val="single"/>
    </w:rPr>
  </w:style>
  <w:style w:type="character" w:styleId="67">
    <w:name w:val="annotation reference"/>
    <w:basedOn w:val="62"/>
    <w:unhideWhenUsed/>
    <w:qFormat/>
    <w:uiPriority w:val="99"/>
  </w:style>
  <w:style w:type="paragraph" w:customStyle="1" w:styleId="68">
    <w:name w:val="正文首行缩进2字符"/>
    <w:basedOn w:val="1"/>
    <w:qFormat/>
    <w:uiPriority w:val="0"/>
    <w:pPr>
      <w:adjustRightInd w:val="0"/>
      <w:snapToGrid w:val="0"/>
    </w:pPr>
    <w:rPr>
      <w:szCs w:val="21"/>
    </w:rPr>
  </w:style>
  <w:style w:type="paragraph" w:customStyle="1" w:styleId="69">
    <w:name w:val="Default"/>
    <w:basedOn w:val="1"/>
    <w:qFormat/>
    <w:uiPriority w:val="0"/>
    <w:pPr>
      <w:autoSpaceDE w:val="0"/>
      <w:autoSpaceDN w:val="0"/>
      <w:adjustRightInd w:val="0"/>
      <w:spacing w:before="96" w:after="96"/>
      <w:jc w:val="right"/>
    </w:pPr>
    <w:rPr>
      <w:rFonts w:ascii="宋体" w:hAnsi="Calibri" w:cs="宋体"/>
      <w:color w:val="000000"/>
    </w:rPr>
  </w:style>
  <w:style w:type="character" w:customStyle="1" w:styleId="70">
    <w:name w:val="标题 2 Char"/>
    <w:qFormat/>
    <w:uiPriority w:val="9"/>
    <w:rPr>
      <w:rFonts w:ascii="宋体" w:hAnsi="宋体" w:eastAsia="宋体" w:cs="Times New Roman"/>
      <w:b/>
      <w:bCs/>
      <w:sz w:val="28"/>
      <w:szCs w:val="24"/>
    </w:rPr>
  </w:style>
  <w:style w:type="character" w:customStyle="1" w:styleId="71">
    <w:name w:val="页脚 Char"/>
    <w:qFormat/>
    <w:uiPriority w:val="99"/>
    <w:rPr>
      <w:rFonts w:ascii="Calibri" w:hAnsi="Calibri" w:eastAsia="宋体" w:cs="Times New Roman"/>
      <w:sz w:val="18"/>
      <w:szCs w:val="18"/>
    </w:rPr>
  </w:style>
  <w:style w:type="character" w:customStyle="1" w:styleId="72">
    <w:name w:val="页眉 Char"/>
    <w:qFormat/>
    <w:uiPriority w:val="99"/>
    <w:rPr>
      <w:rFonts w:ascii="Calibri" w:hAnsi="Calibri" w:eastAsia="宋体" w:cs="Times New Roman"/>
      <w:sz w:val="18"/>
      <w:szCs w:val="18"/>
    </w:rPr>
  </w:style>
  <w:style w:type="character" w:customStyle="1" w:styleId="73">
    <w:name w:val="-正文- Char"/>
    <w:link w:val="74"/>
    <w:qFormat/>
    <w:uiPriority w:val="0"/>
    <w:rPr>
      <w:rFonts w:eastAsia="宋体" w:cs="宋体"/>
      <w:kern w:val="2"/>
      <w:sz w:val="21"/>
      <w:lang w:val="en-US" w:eastAsia="zh-CN" w:bidi="ar-SA"/>
    </w:rPr>
  </w:style>
  <w:style w:type="paragraph" w:customStyle="1" w:styleId="74">
    <w:name w:val="-正文-"/>
    <w:basedOn w:val="1"/>
    <w:link w:val="73"/>
    <w:qFormat/>
    <w:uiPriority w:val="0"/>
    <w:pPr>
      <w:spacing w:line="360" w:lineRule="auto"/>
      <w:ind w:firstLine="420" w:firstLineChars="200"/>
    </w:pPr>
    <w:rPr>
      <w:rFonts w:cs="宋体"/>
      <w:kern w:val="2"/>
      <w:sz w:val="21"/>
      <w:szCs w:val="20"/>
    </w:rPr>
  </w:style>
  <w:style w:type="character" w:customStyle="1" w:styleId="75">
    <w:name w:val="正文主体 Char"/>
    <w:link w:val="76"/>
    <w:qFormat/>
    <w:uiPriority w:val="0"/>
    <w:rPr>
      <w:rFonts w:eastAsia="宋体"/>
      <w:kern w:val="2"/>
      <w:sz w:val="24"/>
      <w:szCs w:val="24"/>
      <w:lang w:val="en-US" w:eastAsia="zh-CN" w:bidi="ar-SA"/>
    </w:rPr>
  </w:style>
  <w:style w:type="paragraph" w:customStyle="1" w:styleId="76">
    <w:name w:val="正文主体"/>
    <w:basedOn w:val="2"/>
    <w:link w:val="75"/>
    <w:qFormat/>
    <w:uiPriority w:val="0"/>
    <w:rPr>
      <w:kern w:val="2"/>
    </w:rPr>
  </w:style>
  <w:style w:type="character" w:customStyle="1" w:styleId="77">
    <w:name w:val="列出段落 字符"/>
    <w:link w:val="78"/>
    <w:qFormat/>
    <w:uiPriority w:val="0"/>
    <w:rPr>
      <w:rFonts w:ascii="Calibri" w:hAnsi="Calibri" w:eastAsia="宋体"/>
      <w:kern w:val="2"/>
      <w:sz w:val="21"/>
      <w:szCs w:val="22"/>
      <w:lang w:val="en-US" w:eastAsia="zh-CN" w:bidi="ar-SA"/>
    </w:rPr>
  </w:style>
  <w:style w:type="paragraph" w:styleId="78">
    <w:name w:val="List Paragraph"/>
    <w:basedOn w:val="1"/>
    <w:link w:val="77"/>
    <w:qFormat/>
    <w:uiPriority w:val="34"/>
    <w:pPr>
      <w:ind w:firstLine="420" w:firstLineChars="200"/>
    </w:pPr>
    <w:rPr>
      <w:rFonts w:ascii="Calibri" w:hAnsi="Calibri"/>
      <w:kern w:val="2"/>
      <w:sz w:val="21"/>
      <w:szCs w:val="22"/>
    </w:rPr>
  </w:style>
  <w:style w:type="character" w:customStyle="1" w:styleId="79">
    <w:name w:val="文档结构图 Char Char"/>
    <w:link w:val="80"/>
    <w:qFormat/>
    <w:uiPriority w:val="0"/>
    <w:rPr>
      <w:rFonts w:ascii="宋体" w:hAnsi="Calibri"/>
      <w:kern w:val="2"/>
      <w:sz w:val="18"/>
      <w:szCs w:val="18"/>
      <w:lang w:bidi="ar-SA"/>
    </w:rPr>
  </w:style>
  <w:style w:type="paragraph" w:customStyle="1" w:styleId="80">
    <w:name w:val="文档结构图1"/>
    <w:basedOn w:val="1"/>
    <w:link w:val="79"/>
    <w:qFormat/>
    <w:uiPriority w:val="0"/>
    <w:pPr>
      <w:spacing w:line="360" w:lineRule="auto"/>
      <w:ind w:firstLine="200" w:firstLineChars="200"/>
    </w:pPr>
    <w:rPr>
      <w:rFonts w:ascii="宋体" w:hAnsi="Calibri"/>
      <w:kern w:val="2"/>
      <w:sz w:val="18"/>
      <w:szCs w:val="18"/>
    </w:rPr>
  </w:style>
  <w:style w:type="character" w:customStyle="1" w:styleId="81">
    <w:name w:val="-标题2- Char"/>
    <w:link w:val="82"/>
    <w:qFormat/>
    <w:uiPriority w:val="0"/>
    <w:rPr>
      <w:rFonts w:ascii="宋体" w:hAnsi="宋体"/>
      <w:b/>
      <w:bCs/>
      <w:kern w:val="44"/>
      <w:sz w:val="28"/>
      <w:szCs w:val="28"/>
    </w:rPr>
  </w:style>
  <w:style w:type="paragraph" w:customStyle="1" w:styleId="82">
    <w:name w:val="-标题2-"/>
    <w:basedOn w:val="1"/>
    <w:link w:val="81"/>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83">
    <w:name w:val="纯文本 Char2"/>
    <w:qFormat/>
    <w:uiPriority w:val="0"/>
    <w:rPr>
      <w:rFonts w:ascii="宋体" w:hAnsi="Courier New" w:eastAsia="宋体" w:cs="Courier New"/>
      <w:kern w:val="2"/>
      <w:sz w:val="21"/>
      <w:szCs w:val="21"/>
      <w:lang w:val="en-US" w:eastAsia="zh-CN" w:bidi="ar-SA"/>
    </w:rPr>
  </w:style>
  <w:style w:type="character" w:customStyle="1" w:styleId="84">
    <w:name w:val="标题 3 Char"/>
    <w:qFormat/>
    <w:uiPriority w:val="0"/>
    <w:rPr>
      <w:rFonts w:ascii="宋体" w:hAnsi="宋体" w:eastAsia="宋体" w:cs="Times New Roman"/>
      <w:b/>
      <w:bCs/>
      <w:sz w:val="28"/>
      <w:szCs w:val="24"/>
    </w:rPr>
  </w:style>
  <w:style w:type="character" w:customStyle="1" w:styleId="85">
    <w:name w:val="正文，首行缩进: Char"/>
    <w:link w:val="86"/>
    <w:qFormat/>
    <w:uiPriority w:val="0"/>
    <w:rPr>
      <w:rFonts w:ascii="Arial" w:hAnsi="Arial"/>
      <w:kern w:val="2"/>
      <w:sz w:val="24"/>
      <w:szCs w:val="24"/>
      <w:lang w:bidi="ar-SA"/>
    </w:rPr>
  </w:style>
  <w:style w:type="paragraph" w:customStyle="1" w:styleId="86">
    <w:name w:val="正文，首行缩进:"/>
    <w:basedOn w:val="1"/>
    <w:link w:val="85"/>
    <w:qFormat/>
    <w:uiPriority w:val="0"/>
    <w:pPr>
      <w:spacing w:line="360" w:lineRule="auto"/>
      <w:ind w:firstLine="480" w:firstLineChars="200"/>
    </w:pPr>
    <w:rPr>
      <w:rFonts w:ascii="Arial" w:hAnsi="Arial"/>
      <w:kern w:val="2"/>
    </w:rPr>
  </w:style>
  <w:style w:type="character" w:customStyle="1" w:styleId="87">
    <w:name w:val="表格文字 Char"/>
    <w:link w:val="88"/>
    <w:qFormat/>
    <w:uiPriority w:val="0"/>
    <w:rPr>
      <w:sz w:val="18"/>
      <w:szCs w:val="24"/>
      <w:lang w:bidi="ar-SA"/>
    </w:rPr>
  </w:style>
  <w:style w:type="paragraph" w:customStyle="1" w:styleId="88">
    <w:name w:val="表格文字"/>
    <w:basedOn w:val="1"/>
    <w:link w:val="87"/>
    <w:qFormat/>
    <w:uiPriority w:val="0"/>
    <w:pPr>
      <w:textAlignment w:val="top"/>
    </w:pPr>
    <w:rPr>
      <w:sz w:val="18"/>
    </w:rPr>
  </w:style>
  <w:style w:type="character" w:customStyle="1" w:styleId="89">
    <w:name w:val="G-正文缩进 Char"/>
    <w:link w:val="90"/>
    <w:qFormat/>
    <w:uiPriority w:val="0"/>
    <w:rPr>
      <w:kern w:val="2"/>
      <w:sz w:val="24"/>
      <w:szCs w:val="24"/>
      <w:lang w:bidi="ar-SA"/>
    </w:rPr>
  </w:style>
  <w:style w:type="paragraph" w:customStyle="1" w:styleId="90">
    <w:name w:val="G-正文缩进"/>
    <w:basedOn w:val="1"/>
    <w:link w:val="89"/>
    <w:qFormat/>
    <w:uiPriority w:val="0"/>
    <w:pPr>
      <w:spacing w:line="312" w:lineRule="auto"/>
      <w:ind w:firstLine="480" w:firstLineChars="200"/>
    </w:pPr>
    <w:rPr>
      <w:kern w:val="2"/>
    </w:rPr>
  </w:style>
  <w:style w:type="character" w:customStyle="1" w:styleId="91">
    <w:name w:val="正文文本缩进 2 Char"/>
    <w:link w:val="92"/>
    <w:qFormat/>
    <w:uiPriority w:val="0"/>
    <w:rPr>
      <w:rFonts w:ascii="Calibri" w:hAnsi="Calibri" w:eastAsia="仿宋_GB2312"/>
      <w:kern w:val="2"/>
      <w:sz w:val="24"/>
      <w:szCs w:val="22"/>
      <w:lang w:bidi="ar-SA"/>
    </w:rPr>
  </w:style>
  <w:style w:type="paragraph" w:customStyle="1" w:styleId="92">
    <w:name w:val="正文文本缩进 21"/>
    <w:basedOn w:val="1"/>
    <w:link w:val="91"/>
    <w:qFormat/>
    <w:uiPriority w:val="0"/>
    <w:pPr>
      <w:spacing w:after="120" w:line="480" w:lineRule="auto"/>
      <w:ind w:left="420" w:leftChars="200"/>
    </w:pPr>
    <w:rPr>
      <w:rFonts w:ascii="Calibri" w:hAnsi="Calibri" w:eastAsia="仿宋_GB2312"/>
      <w:kern w:val="2"/>
      <w:szCs w:val="22"/>
    </w:rPr>
  </w:style>
  <w:style w:type="character" w:customStyle="1" w:styleId="93">
    <w:name w:val="my正文 Char"/>
    <w:link w:val="94"/>
    <w:qFormat/>
    <w:uiPriority w:val="0"/>
    <w:rPr>
      <w:kern w:val="2"/>
      <w:sz w:val="24"/>
      <w:szCs w:val="24"/>
    </w:rPr>
  </w:style>
  <w:style w:type="paragraph" w:customStyle="1" w:styleId="94">
    <w:name w:val="my正文"/>
    <w:basedOn w:val="1"/>
    <w:link w:val="93"/>
    <w:qFormat/>
    <w:uiPriority w:val="0"/>
    <w:pPr>
      <w:spacing w:line="360" w:lineRule="auto"/>
      <w:ind w:firstLine="200" w:firstLineChars="200"/>
    </w:pPr>
    <w:rPr>
      <w:kern w:val="2"/>
    </w:rPr>
  </w:style>
  <w:style w:type="character" w:customStyle="1" w:styleId="95">
    <w:name w:val="批注文字 Char"/>
    <w:qFormat/>
    <w:uiPriority w:val="99"/>
    <w:rPr>
      <w:kern w:val="2"/>
      <w:sz w:val="24"/>
      <w:szCs w:val="22"/>
    </w:rPr>
  </w:style>
  <w:style w:type="character" w:customStyle="1" w:styleId="96">
    <w:name w:val="正文文本 Char1"/>
    <w:qFormat/>
    <w:uiPriority w:val="0"/>
    <w:rPr>
      <w:rFonts w:hint="eastAsia" w:ascii="宋体" w:hAnsi="宋体" w:eastAsia="宋体" w:cs="宋体"/>
      <w:b/>
      <w:color w:val="000000"/>
      <w:sz w:val="72"/>
    </w:rPr>
  </w:style>
  <w:style w:type="character" w:customStyle="1" w:styleId="97">
    <w:name w:val="正文文本缩进 字符"/>
    <w:link w:val="18"/>
    <w:qFormat/>
    <w:uiPriority w:val="0"/>
    <w:rPr>
      <w:rFonts w:ascii="Times New Roman" w:hAnsi="Times New Roman"/>
      <w:b/>
      <w:bCs/>
      <w:sz w:val="24"/>
      <w:szCs w:val="24"/>
    </w:rPr>
  </w:style>
  <w:style w:type="character" w:customStyle="1" w:styleId="98">
    <w:name w:val="正文首行缩进 Char1"/>
    <w:qFormat/>
    <w:uiPriority w:val="0"/>
    <w:rPr>
      <w:rFonts w:eastAsia="仿宋_GB2312"/>
      <w:kern w:val="2"/>
      <w:sz w:val="28"/>
      <w:szCs w:val="24"/>
    </w:rPr>
  </w:style>
  <w:style w:type="character" w:customStyle="1" w:styleId="99">
    <w:name w:val="普通文字 Char Char3"/>
    <w:qFormat/>
    <w:uiPriority w:val="0"/>
    <w:rPr>
      <w:rFonts w:ascii="宋体" w:hAnsi="Courier New" w:eastAsia="宋体" w:cs="Courier New"/>
      <w:kern w:val="2"/>
      <w:sz w:val="21"/>
      <w:szCs w:val="21"/>
      <w:lang w:val="en-US" w:eastAsia="zh-CN" w:bidi="ar-SA"/>
    </w:rPr>
  </w:style>
  <w:style w:type="character" w:customStyle="1" w:styleId="100">
    <w:name w:val="样式 段前: 0.5 行 段后: 0.5 行 Char Char"/>
    <w:link w:val="101"/>
    <w:qFormat/>
    <w:uiPriority w:val="0"/>
    <w:rPr>
      <w:rFonts w:ascii="仿宋_GB2312" w:eastAsia="仿宋_GB2312"/>
      <w:color w:val="000000"/>
      <w:sz w:val="28"/>
      <w:szCs w:val="28"/>
      <w:lang w:bidi="ar-SA"/>
    </w:rPr>
  </w:style>
  <w:style w:type="paragraph" w:customStyle="1" w:styleId="101">
    <w:name w:val="样式 段前: 0.5 行 段后: 0.5 行"/>
    <w:basedOn w:val="1"/>
    <w:link w:val="100"/>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02">
    <w:name w:val="font31"/>
    <w:qFormat/>
    <w:uiPriority w:val="0"/>
    <w:rPr>
      <w:rFonts w:ascii="Calibri" w:hAnsi="Calibri" w:cs="Calibri"/>
      <w:color w:val="000000"/>
      <w:sz w:val="21"/>
      <w:szCs w:val="21"/>
      <w:u w:val="none"/>
    </w:rPr>
  </w:style>
  <w:style w:type="character" w:customStyle="1" w:styleId="103">
    <w:name w:val="标题 6 Char"/>
    <w:qFormat/>
    <w:uiPriority w:val="0"/>
    <w:rPr>
      <w:rFonts w:ascii="Arial" w:hAnsi="Arial" w:eastAsia="黑体" w:cs="Times New Roman"/>
      <w:b/>
      <w:bCs/>
      <w:sz w:val="24"/>
      <w:szCs w:val="24"/>
    </w:rPr>
  </w:style>
  <w:style w:type="character" w:customStyle="1" w:styleId="104">
    <w:name w:val="三级目录 Char Char"/>
    <w:link w:val="105"/>
    <w:qFormat/>
    <w:uiPriority w:val="0"/>
    <w:rPr>
      <w:rFonts w:ascii="Cambria" w:hAnsi="Cambria" w:eastAsia="楷体"/>
      <w:b/>
      <w:bCs/>
      <w:color w:val="000000"/>
      <w:sz w:val="26"/>
      <w:szCs w:val="26"/>
      <w:lang w:val="en-GB" w:bidi="ar-SA"/>
    </w:rPr>
  </w:style>
  <w:style w:type="paragraph" w:customStyle="1" w:styleId="105">
    <w:name w:val="三级目录"/>
    <w:basedOn w:val="6"/>
    <w:link w:val="104"/>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6">
    <w:name w:val="正文文本缩进 2 Char1"/>
    <w:link w:val="107"/>
    <w:qFormat/>
    <w:uiPriority w:val="0"/>
    <w:rPr>
      <w:rFonts w:ascii="Calibri" w:hAnsi="Calibri" w:eastAsia="仿宋_GB2312"/>
      <w:kern w:val="2"/>
      <w:sz w:val="24"/>
      <w:szCs w:val="22"/>
      <w:lang w:bidi="ar-SA"/>
    </w:rPr>
  </w:style>
  <w:style w:type="paragraph" w:customStyle="1" w:styleId="107">
    <w:name w:val="正文文本缩进 22"/>
    <w:basedOn w:val="1"/>
    <w:link w:val="106"/>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8">
    <w:name w:val="方案正文 Char Char"/>
    <w:link w:val="109"/>
    <w:qFormat/>
    <w:uiPriority w:val="0"/>
    <w:rPr>
      <w:rFonts w:eastAsia="宋体"/>
      <w:kern w:val="2"/>
      <w:sz w:val="24"/>
      <w:szCs w:val="24"/>
      <w:lang w:val="en-US" w:eastAsia="zh-CN" w:bidi="ar-SA"/>
    </w:rPr>
  </w:style>
  <w:style w:type="paragraph" w:customStyle="1" w:styleId="109">
    <w:name w:val="方案正文"/>
    <w:basedOn w:val="1"/>
    <w:link w:val="108"/>
    <w:qFormat/>
    <w:uiPriority w:val="0"/>
    <w:pPr>
      <w:adjustRightInd w:val="0"/>
      <w:snapToGrid w:val="0"/>
      <w:spacing w:line="360" w:lineRule="auto"/>
      <w:ind w:firstLine="480" w:firstLineChars="200"/>
    </w:pPr>
    <w:rPr>
      <w:kern w:val="2"/>
    </w:rPr>
  </w:style>
  <w:style w:type="character" w:customStyle="1" w:styleId="110">
    <w:name w:val="标题 9 字符1"/>
    <w:link w:val="13"/>
    <w:qFormat/>
    <w:uiPriority w:val="0"/>
    <w:rPr>
      <w:rFonts w:ascii="Arial" w:hAnsi="Arial" w:eastAsia="黑体"/>
      <w:kern w:val="2"/>
      <w:sz w:val="21"/>
      <w:szCs w:val="21"/>
    </w:rPr>
  </w:style>
  <w:style w:type="character" w:customStyle="1" w:styleId="111">
    <w:name w:val="批注文字 Char1"/>
    <w:semiHidden/>
    <w:qFormat/>
    <w:uiPriority w:val="0"/>
    <w:rPr>
      <w:rFonts w:ascii="Calibri" w:hAnsi="Calibri" w:eastAsia="宋体" w:cs="Times New Roman"/>
      <w:sz w:val="24"/>
      <w:szCs w:val="24"/>
    </w:rPr>
  </w:style>
  <w:style w:type="character" w:customStyle="1" w:styleId="112">
    <w:name w:val="规范正文 Char"/>
    <w:link w:val="113"/>
    <w:qFormat/>
    <w:uiPriority w:val="0"/>
    <w:rPr>
      <w:rFonts w:eastAsia="宋体"/>
      <w:sz w:val="24"/>
      <w:lang w:val="en-US" w:eastAsia="zh-CN" w:bidi="ar-SA"/>
    </w:rPr>
  </w:style>
  <w:style w:type="paragraph" w:customStyle="1" w:styleId="113">
    <w:name w:val="规范正文"/>
    <w:basedOn w:val="1"/>
    <w:link w:val="112"/>
    <w:qFormat/>
    <w:uiPriority w:val="0"/>
    <w:pPr>
      <w:adjustRightInd w:val="0"/>
      <w:spacing w:beforeLines="50" w:line="360" w:lineRule="auto"/>
      <w:ind w:firstLine="480" w:firstLineChars="200"/>
      <w:textAlignment w:val="baseline"/>
    </w:pPr>
    <w:rPr>
      <w:szCs w:val="20"/>
    </w:rPr>
  </w:style>
  <w:style w:type="character" w:customStyle="1" w:styleId="114">
    <w:name w:val="标题 3 字符1"/>
    <w:link w:val="7"/>
    <w:qFormat/>
    <w:uiPriority w:val="0"/>
    <w:rPr>
      <w:b/>
      <w:bCs/>
      <w:sz w:val="32"/>
      <w:szCs w:val="32"/>
    </w:rPr>
  </w:style>
  <w:style w:type="character" w:customStyle="1" w:styleId="115">
    <w:name w:val="标题 8 Char"/>
    <w:qFormat/>
    <w:uiPriority w:val="0"/>
    <w:rPr>
      <w:rFonts w:ascii="Arial" w:hAnsi="Arial" w:eastAsia="黑体" w:cs="Times New Roman"/>
      <w:sz w:val="24"/>
      <w:szCs w:val="24"/>
    </w:rPr>
  </w:style>
  <w:style w:type="character" w:customStyle="1" w:styleId="116">
    <w:name w:val="彩色列表 - 强调文字颜色 1 Char"/>
    <w:link w:val="117"/>
    <w:qFormat/>
    <w:uiPriority w:val="0"/>
    <w:rPr>
      <w:rFonts w:ascii="Calibri" w:hAnsi="Calibri"/>
      <w:kern w:val="2"/>
      <w:sz w:val="21"/>
      <w:szCs w:val="22"/>
      <w:lang w:bidi="ar-SA"/>
    </w:rPr>
  </w:style>
  <w:style w:type="paragraph" w:customStyle="1" w:styleId="117">
    <w:name w:val="彩色列表 - 强调文字颜色 11"/>
    <w:basedOn w:val="1"/>
    <w:link w:val="116"/>
    <w:qFormat/>
    <w:uiPriority w:val="0"/>
    <w:pPr>
      <w:ind w:firstLine="420" w:firstLineChars="200"/>
    </w:pPr>
    <w:rPr>
      <w:rFonts w:ascii="Calibri" w:hAnsi="Calibri"/>
      <w:kern w:val="2"/>
      <w:sz w:val="21"/>
      <w:szCs w:val="22"/>
    </w:rPr>
  </w:style>
  <w:style w:type="character" w:customStyle="1" w:styleId="118">
    <w:name w:val="Table Text Char1"/>
    <w:link w:val="119"/>
    <w:qFormat/>
    <w:locked/>
    <w:uiPriority w:val="0"/>
    <w:rPr>
      <w:rFonts w:ascii="Arial" w:hAnsi="Arial" w:eastAsia="宋体"/>
      <w:sz w:val="18"/>
      <w:lang w:val="en-US" w:eastAsia="zh-CN" w:bidi="ar-SA"/>
    </w:rPr>
  </w:style>
  <w:style w:type="paragraph" w:customStyle="1" w:styleId="119">
    <w:name w:val="Table Text"/>
    <w:basedOn w:val="1"/>
    <w:link w:val="118"/>
    <w:qFormat/>
    <w:uiPriority w:val="0"/>
    <w:pPr>
      <w:tabs>
        <w:tab w:val="decimal" w:pos="0"/>
      </w:tabs>
      <w:autoSpaceDE w:val="0"/>
      <w:autoSpaceDN w:val="0"/>
      <w:adjustRightInd w:val="0"/>
      <w:spacing w:before="80" w:after="80"/>
    </w:pPr>
    <w:rPr>
      <w:rFonts w:ascii="Arial" w:hAnsi="Arial"/>
      <w:sz w:val="18"/>
      <w:szCs w:val="20"/>
    </w:rPr>
  </w:style>
  <w:style w:type="character" w:customStyle="1" w:styleId="120">
    <w:name w:val="标题 7 字符"/>
    <w:link w:val="11"/>
    <w:qFormat/>
    <w:uiPriority w:val="0"/>
    <w:rPr>
      <w:b/>
      <w:bCs/>
      <w:kern w:val="2"/>
      <w:sz w:val="24"/>
      <w:szCs w:val="24"/>
    </w:rPr>
  </w:style>
  <w:style w:type="character" w:customStyle="1" w:styleId="121">
    <w:name w:val="font01"/>
    <w:qFormat/>
    <w:uiPriority w:val="0"/>
    <w:rPr>
      <w:rFonts w:ascii="Arial" w:hAnsi="Arial" w:cs="Arial"/>
      <w:color w:val="000000"/>
      <w:sz w:val="20"/>
      <w:szCs w:val="20"/>
      <w:u w:val="none"/>
    </w:rPr>
  </w:style>
  <w:style w:type="character" w:customStyle="1" w:styleId="122">
    <w:name w:val="正文段 Char Char"/>
    <w:link w:val="123"/>
    <w:qFormat/>
    <w:uiPriority w:val="0"/>
    <w:rPr>
      <w:rFonts w:ascii="宋体" w:hAnsi="Calibri"/>
      <w:kern w:val="2"/>
      <w:sz w:val="24"/>
      <w:szCs w:val="22"/>
      <w:lang w:bidi="ar-SA"/>
    </w:rPr>
  </w:style>
  <w:style w:type="paragraph" w:customStyle="1" w:styleId="123">
    <w:name w:val="正文段"/>
    <w:basedOn w:val="1"/>
    <w:link w:val="122"/>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4">
    <w:name w:val="正文文本缩进 3 Char"/>
    <w:link w:val="125"/>
    <w:qFormat/>
    <w:uiPriority w:val="0"/>
    <w:rPr>
      <w:rFonts w:ascii="Calibri" w:hAnsi="Calibri" w:eastAsia="仿宋_GB2312"/>
      <w:kern w:val="2"/>
      <w:sz w:val="16"/>
      <w:szCs w:val="16"/>
      <w:lang w:bidi="ar-SA"/>
    </w:rPr>
  </w:style>
  <w:style w:type="paragraph" w:customStyle="1" w:styleId="125">
    <w:name w:val="正文文本缩进 31"/>
    <w:basedOn w:val="1"/>
    <w:link w:val="124"/>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6">
    <w:name w:val="Code Line Char"/>
    <w:link w:val="127"/>
    <w:qFormat/>
    <w:locked/>
    <w:uiPriority w:val="0"/>
    <w:rPr>
      <w:rFonts w:ascii="Calibri" w:hAnsi="Calibri" w:eastAsia="宋体"/>
      <w:i/>
      <w:szCs w:val="24"/>
      <w:shd w:val="clear" w:color="auto" w:fill="C6D9F1"/>
      <w:lang w:bidi="ar-SA"/>
    </w:rPr>
  </w:style>
  <w:style w:type="paragraph" w:customStyle="1" w:styleId="127">
    <w:name w:val="Code Line"/>
    <w:basedOn w:val="1"/>
    <w:link w:val="126"/>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8">
    <w:name w:val="正文2 Char"/>
    <w:link w:val="129"/>
    <w:qFormat/>
    <w:uiPriority w:val="0"/>
    <w:rPr>
      <w:kern w:val="2"/>
      <w:sz w:val="24"/>
      <w:lang w:bidi="ar-SA"/>
    </w:rPr>
  </w:style>
  <w:style w:type="paragraph" w:customStyle="1" w:styleId="129">
    <w:name w:val="正文2"/>
    <w:basedOn w:val="1"/>
    <w:link w:val="128"/>
    <w:qFormat/>
    <w:uiPriority w:val="0"/>
    <w:pPr>
      <w:spacing w:before="156" w:line="360" w:lineRule="auto"/>
      <w:ind w:firstLine="510" w:firstLineChars="200"/>
    </w:pPr>
    <w:rPr>
      <w:kern w:val="2"/>
      <w:szCs w:val="20"/>
    </w:rPr>
  </w:style>
  <w:style w:type="character" w:customStyle="1" w:styleId="130">
    <w:name w:val="标题 1 Char"/>
    <w:qFormat/>
    <w:uiPriority w:val="9"/>
    <w:rPr>
      <w:rFonts w:ascii="宋体" w:hAnsi="宋体" w:eastAsia="宋体" w:cs="Times New Roman"/>
      <w:b/>
      <w:bCs/>
      <w:kern w:val="44"/>
      <w:sz w:val="32"/>
      <w:szCs w:val="28"/>
    </w:rPr>
  </w:style>
  <w:style w:type="character" w:customStyle="1" w:styleId="131">
    <w:name w:val="GP正文(无首行缩进) Char"/>
    <w:link w:val="132"/>
    <w:qFormat/>
    <w:uiPriority w:val="0"/>
    <w:rPr>
      <w:rFonts w:hAnsi="宋体"/>
      <w:kern w:val="2"/>
      <w:sz w:val="24"/>
      <w:szCs w:val="24"/>
      <w:lang w:bidi="ar-SA"/>
    </w:rPr>
  </w:style>
  <w:style w:type="paragraph" w:customStyle="1" w:styleId="132">
    <w:name w:val="GP正文(无首行缩进)"/>
    <w:basedOn w:val="133"/>
    <w:link w:val="131"/>
    <w:qFormat/>
    <w:uiPriority w:val="0"/>
    <w:pPr>
      <w:ind w:firstLine="480"/>
    </w:pPr>
    <w:rPr>
      <w:rFonts w:hAnsi="宋体"/>
      <w:kern w:val="2"/>
      <w:szCs w:val="24"/>
    </w:rPr>
  </w:style>
  <w:style w:type="paragraph" w:customStyle="1" w:styleId="133">
    <w:name w:val="GP正文(首行缩进)"/>
    <w:basedOn w:val="1"/>
    <w:qFormat/>
    <w:uiPriority w:val="0"/>
    <w:pPr>
      <w:spacing w:line="360" w:lineRule="auto"/>
      <w:ind w:firstLine="200" w:firstLineChars="200"/>
    </w:pPr>
    <w:rPr>
      <w:szCs w:val="21"/>
    </w:rPr>
  </w:style>
  <w:style w:type="character" w:customStyle="1" w:styleId="134">
    <w:name w:val="Notes Text in Table Char"/>
    <w:link w:val="135"/>
    <w:qFormat/>
    <w:locked/>
    <w:uiPriority w:val="0"/>
    <w:rPr>
      <w:rFonts w:ascii="Arial" w:hAnsi="Arial" w:eastAsia="楷体_GB2312" w:cs="Arial"/>
      <w:sz w:val="18"/>
      <w:szCs w:val="18"/>
      <w:lang w:val="en-US" w:eastAsia="zh-CN" w:bidi="ar-SA"/>
    </w:rPr>
  </w:style>
  <w:style w:type="paragraph" w:customStyle="1" w:styleId="135">
    <w:name w:val="Notes Text in Table"/>
    <w:link w:val="134"/>
    <w:qFormat/>
    <w:uiPriority w:val="0"/>
    <w:pPr>
      <w:keepLines/>
      <w:spacing w:before="80" w:after="80"/>
    </w:pPr>
    <w:rPr>
      <w:rFonts w:ascii="Arial" w:hAnsi="Arial" w:eastAsia="楷体_GB2312" w:cs="Arial"/>
      <w:sz w:val="18"/>
      <w:szCs w:val="18"/>
      <w:lang w:val="en-US" w:eastAsia="zh-CN" w:bidi="ar-SA"/>
    </w:rPr>
  </w:style>
  <w:style w:type="character" w:customStyle="1" w:styleId="136">
    <w:name w:val="纯文本 字符"/>
    <w:basedOn w:val="62"/>
    <w:link w:val="31"/>
    <w:qFormat/>
    <w:uiPriority w:val="0"/>
    <w:rPr>
      <w:rFonts w:ascii="宋体" w:hAnsi="Courier New" w:eastAsia="宋体" w:cs="Courier New"/>
      <w:kern w:val="2"/>
      <w:sz w:val="21"/>
      <w:szCs w:val="21"/>
      <w:lang w:val="en-US" w:eastAsia="zh-CN" w:bidi="ar-SA"/>
    </w:rPr>
  </w:style>
  <w:style w:type="character" w:customStyle="1" w:styleId="137">
    <w:name w:val="font51"/>
    <w:qFormat/>
    <w:uiPriority w:val="0"/>
    <w:rPr>
      <w:rFonts w:hint="eastAsia" w:ascii="微软雅黑" w:hAnsi="微软雅黑" w:eastAsia="微软雅黑" w:cs="微软雅黑"/>
      <w:b/>
      <w:color w:val="FF0000"/>
      <w:sz w:val="24"/>
      <w:szCs w:val="24"/>
      <w:u w:val="none"/>
    </w:rPr>
  </w:style>
  <w:style w:type="character" w:customStyle="1" w:styleId="138">
    <w:name w:val="页脚 字符1"/>
    <w:link w:val="37"/>
    <w:qFormat/>
    <w:uiPriority w:val="0"/>
    <w:rPr>
      <w:rFonts w:eastAsia="宋体"/>
      <w:kern w:val="2"/>
      <w:sz w:val="18"/>
      <w:szCs w:val="18"/>
      <w:lang w:val="en-US" w:eastAsia="zh-CN" w:bidi="ar-SA"/>
    </w:rPr>
  </w:style>
  <w:style w:type="character" w:customStyle="1" w:styleId="139">
    <w:name w:val="标准正文 Char"/>
    <w:link w:val="140"/>
    <w:qFormat/>
    <w:locked/>
    <w:uiPriority w:val="0"/>
    <w:rPr>
      <w:kern w:val="2"/>
      <w:sz w:val="24"/>
      <w:lang w:bidi="ar-SA"/>
    </w:rPr>
  </w:style>
  <w:style w:type="paragraph" w:customStyle="1" w:styleId="140">
    <w:name w:val="标准正文"/>
    <w:basedOn w:val="1"/>
    <w:link w:val="139"/>
    <w:qFormat/>
    <w:uiPriority w:val="0"/>
    <w:pPr>
      <w:spacing w:before="156" w:after="156" w:line="360" w:lineRule="auto"/>
      <w:ind w:firstLine="480" w:firstLineChars="200"/>
    </w:pPr>
    <w:rPr>
      <w:kern w:val="2"/>
      <w:szCs w:val="20"/>
    </w:rPr>
  </w:style>
  <w:style w:type="character" w:customStyle="1" w:styleId="141">
    <w:name w:val="标题 3 Char1"/>
    <w:qFormat/>
    <w:uiPriority w:val="0"/>
    <w:rPr>
      <w:b/>
      <w:sz w:val="32"/>
      <w:szCs w:val="32"/>
    </w:rPr>
  </w:style>
  <w:style w:type="character" w:customStyle="1" w:styleId="142">
    <w:name w:val="3级标题 Char"/>
    <w:link w:val="143"/>
    <w:qFormat/>
    <w:uiPriority w:val="99"/>
    <w:rPr>
      <w:rFonts w:ascii="黑体" w:hAnsi="黑体"/>
      <w:b/>
      <w:szCs w:val="36"/>
      <w:lang w:eastAsia="en-US" w:bidi="en-US"/>
    </w:rPr>
  </w:style>
  <w:style w:type="paragraph" w:customStyle="1" w:styleId="143">
    <w:name w:val="3级标题"/>
    <w:basedOn w:val="144"/>
    <w:link w:val="142"/>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4">
    <w:name w:val="列出段落111"/>
    <w:basedOn w:val="1"/>
    <w:qFormat/>
    <w:uiPriority w:val="0"/>
    <w:pPr>
      <w:ind w:firstLine="420" w:firstLineChars="200"/>
    </w:pPr>
    <w:rPr>
      <w:rFonts w:ascii="Calibri" w:hAnsi="Calibri" w:cs="黑体"/>
      <w:szCs w:val="22"/>
    </w:rPr>
  </w:style>
  <w:style w:type="character" w:customStyle="1" w:styleId="145">
    <w:name w:val="样式3 Char Char"/>
    <w:link w:val="146"/>
    <w:qFormat/>
    <w:uiPriority w:val="0"/>
    <w:rPr>
      <w:rFonts w:eastAsia="宋体" w:cs="宋体"/>
      <w:b/>
      <w:bCs/>
      <w:kern w:val="2"/>
      <w:sz w:val="32"/>
      <w:szCs w:val="32"/>
      <w:lang w:val="en-US" w:eastAsia="zh-CN" w:bidi="ar-SA"/>
    </w:rPr>
  </w:style>
  <w:style w:type="paragraph" w:customStyle="1" w:styleId="146">
    <w:name w:val="样式3"/>
    <w:basedOn w:val="7"/>
    <w:link w:val="145"/>
    <w:qFormat/>
    <w:uiPriority w:val="0"/>
    <w:pPr>
      <w:keepNext w:val="0"/>
      <w:keepLines w:val="0"/>
      <w:numPr>
        <w:ilvl w:val="0"/>
        <w:numId w:val="0"/>
      </w:numPr>
      <w:spacing w:before="60" w:after="60" w:line="360" w:lineRule="auto"/>
      <w:ind w:left="397"/>
    </w:pPr>
    <w:rPr>
      <w:rFonts w:cs="宋体"/>
      <w:kern w:val="2"/>
    </w:rPr>
  </w:style>
  <w:style w:type="character" w:customStyle="1" w:styleId="147">
    <w:name w:val="样式001 Char Char"/>
    <w:link w:val="148"/>
    <w:qFormat/>
    <w:uiPriority w:val="0"/>
    <w:rPr>
      <w:rFonts w:ascii="宋体" w:eastAsia="仿宋_GB2312"/>
      <w:color w:val="000000"/>
      <w:sz w:val="24"/>
      <w:szCs w:val="28"/>
      <w:lang w:bidi="ar-SA"/>
    </w:rPr>
  </w:style>
  <w:style w:type="paragraph" w:customStyle="1" w:styleId="148">
    <w:name w:val="样式001"/>
    <w:basedOn w:val="1"/>
    <w:link w:val="147"/>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9">
    <w:name w:val="样式4 Char Char"/>
    <w:link w:val="150"/>
    <w:qFormat/>
    <w:uiPriority w:val="0"/>
    <w:rPr>
      <w:rFonts w:eastAsia="宋体"/>
      <w:b/>
      <w:bCs/>
      <w:kern w:val="2"/>
      <w:sz w:val="30"/>
      <w:szCs w:val="30"/>
      <w:lang w:val="en-US" w:eastAsia="zh-CN" w:bidi="ar-SA"/>
    </w:rPr>
  </w:style>
  <w:style w:type="paragraph" w:customStyle="1" w:styleId="150">
    <w:name w:val="样式4"/>
    <w:basedOn w:val="8"/>
    <w:link w:val="149"/>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51">
    <w:name w:val="普通文字 Char Char1"/>
    <w:qFormat/>
    <w:uiPriority w:val="0"/>
    <w:rPr>
      <w:rFonts w:ascii="宋体" w:hAnsi="Courier New" w:eastAsia="宋体" w:cs="Courier New"/>
      <w:kern w:val="2"/>
      <w:sz w:val="21"/>
      <w:szCs w:val="21"/>
      <w:lang w:val="en-US" w:eastAsia="zh-CN" w:bidi="ar-SA"/>
    </w:rPr>
  </w:style>
  <w:style w:type="character" w:customStyle="1" w:styleId="152">
    <w:name w:val="列表符号 Char1"/>
    <w:link w:val="153"/>
    <w:qFormat/>
    <w:uiPriority w:val="0"/>
    <w:rPr>
      <w:rFonts w:ascii="宋体" w:hAnsi="宋体"/>
      <w:bCs/>
      <w:kern w:val="21"/>
      <w:sz w:val="24"/>
      <w:szCs w:val="24"/>
      <w:lang w:val="zh-CN" w:bidi="ar-SA"/>
    </w:rPr>
  </w:style>
  <w:style w:type="paragraph" w:customStyle="1" w:styleId="153">
    <w:name w:val="列表符号"/>
    <w:basedOn w:val="1"/>
    <w:next w:val="1"/>
    <w:link w:val="152"/>
    <w:qFormat/>
    <w:uiPriority w:val="0"/>
    <w:pPr>
      <w:tabs>
        <w:tab w:val="left" w:pos="1095"/>
      </w:tabs>
      <w:spacing w:line="360" w:lineRule="auto"/>
      <w:ind w:left="1095" w:hanging="1095"/>
    </w:pPr>
    <w:rPr>
      <w:rFonts w:ascii="宋体" w:hAnsi="宋体"/>
      <w:bCs/>
      <w:kern w:val="21"/>
      <w:lang w:val="zh-CN"/>
    </w:rPr>
  </w:style>
  <w:style w:type="character" w:customStyle="1" w:styleId="154">
    <w:name w:val="标题 4 字符"/>
    <w:link w:val="8"/>
    <w:qFormat/>
    <w:uiPriority w:val="0"/>
    <w:rPr>
      <w:rFonts w:ascii="Arial" w:hAnsi="Arial" w:eastAsia="黑体"/>
      <w:b/>
      <w:bCs/>
      <w:kern w:val="2"/>
      <w:sz w:val="28"/>
      <w:szCs w:val="28"/>
    </w:rPr>
  </w:style>
  <w:style w:type="character" w:customStyle="1" w:styleId="155">
    <w:name w:val="标题 5 Char1"/>
    <w:qFormat/>
    <w:uiPriority w:val="0"/>
    <w:rPr>
      <w:rFonts w:eastAsia="宋体"/>
      <w:b/>
      <w:bCs/>
      <w:kern w:val="2"/>
      <w:sz w:val="28"/>
      <w:szCs w:val="28"/>
      <w:lang w:val="en-US" w:eastAsia="zh-CN" w:bidi="ar-SA"/>
    </w:rPr>
  </w:style>
  <w:style w:type="character" w:customStyle="1" w:styleId="156">
    <w:name w:val="font21"/>
    <w:qFormat/>
    <w:uiPriority w:val="0"/>
    <w:rPr>
      <w:rFonts w:hint="eastAsia" w:ascii="微软雅黑" w:hAnsi="微软雅黑" w:eastAsia="微软雅黑" w:cs="微软雅黑"/>
      <w:color w:val="000000"/>
      <w:sz w:val="24"/>
      <w:szCs w:val="24"/>
      <w:u w:val="none"/>
    </w:rPr>
  </w:style>
  <w:style w:type="character" w:customStyle="1" w:styleId="157">
    <w:name w:val="批注框文本 字符1"/>
    <w:link w:val="36"/>
    <w:qFormat/>
    <w:uiPriority w:val="0"/>
    <w:rPr>
      <w:rFonts w:eastAsia="宋体"/>
      <w:kern w:val="2"/>
      <w:sz w:val="18"/>
      <w:szCs w:val="18"/>
      <w:lang w:val="en-US" w:eastAsia="zh-CN" w:bidi="ar-SA"/>
    </w:rPr>
  </w:style>
  <w:style w:type="character" w:customStyle="1" w:styleId="158">
    <w:name w:val="标题 9 Char"/>
    <w:qFormat/>
    <w:uiPriority w:val="0"/>
    <w:rPr>
      <w:rFonts w:ascii="Arial" w:hAnsi="Arial" w:eastAsia="黑体" w:cs="Times New Roman"/>
      <w:sz w:val="24"/>
      <w:szCs w:val="21"/>
    </w:rPr>
  </w:style>
  <w:style w:type="character" w:customStyle="1" w:styleId="159">
    <w:name w:val="普通文字 Char Char2"/>
    <w:qFormat/>
    <w:uiPriority w:val="0"/>
    <w:rPr>
      <w:rFonts w:ascii="宋体" w:hAnsi="Courier New" w:eastAsia="宋体"/>
      <w:sz w:val="21"/>
      <w:szCs w:val="21"/>
      <w:lang w:val="en-US" w:eastAsia="zh-CN" w:bidi="ar-SA"/>
    </w:rPr>
  </w:style>
  <w:style w:type="character" w:customStyle="1" w:styleId="160">
    <w:name w:val="10"/>
    <w:qFormat/>
    <w:uiPriority w:val="0"/>
    <w:rPr>
      <w:rFonts w:hint="default" w:ascii="Times New Roman" w:hAnsi="Times New Roman" w:cs="Times New Roman"/>
    </w:rPr>
  </w:style>
  <w:style w:type="character" w:customStyle="1" w:styleId="161">
    <w:name w:val="正文文本 2 Char"/>
    <w:link w:val="162"/>
    <w:qFormat/>
    <w:uiPriority w:val="0"/>
    <w:rPr>
      <w:rFonts w:ascii="Calibri" w:hAnsi="Calibri" w:eastAsia="仿宋_GB2312"/>
      <w:kern w:val="2"/>
      <w:sz w:val="24"/>
      <w:szCs w:val="22"/>
      <w:lang w:bidi="ar-SA"/>
    </w:rPr>
  </w:style>
  <w:style w:type="paragraph" w:customStyle="1" w:styleId="162">
    <w:name w:val="正文文本 21"/>
    <w:basedOn w:val="1"/>
    <w:link w:val="161"/>
    <w:qFormat/>
    <w:uiPriority w:val="0"/>
    <w:pPr>
      <w:spacing w:after="120" w:line="480" w:lineRule="auto"/>
      <w:ind w:firstLine="200" w:firstLineChars="200"/>
    </w:pPr>
    <w:rPr>
      <w:rFonts w:ascii="Calibri" w:hAnsi="Calibri" w:eastAsia="仿宋_GB2312"/>
      <w:kern w:val="2"/>
      <w:szCs w:val="22"/>
    </w:rPr>
  </w:style>
  <w:style w:type="character" w:customStyle="1" w:styleId="163">
    <w:name w:val="Item List Char Char"/>
    <w:link w:val="164"/>
    <w:qFormat/>
    <w:locked/>
    <w:uiPriority w:val="0"/>
    <w:rPr>
      <w:rFonts w:ascii="Arial" w:hAnsi="Arial" w:eastAsia="Times New Roman"/>
      <w:b/>
      <w:bCs/>
      <w:lang w:val="en-US" w:eastAsia="zh-CN" w:bidi="ar-SA"/>
    </w:rPr>
  </w:style>
  <w:style w:type="paragraph" w:customStyle="1" w:styleId="164">
    <w:name w:val="Item List"/>
    <w:link w:val="163"/>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5">
    <w:name w:val="正文（缩进） Char"/>
    <w:link w:val="166"/>
    <w:qFormat/>
    <w:uiPriority w:val="0"/>
    <w:rPr>
      <w:rFonts w:ascii="宋体" w:hAnsi="宋体"/>
      <w:kern w:val="2"/>
      <w:sz w:val="21"/>
      <w:szCs w:val="21"/>
    </w:rPr>
  </w:style>
  <w:style w:type="paragraph" w:customStyle="1" w:styleId="166">
    <w:name w:val="正文（缩进）"/>
    <w:basedOn w:val="1"/>
    <w:link w:val="165"/>
    <w:qFormat/>
    <w:uiPriority w:val="0"/>
    <w:pPr>
      <w:spacing w:line="360" w:lineRule="auto"/>
      <w:ind w:firstLine="420" w:firstLineChars="200"/>
    </w:pPr>
    <w:rPr>
      <w:rFonts w:ascii="宋体" w:hAnsi="宋体"/>
      <w:kern w:val="2"/>
      <w:sz w:val="21"/>
      <w:szCs w:val="21"/>
    </w:rPr>
  </w:style>
  <w:style w:type="character" w:customStyle="1" w:styleId="167">
    <w:name w:val="列出段落 字符1"/>
    <w:qFormat/>
    <w:uiPriority w:val="0"/>
    <w:rPr>
      <w:kern w:val="2"/>
      <w:sz w:val="21"/>
      <w:szCs w:val="22"/>
    </w:rPr>
  </w:style>
  <w:style w:type="character" w:customStyle="1" w:styleId="168">
    <w:name w:val="正文首行缩进 字符"/>
    <w:link w:val="57"/>
    <w:qFormat/>
    <w:locked/>
    <w:uiPriority w:val="0"/>
    <w:rPr>
      <w:rFonts w:eastAsia="宋体"/>
      <w:kern w:val="2"/>
      <w:sz w:val="21"/>
      <w:szCs w:val="24"/>
      <w:lang w:val="en-US" w:eastAsia="zh-CN" w:bidi="ar-SA"/>
    </w:rPr>
  </w:style>
  <w:style w:type="character" w:customStyle="1" w:styleId="169">
    <w:name w:val="新编正文 Char Char"/>
    <w:link w:val="170"/>
    <w:qFormat/>
    <w:uiPriority w:val="0"/>
    <w:rPr>
      <w:kern w:val="2"/>
      <w:sz w:val="24"/>
      <w:lang w:bidi="ar-SA"/>
    </w:rPr>
  </w:style>
  <w:style w:type="paragraph" w:customStyle="1" w:styleId="170">
    <w:name w:val="新编正文"/>
    <w:basedOn w:val="1"/>
    <w:link w:val="169"/>
    <w:qFormat/>
    <w:uiPriority w:val="0"/>
    <w:pPr>
      <w:spacing w:before="60" w:after="60" w:line="360" w:lineRule="auto"/>
      <w:ind w:firstLine="420"/>
    </w:pPr>
    <w:rPr>
      <w:kern w:val="2"/>
      <w:szCs w:val="20"/>
    </w:rPr>
  </w:style>
  <w:style w:type="character" w:customStyle="1" w:styleId="171">
    <w:name w:val="正文缩进 字符"/>
    <w:link w:val="17"/>
    <w:qFormat/>
    <w:uiPriority w:val="0"/>
    <w:rPr>
      <w:rFonts w:eastAsia="宋体"/>
      <w:kern w:val="2"/>
      <w:sz w:val="28"/>
      <w:lang w:val="en-US" w:eastAsia="zh-CN" w:bidi="ar-SA"/>
    </w:rPr>
  </w:style>
  <w:style w:type="character" w:customStyle="1" w:styleId="172">
    <w:name w:val="样式3 Char"/>
    <w:qFormat/>
    <w:uiPriority w:val="0"/>
    <w:rPr>
      <w:rFonts w:ascii="Times New Roman" w:hAnsi="Times New Roman" w:eastAsia="宋体" w:cs="Times New Roman"/>
      <w:b/>
      <w:bCs/>
      <w:sz w:val="32"/>
      <w:szCs w:val="32"/>
    </w:rPr>
  </w:style>
  <w:style w:type="character" w:customStyle="1" w:styleId="173">
    <w:name w:val="*正文 Char"/>
    <w:link w:val="174"/>
    <w:qFormat/>
    <w:uiPriority w:val="0"/>
    <w:rPr>
      <w:rFonts w:ascii="宋体" w:hAnsi="宋体" w:eastAsia="宋体"/>
      <w:kern w:val="2"/>
      <w:sz w:val="24"/>
      <w:szCs w:val="24"/>
      <w:lang w:val="en-US" w:eastAsia="zh-CN" w:bidi="ar-SA"/>
    </w:rPr>
  </w:style>
  <w:style w:type="paragraph" w:customStyle="1" w:styleId="174">
    <w:name w:val="*正文"/>
    <w:basedOn w:val="1"/>
    <w:link w:val="173"/>
    <w:qFormat/>
    <w:uiPriority w:val="0"/>
    <w:pPr>
      <w:spacing w:line="360" w:lineRule="auto"/>
      <w:ind w:firstLine="200" w:firstLineChars="200"/>
    </w:pPr>
    <w:rPr>
      <w:rFonts w:ascii="宋体" w:hAnsi="宋体"/>
      <w:kern w:val="2"/>
    </w:rPr>
  </w:style>
  <w:style w:type="character" w:customStyle="1" w:styleId="175">
    <w:name w:val="正文标准格式 Char"/>
    <w:link w:val="176"/>
    <w:qFormat/>
    <w:uiPriority w:val="0"/>
    <w:rPr>
      <w:rFonts w:ascii="宋体" w:hAnsi="宋体"/>
      <w:kern w:val="2"/>
      <w:sz w:val="24"/>
      <w:szCs w:val="24"/>
      <w:lang w:val="en-US" w:eastAsia="zh-CN" w:bidi="ar-SA"/>
    </w:rPr>
  </w:style>
  <w:style w:type="paragraph" w:customStyle="1" w:styleId="176">
    <w:name w:val="正文标准格式"/>
    <w:link w:val="175"/>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7">
    <w:name w:val="font11"/>
    <w:qFormat/>
    <w:uiPriority w:val="0"/>
    <w:rPr>
      <w:rFonts w:hint="eastAsia" w:ascii="宋体" w:hAnsi="宋体" w:eastAsia="宋体" w:cs="宋体"/>
      <w:color w:val="000000"/>
      <w:sz w:val="21"/>
      <w:szCs w:val="21"/>
      <w:u w:val="none"/>
    </w:rPr>
  </w:style>
  <w:style w:type="character" w:customStyle="1" w:styleId="178">
    <w:name w:val="标题 字符"/>
    <w:link w:val="55"/>
    <w:qFormat/>
    <w:uiPriority w:val="0"/>
    <w:rPr>
      <w:rFonts w:ascii="Cambria" w:hAnsi="Cambria"/>
      <w:b/>
      <w:bCs/>
      <w:kern w:val="2"/>
      <w:sz w:val="32"/>
      <w:szCs w:val="32"/>
      <w:lang w:bidi="ar-SA"/>
    </w:rPr>
  </w:style>
  <w:style w:type="character" w:customStyle="1" w:styleId="179">
    <w:name w:val="批注文字 字符1"/>
    <w:link w:val="22"/>
    <w:qFormat/>
    <w:uiPriority w:val="0"/>
    <w:rPr>
      <w:rFonts w:eastAsia="宋体"/>
      <w:kern w:val="2"/>
      <w:sz w:val="21"/>
      <w:szCs w:val="24"/>
      <w:lang w:val="en-US" w:eastAsia="zh-CN" w:bidi="ar-SA"/>
    </w:rPr>
  </w:style>
  <w:style w:type="character" w:customStyle="1" w:styleId="180">
    <w:name w:val="纯文本 Char"/>
    <w:link w:val="181"/>
    <w:qFormat/>
    <w:uiPriority w:val="0"/>
    <w:rPr>
      <w:rFonts w:ascii="宋体" w:hAnsi="Courier New" w:eastAsia="宋体" w:cs="Courier New"/>
      <w:kern w:val="2"/>
      <w:sz w:val="21"/>
      <w:szCs w:val="21"/>
      <w:lang w:val="en-US" w:eastAsia="zh-CN" w:bidi="ar-SA"/>
    </w:rPr>
  </w:style>
  <w:style w:type="paragraph" w:customStyle="1" w:styleId="181">
    <w:name w:val="纯文本1"/>
    <w:basedOn w:val="1"/>
    <w:link w:val="180"/>
    <w:qFormat/>
    <w:uiPriority w:val="0"/>
    <w:rPr>
      <w:rFonts w:ascii="宋体" w:hAnsi="Courier New" w:cs="Courier New"/>
      <w:kern w:val="2"/>
      <w:sz w:val="21"/>
      <w:szCs w:val="21"/>
    </w:rPr>
  </w:style>
  <w:style w:type="character" w:customStyle="1" w:styleId="182">
    <w:name w:val="段 Char"/>
    <w:link w:val="183"/>
    <w:qFormat/>
    <w:locked/>
    <w:uiPriority w:val="0"/>
    <w:rPr>
      <w:rFonts w:ascii="宋体" w:eastAsia="Times New Roman"/>
      <w:lang w:val="en-US" w:eastAsia="zh-CN" w:bidi="ar-SA"/>
    </w:rPr>
  </w:style>
  <w:style w:type="paragraph" w:customStyle="1" w:styleId="183">
    <w:name w:val="段"/>
    <w:link w:val="182"/>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4">
    <w:name w:val="标题 1 字符1"/>
    <w:link w:val="5"/>
    <w:qFormat/>
    <w:uiPriority w:val="0"/>
    <w:rPr>
      <w:b/>
      <w:bCs/>
      <w:kern w:val="44"/>
      <w:sz w:val="44"/>
      <w:szCs w:val="44"/>
    </w:rPr>
  </w:style>
  <w:style w:type="character" w:customStyle="1" w:styleId="185">
    <w:name w:val="批注框文本 Char"/>
    <w:qFormat/>
    <w:uiPriority w:val="99"/>
    <w:rPr>
      <w:rFonts w:ascii="Calibri" w:hAnsi="Calibri" w:eastAsia="宋体" w:cs="Times New Roman"/>
      <w:sz w:val="16"/>
      <w:szCs w:val="16"/>
    </w:rPr>
  </w:style>
  <w:style w:type="character" w:customStyle="1" w:styleId="186">
    <w:name w:val="标题 5 Char"/>
    <w:qFormat/>
    <w:uiPriority w:val="0"/>
    <w:rPr>
      <w:rFonts w:ascii="Calibri" w:hAnsi="Calibri" w:eastAsia="宋体" w:cs="Times New Roman"/>
      <w:bCs/>
      <w:kern w:val="0"/>
      <w:sz w:val="24"/>
      <w:szCs w:val="28"/>
    </w:rPr>
  </w:style>
  <w:style w:type="character" w:customStyle="1" w:styleId="187">
    <w:name w:val="样式4 Char"/>
    <w:qFormat/>
    <w:uiPriority w:val="0"/>
    <w:rPr>
      <w:rFonts w:ascii="Times New Roman" w:hAnsi="Times New Roman" w:eastAsia="宋体" w:cs="Times New Roman"/>
      <w:b/>
      <w:bCs/>
      <w:sz w:val="30"/>
      <w:szCs w:val="28"/>
    </w:rPr>
  </w:style>
  <w:style w:type="character" w:customStyle="1" w:styleId="188">
    <w:name w:val="正文首行缩进小四宋体 字符"/>
    <w:link w:val="189"/>
    <w:qFormat/>
    <w:uiPriority w:val="0"/>
    <w:rPr>
      <w:rFonts w:ascii="Calibri" w:hAnsi="Calibri" w:eastAsia="宋体"/>
      <w:sz w:val="24"/>
      <w:szCs w:val="24"/>
      <w:lang w:bidi="ar-SA"/>
    </w:rPr>
  </w:style>
  <w:style w:type="paragraph" w:customStyle="1" w:styleId="189">
    <w:name w:val="正文首行缩进小四宋体"/>
    <w:basedOn w:val="1"/>
    <w:link w:val="188"/>
    <w:qFormat/>
    <w:uiPriority w:val="0"/>
    <w:pPr>
      <w:spacing w:line="360" w:lineRule="auto"/>
      <w:ind w:firstLine="480" w:firstLineChars="200"/>
    </w:pPr>
    <w:rPr>
      <w:rFonts w:ascii="Calibri" w:hAnsi="Calibri"/>
    </w:rPr>
  </w:style>
  <w:style w:type="character" w:customStyle="1" w:styleId="190">
    <w:name w:val="仿宋4号 Char"/>
    <w:link w:val="191"/>
    <w:qFormat/>
    <w:uiPriority w:val="0"/>
    <w:rPr>
      <w:rFonts w:ascii="仿宋" w:hAnsi="仿宋" w:eastAsia="仿宋"/>
      <w:kern w:val="2"/>
      <w:sz w:val="28"/>
      <w:szCs w:val="28"/>
      <w:lang w:bidi="ar-SA"/>
    </w:rPr>
  </w:style>
  <w:style w:type="paragraph" w:customStyle="1" w:styleId="191">
    <w:name w:val="仿宋4号"/>
    <w:basedOn w:val="1"/>
    <w:link w:val="190"/>
    <w:qFormat/>
    <w:uiPriority w:val="0"/>
    <w:pPr>
      <w:spacing w:line="360" w:lineRule="auto"/>
      <w:ind w:firstLine="560" w:firstLineChars="200"/>
    </w:pPr>
    <w:rPr>
      <w:rFonts w:ascii="仿宋" w:hAnsi="仿宋" w:eastAsia="仿宋"/>
      <w:kern w:val="2"/>
      <w:sz w:val="28"/>
      <w:szCs w:val="28"/>
    </w:rPr>
  </w:style>
  <w:style w:type="character" w:customStyle="1" w:styleId="192">
    <w:name w:val="正文文本缩进 Char"/>
    <w:link w:val="193"/>
    <w:qFormat/>
    <w:uiPriority w:val="0"/>
    <w:rPr>
      <w:rFonts w:ascii="楷体_GB2312" w:eastAsia="楷体_GB2312"/>
      <w:kern w:val="2"/>
      <w:sz w:val="24"/>
      <w:szCs w:val="28"/>
      <w:lang w:bidi="ar-SA"/>
    </w:rPr>
  </w:style>
  <w:style w:type="paragraph" w:customStyle="1" w:styleId="193">
    <w:name w:val="正文文本缩进1"/>
    <w:basedOn w:val="1"/>
    <w:link w:val="192"/>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4">
    <w:name w:val="标题 8 字符"/>
    <w:link w:val="12"/>
    <w:qFormat/>
    <w:uiPriority w:val="0"/>
    <w:rPr>
      <w:rFonts w:ascii="Arial" w:hAnsi="Arial" w:eastAsia="黑体"/>
      <w:kern w:val="2"/>
      <w:sz w:val="24"/>
      <w:szCs w:val="24"/>
    </w:rPr>
  </w:style>
  <w:style w:type="character" w:customStyle="1" w:styleId="195">
    <w:name w:val="投标书正文无序编号 Char"/>
    <w:link w:val="196"/>
    <w:qFormat/>
    <w:locked/>
    <w:uiPriority w:val="0"/>
    <w:rPr>
      <w:sz w:val="24"/>
      <w:szCs w:val="24"/>
      <w:lang w:bidi="ar-SA"/>
    </w:rPr>
  </w:style>
  <w:style w:type="paragraph" w:customStyle="1" w:styleId="196">
    <w:name w:val="投标书正文无序编号"/>
    <w:basedOn w:val="197"/>
    <w:link w:val="195"/>
    <w:qFormat/>
    <w:uiPriority w:val="0"/>
    <w:rPr>
      <w:rFonts w:eastAsia="宋体"/>
    </w:rPr>
  </w:style>
  <w:style w:type="paragraph" w:customStyle="1" w:styleId="197">
    <w:name w:val="投标书正文"/>
    <w:link w:val="231"/>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8">
    <w:name w:val="内容文本 Char"/>
    <w:link w:val="199"/>
    <w:qFormat/>
    <w:uiPriority w:val="0"/>
    <w:rPr>
      <w:rFonts w:ascii="宋体" w:hAnsi="宋体" w:eastAsia="宋体"/>
      <w:sz w:val="24"/>
      <w:szCs w:val="24"/>
      <w:lang w:val="en-US" w:eastAsia="zh-CN" w:bidi="ar-SA"/>
    </w:rPr>
  </w:style>
  <w:style w:type="paragraph" w:customStyle="1" w:styleId="199">
    <w:name w:val="内容文本"/>
    <w:basedOn w:val="200"/>
    <w:link w:val="198"/>
    <w:qFormat/>
    <w:uiPriority w:val="0"/>
    <w:pPr>
      <w:spacing w:line="360" w:lineRule="auto"/>
      <w:ind w:firstLine="200"/>
      <w:contextualSpacing/>
    </w:pPr>
    <w:rPr>
      <w:rFonts w:ascii="宋体" w:hAnsi="宋体"/>
      <w:kern w:val="0"/>
      <w:sz w:val="24"/>
      <w:szCs w:val="24"/>
    </w:rPr>
  </w:style>
  <w:style w:type="paragraph" w:customStyle="1" w:styleId="200">
    <w:name w:val="列出段落1"/>
    <w:basedOn w:val="1"/>
    <w:link w:val="226"/>
    <w:qFormat/>
    <w:uiPriority w:val="0"/>
    <w:pPr>
      <w:ind w:firstLine="420" w:firstLineChars="200"/>
    </w:pPr>
    <w:rPr>
      <w:rFonts w:ascii="Calibri" w:hAnsi="Calibri"/>
      <w:kern w:val="2"/>
      <w:sz w:val="21"/>
      <w:szCs w:val="21"/>
    </w:rPr>
  </w:style>
  <w:style w:type="character" w:customStyle="1" w:styleId="201">
    <w:name w:val="正文首行缩进 2 字符"/>
    <w:link w:val="58"/>
    <w:qFormat/>
    <w:uiPriority w:val="0"/>
    <w:rPr>
      <w:rFonts w:ascii="Times New Roman" w:hAnsi="Times New Roman"/>
      <w:sz w:val="24"/>
      <w:szCs w:val="24"/>
    </w:rPr>
  </w:style>
  <w:style w:type="character" w:customStyle="1" w:styleId="202">
    <w:name w:val="正文缩进 Char1"/>
    <w:link w:val="203"/>
    <w:qFormat/>
    <w:uiPriority w:val="99"/>
    <w:rPr>
      <w:kern w:val="2"/>
      <w:sz w:val="24"/>
      <w:lang w:bidi="ar-SA"/>
    </w:rPr>
  </w:style>
  <w:style w:type="paragraph" w:customStyle="1" w:styleId="203">
    <w:name w:val="正文缩进1"/>
    <w:basedOn w:val="1"/>
    <w:link w:val="202"/>
    <w:qFormat/>
    <w:uiPriority w:val="99"/>
    <w:pPr>
      <w:ind w:firstLine="420"/>
    </w:pPr>
    <w:rPr>
      <w:kern w:val="2"/>
      <w:szCs w:val="20"/>
    </w:rPr>
  </w:style>
  <w:style w:type="character" w:customStyle="1" w:styleId="204">
    <w:name w:val="Item List in Table Char Char"/>
    <w:link w:val="205"/>
    <w:qFormat/>
    <w:locked/>
    <w:uiPriority w:val="0"/>
    <w:rPr>
      <w:rFonts w:ascii="Arial" w:hAnsi="Arial" w:cs="Arial"/>
      <w:sz w:val="18"/>
      <w:szCs w:val="18"/>
      <w:lang w:val="en-US" w:eastAsia="zh-CN" w:bidi="ar-SA"/>
    </w:rPr>
  </w:style>
  <w:style w:type="paragraph" w:customStyle="1" w:styleId="205">
    <w:name w:val="Item List in Table"/>
    <w:link w:val="204"/>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6">
    <w:name w:val="页眉 字符1"/>
    <w:link w:val="38"/>
    <w:qFormat/>
    <w:uiPriority w:val="0"/>
    <w:rPr>
      <w:rFonts w:eastAsia="宋体"/>
      <w:kern w:val="2"/>
      <w:sz w:val="18"/>
      <w:szCs w:val="18"/>
      <w:lang w:val="en-US" w:eastAsia="zh-CN" w:bidi="ar-SA"/>
    </w:rPr>
  </w:style>
  <w:style w:type="character" w:customStyle="1" w:styleId="207">
    <w:name w:val="标题 4 Char1"/>
    <w:qFormat/>
    <w:uiPriority w:val="0"/>
    <w:rPr>
      <w:rFonts w:ascii="Arial" w:hAnsi="Arial" w:eastAsia="黑体"/>
      <w:b/>
      <w:bCs/>
      <w:kern w:val="2"/>
      <w:sz w:val="28"/>
      <w:szCs w:val="28"/>
    </w:rPr>
  </w:style>
  <w:style w:type="character" w:customStyle="1" w:styleId="208">
    <w:name w:val="077-正文格式 Char1"/>
    <w:link w:val="209"/>
    <w:qFormat/>
    <w:uiPriority w:val="0"/>
    <w:rPr>
      <w:rFonts w:ascii="宋体"/>
      <w:kern w:val="2"/>
      <w:sz w:val="24"/>
      <w:lang w:bidi="ar-SA"/>
    </w:rPr>
  </w:style>
  <w:style w:type="paragraph" w:customStyle="1" w:styleId="209">
    <w:name w:val="077-正文格式"/>
    <w:basedOn w:val="1"/>
    <w:link w:val="208"/>
    <w:qFormat/>
    <w:uiPriority w:val="0"/>
    <w:pPr>
      <w:adjustRightInd w:val="0"/>
      <w:snapToGrid w:val="0"/>
      <w:spacing w:line="360" w:lineRule="auto"/>
      <w:ind w:firstLine="480" w:firstLineChars="200"/>
    </w:pPr>
    <w:rPr>
      <w:rFonts w:ascii="宋体"/>
      <w:kern w:val="2"/>
      <w:szCs w:val="20"/>
    </w:rPr>
  </w:style>
  <w:style w:type="character" w:customStyle="1" w:styleId="210">
    <w:name w:val="正文文本 Char"/>
    <w:qFormat/>
    <w:uiPriority w:val="0"/>
    <w:rPr>
      <w:rFonts w:ascii="宋体" w:hAnsi="宋体"/>
      <w:b/>
      <w:bCs/>
      <w:color w:val="000000"/>
      <w:kern w:val="2"/>
      <w:sz w:val="72"/>
    </w:rPr>
  </w:style>
  <w:style w:type="character" w:customStyle="1" w:styleId="211">
    <w:name w:val="无间隔 字符"/>
    <w:link w:val="212"/>
    <w:qFormat/>
    <w:uiPriority w:val="0"/>
    <w:rPr>
      <w:rFonts w:ascii="Dutch801 Rm BT" w:hAnsi="Dutch801 Rm BT" w:eastAsia="Times New Roman" w:cs="Dutch801 Rm BT"/>
      <w:kern w:val="2"/>
      <w:sz w:val="21"/>
      <w:szCs w:val="24"/>
      <w:lang w:val="en-US" w:eastAsia="zh-CN" w:bidi="ar-SA"/>
    </w:rPr>
  </w:style>
  <w:style w:type="paragraph" w:styleId="212">
    <w:name w:val="No Spacing"/>
    <w:link w:val="211"/>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13">
    <w:name w:val="标题 2 Char1"/>
    <w:qFormat/>
    <w:uiPriority w:val="0"/>
    <w:rPr>
      <w:rFonts w:ascii="Arial" w:hAnsi="Arial" w:eastAsia="黑体"/>
      <w:b/>
      <w:bCs/>
      <w:kern w:val="2"/>
      <w:sz w:val="32"/>
      <w:szCs w:val="32"/>
    </w:rPr>
  </w:style>
  <w:style w:type="character" w:customStyle="1" w:styleId="214">
    <w:name w:val="样式2 Char Char"/>
    <w:link w:val="215"/>
    <w:qFormat/>
    <w:uiPriority w:val="0"/>
    <w:rPr>
      <w:rFonts w:eastAsia="宋体"/>
      <w:b/>
      <w:bCs/>
      <w:kern w:val="2"/>
      <w:sz w:val="36"/>
      <w:szCs w:val="36"/>
      <w:lang w:val="en-US" w:eastAsia="zh-CN" w:bidi="ar-SA"/>
    </w:rPr>
  </w:style>
  <w:style w:type="paragraph" w:customStyle="1" w:styleId="215">
    <w:name w:val="样式2"/>
    <w:basedOn w:val="6"/>
    <w:link w:val="214"/>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6">
    <w:name w:val="标题 5 字符"/>
    <w:link w:val="9"/>
    <w:qFormat/>
    <w:uiPriority w:val="0"/>
    <w:rPr>
      <w:b/>
      <w:bCs/>
      <w:kern w:val="2"/>
      <w:sz w:val="28"/>
      <w:szCs w:val="28"/>
    </w:rPr>
  </w:style>
  <w:style w:type="character" w:customStyle="1" w:styleId="217">
    <w:name w:val="批注主题 字符1"/>
    <w:link w:val="56"/>
    <w:qFormat/>
    <w:uiPriority w:val="0"/>
    <w:rPr>
      <w:rFonts w:ascii="Calibri" w:hAnsi="Calibri" w:eastAsia="宋体" w:cs="Calibri"/>
      <w:b/>
      <w:bCs/>
      <w:sz w:val="24"/>
      <w:szCs w:val="24"/>
      <w:lang w:val="en-US" w:eastAsia="zh-CN" w:bidi="ar-SA"/>
    </w:rPr>
  </w:style>
  <w:style w:type="character" w:customStyle="1" w:styleId="218">
    <w:name w:val="表格非标题文字 Char Char"/>
    <w:link w:val="219"/>
    <w:qFormat/>
    <w:uiPriority w:val="0"/>
    <w:rPr>
      <w:rFonts w:ascii="Arial" w:hAnsi="Arial" w:eastAsia="华文细黑"/>
      <w:color w:val="505050"/>
      <w:sz w:val="13"/>
      <w:szCs w:val="13"/>
      <w:lang w:bidi="ar-SA"/>
    </w:rPr>
  </w:style>
  <w:style w:type="paragraph" w:customStyle="1" w:styleId="219">
    <w:name w:val="表格非标题文字"/>
    <w:basedOn w:val="1"/>
    <w:link w:val="218"/>
    <w:qFormat/>
    <w:uiPriority w:val="0"/>
    <w:pPr>
      <w:spacing w:before="40" w:after="40" w:line="220" w:lineRule="exact"/>
    </w:pPr>
    <w:rPr>
      <w:rFonts w:ascii="Arial" w:hAnsi="Arial" w:eastAsia="华文细黑"/>
      <w:color w:val="505050"/>
      <w:sz w:val="13"/>
      <w:szCs w:val="13"/>
    </w:rPr>
  </w:style>
  <w:style w:type="character" w:customStyle="1" w:styleId="220">
    <w:name w:val="ces正文 Char"/>
    <w:link w:val="221"/>
    <w:qFormat/>
    <w:uiPriority w:val="0"/>
    <w:rPr>
      <w:rFonts w:ascii="Calibri" w:hAnsi="Calibri"/>
      <w:sz w:val="24"/>
      <w:szCs w:val="24"/>
      <w:lang w:bidi="ar-SA"/>
    </w:rPr>
  </w:style>
  <w:style w:type="paragraph" w:customStyle="1" w:styleId="221">
    <w:name w:val="ces正文"/>
    <w:basedOn w:val="1"/>
    <w:link w:val="220"/>
    <w:qFormat/>
    <w:uiPriority w:val="0"/>
    <w:pPr>
      <w:spacing w:line="360" w:lineRule="auto"/>
      <w:ind w:firstLine="480" w:firstLineChars="200"/>
    </w:pPr>
    <w:rPr>
      <w:rFonts w:ascii="Calibri" w:hAnsi="Calibri"/>
    </w:rPr>
  </w:style>
  <w:style w:type="character" w:customStyle="1" w:styleId="222">
    <w:name w:val="样式6 Char Char"/>
    <w:link w:val="223"/>
    <w:qFormat/>
    <w:uiPriority w:val="0"/>
    <w:rPr>
      <w:rFonts w:ascii="宋体" w:hAnsi="宋体"/>
      <w:b/>
      <w:color w:val="CC3399"/>
      <w:kern w:val="24"/>
      <w:sz w:val="24"/>
      <w:szCs w:val="24"/>
      <w:u w:val="wavyHeavy" w:color="00B0F0"/>
      <w:lang w:bidi="ar-SA"/>
    </w:rPr>
  </w:style>
  <w:style w:type="paragraph" w:customStyle="1" w:styleId="223">
    <w:name w:val="样式6"/>
    <w:basedOn w:val="1"/>
    <w:link w:val="222"/>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4">
    <w:name w:val="Table Heading Char"/>
    <w:link w:val="225"/>
    <w:qFormat/>
    <w:locked/>
    <w:uiPriority w:val="0"/>
    <w:rPr>
      <w:rFonts w:ascii="Arial" w:hAnsi="Arial" w:eastAsia="微软雅黑" w:cs="Arial Narrow"/>
      <w:bCs/>
      <w:sz w:val="18"/>
      <w:lang w:val="en-US" w:eastAsia="zh-CN" w:bidi="ar-SA"/>
    </w:rPr>
  </w:style>
  <w:style w:type="paragraph" w:customStyle="1" w:styleId="225">
    <w:name w:val="Table Heading"/>
    <w:link w:val="224"/>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6">
    <w:name w:val="List Paragraph Char"/>
    <w:link w:val="200"/>
    <w:qFormat/>
    <w:locked/>
    <w:uiPriority w:val="0"/>
    <w:rPr>
      <w:rFonts w:ascii="Calibri" w:hAnsi="Calibri" w:eastAsia="宋体"/>
      <w:kern w:val="2"/>
      <w:sz w:val="21"/>
      <w:szCs w:val="21"/>
      <w:lang w:val="en-US" w:eastAsia="zh-CN" w:bidi="ar-SA"/>
    </w:rPr>
  </w:style>
  <w:style w:type="character" w:customStyle="1" w:styleId="227">
    <w:name w:val="文档结构图 字符1"/>
    <w:link w:val="21"/>
    <w:qFormat/>
    <w:uiPriority w:val="0"/>
    <w:rPr>
      <w:rFonts w:eastAsia="宋体"/>
      <w:kern w:val="2"/>
      <w:sz w:val="21"/>
      <w:szCs w:val="24"/>
      <w:lang w:val="en-US" w:eastAsia="zh-CN" w:bidi="ar-SA"/>
    </w:rPr>
  </w:style>
  <w:style w:type="character" w:customStyle="1" w:styleId="228">
    <w:name w:val="投标正文 Char"/>
    <w:link w:val="229"/>
    <w:qFormat/>
    <w:uiPriority w:val="0"/>
    <w:rPr>
      <w:rFonts w:ascii="Calibri" w:hAnsi="Calibri" w:eastAsia="宋体"/>
      <w:sz w:val="24"/>
      <w:szCs w:val="24"/>
      <w:lang w:val="zh-CN" w:bidi="ar-SA"/>
    </w:rPr>
  </w:style>
  <w:style w:type="paragraph" w:customStyle="1" w:styleId="229">
    <w:name w:val="投标正文"/>
    <w:basedOn w:val="1"/>
    <w:link w:val="228"/>
    <w:qFormat/>
    <w:uiPriority w:val="0"/>
    <w:pPr>
      <w:spacing w:line="360" w:lineRule="auto"/>
      <w:ind w:left="100" w:firstLine="480" w:firstLineChars="200"/>
    </w:pPr>
    <w:rPr>
      <w:rFonts w:ascii="Calibri" w:hAnsi="Calibri"/>
      <w:lang w:val="zh-CN"/>
    </w:rPr>
  </w:style>
  <w:style w:type="character" w:customStyle="1" w:styleId="230">
    <w:name w:val="纯文本 Char3"/>
    <w:qFormat/>
    <w:uiPriority w:val="0"/>
    <w:rPr>
      <w:rFonts w:hint="eastAsia" w:ascii="宋体" w:hAnsi="Courier New" w:eastAsia="宋体" w:cs="Courier New"/>
      <w:kern w:val="2"/>
      <w:sz w:val="21"/>
      <w:szCs w:val="21"/>
    </w:rPr>
  </w:style>
  <w:style w:type="character" w:customStyle="1" w:styleId="231">
    <w:name w:val="投标书正文 Char"/>
    <w:link w:val="197"/>
    <w:qFormat/>
    <w:locked/>
    <w:uiPriority w:val="0"/>
    <w:rPr>
      <w:rFonts w:eastAsia="Times New Roman"/>
      <w:sz w:val="24"/>
      <w:szCs w:val="24"/>
      <w:lang w:val="en-US" w:eastAsia="zh-CN" w:bidi="ar-SA"/>
    </w:rPr>
  </w:style>
  <w:style w:type="character" w:customStyle="1" w:styleId="232">
    <w:name w:val="级别1 Char"/>
    <w:link w:val="233"/>
    <w:qFormat/>
    <w:uiPriority w:val="0"/>
    <w:rPr>
      <w:rFonts w:ascii="宋体" w:hAnsi="宋体" w:eastAsia="宋体" w:cs="Times New Roman"/>
      <w:b/>
      <w:bCs/>
      <w:kern w:val="44"/>
      <w:sz w:val="32"/>
      <w:szCs w:val="28"/>
      <w:lang w:bidi="ar-SA"/>
    </w:rPr>
  </w:style>
  <w:style w:type="paragraph" w:customStyle="1" w:styleId="233">
    <w:name w:val="级别1"/>
    <w:basedOn w:val="5"/>
    <w:link w:val="232"/>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4">
    <w:name w:val="正文文本 字符1"/>
    <w:link w:val="4"/>
    <w:qFormat/>
    <w:uiPriority w:val="0"/>
    <w:rPr>
      <w:rFonts w:ascii="宋体" w:hAnsi="宋体" w:eastAsia="宋体"/>
      <w:b/>
      <w:bCs/>
      <w:color w:val="000000"/>
      <w:kern w:val="2"/>
      <w:sz w:val="72"/>
      <w:lang w:val="en-US" w:eastAsia="zh-CN" w:bidi="ar-SA"/>
    </w:rPr>
  </w:style>
  <w:style w:type="character" w:customStyle="1" w:styleId="235">
    <w:name w:val="正文文本 3 字符"/>
    <w:link w:val="24"/>
    <w:qFormat/>
    <w:uiPriority w:val="0"/>
    <w:rPr>
      <w:kern w:val="2"/>
      <w:sz w:val="16"/>
      <w:szCs w:val="16"/>
    </w:rPr>
  </w:style>
  <w:style w:type="character" w:customStyle="1" w:styleId="236">
    <w:name w:val="标题 6 字符"/>
    <w:link w:val="10"/>
    <w:qFormat/>
    <w:uiPriority w:val="0"/>
    <w:rPr>
      <w:rFonts w:ascii="Arial" w:hAnsi="Arial" w:eastAsia="黑体"/>
      <w:b/>
      <w:bCs/>
      <w:kern w:val="2"/>
      <w:sz w:val="24"/>
      <w:szCs w:val="24"/>
    </w:rPr>
  </w:style>
  <w:style w:type="character" w:customStyle="1" w:styleId="237">
    <w:name w:val="表格 Char Char"/>
    <w:link w:val="238"/>
    <w:qFormat/>
    <w:uiPriority w:val="0"/>
    <w:rPr>
      <w:rFonts w:ascii="仿宋_GB2312" w:hAnsi="宋体" w:eastAsia="仿宋_GB2312"/>
      <w:spacing w:val="28"/>
      <w:kern w:val="24"/>
      <w:sz w:val="24"/>
      <w:szCs w:val="28"/>
      <w:lang w:bidi="ar-SA"/>
    </w:rPr>
  </w:style>
  <w:style w:type="paragraph" w:customStyle="1" w:styleId="238">
    <w:name w:val="表格"/>
    <w:basedOn w:val="1"/>
    <w:link w:val="237"/>
    <w:qFormat/>
    <w:uiPriority w:val="0"/>
    <w:pPr>
      <w:adjustRightInd w:val="0"/>
      <w:snapToGrid w:val="0"/>
      <w:jc w:val="center"/>
    </w:pPr>
    <w:rPr>
      <w:rFonts w:ascii="仿宋_GB2312" w:hAnsi="宋体" w:eastAsia="仿宋_GB2312"/>
      <w:spacing w:val="28"/>
      <w:kern w:val="24"/>
      <w:szCs w:val="28"/>
    </w:rPr>
  </w:style>
  <w:style w:type="character" w:customStyle="1" w:styleId="239">
    <w:name w:val="正文缩进 Char"/>
    <w:qFormat/>
    <w:uiPriority w:val="0"/>
    <w:rPr>
      <w:rFonts w:eastAsia="宋体"/>
      <w:kern w:val="2"/>
      <w:sz w:val="28"/>
      <w:lang w:val="en-US" w:eastAsia="zh-CN" w:bidi="ar-SA"/>
    </w:rPr>
  </w:style>
  <w:style w:type="character" w:customStyle="1" w:styleId="240">
    <w:name w:val="标题 4 Char"/>
    <w:qFormat/>
    <w:uiPriority w:val="0"/>
    <w:rPr>
      <w:rFonts w:ascii="Arial" w:hAnsi="Arial" w:eastAsia="黑体" w:cs="Times New Roman"/>
      <w:bCs/>
      <w:sz w:val="24"/>
      <w:szCs w:val="28"/>
    </w:rPr>
  </w:style>
  <w:style w:type="character" w:customStyle="1" w:styleId="241">
    <w:name w:val="正文文本 3 Char Char"/>
    <w:link w:val="242"/>
    <w:qFormat/>
    <w:uiPriority w:val="0"/>
    <w:rPr>
      <w:rFonts w:ascii="Calibri" w:hAnsi="Calibri" w:eastAsia="仿宋_GB2312"/>
      <w:kern w:val="2"/>
      <w:sz w:val="16"/>
      <w:szCs w:val="16"/>
      <w:lang w:bidi="ar-SA"/>
    </w:rPr>
  </w:style>
  <w:style w:type="paragraph" w:customStyle="1" w:styleId="242">
    <w:name w:val="正文文本 31"/>
    <w:basedOn w:val="1"/>
    <w:link w:val="241"/>
    <w:qFormat/>
    <w:uiPriority w:val="0"/>
    <w:pPr>
      <w:spacing w:after="120" w:line="360" w:lineRule="auto"/>
      <w:ind w:firstLine="200" w:firstLineChars="200"/>
    </w:pPr>
    <w:rPr>
      <w:rFonts w:ascii="Calibri" w:hAnsi="Calibri" w:eastAsia="仿宋_GB2312"/>
      <w:kern w:val="2"/>
      <w:sz w:val="16"/>
      <w:szCs w:val="16"/>
    </w:rPr>
  </w:style>
  <w:style w:type="character" w:customStyle="1" w:styleId="243">
    <w:name w:val="标题 2 字符"/>
    <w:link w:val="6"/>
    <w:qFormat/>
    <w:uiPriority w:val="0"/>
    <w:rPr>
      <w:rFonts w:ascii="Arial" w:hAnsi="Arial" w:eastAsia="黑体"/>
      <w:b/>
      <w:bCs/>
      <w:sz w:val="32"/>
      <w:szCs w:val="32"/>
    </w:rPr>
  </w:style>
  <w:style w:type="character" w:customStyle="1" w:styleId="244">
    <w:name w:val="font61"/>
    <w:qFormat/>
    <w:uiPriority w:val="0"/>
    <w:rPr>
      <w:rFonts w:hint="eastAsia" w:ascii="宋体" w:hAnsi="宋体" w:eastAsia="宋体" w:cs="宋体"/>
      <w:color w:val="000000"/>
      <w:sz w:val="20"/>
      <w:szCs w:val="20"/>
      <w:u w:val="none"/>
    </w:rPr>
  </w:style>
  <w:style w:type="character" w:customStyle="1" w:styleId="245">
    <w:name w:val="Char Char6"/>
    <w:qFormat/>
    <w:uiPriority w:val="0"/>
    <w:rPr>
      <w:rFonts w:ascii="宋体" w:hAnsi="Courier New" w:eastAsia="宋体" w:cs="Courier New"/>
      <w:kern w:val="2"/>
      <w:sz w:val="21"/>
      <w:szCs w:val="21"/>
      <w:lang w:val="en-US" w:eastAsia="zh-CN" w:bidi="ar-SA"/>
    </w:rPr>
  </w:style>
  <w:style w:type="character" w:customStyle="1" w:styleId="246">
    <w:name w:val="标书正文格式 Char Char"/>
    <w:link w:val="247"/>
    <w:qFormat/>
    <w:uiPriority w:val="0"/>
    <w:rPr>
      <w:rFonts w:eastAsia="楷体_GB2312"/>
      <w:sz w:val="24"/>
      <w:szCs w:val="28"/>
      <w:lang w:val="en-US" w:eastAsia="zh-CN" w:bidi="ar-SA"/>
    </w:rPr>
  </w:style>
  <w:style w:type="paragraph" w:customStyle="1" w:styleId="247">
    <w:name w:val="标书正文格式"/>
    <w:link w:val="246"/>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8">
    <w:name w:val="15"/>
    <w:qFormat/>
    <w:uiPriority w:val="0"/>
    <w:rPr>
      <w:rFonts w:hint="default" w:ascii="Times New Roman" w:hAnsi="Times New Roman" w:cs="Times New Roman"/>
      <w:color w:val="0000FF"/>
      <w:u w:val="single"/>
    </w:rPr>
  </w:style>
  <w:style w:type="character" w:customStyle="1" w:styleId="249">
    <w:name w:val="标题 7 Char"/>
    <w:qFormat/>
    <w:uiPriority w:val="0"/>
    <w:rPr>
      <w:rFonts w:ascii="Calibri" w:hAnsi="Calibri" w:eastAsia="宋体" w:cs="Times New Roman"/>
      <w:b/>
      <w:bCs/>
      <w:sz w:val="24"/>
      <w:szCs w:val="24"/>
    </w:rPr>
  </w:style>
  <w:style w:type="paragraph" w:customStyle="1" w:styleId="250">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51">
    <w:name w:val="a0"/>
    <w:basedOn w:val="1"/>
    <w:qFormat/>
    <w:uiPriority w:val="0"/>
    <w:pPr>
      <w:spacing w:before="100" w:beforeAutospacing="1" w:after="100" w:afterAutospacing="1"/>
    </w:pPr>
    <w:rPr>
      <w:rFonts w:ascii="宋体" w:hAnsi="宋体" w:cs="宋体"/>
    </w:rPr>
  </w:style>
  <w:style w:type="paragraph" w:customStyle="1" w:styleId="252">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3">
    <w:name w:val="Char1"/>
    <w:basedOn w:val="1"/>
    <w:qFormat/>
    <w:uiPriority w:val="0"/>
  </w:style>
  <w:style w:type="paragraph" w:customStyle="1" w:styleId="254">
    <w:name w:val="样式"/>
    <w:basedOn w:val="1"/>
    <w:qFormat/>
    <w:uiPriority w:val="0"/>
    <w:pPr>
      <w:autoSpaceDE w:val="0"/>
      <w:autoSpaceDN w:val="0"/>
      <w:snapToGrid w:val="0"/>
      <w:spacing w:before="120" w:after="120" w:line="360" w:lineRule="auto"/>
    </w:pPr>
    <w:rPr>
      <w:rFonts w:ascii="宋体"/>
      <w:szCs w:val="20"/>
    </w:rPr>
  </w:style>
  <w:style w:type="paragraph" w:customStyle="1" w:styleId="25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6">
    <w:name w:val="图表批注"/>
    <w:basedOn w:val="1"/>
    <w:qFormat/>
    <w:uiPriority w:val="0"/>
    <w:pPr>
      <w:spacing w:line="360" w:lineRule="auto"/>
      <w:contextualSpacing/>
      <w:jc w:val="center"/>
    </w:pPr>
    <w:rPr>
      <w:rFonts w:ascii="宋体" w:hAnsi="宋体"/>
      <w:sz w:val="20"/>
      <w:szCs w:val="20"/>
    </w:rPr>
  </w:style>
  <w:style w:type="paragraph" w:customStyle="1" w:styleId="257">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8">
    <w:name w:val="标题1"/>
    <w:basedOn w:val="39"/>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9">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60">
    <w:name w:val="纯文本_0"/>
    <w:basedOn w:val="1"/>
    <w:unhideWhenUsed/>
    <w:qFormat/>
    <w:uiPriority w:val="0"/>
    <w:pPr>
      <w:widowControl w:val="0"/>
      <w:jc w:val="both"/>
    </w:pPr>
    <w:rPr>
      <w:rFonts w:ascii="宋体" w:hAnsi="Courier New"/>
      <w:sz w:val="20"/>
      <w:szCs w:val="20"/>
    </w:rPr>
  </w:style>
  <w:style w:type="paragraph" w:customStyle="1" w:styleId="261">
    <w:name w:val="_Style 50"/>
    <w:basedOn w:val="21"/>
    <w:qFormat/>
    <w:uiPriority w:val="0"/>
    <w:rPr>
      <w:rFonts w:ascii="Tahoma" w:hAnsi="Tahoma"/>
      <w:sz w:val="24"/>
    </w:rPr>
  </w:style>
  <w:style w:type="paragraph" w:customStyle="1" w:styleId="262">
    <w:name w:val="CM8"/>
    <w:basedOn w:val="1"/>
    <w:next w:val="1"/>
    <w:qFormat/>
    <w:uiPriority w:val="0"/>
    <w:pPr>
      <w:autoSpaceDE w:val="0"/>
      <w:autoSpaceDN w:val="0"/>
      <w:adjustRightInd w:val="0"/>
      <w:spacing w:line="313" w:lineRule="atLeast"/>
    </w:pPr>
  </w:style>
  <w:style w:type="paragraph" w:customStyle="1" w:styleId="263">
    <w:name w:val="_Style 2"/>
    <w:basedOn w:val="1"/>
    <w:qFormat/>
    <w:uiPriority w:val="34"/>
    <w:pPr>
      <w:ind w:firstLine="420" w:firstLineChars="200"/>
    </w:pPr>
    <w:rPr>
      <w:rFonts w:ascii="Calibri" w:hAnsi="Calibri"/>
      <w:szCs w:val="22"/>
    </w:rPr>
  </w:style>
  <w:style w:type="paragraph" w:customStyle="1" w:styleId="264">
    <w:name w:val="Char Char Char"/>
    <w:basedOn w:val="1"/>
    <w:qFormat/>
    <w:uiPriority w:val="0"/>
    <w:rPr>
      <w:rFonts w:ascii="Tahoma" w:hAnsi="Tahoma"/>
      <w:szCs w:val="20"/>
    </w:rPr>
  </w:style>
  <w:style w:type="paragraph" w:customStyle="1" w:styleId="265">
    <w:name w:val="舟式样--正文"/>
    <w:basedOn w:val="1"/>
    <w:qFormat/>
    <w:uiPriority w:val="0"/>
    <w:pPr>
      <w:ind w:firstLine="200" w:firstLineChars="200"/>
    </w:pPr>
    <w:rPr>
      <w:rFonts w:hint="eastAsia" w:ascii="仿宋_GB2312" w:eastAsia="仿宋_GB2312"/>
      <w:sz w:val="28"/>
      <w:szCs w:val="22"/>
    </w:rPr>
  </w:style>
  <w:style w:type="paragraph" w:customStyle="1" w:styleId="266">
    <w:name w:val="-标题4-"/>
    <w:basedOn w:val="7"/>
    <w:qFormat/>
    <w:uiPriority w:val="0"/>
    <w:pPr>
      <w:numPr>
        <w:ilvl w:val="0"/>
        <w:numId w:val="0"/>
      </w:numPr>
      <w:tabs>
        <w:tab w:val="left" w:pos="0"/>
      </w:tabs>
      <w:ind w:left="851" w:hanging="851"/>
      <w:outlineLvl w:val="3"/>
    </w:pPr>
    <w:rPr>
      <w:color w:val="800080"/>
      <w:sz w:val="24"/>
    </w:rPr>
  </w:style>
  <w:style w:type="paragraph" w:customStyle="1" w:styleId="267">
    <w:name w:val="a 正文"/>
    <w:basedOn w:val="1"/>
    <w:qFormat/>
    <w:uiPriority w:val="0"/>
    <w:pPr>
      <w:spacing w:line="360" w:lineRule="auto"/>
      <w:ind w:firstLine="480"/>
    </w:pPr>
    <w:rPr>
      <w:rFonts w:ascii="宋体" w:hAnsi="宋体"/>
    </w:rPr>
  </w:style>
  <w:style w:type="paragraph" w:customStyle="1" w:styleId="268">
    <w:name w:val="**正文"/>
    <w:basedOn w:val="1"/>
    <w:qFormat/>
    <w:uiPriority w:val="0"/>
    <w:pPr>
      <w:spacing w:line="360" w:lineRule="auto"/>
      <w:ind w:firstLine="480" w:firstLineChars="200"/>
    </w:pPr>
    <w:rPr>
      <w:rFonts w:eastAsia="仿宋_GB2312"/>
    </w:rPr>
  </w:style>
  <w:style w:type="paragraph" w:customStyle="1" w:styleId="269">
    <w:name w:val="图片居中"/>
    <w:basedOn w:val="270"/>
    <w:qFormat/>
    <w:uiPriority w:val="0"/>
    <w:pPr>
      <w:ind w:firstLine="0" w:firstLineChars="0"/>
      <w:jc w:val="center"/>
    </w:pPr>
  </w:style>
  <w:style w:type="paragraph" w:customStyle="1" w:styleId="270">
    <w:name w:val="哈哈正文"/>
    <w:basedOn w:val="1"/>
    <w:qFormat/>
    <w:uiPriority w:val="0"/>
    <w:pPr>
      <w:spacing w:line="360" w:lineRule="auto"/>
      <w:ind w:firstLine="200" w:firstLineChars="200"/>
    </w:pPr>
    <w:rPr>
      <w:rFonts w:ascii="宋体" w:hAnsi="宋体"/>
    </w:rPr>
  </w:style>
  <w:style w:type="paragraph" w:customStyle="1" w:styleId="271">
    <w:name w:val="_Style 10"/>
    <w:basedOn w:val="1"/>
    <w:qFormat/>
    <w:uiPriority w:val="0"/>
  </w:style>
  <w:style w:type="paragraph" w:customStyle="1" w:styleId="272">
    <w:name w:val="xl24"/>
    <w:basedOn w:val="1"/>
    <w:qFormat/>
    <w:uiPriority w:val="0"/>
    <w:pPr>
      <w:spacing w:before="100" w:beforeAutospacing="1" w:after="100" w:afterAutospacing="1"/>
      <w:jc w:val="right"/>
    </w:pPr>
    <w:rPr>
      <w:rFonts w:ascii="宋体" w:hAnsi="宋体"/>
    </w:rPr>
  </w:style>
  <w:style w:type="paragraph" w:customStyle="1" w:styleId="273">
    <w:name w:val="Byline"/>
    <w:basedOn w:val="1"/>
    <w:next w:val="1"/>
    <w:qFormat/>
    <w:uiPriority w:val="0"/>
    <w:pPr>
      <w:spacing w:line="360" w:lineRule="auto"/>
    </w:pPr>
    <w:rPr>
      <w:i/>
    </w:rPr>
  </w:style>
  <w:style w:type="paragraph" w:customStyle="1" w:styleId="274">
    <w:name w:val="批注主题 Char Char"/>
    <w:basedOn w:val="1"/>
    <w:qFormat/>
    <w:uiPriority w:val="99"/>
    <w:rPr>
      <w:szCs w:val="21"/>
    </w:rPr>
  </w:style>
  <w:style w:type="paragraph" w:customStyle="1" w:styleId="275">
    <w:name w:val="Char"/>
    <w:basedOn w:val="1"/>
    <w:qFormat/>
    <w:uiPriority w:val="0"/>
    <w:rPr>
      <w:szCs w:val="20"/>
    </w:rPr>
  </w:style>
  <w:style w:type="paragraph" w:customStyle="1" w:styleId="276">
    <w:name w:val="正文-王"/>
    <w:basedOn w:val="1"/>
    <w:qFormat/>
    <w:uiPriority w:val="0"/>
    <w:pPr>
      <w:spacing w:line="360" w:lineRule="auto"/>
      <w:ind w:firstLine="480" w:firstLineChars="200"/>
    </w:pPr>
    <w:rPr>
      <w:rFonts w:ascii="宋体" w:hAnsi="宋体"/>
    </w:rPr>
  </w:style>
  <w:style w:type="paragraph" w:customStyle="1" w:styleId="277">
    <w:name w:val="标准小四"/>
    <w:basedOn w:val="1"/>
    <w:qFormat/>
    <w:uiPriority w:val="0"/>
    <w:pPr>
      <w:spacing w:line="360" w:lineRule="auto"/>
      <w:ind w:firstLine="480" w:firstLineChars="200"/>
    </w:pPr>
    <w:rPr>
      <w:rFonts w:ascii="Arial" w:hAnsi="Arial"/>
    </w:rPr>
  </w:style>
  <w:style w:type="paragraph" w:customStyle="1" w:styleId="278">
    <w:name w:val="Char Char17 Char Char Char Char Char Char"/>
    <w:basedOn w:val="1"/>
    <w:qFormat/>
    <w:uiPriority w:val="0"/>
    <w:rPr>
      <w:szCs w:val="21"/>
    </w:rPr>
  </w:style>
  <w:style w:type="paragraph" w:customStyle="1" w:styleId="279">
    <w:name w:val="TOC 标题1"/>
    <w:basedOn w:val="5"/>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80">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81">
    <w:name w:val="正文1"/>
    <w:basedOn w:val="1"/>
    <w:next w:val="282"/>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2">
    <w:name w:val="标题 21"/>
    <w:basedOn w:val="281"/>
    <w:next w:val="281"/>
    <w:qFormat/>
    <w:uiPriority w:val="0"/>
    <w:pPr>
      <w:keepNext/>
      <w:keepLines/>
      <w:ind w:firstLineChars="200"/>
      <w:outlineLvl w:val="1"/>
    </w:pPr>
    <w:rPr>
      <w:rFonts w:cs="Arial"/>
      <w:b/>
      <w:bCs/>
      <w:szCs w:val="32"/>
    </w:rPr>
  </w:style>
  <w:style w:type="paragraph" w:customStyle="1" w:styleId="283">
    <w:name w:val="列出段落2"/>
    <w:basedOn w:val="1"/>
    <w:qFormat/>
    <w:uiPriority w:val="99"/>
    <w:pPr>
      <w:ind w:firstLine="420" w:firstLineChars="200"/>
    </w:pPr>
    <w:rPr>
      <w:rFonts w:ascii="Calibri" w:hAnsi="Calibri"/>
      <w:szCs w:val="22"/>
    </w:rPr>
  </w:style>
  <w:style w:type="paragraph" w:customStyle="1" w:styleId="284">
    <w:name w:val="正文4"/>
    <w:basedOn w:val="1"/>
    <w:qFormat/>
    <w:uiPriority w:val="0"/>
    <w:pPr>
      <w:spacing w:before="60" w:after="60" w:line="360" w:lineRule="auto"/>
      <w:ind w:left="820" w:leftChars="400" w:hanging="420"/>
    </w:pPr>
  </w:style>
  <w:style w:type="paragraph" w:customStyle="1" w:styleId="285">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6">
    <w:name w:val="正文对齐"/>
    <w:basedOn w:val="1"/>
    <w:qFormat/>
    <w:uiPriority w:val="0"/>
    <w:pPr>
      <w:spacing w:after="120" w:line="360" w:lineRule="auto"/>
      <w:ind w:left="400" w:leftChars="400"/>
    </w:pPr>
    <w:rPr>
      <w:szCs w:val="21"/>
    </w:rPr>
  </w:style>
  <w:style w:type="paragraph" w:customStyle="1" w:styleId="287">
    <w:name w:val="Char Char Char Char Char Char Char"/>
    <w:basedOn w:val="1"/>
    <w:qFormat/>
    <w:uiPriority w:val="0"/>
    <w:rPr>
      <w:szCs w:val="21"/>
    </w:rPr>
  </w:style>
  <w:style w:type="paragraph" w:customStyle="1" w:styleId="288">
    <w:name w:val="样式5"/>
    <w:basedOn w:val="9"/>
    <w:qFormat/>
    <w:uiPriority w:val="0"/>
    <w:pPr>
      <w:keepNext w:val="0"/>
      <w:keepLines w:val="0"/>
      <w:spacing w:before="60" w:after="60" w:line="360" w:lineRule="auto"/>
    </w:pPr>
    <w:rPr>
      <w:sz w:val="30"/>
      <w:szCs w:val="30"/>
    </w:rPr>
  </w:style>
  <w:style w:type="paragraph" w:customStyle="1" w:styleId="289">
    <w:name w:val="Char Char Char Char Char Char"/>
    <w:basedOn w:val="21"/>
    <w:qFormat/>
    <w:uiPriority w:val="0"/>
    <w:rPr>
      <w:rFonts w:ascii="Tahoma" w:hAnsi="Tahoma"/>
      <w:sz w:val="24"/>
    </w:rPr>
  </w:style>
  <w:style w:type="paragraph" w:customStyle="1" w:styleId="290">
    <w:name w:val="+正文"/>
    <w:basedOn w:val="1"/>
    <w:qFormat/>
    <w:uiPriority w:val="0"/>
    <w:pPr>
      <w:spacing w:line="360" w:lineRule="auto"/>
      <w:ind w:firstLine="200" w:firstLineChars="200"/>
    </w:pPr>
    <w:rPr>
      <w:szCs w:val="28"/>
    </w:rPr>
  </w:style>
  <w:style w:type="paragraph" w:customStyle="1" w:styleId="291">
    <w:name w:val="正文四号"/>
    <w:basedOn w:val="1"/>
    <w:qFormat/>
    <w:uiPriority w:val="0"/>
    <w:pPr>
      <w:spacing w:line="360" w:lineRule="auto"/>
    </w:pPr>
    <w:rPr>
      <w:rFonts w:eastAsia="仿宋"/>
      <w:sz w:val="28"/>
      <w:szCs w:val="20"/>
    </w:rPr>
  </w:style>
  <w:style w:type="paragraph" w:customStyle="1" w:styleId="292">
    <w:name w:val="样式 正文字缩1字 + 左侧:  1 字符 首行缩进:  2 字符"/>
    <w:basedOn w:val="293"/>
    <w:qFormat/>
    <w:uiPriority w:val="0"/>
    <w:pPr>
      <w:ind w:left="210" w:firstLine="480"/>
    </w:pPr>
    <w:rPr>
      <w:rFonts w:cs="宋体"/>
    </w:rPr>
  </w:style>
  <w:style w:type="paragraph" w:customStyle="1" w:styleId="293">
    <w:name w:val="正文字缩1字"/>
    <w:basedOn w:val="1"/>
    <w:qFormat/>
    <w:uiPriority w:val="0"/>
    <w:pPr>
      <w:spacing w:before="60" w:after="60" w:line="360" w:lineRule="auto"/>
      <w:ind w:left="100" w:leftChars="100" w:firstLine="200" w:firstLineChars="200"/>
    </w:pPr>
  </w:style>
  <w:style w:type="paragraph" w:customStyle="1" w:styleId="294">
    <w:name w:val="样式1"/>
    <w:basedOn w:val="5"/>
    <w:qFormat/>
    <w:uiPriority w:val="0"/>
    <w:pPr>
      <w:keepNext w:val="0"/>
      <w:keepLines w:val="0"/>
      <w:spacing w:before="240" w:after="120" w:line="360" w:lineRule="auto"/>
      <w:ind w:left="883" w:hanging="883" w:hangingChars="200"/>
    </w:pPr>
  </w:style>
  <w:style w:type="paragraph" w:customStyle="1" w:styleId="295">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6">
    <w:name w:val="Char Char Char Char Char Char1"/>
    <w:basedOn w:val="21"/>
    <w:qFormat/>
    <w:uiPriority w:val="0"/>
    <w:rPr>
      <w:rFonts w:ascii="Tahoma" w:hAnsi="Tahoma"/>
      <w:sz w:val="24"/>
    </w:rPr>
  </w:style>
  <w:style w:type="paragraph" w:customStyle="1" w:styleId="297">
    <w:name w:val="Abstract Title"/>
    <w:basedOn w:val="1"/>
    <w:next w:val="1"/>
    <w:qFormat/>
    <w:uiPriority w:val="0"/>
    <w:pPr>
      <w:pBdr>
        <w:top w:val="single" w:color="auto" w:sz="4" w:space="1"/>
      </w:pBdr>
      <w:spacing w:line="360" w:lineRule="auto"/>
    </w:pPr>
    <w:rPr>
      <w:b/>
    </w:rPr>
  </w:style>
  <w:style w:type="paragraph" w:customStyle="1" w:styleId="298">
    <w:name w:val="规划编号2"/>
    <w:basedOn w:val="1"/>
    <w:qFormat/>
    <w:uiPriority w:val="0"/>
    <w:pPr>
      <w:tabs>
        <w:tab w:val="left" w:pos="496"/>
        <w:tab w:val="left" w:pos="840"/>
      </w:tabs>
      <w:ind w:left="840" w:hanging="360"/>
    </w:pPr>
    <w:rPr>
      <w:rFonts w:ascii="宋体" w:hAnsi="宋体" w:cs="宋体"/>
    </w:rPr>
  </w:style>
  <w:style w:type="paragraph" w:customStyle="1" w:styleId="299">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300">
    <w:name w:val="此正文"/>
    <w:basedOn w:val="1"/>
    <w:qFormat/>
    <w:uiPriority w:val="0"/>
    <w:pPr>
      <w:spacing w:line="360" w:lineRule="auto"/>
      <w:ind w:firstLine="200" w:firstLineChars="200"/>
    </w:pPr>
  </w:style>
  <w:style w:type="paragraph" w:customStyle="1" w:styleId="301">
    <w:name w:val="_Style 52"/>
    <w:basedOn w:val="1"/>
    <w:qFormat/>
    <w:uiPriority w:val="0"/>
    <w:pPr>
      <w:widowControl w:val="0"/>
      <w:jc w:val="both"/>
    </w:pPr>
    <w:rPr>
      <w:kern w:val="2"/>
      <w:sz w:val="21"/>
    </w:rPr>
  </w:style>
  <w:style w:type="paragraph" w:customStyle="1" w:styleId="302">
    <w:name w:val="附录标题二"/>
    <w:basedOn w:val="6"/>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3">
    <w:name w:val="Char3"/>
    <w:basedOn w:val="1"/>
    <w:qFormat/>
    <w:uiPriority w:val="0"/>
    <w:pPr>
      <w:tabs>
        <w:tab w:val="left" w:pos="360"/>
      </w:tabs>
    </w:pPr>
  </w:style>
  <w:style w:type="paragraph" w:customStyle="1" w:styleId="304">
    <w:name w:val="CM167"/>
    <w:basedOn w:val="69"/>
    <w:next w:val="69"/>
    <w:qFormat/>
    <w:uiPriority w:val="0"/>
    <w:pPr>
      <w:spacing w:before="0" w:after="120"/>
      <w:jc w:val="left"/>
    </w:pPr>
    <w:rPr>
      <w:rFonts w:ascii="黑体" w:eastAsia="黑体" w:cs="Times New Roman"/>
      <w:color w:val="auto"/>
    </w:rPr>
  </w:style>
  <w:style w:type="table" w:customStyle="1" w:styleId="305">
    <w:name w:val="表样式"/>
    <w:basedOn w:val="60"/>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306">
    <w:name w:val="纯文本字符1"/>
    <w:semiHidden/>
    <w:qFormat/>
    <w:uiPriority w:val="99"/>
    <w:rPr>
      <w:rFonts w:ascii="宋体" w:hAnsi="Courier" w:eastAsia="宋体"/>
    </w:rPr>
  </w:style>
  <w:style w:type="character" w:customStyle="1" w:styleId="307">
    <w:name w:val="标题 1 字符"/>
    <w:qFormat/>
    <w:uiPriority w:val="0"/>
    <w:rPr>
      <w:b/>
      <w:bCs/>
      <w:kern w:val="44"/>
      <w:sz w:val="44"/>
      <w:szCs w:val="44"/>
    </w:rPr>
  </w:style>
  <w:style w:type="character" w:customStyle="1" w:styleId="308">
    <w:name w:val="标题 3 字符"/>
    <w:qFormat/>
    <w:uiPriority w:val="0"/>
    <w:rPr>
      <w:b/>
      <w:bCs/>
      <w:kern w:val="2"/>
      <w:sz w:val="32"/>
      <w:szCs w:val="32"/>
    </w:rPr>
  </w:style>
  <w:style w:type="character" w:customStyle="1" w:styleId="309">
    <w:name w:val="标题 9 字符"/>
    <w:semiHidden/>
    <w:qFormat/>
    <w:uiPriority w:val="0"/>
    <w:rPr>
      <w:rFonts w:ascii="Calibri Light" w:hAnsi="Calibri Light" w:eastAsia="宋体" w:cs="Times New Roman"/>
      <w:kern w:val="2"/>
      <w:sz w:val="21"/>
      <w:szCs w:val="21"/>
    </w:rPr>
  </w:style>
  <w:style w:type="character" w:customStyle="1" w:styleId="310">
    <w:name w:val="批注框文本 字符"/>
    <w:qFormat/>
    <w:uiPriority w:val="0"/>
    <w:rPr>
      <w:kern w:val="2"/>
      <w:sz w:val="18"/>
      <w:szCs w:val="18"/>
    </w:rPr>
  </w:style>
  <w:style w:type="character" w:customStyle="1" w:styleId="311">
    <w:name w:val="文档结构图 字符"/>
    <w:qFormat/>
    <w:uiPriority w:val="0"/>
    <w:rPr>
      <w:rFonts w:ascii="宋体"/>
      <w:kern w:val="2"/>
      <w:sz w:val="18"/>
      <w:szCs w:val="18"/>
    </w:rPr>
  </w:style>
  <w:style w:type="character" w:customStyle="1" w:styleId="312">
    <w:name w:val="HTML 预设格式 字符"/>
    <w:link w:val="52"/>
    <w:qFormat/>
    <w:uiPriority w:val="99"/>
    <w:rPr>
      <w:rFonts w:ascii="宋体" w:hAnsi="宋体" w:cs="宋体"/>
      <w:sz w:val="24"/>
      <w:szCs w:val="24"/>
    </w:rPr>
  </w:style>
  <w:style w:type="character" w:customStyle="1" w:styleId="313">
    <w:name w:val="HTML 预设格式 Char"/>
    <w:basedOn w:val="62"/>
    <w:qFormat/>
    <w:uiPriority w:val="0"/>
    <w:rPr>
      <w:rFonts w:ascii="Courier New" w:hAnsi="Courier New" w:cs="Courier New"/>
    </w:rPr>
  </w:style>
  <w:style w:type="paragraph" w:customStyle="1" w:styleId="314">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5">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6">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7">
    <w:name w:val="_Style 311"/>
    <w:basedOn w:val="1"/>
    <w:next w:val="78"/>
    <w:link w:val="335"/>
    <w:qFormat/>
    <w:uiPriority w:val="0"/>
    <w:pPr>
      <w:widowControl w:val="0"/>
      <w:autoSpaceDE w:val="0"/>
      <w:autoSpaceDN w:val="0"/>
      <w:adjustRightInd w:val="0"/>
      <w:ind w:firstLine="420" w:firstLineChars="200"/>
      <w:jc w:val="both"/>
    </w:pPr>
    <w:rPr>
      <w:color w:val="000000"/>
      <w:sz w:val="21"/>
      <w:szCs w:val="21"/>
    </w:rPr>
  </w:style>
  <w:style w:type="paragraph" w:customStyle="1" w:styleId="318">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9">
    <w:name w:val="需求标题1"/>
    <w:basedOn w:val="1"/>
    <w:next w:val="320"/>
    <w:qFormat/>
    <w:uiPriority w:val="0"/>
    <w:pPr>
      <w:widowControl w:val="0"/>
      <w:spacing w:before="60" w:after="20"/>
      <w:jc w:val="both"/>
      <w:outlineLvl w:val="1"/>
    </w:pPr>
    <w:rPr>
      <w:rFonts w:ascii="黑体" w:hAnsi="黑体" w:eastAsia="黑体"/>
      <w:kern w:val="2"/>
      <w:sz w:val="28"/>
      <w:szCs w:val="28"/>
    </w:rPr>
  </w:style>
  <w:style w:type="paragraph" w:customStyle="1" w:styleId="320">
    <w:name w:val="正文内容"/>
    <w:basedOn w:val="1"/>
    <w:qFormat/>
    <w:uiPriority w:val="0"/>
    <w:pPr>
      <w:widowControl w:val="0"/>
      <w:ind w:firstLine="420" w:firstLineChars="200"/>
    </w:pPr>
    <w:rPr>
      <w:rFonts w:ascii="宋体" w:hAnsi="Calibri"/>
      <w:kern w:val="2"/>
      <w:sz w:val="21"/>
      <w:szCs w:val="21"/>
    </w:rPr>
  </w:style>
  <w:style w:type="paragraph" w:customStyle="1" w:styleId="321">
    <w:name w:val="需求标题2"/>
    <w:basedOn w:val="1"/>
    <w:next w:val="320"/>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22">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3">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4">
    <w:name w:val="Char Char Char Char Char Char Char Char Char"/>
    <w:basedOn w:val="1"/>
    <w:qFormat/>
    <w:uiPriority w:val="0"/>
    <w:pPr>
      <w:widowControl w:val="0"/>
      <w:jc w:val="both"/>
    </w:pPr>
    <w:rPr>
      <w:rFonts w:ascii="Calibri" w:hAnsi="Calibri"/>
      <w:kern w:val="2"/>
      <w:sz w:val="21"/>
      <w:szCs w:val="22"/>
    </w:rPr>
  </w:style>
  <w:style w:type="character" w:customStyle="1" w:styleId="325">
    <w:name w:val="Char Char2"/>
    <w:qFormat/>
    <w:uiPriority w:val="0"/>
    <w:rPr>
      <w:rFonts w:ascii="宋体" w:hAnsi="宋体" w:cs="宋体"/>
      <w:sz w:val="24"/>
      <w:szCs w:val="24"/>
    </w:rPr>
  </w:style>
  <w:style w:type="character" w:customStyle="1" w:styleId="326">
    <w:name w:val="正文表格内容 Char Char"/>
    <w:link w:val="327"/>
    <w:qFormat/>
    <w:locked/>
    <w:uiPriority w:val="0"/>
    <w:rPr>
      <w:rFonts w:ascii="Arial" w:hAnsi="Arial"/>
      <w:sz w:val="18"/>
    </w:rPr>
  </w:style>
  <w:style w:type="paragraph" w:customStyle="1" w:styleId="327">
    <w:name w:val="正文表格内容"/>
    <w:basedOn w:val="1"/>
    <w:link w:val="326"/>
    <w:qFormat/>
    <w:uiPriority w:val="0"/>
    <w:rPr>
      <w:rFonts w:ascii="Arial" w:hAnsi="Arial"/>
      <w:sz w:val="18"/>
      <w:szCs w:val="20"/>
    </w:rPr>
  </w:style>
  <w:style w:type="character" w:customStyle="1" w:styleId="328">
    <w:name w:val="HTML Preformatted Char"/>
    <w:semiHidden/>
    <w:qFormat/>
    <w:locked/>
    <w:uiPriority w:val="0"/>
    <w:rPr>
      <w:rFonts w:ascii="宋体" w:hAnsi="宋体" w:eastAsia="宋体" w:cs="宋体"/>
      <w:sz w:val="24"/>
      <w:szCs w:val="24"/>
      <w:lang w:val="en-US" w:eastAsia="zh-CN" w:bidi="ar-SA"/>
    </w:rPr>
  </w:style>
  <w:style w:type="paragraph" w:customStyle="1" w:styleId="329">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30">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31">
    <w:name w:val="正文文本 字符"/>
    <w:qFormat/>
    <w:uiPriority w:val="0"/>
    <w:rPr>
      <w:kern w:val="2"/>
      <w:sz w:val="28"/>
      <w:szCs w:val="24"/>
    </w:rPr>
  </w:style>
  <w:style w:type="character" w:customStyle="1" w:styleId="332">
    <w:name w:val="正文文本首行缩进 字符"/>
    <w:qFormat/>
    <w:uiPriority w:val="0"/>
    <w:rPr>
      <w:kern w:val="2"/>
      <w:sz w:val="21"/>
      <w:szCs w:val="24"/>
    </w:rPr>
  </w:style>
  <w:style w:type="character" w:customStyle="1" w:styleId="333">
    <w:name w:val="批注文字 字符"/>
    <w:qFormat/>
    <w:uiPriority w:val="0"/>
    <w:rPr>
      <w:kern w:val="2"/>
      <w:sz w:val="21"/>
      <w:szCs w:val="24"/>
    </w:rPr>
  </w:style>
  <w:style w:type="table" w:customStyle="1" w:styleId="334">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335">
    <w:name w:val="列表段落 字符"/>
    <w:link w:val="317"/>
    <w:qFormat/>
    <w:uiPriority w:val="0"/>
    <w:rPr>
      <w:color w:val="000000"/>
      <w:sz w:val="21"/>
      <w:szCs w:val="21"/>
    </w:rPr>
  </w:style>
  <w:style w:type="paragraph" w:customStyle="1" w:styleId="33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7">
    <w:name w:val="TOC 标题2"/>
    <w:basedOn w:val="5"/>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8">
    <w:name w:val="页脚 字符"/>
    <w:qFormat/>
    <w:locked/>
    <w:uiPriority w:val="99"/>
    <w:rPr>
      <w:rFonts w:eastAsia="黑体"/>
      <w:sz w:val="18"/>
      <w:szCs w:val="18"/>
    </w:rPr>
  </w:style>
  <w:style w:type="character" w:customStyle="1" w:styleId="339">
    <w:name w:val="页眉 字符"/>
    <w:qFormat/>
    <w:locked/>
    <w:uiPriority w:val="99"/>
    <w:rPr>
      <w:rFonts w:eastAsia="仿宋_GB2312"/>
      <w:kern w:val="2"/>
      <w:sz w:val="18"/>
    </w:rPr>
  </w:style>
  <w:style w:type="character" w:customStyle="1" w:styleId="340">
    <w:name w:val="批注主题 字符"/>
    <w:qFormat/>
    <w:uiPriority w:val="0"/>
    <w:rPr>
      <w:b/>
      <w:bCs/>
      <w:kern w:val="2"/>
      <w:sz w:val="21"/>
      <w:szCs w:val="24"/>
    </w:rPr>
  </w:style>
  <w:style w:type="paragraph" w:customStyle="1" w:styleId="341">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42">
    <w:name w:val="批注文字 Char3"/>
    <w:basedOn w:val="62"/>
    <w:semiHidden/>
    <w:qFormat/>
    <w:uiPriority w:val="99"/>
    <w:rPr>
      <w:rFonts w:ascii="Times New Roman" w:hAnsi="Times New Roman" w:eastAsia="宋体" w:cs="Times New Roman"/>
      <w:kern w:val="0"/>
      <w:sz w:val="24"/>
      <w:szCs w:val="24"/>
    </w:rPr>
  </w:style>
  <w:style w:type="character" w:customStyle="1" w:styleId="343">
    <w:name w:val="页脚 Char2"/>
    <w:basedOn w:val="62"/>
    <w:semiHidden/>
    <w:qFormat/>
    <w:uiPriority w:val="99"/>
    <w:rPr>
      <w:rFonts w:ascii="Times New Roman" w:hAnsi="Times New Roman" w:eastAsia="宋体" w:cs="Times New Roman"/>
      <w:kern w:val="0"/>
      <w:sz w:val="18"/>
      <w:szCs w:val="18"/>
    </w:rPr>
  </w:style>
  <w:style w:type="character" w:customStyle="1" w:styleId="344">
    <w:name w:val="正文文本 3 Char1"/>
    <w:basedOn w:val="62"/>
    <w:semiHidden/>
    <w:qFormat/>
    <w:uiPriority w:val="99"/>
    <w:rPr>
      <w:rFonts w:ascii="Times New Roman" w:hAnsi="Times New Roman" w:eastAsia="宋体" w:cs="Times New Roman"/>
      <w:kern w:val="0"/>
      <w:sz w:val="16"/>
      <w:szCs w:val="16"/>
    </w:rPr>
  </w:style>
  <w:style w:type="character" w:customStyle="1" w:styleId="345">
    <w:name w:val="正文文本缩进 Char2"/>
    <w:basedOn w:val="62"/>
    <w:semiHidden/>
    <w:qFormat/>
    <w:uiPriority w:val="99"/>
    <w:rPr>
      <w:rFonts w:ascii="Times New Roman" w:hAnsi="Times New Roman" w:eastAsia="宋体" w:cs="Times New Roman"/>
      <w:kern w:val="0"/>
      <w:sz w:val="24"/>
      <w:szCs w:val="24"/>
    </w:rPr>
  </w:style>
  <w:style w:type="character" w:customStyle="1" w:styleId="346">
    <w:name w:val="正文首行缩进 2 Char1"/>
    <w:basedOn w:val="345"/>
    <w:semiHidden/>
    <w:qFormat/>
    <w:uiPriority w:val="99"/>
    <w:rPr>
      <w:rFonts w:ascii="Times New Roman" w:hAnsi="Times New Roman" w:eastAsia="宋体" w:cs="Times New Roman"/>
      <w:kern w:val="0"/>
      <w:sz w:val="24"/>
      <w:szCs w:val="24"/>
    </w:rPr>
  </w:style>
  <w:style w:type="character" w:customStyle="1" w:styleId="347">
    <w:name w:val="正文文本 Char3"/>
    <w:basedOn w:val="62"/>
    <w:semiHidden/>
    <w:qFormat/>
    <w:uiPriority w:val="99"/>
    <w:rPr>
      <w:rFonts w:ascii="Times New Roman" w:hAnsi="Times New Roman" w:eastAsia="宋体" w:cs="Times New Roman"/>
      <w:kern w:val="0"/>
      <w:sz w:val="24"/>
      <w:szCs w:val="24"/>
    </w:rPr>
  </w:style>
  <w:style w:type="character" w:customStyle="1" w:styleId="348">
    <w:name w:val="正文首行缩进 Char2"/>
    <w:basedOn w:val="347"/>
    <w:semiHidden/>
    <w:qFormat/>
    <w:uiPriority w:val="99"/>
    <w:rPr>
      <w:rFonts w:ascii="Times New Roman" w:hAnsi="Times New Roman" w:eastAsia="宋体" w:cs="Times New Roman"/>
      <w:kern w:val="0"/>
      <w:sz w:val="24"/>
      <w:szCs w:val="24"/>
    </w:rPr>
  </w:style>
  <w:style w:type="character" w:customStyle="1" w:styleId="349">
    <w:name w:val="批注框文本 Char2"/>
    <w:basedOn w:val="62"/>
    <w:semiHidden/>
    <w:qFormat/>
    <w:uiPriority w:val="99"/>
    <w:rPr>
      <w:rFonts w:ascii="Times New Roman" w:hAnsi="Times New Roman" w:eastAsia="宋体" w:cs="Times New Roman"/>
      <w:kern w:val="0"/>
      <w:sz w:val="18"/>
      <w:szCs w:val="18"/>
    </w:rPr>
  </w:style>
  <w:style w:type="character" w:customStyle="1" w:styleId="350">
    <w:name w:val="批注主题 Char1"/>
    <w:basedOn w:val="342"/>
    <w:semiHidden/>
    <w:qFormat/>
    <w:uiPriority w:val="99"/>
    <w:rPr>
      <w:rFonts w:ascii="Times New Roman" w:hAnsi="Times New Roman" w:eastAsia="宋体" w:cs="Times New Roman"/>
      <w:b/>
      <w:bCs/>
      <w:kern w:val="0"/>
      <w:sz w:val="24"/>
      <w:szCs w:val="24"/>
    </w:rPr>
  </w:style>
  <w:style w:type="character" w:customStyle="1" w:styleId="351">
    <w:name w:val="正文文本缩进 3 字符"/>
    <w:basedOn w:val="62"/>
    <w:link w:val="45"/>
    <w:qFormat/>
    <w:uiPriority w:val="0"/>
    <w:rPr>
      <w:sz w:val="16"/>
      <w:szCs w:val="16"/>
    </w:rPr>
  </w:style>
  <w:style w:type="character" w:customStyle="1" w:styleId="352">
    <w:name w:val="纯文本 Char4"/>
    <w:basedOn w:val="62"/>
    <w:semiHidden/>
    <w:qFormat/>
    <w:uiPriority w:val="99"/>
    <w:rPr>
      <w:rFonts w:ascii="宋体" w:hAnsi="Courier New" w:eastAsia="宋体" w:cs="Courier New"/>
      <w:kern w:val="0"/>
      <w:szCs w:val="21"/>
    </w:rPr>
  </w:style>
  <w:style w:type="character" w:customStyle="1" w:styleId="353">
    <w:name w:val="标题 Char1"/>
    <w:basedOn w:val="62"/>
    <w:qFormat/>
    <w:uiPriority w:val="10"/>
    <w:rPr>
      <w:rFonts w:eastAsia="宋体" w:asciiTheme="majorHAnsi" w:hAnsiTheme="majorHAnsi" w:cstheme="majorBidi"/>
      <w:b/>
      <w:bCs/>
      <w:kern w:val="0"/>
      <w:sz w:val="32"/>
      <w:szCs w:val="32"/>
    </w:rPr>
  </w:style>
  <w:style w:type="character" w:customStyle="1" w:styleId="354">
    <w:name w:val="正文文本缩进 2 字符"/>
    <w:basedOn w:val="62"/>
    <w:link w:val="35"/>
    <w:qFormat/>
    <w:uiPriority w:val="0"/>
    <w:rPr>
      <w:rFonts w:ascii="宋体" w:eastAsia="新宋体"/>
      <w:sz w:val="24"/>
    </w:rPr>
  </w:style>
  <w:style w:type="character" w:customStyle="1" w:styleId="355">
    <w:name w:val="正文文本 2 字符"/>
    <w:basedOn w:val="62"/>
    <w:link w:val="51"/>
    <w:qFormat/>
    <w:uiPriority w:val="0"/>
    <w:rPr>
      <w:sz w:val="24"/>
      <w:szCs w:val="24"/>
    </w:rPr>
  </w:style>
  <w:style w:type="character" w:customStyle="1" w:styleId="356">
    <w:name w:val="页眉 Char2"/>
    <w:basedOn w:val="62"/>
    <w:semiHidden/>
    <w:qFormat/>
    <w:uiPriority w:val="99"/>
    <w:rPr>
      <w:rFonts w:ascii="Times New Roman" w:hAnsi="Times New Roman" w:eastAsia="宋体" w:cs="Times New Roman"/>
      <w:kern w:val="0"/>
      <w:sz w:val="18"/>
      <w:szCs w:val="18"/>
    </w:rPr>
  </w:style>
  <w:style w:type="character" w:customStyle="1" w:styleId="357">
    <w:name w:val="日期 字符"/>
    <w:basedOn w:val="62"/>
    <w:link w:val="34"/>
    <w:qFormat/>
    <w:uiPriority w:val="0"/>
    <w:rPr>
      <w:sz w:val="24"/>
      <w:szCs w:val="24"/>
    </w:rPr>
  </w:style>
  <w:style w:type="character" w:customStyle="1" w:styleId="358">
    <w:name w:val="文档结构图 Char1"/>
    <w:basedOn w:val="62"/>
    <w:semiHidden/>
    <w:qFormat/>
    <w:uiPriority w:val="99"/>
    <w:rPr>
      <w:rFonts w:ascii="宋体" w:hAnsi="Times New Roman" w:eastAsia="宋体" w:cs="Times New Roman"/>
      <w:kern w:val="0"/>
      <w:sz w:val="18"/>
      <w:szCs w:val="18"/>
    </w:rPr>
  </w:style>
  <w:style w:type="character" w:customStyle="1" w:styleId="359">
    <w:name w:val="bookmark-item"/>
    <w:basedOn w:val="62"/>
    <w:qFormat/>
    <w:uiPriority w:val="0"/>
  </w:style>
  <w:style w:type="paragraph" w:customStyle="1" w:styleId="360">
    <w:name w:val="首行缩进"/>
    <w:basedOn w:val="1"/>
    <w:qFormat/>
    <w:uiPriority w:val="0"/>
    <w:pPr>
      <w:spacing w:line="360" w:lineRule="auto"/>
      <w:ind w:firstLine="480" w:firstLineChars="200"/>
    </w:pPr>
    <w:rPr>
      <w:lang w:val="zh-CN"/>
    </w:rPr>
  </w:style>
  <w:style w:type="paragraph" w:customStyle="1" w:styleId="361">
    <w:name w:val="修订2"/>
    <w:hidden/>
    <w:semiHidden/>
    <w:qFormat/>
    <w:uiPriority w:val="99"/>
    <w:rPr>
      <w:rFonts w:ascii="Times New Roman" w:hAnsi="Times New Roman" w:eastAsia="宋体" w:cs="Times New Roman"/>
      <w:sz w:val="24"/>
      <w:szCs w:val="24"/>
      <w:lang w:val="en-US" w:eastAsia="zh-CN" w:bidi="ar-SA"/>
    </w:rPr>
  </w:style>
  <w:style w:type="paragraph" w:customStyle="1" w:styleId="362">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63">
    <w:name w:val="font71"/>
    <w:basedOn w:val="62"/>
    <w:qFormat/>
    <w:uiPriority w:val="0"/>
    <w:rPr>
      <w:rFonts w:hint="eastAsia" w:ascii="宋体" w:hAnsi="宋体" w:eastAsia="宋体" w:cs="宋体"/>
      <w:color w:val="000000"/>
      <w:sz w:val="24"/>
      <w:szCs w:val="24"/>
      <w:u w:val="none"/>
    </w:rPr>
  </w:style>
  <w:style w:type="character" w:customStyle="1" w:styleId="364">
    <w:name w:val="font81"/>
    <w:basedOn w:val="62"/>
    <w:qFormat/>
    <w:uiPriority w:val="0"/>
    <w:rPr>
      <w:rFonts w:hint="eastAsia" w:ascii="宋体" w:hAnsi="宋体" w:eastAsia="宋体" w:cs="宋体"/>
      <w:color w:val="000000"/>
      <w:sz w:val="24"/>
      <w:szCs w:val="24"/>
      <w:u w:val="none"/>
    </w:rPr>
  </w:style>
  <w:style w:type="character" w:customStyle="1" w:styleId="365">
    <w:name w:val="font91"/>
    <w:basedOn w:val="62"/>
    <w:qFormat/>
    <w:uiPriority w:val="0"/>
    <w:rPr>
      <w:rFonts w:hint="default" w:ascii="Times New Roman" w:hAnsi="Times New Roman" w:cs="Times New Roman"/>
      <w:color w:val="000000"/>
      <w:sz w:val="24"/>
      <w:szCs w:val="24"/>
      <w:u w:val="none"/>
    </w:rPr>
  </w:style>
  <w:style w:type="character" w:customStyle="1" w:styleId="366">
    <w:name w:val="NormalCharacter"/>
    <w:qFormat/>
    <w:uiPriority w:val="0"/>
    <w:rPr>
      <w:rFonts w:ascii="Times New Roman" w:hAnsi="Times New Roman" w:eastAsia="宋体" w:cs="Times New Roman"/>
      <w:kern w:val="2"/>
      <w:sz w:val="21"/>
      <w:lang w:val="en-US" w:eastAsia="zh-CN" w:bidi="ar-SA"/>
    </w:rPr>
  </w:style>
  <w:style w:type="paragraph" w:customStyle="1" w:styleId="367">
    <w:name w:val="表格正文"/>
    <w:qFormat/>
    <w:uiPriority w:val="0"/>
    <w:pPr>
      <w:spacing w:before="80" w:after="80" w:line="360" w:lineRule="auto"/>
      <w:contextualSpacing/>
      <w:textAlignment w:val="center"/>
    </w:pPr>
    <w:rPr>
      <w:rFonts w:eastAsia="宋体" w:cs="方正兰亭黑简体" w:asciiTheme="minorEastAsia" w:hAnsiTheme="minorEastAsia"/>
      <w:kern w:val="2"/>
      <w:sz w:val="21"/>
      <w:szCs w:val="21"/>
      <w:lang w:val="en-US" w:eastAsia="zh-CN" w:bidi="ar-SA"/>
    </w:rPr>
  </w:style>
  <w:style w:type="table" w:customStyle="1" w:styleId="368">
    <w:name w:val="Table1"/>
    <w:basedOn w:val="60"/>
    <w:qFormat/>
    <w:uiPriority w:val="99"/>
    <w:pPr>
      <w:spacing w:line="360" w:lineRule="auto"/>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69">
    <w:name w:val="交叉引用"/>
    <w:basedOn w:val="62"/>
    <w:qFormat/>
    <w:uiPriority w:val="1"/>
    <w:rPr>
      <w:color w:val="0000FF"/>
      <w:u w:val="single"/>
    </w:rPr>
  </w:style>
  <w:style w:type="paragraph" w:customStyle="1" w:styleId="370">
    <w:name w:val="Plain Text"/>
    <w:basedOn w:val="1"/>
    <w:qFormat/>
    <w:uiPriority w:val="0"/>
    <w:pPr>
      <w:adjustRightInd w:val="0"/>
      <w:textAlignment w:val="baseline"/>
    </w:pPr>
    <w:rPr>
      <w:rFonts w:ascii="宋体" w:hAnsi="Courier New" w:eastAsia="楷体_GB2312"/>
      <w:sz w:val="2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FD1F6-9320-4A58-A1A8-9AC436211EC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38220</Words>
  <Characters>40811</Characters>
  <Lines>262</Lines>
  <Paragraphs>73</Paragraphs>
  <TotalTime>54</TotalTime>
  <ScaleCrop>false</ScaleCrop>
  <LinksUpToDate>false</LinksUpToDate>
  <CharactersWithSpaces>41829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2023-01-11T01:28:00Z</dcterms:created>
  <dc:creator>Administrator</dc:creator>
  <cp:lastModifiedBy>Administrator</cp:lastModifiedBy>
  <cp:lastPrinted>2023-04-11T05:38:00Z</cp:lastPrinted>
  <dcterms:modified xsi:type="dcterms:W3CDTF">2023-04-21T05:46:41Z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52C8CEA974B749C98D9CE8510DA8640F</vt:lpwstr>
  </property>
</Properties>
</file>